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Conservation and Land Management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Jan 2017</w:t>
      </w:r>
      <w:r>
        <w:fldChar w:fldCharType="end"/>
      </w:r>
      <w:r>
        <w:t xml:space="preserve">, </w:t>
      </w:r>
      <w:r>
        <w:fldChar w:fldCharType="begin"/>
      </w:r>
      <w:r>
        <w:instrText xml:space="preserve"> DocProperty FromSuffix </w:instrText>
      </w:r>
      <w:r>
        <w:fldChar w:fldCharType="separate"/>
      </w:r>
      <w:r>
        <w:t>04-c0-00</w:t>
      </w:r>
      <w:r>
        <w:fldChar w:fldCharType="end"/>
      </w:r>
      <w:r>
        <w:t>] and [</w:t>
      </w:r>
      <w:r>
        <w:fldChar w:fldCharType="begin"/>
      </w:r>
      <w:r>
        <w:instrText xml:space="preserve"> DocProperty ToAsAtDate</w:instrText>
      </w:r>
      <w:r>
        <w:fldChar w:fldCharType="separate"/>
      </w:r>
      <w:r>
        <w:t>01 Sep 2017</w:t>
      </w:r>
      <w:r>
        <w:fldChar w:fldCharType="end"/>
      </w:r>
      <w:r>
        <w:t xml:space="preserve">, </w:t>
      </w:r>
      <w:r>
        <w:fldChar w:fldCharType="begin"/>
      </w:r>
      <w:r>
        <w:instrText xml:space="preserve"> DocProperty ToSuffix</w:instrText>
      </w:r>
      <w:r>
        <w:fldChar w:fldCharType="separate"/>
      </w:r>
      <w:r>
        <w:t>04-d0-00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Conservation and Land Management Act 1984</w:t>
      </w:r>
    </w:p>
    <w:p>
      <w:pPr>
        <w:pStyle w:val="NameofActReg"/>
      </w:pPr>
      <w:r>
        <w:t>Conservation and Land Management Regulations 2002</w:t>
      </w:r>
    </w:p>
    <w:p>
      <w:pPr>
        <w:pStyle w:val="Heading2"/>
        <w:pageBreakBefore w:val="0"/>
        <w:spacing w:before="240"/>
      </w:pPr>
      <w:bookmarkStart w:id="1" w:name="_Toc491954524"/>
      <w:bookmarkStart w:id="2" w:name="_Toc491956678"/>
      <w:bookmarkStart w:id="3" w:name="_Toc473019123"/>
      <w:bookmarkStart w:id="4" w:name="_Toc473035861"/>
      <w:r>
        <w:rPr>
          <w:rStyle w:val="CharPartNo"/>
        </w:rPr>
        <w:t>P</w:t>
      </w:r>
      <w:bookmarkStart w:id="5" w:name="_GoBack"/>
      <w:bookmarkEnd w:id="5"/>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r>
        <w:rPr>
          <w:rStyle w:val="CharPartText"/>
        </w:rPr>
        <w:t xml:space="preserve"> </w:t>
      </w:r>
    </w:p>
    <w:p>
      <w:pPr>
        <w:pStyle w:val="Heading5"/>
      </w:pPr>
      <w:bookmarkStart w:id="6" w:name="_Toc491956679"/>
      <w:bookmarkStart w:id="7" w:name="_Toc473035862"/>
      <w:r>
        <w:rPr>
          <w:rStyle w:val="CharSectno"/>
        </w:rPr>
        <w:t>1</w:t>
      </w:r>
      <w:r>
        <w:t>.</w:t>
      </w:r>
      <w:r>
        <w:tab/>
        <w:t>Citation</w:t>
      </w:r>
      <w:bookmarkEnd w:id="6"/>
      <w:bookmarkEnd w:id="7"/>
    </w:p>
    <w:p>
      <w:pPr>
        <w:pStyle w:val="Subsection"/>
      </w:pPr>
      <w:r>
        <w:tab/>
      </w:r>
      <w:r>
        <w:tab/>
      </w:r>
      <w:r>
        <w:rPr>
          <w:spacing w:val="-2"/>
        </w:rPr>
        <w:t>These</w:t>
      </w:r>
      <w:r>
        <w:t xml:space="preserve"> </w:t>
      </w:r>
      <w:r>
        <w:rPr>
          <w:spacing w:val="-2"/>
        </w:rPr>
        <w:t>regulations</w:t>
      </w:r>
      <w:r>
        <w:t xml:space="preserve"> may be cited as the </w:t>
      </w:r>
      <w:r>
        <w:rPr>
          <w:i/>
        </w:rPr>
        <w:t>Conservation and Land Management Regulations 2002</w:t>
      </w:r>
      <w:r>
        <w:rPr>
          <w:vertAlign w:val="superscript"/>
        </w:rPr>
        <w:t> 1</w:t>
      </w:r>
      <w:r>
        <w:rPr>
          <w:iCs/>
        </w:rPr>
        <w:t>.</w:t>
      </w:r>
    </w:p>
    <w:p>
      <w:pPr>
        <w:pStyle w:val="Heading5"/>
        <w:rPr>
          <w:snapToGrid w:val="0"/>
        </w:rPr>
      </w:pPr>
      <w:bookmarkStart w:id="8" w:name="_Toc491956680"/>
      <w:bookmarkStart w:id="9" w:name="_Toc473035863"/>
      <w:r>
        <w:rPr>
          <w:rStyle w:val="CharSectno"/>
        </w:rPr>
        <w:t>2</w:t>
      </w:r>
      <w:r>
        <w:rPr>
          <w:snapToGrid w:val="0"/>
        </w:rPr>
        <w:t>.</w:t>
      </w:r>
      <w:r>
        <w:rPr>
          <w:snapToGrid w:val="0"/>
        </w:rPr>
        <w:tab/>
        <w:t>Terms used</w:t>
      </w:r>
      <w:bookmarkEnd w:id="8"/>
      <w:bookmarkEnd w:id="9"/>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Aboriginal artefact</w:t>
      </w:r>
      <w:r>
        <w:t xml:space="preserve"> means an object to which the </w:t>
      </w:r>
      <w:r>
        <w:rPr>
          <w:i/>
        </w:rPr>
        <w:t>Aboriginal Heritage Act 1972</w:t>
      </w:r>
      <w:r>
        <w:t xml:space="preserve"> applies;</w:t>
      </w:r>
    </w:p>
    <w:p>
      <w:pPr>
        <w:pStyle w:val="Defstart"/>
      </w:pPr>
      <w:r>
        <w:rPr>
          <w:b/>
        </w:rPr>
        <w:tab/>
      </w:r>
      <w:r>
        <w:rPr>
          <w:rStyle w:val="CharDefText"/>
        </w:rPr>
        <w:t>Aboriginal site</w:t>
      </w:r>
      <w:r>
        <w:t xml:space="preserve"> means a place to which the </w:t>
      </w:r>
      <w:r>
        <w:rPr>
          <w:i/>
        </w:rPr>
        <w:t>Aboriginal Heritage Act 1972</w:t>
      </w:r>
      <w:r>
        <w:t xml:space="preserve"> applies;</w:t>
      </w:r>
    </w:p>
    <w:p>
      <w:pPr>
        <w:pStyle w:val="Defstart"/>
      </w:pPr>
      <w:r>
        <w:tab/>
      </w:r>
      <w:r>
        <w:rPr>
          <w:rStyle w:val="CharDefText"/>
        </w:rPr>
        <w:t>abseiling area</w:t>
      </w:r>
      <w:r>
        <w:t xml:space="preserve"> means — </w:t>
      </w:r>
    </w:p>
    <w:p>
      <w:pPr>
        <w:pStyle w:val="Defpara"/>
      </w:pPr>
      <w:r>
        <w:tab/>
        <w:t>(a)</w:t>
      </w:r>
      <w:r>
        <w:tab/>
        <w:t>an area declared under regulation 6(1)(a) to be a designated area for the purposes of regulation 33; or</w:t>
      </w:r>
    </w:p>
    <w:p>
      <w:pPr>
        <w:pStyle w:val="Defpara"/>
      </w:pPr>
      <w:r>
        <w:tab/>
        <w:t>(b)</w:t>
      </w:r>
      <w:r>
        <w:tab/>
        <w:t>an area designated by sign as an abseiling area;</w:t>
      </w:r>
    </w:p>
    <w:p>
      <w:pPr>
        <w:pStyle w:val="Defstart"/>
      </w:pPr>
      <w:r>
        <w:tab/>
      </w:r>
      <w:r>
        <w:rPr>
          <w:rStyle w:val="CharDefText"/>
        </w:rPr>
        <w:t>aircraft</w:t>
      </w:r>
      <w:r>
        <w:t xml:space="preserve"> includes an ultra</w:t>
      </w:r>
      <w:r>
        <w:noBreakHyphen/>
        <w:t>light aircraft and a helicopter;</w:t>
      </w:r>
    </w:p>
    <w:p>
      <w:pPr>
        <w:pStyle w:val="Defstart"/>
      </w:pPr>
      <w:r>
        <w:tab/>
      </w:r>
      <w:r>
        <w:rPr>
          <w:rStyle w:val="CharDefText"/>
        </w:rPr>
        <w:t>authorised officer</w:t>
      </w:r>
      <w:r>
        <w:t xml:space="preserve"> means a wildlife officer, forest officer, ranger, conservation and land management officer and a person appointed to an honorary office under section 46 of the Act;</w:t>
      </w:r>
    </w:p>
    <w:p>
      <w:pPr>
        <w:pStyle w:val="Defstart"/>
      </w:pPr>
      <w:r>
        <w:rPr>
          <w:b/>
        </w:rPr>
        <w:tab/>
      </w:r>
      <w:r>
        <w:rPr>
          <w:rStyle w:val="CharDefText"/>
        </w:rPr>
        <w:t>bicycle</w:t>
      </w:r>
      <w:r>
        <w:t xml:space="preserve"> has the meaning given to that term in the </w:t>
      </w:r>
      <w:r>
        <w:rPr>
          <w:i/>
        </w:rPr>
        <w:t>Road Traffic Code 2000</w:t>
      </w:r>
      <w:r>
        <w:t xml:space="preserve"> regulation 3(1);</w:t>
      </w:r>
    </w:p>
    <w:p>
      <w:pPr>
        <w:pStyle w:val="Defstart"/>
      </w:pPr>
      <w:r>
        <w:lastRenderedPageBreak/>
        <w:tab/>
      </w:r>
      <w:r>
        <w:rPr>
          <w:rStyle w:val="CharDefText"/>
        </w:rPr>
        <w:t>CALM land</w:t>
      </w:r>
      <w:r>
        <w:rPr>
          <w:b/>
        </w:rPr>
        <w:t xml:space="preserve"> </w:t>
      </w:r>
      <w:r>
        <w:t>means land, or land and waters, to which these regulations apply, and includes caves and parts of caves on or under that land;</w:t>
      </w:r>
    </w:p>
    <w:p>
      <w:pPr>
        <w:pStyle w:val="Defstart"/>
      </w:pPr>
      <w:r>
        <w:tab/>
      </w:r>
      <w:r>
        <w:rPr>
          <w:rStyle w:val="CharDefText"/>
        </w:rPr>
        <w:t>camp</w:t>
      </w:r>
      <w:r>
        <w:t xml:space="preserve"> means — </w:t>
      </w:r>
    </w:p>
    <w:p>
      <w:pPr>
        <w:pStyle w:val="Defpara"/>
      </w:pPr>
      <w:r>
        <w:tab/>
        <w:t>(a)</w:t>
      </w:r>
      <w:r>
        <w:tab/>
        <w:t>to stay or lodge (whether in a camping unit or otherwise) during any period of the night after 9.00 p.m. and before 6.00 a.m.; or</w:t>
      </w:r>
    </w:p>
    <w:p>
      <w:pPr>
        <w:pStyle w:val="Defpara"/>
      </w:pPr>
      <w:r>
        <w:tab/>
        <w:t>(b)</w:t>
      </w:r>
      <w:r>
        <w:tab/>
        <w:t>to stay or lodge in a camping unit, building or structure during any period of the day after 6.00 a.m. and before 9.00 p.m.;</w:t>
      </w:r>
    </w:p>
    <w:p>
      <w:pPr>
        <w:pStyle w:val="Defstart"/>
      </w:pPr>
      <w:r>
        <w:tab/>
      </w:r>
      <w:r>
        <w:rPr>
          <w:rStyle w:val="CharDefText"/>
        </w:rPr>
        <w:t>camping area</w:t>
      </w:r>
      <w:r>
        <w:t xml:space="preserve"> means — </w:t>
      </w:r>
    </w:p>
    <w:p>
      <w:pPr>
        <w:pStyle w:val="Defpara"/>
      </w:pPr>
      <w:r>
        <w:tab/>
        <w:t>(a)</w:t>
      </w:r>
      <w:r>
        <w:tab/>
        <w:t>an area declared under regulation 6(1)(a) to be a designated area for the purposes of regulation 66; or</w:t>
      </w:r>
    </w:p>
    <w:p>
      <w:pPr>
        <w:pStyle w:val="Defpara"/>
      </w:pPr>
      <w:r>
        <w:tab/>
        <w:t>(b)</w:t>
      </w:r>
      <w:r>
        <w:tab/>
        <w:t>an area designated by sign as a camping area;</w:t>
      </w:r>
    </w:p>
    <w:p>
      <w:pPr>
        <w:pStyle w:val="Defstart"/>
      </w:pPr>
      <w:r>
        <w:tab/>
      </w:r>
      <w:r>
        <w:rPr>
          <w:rStyle w:val="CharDefText"/>
        </w:rPr>
        <w:t>camping unit</w:t>
      </w:r>
      <w:r>
        <w:t xml:space="preserve"> means a tent or other portable thing of any kind used or capable of being used for habitation, and includes a caravan or other vehicle;</w:t>
      </w:r>
    </w:p>
    <w:p>
      <w:pPr>
        <w:pStyle w:val="Defstart"/>
      </w:pPr>
      <w:r>
        <w:tab/>
      </w:r>
      <w:r>
        <w:rPr>
          <w:rStyle w:val="CharDefText"/>
        </w:rPr>
        <w:t>caravan</w:t>
      </w:r>
      <w:r>
        <w:t xml:space="preserve"> means a vehicle fitted or designed for habitation;</w:t>
      </w:r>
    </w:p>
    <w:p>
      <w:pPr>
        <w:pStyle w:val="Defstart"/>
      </w:pPr>
      <w:r>
        <w:tab/>
      </w:r>
      <w:r>
        <w:rPr>
          <w:rStyle w:val="CharDefText"/>
        </w:rPr>
        <w:t>commercial operations licence</w:t>
      </w:r>
      <w:r>
        <w:rPr>
          <w:b/>
        </w:rPr>
        <w:t xml:space="preserve"> </w:t>
      </w:r>
      <w:r>
        <w:t>means a licence issued under  regulation 94;</w:t>
      </w:r>
    </w:p>
    <w:p>
      <w:pPr>
        <w:pStyle w:val="Defstart"/>
      </w:pPr>
      <w:r>
        <w:rPr>
          <w:b/>
        </w:rPr>
        <w:tab/>
      </w:r>
      <w:r>
        <w:rPr>
          <w:rStyle w:val="CharDefText"/>
        </w:rPr>
        <w:t>commercial purpose</w:t>
      </w:r>
      <w:r>
        <w:t xml:space="preserve"> means the purpose of sale for profit or any other purpose that is directed to financial gain or reward;</w:t>
      </w:r>
    </w:p>
    <w:p>
      <w:pPr>
        <w:pStyle w:val="Defstart"/>
      </w:pPr>
      <w:r>
        <w:rPr>
          <w:b/>
        </w:rPr>
        <w:tab/>
      </w:r>
      <w:r>
        <w:rPr>
          <w:rStyle w:val="CharDefText"/>
        </w:rPr>
        <w:t>Companion Card</w:t>
      </w:r>
      <w:r>
        <w:t xml:space="preserve"> means a Companion Card issued by ACROD Limited (ACN 008 445 485);</w:t>
      </w:r>
    </w:p>
    <w:p>
      <w:pPr>
        <w:pStyle w:val="Defstart"/>
      </w:pPr>
      <w:r>
        <w:rPr>
          <w:b/>
        </w:rPr>
        <w:tab/>
      </w:r>
      <w:r>
        <w:rPr>
          <w:rStyle w:val="CharDefText"/>
        </w:rPr>
        <w:t>concession card</w:t>
      </w:r>
      <w:r>
        <w:t xml:space="preserve"> means — </w:t>
      </w:r>
    </w:p>
    <w:p>
      <w:pPr>
        <w:pStyle w:val="Defpara"/>
      </w:pPr>
      <w:r>
        <w:tab/>
        <w:t>(a)</w:t>
      </w:r>
      <w:r>
        <w:tab/>
        <w:t>a Seniors’ Card issued by the Office of Seniors’ Interests in this or another State or Territory; or</w:t>
      </w:r>
    </w:p>
    <w:p>
      <w:pPr>
        <w:pStyle w:val="Defpara"/>
      </w:pPr>
      <w:r>
        <w:tab/>
        <w:t>(b)</w:t>
      </w:r>
      <w:r>
        <w:tab/>
        <w:t>a Pensioner Concession Card issued by Centrelink on the basis of receipt of Aged Pension, Disability Support Pension or Carer Payment; or</w:t>
      </w:r>
    </w:p>
    <w:p>
      <w:pPr>
        <w:pStyle w:val="Defpara"/>
      </w:pPr>
      <w:r>
        <w:tab/>
        <w:t>(c)</w:t>
      </w:r>
      <w:r>
        <w:tab/>
        <w:t>any concession card issued by the Commonwealth Department of Veterans’ Affairs; or</w:t>
      </w:r>
    </w:p>
    <w:p>
      <w:pPr>
        <w:pStyle w:val="Defpara"/>
      </w:pPr>
      <w:r>
        <w:tab/>
        <w:t>(d)</w:t>
      </w:r>
      <w:r>
        <w:tab/>
        <w:t>a Companion Card;</w:t>
      </w:r>
    </w:p>
    <w:p>
      <w:pPr>
        <w:pStyle w:val="Defstart"/>
      </w:pPr>
      <w:r>
        <w:tab/>
      </w:r>
      <w:r>
        <w:rPr>
          <w:rStyle w:val="CharDefText"/>
        </w:rPr>
        <w:t>designated area</w:t>
      </w:r>
      <w:r>
        <w:rPr>
          <w:b/>
        </w:rPr>
        <w:t xml:space="preserve"> </w:t>
      </w:r>
      <w:r>
        <w:t xml:space="preserve">has the meaning given by regulation 6(6); </w:t>
      </w:r>
    </w:p>
    <w:p>
      <w:pPr>
        <w:pStyle w:val="Defstart"/>
      </w:pPr>
      <w:r>
        <w:tab/>
      </w:r>
      <w:r>
        <w:rPr>
          <w:rStyle w:val="CharDefText"/>
        </w:rPr>
        <w:t>dog area</w:t>
      </w:r>
      <w:r>
        <w:t xml:space="preserve"> means — </w:t>
      </w:r>
    </w:p>
    <w:p>
      <w:pPr>
        <w:pStyle w:val="Defpara"/>
      </w:pPr>
      <w:r>
        <w:tab/>
        <w:t>(a)</w:t>
      </w:r>
      <w:r>
        <w:tab/>
        <w:t>an area declared under regulation 6(1)(a) to be a designated area for the purposes of regulation 16; or</w:t>
      </w:r>
    </w:p>
    <w:p>
      <w:pPr>
        <w:pStyle w:val="Defpara"/>
      </w:pPr>
      <w:r>
        <w:tab/>
        <w:t>(b)</w:t>
      </w:r>
      <w:r>
        <w:tab/>
        <w:t>an area designated by sign as a dog area;</w:t>
      </w:r>
    </w:p>
    <w:p>
      <w:pPr>
        <w:pStyle w:val="Defstart"/>
      </w:pPr>
      <w:r>
        <w:tab/>
      </w:r>
      <w:r>
        <w:rPr>
          <w:rStyle w:val="CharDefText"/>
        </w:rPr>
        <w:t>horse area</w:t>
      </w:r>
      <w:r>
        <w:t xml:space="preserve"> means — </w:t>
      </w:r>
    </w:p>
    <w:p>
      <w:pPr>
        <w:pStyle w:val="Defpara"/>
      </w:pPr>
      <w:r>
        <w:tab/>
        <w:t>(a)</w:t>
      </w:r>
      <w:r>
        <w:tab/>
        <w:t>an area declared under regulation 6(1)(a) to be a designated area for the purposes of regulation 17; or</w:t>
      </w:r>
    </w:p>
    <w:p>
      <w:pPr>
        <w:pStyle w:val="Defpara"/>
      </w:pPr>
      <w:r>
        <w:tab/>
        <w:t>(b)</w:t>
      </w:r>
      <w:r>
        <w:tab/>
        <w:t>an area designated by sign as a horse area;</w:t>
      </w:r>
    </w:p>
    <w:p>
      <w:pPr>
        <w:pStyle w:val="Defstart"/>
      </w:pPr>
      <w:r>
        <w:rPr>
          <w:b/>
        </w:rPr>
        <w:tab/>
      </w:r>
      <w:r>
        <w:rPr>
          <w:rStyle w:val="CharDefText"/>
        </w:rPr>
        <w:t>mooring</w:t>
      </w:r>
      <w:r>
        <w:t xml:space="preserve"> means any structure or apparatus (other than a vessel’s anchor that is retrieved by the vessel when not in use) to which a floating vessel may be secured by a chain, cable, wire or rope, whether or not the structure or apparatus is itself beyond the shores of the water;</w:t>
      </w:r>
    </w:p>
    <w:p>
      <w:pPr>
        <w:pStyle w:val="Defstart"/>
      </w:pPr>
      <w:r>
        <w:rPr>
          <w:b/>
        </w:rPr>
        <w:tab/>
      </w:r>
      <w:r>
        <w:rPr>
          <w:rStyle w:val="CharDefText"/>
        </w:rPr>
        <w:t>non</w:t>
      </w:r>
      <w:r>
        <w:rPr>
          <w:rStyle w:val="CharDefText"/>
        </w:rPr>
        <w:noBreakHyphen/>
        <w:t>indigenous animal</w:t>
      </w:r>
      <w:r>
        <w:t>, in relation to a particular locality, means an animal that is not indigenous to that locality;</w:t>
      </w:r>
    </w:p>
    <w:p>
      <w:pPr>
        <w:pStyle w:val="Defstart"/>
      </w:pPr>
      <w:r>
        <w:tab/>
      </w:r>
      <w:r>
        <w:rPr>
          <w:rStyle w:val="CharDefText"/>
        </w:rPr>
        <w:t>public mooring</w:t>
      </w:r>
      <w:r>
        <w:t xml:space="preserve"> means a mooring designated as a public mooring under regulation 60A(1);</w:t>
      </w:r>
    </w:p>
    <w:p>
      <w:pPr>
        <w:pStyle w:val="Defstart"/>
      </w:pPr>
      <w:r>
        <w:tab/>
      </w:r>
      <w:r>
        <w:rPr>
          <w:rStyle w:val="CharDefText"/>
        </w:rPr>
        <w:t>restricted area</w:t>
      </w:r>
      <w:r>
        <w:rPr>
          <w:b/>
        </w:rPr>
        <w:t xml:space="preserve"> </w:t>
      </w:r>
      <w:r>
        <w:t>has the meaning given by regulation 5(6);</w:t>
      </w:r>
    </w:p>
    <w:p>
      <w:pPr>
        <w:pStyle w:val="Defstart"/>
      </w:pPr>
      <w:r>
        <w:rPr>
          <w:b/>
        </w:rPr>
        <w:tab/>
      </w:r>
      <w:r>
        <w:rPr>
          <w:rStyle w:val="CharDefText"/>
        </w:rPr>
        <w:t>school holidays</w:t>
      </w:r>
      <w:r>
        <w:t xml:space="preserve"> means the days between school terms determined for government schools under section 117 of the </w:t>
      </w:r>
      <w:r>
        <w:rPr>
          <w:i/>
        </w:rPr>
        <w:t>School Education Act 1999</w:t>
      </w:r>
      <w:r>
        <w:t>;</w:t>
      </w:r>
    </w:p>
    <w:p>
      <w:pPr>
        <w:pStyle w:val="Defstart"/>
      </w:pPr>
      <w:r>
        <w:tab/>
      </w:r>
      <w:r>
        <w:rPr>
          <w:rStyle w:val="CharDefText"/>
        </w:rPr>
        <w:t>scientific purposes licence</w:t>
      </w:r>
      <w:r>
        <w:rPr>
          <w:b/>
        </w:rPr>
        <w:t xml:space="preserve"> </w:t>
      </w:r>
      <w:r>
        <w:t>means a licence issued under regulation 89;</w:t>
      </w:r>
    </w:p>
    <w:p>
      <w:pPr>
        <w:pStyle w:val="Defstart"/>
      </w:pPr>
      <w:r>
        <w:tab/>
      </w:r>
      <w:r>
        <w:rPr>
          <w:rStyle w:val="CharDefText"/>
        </w:rPr>
        <w:t>sell</w:t>
      </w:r>
      <w:r>
        <w:t xml:space="preserve"> includes —</w:t>
      </w:r>
    </w:p>
    <w:p>
      <w:pPr>
        <w:pStyle w:val="Defpara"/>
      </w:pPr>
      <w:r>
        <w:tab/>
        <w:t>(a)</w:t>
      </w:r>
      <w:r>
        <w:tab/>
        <w:t>sell by wholesale or retail;</w:t>
      </w:r>
    </w:p>
    <w:p>
      <w:pPr>
        <w:pStyle w:val="Defpara"/>
      </w:pPr>
      <w:r>
        <w:tab/>
        <w:t>(b)</w:t>
      </w:r>
      <w:r>
        <w:tab/>
        <w:t>supply or perform for profit;</w:t>
      </w:r>
    </w:p>
    <w:p>
      <w:pPr>
        <w:pStyle w:val="Defpara"/>
      </w:pPr>
      <w:r>
        <w:tab/>
        <w:t>(c)</w:t>
      </w:r>
      <w:r>
        <w:tab/>
        <w:t>receive for sale;</w:t>
      </w:r>
    </w:p>
    <w:p>
      <w:pPr>
        <w:pStyle w:val="Defpara"/>
      </w:pPr>
      <w:r>
        <w:tab/>
        <w:t>(d)</w:t>
      </w:r>
      <w:r>
        <w:tab/>
        <w:t>have in possession for sale;</w:t>
      </w:r>
    </w:p>
    <w:p>
      <w:pPr>
        <w:pStyle w:val="Defpara"/>
      </w:pPr>
      <w:r>
        <w:tab/>
        <w:t>(e)</w:t>
      </w:r>
      <w:r>
        <w:tab/>
        <w:t>send, forward or deliver for sale;</w:t>
      </w:r>
    </w:p>
    <w:p>
      <w:pPr>
        <w:pStyle w:val="Defpara"/>
      </w:pPr>
      <w:r>
        <w:tab/>
        <w:t>(f)</w:t>
      </w:r>
      <w:r>
        <w:tab/>
        <w:t>cause or suffer or allow to be sold;</w:t>
      </w:r>
    </w:p>
    <w:p>
      <w:pPr>
        <w:pStyle w:val="Defpara"/>
      </w:pPr>
      <w:r>
        <w:tab/>
        <w:t>(g)</w:t>
      </w:r>
      <w:r>
        <w:tab/>
        <w:t>dispose or offer for disposal under an hire</w:t>
      </w:r>
      <w:r>
        <w:noBreakHyphen/>
        <w:t>purchase agreement;</w:t>
      </w:r>
    </w:p>
    <w:p>
      <w:pPr>
        <w:pStyle w:val="Defstart"/>
      </w:pPr>
      <w:r>
        <w:tab/>
      </w:r>
      <w:r>
        <w:rPr>
          <w:rStyle w:val="CharDefText"/>
        </w:rPr>
        <w:t>services</w:t>
      </w:r>
      <w:r>
        <w:rPr>
          <w:b/>
        </w:rPr>
        <w:t xml:space="preserve"> </w:t>
      </w:r>
      <w:r>
        <w:t>includes the supply of transport, information, instruction or supervision;</w:t>
      </w:r>
    </w:p>
    <w:p>
      <w:pPr>
        <w:pStyle w:val="Defstart"/>
      </w:pPr>
      <w:r>
        <w:tab/>
      </w:r>
      <w:r>
        <w:rPr>
          <w:rStyle w:val="CharDefText"/>
        </w:rPr>
        <w:t>sign</w:t>
      </w:r>
      <w:r>
        <w:rPr>
          <w:b/>
        </w:rPr>
        <w:t xml:space="preserve"> </w:t>
      </w:r>
      <w:r>
        <w:t>means a sign erected by authority of the CEO and includes lines or other markings on the ground made by authority of the CEO; and such a sign is taken to be a notice for the purposes of section 134 of the Act;</w:t>
      </w:r>
    </w:p>
    <w:p>
      <w:pPr>
        <w:pStyle w:val="Defstart"/>
      </w:pPr>
      <w:r>
        <w:tab/>
      </w:r>
      <w:r>
        <w:rPr>
          <w:rStyle w:val="CharDefText"/>
        </w:rPr>
        <w:t>take</w:t>
      </w:r>
      <w:r>
        <w:t xml:space="preserve"> includes — </w:t>
      </w:r>
    </w:p>
    <w:p>
      <w:pPr>
        <w:pStyle w:val="Defpara"/>
      </w:pPr>
      <w:r>
        <w:tab/>
        <w:t>(a)</w:t>
      </w:r>
      <w:r>
        <w:tab/>
        <w:t>to injure, destroy or otherwise interfere with, or cause or permit the doing of any of those things; and</w:t>
      </w:r>
    </w:p>
    <w:p>
      <w:pPr>
        <w:pStyle w:val="Defpara"/>
      </w:pPr>
      <w:r>
        <w:tab/>
        <w:t>(b)</w:t>
      </w:r>
      <w:r>
        <w:tab/>
        <w:t>to hunt any fauna even though no fauna is actually taken; and</w:t>
      </w:r>
    </w:p>
    <w:p>
      <w:pPr>
        <w:pStyle w:val="Defpara"/>
      </w:pPr>
      <w:r>
        <w:tab/>
        <w:t>(c)</w:t>
      </w:r>
      <w:r>
        <w:tab/>
        <w:t>an attempt to take;</w:t>
      </w:r>
    </w:p>
    <w:p>
      <w:pPr>
        <w:pStyle w:val="Defstart"/>
      </w:pPr>
      <w:r>
        <w:tab/>
      </w:r>
      <w:r>
        <w:rPr>
          <w:rStyle w:val="CharDefText"/>
        </w:rPr>
        <w:t>temporary mooring area</w:t>
      </w:r>
      <w:r>
        <w:t xml:space="preserve"> means — </w:t>
      </w:r>
    </w:p>
    <w:p>
      <w:pPr>
        <w:pStyle w:val="Defpara"/>
      </w:pPr>
      <w:r>
        <w:tab/>
        <w:t>(a)</w:t>
      </w:r>
      <w:r>
        <w:tab/>
        <w:t>an area declared under regulation 6(1)(a) to be a designated area for the purposes of regulation 60B; or</w:t>
      </w:r>
    </w:p>
    <w:p>
      <w:pPr>
        <w:pStyle w:val="Defpara"/>
      </w:pPr>
      <w:r>
        <w:tab/>
        <w:t>(b)</w:t>
      </w:r>
      <w:r>
        <w:tab/>
        <w:t>an area designated by sign as a temporary mooring area;</w:t>
      </w:r>
    </w:p>
    <w:p>
      <w:pPr>
        <w:pStyle w:val="Defstart"/>
      </w:pPr>
      <w:r>
        <w:tab/>
      </w:r>
      <w:r>
        <w:rPr>
          <w:rStyle w:val="CharDefText"/>
        </w:rPr>
        <w:t>tender</w:t>
      </w:r>
      <w:r>
        <w:t xml:space="preserve"> means an auxiliary vessel that is used as a life boat or means of transportation between the parent vessel and another location or for both those purposes;</w:t>
      </w:r>
    </w:p>
    <w:p>
      <w:pPr>
        <w:pStyle w:val="Defstart"/>
      </w:pPr>
      <w:r>
        <w:tab/>
      </w:r>
      <w:r>
        <w:rPr>
          <w:rStyle w:val="CharDefText"/>
        </w:rPr>
        <w:t>tree</w:t>
      </w:r>
      <w:r>
        <w:rPr>
          <w:b/>
        </w:rPr>
        <w:t xml:space="preserve"> </w:t>
      </w:r>
      <w:r>
        <w:t>includes a tree that is dead provided the tree is still standing;</w:t>
      </w:r>
    </w:p>
    <w:p>
      <w:pPr>
        <w:pStyle w:val="Defstart"/>
      </w:pPr>
      <w:r>
        <w:tab/>
      </w:r>
      <w:r>
        <w:rPr>
          <w:rStyle w:val="CharDefText"/>
        </w:rPr>
        <w:t>vehicle</w:t>
      </w:r>
      <w:r>
        <w:rPr>
          <w:b/>
        </w:rPr>
        <w:t xml:space="preserve"> </w:t>
      </w:r>
      <w:r>
        <w:t xml:space="preserve">has the meaning given in the </w:t>
      </w:r>
      <w:r>
        <w:rPr>
          <w:i/>
        </w:rPr>
        <w:t xml:space="preserve">Road Traffic (Administration) Act 2008 </w:t>
      </w:r>
      <w:r>
        <w:t>section 4.</w:t>
      </w:r>
    </w:p>
    <w:p>
      <w:pPr>
        <w:pStyle w:val="Footnotesection"/>
        <w:spacing w:before="100"/>
      </w:pPr>
      <w:r>
        <w:tab/>
        <w:t>[Regulation 2 amended in Gazette 29 Sep 2006 p. 4304</w:t>
      </w:r>
      <w:r>
        <w:noBreakHyphen/>
        <w:t>5 and 4334; 3 Dec 2010 p. 6045</w:t>
      </w:r>
      <w:r>
        <w:noBreakHyphen/>
        <w:t>6; 8 Jan 2015 p. 135</w:t>
      </w:r>
      <w:r>
        <w:noBreakHyphen/>
        <w:t>6; 24 Mar 2015 p. 1033</w:t>
      </w:r>
      <w:r>
        <w:noBreakHyphen/>
        <w:t>4; 6 May 2016 p. 1381.]</w:t>
      </w:r>
    </w:p>
    <w:p>
      <w:pPr>
        <w:pStyle w:val="Heading5"/>
        <w:pageBreakBefore/>
        <w:spacing w:before="180"/>
        <w:rPr>
          <w:snapToGrid w:val="0"/>
        </w:rPr>
      </w:pPr>
      <w:bookmarkStart w:id="10" w:name="_Toc491956681"/>
      <w:bookmarkStart w:id="11" w:name="_Toc473035864"/>
      <w:r>
        <w:rPr>
          <w:rStyle w:val="CharSectno"/>
        </w:rPr>
        <w:t>3</w:t>
      </w:r>
      <w:r>
        <w:rPr>
          <w:snapToGrid w:val="0"/>
        </w:rPr>
        <w:t>.</w:t>
      </w:r>
      <w:r>
        <w:rPr>
          <w:snapToGrid w:val="0"/>
        </w:rPr>
        <w:tab/>
        <w:t>Application</w:t>
      </w:r>
      <w:bookmarkEnd w:id="10"/>
      <w:bookmarkEnd w:id="11"/>
      <w:r>
        <w:rPr>
          <w:snapToGrid w:val="0"/>
        </w:rPr>
        <w:t xml:space="preserve"> </w:t>
      </w:r>
    </w:p>
    <w:p>
      <w:pPr>
        <w:pStyle w:val="Subsection"/>
        <w:spacing w:before="180"/>
        <w:rPr>
          <w:snapToGrid w:val="0"/>
        </w:rPr>
      </w:pPr>
      <w:r>
        <w:tab/>
        <w:t>(1)</w:t>
      </w:r>
      <w:r>
        <w:tab/>
        <w:t>Unless</w:t>
      </w:r>
      <w:r>
        <w:rPr>
          <w:snapToGrid w:val="0"/>
        </w:rPr>
        <w:t xml:space="preserve"> otherwise stated, these regulations apply to — </w:t>
      </w:r>
    </w:p>
    <w:p>
      <w:pPr>
        <w:pStyle w:val="Indenta"/>
        <w:rPr>
          <w:snapToGrid w:val="0"/>
        </w:rPr>
      </w:pPr>
      <w:r>
        <w:rPr>
          <w:snapToGrid w:val="0"/>
        </w:rPr>
        <w:tab/>
        <w:t>(a)</w:t>
      </w:r>
      <w:r>
        <w:rPr>
          <w:snapToGrid w:val="0"/>
        </w:rPr>
        <w:tab/>
        <w:t>land, and land and waters, specified in section 5 of the Act; and</w:t>
      </w:r>
    </w:p>
    <w:p>
      <w:pPr>
        <w:pStyle w:val="Indenta"/>
      </w:pPr>
      <w:r>
        <w:tab/>
        <w:t>(b)</w:t>
      </w:r>
      <w:r>
        <w:tab/>
        <w:t>subject to section 130(2) of the Act, section 8A land; and</w:t>
      </w:r>
    </w:p>
    <w:p>
      <w:pPr>
        <w:pStyle w:val="Indenta"/>
      </w:pPr>
      <w:r>
        <w:tab/>
        <w:t>(c)</w:t>
      </w:r>
      <w:r>
        <w:tab/>
        <w:t>subject to subregulation (2), section 8C land; and</w:t>
      </w:r>
    </w:p>
    <w:p>
      <w:pPr>
        <w:pStyle w:val="Indenta"/>
        <w:rPr>
          <w:snapToGrid w:val="0"/>
        </w:rPr>
      </w:pPr>
      <w:r>
        <w:rPr>
          <w:snapToGrid w:val="0"/>
        </w:rPr>
        <w:tab/>
        <w:t>(d)</w:t>
      </w:r>
      <w:r>
        <w:rPr>
          <w:snapToGrid w:val="0"/>
        </w:rPr>
        <w:tab/>
        <w:t xml:space="preserve">land to which section 131 of the Act applies. </w:t>
      </w:r>
    </w:p>
    <w:p>
      <w:pPr>
        <w:pStyle w:val="Subsection"/>
        <w:spacing w:before="180"/>
      </w:pPr>
      <w:r>
        <w:tab/>
        <w:t>(2)</w:t>
      </w:r>
      <w:r>
        <w:tab/>
        <w:t>If the Governor, by order under section 8C(2)(b), has specified the CEO’s functions in relation to managing any section 8C land, a regulation does not apply to the land unless it prescribes a matter that is consistent with the functions that the CEO has in respect of the land.</w:t>
      </w:r>
    </w:p>
    <w:p>
      <w:pPr>
        <w:pStyle w:val="Footnotesection"/>
        <w:ind w:left="890" w:hanging="890"/>
      </w:pPr>
      <w:r>
        <w:tab/>
        <w:t>[Regulation 3 amended in Gazette 29 Sep 2006 p. 4305; 7 Dec 2012 p. 5965.]</w:t>
      </w:r>
    </w:p>
    <w:p>
      <w:pPr>
        <w:pStyle w:val="Heading5"/>
        <w:spacing w:before="240"/>
        <w:rPr>
          <w:snapToGrid w:val="0"/>
        </w:rPr>
      </w:pPr>
      <w:bookmarkStart w:id="12" w:name="_Toc491956682"/>
      <w:bookmarkStart w:id="13" w:name="_Toc473035865"/>
      <w:r>
        <w:rPr>
          <w:rStyle w:val="CharSectno"/>
        </w:rPr>
        <w:t>4</w:t>
      </w:r>
      <w:r>
        <w:rPr>
          <w:snapToGrid w:val="0"/>
        </w:rPr>
        <w:t>.</w:t>
      </w:r>
      <w:r>
        <w:rPr>
          <w:snapToGrid w:val="0"/>
        </w:rPr>
        <w:tab/>
        <w:t>Lawful authority</w:t>
      </w:r>
      <w:bookmarkEnd w:id="12"/>
      <w:bookmarkEnd w:id="13"/>
      <w:r>
        <w:rPr>
          <w:snapToGrid w:val="0"/>
        </w:rPr>
        <w:t xml:space="preserve"> </w:t>
      </w:r>
    </w:p>
    <w:p>
      <w:pPr>
        <w:pStyle w:val="Subsection"/>
        <w:spacing w:before="180"/>
        <w:rPr>
          <w:snapToGrid w:val="0"/>
        </w:rPr>
      </w:pPr>
      <w:r>
        <w:rPr>
          <w:snapToGrid w:val="0"/>
        </w:rPr>
        <w:tab/>
        <w:t>(1)</w:t>
      </w:r>
      <w:r>
        <w:rPr>
          <w:snapToGrid w:val="0"/>
        </w:rPr>
        <w:tab/>
        <w:t xml:space="preserve">The </w:t>
      </w:r>
      <w:r>
        <w:t xml:space="preserve">CEO </w:t>
      </w:r>
      <w:r>
        <w:rPr>
          <w:snapToGrid w:val="0"/>
        </w:rPr>
        <w:t>may, by written notice, authorise a person to do an act that would, but for that notice, be unlawful under these regulations.</w:t>
      </w:r>
    </w:p>
    <w:p>
      <w:pPr>
        <w:pStyle w:val="Subsection"/>
        <w:spacing w:before="180"/>
      </w:pPr>
      <w:r>
        <w:tab/>
        <w:t>(2A)</w:t>
      </w:r>
      <w:r>
        <w:tab/>
        <w:t>The CEO is to specify in a notice under subregulation (1) the person or persons or group, body or association of persons to whom the authorisation applies.</w:t>
      </w:r>
    </w:p>
    <w:p>
      <w:pPr>
        <w:pStyle w:val="Subsection"/>
        <w:spacing w:before="180"/>
        <w:rPr>
          <w:snapToGrid w:val="0"/>
        </w:rPr>
      </w:pPr>
      <w:r>
        <w:rPr>
          <w:snapToGrid w:val="0"/>
        </w:rPr>
        <w:tab/>
        <w:t>(2)</w:t>
      </w:r>
      <w:r>
        <w:rPr>
          <w:snapToGrid w:val="0"/>
        </w:rPr>
        <w:tab/>
        <w:t>A notice under subregulation (1) may be expressed to operate in specified circumstances, for a specified period or subject to any specified condition and may be amended or revoked by the</w:t>
      </w:r>
      <w:r>
        <w:t xml:space="preserve"> CEO</w:t>
      </w:r>
      <w:r>
        <w:rPr>
          <w:snapToGrid w:val="0"/>
        </w:rPr>
        <w:t>.</w:t>
      </w:r>
    </w:p>
    <w:p>
      <w:pPr>
        <w:pStyle w:val="Subsection"/>
        <w:keepNext/>
        <w:spacing w:before="180"/>
        <w:rPr>
          <w:snapToGrid w:val="0"/>
        </w:rPr>
      </w:pPr>
      <w:r>
        <w:rPr>
          <w:snapToGrid w:val="0"/>
        </w:rPr>
        <w:tab/>
        <w:t>(3)</w:t>
      </w:r>
      <w:r>
        <w:rPr>
          <w:snapToGrid w:val="0"/>
        </w:rPr>
        <w:tab/>
        <w:t>In order to avoid any doubt and without limiting the meaning of the expression “without lawful authority”, it is declared that, for the purposes of these regulations, an act is done without lawful authority if it is done — </w:t>
      </w:r>
    </w:p>
    <w:p>
      <w:pPr>
        <w:pStyle w:val="Indenta"/>
        <w:rPr>
          <w:snapToGrid w:val="0"/>
        </w:rPr>
      </w:pPr>
      <w:r>
        <w:rPr>
          <w:snapToGrid w:val="0"/>
        </w:rPr>
        <w:tab/>
        <w:t>(a)</w:t>
      </w:r>
      <w:r>
        <w:rPr>
          <w:snapToGrid w:val="0"/>
        </w:rPr>
        <w:tab/>
        <w:t>in contravention of any term or condition of a contract, permit, lease, licence, notice or other authority under the Act or these regulations; or</w:t>
      </w:r>
    </w:p>
    <w:p>
      <w:pPr>
        <w:pStyle w:val="Indenta"/>
        <w:rPr>
          <w:snapToGrid w:val="0"/>
        </w:rPr>
      </w:pPr>
      <w:r>
        <w:rPr>
          <w:snapToGrid w:val="0"/>
        </w:rPr>
        <w:tab/>
        <w:t>(b)</w:t>
      </w:r>
      <w:r>
        <w:rPr>
          <w:snapToGrid w:val="0"/>
        </w:rPr>
        <w:tab/>
        <w:t xml:space="preserve">in contravention of any term or condition of a licence or other authority under the </w:t>
      </w:r>
      <w:r>
        <w:rPr>
          <w:i/>
          <w:snapToGrid w:val="0"/>
        </w:rPr>
        <w:t>Wildlife Conservation Act 1950</w:t>
      </w:r>
      <w:r>
        <w:rPr>
          <w:snapToGrid w:val="0"/>
        </w:rPr>
        <w:t>; or</w:t>
      </w:r>
    </w:p>
    <w:p>
      <w:pPr>
        <w:pStyle w:val="Indenta"/>
      </w:pPr>
      <w:r>
        <w:tab/>
        <w:t>(c)</w:t>
      </w:r>
      <w:r>
        <w:tab/>
        <w:t xml:space="preserve">in contravention of a direction or authority under the </w:t>
      </w:r>
      <w:r>
        <w:rPr>
          <w:i/>
        </w:rPr>
        <w:t>Biosecurity and Agriculture Management Act 2007</w:t>
      </w:r>
      <w:r>
        <w:t>; or</w:t>
      </w:r>
    </w:p>
    <w:p>
      <w:pPr>
        <w:pStyle w:val="Indenta"/>
      </w:pPr>
      <w:r>
        <w:rPr>
          <w:snapToGrid w:val="0"/>
        </w:rPr>
        <w:tab/>
        <w:t>(d)</w:t>
      </w:r>
      <w:r>
        <w:rPr>
          <w:snapToGrid w:val="0"/>
        </w:rPr>
        <w:tab/>
      </w:r>
      <w:r>
        <w:t xml:space="preserve">in contravention of a direction or authority under the </w:t>
      </w:r>
      <w:r>
        <w:rPr>
          <w:i/>
        </w:rPr>
        <w:t>Fish Resources Management Act 1994</w:t>
      </w:r>
      <w:r>
        <w:t>; or</w:t>
      </w:r>
    </w:p>
    <w:p>
      <w:pPr>
        <w:pStyle w:val="Indenta"/>
      </w:pPr>
      <w:r>
        <w:tab/>
        <w:t>(e)</w:t>
      </w:r>
      <w:r>
        <w:tab/>
        <w:t>in contravention of a direction, or the terms and conditions of an authority (however described), under another written law; or</w:t>
      </w:r>
    </w:p>
    <w:p>
      <w:pPr>
        <w:pStyle w:val="Indenta"/>
        <w:keepNext/>
      </w:pPr>
      <w:r>
        <w:tab/>
        <w:t>(f)</w:t>
      </w:r>
      <w:r>
        <w:tab/>
        <w:t>where the person doing the act has entered the land upon which the act is done without lawful authority.</w:t>
      </w:r>
    </w:p>
    <w:p>
      <w:pPr>
        <w:pStyle w:val="Footnotesection"/>
        <w:ind w:left="890" w:hanging="890"/>
      </w:pPr>
      <w:r>
        <w:tab/>
        <w:t>[Regulation 4 amended in Gazette 29 Sep 2006 p. 4305 and 4334; 5 Feb 2013 p. 834; 19 Sep 2014 p. 3330.]</w:t>
      </w:r>
    </w:p>
    <w:p>
      <w:pPr>
        <w:pStyle w:val="Heading5"/>
        <w:rPr>
          <w:snapToGrid w:val="0"/>
        </w:rPr>
      </w:pPr>
      <w:bookmarkStart w:id="14" w:name="_Toc491956683"/>
      <w:bookmarkStart w:id="15" w:name="_Toc473035866"/>
      <w:r>
        <w:rPr>
          <w:rStyle w:val="CharSectno"/>
        </w:rPr>
        <w:t>5</w:t>
      </w:r>
      <w:r>
        <w:rPr>
          <w:snapToGrid w:val="0"/>
        </w:rPr>
        <w:t>.</w:t>
      </w:r>
      <w:r>
        <w:rPr>
          <w:snapToGrid w:val="0"/>
        </w:rPr>
        <w:tab/>
        <w:t>Restricted areas</w:t>
      </w:r>
      <w:bookmarkEnd w:id="14"/>
      <w:bookmarkEnd w:id="15"/>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rPr>
          <w:snapToGrid w:val="0"/>
        </w:rPr>
      </w:pPr>
      <w:r>
        <w:rPr>
          <w:snapToGrid w:val="0"/>
        </w:rPr>
        <w:tab/>
        <w:t>(a)</w:t>
      </w:r>
      <w:r>
        <w:rPr>
          <w:snapToGrid w:val="0"/>
        </w:rPr>
        <w:tab/>
        <w:t>declare an area of CALM land to be a restricted area for the purposes of regulations 9 (fishing), 26 (glass), 28 (cleaning etc. fish), 39 (certain fires),</w:t>
      </w:r>
      <w:r>
        <w:t xml:space="preserve"> 49A (access on foot),</w:t>
      </w:r>
      <w:r>
        <w:rPr>
          <w:snapToGrid w:val="0"/>
        </w:rPr>
        <w:t xml:space="preserve"> </w:t>
      </w:r>
      <w:r>
        <w:t xml:space="preserve">51 (vehicles), 51A (bicycles), </w:t>
      </w:r>
      <w:r>
        <w:rPr>
          <w:snapToGrid w:val="0"/>
        </w:rPr>
        <w:t>60 (anchoring), 61 (operation of vessels) and 64 (launching etc. of vessels) or any of those regulations; and</w:t>
      </w:r>
    </w:p>
    <w:p>
      <w:pPr>
        <w:pStyle w:val="Indenta"/>
        <w:rPr>
          <w:snapToGrid w:val="0"/>
        </w:rPr>
      </w:pPr>
      <w:r>
        <w:rPr>
          <w:snapToGrid w:val="0"/>
        </w:rPr>
        <w:tab/>
        <w:t>(b)</w:t>
      </w:r>
      <w:r>
        <w:rPr>
          <w:snapToGrid w:val="0"/>
        </w:rPr>
        <w:tab/>
        <w:t>specify which activities are prohibited or restricted in the restricted area, and the nature of the restrictions.</w:t>
      </w:r>
    </w:p>
    <w:p>
      <w:pPr>
        <w:pStyle w:val="Subsection"/>
        <w:rPr>
          <w:snapToGrid w:val="0"/>
        </w:rPr>
      </w:pPr>
      <w:r>
        <w:rPr>
          <w:snapToGrid w:val="0"/>
        </w:rPr>
        <w:tab/>
        <w:t>(2)</w:t>
      </w:r>
      <w:r>
        <w:rPr>
          <w:snapToGrid w:val="0"/>
        </w:rPr>
        <w:tab/>
        <w:t>An area may be declared to be a restricted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 xml:space="preserve">CEO </w:t>
      </w:r>
      <w:r>
        <w:rPr>
          <w:snapToGrid w:val="0"/>
        </w:rPr>
        <w:t>in or in the vicinity of a restricted area indicating — </w:t>
      </w:r>
    </w:p>
    <w:p>
      <w:pPr>
        <w:pStyle w:val="Indenta"/>
        <w:rPr>
          <w:snapToGrid w:val="0"/>
        </w:rPr>
      </w:pPr>
      <w:r>
        <w:rPr>
          <w:snapToGrid w:val="0"/>
        </w:rPr>
        <w:tab/>
        <w:t>(a)</w:t>
      </w:r>
      <w:r>
        <w:rPr>
          <w:snapToGrid w:val="0"/>
        </w:rPr>
        <w:tab/>
        <w:t>that the area is a restricted area during the periods specified in the notice; and</w:t>
      </w:r>
    </w:p>
    <w:p>
      <w:pPr>
        <w:pStyle w:val="Indenta"/>
        <w:rPr>
          <w:snapToGrid w:val="0"/>
        </w:rPr>
      </w:pPr>
      <w:r>
        <w:rPr>
          <w:snapToGrid w:val="0"/>
        </w:rPr>
        <w:tab/>
        <w:t>(b)</w:t>
      </w:r>
      <w:r>
        <w:rPr>
          <w:snapToGrid w:val="0"/>
        </w:rPr>
        <w:tab/>
        <w:t>the activities in that area that are prohibited or restricted by reason of the area being a restricted area; and</w:t>
      </w:r>
    </w:p>
    <w:p>
      <w:pPr>
        <w:pStyle w:val="Indenta"/>
        <w:rPr>
          <w:snapToGrid w:val="0"/>
        </w:rPr>
      </w:pPr>
      <w:r>
        <w:rPr>
          <w:snapToGrid w:val="0"/>
        </w:rPr>
        <w:tab/>
        <w:t>(c)</w:t>
      </w:r>
      <w:r>
        <w:rPr>
          <w:snapToGrid w:val="0"/>
        </w:rPr>
        <w:tab/>
        <w:t>if activities in the restricted area are subject to restrictions, the nature of the restrictions.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Unless the contrary intention appears, a reference in a </w:t>
      </w:r>
      <w:r>
        <w:t xml:space="preserve">provision of these regulations </w:t>
      </w:r>
      <w:r>
        <w:rPr>
          <w:snapToGrid w:val="0"/>
        </w:rPr>
        <w:t>to a restricted area is a reference to an area declared to be a restricted area under subregulation (1) for the purposes of that</w:t>
      </w:r>
      <w:r>
        <w:t xml:space="preserve"> provision</w:t>
      </w:r>
      <w:r>
        <w:rPr>
          <w:snapToGrid w:val="0"/>
        </w:rPr>
        <w:t>.</w:t>
      </w:r>
    </w:p>
    <w:p>
      <w:pPr>
        <w:pStyle w:val="Subsection"/>
      </w:pPr>
      <w:r>
        <w:tab/>
        <w:t>(7)</w:t>
      </w:r>
      <w:r>
        <w:tab/>
        <w:t>The CEO must not declare an area of CALM land to be a restricted area for the purposes of regulation 49A unless —</w:t>
      </w:r>
    </w:p>
    <w:p>
      <w:pPr>
        <w:pStyle w:val="Indenta"/>
      </w:pPr>
      <w:r>
        <w:tab/>
        <w:t>(a)</w:t>
      </w:r>
      <w:r>
        <w:tab/>
        <w:t xml:space="preserve">the area is in a marine reserve; and </w:t>
      </w:r>
    </w:p>
    <w:p>
      <w:pPr>
        <w:pStyle w:val="Indenta"/>
      </w:pPr>
      <w:r>
        <w:tab/>
        <w:t>(b)</w:t>
      </w:r>
      <w:r>
        <w:tab/>
        <w:t>the purpose of the declaration is to protect and conserve the value of the land to the culture and heritage of Aboriginal persons.</w:t>
      </w:r>
    </w:p>
    <w:p>
      <w:pPr>
        <w:pStyle w:val="Footnotesection"/>
      </w:pPr>
      <w:r>
        <w:tab/>
        <w:t>[Regulation 5 amended in Gazette 29 Sep 2006 p. 4305</w:t>
      </w:r>
      <w:r>
        <w:noBreakHyphen/>
        <w:t>6 and 4334; 10 Nov 2015 p. 4605.]</w:t>
      </w:r>
    </w:p>
    <w:p>
      <w:pPr>
        <w:pStyle w:val="Heading5"/>
        <w:rPr>
          <w:snapToGrid w:val="0"/>
        </w:rPr>
      </w:pPr>
      <w:bookmarkStart w:id="16" w:name="_Toc491956684"/>
      <w:bookmarkStart w:id="17" w:name="_Toc473035867"/>
      <w:r>
        <w:rPr>
          <w:rStyle w:val="CharSectno"/>
        </w:rPr>
        <w:t>6</w:t>
      </w:r>
      <w:r>
        <w:rPr>
          <w:snapToGrid w:val="0"/>
        </w:rPr>
        <w:t>.</w:t>
      </w:r>
      <w:r>
        <w:rPr>
          <w:snapToGrid w:val="0"/>
        </w:rPr>
        <w:tab/>
        <w:t>Designated areas</w:t>
      </w:r>
      <w:bookmarkEnd w:id="16"/>
      <w:bookmarkEnd w:id="17"/>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pPr>
      <w:r>
        <w:tab/>
        <w:t>(a)</w:t>
      </w:r>
      <w:r>
        <w:tab/>
        <w:t>declare an area of CALM land to be a designated area for the purposes of any regulation listed in the Table relating to an activity listed opposite that regulation; and</w:t>
      </w:r>
    </w:p>
    <w:p>
      <w:pPr>
        <w:pStyle w:val="Indenta"/>
        <w:rPr>
          <w:snapToGrid w:val="0"/>
        </w:rPr>
      </w:pPr>
      <w:r>
        <w:rPr>
          <w:snapToGrid w:val="0"/>
        </w:rPr>
        <w:tab/>
        <w:t>(b)</w:t>
      </w:r>
      <w:r>
        <w:rPr>
          <w:snapToGrid w:val="0"/>
        </w:rPr>
        <w:tab/>
      </w:r>
      <w:r>
        <w:t>specify conditions which apply to the use of the designated area for those purposes</w:t>
      </w:r>
      <w:r>
        <w:rPr>
          <w:snapToGrid w:val="0"/>
        </w:rPr>
        <w:t>.</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3686"/>
      </w:tblGrid>
      <w:tr>
        <w:trPr>
          <w:tblHeader/>
        </w:trPr>
        <w:tc>
          <w:tcPr>
            <w:tcW w:w="1984" w:type="dxa"/>
          </w:tcPr>
          <w:p>
            <w:pPr>
              <w:pStyle w:val="TableNAm"/>
            </w:pPr>
            <w:r>
              <w:rPr>
                <w:b/>
                <w:bCs/>
              </w:rPr>
              <w:t>Regulation</w:t>
            </w:r>
          </w:p>
        </w:tc>
        <w:tc>
          <w:tcPr>
            <w:tcW w:w="3686" w:type="dxa"/>
          </w:tcPr>
          <w:p>
            <w:pPr>
              <w:pStyle w:val="TableNAm"/>
            </w:pPr>
            <w:r>
              <w:rPr>
                <w:b/>
                <w:bCs/>
              </w:rPr>
              <w:t>Activity</w:t>
            </w:r>
          </w:p>
        </w:tc>
      </w:tr>
      <w:tr>
        <w:tc>
          <w:tcPr>
            <w:tcW w:w="1984" w:type="dxa"/>
          </w:tcPr>
          <w:p>
            <w:pPr>
              <w:pStyle w:val="TableNAm"/>
            </w:pPr>
            <w:r>
              <w:t>16</w:t>
            </w:r>
          </w:p>
        </w:tc>
        <w:tc>
          <w:tcPr>
            <w:tcW w:w="3686" w:type="dxa"/>
          </w:tcPr>
          <w:p>
            <w:pPr>
              <w:pStyle w:val="TableNAm"/>
            </w:pPr>
            <w:r>
              <w:t>bringing dogs onto land</w:t>
            </w:r>
          </w:p>
        </w:tc>
      </w:tr>
      <w:tr>
        <w:tc>
          <w:tcPr>
            <w:tcW w:w="1984" w:type="dxa"/>
          </w:tcPr>
          <w:p>
            <w:pPr>
              <w:pStyle w:val="TableNAm"/>
            </w:pPr>
            <w:r>
              <w:t>17</w:t>
            </w:r>
          </w:p>
        </w:tc>
        <w:tc>
          <w:tcPr>
            <w:tcW w:w="3686" w:type="dxa"/>
          </w:tcPr>
          <w:p>
            <w:pPr>
              <w:pStyle w:val="TableNAm"/>
            </w:pPr>
            <w:r>
              <w:t>bringing horses onto land</w:t>
            </w:r>
          </w:p>
        </w:tc>
      </w:tr>
      <w:tr>
        <w:tc>
          <w:tcPr>
            <w:tcW w:w="1984" w:type="dxa"/>
          </w:tcPr>
          <w:p>
            <w:pPr>
              <w:pStyle w:val="TableNAm"/>
            </w:pPr>
            <w:r>
              <w:t>21(3)</w:t>
            </w:r>
          </w:p>
        </w:tc>
        <w:tc>
          <w:tcPr>
            <w:tcW w:w="3686" w:type="dxa"/>
          </w:tcPr>
          <w:p>
            <w:pPr>
              <w:pStyle w:val="TableNAm"/>
            </w:pPr>
            <w:r>
              <w:t>discharging sewage from vessels</w:t>
            </w:r>
          </w:p>
        </w:tc>
      </w:tr>
      <w:tr>
        <w:tc>
          <w:tcPr>
            <w:tcW w:w="1984" w:type="dxa"/>
          </w:tcPr>
          <w:p>
            <w:pPr>
              <w:pStyle w:val="TableNAm"/>
            </w:pPr>
            <w:r>
              <w:t>33</w:t>
            </w:r>
          </w:p>
        </w:tc>
        <w:tc>
          <w:tcPr>
            <w:tcW w:w="3686" w:type="dxa"/>
          </w:tcPr>
          <w:p>
            <w:pPr>
              <w:pStyle w:val="TableNAm"/>
            </w:pPr>
            <w:r>
              <w:t>abseiling</w:t>
            </w:r>
          </w:p>
        </w:tc>
      </w:tr>
      <w:tr>
        <w:tc>
          <w:tcPr>
            <w:tcW w:w="1984" w:type="dxa"/>
          </w:tcPr>
          <w:p>
            <w:pPr>
              <w:pStyle w:val="TableNAm"/>
            </w:pPr>
            <w:r>
              <w:t>51</w:t>
            </w:r>
          </w:p>
        </w:tc>
        <w:tc>
          <w:tcPr>
            <w:tcW w:w="3686" w:type="dxa"/>
          </w:tcPr>
          <w:p>
            <w:pPr>
              <w:pStyle w:val="TableNAm"/>
            </w:pPr>
            <w:r>
              <w:t xml:space="preserve">driving or using vehicles </w:t>
            </w:r>
          </w:p>
        </w:tc>
      </w:tr>
      <w:tr>
        <w:tc>
          <w:tcPr>
            <w:tcW w:w="1984" w:type="dxa"/>
          </w:tcPr>
          <w:p>
            <w:pPr>
              <w:pStyle w:val="TableNAm"/>
            </w:pPr>
            <w:r>
              <w:t>51A</w:t>
            </w:r>
          </w:p>
        </w:tc>
        <w:tc>
          <w:tcPr>
            <w:tcW w:w="3686" w:type="dxa"/>
          </w:tcPr>
          <w:p>
            <w:pPr>
              <w:pStyle w:val="TableNAm"/>
            </w:pPr>
            <w:r>
              <w:t>riding bicycles</w:t>
            </w:r>
          </w:p>
        </w:tc>
      </w:tr>
      <w:tr>
        <w:tc>
          <w:tcPr>
            <w:tcW w:w="1984" w:type="dxa"/>
          </w:tcPr>
          <w:p>
            <w:pPr>
              <w:pStyle w:val="TableNAm"/>
            </w:pPr>
            <w:r>
              <w:t>60B</w:t>
            </w:r>
          </w:p>
        </w:tc>
        <w:tc>
          <w:tcPr>
            <w:tcW w:w="3686" w:type="dxa"/>
          </w:tcPr>
          <w:p>
            <w:pPr>
              <w:pStyle w:val="TableNAm"/>
            </w:pPr>
            <w:r>
              <w:t>mooring vessels</w:t>
            </w:r>
          </w:p>
        </w:tc>
      </w:tr>
      <w:tr>
        <w:tc>
          <w:tcPr>
            <w:tcW w:w="1984" w:type="dxa"/>
          </w:tcPr>
          <w:p>
            <w:pPr>
              <w:pStyle w:val="TableNAm"/>
            </w:pPr>
            <w:r>
              <w:t>61A</w:t>
            </w:r>
          </w:p>
        </w:tc>
        <w:tc>
          <w:tcPr>
            <w:tcW w:w="3686" w:type="dxa"/>
          </w:tcPr>
          <w:p>
            <w:pPr>
              <w:pStyle w:val="TableNAm"/>
            </w:pPr>
            <w:r>
              <w:t>operating vessels in nature reserves</w:t>
            </w:r>
          </w:p>
        </w:tc>
      </w:tr>
      <w:tr>
        <w:tc>
          <w:tcPr>
            <w:tcW w:w="1984" w:type="dxa"/>
          </w:tcPr>
          <w:p>
            <w:pPr>
              <w:pStyle w:val="TableNAm"/>
            </w:pPr>
            <w:r>
              <w:t>66</w:t>
            </w:r>
          </w:p>
        </w:tc>
        <w:tc>
          <w:tcPr>
            <w:tcW w:w="3686" w:type="dxa"/>
          </w:tcPr>
          <w:p>
            <w:pPr>
              <w:pStyle w:val="TableNAm"/>
            </w:pPr>
            <w:r>
              <w:t>camping</w:t>
            </w:r>
          </w:p>
        </w:tc>
      </w:tr>
    </w:tbl>
    <w:p>
      <w:pPr>
        <w:pStyle w:val="Subsection"/>
        <w:rPr>
          <w:snapToGrid w:val="0"/>
        </w:rPr>
      </w:pPr>
      <w:r>
        <w:rPr>
          <w:snapToGrid w:val="0"/>
        </w:rPr>
        <w:tab/>
        <w:t>(2)</w:t>
      </w:r>
      <w:r>
        <w:rPr>
          <w:snapToGrid w:val="0"/>
        </w:rPr>
        <w:tab/>
        <w:t>An area may be declared to be a designated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CEO</w:t>
      </w:r>
      <w:r>
        <w:rPr>
          <w:snapToGrid w:val="0"/>
        </w:rPr>
        <w:t xml:space="preserve"> in or in the vicinity of a designated area indicating — </w:t>
      </w:r>
    </w:p>
    <w:p>
      <w:pPr>
        <w:pStyle w:val="Indenta"/>
        <w:rPr>
          <w:snapToGrid w:val="0"/>
        </w:rPr>
      </w:pPr>
      <w:r>
        <w:rPr>
          <w:snapToGrid w:val="0"/>
        </w:rPr>
        <w:tab/>
        <w:t>(a)</w:t>
      </w:r>
      <w:r>
        <w:rPr>
          <w:snapToGrid w:val="0"/>
        </w:rPr>
        <w:tab/>
        <w:t>that the area is a designated area during the periods specified in the notice; and</w:t>
      </w:r>
    </w:p>
    <w:p>
      <w:pPr>
        <w:pStyle w:val="Indenta"/>
        <w:rPr>
          <w:snapToGrid w:val="0"/>
        </w:rPr>
      </w:pPr>
      <w:r>
        <w:rPr>
          <w:snapToGrid w:val="0"/>
        </w:rPr>
        <w:tab/>
        <w:t>(b)</w:t>
      </w:r>
      <w:r>
        <w:rPr>
          <w:snapToGrid w:val="0"/>
        </w:rPr>
        <w:tab/>
        <w:t>the activities in that area that are permitted by reason of the area being a designated area; and</w:t>
      </w:r>
    </w:p>
    <w:p>
      <w:pPr>
        <w:pStyle w:val="Indenta"/>
        <w:rPr>
          <w:snapToGrid w:val="0"/>
        </w:rPr>
      </w:pPr>
      <w:r>
        <w:rPr>
          <w:snapToGrid w:val="0"/>
        </w:rPr>
        <w:tab/>
        <w:t>(c)</w:t>
      </w:r>
      <w:r>
        <w:rPr>
          <w:snapToGrid w:val="0"/>
        </w:rPr>
        <w:tab/>
        <w:t>if activities are subject to conditions, the nature of the conditions.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A reference in a </w:t>
      </w:r>
      <w:r>
        <w:t xml:space="preserve">provision of these regulations </w:t>
      </w:r>
      <w:r>
        <w:rPr>
          <w:snapToGrid w:val="0"/>
        </w:rPr>
        <w:t>to a designated area is a reference to an area declared to be a designated area under subregulation (1) for the purposes of that</w:t>
      </w:r>
      <w:r>
        <w:t xml:space="preserve"> provision</w:t>
      </w:r>
      <w:r>
        <w:rPr>
          <w:snapToGrid w:val="0"/>
        </w:rPr>
        <w:t>.</w:t>
      </w:r>
    </w:p>
    <w:p>
      <w:pPr>
        <w:pStyle w:val="Footnotesection"/>
      </w:pPr>
      <w:r>
        <w:tab/>
        <w:t>[Regulation 6 amended in Gazette 29 Sep 2006 p. 4306 and 4334; 24 Mar 2015 p. 1034.]</w:t>
      </w:r>
    </w:p>
    <w:p>
      <w:pPr>
        <w:pStyle w:val="Heading2"/>
      </w:pPr>
      <w:bookmarkStart w:id="18" w:name="_Toc491954531"/>
      <w:bookmarkStart w:id="19" w:name="_Toc491956685"/>
      <w:bookmarkStart w:id="20" w:name="_Toc473019130"/>
      <w:bookmarkStart w:id="21" w:name="_Toc473035868"/>
      <w:r>
        <w:rPr>
          <w:rStyle w:val="CharPartNo"/>
        </w:rPr>
        <w:t>Part 2</w:t>
      </w:r>
      <w:r>
        <w:t xml:space="preserve"> — </w:t>
      </w:r>
      <w:r>
        <w:rPr>
          <w:rStyle w:val="CharPartText"/>
        </w:rPr>
        <w:t>Protection of the environment</w:t>
      </w:r>
      <w:bookmarkEnd w:id="18"/>
      <w:bookmarkEnd w:id="19"/>
      <w:bookmarkEnd w:id="20"/>
      <w:bookmarkEnd w:id="21"/>
    </w:p>
    <w:p>
      <w:pPr>
        <w:pStyle w:val="Heading3"/>
        <w:spacing w:before="220"/>
      </w:pPr>
      <w:bookmarkStart w:id="22" w:name="_Toc491954532"/>
      <w:bookmarkStart w:id="23" w:name="_Toc491956686"/>
      <w:bookmarkStart w:id="24" w:name="_Toc473019131"/>
      <w:bookmarkStart w:id="25" w:name="_Toc473035869"/>
      <w:r>
        <w:rPr>
          <w:rStyle w:val="CharDivNo"/>
        </w:rPr>
        <w:t>Division 1</w:t>
      </w:r>
      <w:r>
        <w:t xml:space="preserve"> — </w:t>
      </w:r>
      <w:r>
        <w:rPr>
          <w:rStyle w:val="CharDivText"/>
        </w:rPr>
        <w:t>Protection of flora and fauna</w:t>
      </w:r>
      <w:bookmarkEnd w:id="22"/>
      <w:bookmarkEnd w:id="23"/>
      <w:bookmarkEnd w:id="24"/>
      <w:bookmarkEnd w:id="25"/>
    </w:p>
    <w:p>
      <w:pPr>
        <w:pStyle w:val="Heading5"/>
      </w:pPr>
      <w:bookmarkStart w:id="26" w:name="_Toc491956687"/>
      <w:bookmarkStart w:id="27" w:name="_Toc473035870"/>
      <w:r>
        <w:rPr>
          <w:rStyle w:val="CharSectno"/>
        </w:rPr>
        <w:t>7</w:t>
      </w:r>
      <w:r>
        <w:t>.</w:t>
      </w:r>
      <w:r>
        <w:tab/>
        <w:t>Limitation on restriction</w:t>
      </w:r>
      <w:bookmarkEnd w:id="26"/>
      <w:bookmarkEnd w:id="27"/>
    </w:p>
    <w:p>
      <w:pPr>
        <w:pStyle w:val="Subsection"/>
      </w:pPr>
      <w:r>
        <w:tab/>
      </w:r>
      <w:r>
        <w:tab/>
        <w:t xml:space="preserve">Nothing in these regulations imposes any restriction on the taking, in a marine park or marine management area — </w:t>
      </w:r>
    </w:p>
    <w:p>
      <w:pPr>
        <w:pStyle w:val="Indenta"/>
        <w:spacing w:before="60"/>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spacing w:before="60"/>
      </w:pPr>
      <w:r>
        <w:tab/>
        <w:t>(b)</w:t>
      </w:r>
      <w:r>
        <w:tab/>
        <w:t xml:space="preserve">of pearl oyster within the meaning of the </w:t>
      </w:r>
      <w:r>
        <w:rPr>
          <w:i/>
        </w:rPr>
        <w:t>Pearling Act 1990</w:t>
      </w:r>
      <w:r>
        <w:t>, in accordance with that Act,</w:t>
      </w:r>
    </w:p>
    <w:p>
      <w:pPr>
        <w:pStyle w:val="Subsection"/>
        <w:spacing w:before="120"/>
      </w:pPr>
      <w:r>
        <w:tab/>
      </w:r>
      <w:r>
        <w:tab/>
        <w:t>except to the extent that the restriction relates to conduct or activity other than the taking of fish but that incidentally affects the taking of fish.</w:t>
      </w:r>
    </w:p>
    <w:p>
      <w:pPr>
        <w:pStyle w:val="Heading5"/>
        <w:rPr>
          <w:snapToGrid w:val="0"/>
        </w:rPr>
      </w:pPr>
      <w:bookmarkStart w:id="28" w:name="_Toc491956688"/>
      <w:bookmarkStart w:id="29" w:name="_Toc473035871"/>
      <w:r>
        <w:rPr>
          <w:rStyle w:val="CharSectno"/>
        </w:rPr>
        <w:t>8</w:t>
      </w:r>
      <w:r>
        <w:rPr>
          <w:snapToGrid w:val="0"/>
        </w:rPr>
        <w:t>.</w:t>
      </w:r>
      <w:r>
        <w:rPr>
          <w:snapToGrid w:val="0"/>
        </w:rPr>
        <w:tab/>
        <w:t>Unlawful taking of flora and fauna other than fish</w:t>
      </w:r>
      <w:bookmarkEnd w:id="28"/>
      <w:bookmarkEnd w:id="29"/>
    </w:p>
    <w:p>
      <w:pPr>
        <w:pStyle w:val="Subsection"/>
        <w:spacing w:before="150"/>
        <w:rPr>
          <w:snapToGrid w:val="0"/>
        </w:rPr>
      </w:pPr>
      <w:r>
        <w:rPr>
          <w:snapToGrid w:val="0"/>
        </w:rPr>
        <w:tab/>
        <w:t>(1)</w:t>
      </w:r>
      <w:r>
        <w:rPr>
          <w:snapToGrid w:val="0"/>
        </w:rPr>
        <w:tab/>
        <w:t>Without limiting section 106(b), a person must not, without lawful authority, take any flora or fauna on CALM land.</w:t>
      </w:r>
    </w:p>
    <w:p>
      <w:pPr>
        <w:pStyle w:val="Penstart"/>
        <w:rPr>
          <w:snapToGrid w:val="0"/>
        </w:rPr>
      </w:pPr>
      <w:r>
        <w:rPr>
          <w:snapToGrid w:val="0"/>
        </w:rPr>
        <w:tab/>
        <w:t xml:space="preserve">Penalty: </w:t>
      </w:r>
      <w:r>
        <w:t>a fine of</w:t>
      </w:r>
      <w:r>
        <w:rPr>
          <w:snapToGrid w:val="0"/>
        </w:rPr>
        <w:t xml:space="preserve"> $2 000.</w:t>
      </w:r>
    </w:p>
    <w:p>
      <w:pPr>
        <w:pStyle w:val="Subsection"/>
        <w:spacing w:before="150"/>
        <w:rPr>
          <w:snapToGrid w:val="0"/>
        </w:rPr>
      </w:pPr>
      <w:r>
        <w:rPr>
          <w:snapToGrid w:val="0"/>
        </w:rPr>
        <w:tab/>
        <w:t>(2)</w:t>
      </w:r>
      <w:r>
        <w:rPr>
          <w:snapToGrid w:val="0"/>
        </w:rPr>
        <w:tab/>
        <w:t>Section 101C of the Act applies to the taking of flora or fauna in a marine reserve.</w:t>
      </w:r>
    </w:p>
    <w:p>
      <w:pPr>
        <w:pStyle w:val="Subsection"/>
        <w:spacing w:before="150"/>
        <w:rPr>
          <w:snapToGrid w:val="0"/>
        </w:rPr>
      </w:pPr>
      <w:r>
        <w:rPr>
          <w:snapToGrid w:val="0"/>
        </w:rPr>
        <w:tab/>
        <w:t>(3)</w:t>
      </w:r>
      <w:r>
        <w:rPr>
          <w:snapToGrid w:val="0"/>
        </w:rPr>
        <w:tab/>
        <w:t>In subregulation (1) — </w:t>
      </w:r>
    </w:p>
    <w:p>
      <w:pPr>
        <w:pStyle w:val="Defstart"/>
      </w:pPr>
      <w:r>
        <w:tab/>
      </w:r>
      <w:r>
        <w:rPr>
          <w:rStyle w:val="CharDefText"/>
        </w:rPr>
        <w:t>CALM land</w:t>
      </w:r>
      <w:r>
        <w:rPr>
          <w:b/>
        </w:rPr>
        <w:t xml:space="preserve"> </w:t>
      </w:r>
      <w:r>
        <w:t>does not include a marine reserve;</w:t>
      </w:r>
    </w:p>
    <w:p>
      <w:pPr>
        <w:pStyle w:val="Defstart"/>
      </w:pPr>
      <w:r>
        <w:tab/>
      </w:r>
      <w:r>
        <w:rPr>
          <w:rStyle w:val="CharDefText"/>
        </w:rPr>
        <w:t>fauna</w:t>
      </w:r>
      <w:r>
        <w:rPr>
          <w:b/>
        </w:rPr>
        <w:t xml:space="preserve"> </w:t>
      </w:r>
      <w:r>
        <w:t>does not include fish.</w:t>
      </w:r>
    </w:p>
    <w:p>
      <w:pPr>
        <w:pStyle w:val="Footnotesection"/>
        <w:spacing w:before="100"/>
      </w:pPr>
      <w:r>
        <w:tab/>
        <w:t>[Regulation 8 amended in Gazette 3 Dec 2010 p. 6052.]</w:t>
      </w:r>
    </w:p>
    <w:p>
      <w:pPr>
        <w:pStyle w:val="Heading5"/>
        <w:rPr>
          <w:snapToGrid w:val="0"/>
        </w:rPr>
      </w:pPr>
      <w:bookmarkStart w:id="30" w:name="_Toc491956689"/>
      <w:bookmarkStart w:id="31" w:name="_Toc473035872"/>
      <w:r>
        <w:rPr>
          <w:rStyle w:val="CharSectno"/>
        </w:rPr>
        <w:t>9</w:t>
      </w:r>
      <w:r>
        <w:rPr>
          <w:snapToGrid w:val="0"/>
        </w:rPr>
        <w:t>.</w:t>
      </w:r>
      <w:r>
        <w:rPr>
          <w:snapToGrid w:val="0"/>
        </w:rPr>
        <w:tab/>
        <w:t>Fishing in restricted areas</w:t>
      </w:r>
      <w:bookmarkEnd w:id="30"/>
      <w:bookmarkEnd w:id="31"/>
    </w:p>
    <w:p>
      <w:pPr>
        <w:pStyle w:val="Subsection"/>
        <w:spacing w:before="150"/>
        <w:rPr>
          <w:snapToGrid w:val="0"/>
        </w:rPr>
      </w:pPr>
      <w:r>
        <w:rPr>
          <w:snapToGrid w:val="0"/>
        </w:rPr>
        <w:tab/>
        <w:t>(1)</w:t>
      </w:r>
      <w:r>
        <w:rPr>
          <w:snapToGrid w:val="0"/>
        </w:rPr>
        <w:tab/>
        <w:t>A person must not, without lawful authority, in a restricted area — </w:t>
      </w:r>
    </w:p>
    <w:p>
      <w:pPr>
        <w:pStyle w:val="Indenta"/>
        <w:spacing w:before="60"/>
        <w:rPr>
          <w:snapToGrid w:val="0"/>
        </w:rPr>
      </w:pPr>
      <w:r>
        <w:rPr>
          <w:snapToGrid w:val="0"/>
        </w:rPr>
        <w:tab/>
        <w:t>(a)</w:t>
      </w:r>
      <w:r>
        <w:rPr>
          <w:snapToGrid w:val="0"/>
        </w:rPr>
        <w:tab/>
        <w:t>engage in a fishing activity prohibited in that area under regulation 5; or</w:t>
      </w:r>
    </w:p>
    <w:p>
      <w:pPr>
        <w:pStyle w:val="Indenta"/>
        <w:rPr>
          <w:snapToGrid w:val="0"/>
        </w:rPr>
      </w:pPr>
      <w:r>
        <w:rPr>
          <w:snapToGrid w:val="0"/>
        </w:rPr>
        <w:tab/>
        <w:t>(b)</w:t>
      </w:r>
      <w:r>
        <w:rPr>
          <w:snapToGrid w:val="0"/>
        </w:rPr>
        <w:tab/>
        <w:t>contravene a restriction imposed on a fishing activity in that area under regulation 5.</w:t>
      </w:r>
    </w:p>
    <w:p>
      <w:pPr>
        <w:pStyle w:val="Penstart"/>
        <w:spacing w:before="70"/>
        <w:rPr>
          <w:snapToGrid w:val="0"/>
        </w:rPr>
      </w:pPr>
      <w:r>
        <w:rPr>
          <w:snapToGrid w:val="0"/>
        </w:rPr>
        <w:tab/>
        <w:t xml:space="preserve">Penalty: </w:t>
      </w:r>
      <w:r>
        <w:t>a fine of</w:t>
      </w:r>
      <w:r>
        <w:rPr>
          <w:snapToGrid w:val="0"/>
        </w:rPr>
        <w:t xml:space="preserve"> $1 000.</w:t>
      </w:r>
    </w:p>
    <w:p>
      <w:pPr>
        <w:pStyle w:val="Subsection"/>
        <w:spacing w:before="140"/>
        <w:rPr>
          <w:snapToGrid w:val="0"/>
        </w:rPr>
      </w:pPr>
      <w:r>
        <w:rPr>
          <w:snapToGrid w:val="0"/>
        </w:rPr>
        <w:tab/>
        <w:t>(2)</w:t>
      </w:r>
      <w:r>
        <w:rPr>
          <w:snapToGrid w:val="0"/>
        </w:rPr>
        <w:tab/>
        <w:t>In this regulation — </w:t>
      </w:r>
    </w:p>
    <w:p>
      <w:pPr>
        <w:pStyle w:val="Defstart"/>
      </w:pPr>
      <w:r>
        <w:tab/>
      </w:r>
      <w:r>
        <w:rPr>
          <w:rStyle w:val="CharDefText"/>
        </w:rPr>
        <w:t>fishing activity</w:t>
      </w:r>
      <w:r>
        <w:rPr>
          <w:b/>
        </w:rPr>
        <w:t xml:space="preserve"> </w:t>
      </w:r>
      <w:r>
        <w:t xml:space="preserve">has the same meaning as in the </w:t>
      </w:r>
      <w:r>
        <w:rPr>
          <w:i/>
        </w:rPr>
        <w:t>Fish Resources Management Act 1994</w:t>
      </w:r>
      <w:r>
        <w:t>.</w:t>
      </w:r>
    </w:p>
    <w:p>
      <w:pPr>
        <w:pStyle w:val="Footnotesection"/>
        <w:spacing w:before="100"/>
      </w:pPr>
      <w:r>
        <w:tab/>
        <w:t>[Regulation 9 amended in Gazette 3 Dec 2010 p. 6052.]</w:t>
      </w:r>
    </w:p>
    <w:p>
      <w:pPr>
        <w:pStyle w:val="Heading5"/>
        <w:spacing w:before="200"/>
        <w:rPr>
          <w:snapToGrid w:val="0"/>
        </w:rPr>
      </w:pPr>
      <w:bookmarkStart w:id="32" w:name="_Toc491956690"/>
      <w:bookmarkStart w:id="33" w:name="_Toc473035873"/>
      <w:r>
        <w:rPr>
          <w:rStyle w:val="CharSectno"/>
        </w:rPr>
        <w:t>10</w:t>
      </w:r>
      <w:r>
        <w:rPr>
          <w:snapToGrid w:val="0"/>
        </w:rPr>
        <w:t>.</w:t>
      </w:r>
      <w:r>
        <w:rPr>
          <w:snapToGrid w:val="0"/>
        </w:rPr>
        <w:tab/>
        <w:t>Feeding of fauna</w:t>
      </w:r>
      <w:bookmarkEnd w:id="32"/>
      <w:bookmarkEnd w:id="33"/>
      <w:r>
        <w:rPr>
          <w:snapToGrid w:val="0"/>
        </w:rPr>
        <w:t xml:space="preserve"> </w:t>
      </w:r>
    </w:p>
    <w:p>
      <w:pPr>
        <w:pStyle w:val="Subsection"/>
        <w:spacing w:before="140"/>
        <w:rPr>
          <w:snapToGrid w:val="0"/>
        </w:rPr>
      </w:pPr>
      <w:r>
        <w:rPr>
          <w:snapToGrid w:val="0"/>
        </w:rPr>
        <w:tab/>
      </w:r>
      <w:r>
        <w:rPr>
          <w:snapToGrid w:val="0"/>
        </w:rPr>
        <w:tab/>
        <w:t>A person must not, without lawful authority, feed fauna, or entice fauna with food, on CALM land.</w:t>
      </w:r>
    </w:p>
    <w:p>
      <w:pPr>
        <w:pStyle w:val="Penstart"/>
        <w:spacing w:before="70"/>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10 amended in Gazette 3 Dec 2010 p. 6052; 19 Sep 2014 p. 3335.]</w:t>
      </w:r>
    </w:p>
    <w:p>
      <w:pPr>
        <w:pStyle w:val="Heading5"/>
        <w:spacing w:before="200"/>
        <w:rPr>
          <w:snapToGrid w:val="0"/>
        </w:rPr>
      </w:pPr>
      <w:bookmarkStart w:id="34" w:name="_Toc491956691"/>
      <w:bookmarkStart w:id="35" w:name="_Toc473035874"/>
      <w:r>
        <w:rPr>
          <w:rStyle w:val="CharSectno"/>
        </w:rPr>
        <w:t>11</w:t>
      </w:r>
      <w:r>
        <w:rPr>
          <w:snapToGrid w:val="0"/>
        </w:rPr>
        <w:t>.</w:t>
      </w:r>
      <w:r>
        <w:rPr>
          <w:snapToGrid w:val="0"/>
        </w:rPr>
        <w:tab/>
        <w:t>Restrictions on approaching certain marine fauna</w:t>
      </w:r>
      <w:bookmarkEnd w:id="34"/>
      <w:bookmarkEnd w:id="35"/>
      <w:r>
        <w:rPr>
          <w:snapToGrid w:val="0"/>
        </w:rPr>
        <w:t xml:space="preserve"> </w:t>
      </w:r>
    </w:p>
    <w:p>
      <w:pPr>
        <w:pStyle w:val="Subsection"/>
        <w:spacing w:before="140"/>
        <w:rPr>
          <w:snapToGrid w:val="0"/>
        </w:rPr>
      </w:pPr>
      <w:r>
        <w:rPr>
          <w:snapToGrid w:val="0"/>
        </w:rPr>
        <w:tab/>
        <w:t>(1)</w:t>
      </w:r>
      <w:r>
        <w:rPr>
          <w:snapToGrid w:val="0"/>
        </w:rPr>
        <w:tab/>
        <w:t>A person in a vessel or aircraft must not, without lawful authority, herd, chase, interfere with the movement of, or otherwise prevent the free movement of, a whale, dolphin, dugong, seal, sea lion, whale shark, manta ray, marine turtle or any other marine fauna in a marine reserve.</w:t>
      </w:r>
    </w:p>
    <w:p>
      <w:pPr>
        <w:pStyle w:val="Penstart"/>
        <w:spacing w:before="70"/>
        <w:rPr>
          <w:snapToGrid w:val="0"/>
        </w:rPr>
      </w:pPr>
      <w:r>
        <w:rPr>
          <w:snapToGrid w:val="0"/>
        </w:rPr>
        <w:tab/>
        <w:t xml:space="preserve">Penalty: </w:t>
      </w:r>
      <w:r>
        <w:t>a fine of</w:t>
      </w:r>
      <w:r>
        <w:rPr>
          <w:snapToGrid w:val="0"/>
        </w:rPr>
        <w:t xml:space="preserve"> $2 000.</w:t>
      </w:r>
    </w:p>
    <w:p>
      <w:pPr>
        <w:pStyle w:val="Subsection"/>
        <w:spacing w:before="140"/>
        <w:rPr>
          <w:snapToGrid w:val="0"/>
        </w:rPr>
      </w:pPr>
      <w:r>
        <w:rPr>
          <w:snapToGrid w:val="0"/>
        </w:rPr>
        <w:tab/>
        <w:t>(2)</w:t>
      </w:r>
      <w:r>
        <w:rPr>
          <w:snapToGrid w:val="0"/>
        </w:rPr>
        <w:tab/>
        <w:t>A person does not contravene subregulation (1) if the person is in a vessel that is underway and fauna are riding in or on the bow wave of the vessel.</w:t>
      </w:r>
    </w:p>
    <w:p>
      <w:pPr>
        <w:pStyle w:val="Footnotesection"/>
        <w:spacing w:before="100"/>
      </w:pPr>
      <w:r>
        <w:tab/>
        <w:t>[Regulation 11 amended in Gazette 3 Dec 2010 p. 6052.]</w:t>
      </w:r>
    </w:p>
    <w:p>
      <w:pPr>
        <w:pStyle w:val="Heading5"/>
        <w:spacing w:before="200"/>
        <w:rPr>
          <w:snapToGrid w:val="0"/>
        </w:rPr>
      </w:pPr>
      <w:bookmarkStart w:id="36" w:name="_Toc491956692"/>
      <w:bookmarkStart w:id="37" w:name="_Toc473035875"/>
      <w:r>
        <w:rPr>
          <w:rStyle w:val="CharSectno"/>
        </w:rPr>
        <w:t>12</w:t>
      </w:r>
      <w:r>
        <w:rPr>
          <w:snapToGrid w:val="0"/>
        </w:rPr>
        <w:t>.</w:t>
      </w:r>
      <w:r>
        <w:rPr>
          <w:snapToGrid w:val="0"/>
        </w:rPr>
        <w:tab/>
        <w:t>Possession or use of firearms, spears, restricted devices etc.</w:t>
      </w:r>
      <w:bookmarkEnd w:id="36"/>
      <w:bookmarkEnd w:id="37"/>
    </w:p>
    <w:p>
      <w:pPr>
        <w:pStyle w:val="Subsection"/>
        <w:spacing w:before="140"/>
        <w:rPr>
          <w:snapToGrid w:val="0"/>
        </w:rPr>
      </w:pPr>
      <w:r>
        <w:rPr>
          <w:snapToGrid w:val="0"/>
        </w:rPr>
        <w:tab/>
        <w:t>(1)</w:t>
      </w:r>
      <w:r>
        <w:rPr>
          <w:snapToGrid w:val="0"/>
        </w:rPr>
        <w:tab/>
        <w:t xml:space="preserve">A person must not, without lawful authority, have in his or her possession on CALM land a firearm or ammunition unless that thing — </w:t>
      </w:r>
    </w:p>
    <w:p>
      <w:pPr>
        <w:pStyle w:val="Indenta"/>
        <w:spacing w:before="60"/>
        <w:rPr>
          <w:snapToGrid w:val="0"/>
        </w:rPr>
      </w:pPr>
      <w:r>
        <w:rPr>
          <w:snapToGrid w:val="0"/>
        </w:rPr>
        <w:tab/>
        <w:t>(a)</w:t>
      </w:r>
      <w:r>
        <w:rPr>
          <w:snapToGrid w:val="0"/>
        </w:rPr>
        <w:tab/>
        <w:t>is completely stowed within a vehicle or vessel; and</w:t>
      </w:r>
    </w:p>
    <w:p>
      <w:pPr>
        <w:pStyle w:val="Indenta"/>
        <w:keepNext/>
        <w:spacing w:before="60"/>
        <w:rPr>
          <w:snapToGrid w:val="0"/>
        </w:rPr>
      </w:pPr>
      <w:r>
        <w:rPr>
          <w:snapToGrid w:val="0"/>
        </w:rPr>
        <w:tab/>
        <w:t>(b)</w:t>
      </w:r>
      <w:r>
        <w:rPr>
          <w:snapToGrid w:val="0"/>
        </w:rPr>
        <w:tab/>
      </w:r>
      <w:r>
        <w:t>in the case of a firearm, is unloaded and disassembled</w:t>
      </w:r>
      <w:r>
        <w:rPr>
          <w:snapToGrid w:val="0"/>
        </w:rPr>
        <w:t>.</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keepNext/>
        <w:rPr>
          <w:snapToGrid w:val="0"/>
        </w:rPr>
      </w:pPr>
      <w:r>
        <w:rPr>
          <w:snapToGrid w:val="0"/>
        </w:rPr>
        <w:tab/>
        <w:t>(2)</w:t>
      </w:r>
      <w:r>
        <w:rPr>
          <w:snapToGrid w:val="0"/>
        </w:rPr>
        <w:tab/>
        <w:t xml:space="preserve">A person must not, without lawful authority, have a spear, speargun, gidgie or Hawaiian sling in his or her possession in — </w:t>
      </w:r>
    </w:p>
    <w:p>
      <w:pPr>
        <w:pStyle w:val="Indenta"/>
        <w:rPr>
          <w:snapToGrid w:val="0"/>
        </w:rPr>
      </w:pPr>
      <w:r>
        <w:rPr>
          <w:snapToGrid w:val="0"/>
        </w:rPr>
        <w:tab/>
        <w:t>(a)</w:t>
      </w:r>
      <w:r>
        <w:rPr>
          <w:snapToGrid w:val="0"/>
        </w:rPr>
        <w:tab/>
        <w:t xml:space="preserve">a restricted area declared for the purposes of regulation 9; or </w:t>
      </w:r>
    </w:p>
    <w:p>
      <w:pPr>
        <w:pStyle w:val="Indenta"/>
        <w:rPr>
          <w:snapToGrid w:val="0"/>
        </w:rPr>
      </w:pPr>
      <w:r>
        <w:rPr>
          <w:snapToGrid w:val="0"/>
        </w:rPr>
        <w:tab/>
        <w:t>(b)</w:t>
      </w:r>
      <w:r>
        <w:rPr>
          <w:snapToGrid w:val="0"/>
        </w:rPr>
        <w:tab/>
        <w:t>an area classified under section 62(1a) of the Act as a sanctuary area,</w:t>
      </w:r>
    </w:p>
    <w:p>
      <w:pPr>
        <w:pStyle w:val="Subsection"/>
        <w:spacing w:before="120"/>
        <w:rPr>
          <w:snapToGrid w:val="0"/>
        </w:rPr>
      </w:pPr>
      <w:r>
        <w:rPr>
          <w:snapToGrid w:val="0"/>
        </w:rPr>
        <w:tab/>
      </w:r>
      <w:r>
        <w:rPr>
          <w:snapToGrid w:val="0"/>
        </w:rPr>
        <w:tab/>
        <w:t>unless that thing is completely stowed within a vehicle or vessel and, if it is practicable to do so, is unloaded and disassembled.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(3)</w:t>
      </w:r>
      <w:r>
        <w:rPr>
          <w:snapToGrid w:val="0"/>
        </w:rPr>
        <w:tab/>
        <w:t xml:space="preserve">A person must not, without lawful authority, have in his or her possession on CALM land any restricted device that is intended to be used for the taking of fauna or that constitutes a danger to the public. </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pPr>
      <w:r>
        <w:tab/>
        <w:t>(3a)</w:t>
      </w:r>
      <w:r>
        <w:tab/>
        <w:t xml:space="preserve">A person must not, without lawful authority — </w:t>
      </w:r>
    </w:p>
    <w:p>
      <w:pPr>
        <w:pStyle w:val="Indenta"/>
      </w:pPr>
      <w:r>
        <w:tab/>
        <w:t>(a)</w:t>
      </w:r>
      <w:r>
        <w:tab/>
        <w:t>discharge a firearm on CALM land; or</w:t>
      </w:r>
    </w:p>
    <w:p>
      <w:pPr>
        <w:pStyle w:val="Indenta"/>
      </w:pPr>
      <w:r>
        <w:tab/>
        <w:t>(b)</w:t>
      </w:r>
      <w:r>
        <w:tab/>
        <w:t xml:space="preserve">use a spear, speargun, gidgie or Hawaiian sling in — </w:t>
      </w:r>
    </w:p>
    <w:p>
      <w:pPr>
        <w:pStyle w:val="Indenti"/>
      </w:pPr>
      <w:r>
        <w:tab/>
        <w:t>(i)</w:t>
      </w:r>
      <w:r>
        <w:tab/>
        <w:t>a restricted area declared for the purposes of regulation 9; or</w:t>
      </w:r>
    </w:p>
    <w:p>
      <w:pPr>
        <w:pStyle w:val="Indenti"/>
      </w:pPr>
      <w:r>
        <w:tab/>
        <w:t>(ii)</w:t>
      </w:r>
      <w:r>
        <w:tab/>
        <w:t>an area classified under section 62(1a) of the Act as a sanctuary area;</w:t>
      </w:r>
    </w:p>
    <w:p>
      <w:pPr>
        <w:pStyle w:val="Indenta"/>
      </w:pPr>
      <w:r>
        <w:tab/>
      </w:r>
      <w:r>
        <w:tab/>
        <w:t>or</w:t>
      </w:r>
    </w:p>
    <w:p>
      <w:pPr>
        <w:pStyle w:val="Indenta"/>
      </w:pPr>
      <w:r>
        <w:tab/>
        <w:t>(c)</w:t>
      </w:r>
      <w:r>
        <w:tab/>
        <w:t>use a restricted device on CALM land for taking fauna or in a manner that constitutes a danger to the public.</w:t>
      </w:r>
    </w:p>
    <w:p>
      <w:pPr>
        <w:pStyle w:val="Penstart"/>
      </w:pPr>
      <w:r>
        <w:tab/>
        <w:t>Penalty: a fine of $2 000.</w:t>
      </w:r>
    </w:p>
    <w:p>
      <w:pPr>
        <w:pStyle w:val="Subsection"/>
      </w:pPr>
      <w:r>
        <w:rPr>
          <w:snapToGrid w:val="0"/>
        </w:rPr>
        <w:tab/>
        <w:t>(4)</w:t>
      </w:r>
      <w:r>
        <w:rPr>
          <w:snapToGrid w:val="0"/>
        </w:rPr>
        <w:tab/>
      </w:r>
      <w:r>
        <w:t>Nothing in this regulation prohibits a person from having or using a thing in his or her possession on CALM land where that person has lawful authority to take fauna using that thing.</w:t>
      </w:r>
    </w:p>
    <w:p>
      <w:pPr>
        <w:pStyle w:val="Subsection"/>
        <w:rPr>
          <w:snapToGrid w:val="0"/>
        </w:rPr>
      </w:pPr>
      <w:r>
        <w:rPr>
          <w:snapToGrid w:val="0"/>
        </w:rPr>
        <w:tab/>
        <w:t>(5)</w:t>
      </w:r>
      <w:r>
        <w:rPr>
          <w:snapToGrid w:val="0"/>
        </w:rPr>
        <w:tab/>
        <w:t xml:space="preserve">In this regulation — </w:t>
      </w:r>
    </w:p>
    <w:p>
      <w:pPr>
        <w:pStyle w:val="Defstart"/>
      </w:pPr>
      <w:r>
        <w:tab/>
      </w:r>
      <w:r>
        <w:rPr>
          <w:rStyle w:val="CharDefText"/>
        </w:rPr>
        <w:t>restricted device</w:t>
      </w:r>
      <w:r>
        <w:t xml:space="preserve"> means — </w:t>
      </w:r>
    </w:p>
    <w:p>
      <w:pPr>
        <w:pStyle w:val="Defpara"/>
      </w:pPr>
      <w:r>
        <w:tab/>
        <w:t>(a)</w:t>
      </w:r>
      <w:r>
        <w:tab/>
        <w:t>a bow or cross</w:t>
      </w:r>
      <w:r>
        <w:noBreakHyphen/>
        <w:t>bow; or</w:t>
      </w:r>
    </w:p>
    <w:p>
      <w:pPr>
        <w:pStyle w:val="Defpara"/>
        <w:spacing w:before="60"/>
      </w:pPr>
      <w:r>
        <w:tab/>
        <w:t>(b)</w:t>
      </w:r>
      <w:r>
        <w:tab/>
        <w:t>an explosive, poisonous, noxious or narcotising substance; or</w:t>
      </w:r>
    </w:p>
    <w:p>
      <w:pPr>
        <w:pStyle w:val="Defpara"/>
        <w:spacing w:before="60"/>
      </w:pPr>
      <w:r>
        <w:tab/>
        <w:t>(c)</w:t>
      </w:r>
      <w:r>
        <w:tab/>
        <w:t>a snare, trap or net; or</w:t>
      </w:r>
    </w:p>
    <w:p>
      <w:pPr>
        <w:pStyle w:val="Defpara"/>
        <w:spacing w:before="60"/>
      </w:pPr>
      <w:r>
        <w:tab/>
        <w:t>(d)</w:t>
      </w:r>
      <w:r>
        <w:tab/>
        <w:t>any other equipment, implement, device, apparatus or other thing that is used, capable of being used, or designed or adapted for use for, or in connection with, taking fauna, and is not referred to in subregulation (1) or (2).</w:t>
      </w:r>
    </w:p>
    <w:p>
      <w:pPr>
        <w:pStyle w:val="Footnotesection"/>
        <w:spacing w:before="80"/>
      </w:pPr>
      <w:r>
        <w:tab/>
        <w:t>[Regulation 12 amended in Gazette 29 Sep 2006 p. 4306</w:t>
      </w:r>
      <w:r>
        <w:noBreakHyphen/>
        <w:t>7; 27 Feb 2007 p. 625; 3 Dec 2010 p. 6052; 19 Sep 2014 p. 3335.]</w:t>
      </w:r>
    </w:p>
    <w:p>
      <w:pPr>
        <w:pStyle w:val="Heading5"/>
        <w:spacing w:before="200"/>
        <w:rPr>
          <w:snapToGrid w:val="0"/>
        </w:rPr>
      </w:pPr>
      <w:bookmarkStart w:id="38" w:name="_Toc491956693"/>
      <w:bookmarkStart w:id="39" w:name="_Toc473035876"/>
      <w:r>
        <w:rPr>
          <w:rStyle w:val="CharSectno"/>
        </w:rPr>
        <w:t>13</w:t>
      </w:r>
      <w:r>
        <w:rPr>
          <w:snapToGrid w:val="0"/>
        </w:rPr>
        <w:t>.</w:t>
      </w:r>
      <w:r>
        <w:rPr>
          <w:snapToGrid w:val="0"/>
        </w:rPr>
        <w:tab/>
        <w:t>Cultivation etc. prohibited</w:t>
      </w:r>
      <w:bookmarkEnd w:id="38"/>
      <w:bookmarkEnd w:id="39"/>
      <w:r>
        <w:rPr>
          <w:snapToGrid w:val="0"/>
        </w:rPr>
        <w:t xml:space="preserve"> </w:t>
      </w:r>
    </w:p>
    <w:p>
      <w:pPr>
        <w:pStyle w:val="Subsection"/>
        <w:spacing w:before="120"/>
        <w:rPr>
          <w:snapToGrid w:val="0"/>
        </w:rPr>
      </w:pPr>
      <w:r>
        <w:rPr>
          <w:snapToGrid w:val="0"/>
        </w:rPr>
        <w:tab/>
        <w:t>(1)</w:t>
      </w:r>
      <w:r>
        <w:rPr>
          <w:snapToGrid w:val="0"/>
        </w:rPr>
        <w:tab/>
        <w:t>A person must not, without lawful authority, plant, cultivate or abandon any plant on CALM land.</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rPr>
          <w:snapToGrid w:val="0"/>
        </w:rPr>
      </w:pPr>
      <w:r>
        <w:rPr>
          <w:snapToGrid w:val="0"/>
        </w:rPr>
        <w:tab/>
        <w:t>(2)</w:t>
      </w:r>
      <w:r>
        <w:rPr>
          <w:snapToGrid w:val="0"/>
        </w:rPr>
        <w:tab/>
        <w:t xml:space="preserve">In subregulation (1) </w:t>
      </w:r>
      <w:r>
        <w:rPr>
          <w:rStyle w:val="CharDefText"/>
        </w:rPr>
        <w:t>plant</w:t>
      </w:r>
      <w:r>
        <w:rPr>
          <w:snapToGrid w:val="0"/>
        </w:rPr>
        <w:t xml:space="preserve"> includes any part of a plant.</w:t>
      </w:r>
    </w:p>
    <w:p>
      <w:pPr>
        <w:pStyle w:val="Footnotesection"/>
        <w:spacing w:before="80"/>
      </w:pPr>
      <w:r>
        <w:tab/>
        <w:t>[Regulation 13 amended in Gazette 3 Dec 2010 p. 6052; 19 Sep 2014 p. 3335.]</w:t>
      </w:r>
    </w:p>
    <w:p>
      <w:pPr>
        <w:pStyle w:val="Heading5"/>
        <w:spacing w:before="200"/>
        <w:rPr>
          <w:snapToGrid w:val="0"/>
        </w:rPr>
      </w:pPr>
      <w:bookmarkStart w:id="40" w:name="_Toc491956694"/>
      <w:bookmarkStart w:id="41" w:name="_Toc473035877"/>
      <w:r>
        <w:rPr>
          <w:rStyle w:val="CharSectno"/>
        </w:rPr>
        <w:t>14</w:t>
      </w:r>
      <w:r>
        <w:rPr>
          <w:snapToGrid w:val="0"/>
        </w:rPr>
        <w:t>.</w:t>
      </w:r>
      <w:r>
        <w:rPr>
          <w:snapToGrid w:val="0"/>
        </w:rPr>
        <w:tab/>
        <w:t>Removal of plants</w:t>
      </w:r>
      <w:bookmarkEnd w:id="40"/>
      <w:bookmarkEnd w:id="41"/>
      <w:r>
        <w:rPr>
          <w:snapToGrid w:val="0"/>
        </w:rPr>
        <w:t xml:space="preserve"> </w:t>
      </w:r>
    </w:p>
    <w:p>
      <w:pPr>
        <w:pStyle w:val="Subsection"/>
        <w:spacing w:before="120"/>
        <w:rPr>
          <w:snapToGrid w:val="0"/>
        </w:rPr>
      </w:pPr>
      <w:r>
        <w:rPr>
          <w:snapToGrid w:val="0"/>
        </w:rPr>
        <w:tab/>
        <w:t>(1)</w:t>
      </w:r>
      <w:r>
        <w:rPr>
          <w:snapToGrid w:val="0"/>
        </w:rPr>
        <w:tab/>
        <w:t>An authorised officer who finds a person contravening regulation 13 may direct that person then and there to remove the plant the subject of the offence, and any equipment likely to be used in the cultivation of the plant, from the land.</w:t>
      </w:r>
    </w:p>
    <w:p>
      <w:pPr>
        <w:pStyle w:val="Subsection"/>
        <w:spacing w:before="120"/>
        <w:rPr>
          <w:snapToGrid w:val="0"/>
        </w:rPr>
      </w:pPr>
      <w:r>
        <w:rPr>
          <w:snapToGrid w:val="0"/>
        </w:rPr>
        <w:tab/>
        <w:t>(2)</w:t>
      </w:r>
      <w:r>
        <w:rPr>
          <w:snapToGrid w:val="0"/>
        </w:rPr>
        <w:tab/>
        <w:t>A person must comply with a direction under subregulation (1).</w:t>
      </w:r>
    </w:p>
    <w:p>
      <w:pPr>
        <w:pStyle w:val="Penstart"/>
        <w:spacing w:before="70"/>
        <w:rPr>
          <w:snapToGrid w:val="0"/>
        </w:rPr>
      </w:pPr>
      <w:r>
        <w:rPr>
          <w:snapToGrid w:val="0"/>
        </w:rPr>
        <w:tab/>
        <w:t xml:space="preserve">Penalty: </w:t>
      </w:r>
      <w:r>
        <w:t>a fine of</w:t>
      </w:r>
      <w:r>
        <w:rPr>
          <w:snapToGrid w:val="0"/>
        </w:rPr>
        <w:t xml:space="preserve"> $2 000.</w:t>
      </w:r>
    </w:p>
    <w:p>
      <w:pPr>
        <w:pStyle w:val="Footnotesection"/>
        <w:spacing w:before="80"/>
      </w:pPr>
      <w:r>
        <w:tab/>
        <w:t>[Regulation 14 amended in Gazette 3 Dec 2010 p. 6052.]</w:t>
      </w:r>
    </w:p>
    <w:p>
      <w:pPr>
        <w:pStyle w:val="Heading3"/>
        <w:keepNext w:val="0"/>
        <w:pageBreakBefore/>
        <w:spacing w:before="0"/>
      </w:pPr>
      <w:bookmarkStart w:id="42" w:name="_Toc491954541"/>
      <w:bookmarkStart w:id="43" w:name="_Toc491956695"/>
      <w:bookmarkStart w:id="44" w:name="_Toc473019140"/>
      <w:bookmarkStart w:id="45" w:name="_Toc473035878"/>
      <w:r>
        <w:rPr>
          <w:rStyle w:val="CharDivNo"/>
        </w:rPr>
        <w:t>Division 2</w:t>
      </w:r>
      <w:r>
        <w:rPr>
          <w:snapToGrid w:val="0"/>
        </w:rPr>
        <w:t xml:space="preserve"> — </w:t>
      </w:r>
      <w:r>
        <w:rPr>
          <w:rStyle w:val="CharDivText"/>
        </w:rPr>
        <w:t>Animals on CALM land</w:t>
      </w:r>
      <w:bookmarkEnd w:id="42"/>
      <w:bookmarkEnd w:id="43"/>
      <w:bookmarkEnd w:id="44"/>
      <w:bookmarkEnd w:id="45"/>
    </w:p>
    <w:p>
      <w:pPr>
        <w:pStyle w:val="Footnoteheading"/>
        <w:keepNext/>
        <w:keepLines/>
      </w:pPr>
      <w:r>
        <w:tab/>
        <w:t>[Heading amended in Gazette 29 Sep 2006 p. 4307.]</w:t>
      </w:r>
    </w:p>
    <w:p>
      <w:pPr>
        <w:pStyle w:val="Heading5"/>
        <w:keepNext w:val="0"/>
        <w:rPr>
          <w:snapToGrid w:val="0"/>
        </w:rPr>
      </w:pPr>
      <w:bookmarkStart w:id="46" w:name="_Toc491956696"/>
      <w:bookmarkStart w:id="47" w:name="_Toc473035879"/>
      <w:r>
        <w:rPr>
          <w:rStyle w:val="CharSectno"/>
        </w:rPr>
        <w:t>15</w:t>
      </w:r>
      <w:r>
        <w:rPr>
          <w:snapToGrid w:val="0"/>
        </w:rPr>
        <w:t>.</w:t>
      </w:r>
      <w:r>
        <w:rPr>
          <w:snapToGrid w:val="0"/>
        </w:rPr>
        <w:tab/>
        <w:t>Bringing animal on to CALM land</w:t>
      </w:r>
      <w:bookmarkEnd w:id="46"/>
      <w:bookmarkEnd w:id="47"/>
      <w:r>
        <w:rPr>
          <w:snapToGrid w:val="0"/>
        </w:rPr>
        <w:t xml:space="preserve"> </w:t>
      </w:r>
    </w:p>
    <w:p>
      <w:pPr>
        <w:pStyle w:val="Subsection"/>
        <w:rPr>
          <w:snapToGrid w:val="0"/>
        </w:rPr>
      </w:pPr>
      <w:r>
        <w:rPr>
          <w:snapToGrid w:val="0"/>
        </w:rPr>
        <w:tab/>
      </w:r>
      <w:r>
        <w:rPr>
          <w:snapToGrid w:val="0"/>
        </w:rPr>
        <w:tab/>
        <w:t>Without limiting section 106(a), and subject to regulations 16 and 17, a person must not, without lawful authority — </w:t>
      </w:r>
    </w:p>
    <w:p>
      <w:pPr>
        <w:pStyle w:val="Indenta"/>
        <w:rPr>
          <w:snapToGrid w:val="0"/>
        </w:rPr>
      </w:pPr>
      <w:r>
        <w:rPr>
          <w:snapToGrid w:val="0"/>
        </w:rPr>
        <w:tab/>
        <w:t>(a)</w:t>
      </w:r>
      <w:r>
        <w:rPr>
          <w:snapToGrid w:val="0"/>
        </w:rPr>
        <w:tab/>
        <w:t>bring an animal on to CALM land; or</w:t>
      </w:r>
    </w:p>
    <w:p>
      <w:pPr>
        <w:pStyle w:val="Indenta"/>
        <w:keepNext/>
        <w:rPr>
          <w:snapToGrid w:val="0"/>
        </w:rPr>
      </w:pPr>
      <w:r>
        <w:rPr>
          <w:snapToGrid w:val="0"/>
        </w:rPr>
        <w:tab/>
        <w:t>(b)</w:t>
      </w:r>
      <w:r>
        <w:rPr>
          <w:snapToGrid w:val="0"/>
        </w:rPr>
        <w:tab/>
        <w:t>allow an animal to enter or remain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15 amended in Gazette 3 Dec 2010 p. 6052; 19 Sep 2014 p. 3335.]</w:t>
      </w:r>
    </w:p>
    <w:p>
      <w:pPr>
        <w:pStyle w:val="Heading5"/>
        <w:rPr>
          <w:snapToGrid w:val="0"/>
        </w:rPr>
      </w:pPr>
      <w:bookmarkStart w:id="48" w:name="_Toc491956697"/>
      <w:bookmarkStart w:id="49" w:name="_Toc473035880"/>
      <w:r>
        <w:rPr>
          <w:rStyle w:val="CharSectno"/>
        </w:rPr>
        <w:t>16</w:t>
      </w:r>
      <w:r>
        <w:rPr>
          <w:snapToGrid w:val="0"/>
        </w:rPr>
        <w:t>.</w:t>
      </w:r>
      <w:r>
        <w:rPr>
          <w:snapToGrid w:val="0"/>
        </w:rPr>
        <w:tab/>
        <w:t>Dogs on CALM land</w:t>
      </w:r>
      <w:bookmarkEnd w:id="48"/>
      <w:bookmarkEnd w:id="49"/>
      <w:r>
        <w:rPr>
          <w:snapToGrid w:val="0"/>
        </w:rPr>
        <w:t xml:space="preserve"> </w:t>
      </w:r>
    </w:p>
    <w:p>
      <w:pPr>
        <w:pStyle w:val="Subsection"/>
        <w:rPr>
          <w:snapToGrid w:val="0"/>
        </w:rPr>
      </w:pPr>
      <w:r>
        <w:rPr>
          <w:snapToGrid w:val="0"/>
        </w:rPr>
        <w:tab/>
        <w:t>(1)</w:t>
      </w:r>
      <w:r>
        <w:rPr>
          <w:snapToGrid w:val="0"/>
        </w:rPr>
        <w:tab/>
        <w:t>A person may bring a dog on to a dog area.</w:t>
      </w:r>
    </w:p>
    <w:p>
      <w:pPr>
        <w:pStyle w:val="Subsection"/>
      </w:pPr>
      <w:r>
        <w:tab/>
        <w:t>(2)</w:t>
      </w:r>
      <w:r>
        <w:tab/>
        <w:t>A person must control and manage a dog in a dog area in accordance with conditions specified on signs erected in or in the vicinity of that area for the purposes of regulation 6(3) or signs designating that area as a dog area.</w:t>
      </w:r>
    </w:p>
    <w:p>
      <w:pPr>
        <w:pStyle w:val="Penstart"/>
      </w:pPr>
      <w:r>
        <w:tab/>
        <w:t>Penalty: a fine of $2 000.</w:t>
      </w:r>
    </w:p>
    <w:p>
      <w:pPr>
        <w:pStyle w:val="Footnotesection"/>
        <w:ind w:left="890" w:hanging="890"/>
      </w:pPr>
      <w:r>
        <w:tab/>
        <w:t>[Regulation 16 amended in Gazette 3 Dec 2010 p. 6046; 19 Sep 2014 p. 3335.]</w:t>
      </w:r>
    </w:p>
    <w:p>
      <w:pPr>
        <w:pStyle w:val="Heading5"/>
        <w:rPr>
          <w:snapToGrid w:val="0"/>
        </w:rPr>
      </w:pPr>
      <w:bookmarkStart w:id="50" w:name="_Toc491956698"/>
      <w:bookmarkStart w:id="51" w:name="_Toc473035881"/>
      <w:r>
        <w:rPr>
          <w:rStyle w:val="CharSectno"/>
        </w:rPr>
        <w:t>17</w:t>
      </w:r>
      <w:r>
        <w:rPr>
          <w:snapToGrid w:val="0"/>
        </w:rPr>
        <w:t>.</w:t>
      </w:r>
      <w:r>
        <w:rPr>
          <w:snapToGrid w:val="0"/>
        </w:rPr>
        <w:tab/>
        <w:t>Horses on CALM land</w:t>
      </w:r>
      <w:bookmarkEnd w:id="50"/>
      <w:bookmarkEnd w:id="51"/>
      <w:r>
        <w:rPr>
          <w:snapToGrid w:val="0"/>
        </w:rPr>
        <w:t xml:space="preserve"> </w:t>
      </w:r>
    </w:p>
    <w:p>
      <w:pPr>
        <w:pStyle w:val="Subsection"/>
        <w:rPr>
          <w:snapToGrid w:val="0"/>
        </w:rPr>
      </w:pPr>
      <w:r>
        <w:rPr>
          <w:snapToGrid w:val="0"/>
        </w:rPr>
        <w:tab/>
        <w:t>(1)</w:t>
      </w:r>
      <w:r>
        <w:rPr>
          <w:snapToGrid w:val="0"/>
        </w:rPr>
        <w:tab/>
        <w:t>A person may bring a horse on to a horse area.</w:t>
      </w:r>
    </w:p>
    <w:p>
      <w:pPr>
        <w:pStyle w:val="Subsection"/>
      </w:pPr>
      <w:r>
        <w:tab/>
        <w:t>(2)</w:t>
      </w:r>
      <w:r>
        <w:tab/>
        <w:t>A person must control and manage a horse in a horse area in accordance with conditions specified on signs erected in or in the vicinity of that area for the purposes of regulation 6(3) or signs designating that area as a horse area.</w:t>
      </w:r>
    </w:p>
    <w:p>
      <w:pPr>
        <w:pStyle w:val="Penstart"/>
      </w:pPr>
      <w:r>
        <w:tab/>
        <w:t>Penalty: a fine of $2 000.</w:t>
      </w:r>
    </w:p>
    <w:p>
      <w:pPr>
        <w:pStyle w:val="Footnotesection"/>
        <w:ind w:left="890" w:hanging="890"/>
      </w:pPr>
      <w:r>
        <w:tab/>
        <w:t>[Regulation 17 amended in Gazette 3 Dec 2010 p. 6046; 19 Sep 2014 p. 3335.]</w:t>
      </w:r>
    </w:p>
    <w:p>
      <w:pPr>
        <w:pStyle w:val="Heading5"/>
        <w:spacing w:before="180"/>
        <w:rPr>
          <w:snapToGrid w:val="0"/>
        </w:rPr>
      </w:pPr>
      <w:bookmarkStart w:id="52" w:name="_Toc491956699"/>
      <w:bookmarkStart w:id="53" w:name="_Toc473035882"/>
      <w:r>
        <w:rPr>
          <w:rStyle w:val="CharSectno"/>
        </w:rPr>
        <w:t>18</w:t>
      </w:r>
      <w:r>
        <w:rPr>
          <w:snapToGrid w:val="0"/>
        </w:rPr>
        <w:t>.</w:t>
      </w:r>
      <w:r>
        <w:rPr>
          <w:snapToGrid w:val="0"/>
        </w:rPr>
        <w:tab/>
        <w:t>Unlawful taking of non</w:t>
      </w:r>
      <w:r>
        <w:rPr>
          <w:snapToGrid w:val="0"/>
        </w:rPr>
        <w:noBreakHyphen/>
        <w:t>indigenous animals</w:t>
      </w:r>
      <w:bookmarkEnd w:id="52"/>
      <w:bookmarkEnd w:id="53"/>
      <w:r>
        <w:rPr>
          <w:snapToGrid w:val="0"/>
        </w:rPr>
        <w:t xml:space="preserve"> </w:t>
      </w:r>
    </w:p>
    <w:p>
      <w:pPr>
        <w:pStyle w:val="Subsection"/>
        <w:rPr>
          <w:snapToGrid w:val="0"/>
        </w:rPr>
      </w:pPr>
      <w:r>
        <w:rPr>
          <w:snapToGrid w:val="0"/>
        </w:rPr>
        <w:tab/>
      </w:r>
      <w:r>
        <w:rPr>
          <w:snapToGrid w:val="0"/>
        </w:rPr>
        <w:tab/>
        <w:t>A person must not, without lawful authority, take any non</w:t>
      </w:r>
      <w:r>
        <w:rPr>
          <w:snapToGrid w:val="0"/>
        </w:rPr>
        <w:noBreakHyphen/>
        <w:t>indigenous animal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18 amended in Gazette 3 Dec 2010 p. 6052</w:t>
      </w:r>
      <w:r>
        <w:noBreakHyphen/>
        <w:t>3; 19 Sep 2014 p. 3335.]</w:t>
      </w:r>
    </w:p>
    <w:p>
      <w:pPr>
        <w:pStyle w:val="Heading5"/>
        <w:rPr>
          <w:snapToGrid w:val="0"/>
        </w:rPr>
      </w:pPr>
      <w:bookmarkStart w:id="54" w:name="_Toc491956700"/>
      <w:bookmarkStart w:id="55" w:name="_Toc473035883"/>
      <w:r>
        <w:rPr>
          <w:rStyle w:val="CharSectno"/>
        </w:rPr>
        <w:t>19</w:t>
      </w:r>
      <w:r>
        <w:rPr>
          <w:snapToGrid w:val="0"/>
        </w:rPr>
        <w:t>.</w:t>
      </w:r>
      <w:r>
        <w:rPr>
          <w:snapToGrid w:val="0"/>
        </w:rPr>
        <w:tab/>
        <w:t>Removal of animal by owner or person in charge</w:t>
      </w:r>
      <w:bookmarkEnd w:id="54"/>
      <w:bookmarkEnd w:id="55"/>
      <w:r>
        <w:rPr>
          <w:snapToGrid w:val="0"/>
        </w:rPr>
        <w:t xml:space="preserve"> </w:t>
      </w:r>
    </w:p>
    <w:p>
      <w:pPr>
        <w:pStyle w:val="Subsection"/>
        <w:rPr>
          <w:snapToGrid w:val="0"/>
        </w:rPr>
      </w:pPr>
      <w:r>
        <w:rPr>
          <w:snapToGrid w:val="0"/>
        </w:rPr>
        <w:tab/>
      </w:r>
      <w:r>
        <w:rPr>
          <w:snapToGrid w:val="0"/>
        </w:rPr>
        <w:tab/>
        <w:t>An owner or person in charge of an animal on CALM land in contravention of regulation 15 must remove the animal from the land when required to do so by an authorised officer.</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19 amended in Gazette 3 Dec 2010 p. 6052</w:t>
      </w:r>
      <w:r>
        <w:noBreakHyphen/>
        <w:t>3; 19 Sep 2014 p. 3335.]</w:t>
      </w:r>
    </w:p>
    <w:p>
      <w:pPr>
        <w:pStyle w:val="Heading5"/>
        <w:keepNext w:val="0"/>
        <w:keepLines w:val="0"/>
        <w:rPr>
          <w:snapToGrid w:val="0"/>
        </w:rPr>
      </w:pPr>
      <w:bookmarkStart w:id="56" w:name="_Toc491956701"/>
      <w:bookmarkStart w:id="57" w:name="_Toc473035884"/>
      <w:r>
        <w:rPr>
          <w:rStyle w:val="CharSectno"/>
        </w:rPr>
        <w:t>20</w:t>
      </w:r>
      <w:r>
        <w:rPr>
          <w:snapToGrid w:val="0"/>
        </w:rPr>
        <w:t>.</w:t>
      </w:r>
      <w:r>
        <w:rPr>
          <w:snapToGrid w:val="0"/>
        </w:rPr>
        <w:tab/>
        <w:t>Removal of animals by authorised officer</w:t>
      </w:r>
      <w:bookmarkEnd w:id="56"/>
      <w:bookmarkEnd w:id="57"/>
      <w:r>
        <w:rPr>
          <w:snapToGrid w:val="0"/>
        </w:rPr>
        <w:t xml:space="preserve"> </w:t>
      </w:r>
    </w:p>
    <w:p>
      <w:pPr>
        <w:pStyle w:val="Subsection"/>
        <w:rPr>
          <w:snapToGrid w:val="0"/>
        </w:rPr>
      </w:pPr>
      <w:r>
        <w:rPr>
          <w:snapToGrid w:val="0"/>
        </w:rPr>
        <w:tab/>
      </w:r>
      <w:r>
        <w:rPr>
          <w:snapToGrid w:val="0"/>
        </w:rPr>
        <w:tab/>
        <w:t xml:space="preserve">An authorised officer may seize and remove any animal found on CALM land </w:t>
      </w:r>
      <w:r>
        <w:t xml:space="preserve">in contravention of regulation 15 </w:t>
      </w:r>
      <w:r>
        <w:rPr>
          <w:snapToGrid w:val="0"/>
        </w:rPr>
        <w:t>if the authorised officer is unable to find the owner or person in charge of the animal.</w:t>
      </w:r>
    </w:p>
    <w:p>
      <w:pPr>
        <w:pStyle w:val="Footnotesection"/>
        <w:keepLines w:val="0"/>
        <w:ind w:left="890" w:hanging="890"/>
      </w:pPr>
      <w:r>
        <w:tab/>
        <w:t>[Regulation 20 amended in Gazette 29 Sep 2006 p. 4307.]</w:t>
      </w:r>
    </w:p>
    <w:p>
      <w:pPr>
        <w:pStyle w:val="Heading3"/>
        <w:spacing w:before="180"/>
      </w:pPr>
      <w:bookmarkStart w:id="58" w:name="_Toc491954548"/>
      <w:bookmarkStart w:id="59" w:name="_Toc491956702"/>
      <w:bookmarkStart w:id="60" w:name="_Toc473019147"/>
      <w:bookmarkStart w:id="61" w:name="_Toc473035885"/>
      <w:r>
        <w:rPr>
          <w:rStyle w:val="CharDivNo"/>
        </w:rPr>
        <w:t>Division 3</w:t>
      </w:r>
      <w:r>
        <w:rPr>
          <w:snapToGrid w:val="0"/>
        </w:rPr>
        <w:t xml:space="preserve"> — </w:t>
      </w:r>
      <w:r>
        <w:rPr>
          <w:rStyle w:val="CharDivText"/>
        </w:rPr>
        <w:t>Pollution and litter</w:t>
      </w:r>
      <w:bookmarkEnd w:id="58"/>
      <w:bookmarkEnd w:id="59"/>
      <w:bookmarkEnd w:id="60"/>
      <w:bookmarkEnd w:id="61"/>
      <w:r>
        <w:rPr>
          <w:rStyle w:val="CharDivText"/>
        </w:rPr>
        <w:t xml:space="preserve"> </w:t>
      </w:r>
    </w:p>
    <w:p>
      <w:pPr>
        <w:pStyle w:val="Heading5"/>
        <w:spacing w:before="180"/>
        <w:rPr>
          <w:snapToGrid w:val="0"/>
        </w:rPr>
      </w:pPr>
      <w:bookmarkStart w:id="62" w:name="_Toc491956703"/>
      <w:bookmarkStart w:id="63" w:name="_Toc473035886"/>
      <w:r>
        <w:rPr>
          <w:rStyle w:val="CharSectno"/>
        </w:rPr>
        <w:t>21</w:t>
      </w:r>
      <w:r>
        <w:rPr>
          <w:snapToGrid w:val="0"/>
        </w:rPr>
        <w:t>.</w:t>
      </w:r>
      <w:r>
        <w:rPr>
          <w:snapToGrid w:val="0"/>
        </w:rPr>
        <w:tab/>
        <w:t>Discharging or depositing waste</w:t>
      </w:r>
      <w:bookmarkEnd w:id="62"/>
      <w:bookmarkEnd w:id="63"/>
      <w:r>
        <w:rPr>
          <w:snapToGrid w:val="0"/>
        </w:rPr>
        <w:t xml:space="preserve"> </w:t>
      </w:r>
    </w:p>
    <w:p>
      <w:pPr>
        <w:pStyle w:val="Subsection"/>
        <w:rPr>
          <w:snapToGrid w:val="0"/>
        </w:rPr>
      </w:pPr>
      <w:r>
        <w:rPr>
          <w:snapToGrid w:val="0"/>
        </w:rPr>
        <w:tab/>
        <w:t>(1)</w:t>
      </w:r>
      <w:r>
        <w:rPr>
          <w:snapToGrid w:val="0"/>
        </w:rPr>
        <w:tab/>
        <w:t>Subject to subregulations (2) and (3), a person must not, without lawful authority, cause or allow waste to be discharged or placed on CALM land.</w:t>
      </w:r>
    </w:p>
    <w:p>
      <w:pPr>
        <w:pStyle w:val="Penstart"/>
        <w:rPr>
          <w:snapToGrid w:val="0"/>
        </w:rPr>
      </w:pPr>
      <w:r>
        <w:rPr>
          <w:snapToGrid w:val="0"/>
        </w:rPr>
        <w:tab/>
        <w:t xml:space="preserve">Penalty: </w:t>
      </w:r>
      <w:r>
        <w:t xml:space="preserve">a fine of </w:t>
      </w:r>
      <w:r>
        <w:rPr>
          <w:snapToGrid w:val="0"/>
        </w:rPr>
        <w:t>$2 000.</w:t>
      </w:r>
    </w:p>
    <w:p>
      <w:pPr>
        <w:pStyle w:val="Subsection"/>
        <w:rPr>
          <w:snapToGrid w:val="0"/>
        </w:rPr>
      </w:pPr>
      <w:r>
        <w:rPr>
          <w:snapToGrid w:val="0"/>
        </w:rPr>
        <w:tab/>
        <w:t>(2)</w:t>
      </w:r>
      <w:r>
        <w:rPr>
          <w:snapToGrid w:val="0"/>
        </w:rPr>
        <w:tab/>
        <w:t>Subregulation (1) does not apply to fuel discharged during the normal operation of 2 stroke outboard motors on vessels.</w:t>
      </w:r>
    </w:p>
    <w:p>
      <w:pPr>
        <w:pStyle w:val="Subsection"/>
      </w:pPr>
      <w:r>
        <w:rPr>
          <w:snapToGrid w:val="0"/>
        </w:rPr>
        <w:tab/>
        <w:t>(3)</w:t>
      </w:r>
      <w:r>
        <w:rPr>
          <w:snapToGrid w:val="0"/>
        </w:rPr>
        <w:tab/>
      </w:r>
      <w:r>
        <w:t>A person may discharge sewage from a vessel in a designated area.</w:t>
      </w:r>
    </w:p>
    <w:p>
      <w:pPr>
        <w:pStyle w:val="Subsection"/>
      </w:pPr>
      <w:r>
        <w:tab/>
        <w:t>(4)</w:t>
      </w:r>
      <w:r>
        <w:tab/>
        <w:t>A person must discharge sewage in a designated area in accordance with any conditions specified in respect of that discharge in the notice published under regulation 6(1) designating that area for the purposes of this regulation.</w:t>
      </w:r>
    </w:p>
    <w:p>
      <w:pPr>
        <w:pStyle w:val="Penstart"/>
      </w:pPr>
      <w:r>
        <w:tab/>
        <w:t>Penalty: a fine of $2 000.</w:t>
      </w:r>
    </w:p>
    <w:p>
      <w:pPr>
        <w:pStyle w:val="Subsection"/>
        <w:rPr>
          <w:snapToGrid w:val="0"/>
        </w:rPr>
      </w:pPr>
      <w:r>
        <w:rPr>
          <w:snapToGrid w:val="0"/>
        </w:rPr>
        <w:tab/>
        <w:t>(5)</w:t>
      </w:r>
      <w:r>
        <w:rPr>
          <w:snapToGrid w:val="0"/>
        </w:rPr>
        <w:tab/>
        <w:t>In subregulation (1) — </w:t>
      </w:r>
    </w:p>
    <w:p>
      <w:pPr>
        <w:pStyle w:val="Defstart"/>
      </w:pPr>
      <w:r>
        <w:tab/>
      </w:r>
      <w:r>
        <w:rPr>
          <w:rStyle w:val="CharDefText"/>
        </w:rPr>
        <w:t>waste</w:t>
      </w:r>
      <w:r>
        <w:rPr>
          <w:b/>
        </w:rPr>
        <w:t xml:space="preserve"> </w:t>
      </w:r>
      <w:r>
        <w:t xml:space="preserve">means any waste which could reasonably be expected to significantly and adversely affect the land on which it is discharged or placed, and includes liquid, solid, gaseous and radioactive matter, whether useful or useless. </w:t>
      </w:r>
    </w:p>
    <w:p>
      <w:pPr>
        <w:pStyle w:val="Footnotesection"/>
      </w:pPr>
      <w:r>
        <w:tab/>
        <w:t>[Regulation 21 amended in Gazette 3 Dec 2010 p. 6052</w:t>
      </w:r>
      <w:r>
        <w:noBreakHyphen/>
        <w:t>3.]</w:t>
      </w:r>
    </w:p>
    <w:p>
      <w:pPr>
        <w:pStyle w:val="Heading5"/>
      </w:pPr>
      <w:bookmarkStart w:id="64" w:name="_Toc491956704"/>
      <w:bookmarkStart w:id="65" w:name="_Toc473035887"/>
      <w:r>
        <w:rPr>
          <w:rStyle w:val="CharSectno"/>
        </w:rPr>
        <w:t>22</w:t>
      </w:r>
      <w:r>
        <w:t>.</w:t>
      </w:r>
      <w:r>
        <w:tab/>
        <w:t>Painting or treating vessels</w:t>
      </w:r>
      <w:bookmarkEnd w:id="64"/>
      <w:bookmarkEnd w:id="65"/>
    </w:p>
    <w:p>
      <w:pPr>
        <w:pStyle w:val="Subsection"/>
      </w:pPr>
      <w:r>
        <w:tab/>
      </w:r>
      <w:r>
        <w:tab/>
        <w:t>A person must not, without lawful authority, paint or chemically treat, or cause to be painted or chemically treated, the hull or keel of a vessel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22 amended in Gazette 3 Dec 2010 p. 6052</w:t>
      </w:r>
      <w:r>
        <w:noBreakHyphen/>
        <w:t>3.]</w:t>
      </w:r>
    </w:p>
    <w:p>
      <w:pPr>
        <w:pStyle w:val="Heading5"/>
        <w:rPr>
          <w:snapToGrid w:val="0"/>
        </w:rPr>
      </w:pPr>
      <w:bookmarkStart w:id="66" w:name="_Toc491956705"/>
      <w:bookmarkStart w:id="67" w:name="_Toc473035888"/>
      <w:r>
        <w:rPr>
          <w:rStyle w:val="CharSectno"/>
        </w:rPr>
        <w:t>23</w:t>
      </w:r>
      <w:r>
        <w:rPr>
          <w:snapToGrid w:val="0"/>
        </w:rPr>
        <w:t>.</w:t>
      </w:r>
      <w:r>
        <w:rPr>
          <w:snapToGrid w:val="0"/>
        </w:rPr>
        <w:tab/>
        <w:t>Pollution of water supply</w:t>
      </w:r>
      <w:bookmarkEnd w:id="66"/>
      <w:bookmarkEnd w:id="67"/>
      <w:r>
        <w:rPr>
          <w:snapToGrid w:val="0"/>
        </w:rPr>
        <w:t xml:space="preserve"> </w:t>
      </w:r>
    </w:p>
    <w:p>
      <w:pPr>
        <w:pStyle w:val="Subsection"/>
        <w:rPr>
          <w:snapToGrid w:val="0"/>
        </w:rPr>
      </w:pPr>
      <w:r>
        <w:rPr>
          <w:snapToGrid w:val="0"/>
        </w:rPr>
        <w:tab/>
        <w:t>(1)</w:t>
      </w:r>
      <w:r>
        <w:rPr>
          <w:snapToGrid w:val="0"/>
        </w:rPr>
        <w:tab/>
        <w:t>A person must not discharge or place any refuse or any poisonous, noxious or polluting matter, or cause any refuse or poisonous, noxious or polluting matter to be discharged or placed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CALM land, or in any area on CALM land where the matter is likely to pass to such a reservoir or tank;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public water catchment area on CALM land, or in any area on CALM land where the matter is likely to pass to a public water catchment area; or</w:t>
      </w:r>
    </w:p>
    <w:p>
      <w:pPr>
        <w:pStyle w:val="Indenta"/>
        <w:rPr>
          <w:snapToGrid w:val="0"/>
        </w:rPr>
      </w:pPr>
      <w:r>
        <w:rPr>
          <w:snapToGrid w:val="0"/>
        </w:rPr>
        <w:tab/>
        <w:t>(c)</w:t>
      </w:r>
      <w:r>
        <w:rPr>
          <w:snapToGrid w:val="0"/>
        </w:rPr>
        <w:tab/>
        <w:t>except as permitted under regulation 21, in any naturally occurring water course or water body on CALM land, or in any area on CALM land where the matter is likely to pass to a naturally occurring water course or water body.</w:t>
      </w:r>
    </w:p>
    <w:p>
      <w:pPr>
        <w:pStyle w:val="Penstart"/>
        <w:rPr>
          <w:snapToGrid w:val="0"/>
        </w:rPr>
      </w:pPr>
      <w:r>
        <w:rPr>
          <w:snapToGrid w:val="0"/>
        </w:rPr>
        <w:tab/>
        <w:t xml:space="preserve">Penalty: </w:t>
      </w:r>
      <w:r>
        <w:t>a fine of</w:t>
      </w:r>
      <w:r>
        <w:rPr>
          <w:snapToGrid w:val="0"/>
        </w:rPr>
        <w:t xml:space="preserve"> $2 000.</w:t>
      </w:r>
    </w:p>
    <w:p>
      <w:pPr>
        <w:pStyle w:val="Subsection"/>
        <w:spacing w:before="120"/>
      </w:pPr>
      <w:r>
        <w:tab/>
        <w:t>(1a)</w:t>
      </w:r>
      <w:r>
        <w:tab/>
        <w:t>Subregulation (1) does not apply to swimming or bathing in a water course or water body that is not used for storing water for human consumption.</w:t>
      </w:r>
    </w:p>
    <w:p>
      <w:pPr>
        <w:pStyle w:val="Subsection"/>
        <w:spacing w:before="120"/>
        <w:rPr>
          <w:snapToGrid w:val="0"/>
        </w:rPr>
      </w:pPr>
      <w:r>
        <w:rPr>
          <w:snapToGrid w:val="0"/>
        </w:rPr>
        <w:tab/>
        <w:t>(2)</w:t>
      </w:r>
      <w:r>
        <w:rPr>
          <w:snapToGrid w:val="0"/>
        </w:rPr>
        <w:tab/>
        <w:t>A person must not swim, bathe or wash in any reservoir or tank containing water stored for human consumption or use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100"/>
      </w:pPr>
      <w:r>
        <w:tab/>
        <w:t>[Regulation 23 amended in Gazette 29 Sep 2006 p. 4308; 3 Dec 2010 p. 6052</w:t>
      </w:r>
      <w:r>
        <w:noBreakHyphen/>
        <w:t>3; 19 Sep 2014 p. 3335.]</w:t>
      </w:r>
    </w:p>
    <w:p>
      <w:pPr>
        <w:pStyle w:val="Heading5"/>
        <w:spacing w:before="180"/>
        <w:rPr>
          <w:snapToGrid w:val="0"/>
        </w:rPr>
      </w:pPr>
      <w:bookmarkStart w:id="68" w:name="_Toc491956706"/>
      <w:bookmarkStart w:id="69" w:name="_Toc473035889"/>
      <w:r>
        <w:rPr>
          <w:rStyle w:val="CharSectno"/>
        </w:rPr>
        <w:t>24</w:t>
      </w:r>
      <w:r>
        <w:rPr>
          <w:snapToGrid w:val="0"/>
        </w:rPr>
        <w:t>.</w:t>
      </w:r>
      <w:r>
        <w:rPr>
          <w:snapToGrid w:val="0"/>
        </w:rPr>
        <w:tab/>
        <w:t>Litter</w:t>
      </w:r>
      <w:bookmarkEnd w:id="68"/>
      <w:bookmarkEnd w:id="69"/>
      <w:r>
        <w:rPr>
          <w:snapToGrid w:val="0"/>
        </w:rPr>
        <w:t xml:space="preserve"> </w:t>
      </w:r>
    </w:p>
    <w:p>
      <w:pPr>
        <w:pStyle w:val="Subsection"/>
        <w:spacing w:before="120"/>
        <w:rPr>
          <w:snapToGrid w:val="0"/>
        </w:rPr>
      </w:pPr>
      <w:r>
        <w:rPr>
          <w:snapToGrid w:val="0"/>
        </w:rPr>
        <w:tab/>
        <w:t>(1)</w:t>
      </w:r>
      <w:r>
        <w:rPr>
          <w:snapToGrid w:val="0"/>
        </w:rPr>
        <w:tab/>
        <w:t xml:space="preserve">A person must not deposit litter, or cause litter to be deposited, on CALM land (unless the person deposits the litter in a place or receptacle set aside or provided by the </w:t>
      </w:r>
      <w:r>
        <w:t xml:space="preserve">CEO </w:t>
      </w:r>
      <w:r>
        <w:rPr>
          <w:snapToGrid w:val="0"/>
        </w:rPr>
        <w:t>for that purpose).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20"/>
        <w:rPr>
          <w:snapToGrid w:val="0"/>
        </w:rPr>
      </w:pPr>
      <w:r>
        <w:rPr>
          <w:snapToGrid w:val="0"/>
        </w:rPr>
        <w:tab/>
        <w:t>(2)</w:t>
      </w:r>
      <w:r>
        <w:rPr>
          <w:snapToGrid w:val="0"/>
        </w:rPr>
        <w:tab/>
        <w:t>In this regulation — </w:t>
      </w:r>
    </w:p>
    <w:p>
      <w:pPr>
        <w:pStyle w:val="Defstart"/>
      </w:pPr>
      <w:r>
        <w:tab/>
      </w:r>
      <w:r>
        <w:rPr>
          <w:rStyle w:val="CharDefText"/>
        </w:rPr>
        <w:t>litter</w:t>
      </w:r>
      <w:r>
        <w:rPr>
          <w:b/>
        </w:rPr>
        <w:t xml:space="preserve"> </w:t>
      </w:r>
      <w:r>
        <w:t xml:space="preserve">has the same meaning as in the </w:t>
      </w:r>
      <w:r>
        <w:rPr>
          <w:i/>
        </w:rPr>
        <w:t>Litter Act 1979</w:t>
      </w:r>
      <w:r>
        <w:t>.</w:t>
      </w:r>
    </w:p>
    <w:p>
      <w:pPr>
        <w:pStyle w:val="Footnotesection"/>
        <w:spacing w:before="80"/>
        <w:ind w:left="890" w:hanging="890"/>
      </w:pPr>
      <w:r>
        <w:tab/>
        <w:t>[Regulation 24 amended in Gazette 29 Sep 2006 p. 4334; 3 Dec 2010 p. 6052</w:t>
      </w:r>
      <w:r>
        <w:noBreakHyphen/>
        <w:t>3; 19 Sep 2014 p. 3335.]</w:t>
      </w:r>
    </w:p>
    <w:p>
      <w:pPr>
        <w:pStyle w:val="Heading5"/>
        <w:rPr>
          <w:snapToGrid w:val="0"/>
        </w:rPr>
      </w:pPr>
      <w:bookmarkStart w:id="70" w:name="_Toc491956707"/>
      <w:bookmarkStart w:id="71" w:name="_Toc473035890"/>
      <w:r>
        <w:rPr>
          <w:rStyle w:val="CharSectno"/>
        </w:rPr>
        <w:t>25</w:t>
      </w:r>
      <w:r>
        <w:rPr>
          <w:snapToGrid w:val="0"/>
        </w:rPr>
        <w:t>.</w:t>
      </w:r>
      <w:r>
        <w:rPr>
          <w:snapToGrid w:val="0"/>
        </w:rPr>
        <w:tab/>
        <w:t>Building materials and other matter</w:t>
      </w:r>
      <w:bookmarkEnd w:id="70"/>
      <w:bookmarkEnd w:id="71"/>
      <w:r>
        <w:rPr>
          <w:snapToGrid w:val="0"/>
        </w:rPr>
        <w:t xml:space="preserve"> </w:t>
      </w:r>
    </w:p>
    <w:p>
      <w:pPr>
        <w:pStyle w:val="Subsection"/>
        <w:spacing w:before="150"/>
        <w:rPr>
          <w:snapToGrid w:val="0"/>
        </w:rPr>
      </w:pPr>
      <w:r>
        <w:rPr>
          <w:snapToGrid w:val="0"/>
        </w:rPr>
        <w:tab/>
      </w:r>
      <w:r>
        <w:rPr>
          <w:snapToGrid w:val="0"/>
        </w:rPr>
        <w:tab/>
        <w:t>A person must not discharge or place building materials, soil, rocks, sand, rubble, over</w:t>
      </w:r>
      <w:r>
        <w:rPr>
          <w:snapToGrid w:val="0"/>
        </w:rPr>
        <w:noBreakHyphen/>
        <w:t>burden or waste products from any industry, or cause building materials, soil, rocks, sand, rubble, over</w:t>
      </w:r>
      <w:r>
        <w:rPr>
          <w:snapToGrid w:val="0"/>
        </w:rPr>
        <w:noBreakHyphen/>
        <w:t>burden or waste products from any industry to be discharged or placed, on CALM land.</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[Regulation 25 amended in Gazette 3 Dec 2010 p. 6052</w:t>
      </w:r>
      <w:r>
        <w:noBreakHyphen/>
        <w:t>3.]</w:t>
      </w:r>
    </w:p>
    <w:p>
      <w:pPr>
        <w:pStyle w:val="Heading5"/>
        <w:rPr>
          <w:snapToGrid w:val="0"/>
        </w:rPr>
      </w:pPr>
      <w:bookmarkStart w:id="72" w:name="_Toc491956708"/>
      <w:bookmarkStart w:id="73" w:name="_Toc473035891"/>
      <w:r>
        <w:rPr>
          <w:rStyle w:val="CharSectno"/>
        </w:rPr>
        <w:t>26</w:t>
      </w:r>
      <w:r>
        <w:rPr>
          <w:snapToGrid w:val="0"/>
        </w:rPr>
        <w:t>.</w:t>
      </w:r>
      <w:r>
        <w:rPr>
          <w:snapToGrid w:val="0"/>
        </w:rPr>
        <w:tab/>
        <w:t>Glass in restricted areas</w:t>
      </w:r>
      <w:bookmarkEnd w:id="72"/>
      <w:bookmarkEnd w:id="73"/>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take, or have in his or her possession, any drinking glass, glass bottle or glass drinking implement in a restricted area where taking or possession of that item is prohibited under regulation 5; or</w:t>
      </w:r>
    </w:p>
    <w:p>
      <w:pPr>
        <w:pStyle w:val="Indenta"/>
        <w:rPr>
          <w:snapToGrid w:val="0"/>
        </w:rPr>
      </w:pPr>
      <w:r>
        <w:rPr>
          <w:snapToGrid w:val="0"/>
        </w:rPr>
        <w:tab/>
        <w:t>(b)</w:t>
      </w:r>
      <w:r>
        <w:rPr>
          <w:snapToGrid w:val="0"/>
        </w:rPr>
        <w:tab/>
        <w:t>contravene a restriction on taking or possession of glass in a restricted area imposed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ind w:left="890" w:hanging="890"/>
      </w:pPr>
      <w:r>
        <w:tab/>
        <w:t>[Regulation 26 amended in Gazette 3 Dec 2010 p. 6052</w:t>
      </w:r>
      <w:r>
        <w:noBreakHyphen/>
        <w:t>3; 19 Sep 2014 p. 3335.]</w:t>
      </w:r>
    </w:p>
    <w:p>
      <w:pPr>
        <w:pStyle w:val="Heading5"/>
        <w:rPr>
          <w:snapToGrid w:val="0"/>
        </w:rPr>
      </w:pPr>
      <w:bookmarkStart w:id="74" w:name="_Toc491956709"/>
      <w:bookmarkStart w:id="75" w:name="_Toc473035892"/>
      <w:r>
        <w:rPr>
          <w:rStyle w:val="CharSectno"/>
        </w:rPr>
        <w:t>27</w:t>
      </w:r>
      <w:r>
        <w:rPr>
          <w:snapToGrid w:val="0"/>
        </w:rPr>
        <w:t>.</w:t>
      </w:r>
      <w:r>
        <w:rPr>
          <w:snapToGrid w:val="0"/>
        </w:rPr>
        <w:tab/>
        <w:t>Removal of litter etc.</w:t>
      </w:r>
      <w:bookmarkEnd w:id="74"/>
      <w:bookmarkEnd w:id="75"/>
      <w:r>
        <w:rPr>
          <w:snapToGrid w:val="0"/>
        </w:rPr>
        <w:t xml:space="preserve"> </w:t>
      </w:r>
    </w:p>
    <w:p>
      <w:pPr>
        <w:pStyle w:val="Subsection"/>
        <w:rPr>
          <w:snapToGrid w:val="0"/>
        </w:rPr>
      </w:pPr>
      <w:r>
        <w:rPr>
          <w:snapToGrid w:val="0"/>
        </w:rPr>
        <w:tab/>
        <w:t>(1)</w:t>
      </w:r>
      <w:r>
        <w:rPr>
          <w:snapToGrid w:val="0"/>
        </w:rPr>
        <w:tab/>
        <w:t>An authorised officer who finds a person contravening regulation 24, 25 or 26 may direct that person then and there — </w:t>
      </w:r>
    </w:p>
    <w:p>
      <w:pPr>
        <w:pStyle w:val="Indenta"/>
        <w:rPr>
          <w:snapToGrid w:val="0"/>
        </w:rPr>
      </w:pPr>
      <w:r>
        <w:rPr>
          <w:snapToGrid w:val="0"/>
        </w:rPr>
        <w:tab/>
        <w:t>(a)</w:t>
      </w:r>
      <w:r>
        <w:rPr>
          <w:snapToGrid w:val="0"/>
        </w:rPr>
        <w:tab/>
        <w:t>to remove the thing the subject of the offence from the land; or</w:t>
      </w:r>
    </w:p>
    <w:p>
      <w:pPr>
        <w:pStyle w:val="Indenta"/>
        <w:rPr>
          <w:snapToGrid w:val="0"/>
        </w:rPr>
      </w:pPr>
      <w:r>
        <w:rPr>
          <w:snapToGrid w:val="0"/>
        </w:rPr>
        <w:tab/>
        <w:t>(b)</w:t>
      </w:r>
      <w:r>
        <w:rPr>
          <w:snapToGrid w:val="0"/>
        </w:rPr>
        <w:tab/>
        <w:t>to deposit the thing the subject of the offence in the nearest place or receptacle set aside or provided for the deposit of litter.</w:t>
      </w:r>
    </w:p>
    <w:p>
      <w:pPr>
        <w:pStyle w:val="Subsection"/>
        <w:rPr>
          <w:snapToGrid w:val="0"/>
        </w:rPr>
      </w:pPr>
      <w:r>
        <w:rPr>
          <w:snapToGrid w:val="0"/>
        </w:rPr>
        <w:tab/>
        <w:t>(2)</w:t>
      </w:r>
      <w:r>
        <w:rPr>
          <w:snapToGrid w:val="0"/>
        </w:rPr>
        <w:tab/>
        <w:t>A person must comply with a direction under subregulation (1).</w:t>
      </w:r>
    </w:p>
    <w:p>
      <w:pPr>
        <w:pStyle w:val="Penstart"/>
        <w:rPr>
          <w:snapToGrid w:val="0"/>
        </w:rPr>
      </w:pPr>
      <w:r>
        <w:rPr>
          <w:snapToGrid w:val="0"/>
        </w:rPr>
        <w:tab/>
        <w:t xml:space="preserve">Penalty: </w:t>
      </w:r>
      <w:r>
        <w:t>a fine of</w:t>
      </w:r>
      <w:r>
        <w:rPr>
          <w:snapToGrid w:val="0"/>
        </w:rPr>
        <w:t xml:space="preserve"> $2 000.</w:t>
      </w:r>
    </w:p>
    <w:p>
      <w:pPr>
        <w:pStyle w:val="Footnotesection"/>
        <w:spacing w:before="100"/>
      </w:pPr>
      <w:r>
        <w:tab/>
        <w:t>[Regulation 27 amended in Gazette 3 Dec 2010 p. 6052</w:t>
      </w:r>
      <w:r>
        <w:noBreakHyphen/>
        <w:t>3.]</w:t>
      </w:r>
    </w:p>
    <w:p>
      <w:pPr>
        <w:pStyle w:val="Heading5"/>
        <w:spacing w:before="200"/>
        <w:rPr>
          <w:snapToGrid w:val="0"/>
        </w:rPr>
      </w:pPr>
      <w:bookmarkStart w:id="76" w:name="_Toc491956710"/>
      <w:bookmarkStart w:id="77" w:name="_Toc473035893"/>
      <w:r>
        <w:rPr>
          <w:rStyle w:val="CharSectno"/>
        </w:rPr>
        <w:t>28</w:t>
      </w:r>
      <w:r>
        <w:rPr>
          <w:snapToGrid w:val="0"/>
        </w:rPr>
        <w:t>.</w:t>
      </w:r>
      <w:r>
        <w:rPr>
          <w:snapToGrid w:val="0"/>
        </w:rPr>
        <w:tab/>
        <w:t>Cleaning, scaling etc. fish</w:t>
      </w:r>
      <w:bookmarkEnd w:id="76"/>
      <w:bookmarkEnd w:id="77"/>
      <w:r>
        <w:rPr>
          <w:snapToGrid w:val="0"/>
        </w:rPr>
        <w:t xml:space="preserve"> </w:t>
      </w:r>
    </w:p>
    <w:p>
      <w:pPr>
        <w:pStyle w:val="Subsection"/>
        <w:rPr>
          <w:snapToGrid w:val="0"/>
        </w:rPr>
      </w:pPr>
      <w:r>
        <w:rPr>
          <w:snapToGrid w:val="0"/>
        </w:rPr>
        <w:tab/>
      </w:r>
      <w:r>
        <w:rPr>
          <w:snapToGrid w:val="0"/>
        </w:rPr>
        <w:tab/>
        <w:t>A person must not, without lawful authority, in a restricted area — </w:t>
      </w:r>
    </w:p>
    <w:p>
      <w:pPr>
        <w:pStyle w:val="Indenta"/>
        <w:rPr>
          <w:snapToGrid w:val="0"/>
        </w:rPr>
      </w:pPr>
      <w:r>
        <w:rPr>
          <w:snapToGrid w:val="0"/>
        </w:rPr>
        <w:tab/>
        <w:t>(a)</w:t>
      </w:r>
      <w:r>
        <w:rPr>
          <w:snapToGrid w:val="0"/>
        </w:rPr>
        <w:tab/>
        <w:t>clean, scale, gut or fillet fish if that activity is prohibited in that area under regulation 5; or</w:t>
      </w:r>
    </w:p>
    <w:p>
      <w:pPr>
        <w:pStyle w:val="Indenta"/>
        <w:rPr>
          <w:snapToGrid w:val="0"/>
        </w:rPr>
      </w:pPr>
      <w:r>
        <w:rPr>
          <w:snapToGrid w:val="0"/>
        </w:rPr>
        <w:tab/>
        <w:t>(b)</w:t>
      </w:r>
      <w:r>
        <w:rPr>
          <w:snapToGrid w:val="0"/>
        </w:rPr>
        <w:tab/>
        <w:t>contravene a restriction imposed on cleaning, scaling, gutting or filleting fish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ind w:left="890" w:hanging="890"/>
      </w:pPr>
      <w:r>
        <w:tab/>
        <w:t>[Regulation 28 amended in Gazette 3 Dec 2010 p. 6052</w:t>
      </w:r>
      <w:r>
        <w:noBreakHyphen/>
        <w:t>3; 19 Sep 2014 p. 3335.]</w:t>
      </w:r>
    </w:p>
    <w:p>
      <w:pPr>
        <w:pStyle w:val="Heading5"/>
        <w:spacing w:before="180"/>
        <w:rPr>
          <w:snapToGrid w:val="0"/>
        </w:rPr>
      </w:pPr>
      <w:bookmarkStart w:id="78" w:name="_Toc491956711"/>
      <w:bookmarkStart w:id="79" w:name="_Toc473035894"/>
      <w:r>
        <w:rPr>
          <w:rStyle w:val="CharSectno"/>
        </w:rPr>
        <w:t>29</w:t>
      </w:r>
      <w:r>
        <w:rPr>
          <w:snapToGrid w:val="0"/>
        </w:rPr>
        <w:t>.</w:t>
      </w:r>
      <w:r>
        <w:rPr>
          <w:snapToGrid w:val="0"/>
        </w:rPr>
        <w:tab/>
        <w:t>Fires and smoking in caves</w:t>
      </w:r>
      <w:bookmarkEnd w:id="78"/>
      <w:bookmarkEnd w:id="79"/>
      <w:r>
        <w:rPr>
          <w:snapToGrid w:val="0"/>
        </w:rPr>
        <w:t xml:space="preserve"> </w:t>
      </w:r>
    </w:p>
    <w:p>
      <w:pPr>
        <w:pStyle w:val="Subsection"/>
        <w:rPr>
          <w:snapToGrid w:val="0"/>
        </w:rPr>
      </w:pPr>
      <w:r>
        <w:rPr>
          <w:snapToGrid w:val="0"/>
        </w:rPr>
        <w:tab/>
        <w:t>(1)</w:t>
      </w:r>
      <w:r>
        <w:rPr>
          <w:snapToGrid w:val="0"/>
        </w:rPr>
        <w:tab/>
        <w:t>A person must not smoke a cigarette, cigar or pipe in any cave or part of a cave which is on or under CALM land.</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must not light a fire in any cave or part of a cave which is on or under CALM land.</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[Regulation 29 amended in Gazette 3 Dec 2010 p. 6052</w:t>
      </w:r>
      <w:r>
        <w:noBreakHyphen/>
        <w:t>3.]</w:t>
      </w:r>
    </w:p>
    <w:p>
      <w:pPr>
        <w:pStyle w:val="Heading3"/>
        <w:spacing w:before="180"/>
      </w:pPr>
      <w:bookmarkStart w:id="80" w:name="_Toc491954558"/>
      <w:bookmarkStart w:id="81" w:name="_Toc491956712"/>
      <w:bookmarkStart w:id="82" w:name="_Toc473019157"/>
      <w:bookmarkStart w:id="83" w:name="_Toc473035895"/>
      <w:r>
        <w:rPr>
          <w:rStyle w:val="CharDivNo"/>
        </w:rPr>
        <w:t>Division 4</w:t>
      </w:r>
      <w:r>
        <w:rPr>
          <w:snapToGrid w:val="0"/>
        </w:rPr>
        <w:t xml:space="preserve"> — </w:t>
      </w:r>
      <w:r>
        <w:rPr>
          <w:rStyle w:val="CharDivText"/>
        </w:rPr>
        <w:t>Disturbance of the landscape</w:t>
      </w:r>
      <w:bookmarkEnd w:id="80"/>
      <w:bookmarkEnd w:id="81"/>
      <w:bookmarkEnd w:id="82"/>
      <w:bookmarkEnd w:id="83"/>
      <w:r>
        <w:rPr>
          <w:rStyle w:val="CharDivText"/>
        </w:rPr>
        <w:t xml:space="preserve"> </w:t>
      </w:r>
    </w:p>
    <w:p>
      <w:pPr>
        <w:pStyle w:val="Heading5"/>
        <w:spacing w:before="180"/>
        <w:rPr>
          <w:snapToGrid w:val="0"/>
        </w:rPr>
      </w:pPr>
      <w:bookmarkStart w:id="84" w:name="_Toc491956713"/>
      <w:bookmarkStart w:id="85" w:name="_Toc473035896"/>
      <w:r>
        <w:rPr>
          <w:rStyle w:val="CharSectno"/>
        </w:rPr>
        <w:t>30</w:t>
      </w:r>
      <w:r>
        <w:rPr>
          <w:snapToGrid w:val="0"/>
        </w:rPr>
        <w:t>.</w:t>
      </w:r>
      <w:r>
        <w:rPr>
          <w:snapToGrid w:val="0"/>
        </w:rPr>
        <w:tab/>
        <w:t>Water</w:t>
      </w:r>
      <w:bookmarkEnd w:id="84"/>
      <w:bookmarkEnd w:id="85"/>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take water from, or interfere with water on, CALM land; or</w:t>
      </w:r>
    </w:p>
    <w:p>
      <w:pPr>
        <w:pStyle w:val="Indenta"/>
        <w:rPr>
          <w:snapToGrid w:val="0"/>
        </w:rPr>
      </w:pPr>
      <w:r>
        <w:rPr>
          <w:snapToGrid w:val="0"/>
        </w:rPr>
        <w:tab/>
        <w:t>(b)</w:t>
      </w:r>
      <w:r>
        <w:rPr>
          <w:snapToGrid w:val="0"/>
        </w:rPr>
        <w:tab/>
        <w:t>drain any part of CALM land; or</w:t>
      </w:r>
    </w:p>
    <w:p>
      <w:pPr>
        <w:pStyle w:val="Indenta"/>
        <w:rPr>
          <w:snapToGrid w:val="0"/>
        </w:rPr>
      </w:pPr>
      <w:r>
        <w:rPr>
          <w:snapToGrid w:val="0"/>
        </w:rPr>
        <w:tab/>
        <w:t>(c)</w:t>
      </w:r>
      <w:r>
        <w:rPr>
          <w:snapToGrid w:val="0"/>
        </w:rPr>
        <w:tab/>
      </w:r>
      <w:r>
        <w:t>interfere with any drain on CALM land; or</w:t>
      </w:r>
    </w:p>
    <w:p>
      <w:pPr>
        <w:pStyle w:val="Indenta"/>
        <w:rPr>
          <w:snapToGrid w:val="0"/>
        </w:rPr>
      </w:pPr>
      <w:r>
        <w:rPr>
          <w:snapToGrid w:val="0"/>
        </w:rPr>
        <w:tab/>
        <w:t>(d)</w:t>
      </w:r>
      <w:r>
        <w:rPr>
          <w:snapToGrid w:val="0"/>
        </w:rPr>
        <w:tab/>
        <w:t>divert water on or onto CALM land; or</w:t>
      </w:r>
    </w:p>
    <w:p>
      <w:pPr>
        <w:pStyle w:val="Indenta"/>
        <w:keepLines/>
        <w:rPr>
          <w:snapToGrid w:val="0"/>
        </w:rPr>
      </w:pPr>
      <w:r>
        <w:rPr>
          <w:snapToGrid w:val="0"/>
        </w:rPr>
        <w:tab/>
        <w:t>(e)</w:t>
      </w:r>
      <w:r>
        <w:rPr>
          <w:snapToGrid w:val="0"/>
        </w:rPr>
        <w:tab/>
        <w:t>make any construction</w:t>
      </w:r>
      <w:r>
        <w:t xml:space="preserve"> for a purpose referred to in paragraph (a), (b), (c) or (d)</w:t>
      </w:r>
      <w:r>
        <w:rPr>
          <w:snapToGrid w:val="0"/>
        </w:rPr>
        <w:t>.</w:t>
      </w:r>
    </w:p>
    <w:p>
      <w:pPr>
        <w:pStyle w:val="Penstart"/>
        <w:keepLines/>
        <w:rPr>
          <w:snapToGrid w:val="0"/>
        </w:rPr>
      </w:pPr>
      <w:r>
        <w:rPr>
          <w:snapToGrid w:val="0"/>
        </w:rPr>
        <w:tab/>
        <w:t xml:space="preserve">Penalty: </w:t>
      </w:r>
      <w:r>
        <w:t>a fine of</w:t>
      </w:r>
      <w:r>
        <w:rPr>
          <w:snapToGrid w:val="0"/>
        </w:rPr>
        <w:t xml:space="preserve"> $2 000.</w:t>
      </w:r>
    </w:p>
    <w:p>
      <w:pPr>
        <w:pStyle w:val="Subsection"/>
      </w:pPr>
      <w:r>
        <w:tab/>
        <w:t>(2)</w:t>
      </w:r>
      <w:r>
        <w:tab/>
        <w:t>Subregulation (1)(a) does not apply to an individual who takes water for the personal needs of the individual or others associated with the individual.</w:t>
      </w:r>
    </w:p>
    <w:p>
      <w:pPr>
        <w:pStyle w:val="Footnotesection"/>
      </w:pPr>
      <w:r>
        <w:tab/>
        <w:t>[Regulation 30 amended in Gazette 29 Sep 2006 p. 4308; 3 Dec 2010 p. 6052</w:t>
      </w:r>
      <w:r>
        <w:noBreakHyphen/>
        <w:t>3.]</w:t>
      </w:r>
    </w:p>
    <w:p>
      <w:pPr>
        <w:pStyle w:val="Heading5"/>
        <w:spacing w:before="180"/>
        <w:rPr>
          <w:snapToGrid w:val="0"/>
        </w:rPr>
      </w:pPr>
      <w:bookmarkStart w:id="86" w:name="_Toc491956714"/>
      <w:bookmarkStart w:id="87" w:name="_Toc473035897"/>
      <w:r>
        <w:rPr>
          <w:rStyle w:val="CharSectno"/>
        </w:rPr>
        <w:t>31</w:t>
      </w:r>
      <w:r>
        <w:rPr>
          <w:snapToGrid w:val="0"/>
        </w:rPr>
        <w:t>.</w:t>
      </w:r>
      <w:r>
        <w:rPr>
          <w:snapToGrid w:val="0"/>
        </w:rPr>
        <w:tab/>
        <w:t>Damage etc. to naturally occurring features</w:t>
      </w:r>
      <w:bookmarkEnd w:id="86"/>
      <w:bookmarkEnd w:id="87"/>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pPr>
      <w:r>
        <w:rPr>
          <w:snapToGrid w:val="0"/>
        </w:rPr>
        <w:tab/>
        <w:t>(a)</w:t>
      </w:r>
      <w:r>
        <w:rPr>
          <w:snapToGrid w:val="0"/>
        </w:rPr>
        <w:tab/>
      </w:r>
      <w:r>
        <w:t>cause any significant damage or disturbance to a naturally occurring feature on CALM land; or</w:t>
      </w:r>
    </w:p>
    <w:p>
      <w:pPr>
        <w:pStyle w:val="Indenta"/>
        <w:rPr>
          <w:snapToGrid w:val="0"/>
        </w:rPr>
      </w:pPr>
      <w:r>
        <w:rPr>
          <w:snapToGrid w:val="0"/>
        </w:rPr>
        <w:tab/>
        <w:t>(b)</w:t>
      </w:r>
      <w:r>
        <w:rPr>
          <w:snapToGrid w:val="0"/>
        </w:rPr>
        <w:tab/>
        <w:t>damage or disturb any naturally occurring feature on CALM land in a way that causes, or creates a potential for, adverse consequences to or in relation to CALM land; or</w:t>
      </w:r>
    </w:p>
    <w:p>
      <w:pPr>
        <w:pStyle w:val="Indenta"/>
        <w:rPr>
          <w:snapToGrid w:val="0"/>
        </w:rPr>
      </w:pPr>
      <w:r>
        <w:rPr>
          <w:snapToGrid w:val="0"/>
        </w:rPr>
        <w:tab/>
        <w:t>(c)</w:t>
      </w:r>
      <w:r>
        <w:rPr>
          <w:snapToGrid w:val="0"/>
        </w:rPr>
        <w:tab/>
        <w:t>remove any naturally occurring feature from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An authorised officer who believes on reasonable grounds that a naturally occurring feature found in the possession of a person is involved in the commission of an offence against subregulation (1) may direct that person to surrender the naturally occurring feature to the authorised officer immediately.</w:t>
      </w:r>
    </w:p>
    <w:p>
      <w:pPr>
        <w:pStyle w:val="Subsection"/>
        <w:rPr>
          <w:snapToGrid w:val="0"/>
        </w:rPr>
      </w:pPr>
      <w:r>
        <w:rPr>
          <w:snapToGrid w:val="0"/>
        </w:rPr>
        <w:tab/>
        <w:t>(3)</w:t>
      </w:r>
      <w:r>
        <w:rPr>
          <w:snapToGrid w:val="0"/>
        </w:rPr>
        <w:tab/>
        <w:t>A person must comply with a direction under subregulation (2).</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In this regulation — </w:t>
      </w:r>
    </w:p>
    <w:p>
      <w:pPr>
        <w:pStyle w:val="Defstart"/>
      </w:pPr>
      <w:r>
        <w:tab/>
      </w:r>
      <w:r>
        <w:rPr>
          <w:rStyle w:val="CharDefText"/>
        </w:rPr>
        <w:t>naturally occurring feature</w:t>
      </w:r>
      <w:r>
        <w:t xml:space="preserve"> includes —</w:t>
      </w:r>
    </w:p>
    <w:p>
      <w:pPr>
        <w:pStyle w:val="Defpara"/>
      </w:pPr>
      <w:r>
        <w:tab/>
        <w:t>(a)</w:t>
      </w:r>
      <w:r>
        <w:tab/>
        <w:t>a fossil; and</w:t>
      </w:r>
    </w:p>
    <w:p>
      <w:pPr>
        <w:pStyle w:val="Defpara"/>
      </w:pPr>
      <w:r>
        <w:tab/>
        <w:t>(b)</w:t>
      </w:r>
      <w:r>
        <w:tab/>
        <w:t>a mineral specimen, meteorite and tektite; and</w:t>
      </w:r>
    </w:p>
    <w:p>
      <w:pPr>
        <w:pStyle w:val="Defpara"/>
      </w:pPr>
      <w:r>
        <w:tab/>
        <w:t>(c)</w:t>
      </w:r>
      <w:r>
        <w:tab/>
        <w:t xml:space="preserve">a </w:t>
      </w:r>
      <w:del w:id="88" w:author="Master Repository Process" w:date="2021-07-31T20:58:00Z">
        <w:r>
          <w:delText>speleotherm</w:delText>
        </w:r>
      </w:del>
      <w:ins w:id="89" w:author="Master Repository Process" w:date="2021-07-31T20:58:00Z">
        <w:r>
          <w:t>speleothem</w:t>
        </w:r>
      </w:ins>
      <w:r>
        <w:t xml:space="preserve"> and speleogen; and</w:t>
      </w:r>
    </w:p>
    <w:p>
      <w:pPr>
        <w:pStyle w:val="Defpara"/>
      </w:pPr>
      <w:r>
        <w:tab/>
        <w:t>(d)</w:t>
      </w:r>
      <w:r>
        <w:tab/>
        <w:t>a termite mound; and</w:t>
      </w:r>
    </w:p>
    <w:p>
      <w:pPr>
        <w:pStyle w:val="Defpara"/>
      </w:pPr>
      <w:r>
        <w:tab/>
        <w:t>(e)</w:t>
      </w:r>
      <w:r>
        <w:tab/>
        <w:t>guano; and</w:t>
      </w:r>
    </w:p>
    <w:p>
      <w:pPr>
        <w:pStyle w:val="Defpara"/>
      </w:pPr>
      <w:r>
        <w:tab/>
        <w:t>(f)</w:t>
      </w:r>
      <w:r>
        <w:tab/>
        <w:t>a stromatolite, sedimentary deposit associated with stromatolites or other sedimentary deposit, and cyano</w:t>
      </w:r>
      <w:r>
        <w:noBreakHyphen/>
        <w:t>bacteria responsible for building stromatolites which are present in stromatolites; and</w:t>
      </w:r>
    </w:p>
    <w:p>
      <w:pPr>
        <w:pStyle w:val="Defpara"/>
      </w:pPr>
      <w:r>
        <w:tab/>
        <w:t>(g)</w:t>
      </w:r>
      <w:r>
        <w:tab/>
        <w:t>dead marine shell, dead coral, dead sea urchin, coralline algae and live coral organisms living in dead coral.</w:t>
      </w:r>
    </w:p>
    <w:p>
      <w:pPr>
        <w:pStyle w:val="Footnotesection"/>
      </w:pPr>
      <w:r>
        <w:tab/>
        <w:t>[Regulation 31 amended in Gazette 3 Dec 2010 p. 6052</w:t>
      </w:r>
      <w:r>
        <w:noBreakHyphen/>
        <w:t>3</w:t>
      </w:r>
      <w:ins w:id="90" w:author="Master Repository Process" w:date="2021-07-31T20:58:00Z">
        <w:r>
          <w:t>; 1 Sep 2017 p. 4649</w:t>
        </w:r>
      </w:ins>
      <w:r>
        <w:t>.]</w:t>
      </w:r>
    </w:p>
    <w:p>
      <w:pPr>
        <w:pStyle w:val="Heading5"/>
        <w:rPr>
          <w:snapToGrid w:val="0"/>
        </w:rPr>
      </w:pPr>
      <w:bookmarkStart w:id="91" w:name="_Toc491956715"/>
      <w:bookmarkStart w:id="92" w:name="_Toc473035898"/>
      <w:r>
        <w:rPr>
          <w:rStyle w:val="CharSectno"/>
        </w:rPr>
        <w:t>32</w:t>
      </w:r>
      <w:r>
        <w:rPr>
          <w:snapToGrid w:val="0"/>
        </w:rPr>
        <w:t>.</w:t>
      </w:r>
      <w:r>
        <w:rPr>
          <w:snapToGrid w:val="0"/>
        </w:rPr>
        <w:tab/>
        <w:t>Sandboarding</w:t>
      </w:r>
      <w:bookmarkEnd w:id="91"/>
      <w:bookmarkEnd w:id="92"/>
      <w:r>
        <w:rPr>
          <w:snapToGrid w:val="0"/>
        </w:rPr>
        <w:t xml:space="preserve"> </w:t>
      </w:r>
    </w:p>
    <w:p>
      <w:pPr>
        <w:pStyle w:val="Subsection"/>
        <w:rPr>
          <w:snapToGrid w:val="0"/>
        </w:rPr>
      </w:pPr>
      <w:r>
        <w:rPr>
          <w:snapToGrid w:val="0"/>
        </w:rPr>
        <w:tab/>
      </w:r>
      <w:r>
        <w:rPr>
          <w:snapToGrid w:val="0"/>
        </w:rPr>
        <w:tab/>
        <w:t>A person must not, without lawful authority, on CALM land use a board or other object to slide down a slope.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32 amended in Gazette 3 Dec 2010 p. 6052</w:t>
      </w:r>
      <w:r>
        <w:noBreakHyphen/>
        <w:t>3; 19 Sep 2014 p. 3335.]</w:t>
      </w:r>
    </w:p>
    <w:p>
      <w:pPr>
        <w:pStyle w:val="Heading5"/>
      </w:pPr>
      <w:bookmarkStart w:id="93" w:name="_Toc491956716"/>
      <w:bookmarkStart w:id="94" w:name="_Toc473035899"/>
      <w:r>
        <w:rPr>
          <w:rStyle w:val="CharSectno"/>
        </w:rPr>
        <w:t>33</w:t>
      </w:r>
      <w:r>
        <w:t>.</w:t>
      </w:r>
      <w:r>
        <w:tab/>
        <w:t>Abseiling</w:t>
      </w:r>
      <w:bookmarkEnd w:id="93"/>
      <w:bookmarkEnd w:id="94"/>
    </w:p>
    <w:p>
      <w:pPr>
        <w:pStyle w:val="Subsection"/>
      </w:pPr>
      <w:r>
        <w:tab/>
        <w:t>(1)</w:t>
      </w:r>
      <w:r>
        <w:tab/>
        <w:t>A person must not, without lawful authority, abseil on CALM land except in an abseiling area.</w:t>
      </w:r>
    </w:p>
    <w:p>
      <w:pPr>
        <w:pStyle w:val="Penstart"/>
      </w:pPr>
      <w:r>
        <w:tab/>
        <w:t>Penalty: a fine of $1 000.</w:t>
      </w:r>
    </w:p>
    <w:p>
      <w:pPr>
        <w:pStyle w:val="Subsection"/>
      </w:pPr>
      <w:r>
        <w:tab/>
        <w:t>(2)</w:t>
      </w:r>
      <w:r>
        <w:tab/>
        <w:t>A person abseiling in an abseiling area must comply with conditions specified on signs erected in or in the vicinity of that area for the purposes of regulation 6(3) or signs designating the area as an abseiling area.</w:t>
      </w:r>
    </w:p>
    <w:p>
      <w:pPr>
        <w:pStyle w:val="Penstart"/>
      </w:pPr>
      <w:r>
        <w:tab/>
        <w:t>Penalty: a fine of $1 000.</w:t>
      </w:r>
    </w:p>
    <w:p>
      <w:pPr>
        <w:pStyle w:val="Footnotesection"/>
      </w:pPr>
      <w:r>
        <w:tab/>
        <w:t>[Regulation 33 inserted in Gazette 3 Dec 2010 p. 6047; amended in Gazette 19 Sep 2014 p. 3335.]</w:t>
      </w:r>
    </w:p>
    <w:p>
      <w:pPr>
        <w:pStyle w:val="Heading5"/>
        <w:rPr>
          <w:snapToGrid w:val="0"/>
        </w:rPr>
      </w:pPr>
      <w:bookmarkStart w:id="95" w:name="_Toc491956717"/>
      <w:bookmarkStart w:id="96" w:name="_Toc473035900"/>
      <w:r>
        <w:rPr>
          <w:rStyle w:val="CharSectno"/>
        </w:rPr>
        <w:t>34</w:t>
      </w:r>
      <w:r>
        <w:rPr>
          <w:snapToGrid w:val="0"/>
        </w:rPr>
        <w:t>.</w:t>
      </w:r>
      <w:r>
        <w:rPr>
          <w:snapToGrid w:val="0"/>
        </w:rPr>
        <w:tab/>
        <w:t>Unauthorised buildings etc.</w:t>
      </w:r>
      <w:bookmarkEnd w:id="95"/>
      <w:bookmarkEnd w:id="96"/>
      <w:r>
        <w:rPr>
          <w:snapToGrid w:val="0"/>
        </w:rPr>
        <w:t xml:space="preserve"> </w:t>
      </w:r>
    </w:p>
    <w:p>
      <w:pPr>
        <w:pStyle w:val="Subsection"/>
        <w:rPr>
          <w:snapToGrid w:val="0"/>
        </w:rPr>
      </w:pPr>
      <w:r>
        <w:rPr>
          <w:snapToGrid w:val="0"/>
        </w:rPr>
        <w:tab/>
        <w:t>(1)</w:t>
      </w:r>
      <w:r>
        <w:rPr>
          <w:snapToGrid w:val="0"/>
        </w:rPr>
        <w:tab/>
        <w:t>A person must not, without lawful authority, erect or place any structure on CALM land.</w:t>
      </w:r>
    </w:p>
    <w:p>
      <w:pPr>
        <w:pStyle w:val="Penstart"/>
        <w:rPr>
          <w:snapToGrid w:val="0"/>
        </w:rPr>
      </w:pPr>
      <w:r>
        <w:rPr>
          <w:snapToGrid w:val="0"/>
        </w:rPr>
        <w:tab/>
        <w:t xml:space="preserve">Penalty: </w:t>
      </w:r>
      <w:r>
        <w:t>a fine of</w:t>
      </w:r>
      <w:r>
        <w:rPr>
          <w:snapToGrid w:val="0"/>
        </w:rPr>
        <w:t xml:space="preserve"> $2 000.</w:t>
      </w:r>
    </w:p>
    <w:p>
      <w:pPr>
        <w:pStyle w:val="Subsection"/>
        <w:keepNext/>
      </w:pPr>
      <w:r>
        <w:tab/>
        <w:t>(2)</w:t>
      </w:r>
      <w:r>
        <w:tab/>
        <w:t xml:space="preserve">In subregulation (1) — </w:t>
      </w:r>
    </w:p>
    <w:p>
      <w:pPr>
        <w:pStyle w:val="Defstart"/>
      </w:pPr>
      <w:r>
        <w:tab/>
      </w:r>
      <w:r>
        <w:rPr>
          <w:rStyle w:val="CharDefText"/>
        </w:rPr>
        <w:t>structure</w:t>
      </w:r>
      <w:r>
        <w:t xml:space="preserve"> — </w:t>
      </w:r>
    </w:p>
    <w:p>
      <w:pPr>
        <w:pStyle w:val="Defpara"/>
      </w:pPr>
      <w:r>
        <w:tab/>
        <w:t>(a)</w:t>
      </w:r>
      <w:r>
        <w:tab/>
        <w:t>includes any building, tramline, fence, post, pipeline, jetty, pontoon, cairn, memorial, ramp, barrier or gate;</w:t>
      </w:r>
    </w:p>
    <w:p>
      <w:pPr>
        <w:pStyle w:val="Defpara"/>
      </w:pPr>
      <w:r>
        <w:tab/>
        <w:t>(b)</w:t>
      </w:r>
      <w:r>
        <w:tab/>
        <w:t>does not include a mooring.</w:t>
      </w:r>
    </w:p>
    <w:p>
      <w:pPr>
        <w:pStyle w:val="Subsection"/>
      </w:pPr>
      <w:r>
        <w:tab/>
        <w:t>(3)</w:t>
      </w:r>
      <w:r>
        <w:tab/>
        <w:t>An authorised officer may direct a person who has contravened subregulation (1) to pull down, take apart or remove the structure.</w:t>
      </w:r>
    </w:p>
    <w:p>
      <w:pPr>
        <w:pStyle w:val="Subsection"/>
        <w:keepNext/>
      </w:pPr>
      <w:r>
        <w:tab/>
        <w:t>(4)</w:t>
      </w:r>
      <w:r>
        <w:tab/>
        <w:t>The person must comply with the direction.</w:t>
      </w:r>
    </w:p>
    <w:p>
      <w:pPr>
        <w:pStyle w:val="Penstart"/>
      </w:pPr>
      <w:r>
        <w:tab/>
        <w:t>Penalty: a fine of $2 000.</w:t>
      </w:r>
    </w:p>
    <w:p>
      <w:pPr>
        <w:pStyle w:val="Footnotesection"/>
      </w:pPr>
      <w:r>
        <w:tab/>
        <w:t>[Regulation 34 amended in Gazette 29 Sep 2006 p. 4308</w:t>
      </w:r>
      <w:r>
        <w:noBreakHyphen/>
        <w:t>9; 3 Dec 2010 p. 6047 and 6052</w:t>
      </w:r>
      <w:r>
        <w:noBreakHyphen/>
        <w:t>3.]</w:t>
      </w:r>
    </w:p>
    <w:p>
      <w:pPr>
        <w:pStyle w:val="Heading5"/>
        <w:rPr>
          <w:snapToGrid w:val="0"/>
        </w:rPr>
      </w:pPr>
      <w:bookmarkStart w:id="97" w:name="_Toc491956718"/>
      <w:bookmarkStart w:id="98" w:name="_Toc473035901"/>
      <w:r>
        <w:rPr>
          <w:rStyle w:val="CharSectno"/>
        </w:rPr>
        <w:t>35</w:t>
      </w:r>
      <w:r>
        <w:rPr>
          <w:snapToGrid w:val="0"/>
        </w:rPr>
        <w:t>.</w:t>
      </w:r>
      <w:r>
        <w:rPr>
          <w:snapToGrid w:val="0"/>
        </w:rPr>
        <w:tab/>
        <w:t>Unauthorised clearing</w:t>
      </w:r>
      <w:bookmarkEnd w:id="97"/>
      <w:bookmarkEnd w:id="98"/>
      <w:r>
        <w:rPr>
          <w:snapToGrid w:val="0"/>
        </w:rPr>
        <w:t xml:space="preserve"> </w:t>
      </w:r>
    </w:p>
    <w:p>
      <w:pPr>
        <w:pStyle w:val="Subsection"/>
        <w:rPr>
          <w:snapToGrid w:val="0"/>
        </w:rPr>
      </w:pPr>
      <w:r>
        <w:rPr>
          <w:snapToGrid w:val="0"/>
        </w:rPr>
        <w:tab/>
      </w:r>
      <w:r>
        <w:rPr>
          <w:snapToGrid w:val="0"/>
        </w:rPr>
        <w:tab/>
        <w:t>A person must not, without lawful authority, construct or mark out any road, track, fire break, landing strip, parking area, vessel launching area or pad or platform for building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35 amended in Gazette 3 Dec 2010 p. 6052</w:t>
      </w:r>
      <w:r>
        <w:noBreakHyphen/>
        <w:t>3.]</w:t>
      </w:r>
    </w:p>
    <w:p>
      <w:pPr>
        <w:pStyle w:val="Heading5"/>
      </w:pPr>
      <w:bookmarkStart w:id="99" w:name="_Toc491956719"/>
      <w:bookmarkStart w:id="100" w:name="_Toc473035902"/>
      <w:r>
        <w:rPr>
          <w:rStyle w:val="CharSectno"/>
        </w:rPr>
        <w:t>35A</w:t>
      </w:r>
      <w:r>
        <w:t>.</w:t>
      </w:r>
      <w:r>
        <w:tab/>
        <w:t>Quarrying, removing or disturbing soil etc.</w:t>
      </w:r>
      <w:bookmarkEnd w:id="99"/>
      <w:bookmarkEnd w:id="100"/>
    </w:p>
    <w:p>
      <w:pPr>
        <w:pStyle w:val="Subsection"/>
      </w:pPr>
      <w:r>
        <w:tab/>
        <w:t>(1)</w:t>
      </w:r>
      <w:r>
        <w:tab/>
        <w:t>A person must not, without lawful authority, disturb or remove leaf mould, rotting vegetation, humus, soil, stone or gravel on or in CALM land.</w:t>
      </w:r>
    </w:p>
    <w:p>
      <w:pPr>
        <w:pStyle w:val="Penstart"/>
      </w:pPr>
      <w:r>
        <w:tab/>
        <w:t>Penalty: a fine of $2 000.</w:t>
      </w:r>
    </w:p>
    <w:p>
      <w:pPr>
        <w:pStyle w:val="Subsection"/>
      </w:pPr>
      <w:r>
        <w:tab/>
        <w:t>(2)</w:t>
      </w:r>
      <w:r>
        <w:tab/>
        <w:t xml:space="preserve">In this regulation — </w:t>
      </w:r>
    </w:p>
    <w:p>
      <w:pPr>
        <w:pStyle w:val="Defstart"/>
      </w:pPr>
      <w:r>
        <w:rPr>
          <w:b/>
        </w:rPr>
        <w:tab/>
      </w:r>
      <w:r>
        <w:rPr>
          <w:rStyle w:val="CharDefText"/>
        </w:rPr>
        <w:t>soil</w:t>
      </w:r>
      <w:r>
        <w:t xml:space="preserve"> includes sand, shale, clay and evaporites.</w:t>
      </w:r>
    </w:p>
    <w:p>
      <w:pPr>
        <w:pStyle w:val="Footnotesection"/>
      </w:pPr>
      <w:r>
        <w:tab/>
        <w:t>[Regulation 35A inserted in Gazette 29 Sep 2006 p. 4309; amended in Gazette 3 Dec 2010 p. 6052</w:t>
      </w:r>
      <w:r>
        <w:noBreakHyphen/>
        <w:t>3.]</w:t>
      </w:r>
    </w:p>
    <w:p>
      <w:pPr>
        <w:pStyle w:val="Heading5"/>
        <w:rPr>
          <w:snapToGrid w:val="0"/>
        </w:rPr>
      </w:pPr>
      <w:bookmarkStart w:id="101" w:name="_Toc491956720"/>
      <w:bookmarkStart w:id="102" w:name="_Toc473035903"/>
      <w:r>
        <w:rPr>
          <w:rStyle w:val="CharSectno"/>
        </w:rPr>
        <w:t>36</w:t>
      </w:r>
      <w:r>
        <w:rPr>
          <w:snapToGrid w:val="0"/>
        </w:rPr>
        <w:t>.</w:t>
      </w:r>
      <w:r>
        <w:rPr>
          <w:snapToGrid w:val="0"/>
        </w:rPr>
        <w:tab/>
        <w:t>Dumping</w:t>
      </w:r>
      <w:bookmarkEnd w:id="101"/>
      <w:bookmarkEnd w:id="102"/>
      <w:r>
        <w:rPr>
          <w:snapToGrid w:val="0"/>
        </w:rPr>
        <w:t xml:space="preserve"> </w:t>
      </w:r>
    </w:p>
    <w:p>
      <w:pPr>
        <w:pStyle w:val="Subsection"/>
        <w:spacing w:before="120"/>
        <w:rPr>
          <w:snapToGrid w:val="0"/>
        </w:rPr>
      </w:pPr>
      <w:r>
        <w:rPr>
          <w:snapToGrid w:val="0"/>
        </w:rPr>
        <w:tab/>
      </w:r>
      <w:r>
        <w:rPr>
          <w:snapToGrid w:val="0"/>
        </w:rPr>
        <w:tab/>
        <w:t>A person must not, without lawful authority, abandon any vehicle, vessel, machinery or any part of a vehicle, vessel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spacing w:before="80"/>
        <w:ind w:left="890" w:hanging="890"/>
      </w:pPr>
      <w:r>
        <w:tab/>
        <w:t>[Regulation 36 amended in Gazette 3 Dec 2010 p. 6052</w:t>
      </w:r>
      <w:r>
        <w:noBreakHyphen/>
        <w:t>3.]</w:t>
      </w:r>
    </w:p>
    <w:p>
      <w:pPr>
        <w:pStyle w:val="Heading5"/>
        <w:spacing w:before="180"/>
        <w:rPr>
          <w:snapToGrid w:val="0"/>
        </w:rPr>
      </w:pPr>
      <w:bookmarkStart w:id="103" w:name="_Toc491956721"/>
      <w:bookmarkStart w:id="104" w:name="_Toc473035904"/>
      <w:r>
        <w:rPr>
          <w:rStyle w:val="CharSectno"/>
        </w:rPr>
        <w:t>37</w:t>
      </w:r>
      <w:r>
        <w:rPr>
          <w:snapToGrid w:val="0"/>
        </w:rPr>
        <w:t>.</w:t>
      </w:r>
      <w:r>
        <w:rPr>
          <w:snapToGrid w:val="0"/>
        </w:rPr>
        <w:tab/>
        <w:t>Damage to property</w:t>
      </w:r>
      <w:bookmarkEnd w:id="103"/>
      <w:bookmarkEnd w:id="104"/>
      <w:r>
        <w:rPr>
          <w:snapToGrid w:val="0"/>
        </w:rPr>
        <w:t xml:space="preserve"> </w:t>
      </w:r>
    </w:p>
    <w:p>
      <w:pPr>
        <w:pStyle w:val="Subsection"/>
        <w:spacing w:before="12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post, stick, stamp, stencil or otherwise affix any notice, handbill, placard, advertisement, paper or other document on or to any thing or structure that is part of the landscape or property on CALM land; or</w:t>
      </w:r>
    </w:p>
    <w:p>
      <w:pPr>
        <w:pStyle w:val="Indenta"/>
        <w:rPr>
          <w:snapToGrid w:val="0"/>
        </w:rPr>
      </w:pPr>
      <w:r>
        <w:rPr>
          <w:snapToGrid w:val="0"/>
        </w:rPr>
        <w:tab/>
        <w:t>(b)</w:t>
      </w:r>
      <w:r>
        <w:rPr>
          <w:snapToGrid w:val="0"/>
        </w:rPr>
        <w:tab/>
        <w:t xml:space="preserve">write, draw or paint on or deface any thing or structure that is part of the landscape or property on CALM land. </w:t>
      </w:r>
    </w:p>
    <w:p>
      <w:pPr>
        <w:pStyle w:val="Penstart"/>
        <w:rPr>
          <w:snapToGrid w:val="0"/>
        </w:rPr>
      </w:pPr>
      <w:r>
        <w:rPr>
          <w:snapToGrid w:val="0"/>
        </w:rPr>
        <w:tab/>
        <w:t xml:space="preserve">Penalty: </w:t>
      </w:r>
      <w:r>
        <w:t>a fine of</w:t>
      </w:r>
      <w:r>
        <w:rPr>
          <w:snapToGrid w:val="0"/>
        </w:rPr>
        <w:t xml:space="preserve"> $500.</w:t>
      </w:r>
    </w:p>
    <w:p>
      <w:pPr>
        <w:pStyle w:val="Subsection"/>
        <w:spacing w:before="120"/>
        <w:rPr>
          <w:snapToGrid w:val="0"/>
        </w:rPr>
      </w:pPr>
      <w:r>
        <w:rPr>
          <w:snapToGrid w:val="0"/>
        </w:rPr>
        <w:tab/>
        <w:t>(2)</w:t>
      </w:r>
      <w:r>
        <w:rPr>
          <w:snapToGrid w:val="0"/>
        </w:rPr>
        <w:tab/>
        <w:t>A person must not, without lawful authority, cause any damage or disturbance to, or interfere with, any ticket vending machine, sign</w:t>
      </w:r>
      <w:r>
        <w:t xml:space="preserve">, Aboriginal site or artefact, </w:t>
      </w:r>
      <w:r>
        <w:rPr>
          <w:snapToGrid w:val="0"/>
        </w:rPr>
        <w:t>or other thing or structure that is part of the landscape or property on CALM land.</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 xml:space="preserve">Nothing in subregulation (1)(a) applies to the use of a notice board set up with the authority of the </w:t>
      </w:r>
      <w:r>
        <w:t xml:space="preserve">CEO </w:t>
      </w:r>
      <w:r>
        <w:rPr>
          <w:snapToGrid w:val="0"/>
        </w:rPr>
        <w:t>for public use.</w:t>
      </w:r>
    </w:p>
    <w:p>
      <w:pPr>
        <w:pStyle w:val="Footnotesection"/>
      </w:pPr>
      <w:r>
        <w:tab/>
        <w:t>[Regulation 37 amended in Gazette 29 Sep 2006 p. 4309 and 4334; 3 Dec 2010 p. 6052</w:t>
      </w:r>
      <w:r>
        <w:noBreakHyphen/>
        <w:t>3.]</w:t>
      </w:r>
    </w:p>
    <w:p>
      <w:pPr>
        <w:pStyle w:val="Heading5"/>
        <w:spacing w:before="180"/>
        <w:rPr>
          <w:snapToGrid w:val="0"/>
        </w:rPr>
      </w:pPr>
      <w:bookmarkStart w:id="105" w:name="_Toc491956722"/>
      <w:bookmarkStart w:id="106" w:name="_Toc473035905"/>
      <w:r>
        <w:rPr>
          <w:rStyle w:val="CharSectno"/>
        </w:rPr>
        <w:t>38</w:t>
      </w:r>
      <w:r>
        <w:rPr>
          <w:snapToGrid w:val="0"/>
        </w:rPr>
        <w:t>.</w:t>
      </w:r>
      <w:r>
        <w:rPr>
          <w:snapToGrid w:val="0"/>
        </w:rPr>
        <w:tab/>
        <w:t>Unauthorised signs</w:t>
      </w:r>
      <w:bookmarkEnd w:id="105"/>
      <w:bookmarkEnd w:id="106"/>
      <w:r>
        <w:rPr>
          <w:snapToGrid w:val="0"/>
        </w:rPr>
        <w:t xml:space="preserve"> </w:t>
      </w:r>
    </w:p>
    <w:p>
      <w:pPr>
        <w:pStyle w:val="Subsection"/>
        <w:spacing w:before="120"/>
        <w:rPr>
          <w:snapToGrid w:val="0"/>
        </w:rPr>
      </w:pPr>
      <w:r>
        <w:rPr>
          <w:snapToGrid w:val="0"/>
        </w:rPr>
        <w:tab/>
        <w:t>(1)</w:t>
      </w:r>
      <w:r>
        <w:rPr>
          <w:snapToGrid w:val="0"/>
        </w:rPr>
        <w:tab/>
        <w:t>A person must not, without lawful authority, erect any sign or notice on CALM land.</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(2)</w:t>
      </w:r>
      <w:r>
        <w:rPr>
          <w:snapToGrid w:val="0"/>
        </w:rPr>
        <w:tab/>
        <w:t>An authorised officer may remove any sign or notice erected without lawful authority on CALM land.</w:t>
      </w:r>
    </w:p>
    <w:p>
      <w:pPr>
        <w:pStyle w:val="Footnotesection"/>
        <w:spacing w:before="60"/>
        <w:ind w:left="890" w:hanging="890"/>
      </w:pPr>
      <w:r>
        <w:tab/>
        <w:t>[Regulation 38 amended in Gazette 3 Dec 2010 p. 6052</w:t>
      </w:r>
      <w:r>
        <w:noBreakHyphen/>
        <w:t>3.]</w:t>
      </w:r>
    </w:p>
    <w:p>
      <w:pPr>
        <w:pStyle w:val="Heading5"/>
        <w:rPr>
          <w:snapToGrid w:val="0"/>
        </w:rPr>
      </w:pPr>
      <w:bookmarkStart w:id="107" w:name="_Toc491956723"/>
      <w:bookmarkStart w:id="108" w:name="_Toc473035906"/>
      <w:r>
        <w:rPr>
          <w:rStyle w:val="CharSectno"/>
        </w:rPr>
        <w:t>39</w:t>
      </w:r>
      <w:r>
        <w:rPr>
          <w:snapToGrid w:val="0"/>
        </w:rPr>
        <w:t>.</w:t>
      </w:r>
      <w:r>
        <w:rPr>
          <w:snapToGrid w:val="0"/>
        </w:rPr>
        <w:tab/>
        <w:t>Unlawful lighting of campfires etc.</w:t>
      </w:r>
      <w:bookmarkEnd w:id="107"/>
      <w:bookmarkEnd w:id="108"/>
      <w:r>
        <w:rPr>
          <w:snapToGrid w:val="0"/>
        </w:rPr>
        <w:t xml:space="preserve"> </w:t>
      </w:r>
    </w:p>
    <w:p>
      <w:pPr>
        <w:pStyle w:val="Subsection"/>
        <w:rPr>
          <w:snapToGrid w:val="0"/>
        </w:rPr>
      </w:pPr>
      <w:r>
        <w:rPr>
          <w:snapToGrid w:val="0"/>
        </w:rPr>
        <w:tab/>
        <w:t>(1)</w:t>
      </w:r>
      <w:r>
        <w:rPr>
          <w:snapToGrid w:val="0"/>
        </w:rPr>
        <w:tab/>
        <w:t xml:space="preserve">A person must not, without lawful authority, </w:t>
      </w:r>
      <w:r>
        <w:t>light, kindle, maintain or use, or assist another person in lighting, kindling or maintaining</w:t>
      </w:r>
      <w:r>
        <w:rPr>
          <w:snapToGrid w:val="0"/>
        </w:rPr>
        <w:t>, a campfire, barbecue or portable stove on CALM land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in a restricted area where that activity — </w:t>
      </w:r>
    </w:p>
    <w:p>
      <w:pPr>
        <w:pStyle w:val="Indenti"/>
        <w:rPr>
          <w:snapToGrid w:val="0"/>
        </w:rPr>
      </w:pPr>
      <w:r>
        <w:rPr>
          <w:snapToGrid w:val="0"/>
        </w:rPr>
        <w:tab/>
        <w:t>(i)</w:t>
      </w:r>
      <w:r>
        <w:rPr>
          <w:snapToGrid w:val="0"/>
        </w:rPr>
        <w:tab/>
        <w:t>is prohibited under regulation 5; or</w:t>
      </w:r>
    </w:p>
    <w:p>
      <w:pPr>
        <w:pStyle w:val="Indenti"/>
        <w:rPr>
          <w:snapToGrid w:val="0"/>
        </w:rPr>
      </w:pPr>
      <w:r>
        <w:rPr>
          <w:snapToGrid w:val="0"/>
        </w:rPr>
        <w:tab/>
        <w:t>(ii)</w:t>
      </w:r>
      <w:r>
        <w:rPr>
          <w:snapToGrid w:val="0"/>
        </w:rPr>
        <w:tab/>
        <w:t>contravenes a restriction imposed on that activity under regulation 5;</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flora and forest produce is in danger of being burnt or</w:t>
      </w:r>
      <w:r>
        <w:t xml:space="preserve"> injured; or</w:t>
      </w:r>
    </w:p>
    <w:p>
      <w:pPr>
        <w:pStyle w:val="Indenta"/>
        <w:rPr>
          <w:rStyle w:val="DraftersNotes"/>
          <w:b w:val="0"/>
          <w:i w:val="0"/>
        </w:rPr>
      </w:pPr>
      <w:r>
        <w:tab/>
        <w:t>(d)</w:t>
      </w:r>
      <w:r>
        <w:tab/>
        <w:t>contrary to any direction on a sign relating to that CALM land or an area of that land specified in the sign; or</w:t>
      </w:r>
    </w:p>
    <w:p>
      <w:pPr>
        <w:pStyle w:val="Indenta"/>
      </w:pPr>
      <w:r>
        <w:tab/>
        <w:t>(e)</w:t>
      </w:r>
      <w:r>
        <w:tab/>
        <w:t>where there is in force a fire danger forecast issued by the Bureau of Meteorology of “high”, “very high”, “severe”, “extreme” or “catastrophic” that relates to, or includes, that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tab/>
        <w:t>(2)</w:t>
      </w:r>
      <w:r>
        <w:tab/>
      </w:r>
      <w:r>
        <w:rPr>
          <w:snapToGrid w:val="0"/>
        </w:rPr>
        <w:t>A person must not, without lawful authority — </w:t>
      </w:r>
    </w:p>
    <w:p>
      <w:pPr>
        <w:pStyle w:val="Indenta"/>
        <w:rPr>
          <w:snapToGrid w:val="0"/>
        </w:rPr>
      </w:pPr>
      <w:r>
        <w:rPr>
          <w:snapToGrid w:val="0"/>
        </w:rPr>
        <w:tab/>
        <w:t>(a)</w:t>
      </w:r>
      <w:r>
        <w:rPr>
          <w:snapToGrid w:val="0"/>
        </w:rPr>
        <w:tab/>
        <w:t>light, kindle, maintain or use, or assist another person in lighting, kindling or maintaining, any fire within the boundaries or within 20 m of any boundary of CALM land; or</w:t>
      </w:r>
    </w:p>
    <w:p>
      <w:pPr>
        <w:pStyle w:val="Indenta"/>
        <w:keepNext/>
        <w:rPr>
          <w:snapToGrid w:val="0"/>
        </w:rPr>
      </w:pPr>
      <w:r>
        <w:rPr>
          <w:snapToGrid w:val="0"/>
        </w:rPr>
        <w:tab/>
        <w:t>(b)</w:t>
      </w:r>
      <w:r>
        <w:rPr>
          <w:snapToGrid w:val="0"/>
        </w:rPr>
        <w:tab/>
        <w:t>leave a fire described in paragraph (a) without taking due precaution against its spreading or causing injury,</w:t>
      </w:r>
    </w:p>
    <w:p>
      <w:pPr>
        <w:pStyle w:val="Subsection"/>
        <w:rPr>
          <w:snapToGrid w:val="0"/>
        </w:rPr>
      </w:pPr>
      <w:r>
        <w:rPr>
          <w:snapToGrid w:val="0"/>
        </w:rPr>
        <w:tab/>
      </w:r>
      <w:r>
        <w:rPr>
          <w:snapToGrid w:val="0"/>
        </w:rPr>
        <w:tab/>
        <w:t>if in either case any flora or forest produce is in danger of being burnt or injured.</w:t>
      </w:r>
    </w:p>
    <w:p>
      <w:pPr>
        <w:pStyle w:val="Penstart"/>
        <w:rPr>
          <w:snapToGrid w:val="0"/>
        </w:rPr>
      </w:pPr>
      <w:r>
        <w:rPr>
          <w:snapToGrid w:val="0"/>
        </w:rPr>
        <w:tab/>
        <w:t xml:space="preserve">Penalty: </w:t>
      </w:r>
      <w:r>
        <w:t>a fine of</w:t>
      </w:r>
      <w:r>
        <w:rPr>
          <w:snapToGrid w:val="0"/>
        </w:rPr>
        <w:t xml:space="preserve"> $2 000.</w:t>
      </w:r>
    </w:p>
    <w:p>
      <w:pPr>
        <w:pStyle w:val="Subsection"/>
      </w:pPr>
      <w:r>
        <w:tab/>
        <w:t>(3)</w:t>
      </w:r>
      <w:r>
        <w:tab/>
        <w:t>Subregulation (2) does not apply to a campfire, barbecue or portable stove on CALM land.</w:t>
      </w:r>
    </w:p>
    <w:p>
      <w:pPr>
        <w:pStyle w:val="Subsection"/>
      </w:pPr>
      <w:r>
        <w:tab/>
        <w:t>(4)</w:t>
      </w:r>
      <w:r>
        <w:tab/>
        <w:t xml:space="preserve">Nothing in this regulation affects the application of section 104 of the Act or regulation 29(2), or section 25 of the </w:t>
      </w:r>
      <w:r>
        <w:rPr>
          <w:i/>
        </w:rPr>
        <w:t>Bush Fires Act 1954</w:t>
      </w:r>
      <w:r>
        <w:t>.</w:t>
      </w:r>
    </w:p>
    <w:p>
      <w:pPr>
        <w:pStyle w:val="Footnotesection"/>
      </w:pPr>
      <w:r>
        <w:tab/>
        <w:t>[Regulation 39 amended in Gazette 29 Sep 2006 p. 4309</w:t>
      </w:r>
      <w:r>
        <w:noBreakHyphen/>
        <w:t>10; 3 Dec 2010 p. 6052</w:t>
      </w:r>
      <w:r>
        <w:noBreakHyphen/>
        <w:t>3; 19 Sep 2014 p. 3330</w:t>
      </w:r>
      <w:r>
        <w:noBreakHyphen/>
        <w:t>1.]</w:t>
      </w:r>
    </w:p>
    <w:p>
      <w:pPr>
        <w:pStyle w:val="Heading5"/>
      </w:pPr>
      <w:bookmarkStart w:id="109" w:name="_Toc491956724"/>
      <w:bookmarkStart w:id="110" w:name="_Toc473035907"/>
      <w:r>
        <w:rPr>
          <w:rStyle w:val="CharSectno"/>
        </w:rPr>
        <w:t>40</w:t>
      </w:r>
      <w:r>
        <w:t>.</w:t>
      </w:r>
      <w:r>
        <w:tab/>
        <w:t>Extinguishment of camp fires, barbeques and portable stoves</w:t>
      </w:r>
      <w:bookmarkEnd w:id="109"/>
      <w:bookmarkEnd w:id="110"/>
    </w:p>
    <w:p>
      <w:pPr>
        <w:pStyle w:val="Subsection"/>
      </w:pPr>
      <w:r>
        <w:tab/>
        <w:t>(1)</w:t>
      </w:r>
      <w:r>
        <w:tab/>
        <w:t xml:space="preserve">An authorised officer may direct any person to extinguish a camp fire, barbeque or portable stove on CALM land if the authorised officer considers that the camp fire, barbeque or stove constitutes — </w:t>
      </w:r>
    </w:p>
    <w:p>
      <w:pPr>
        <w:pStyle w:val="Indenta"/>
      </w:pPr>
      <w:r>
        <w:tab/>
        <w:t>(a)</w:t>
      </w:r>
      <w:r>
        <w:tab/>
        <w:t>a fire risk to any part of that land; or</w:t>
      </w:r>
    </w:p>
    <w:p>
      <w:pPr>
        <w:pStyle w:val="Indenta"/>
      </w:pPr>
      <w:r>
        <w:tab/>
        <w:t>(b)</w:t>
      </w:r>
      <w:r>
        <w:tab/>
        <w:t>a danger to the public.</w:t>
      </w:r>
    </w:p>
    <w:p>
      <w:pPr>
        <w:pStyle w:val="Subsection"/>
      </w:pPr>
      <w:r>
        <w:tab/>
        <w:t>(2)</w:t>
      </w:r>
      <w:r>
        <w:tab/>
        <w:t xml:space="preserve">An authorised officer may direct a person directed under subregulation (1) to extinguish a camp fire to take such other steps as the authorised officer considers reasonably necessary — </w:t>
      </w:r>
    </w:p>
    <w:p>
      <w:pPr>
        <w:pStyle w:val="Indenta"/>
      </w:pPr>
      <w:r>
        <w:tab/>
        <w:t>(a)</w:t>
      </w:r>
      <w:r>
        <w:tab/>
        <w:t>to prevent the camp fire from reigniting after it is extinguished; or</w:t>
      </w:r>
    </w:p>
    <w:p>
      <w:pPr>
        <w:pStyle w:val="Indenta"/>
      </w:pPr>
      <w:r>
        <w:tab/>
        <w:t>(b)</w:t>
      </w:r>
      <w:r>
        <w:tab/>
        <w:t>to prevent anything in or in the vicinity of the camp fire from constituting a danger to the public after it is extinguished.</w:t>
      </w:r>
    </w:p>
    <w:p>
      <w:pPr>
        <w:pStyle w:val="Subsection"/>
      </w:pPr>
      <w:r>
        <w:tab/>
        <w:t>(3)</w:t>
      </w:r>
      <w:r>
        <w:tab/>
        <w:t>A person must comply with a direction under subregulation (1) or (2).</w:t>
      </w:r>
    </w:p>
    <w:p>
      <w:pPr>
        <w:pStyle w:val="Penstart"/>
      </w:pPr>
      <w:r>
        <w:tab/>
        <w:t>Penalty: a fine of $2 000.</w:t>
      </w:r>
    </w:p>
    <w:p>
      <w:pPr>
        <w:pStyle w:val="Footnotesection"/>
      </w:pPr>
      <w:r>
        <w:tab/>
        <w:t>[Regulation 40 inserted in Gazette 3 Dec 2010 p. 6047</w:t>
      </w:r>
      <w:r>
        <w:noBreakHyphen/>
        <w:t>8.]</w:t>
      </w:r>
    </w:p>
    <w:p>
      <w:pPr>
        <w:pStyle w:val="Heading5"/>
      </w:pPr>
      <w:bookmarkStart w:id="111" w:name="_Toc491956725"/>
      <w:bookmarkStart w:id="112" w:name="_Toc473035908"/>
      <w:r>
        <w:rPr>
          <w:rStyle w:val="CharSectno"/>
        </w:rPr>
        <w:t>40A</w:t>
      </w:r>
      <w:r>
        <w:t>.</w:t>
      </w:r>
      <w:r>
        <w:tab/>
        <w:t>Unlawful lighting of fires — only one conviction</w:t>
      </w:r>
      <w:bookmarkEnd w:id="111"/>
      <w:bookmarkEnd w:id="112"/>
    </w:p>
    <w:p>
      <w:pPr>
        <w:pStyle w:val="Subsection"/>
      </w:pPr>
      <w:r>
        <w:tab/>
      </w:r>
      <w:r>
        <w:tab/>
        <w:t xml:space="preserve">A person cannot be convicted of more than one offence arising from the one act or omission that contravenes 2 or more of the following provisions — </w:t>
      </w:r>
    </w:p>
    <w:p>
      <w:pPr>
        <w:pStyle w:val="Indenta"/>
      </w:pPr>
      <w:r>
        <w:tab/>
        <w:t>(a)</w:t>
      </w:r>
      <w:r>
        <w:tab/>
        <w:t>section 104(1) of the Act;</w:t>
      </w:r>
    </w:p>
    <w:p>
      <w:pPr>
        <w:pStyle w:val="Indenta"/>
      </w:pPr>
      <w:r>
        <w:tab/>
        <w:t>(b)</w:t>
      </w:r>
      <w:r>
        <w:tab/>
        <w:t>regulation 29(2);</w:t>
      </w:r>
    </w:p>
    <w:p>
      <w:pPr>
        <w:pStyle w:val="Indenta"/>
      </w:pPr>
      <w:r>
        <w:tab/>
        <w:t>(c)</w:t>
      </w:r>
      <w:r>
        <w:tab/>
        <w:t>regulation 39(1);</w:t>
      </w:r>
    </w:p>
    <w:p>
      <w:pPr>
        <w:pStyle w:val="Indenta"/>
      </w:pPr>
      <w:r>
        <w:tab/>
        <w:t>(d)</w:t>
      </w:r>
      <w:r>
        <w:tab/>
        <w:t>regulation 39(2).</w:t>
      </w:r>
    </w:p>
    <w:p>
      <w:pPr>
        <w:pStyle w:val="Footnotesection"/>
      </w:pPr>
      <w:r>
        <w:tab/>
        <w:t>[Regulation 40A inserted in Gazette 29 Sep 2006 p. 4310</w:t>
      </w:r>
      <w:r>
        <w:noBreakHyphen/>
        <w:t>11.]</w:t>
      </w:r>
    </w:p>
    <w:p>
      <w:pPr>
        <w:pStyle w:val="Heading2"/>
      </w:pPr>
      <w:bookmarkStart w:id="113" w:name="_Toc491954572"/>
      <w:bookmarkStart w:id="114" w:name="_Toc491956726"/>
      <w:bookmarkStart w:id="115" w:name="_Toc473019171"/>
      <w:bookmarkStart w:id="116" w:name="_Toc473035909"/>
      <w:r>
        <w:rPr>
          <w:rStyle w:val="CharPartNo"/>
        </w:rPr>
        <w:t>Part 3</w:t>
      </w:r>
      <w:r>
        <w:t xml:space="preserve"> — </w:t>
      </w:r>
      <w:r>
        <w:rPr>
          <w:rStyle w:val="CharPartText"/>
        </w:rPr>
        <w:t>Access to CALM land</w:t>
      </w:r>
      <w:bookmarkEnd w:id="113"/>
      <w:bookmarkEnd w:id="114"/>
      <w:bookmarkEnd w:id="115"/>
      <w:bookmarkEnd w:id="116"/>
    </w:p>
    <w:p>
      <w:pPr>
        <w:pStyle w:val="Heading3"/>
      </w:pPr>
      <w:bookmarkStart w:id="117" w:name="_Toc491954573"/>
      <w:bookmarkStart w:id="118" w:name="_Toc491956727"/>
      <w:bookmarkStart w:id="119" w:name="_Toc473019172"/>
      <w:bookmarkStart w:id="120" w:name="_Toc473035910"/>
      <w:r>
        <w:rPr>
          <w:rStyle w:val="CharDivNo"/>
        </w:rPr>
        <w:t>Division 1</w:t>
      </w:r>
      <w:r>
        <w:rPr>
          <w:snapToGrid w:val="0"/>
        </w:rPr>
        <w:t xml:space="preserve"> — </w:t>
      </w:r>
      <w:r>
        <w:rPr>
          <w:rStyle w:val="CharDivText"/>
        </w:rPr>
        <w:t>General</w:t>
      </w:r>
      <w:bookmarkEnd w:id="117"/>
      <w:bookmarkEnd w:id="118"/>
      <w:bookmarkEnd w:id="119"/>
      <w:bookmarkEnd w:id="120"/>
    </w:p>
    <w:p>
      <w:pPr>
        <w:pStyle w:val="Heading5"/>
        <w:spacing w:before="180"/>
        <w:rPr>
          <w:snapToGrid w:val="0"/>
        </w:rPr>
      </w:pPr>
      <w:bookmarkStart w:id="121" w:name="_Toc491956728"/>
      <w:bookmarkStart w:id="122" w:name="_Toc473035911"/>
      <w:r>
        <w:rPr>
          <w:rStyle w:val="CharSectno"/>
        </w:rPr>
        <w:t>41</w:t>
      </w:r>
      <w:r>
        <w:rPr>
          <w:snapToGrid w:val="0"/>
        </w:rPr>
        <w:t>.</w:t>
      </w:r>
      <w:r>
        <w:rPr>
          <w:snapToGrid w:val="0"/>
        </w:rPr>
        <w:tab/>
        <w:t>Access to certain classified areas</w:t>
      </w:r>
      <w:bookmarkEnd w:id="121"/>
      <w:bookmarkEnd w:id="122"/>
    </w:p>
    <w:p>
      <w:pPr>
        <w:pStyle w:val="Subsection"/>
        <w:spacing w:before="120"/>
        <w:rPr>
          <w:snapToGrid w:val="0"/>
        </w:rPr>
      </w:pPr>
      <w:r>
        <w:rPr>
          <w:snapToGrid w:val="0"/>
        </w:rPr>
        <w:tab/>
      </w:r>
      <w:r>
        <w:rPr>
          <w:snapToGrid w:val="0"/>
        </w:rPr>
        <w:tab/>
        <w:t>A person must not, without lawful authority, enter any land or waters classified — </w:t>
      </w:r>
    </w:p>
    <w:p>
      <w:pPr>
        <w:pStyle w:val="Indenta"/>
        <w:spacing w:before="60"/>
        <w:rPr>
          <w:snapToGrid w:val="0"/>
        </w:rPr>
      </w:pPr>
      <w:r>
        <w:rPr>
          <w:snapToGrid w:val="0"/>
        </w:rPr>
        <w:tab/>
        <w:t>(a)</w:t>
      </w:r>
      <w:r>
        <w:rPr>
          <w:snapToGrid w:val="0"/>
        </w:rPr>
        <w:tab/>
        <w:t>under section 62(1)(b) of the Act as a prohibited area; or</w:t>
      </w:r>
    </w:p>
    <w:p>
      <w:pPr>
        <w:pStyle w:val="Indenta"/>
        <w:spacing w:before="60"/>
        <w:rPr>
          <w:snapToGrid w:val="0"/>
        </w:rPr>
      </w:pPr>
      <w:r>
        <w:rPr>
          <w:snapToGrid w:val="0"/>
        </w:rPr>
        <w:tab/>
        <w:t>(b)</w:t>
      </w:r>
      <w:r>
        <w:rPr>
          <w:snapToGrid w:val="0"/>
        </w:rPr>
        <w:tab/>
        <w:t>under section 62(1)(d) of the Act as a temporary</w:t>
      </w:r>
      <w:r>
        <w:t xml:space="preserve"> control area for a purpose referred to in section 62(2)(a)(i) or (ii) of the Act; or</w:t>
      </w:r>
    </w:p>
    <w:p>
      <w:pPr>
        <w:pStyle w:val="Indenta"/>
        <w:spacing w:before="60"/>
      </w:pPr>
      <w:r>
        <w:tab/>
        <w:t>(ca)</w:t>
      </w:r>
      <w:r>
        <w:tab/>
        <w:t>under section 62(1)(d) of the Act as a temporary control area for a purpose referred to in section 62(2)(a)(iii) of the Act; or</w:t>
      </w:r>
    </w:p>
    <w:p>
      <w:pPr>
        <w:pStyle w:val="Indenta"/>
        <w:spacing w:before="60"/>
      </w:pPr>
      <w:r>
        <w:rPr>
          <w:snapToGrid w:val="0"/>
        </w:rPr>
        <w:tab/>
        <w:t>(c)</w:t>
      </w:r>
      <w:r>
        <w:rPr>
          <w:snapToGrid w:val="0"/>
        </w:rPr>
        <w:tab/>
        <w:t xml:space="preserve">under section 62(1)(f) of the Act as </w:t>
      </w:r>
      <w:r>
        <w:t>a plant disease management area.</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41 amended in Gazette 3 Dec 2010 p. 6052</w:t>
      </w:r>
      <w:r>
        <w:noBreakHyphen/>
        <w:t>3; 7 Dec 2012 p. 5965-6.]</w:t>
      </w:r>
    </w:p>
    <w:p>
      <w:pPr>
        <w:pStyle w:val="Heading5"/>
        <w:spacing w:before="180"/>
      </w:pPr>
      <w:bookmarkStart w:id="123" w:name="_Toc491956729"/>
      <w:bookmarkStart w:id="124" w:name="_Toc473035912"/>
      <w:r>
        <w:rPr>
          <w:rStyle w:val="CharSectno"/>
        </w:rPr>
        <w:t>42</w:t>
      </w:r>
      <w:r>
        <w:t>.</w:t>
      </w:r>
      <w:r>
        <w:tab/>
        <w:t>Access to limited access areas</w:t>
      </w:r>
      <w:bookmarkEnd w:id="123"/>
      <w:bookmarkEnd w:id="124"/>
    </w:p>
    <w:p>
      <w:pPr>
        <w:pStyle w:val="Subsection"/>
        <w:spacing w:before="120"/>
      </w:pPr>
      <w:r>
        <w:tab/>
      </w:r>
      <w:r>
        <w:tab/>
        <w:t>A person must not, without lawful authority, enter otherwise than on foot or by vessel any land classified under section 62(1)(c) of the Act as a limited access area.</w:t>
      </w:r>
    </w:p>
    <w:p>
      <w:pPr>
        <w:pStyle w:val="Penstart"/>
      </w:pPr>
      <w:r>
        <w:tab/>
        <w:t>Penalty: a fine of $2 000.</w:t>
      </w:r>
    </w:p>
    <w:p>
      <w:pPr>
        <w:pStyle w:val="Footnotesection"/>
      </w:pPr>
      <w:r>
        <w:tab/>
        <w:t>[Regulation 42 inserted in Gazette 7 Dec 2012 p. 5966.]</w:t>
      </w:r>
    </w:p>
    <w:p>
      <w:pPr>
        <w:pStyle w:val="Heading5"/>
        <w:spacing w:before="180"/>
        <w:rPr>
          <w:snapToGrid w:val="0"/>
        </w:rPr>
      </w:pPr>
      <w:bookmarkStart w:id="125" w:name="_Toc491956730"/>
      <w:bookmarkStart w:id="126" w:name="_Toc473035913"/>
      <w:r>
        <w:rPr>
          <w:rStyle w:val="CharSectno"/>
        </w:rPr>
        <w:t>43</w:t>
      </w:r>
      <w:r>
        <w:rPr>
          <w:snapToGrid w:val="0"/>
        </w:rPr>
        <w:t>.</w:t>
      </w:r>
      <w:r>
        <w:rPr>
          <w:snapToGrid w:val="0"/>
        </w:rPr>
        <w:tab/>
        <w:t>Access to wilderness areas (Act s. 62(1)(a))</w:t>
      </w:r>
      <w:bookmarkEnd w:id="125"/>
      <w:bookmarkEnd w:id="126"/>
    </w:p>
    <w:p>
      <w:pPr>
        <w:pStyle w:val="Subsection"/>
        <w:keepNext/>
        <w:spacing w:before="120"/>
        <w:rPr>
          <w:snapToGrid w:val="0"/>
        </w:rPr>
      </w:pPr>
      <w:r>
        <w:rPr>
          <w:snapToGrid w:val="0"/>
        </w:rPr>
        <w:tab/>
      </w:r>
      <w:r>
        <w:rPr>
          <w:snapToGrid w:val="0"/>
        </w:rPr>
        <w:tab/>
        <w:t>A person must not, without lawful authority, enter by vehicle, powered vessel or animal any land or waters classified under section 62(1)(a) of the Act as a wilderness area.</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pPr>
      <w:r>
        <w:tab/>
        <w:t>[Regulation 43 amended in Gazette 3 Dec 2010 p. 6052</w:t>
      </w:r>
      <w:r>
        <w:noBreakHyphen/>
        <w:t>3; 19 Sep 2014 p. 3335.]</w:t>
      </w:r>
    </w:p>
    <w:p>
      <w:pPr>
        <w:pStyle w:val="Heading5"/>
        <w:rPr>
          <w:snapToGrid w:val="0"/>
        </w:rPr>
      </w:pPr>
      <w:bookmarkStart w:id="127" w:name="_Toc491956731"/>
      <w:bookmarkStart w:id="128" w:name="_Toc473035914"/>
      <w:r>
        <w:rPr>
          <w:rStyle w:val="CharSectno"/>
        </w:rPr>
        <w:t>44</w:t>
      </w:r>
      <w:r>
        <w:rPr>
          <w:snapToGrid w:val="0"/>
        </w:rPr>
        <w:t>.</w:t>
      </w:r>
      <w:r>
        <w:rPr>
          <w:snapToGrid w:val="0"/>
        </w:rPr>
        <w:tab/>
        <w:t>Direction to close area</w:t>
      </w:r>
      <w:bookmarkEnd w:id="127"/>
      <w:bookmarkEnd w:id="128"/>
      <w:r>
        <w:rPr>
          <w:snapToGrid w:val="0"/>
        </w:rPr>
        <w:t xml:space="preserve"> </w:t>
      </w:r>
    </w:p>
    <w:p>
      <w:pPr>
        <w:pStyle w:val="Subsection"/>
      </w:pPr>
      <w:r>
        <w:rPr>
          <w:snapToGrid w:val="0"/>
        </w:rPr>
        <w:tab/>
        <w:t>(1)</w:t>
      </w:r>
      <w:r>
        <w:rPr>
          <w:snapToGrid w:val="0"/>
        </w:rPr>
        <w:tab/>
        <w:t>If the CEO is satisfied that there is a significant and imminent threat of loss or harm to the safety or health of persons or fauna, or of damage to property or any part of the environment, the CEO may direct a named authorised officer to close as much CALM land as the officer thinks necessary to reduce or remove the threat.</w:t>
      </w:r>
    </w:p>
    <w:p>
      <w:pPr>
        <w:pStyle w:val="Subsection"/>
        <w:rPr>
          <w:snapToGrid w:val="0"/>
        </w:rPr>
      </w:pPr>
      <w:r>
        <w:rPr>
          <w:snapToGrid w:val="0"/>
        </w:rPr>
        <w:tab/>
        <w:t>(2)</w:t>
      </w:r>
      <w:r>
        <w:rPr>
          <w:snapToGrid w:val="0"/>
        </w:rPr>
        <w:tab/>
        <w:t xml:space="preserve">If the </w:t>
      </w:r>
      <w:r>
        <w:t xml:space="preserve">CEO </w:t>
      </w:r>
      <w:r>
        <w:rPr>
          <w:snapToGrid w:val="0"/>
        </w:rPr>
        <w:t xml:space="preserve">gives an oral direction for a closure under subregulation (1), the direction is to be confirmed by the </w:t>
      </w:r>
      <w:r>
        <w:t xml:space="preserve">CEO </w:t>
      </w:r>
      <w:r>
        <w:rPr>
          <w:snapToGrid w:val="0"/>
        </w:rPr>
        <w:t>in writing as soon as is reasonably practicable.</w:t>
      </w:r>
    </w:p>
    <w:p>
      <w:pPr>
        <w:pStyle w:val="Subsection"/>
        <w:rPr>
          <w:snapToGrid w:val="0"/>
        </w:rPr>
      </w:pPr>
      <w:r>
        <w:rPr>
          <w:snapToGrid w:val="0"/>
        </w:rPr>
        <w:tab/>
        <w:t>(3)</w:t>
      </w:r>
      <w:r>
        <w:rPr>
          <w:snapToGrid w:val="0"/>
        </w:rPr>
        <w:tab/>
        <w:t xml:space="preserve">The </w:t>
      </w:r>
      <w:r>
        <w:t xml:space="preserve">CEO </w:t>
      </w:r>
      <w:r>
        <w:rPr>
          <w:snapToGrid w:val="0"/>
        </w:rPr>
        <w:t>may vary or revoke a direction under subregulation (1) and is to revoke a direction as soon as practicable after being satisfied that the circumstances that gave rise to the direction no longer exist.</w:t>
      </w:r>
    </w:p>
    <w:p>
      <w:pPr>
        <w:pStyle w:val="Subsection"/>
      </w:pPr>
      <w:r>
        <w:tab/>
        <w:t>(4)</w:t>
      </w:r>
      <w:r>
        <w:tab/>
        <w:t>The closure of an area in a marine park or marine management area does not operate so as to prohibit a person entering or remaining in the area for the purpose of activities authorised in the area by an authorisation, licence, permit, lease, management plan or notice to which section 13D or 13E of the Act applies.</w:t>
      </w:r>
    </w:p>
    <w:p>
      <w:pPr>
        <w:pStyle w:val="Footnotesection"/>
      </w:pPr>
      <w:r>
        <w:tab/>
        <w:t>[Regulation 44 amended in Gazette 29 Sep 2006 p. 4311 and 4334.]</w:t>
      </w:r>
    </w:p>
    <w:p>
      <w:pPr>
        <w:pStyle w:val="Heading5"/>
        <w:rPr>
          <w:snapToGrid w:val="0"/>
        </w:rPr>
      </w:pPr>
      <w:bookmarkStart w:id="129" w:name="_Toc491956732"/>
      <w:bookmarkStart w:id="130" w:name="_Toc473035915"/>
      <w:r>
        <w:rPr>
          <w:rStyle w:val="CharSectno"/>
        </w:rPr>
        <w:t>45</w:t>
      </w:r>
      <w:r>
        <w:rPr>
          <w:snapToGrid w:val="0"/>
        </w:rPr>
        <w:t>.</w:t>
      </w:r>
      <w:r>
        <w:rPr>
          <w:snapToGrid w:val="0"/>
        </w:rPr>
        <w:tab/>
        <w:t>Closed area</w:t>
      </w:r>
      <w:bookmarkEnd w:id="129"/>
      <w:bookmarkEnd w:id="130"/>
      <w:r>
        <w:rPr>
          <w:snapToGrid w:val="0"/>
        </w:rPr>
        <w:t xml:space="preserve"> </w:t>
      </w:r>
    </w:p>
    <w:p>
      <w:pPr>
        <w:pStyle w:val="Subsection"/>
        <w:rPr>
          <w:snapToGrid w:val="0"/>
        </w:rPr>
      </w:pPr>
      <w:r>
        <w:rPr>
          <w:snapToGrid w:val="0"/>
        </w:rPr>
        <w:tab/>
        <w:t>(1)</w:t>
      </w:r>
      <w:r>
        <w:rPr>
          <w:snapToGrid w:val="0"/>
        </w:rPr>
        <w:tab/>
        <w:t>While a direction is in force under regulation 44, any authorised officer may by placement of signs, markings, barriers, or buoys mark out any area (whether one or more) that is for the time being closed for the purposes of that regulation.</w:t>
      </w:r>
    </w:p>
    <w:p>
      <w:pPr>
        <w:pStyle w:val="Subsection"/>
        <w:rPr>
          <w:snapToGrid w:val="0"/>
        </w:rPr>
      </w:pPr>
      <w:r>
        <w:rPr>
          <w:snapToGrid w:val="0"/>
        </w:rPr>
        <w:tab/>
        <w:t>(2)</w:t>
      </w:r>
      <w:r>
        <w:rPr>
          <w:snapToGrid w:val="0"/>
        </w:rPr>
        <w:tab/>
        <w:t>The dimensions of any closed area are not to be greater than is reasonably required for the purposes of regulation 44(1).</w:t>
      </w:r>
    </w:p>
    <w:p>
      <w:pPr>
        <w:pStyle w:val="Subsection"/>
        <w:rPr>
          <w:snapToGrid w:val="0"/>
        </w:rPr>
      </w:pPr>
      <w:r>
        <w:rPr>
          <w:snapToGrid w:val="0"/>
        </w:rPr>
        <w:tab/>
        <w:t>(3)</w:t>
      </w:r>
      <w:r>
        <w:rPr>
          <w:snapToGrid w:val="0"/>
        </w:rPr>
        <w:tab/>
        <w:t>Sufficient signs, markings, barriers or buoys are to be erected and maintained in or in the vicinity of a closed area indicating that entry to that area is prohibited without permission of an authorised officer.</w:t>
      </w:r>
    </w:p>
    <w:p>
      <w:pPr>
        <w:pStyle w:val="Subsection"/>
        <w:rPr>
          <w:snapToGrid w:val="0"/>
        </w:rPr>
      </w:pPr>
      <w:r>
        <w:rPr>
          <w:snapToGrid w:val="0"/>
        </w:rPr>
        <w:tab/>
        <w:t>(4)</w:t>
      </w:r>
      <w:r>
        <w:rPr>
          <w:snapToGrid w:val="0"/>
        </w:rPr>
        <w:tab/>
        <w:t>A sign, marking, barrier or buoy placed in the vicinity of any land or waters to which a direction under regulation 44 applies is to be presumed, in the absence of evidence to the contrary, to be a sign, marking, barrier or buoy placed by an authorised officer under subregulation (1).</w:t>
      </w:r>
    </w:p>
    <w:p>
      <w:pPr>
        <w:pStyle w:val="Footnotesection"/>
        <w:ind w:left="890" w:hanging="890"/>
      </w:pPr>
      <w:r>
        <w:tab/>
        <w:t>[Regulation 45 amended in Gazette 29 Sep 2006 p. 4311.]</w:t>
      </w:r>
    </w:p>
    <w:p>
      <w:pPr>
        <w:pStyle w:val="Heading5"/>
        <w:spacing w:before="240"/>
        <w:rPr>
          <w:snapToGrid w:val="0"/>
        </w:rPr>
      </w:pPr>
      <w:bookmarkStart w:id="131" w:name="_Toc491956733"/>
      <w:bookmarkStart w:id="132" w:name="_Toc473035916"/>
      <w:r>
        <w:rPr>
          <w:rStyle w:val="CharSectno"/>
        </w:rPr>
        <w:t>46</w:t>
      </w:r>
      <w:r>
        <w:rPr>
          <w:snapToGrid w:val="0"/>
        </w:rPr>
        <w:t>.</w:t>
      </w:r>
      <w:r>
        <w:rPr>
          <w:snapToGrid w:val="0"/>
        </w:rPr>
        <w:tab/>
        <w:t>Offences relating to closed areas</w:t>
      </w:r>
      <w:bookmarkEnd w:id="131"/>
      <w:bookmarkEnd w:id="132"/>
      <w:r>
        <w:rPr>
          <w:snapToGrid w:val="0"/>
        </w:rPr>
        <w:t xml:space="preserve"> </w:t>
      </w:r>
    </w:p>
    <w:p>
      <w:pPr>
        <w:pStyle w:val="Subsection"/>
        <w:rPr>
          <w:snapToGrid w:val="0"/>
        </w:rPr>
      </w:pPr>
      <w:r>
        <w:rPr>
          <w:snapToGrid w:val="0"/>
        </w:rPr>
        <w:tab/>
        <w:t>(1)</w:t>
      </w:r>
      <w:r>
        <w:rPr>
          <w:snapToGrid w:val="0"/>
        </w:rPr>
        <w:tab/>
        <w:t>Subject to regulation 44(4), a person must not, without permission of an authorised officer, enter or remain in an area closed under regulation 45.</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(2)</w:t>
      </w:r>
      <w:r>
        <w:rPr>
          <w:snapToGrid w:val="0"/>
        </w:rPr>
        <w:tab/>
        <w:t>An authorised officer may revoke a permission given to a person for the purposes of subregulation (1) in which case if the person is in a closed area he or she must leave the area immediately.</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(3)</w:t>
      </w:r>
      <w:r>
        <w:rPr>
          <w:snapToGrid w:val="0"/>
        </w:rPr>
        <w:tab/>
        <w:t>An authorised officer may grant permission for the purposes of subregulation (1) subject to any condition, and during any period when the condition is not observed or performed by that person the permission is to be treated as having been revoked.</w:t>
      </w:r>
    </w:p>
    <w:p>
      <w:pPr>
        <w:pStyle w:val="Subsection"/>
        <w:rPr>
          <w:snapToGrid w:val="0"/>
        </w:rPr>
      </w:pPr>
      <w:r>
        <w:rPr>
          <w:snapToGrid w:val="0"/>
        </w:rPr>
        <w:tab/>
        <w:t>(4)</w:t>
      </w:r>
      <w:r>
        <w:rPr>
          <w:snapToGrid w:val="0"/>
        </w:rPr>
        <w:tab/>
        <w:t>It is a defence to a charge of contravening subregulation (1) or (2) for a person to show that his or her presence in a closed area without permission was necessary to prevent or mitigate injury to a person or damage to property.</w:t>
      </w:r>
    </w:p>
    <w:p>
      <w:pPr>
        <w:pStyle w:val="Footnotesection"/>
        <w:ind w:left="890" w:hanging="890"/>
      </w:pPr>
      <w:r>
        <w:tab/>
        <w:t>[Regulation 46 amended in Gazette 3 Dec 2010 p. 6052</w:t>
      </w:r>
      <w:r>
        <w:noBreakHyphen/>
        <w:t>3; 19 Sep 2014 p. 3335.]</w:t>
      </w:r>
    </w:p>
    <w:p>
      <w:pPr>
        <w:pStyle w:val="Heading5"/>
        <w:spacing w:before="240"/>
      </w:pPr>
      <w:bookmarkStart w:id="133" w:name="_Toc491956734"/>
      <w:bookmarkStart w:id="134" w:name="_Toc473035917"/>
      <w:r>
        <w:rPr>
          <w:rStyle w:val="CharSectno"/>
        </w:rPr>
        <w:t>47</w:t>
      </w:r>
      <w:r>
        <w:t>.</w:t>
      </w:r>
      <w:r>
        <w:tab/>
        <w:t>Entering CALM land via gates etc.</w:t>
      </w:r>
      <w:bookmarkEnd w:id="133"/>
      <w:bookmarkEnd w:id="134"/>
    </w:p>
    <w:p>
      <w:pPr>
        <w:pStyle w:val="Subsection"/>
      </w:pPr>
      <w:r>
        <w:tab/>
        <w:t>(1)</w:t>
      </w:r>
      <w:r>
        <w:tab/>
        <w:t>If an entrance to an area of CALM land (other than land covered by subregulation (2)) is controlled by a gate or other barrier a person must not, without lawful authority, enter or cause a vehicle or animal to enter that area other than through that gate or barrier.</w:t>
      </w:r>
    </w:p>
    <w:p>
      <w:pPr>
        <w:pStyle w:val="Penstart"/>
      </w:pPr>
      <w:r>
        <w:tab/>
        <w:t>Penalty: a fine of $500.</w:t>
      </w:r>
    </w:p>
    <w:p>
      <w:pPr>
        <w:pStyle w:val="Subsection"/>
      </w:pPr>
      <w:r>
        <w:tab/>
        <w:t>(2)</w:t>
      </w:r>
      <w:r>
        <w:tab/>
        <w:t>A person must not, without lawful authority, unlock, dismantle or break down a locked gate or locked barrier controlling an entrance to an area of CALM land.</w:t>
      </w:r>
    </w:p>
    <w:p>
      <w:pPr>
        <w:pStyle w:val="Penstart"/>
      </w:pPr>
      <w:r>
        <w:tab/>
        <w:t>Penalty: a fine of $500.</w:t>
      </w:r>
    </w:p>
    <w:p>
      <w:pPr>
        <w:pStyle w:val="Subsection"/>
      </w:pPr>
      <w:r>
        <w:tab/>
        <w:t>(3)</w:t>
      </w:r>
      <w:r>
        <w:tab/>
        <w:t>A person must not, without lawful authority, open, remove, dismantle or breakdown a gate or barrier controlling an entrance to an area of CALM land if it is clear, by signs on or near the gate or barrier, that the gate or barrier is not meant to be opened or removed.</w:t>
      </w:r>
    </w:p>
    <w:p>
      <w:pPr>
        <w:pStyle w:val="Penstart"/>
      </w:pPr>
      <w:r>
        <w:tab/>
        <w:t>Penalty: a fine of $500.</w:t>
      </w:r>
    </w:p>
    <w:p>
      <w:pPr>
        <w:pStyle w:val="Footnotesection"/>
      </w:pPr>
      <w:r>
        <w:tab/>
        <w:t>[Regulation 47 inserted in Gazette 29 Sep 2006 p. 4311</w:t>
      </w:r>
      <w:r>
        <w:noBreakHyphen/>
        <w:t>12; amended in Gazette 3 Dec 2010 p. 6052</w:t>
      </w:r>
      <w:r>
        <w:noBreakHyphen/>
        <w:t>3.]</w:t>
      </w:r>
    </w:p>
    <w:p>
      <w:pPr>
        <w:pStyle w:val="Heading5"/>
        <w:rPr>
          <w:snapToGrid w:val="0"/>
        </w:rPr>
      </w:pPr>
      <w:bookmarkStart w:id="135" w:name="_Toc491956735"/>
      <w:bookmarkStart w:id="136" w:name="_Toc473035918"/>
      <w:r>
        <w:rPr>
          <w:rStyle w:val="CharSectno"/>
        </w:rPr>
        <w:t>48</w:t>
      </w:r>
      <w:r>
        <w:rPr>
          <w:snapToGrid w:val="0"/>
        </w:rPr>
        <w:t>.</w:t>
      </w:r>
      <w:r>
        <w:rPr>
          <w:snapToGrid w:val="0"/>
        </w:rPr>
        <w:tab/>
        <w:t xml:space="preserve">Areas set aside </w:t>
      </w:r>
      <w:r>
        <w:t>for purposes of CEO</w:t>
      </w:r>
      <w:bookmarkEnd w:id="135"/>
      <w:bookmarkEnd w:id="136"/>
    </w:p>
    <w:p>
      <w:pPr>
        <w:pStyle w:val="Subsection"/>
        <w:rPr>
          <w:snapToGrid w:val="0"/>
        </w:rPr>
      </w:pPr>
      <w:r>
        <w:rPr>
          <w:snapToGrid w:val="0"/>
        </w:rPr>
        <w:tab/>
      </w:r>
      <w:r>
        <w:rPr>
          <w:snapToGrid w:val="0"/>
        </w:rPr>
        <w:tab/>
        <w:t xml:space="preserve">A person must not, without lawful authority, enter or remain in any area of CALM land set aside for cultivation, gardens, animal enclosures, housing, education facilities or machinery sheds or any other property or facilities which are established </w:t>
      </w:r>
      <w:r>
        <w:t xml:space="preserve">for the purposes of the CEO </w:t>
      </w:r>
      <w:r>
        <w:rPr>
          <w:snapToGrid w:val="0"/>
        </w:rPr>
        <w:t>and which are not open to the public.</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48 amended in Gazette 29 Sep 2006 p. 4312; 3 Dec 2010 p. 6052</w:t>
      </w:r>
      <w:r>
        <w:noBreakHyphen/>
        <w:t>3.]</w:t>
      </w:r>
    </w:p>
    <w:p>
      <w:pPr>
        <w:pStyle w:val="Heading5"/>
      </w:pPr>
      <w:bookmarkStart w:id="137" w:name="_Toc491956736"/>
      <w:bookmarkStart w:id="138" w:name="_Toc473035919"/>
      <w:r>
        <w:rPr>
          <w:rStyle w:val="CharSectno"/>
        </w:rPr>
        <w:t>49A</w:t>
      </w:r>
      <w:r>
        <w:t>.</w:t>
      </w:r>
      <w:r>
        <w:tab/>
        <w:t>Access on foot</w:t>
      </w:r>
      <w:bookmarkEnd w:id="137"/>
      <w:bookmarkEnd w:id="138"/>
    </w:p>
    <w:p>
      <w:pPr>
        <w:pStyle w:val="Subsection"/>
      </w:pPr>
      <w:r>
        <w:tab/>
      </w:r>
      <w:r>
        <w:tab/>
        <w:t xml:space="preserve">A person must not, without lawful authority — </w:t>
      </w:r>
    </w:p>
    <w:p>
      <w:pPr>
        <w:pStyle w:val="Indenta"/>
      </w:pPr>
      <w:r>
        <w:tab/>
        <w:t>(a)</w:t>
      </w:r>
      <w:r>
        <w:tab/>
        <w:t>access a restricted area on foot if access on foot is prohibited under regulation 5; or</w:t>
      </w:r>
    </w:p>
    <w:p>
      <w:pPr>
        <w:pStyle w:val="Indenta"/>
        <w:keepNext/>
      </w:pPr>
      <w:r>
        <w:tab/>
        <w:t>(b)</w:t>
      </w:r>
      <w:r>
        <w:tab/>
        <w:t>contravene a restriction imposed on accessing a restricted area on foot under regulation 5.</w:t>
      </w:r>
    </w:p>
    <w:p>
      <w:pPr>
        <w:pStyle w:val="Penstart"/>
      </w:pPr>
      <w:r>
        <w:tab/>
        <w:t>Penalty: a fine of $2 000.</w:t>
      </w:r>
    </w:p>
    <w:p>
      <w:pPr>
        <w:pStyle w:val="Footnotesection"/>
      </w:pPr>
      <w:r>
        <w:tab/>
        <w:t>[Regulation 49A inserted in Gazette 10 Nov 2015 p. 4606.]</w:t>
      </w:r>
    </w:p>
    <w:p>
      <w:pPr>
        <w:pStyle w:val="Heading5"/>
        <w:rPr>
          <w:snapToGrid w:val="0"/>
        </w:rPr>
      </w:pPr>
      <w:bookmarkStart w:id="139" w:name="_Toc491956737"/>
      <w:bookmarkStart w:id="140" w:name="_Toc473035920"/>
      <w:r>
        <w:rPr>
          <w:rStyle w:val="CharSectno"/>
        </w:rPr>
        <w:t>49</w:t>
      </w:r>
      <w:r>
        <w:rPr>
          <w:snapToGrid w:val="0"/>
        </w:rPr>
        <w:t>.</w:t>
      </w:r>
      <w:r>
        <w:rPr>
          <w:snapToGrid w:val="0"/>
        </w:rPr>
        <w:tab/>
        <w:t>Caves</w:t>
      </w:r>
      <w:bookmarkEnd w:id="139"/>
      <w:bookmarkEnd w:id="140"/>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cave</w:t>
      </w:r>
      <w:r>
        <w:rPr>
          <w:b/>
        </w:rPr>
        <w:t xml:space="preserve"> </w:t>
      </w:r>
      <w:r>
        <w:t>means a cave or part of a cave which is on or under CALM land.</w:t>
      </w:r>
    </w:p>
    <w:p>
      <w:pPr>
        <w:pStyle w:val="Subsection"/>
        <w:rPr>
          <w:snapToGrid w:val="0"/>
        </w:rPr>
      </w:pPr>
      <w:r>
        <w:rPr>
          <w:snapToGrid w:val="0"/>
        </w:rPr>
        <w:tab/>
        <w:t>(2)</w:t>
      </w:r>
      <w:r>
        <w:rPr>
          <w:snapToGrid w:val="0"/>
        </w:rPr>
        <w:tab/>
        <w:t xml:space="preserve">The </w:t>
      </w:r>
      <w:r>
        <w:t xml:space="preserve">CEO </w:t>
      </w:r>
      <w:r>
        <w:rPr>
          <w:snapToGrid w:val="0"/>
        </w:rPr>
        <w:t xml:space="preserve">may, on payment of the </w:t>
      </w:r>
      <w:r>
        <w:t xml:space="preserve">appropriate </w:t>
      </w:r>
      <w:r>
        <w:rPr>
          <w:snapToGrid w:val="0"/>
        </w:rPr>
        <w:t>fee specified in Schedule 1</w:t>
      </w:r>
      <w:r>
        <w:t xml:space="preserve"> Division 8 item 1</w:t>
      </w:r>
      <w:r>
        <w:rPr>
          <w:snapToGrid w:val="0"/>
        </w:rPr>
        <w:t>, grant to any person a permit in an approved form to be in a cave.</w:t>
      </w:r>
    </w:p>
    <w:p>
      <w:pPr>
        <w:pStyle w:val="Subsection"/>
        <w:keepNext/>
        <w:rPr>
          <w:snapToGrid w:val="0"/>
        </w:rPr>
      </w:pPr>
      <w:r>
        <w:rPr>
          <w:snapToGrid w:val="0"/>
        </w:rPr>
        <w:tab/>
        <w:t>(3)</w:t>
      </w:r>
      <w:r>
        <w:rPr>
          <w:snapToGrid w:val="0"/>
        </w:rPr>
        <w:tab/>
        <w:t>A permit — </w:t>
      </w:r>
    </w:p>
    <w:p>
      <w:pPr>
        <w:pStyle w:val="Indenta"/>
        <w:rPr>
          <w:snapToGrid w:val="0"/>
        </w:rPr>
      </w:pPr>
      <w:r>
        <w:rPr>
          <w:snapToGrid w:val="0"/>
        </w:rPr>
        <w:tab/>
        <w:t>(a)</w:t>
      </w:r>
      <w:r>
        <w:rPr>
          <w:snapToGrid w:val="0"/>
        </w:rPr>
        <w:tab/>
        <w:t>authorises a person to be in a cave for the period specified in the permit; and</w:t>
      </w:r>
    </w:p>
    <w:p>
      <w:pPr>
        <w:pStyle w:val="Indenta"/>
        <w:rPr>
          <w:snapToGrid w:val="0"/>
        </w:rPr>
      </w:pPr>
      <w:r>
        <w:rPr>
          <w:snapToGrid w:val="0"/>
        </w:rPr>
        <w:tab/>
        <w:t>(b)</w:t>
      </w:r>
      <w:r>
        <w:rPr>
          <w:snapToGrid w:val="0"/>
        </w:rPr>
        <w:tab/>
        <w:t>is subject to such conditions and restrictions as are specified on the permit.</w:t>
      </w:r>
    </w:p>
    <w:p>
      <w:pPr>
        <w:pStyle w:val="Subsection"/>
      </w:pPr>
      <w:r>
        <w:tab/>
        <w:t>(3a)</w:t>
      </w:r>
      <w:r>
        <w:tab/>
        <w:t>If a person who holds a permit to be in a cave notifies the CEO more than 2 weeks before the period specified in the permit that the person is not going to use the permit, the CEO may refund the fee for the permit.</w:t>
      </w:r>
    </w:p>
    <w:p>
      <w:pPr>
        <w:pStyle w:val="Subsection"/>
        <w:rPr>
          <w:snapToGrid w:val="0"/>
        </w:rPr>
      </w:pPr>
      <w:r>
        <w:rPr>
          <w:snapToGrid w:val="0"/>
        </w:rPr>
        <w:tab/>
        <w:t>(4)</w:t>
      </w:r>
      <w:r>
        <w:rPr>
          <w:snapToGrid w:val="0"/>
        </w:rPr>
        <w:tab/>
        <w:t>A person must not, without lawful authority, enter or remain in a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(5)</w:t>
      </w:r>
      <w:r>
        <w:rPr>
          <w:snapToGrid w:val="0"/>
        </w:rPr>
        <w:tab/>
        <w:t>A person in a cave must comply with the conditions and restrictions subject to which that person was given permission to be in the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(6)</w:t>
      </w:r>
      <w:r>
        <w:rPr>
          <w:snapToGrid w:val="0"/>
        </w:rPr>
        <w:tab/>
        <w:t>Nothing in this regulation prohibits persons entering or remaining in a cave under the control of a person licensed under a commercial operations licence to take those persons into the cave.</w:t>
      </w:r>
    </w:p>
    <w:p>
      <w:pPr>
        <w:pStyle w:val="Footnotesection"/>
      </w:pPr>
      <w:r>
        <w:tab/>
        <w:t>[Regulation 49 amended in Gazette 29 Sep 2006 p. 4312 and 4334; 3 Dec 2010 p. 6052</w:t>
      </w:r>
      <w:r>
        <w:noBreakHyphen/>
        <w:t>3.]</w:t>
      </w:r>
    </w:p>
    <w:p>
      <w:pPr>
        <w:pStyle w:val="Heading5"/>
        <w:rPr>
          <w:snapToGrid w:val="0"/>
        </w:rPr>
      </w:pPr>
      <w:bookmarkStart w:id="141" w:name="_Toc491956738"/>
      <w:bookmarkStart w:id="142" w:name="_Toc473035921"/>
      <w:r>
        <w:rPr>
          <w:rStyle w:val="CharSectno"/>
        </w:rPr>
        <w:t>50</w:t>
      </w:r>
      <w:r>
        <w:rPr>
          <w:snapToGrid w:val="0"/>
        </w:rPr>
        <w:t>.</w:t>
      </w:r>
      <w:r>
        <w:rPr>
          <w:snapToGrid w:val="0"/>
        </w:rPr>
        <w:tab/>
        <w:t>Cross country and other events</w:t>
      </w:r>
      <w:bookmarkEnd w:id="141"/>
      <w:bookmarkEnd w:id="142"/>
      <w:r>
        <w:rPr>
          <w:snapToGrid w:val="0"/>
        </w:rPr>
        <w:t xml:space="preserve"> </w:t>
      </w:r>
    </w:p>
    <w:p>
      <w:pPr>
        <w:pStyle w:val="Subsection"/>
        <w:rPr>
          <w:snapToGrid w:val="0"/>
        </w:rPr>
      </w:pPr>
      <w:r>
        <w:rPr>
          <w:snapToGrid w:val="0"/>
        </w:rPr>
        <w:tab/>
      </w:r>
      <w:r>
        <w:rPr>
          <w:snapToGrid w:val="0"/>
        </w:rPr>
        <w:tab/>
        <w:t>A person must not, without lawful authority, organise, promote or conduct any event involving cross country running, orienteering, rogaining, cross country navigation exercises or equestrian events on CALM 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50 amended in Gazette 3 Dec 2010 p. 6052</w:t>
      </w:r>
      <w:r>
        <w:noBreakHyphen/>
        <w:t>3.]</w:t>
      </w:r>
    </w:p>
    <w:p>
      <w:pPr>
        <w:pStyle w:val="Heading3"/>
      </w:pPr>
      <w:bookmarkStart w:id="143" w:name="_Toc491954585"/>
      <w:bookmarkStart w:id="144" w:name="_Toc491956739"/>
      <w:bookmarkStart w:id="145" w:name="_Toc473019184"/>
      <w:bookmarkStart w:id="146" w:name="_Toc473035922"/>
      <w:r>
        <w:rPr>
          <w:rStyle w:val="CharDivNo"/>
        </w:rPr>
        <w:t>Division 2</w:t>
      </w:r>
      <w:r>
        <w:rPr>
          <w:snapToGrid w:val="0"/>
        </w:rPr>
        <w:t xml:space="preserve"> — </w:t>
      </w:r>
      <w:r>
        <w:rPr>
          <w:rStyle w:val="CharDivText"/>
        </w:rPr>
        <w:t>Vehicles</w:t>
      </w:r>
      <w:bookmarkEnd w:id="143"/>
      <w:bookmarkEnd w:id="144"/>
      <w:bookmarkEnd w:id="145"/>
      <w:bookmarkEnd w:id="146"/>
    </w:p>
    <w:p>
      <w:pPr>
        <w:pStyle w:val="Heading5"/>
        <w:rPr>
          <w:snapToGrid w:val="0"/>
        </w:rPr>
      </w:pPr>
      <w:bookmarkStart w:id="147" w:name="_Toc491956740"/>
      <w:bookmarkStart w:id="148" w:name="_Toc473035923"/>
      <w:r>
        <w:rPr>
          <w:rStyle w:val="CharSectno"/>
        </w:rPr>
        <w:t>51</w:t>
      </w:r>
      <w:r>
        <w:rPr>
          <w:snapToGrid w:val="0"/>
        </w:rPr>
        <w:t>.</w:t>
      </w:r>
      <w:r>
        <w:rPr>
          <w:snapToGrid w:val="0"/>
        </w:rPr>
        <w:tab/>
        <w:t>Vehicles</w:t>
      </w:r>
      <w:bookmarkEnd w:id="147"/>
      <w:bookmarkEnd w:id="148"/>
      <w:r>
        <w:rPr>
          <w:snapToGrid w:val="0"/>
        </w:rPr>
        <w:t xml:space="preserve"> </w:t>
      </w:r>
    </w:p>
    <w:p>
      <w:pPr>
        <w:pStyle w:val="Subsection"/>
        <w:rPr>
          <w:snapToGrid w:val="0"/>
        </w:rPr>
      </w:pPr>
      <w:r>
        <w:rPr>
          <w:snapToGrid w:val="0"/>
        </w:rPr>
        <w:tab/>
        <w:t>(1)</w:t>
      </w:r>
      <w:r>
        <w:rPr>
          <w:snapToGrid w:val="0"/>
        </w:rPr>
        <w:tab/>
        <w:t>A person must not, without lawful authority, drive or use a vehicle (other than a bicycle) on CALM land other than on a road</w:t>
      </w:r>
      <w:r>
        <w:t xml:space="preserve"> or in a designated area</w:t>
      </w:r>
      <w:r>
        <w:rPr>
          <w:snapToGrid w:val="0"/>
        </w:rPr>
        <w:t>.</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pPr>
      <w:r>
        <w:tab/>
        <w:t>(2)</w:t>
      </w:r>
      <w:r>
        <w:tab/>
        <w:t>Subregulation (1) does not apply in respect of a road that is in a restricted area.</w:t>
      </w:r>
    </w:p>
    <w:p>
      <w:pPr>
        <w:pStyle w:val="Subsection"/>
        <w:spacing w:before="140"/>
      </w:pPr>
      <w:r>
        <w:tab/>
        <w:t>(3)</w:t>
      </w:r>
      <w:r>
        <w:tab/>
        <w:t xml:space="preserve">A person must not, without lawful authority, on a road that is in a restricted area — </w:t>
      </w:r>
    </w:p>
    <w:p>
      <w:pPr>
        <w:pStyle w:val="Indenta"/>
        <w:spacing w:before="60"/>
      </w:pPr>
      <w:r>
        <w:tab/>
        <w:t>(a)</w:t>
      </w:r>
      <w:r>
        <w:tab/>
        <w:t>drive or use a vehicle if that activity is prohibited in the area under regulation 5; or</w:t>
      </w:r>
    </w:p>
    <w:p>
      <w:pPr>
        <w:pStyle w:val="Indenta"/>
        <w:spacing w:before="60"/>
      </w:pPr>
      <w:r>
        <w:tab/>
        <w:t>(b)</w:t>
      </w:r>
      <w:r>
        <w:tab/>
        <w:t>contravene a restriction imposed on driving or using a vehicle in the area under regulation 5.</w:t>
      </w:r>
    </w:p>
    <w:p>
      <w:pPr>
        <w:pStyle w:val="Penstart"/>
        <w:spacing w:before="70"/>
      </w:pPr>
      <w:r>
        <w:tab/>
        <w:t>Penalty: a fine of $2 000.</w:t>
      </w:r>
    </w:p>
    <w:p>
      <w:pPr>
        <w:pStyle w:val="Footnotesection"/>
        <w:spacing w:before="100"/>
      </w:pPr>
      <w:r>
        <w:tab/>
        <w:t>[Regulation 51 amended in Gazette 29 Sep 2006 p. 4313; 3 Dec 2010 p. 6052</w:t>
      </w:r>
      <w:r>
        <w:noBreakHyphen/>
        <w:t>3; 19 Sep 2014 p. 3335.]</w:t>
      </w:r>
    </w:p>
    <w:p>
      <w:pPr>
        <w:pStyle w:val="Heading5"/>
        <w:spacing w:before="200"/>
      </w:pPr>
      <w:bookmarkStart w:id="149" w:name="_Toc491956741"/>
      <w:bookmarkStart w:id="150" w:name="_Toc473035924"/>
      <w:r>
        <w:rPr>
          <w:rStyle w:val="CharSectno"/>
        </w:rPr>
        <w:t>51A</w:t>
      </w:r>
      <w:r>
        <w:t>.</w:t>
      </w:r>
      <w:r>
        <w:tab/>
        <w:t>Bicycles</w:t>
      </w:r>
      <w:bookmarkEnd w:id="149"/>
      <w:bookmarkEnd w:id="150"/>
    </w:p>
    <w:p>
      <w:pPr>
        <w:pStyle w:val="Subsection"/>
        <w:spacing w:before="130"/>
      </w:pPr>
      <w:r>
        <w:tab/>
        <w:t>(1)</w:t>
      </w:r>
      <w:r>
        <w:tab/>
        <w:t>A person must not, without lawful authority, ride a bicycle on CALM land other than on a road or bicycle path or in a designated area.</w:t>
      </w:r>
    </w:p>
    <w:p>
      <w:pPr>
        <w:pStyle w:val="Penstart"/>
        <w:spacing w:before="70"/>
      </w:pPr>
      <w:r>
        <w:tab/>
        <w:t>Penalty: a fine of $500.</w:t>
      </w:r>
    </w:p>
    <w:p>
      <w:pPr>
        <w:pStyle w:val="Subsection"/>
        <w:spacing w:before="130"/>
      </w:pPr>
      <w:r>
        <w:tab/>
        <w:t>(2)</w:t>
      </w:r>
      <w:r>
        <w:tab/>
        <w:t>Subregulation (1) does not apply in respect of a road that is in a restricted area.</w:t>
      </w:r>
    </w:p>
    <w:p>
      <w:pPr>
        <w:pStyle w:val="Subsection"/>
        <w:spacing w:before="130"/>
      </w:pPr>
      <w:r>
        <w:tab/>
        <w:t>(3)</w:t>
      </w:r>
      <w:r>
        <w:tab/>
        <w:t xml:space="preserve">A person must not, without lawful authority, on a road that is in a restricted area — </w:t>
      </w:r>
    </w:p>
    <w:p>
      <w:pPr>
        <w:pStyle w:val="Indenta"/>
        <w:spacing w:before="60"/>
      </w:pPr>
      <w:r>
        <w:tab/>
        <w:t>(a)</w:t>
      </w:r>
      <w:r>
        <w:tab/>
        <w:t>ride a bicycle if that activity is prohibited in the area under regulation 5; or</w:t>
      </w:r>
    </w:p>
    <w:p>
      <w:pPr>
        <w:pStyle w:val="Indenta"/>
        <w:spacing w:before="60"/>
      </w:pPr>
      <w:r>
        <w:tab/>
        <w:t>(b)</w:t>
      </w:r>
      <w:r>
        <w:tab/>
        <w:t>contravene a restriction imposed on riding a bicycle in the area under regulation 5.</w:t>
      </w:r>
    </w:p>
    <w:p>
      <w:pPr>
        <w:pStyle w:val="Penstart"/>
        <w:spacing w:before="70"/>
      </w:pPr>
      <w:r>
        <w:tab/>
        <w:t>Penalty: a fine of $1 000.</w:t>
      </w:r>
    </w:p>
    <w:p>
      <w:pPr>
        <w:pStyle w:val="Subsection"/>
      </w:pPr>
      <w:r>
        <w:tab/>
        <w:t>(4)</w:t>
      </w:r>
      <w:r>
        <w:tab/>
        <w:t xml:space="preserve">In this regulation — </w:t>
      </w:r>
    </w:p>
    <w:p>
      <w:pPr>
        <w:pStyle w:val="Defstart"/>
        <w:spacing w:before="70"/>
      </w:pPr>
      <w:r>
        <w:rPr>
          <w:b/>
        </w:rPr>
        <w:tab/>
      </w:r>
      <w:r>
        <w:rPr>
          <w:rStyle w:val="CharDefText"/>
        </w:rPr>
        <w:t>bicycle path</w:t>
      </w:r>
      <w:r>
        <w:t xml:space="preserve"> means a path, or length of a path, at both ends of which are signs indicating that persons may ride bicycles on the path or the length between those signs.</w:t>
      </w:r>
    </w:p>
    <w:p>
      <w:pPr>
        <w:pStyle w:val="Footnotesection"/>
        <w:spacing w:before="100"/>
      </w:pPr>
      <w:r>
        <w:tab/>
        <w:t>[Regulation 51A inserted in Gazette 29 Sep 2006 p. 4313</w:t>
      </w:r>
      <w:r>
        <w:noBreakHyphen/>
        <w:t>14; amended in Gazette 3 Dec 2010 p. 6052</w:t>
      </w:r>
      <w:r>
        <w:noBreakHyphen/>
        <w:t>3.]</w:t>
      </w:r>
    </w:p>
    <w:p>
      <w:pPr>
        <w:pStyle w:val="Heading5"/>
        <w:spacing w:before="200"/>
        <w:rPr>
          <w:snapToGrid w:val="0"/>
        </w:rPr>
      </w:pPr>
      <w:bookmarkStart w:id="151" w:name="_Toc491956742"/>
      <w:bookmarkStart w:id="152" w:name="_Toc473035925"/>
      <w:r>
        <w:rPr>
          <w:rStyle w:val="CharSectno"/>
        </w:rPr>
        <w:t>52</w:t>
      </w:r>
      <w:r>
        <w:rPr>
          <w:snapToGrid w:val="0"/>
        </w:rPr>
        <w:t>.</w:t>
      </w:r>
      <w:r>
        <w:rPr>
          <w:snapToGrid w:val="0"/>
        </w:rPr>
        <w:tab/>
        <w:t>Off</w:t>
      </w:r>
      <w:r>
        <w:rPr>
          <w:snapToGrid w:val="0"/>
        </w:rPr>
        <w:noBreakHyphen/>
        <w:t>road vehicles</w:t>
      </w:r>
      <w:bookmarkEnd w:id="151"/>
      <w:bookmarkEnd w:id="152"/>
      <w:r>
        <w:rPr>
          <w:snapToGrid w:val="0"/>
        </w:rPr>
        <w:t xml:space="preserve"> </w:t>
      </w:r>
    </w:p>
    <w:p>
      <w:pPr>
        <w:pStyle w:val="Subsection"/>
        <w:spacing w:before="120"/>
        <w:rPr>
          <w:snapToGrid w:val="0"/>
        </w:rPr>
      </w:pPr>
      <w:r>
        <w:rPr>
          <w:snapToGrid w:val="0"/>
        </w:rPr>
        <w:tab/>
        <w:t>(1)</w:t>
      </w:r>
      <w:r>
        <w:rPr>
          <w:snapToGrid w:val="0"/>
        </w:rPr>
        <w:tab/>
        <w:t>A person must not drive into or within, or bring into or have within, CALM land an off</w:t>
      </w:r>
      <w:r>
        <w:rPr>
          <w:snapToGrid w:val="0"/>
        </w:rPr>
        <w:noBreakHyphen/>
        <w:t xml:space="preserve">road vehicle within the meaning of the </w:t>
      </w:r>
      <w:r>
        <w:rPr>
          <w:i/>
          <w:snapToGrid w:val="0"/>
        </w:rPr>
        <w:t>Control of Vehicles (Off</w:t>
      </w:r>
      <w:r>
        <w:rPr>
          <w:i/>
          <w:snapToGrid w:val="0"/>
        </w:rPr>
        <w:noBreakHyphen/>
        <w:t>road Areas) Act 1978</w:t>
      </w:r>
      <w:r>
        <w:rPr>
          <w:snapToGrid w:val="0"/>
        </w:rPr>
        <w:t xml:space="preserve"> unless that person — </w:t>
      </w:r>
    </w:p>
    <w:p>
      <w:pPr>
        <w:pStyle w:val="Indenta"/>
        <w:spacing w:before="60"/>
        <w:rPr>
          <w:snapToGrid w:val="0"/>
        </w:rPr>
      </w:pPr>
      <w:r>
        <w:rPr>
          <w:snapToGrid w:val="0"/>
        </w:rPr>
        <w:tab/>
        <w:t>(a)</w:t>
      </w:r>
      <w:r>
        <w:rPr>
          <w:snapToGrid w:val="0"/>
        </w:rPr>
        <w:tab/>
        <w:t>is the holder of a permit — </w:t>
      </w:r>
    </w:p>
    <w:p>
      <w:pPr>
        <w:pStyle w:val="Indenti"/>
        <w:spacing w:before="60"/>
        <w:rPr>
          <w:snapToGrid w:val="0"/>
        </w:rPr>
      </w:pPr>
      <w:r>
        <w:rPr>
          <w:snapToGrid w:val="0"/>
        </w:rPr>
        <w:tab/>
        <w:t>(i)</w:t>
      </w:r>
      <w:r>
        <w:rPr>
          <w:snapToGrid w:val="0"/>
        </w:rPr>
        <w:tab/>
        <w:t>granted under section 8(4) of that Act; and</w:t>
      </w:r>
    </w:p>
    <w:p>
      <w:pPr>
        <w:pStyle w:val="Indenti"/>
        <w:spacing w:before="60"/>
        <w:rPr>
          <w:snapToGrid w:val="0"/>
        </w:rPr>
      </w:pPr>
      <w:r>
        <w:rPr>
          <w:snapToGrid w:val="0"/>
        </w:rPr>
        <w:tab/>
        <w:t>(ii)</w:t>
      </w:r>
      <w:r>
        <w:rPr>
          <w:snapToGrid w:val="0"/>
        </w:rPr>
        <w:tab/>
        <w:t>authorising that person so to drive, bring or have that off</w:t>
      </w:r>
      <w:r>
        <w:rPr>
          <w:snapToGrid w:val="0"/>
        </w:rPr>
        <w:noBreakHyphen/>
        <w:t xml:space="preserve">road vehicle; </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that person so drives, brings or has that off</w:t>
      </w:r>
      <w:r>
        <w:rPr>
          <w:snapToGrid w:val="0"/>
        </w:rPr>
        <w:noBreakHyphen/>
        <w:t>road vehicle in accordance with any restrictions, limitations or conditions to which that permit is subject.</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pPr>
      <w:r>
        <w:tab/>
        <w:t>(2)</w:t>
      </w:r>
      <w:r>
        <w:tab/>
        <w:t xml:space="preserve">Subregulation (1) does not apply to private land (as defined in the </w:t>
      </w:r>
      <w:r>
        <w:rPr>
          <w:i/>
        </w:rPr>
        <w:t>Control of Vehicles (Off</w:t>
      </w:r>
      <w:r>
        <w:rPr>
          <w:i/>
        </w:rPr>
        <w:noBreakHyphen/>
        <w:t>road Areas) Act 1978</w:t>
      </w:r>
      <w:r>
        <w:t>) or permitted areas (as defined in that Act).</w:t>
      </w:r>
    </w:p>
    <w:p>
      <w:pPr>
        <w:pStyle w:val="Footnotesection"/>
        <w:ind w:left="890" w:hanging="890"/>
      </w:pPr>
      <w:r>
        <w:tab/>
        <w:t>[Regulation 52 amended in Gazette 29 Sep 2006 p. 4314; 3 Dec 2010 p. 6052</w:t>
      </w:r>
      <w:r>
        <w:noBreakHyphen/>
        <w:t>3; 19 Sep 2014 p. 3335.]</w:t>
      </w:r>
    </w:p>
    <w:p>
      <w:pPr>
        <w:pStyle w:val="Heading5"/>
        <w:rPr>
          <w:snapToGrid w:val="0"/>
        </w:rPr>
      </w:pPr>
      <w:bookmarkStart w:id="153" w:name="_Toc491956743"/>
      <w:bookmarkStart w:id="154" w:name="_Toc473035926"/>
      <w:r>
        <w:rPr>
          <w:rStyle w:val="CharSectno"/>
        </w:rPr>
        <w:t>53</w:t>
      </w:r>
      <w:r>
        <w:rPr>
          <w:snapToGrid w:val="0"/>
        </w:rPr>
        <w:t>.</w:t>
      </w:r>
      <w:r>
        <w:rPr>
          <w:snapToGrid w:val="0"/>
        </w:rPr>
        <w:tab/>
        <w:t>Car rallies etc.</w:t>
      </w:r>
      <w:bookmarkEnd w:id="153"/>
      <w:bookmarkEnd w:id="154"/>
      <w:r>
        <w:rPr>
          <w:snapToGrid w:val="0"/>
        </w:rPr>
        <w:t xml:space="preserve"> </w:t>
      </w:r>
    </w:p>
    <w:p>
      <w:pPr>
        <w:pStyle w:val="Subsection"/>
        <w:rPr>
          <w:snapToGrid w:val="0"/>
        </w:rPr>
      </w:pPr>
      <w:r>
        <w:rPr>
          <w:snapToGrid w:val="0"/>
        </w:rPr>
        <w:tab/>
      </w:r>
      <w:r>
        <w:rPr>
          <w:snapToGrid w:val="0"/>
        </w:rPr>
        <w:tab/>
        <w:t>A person must not, without lawful authority, organise, promote or conduct a car rally, associated navigation exercise, mountain bike event or other race involving vehicles on or through CALM land.</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[Regulation 53 amended in Gazette 3 Dec 2010 p. 6052</w:t>
      </w:r>
      <w:r>
        <w:noBreakHyphen/>
        <w:t>3.]</w:t>
      </w:r>
    </w:p>
    <w:p>
      <w:pPr>
        <w:pStyle w:val="Heading5"/>
        <w:rPr>
          <w:snapToGrid w:val="0"/>
        </w:rPr>
      </w:pPr>
      <w:bookmarkStart w:id="155" w:name="_Toc491956744"/>
      <w:bookmarkStart w:id="156" w:name="_Toc473035927"/>
      <w:r>
        <w:rPr>
          <w:rStyle w:val="CharSectno"/>
        </w:rPr>
        <w:t>54</w:t>
      </w:r>
      <w:r>
        <w:rPr>
          <w:snapToGrid w:val="0"/>
        </w:rPr>
        <w:t>.</w:t>
      </w:r>
      <w:r>
        <w:rPr>
          <w:snapToGrid w:val="0"/>
        </w:rPr>
        <w:tab/>
        <w:t>Traffic laws apply</w:t>
      </w:r>
      <w:bookmarkEnd w:id="155"/>
      <w:bookmarkEnd w:id="156"/>
      <w:r>
        <w:rPr>
          <w:snapToGrid w:val="0"/>
        </w:rPr>
        <w:t xml:space="preserve"> </w:t>
      </w:r>
    </w:p>
    <w:p>
      <w:pPr>
        <w:pStyle w:val="Subsection"/>
        <w:rPr>
          <w:snapToGrid w:val="0"/>
        </w:rPr>
      </w:pPr>
      <w:r>
        <w:rPr>
          <w:snapToGrid w:val="0"/>
        </w:rPr>
        <w:tab/>
        <w:t>(1)</w:t>
      </w:r>
      <w:r>
        <w:rPr>
          <w:snapToGrid w:val="0"/>
        </w:rPr>
        <w:tab/>
        <w:t>A person driving or in charge of a vehicle on a road or track on CALM land must not, without lawful authority, do any act that would be a breach of a</w:t>
      </w:r>
      <w:r>
        <w:t xml:space="preserve"> road law, as defined in the </w:t>
      </w:r>
      <w:r>
        <w:rPr>
          <w:i/>
        </w:rPr>
        <w:t xml:space="preserve">Road Traffic (Administration) Act 2008 </w:t>
      </w:r>
      <w:r>
        <w:t>section 4, if that road or track were a road as defined in that section.</w:t>
      </w:r>
    </w:p>
    <w:p>
      <w:pPr>
        <w:pStyle w:val="Penstart"/>
        <w:rPr>
          <w:snapToGrid w:val="0"/>
        </w:rPr>
      </w:pPr>
      <w:r>
        <w:rPr>
          <w:snapToGrid w:val="0"/>
        </w:rPr>
        <w:tab/>
        <w:t>Penalty:</w:t>
      </w:r>
      <w:r>
        <w:t xml:space="preserve"> a fine of</w:t>
      </w:r>
      <w:r>
        <w:rPr>
          <w:snapToGrid w:val="0"/>
        </w:rPr>
        <w:t xml:space="preserve"> </w:t>
      </w:r>
      <w:r>
        <w:t>$1 000</w:t>
      </w:r>
      <w:r>
        <w:rPr>
          <w:snapToGrid w:val="0"/>
        </w:rPr>
        <w:t>.</w:t>
      </w:r>
    </w:p>
    <w:p>
      <w:pPr>
        <w:pStyle w:val="Subsection"/>
        <w:rPr>
          <w:snapToGrid w:val="0"/>
        </w:rPr>
      </w:pPr>
      <w:r>
        <w:rPr>
          <w:snapToGrid w:val="0"/>
        </w:rPr>
        <w:tab/>
        <w:t>(2)</w:t>
      </w:r>
      <w:r>
        <w:rPr>
          <w:snapToGrid w:val="0"/>
        </w:rPr>
        <w:tab/>
        <w:t>A person must not drive a vehicle on CALM land in a dangerous or careless manner or without all reasonable consideration for other persons, vehicles and animals in the vicinity.</w:t>
      </w:r>
    </w:p>
    <w:p>
      <w:pPr>
        <w:pStyle w:val="Penstart"/>
        <w:rPr>
          <w:snapToGrid w:val="0"/>
        </w:rPr>
      </w:pPr>
      <w:r>
        <w:rPr>
          <w:snapToGrid w:val="0"/>
        </w:rPr>
        <w:tab/>
        <w:t xml:space="preserve">Penalty: </w:t>
      </w:r>
      <w:r>
        <w:t>a fine of $1 000</w:t>
      </w:r>
      <w:r>
        <w:rPr>
          <w:snapToGrid w:val="0"/>
        </w:rPr>
        <w:t>.</w:t>
      </w:r>
    </w:p>
    <w:p>
      <w:pPr>
        <w:pStyle w:val="Footnotesection"/>
      </w:pPr>
      <w:r>
        <w:tab/>
        <w:t>[Regulation 54 amended in Gazette 29 Sep 2006 p. 4314; 3 Dec 2010 p. 6052</w:t>
      </w:r>
      <w:r>
        <w:noBreakHyphen/>
        <w:t>3; 19 Sep 2014 p. 3335; 8 Jan 2015 p. 136.]</w:t>
      </w:r>
    </w:p>
    <w:p>
      <w:pPr>
        <w:pStyle w:val="Heading5"/>
        <w:keepNext w:val="0"/>
        <w:keepLines w:val="0"/>
        <w:spacing w:before="200"/>
        <w:rPr>
          <w:snapToGrid w:val="0"/>
        </w:rPr>
      </w:pPr>
      <w:bookmarkStart w:id="157" w:name="_Toc491956745"/>
      <w:bookmarkStart w:id="158" w:name="_Toc473035928"/>
      <w:r>
        <w:rPr>
          <w:rStyle w:val="CharSectno"/>
        </w:rPr>
        <w:t>55</w:t>
      </w:r>
      <w:r>
        <w:rPr>
          <w:snapToGrid w:val="0"/>
        </w:rPr>
        <w:t>.</w:t>
      </w:r>
      <w:r>
        <w:rPr>
          <w:snapToGrid w:val="0"/>
        </w:rPr>
        <w:tab/>
        <w:t>Driver to obey reasonable direction</w:t>
      </w:r>
      <w:bookmarkEnd w:id="157"/>
      <w:bookmarkEnd w:id="158"/>
      <w:r>
        <w:rPr>
          <w:snapToGrid w:val="0"/>
        </w:rPr>
        <w:t xml:space="preserve"> </w:t>
      </w:r>
    </w:p>
    <w:p>
      <w:pPr>
        <w:pStyle w:val="Subsection"/>
        <w:rPr>
          <w:snapToGrid w:val="0"/>
          <w:spacing w:val="-4"/>
        </w:rPr>
      </w:pPr>
      <w:r>
        <w:rPr>
          <w:snapToGrid w:val="0"/>
          <w:spacing w:val="-4"/>
        </w:rPr>
        <w:tab/>
      </w:r>
      <w:r>
        <w:rPr>
          <w:snapToGrid w:val="0"/>
          <w:spacing w:val="-4"/>
        </w:rPr>
        <w:tab/>
        <w:t>The driver or person in charge of a vehicle must obey any reasonable direction given to him or her by an authorised officer in relation to the parking or movement of the vehicle on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55 amended in Gazette 3 Dec 2010 p. 6052</w:t>
      </w:r>
      <w:r>
        <w:noBreakHyphen/>
        <w:t>3; 19 Sep 2014 p. 3336.]</w:t>
      </w:r>
    </w:p>
    <w:p>
      <w:pPr>
        <w:pStyle w:val="Heading5"/>
        <w:spacing w:before="180"/>
        <w:rPr>
          <w:snapToGrid w:val="0"/>
        </w:rPr>
      </w:pPr>
      <w:bookmarkStart w:id="159" w:name="_Toc491956746"/>
      <w:bookmarkStart w:id="160" w:name="_Toc473035929"/>
      <w:r>
        <w:rPr>
          <w:rStyle w:val="CharSectno"/>
        </w:rPr>
        <w:t>56</w:t>
      </w:r>
      <w:r>
        <w:rPr>
          <w:snapToGrid w:val="0"/>
        </w:rPr>
        <w:t>.</w:t>
      </w:r>
      <w:r>
        <w:rPr>
          <w:snapToGrid w:val="0"/>
        </w:rPr>
        <w:tab/>
        <w:t>Signs to be obeyed</w:t>
      </w:r>
      <w:bookmarkEnd w:id="159"/>
      <w:bookmarkEnd w:id="160"/>
    </w:p>
    <w:p>
      <w:pPr>
        <w:pStyle w:val="Subsection"/>
        <w:rPr>
          <w:snapToGrid w:val="0"/>
        </w:rPr>
      </w:pPr>
      <w:r>
        <w:rPr>
          <w:snapToGrid w:val="0"/>
        </w:rPr>
        <w:tab/>
        <w:t>(1)</w:t>
      </w:r>
      <w:r>
        <w:rPr>
          <w:snapToGrid w:val="0"/>
        </w:rPr>
        <w:tab/>
        <w:t>A person must not park or stand a vehicle on CALM land contrary to any direction on a sign.</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sign may direct that an area of CALM land is set aside — </w:t>
      </w:r>
    </w:p>
    <w:p>
      <w:pPr>
        <w:pStyle w:val="Indenta"/>
        <w:rPr>
          <w:snapToGrid w:val="0"/>
        </w:rPr>
      </w:pPr>
      <w:r>
        <w:rPr>
          <w:snapToGrid w:val="0"/>
        </w:rPr>
        <w:tab/>
        <w:t>(a)</w:t>
      </w:r>
      <w:r>
        <w:rPr>
          <w:snapToGrid w:val="0"/>
        </w:rPr>
        <w:tab/>
        <w:t>for the parking of a specified vehicle or specified class of vehicles;</w:t>
      </w:r>
    </w:p>
    <w:p>
      <w:pPr>
        <w:pStyle w:val="Indenta"/>
        <w:rPr>
          <w:snapToGrid w:val="0"/>
        </w:rPr>
      </w:pPr>
      <w:r>
        <w:rPr>
          <w:snapToGrid w:val="0"/>
        </w:rPr>
        <w:tab/>
        <w:t>(b)</w:t>
      </w:r>
      <w:r>
        <w:rPr>
          <w:snapToGrid w:val="0"/>
        </w:rPr>
        <w:tab/>
        <w:t>for the parking of a vehicle of a specified person or specified class of persons;</w:t>
      </w:r>
    </w:p>
    <w:p>
      <w:pPr>
        <w:pStyle w:val="Indenta"/>
        <w:rPr>
          <w:snapToGrid w:val="0"/>
        </w:rPr>
      </w:pPr>
      <w:r>
        <w:rPr>
          <w:snapToGrid w:val="0"/>
        </w:rPr>
        <w:tab/>
        <w:t>(c)</w:t>
      </w:r>
      <w:r>
        <w:rPr>
          <w:snapToGrid w:val="0"/>
        </w:rPr>
        <w:tab/>
        <w:t>for the parking of vehicles for a specified maximum period of time;</w:t>
      </w:r>
    </w:p>
    <w:p>
      <w:pPr>
        <w:pStyle w:val="Indenta"/>
        <w:rPr>
          <w:snapToGrid w:val="0"/>
        </w:rPr>
      </w:pPr>
      <w:r>
        <w:rPr>
          <w:snapToGrid w:val="0"/>
        </w:rPr>
        <w:tab/>
        <w:t>(d)</w:t>
      </w:r>
      <w:r>
        <w:rPr>
          <w:snapToGrid w:val="0"/>
        </w:rPr>
        <w:tab/>
        <w:t>for the parking of vehicles only within specified parking bays;</w:t>
      </w:r>
    </w:p>
    <w:p>
      <w:pPr>
        <w:pStyle w:val="Indenta"/>
        <w:rPr>
          <w:snapToGrid w:val="0"/>
        </w:rPr>
      </w:pPr>
      <w:r>
        <w:rPr>
          <w:snapToGrid w:val="0"/>
        </w:rPr>
        <w:tab/>
        <w:t>(e)</w:t>
      </w:r>
      <w:r>
        <w:rPr>
          <w:snapToGrid w:val="0"/>
        </w:rPr>
        <w:tab/>
        <w:t>as a “no standing” or “no parking” area.</w:t>
      </w:r>
    </w:p>
    <w:p>
      <w:pPr>
        <w:pStyle w:val="Subsection"/>
        <w:spacing w:before="120"/>
        <w:rPr>
          <w:snapToGrid w:val="0"/>
        </w:rPr>
      </w:pPr>
      <w:r>
        <w:rPr>
          <w:snapToGrid w:val="0"/>
        </w:rPr>
        <w:tab/>
        <w:t>(3)</w:t>
      </w:r>
      <w:r>
        <w:rPr>
          <w:snapToGrid w:val="0"/>
        </w:rPr>
        <w:tab/>
        <w:t>A sign may direct that an area of CALM land may be used for parking subject to the payment of a specified charge.</w:t>
      </w:r>
    </w:p>
    <w:p>
      <w:pPr>
        <w:pStyle w:val="Subsection"/>
        <w:keepNext/>
        <w:keepLines/>
        <w:spacing w:before="120"/>
        <w:rPr>
          <w:snapToGrid w:val="0"/>
        </w:rPr>
      </w:pPr>
      <w:r>
        <w:rPr>
          <w:snapToGrid w:val="0"/>
        </w:rPr>
        <w:tab/>
        <w:t>(4)</w:t>
      </w:r>
      <w:r>
        <w:rPr>
          <w:snapToGrid w:val="0"/>
        </w:rPr>
        <w:tab/>
        <w:t>A person must not park a vehicle in an area that is subject to subregulation (3) at any time when the charge applies unless — </w:t>
      </w:r>
    </w:p>
    <w:p>
      <w:pPr>
        <w:pStyle w:val="Indenta"/>
        <w:rPr>
          <w:snapToGrid w:val="0"/>
        </w:rPr>
      </w:pPr>
      <w:r>
        <w:rPr>
          <w:snapToGrid w:val="0"/>
        </w:rPr>
        <w:tab/>
        <w:t>(a)</w:t>
      </w:r>
      <w:r>
        <w:rPr>
          <w:snapToGrid w:val="0"/>
        </w:rPr>
        <w:tab/>
        <w:t>the specified charge has been paid into a ticket vending machine; and</w:t>
      </w:r>
    </w:p>
    <w:p>
      <w:pPr>
        <w:pStyle w:val="Indenta"/>
        <w:rPr>
          <w:snapToGrid w:val="0"/>
        </w:rPr>
      </w:pPr>
      <w:r>
        <w:rPr>
          <w:snapToGrid w:val="0"/>
        </w:rPr>
        <w:tab/>
        <w:t>(b)</w:t>
      </w:r>
      <w:r>
        <w:rPr>
          <w:snapToGrid w:val="0"/>
        </w:rPr>
        <w:tab/>
        <w:t>there is displayed in the vehicle at that time a parking ticket issued from a ticket vending machine that shows — </w:t>
      </w:r>
    </w:p>
    <w:p>
      <w:pPr>
        <w:pStyle w:val="Indenti"/>
        <w:rPr>
          <w:snapToGrid w:val="0"/>
        </w:rPr>
      </w:pPr>
      <w:r>
        <w:rPr>
          <w:snapToGrid w:val="0"/>
        </w:rPr>
        <w:tab/>
        <w:t>(i)</w:t>
      </w:r>
      <w:r>
        <w:rPr>
          <w:snapToGrid w:val="0"/>
        </w:rPr>
        <w:tab/>
        <w:t>the amount paid; and</w:t>
      </w:r>
    </w:p>
    <w:p>
      <w:pPr>
        <w:pStyle w:val="Indenti"/>
        <w:rPr>
          <w:snapToGrid w:val="0"/>
        </w:rPr>
      </w:pPr>
      <w:r>
        <w:rPr>
          <w:snapToGrid w:val="0"/>
        </w:rPr>
        <w:tab/>
        <w:t>(ii)</w:t>
      </w:r>
      <w:r>
        <w:rPr>
          <w:snapToGrid w:val="0"/>
        </w:rPr>
        <w:tab/>
        <w:t>the date; and</w:t>
      </w:r>
    </w:p>
    <w:p>
      <w:pPr>
        <w:pStyle w:val="Indenti"/>
        <w:rPr>
          <w:snapToGrid w:val="0"/>
        </w:rPr>
      </w:pPr>
      <w:r>
        <w:rPr>
          <w:snapToGrid w:val="0"/>
        </w:rPr>
        <w:tab/>
        <w:t>(iii)</w:t>
      </w:r>
      <w:r>
        <w:rPr>
          <w:snapToGrid w:val="0"/>
        </w:rPr>
        <w:tab/>
        <w:t>an expiry time for permitted parking that is after that time;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parking ticket issued from the ticket vending machine is displayed in the vehicle in such a manner that an authorised officer is able to read it from outside the vehicle.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(5)</w:t>
      </w:r>
      <w:r>
        <w:rPr>
          <w:snapToGrid w:val="0"/>
        </w:rPr>
        <w:tab/>
        <w:t xml:space="preserve">The charge specified for the purposes of subregulation (3) is not to exceed — </w:t>
      </w:r>
    </w:p>
    <w:p>
      <w:pPr>
        <w:pStyle w:val="Indenta"/>
      </w:pPr>
      <w:r>
        <w:tab/>
        <w:t>(a)</w:t>
      </w:r>
      <w:r>
        <w:tab/>
        <w:t>$1.80 for every hour or part of an hour; and</w:t>
      </w:r>
    </w:p>
    <w:p>
      <w:pPr>
        <w:pStyle w:val="Indenta"/>
      </w:pPr>
      <w:r>
        <w:tab/>
        <w:t>(b)</w:t>
      </w:r>
      <w:r>
        <w:tab/>
        <w:t>$13.00 for any day or part of a day.</w:t>
      </w:r>
    </w:p>
    <w:p>
      <w:pPr>
        <w:pStyle w:val="Subsection"/>
        <w:rPr>
          <w:snapToGrid w:val="0"/>
        </w:rPr>
      </w:pPr>
      <w:r>
        <w:rPr>
          <w:snapToGrid w:val="0"/>
        </w:rPr>
        <w:tab/>
        <w:t>(6)</w:t>
      </w:r>
      <w:r>
        <w:rPr>
          <w:snapToGrid w:val="0"/>
        </w:rPr>
        <w:tab/>
        <w:t>In this regulation — </w:t>
      </w:r>
    </w:p>
    <w:p>
      <w:pPr>
        <w:pStyle w:val="Defstart"/>
      </w:pPr>
      <w:r>
        <w:tab/>
      </w:r>
      <w:r>
        <w:rPr>
          <w:rStyle w:val="CharDefText"/>
        </w:rPr>
        <w:t>specified</w:t>
      </w:r>
      <w:r>
        <w:rPr>
          <w:b/>
        </w:rPr>
        <w:t xml:space="preserve"> </w:t>
      </w:r>
      <w:r>
        <w:t xml:space="preserve">means specified by a sign; </w:t>
      </w:r>
    </w:p>
    <w:p>
      <w:pPr>
        <w:pStyle w:val="Defstart"/>
      </w:pPr>
      <w:r>
        <w:tab/>
      </w:r>
      <w:r>
        <w:rPr>
          <w:rStyle w:val="CharDefText"/>
        </w:rPr>
        <w:t>ticket vending machine</w:t>
      </w:r>
      <w:r>
        <w:rPr>
          <w:b/>
        </w:rPr>
        <w:t xml:space="preserve"> </w:t>
      </w:r>
      <w:r>
        <w:t>means a machine situated on CALM land which, following the insertion of a coin or coins, issues a parking ticket.</w:t>
      </w:r>
    </w:p>
    <w:p>
      <w:pPr>
        <w:pStyle w:val="Footnotesection"/>
        <w:spacing w:before="80"/>
        <w:ind w:left="890" w:hanging="890"/>
      </w:pPr>
      <w:r>
        <w:tab/>
        <w:t>[Regulation 56 amended in Gazette 29 Sep 2006 p. 4315; 3 Dec 2010 p. 6048 and 6052</w:t>
      </w:r>
      <w:r>
        <w:noBreakHyphen/>
        <w:t>3; 27 Sep 2013 p. 4525; 14 Jul 2015 p. 2787.]</w:t>
      </w:r>
    </w:p>
    <w:p>
      <w:pPr>
        <w:pStyle w:val="Heading5"/>
        <w:spacing w:before="180"/>
        <w:rPr>
          <w:snapToGrid w:val="0"/>
        </w:rPr>
      </w:pPr>
      <w:bookmarkStart w:id="161" w:name="_Toc491956747"/>
      <w:bookmarkStart w:id="162" w:name="_Toc473035930"/>
      <w:r>
        <w:rPr>
          <w:rStyle w:val="CharSectno"/>
        </w:rPr>
        <w:t>57</w:t>
      </w:r>
      <w:r>
        <w:rPr>
          <w:snapToGrid w:val="0"/>
        </w:rPr>
        <w:t>.</w:t>
      </w:r>
      <w:r>
        <w:rPr>
          <w:snapToGrid w:val="0"/>
        </w:rPr>
        <w:tab/>
        <w:t>Obstructing other vehicles etc.</w:t>
      </w:r>
      <w:bookmarkEnd w:id="161"/>
      <w:bookmarkEnd w:id="162"/>
      <w:r>
        <w:rPr>
          <w:snapToGrid w:val="0"/>
        </w:rPr>
        <w:t xml:space="preserve"> </w:t>
      </w:r>
    </w:p>
    <w:p>
      <w:pPr>
        <w:pStyle w:val="Subsection"/>
        <w:spacing w:before="120"/>
        <w:rPr>
          <w:snapToGrid w:val="0"/>
        </w:rPr>
      </w:pPr>
      <w:r>
        <w:rPr>
          <w:snapToGrid w:val="0"/>
        </w:rPr>
        <w:tab/>
      </w:r>
      <w:r>
        <w:rPr>
          <w:snapToGrid w:val="0"/>
        </w:rPr>
        <w:tab/>
        <w:t>A person must not park or stand a vehicle on CALM land in such a manner as to obstruct — </w:t>
      </w:r>
    </w:p>
    <w:p>
      <w:pPr>
        <w:pStyle w:val="Indenta"/>
        <w:rPr>
          <w:snapToGrid w:val="0"/>
        </w:rPr>
      </w:pPr>
      <w:r>
        <w:rPr>
          <w:snapToGrid w:val="0"/>
        </w:rPr>
        <w:tab/>
        <w:t>(a)</w:t>
      </w:r>
      <w:r>
        <w:rPr>
          <w:snapToGrid w:val="0"/>
        </w:rPr>
        <w:tab/>
        <w:t>any other vehicle on the land; or</w:t>
      </w:r>
    </w:p>
    <w:p>
      <w:pPr>
        <w:pStyle w:val="Indenta"/>
        <w:rPr>
          <w:snapToGrid w:val="0"/>
        </w:rPr>
      </w:pPr>
      <w:r>
        <w:rPr>
          <w:snapToGrid w:val="0"/>
        </w:rPr>
        <w:tab/>
        <w:t>(b)</w:t>
      </w:r>
      <w:r>
        <w:rPr>
          <w:snapToGrid w:val="0"/>
        </w:rPr>
        <w:tab/>
        <w:t>a footpath; or</w:t>
      </w:r>
    </w:p>
    <w:p>
      <w:pPr>
        <w:pStyle w:val="Indenta"/>
        <w:rPr>
          <w:snapToGrid w:val="0"/>
        </w:rPr>
      </w:pPr>
      <w:r>
        <w:rPr>
          <w:snapToGrid w:val="0"/>
        </w:rPr>
        <w:tab/>
        <w:t>(c)</w:t>
      </w:r>
      <w:r>
        <w:rPr>
          <w:snapToGrid w:val="0"/>
        </w:rPr>
        <w:tab/>
        <w:t>access to a ticket vending machine within the meaning of regulation 56(6); or</w:t>
      </w:r>
    </w:p>
    <w:p>
      <w:pPr>
        <w:pStyle w:val="Indenta"/>
        <w:rPr>
          <w:snapToGrid w:val="0"/>
        </w:rPr>
      </w:pPr>
      <w:r>
        <w:rPr>
          <w:snapToGrid w:val="0"/>
        </w:rPr>
        <w:tab/>
        <w:t>(d)</w:t>
      </w:r>
      <w:r>
        <w:rPr>
          <w:snapToGrid w:val="0"/>
        </w:rPr>
        <w:tab/>
        <w:t>access to a facility on the land.</w:t>
      </w:r>
    </w:p>
    <w:p>
      <w:pPr>
        <w:pStyle w:val="Penstart"/>
        <w:rPr>
          <w:snapToGrid w:val="0"/>
        </w:rPr>
      </w:pPr>
      <w:r>
        <w:rPr>
          <w:snapToGrid w:val="0"/>
        </w:rPr>
        <w:tab/>
        <w:t xml:space="preserve">Penalty: </w:t>
      </w:r>
      <w:r>
        <w:t>a fine of</w:t>
      </w:r>
      <w:r>
        <w:rPr>
          <w:snapToGrid w:val="0"/>
        </w:rPr>
        <w:t xml:space="preserve"> $500.</w:t>
      </w:r>
    </w:p>
    <w:p>
      <w:pPr>
        <w:pStyle w:val="Footnotesection"/>
        <w:spacing w:before="80"/>
        <w:ind w:left="890" w:hanging="890"/>
      </w:pPr>
      <w:r>
        <w:tab/>
        <w:t>[Regulation 57 amended in Gazette 3 Dec 2010 p. 6052</w:t>
      </w:r>
      <w:r>
        <w:noBreakHyphen/>
        <w:t>3.]</w:t>
      </w:r>
    </w:p>
    <w:p>
      <w:pPr>
        <w:pStyle w:val="Heading3"/>
      </w:pPr>
      <w:bookmarkStart w:id="163" w:name="_Toc491954594"/>
      <w:bookmarkStart w:id="164" w:name="_Toc491956748"/>
      <w:bookmarkStart w:id="165" w:name="_Toc473019193"/>
      <w:bookmarkStart w:id="166" w:name="_Toc473035931"/>
      <w:r>
        <w:rPr>
          <w:rStyle w:val="CharDivNo"/>
        </w:rPr>
        <w:t>Division 3</w:t>
      </w:r>
      <w:r>
        <w:rPr>
          <w:snapToGrid w:val="0"/>
        </w:rPr>
        <w:t xml:space="preserve"> — </w:t>
      </w:r>
      <w:r>
        <w:rPr>
          <w:rStyle w:val="CharDivText"/>
        </w:rPr>
        <w:t>Vessels</w:t>
      </w:r>
      <w:bookmarkEnd w:id="163"/>
      <w:bookmarkEnd w:id="164"/>
      <w:bookmarkEnd w:id="165"/>
      <w:bookmarkEnd w:id="166"/>
    </w:p>
    <w:p>
      <w:pPr>
        <w:pStyle w:val="Heading5"/>
        <w:rPr>
          <w:snapToGrid w:val="0"/>
        </w:rPr>
      </w:pPr>
      <w:bookmarkStart w:id="167" w:name="_Toc491956749"/>
      <w:bookmarkStart w:id="168" w:name="_Toc473035932"/>
      <w:r>
        <w:rPr>
          <w:rStyle w:val="CharSectno"/>
        </w:rPr>
        <w:t>58</w:t>
      </w:r>
      <w:r>
        <w:rPr>
          <w:snapToGrid w:val="0"/>
        </w:rPr>
        <w:t>.</w:t>
      </w:r>
      <w:r>
        <w:rPr>
          <w:snapToGrid w:val="0"/>
        </w:rPr>
        <w:tab/>
        <w:t>Races</w:t>
      </w:r>
      <w:bookmarkEnd w:id="167"/>
      <w:bookmarkEnd w:id="168"/>
      <w:r>
        <w:rPr>
          <w:snapToGrid w:val="0"/>
        </w:rPr>
        <w:t xml:space="preserve"> </w:t>
      </w:r>
    </w:p>
    <w:p>
      <w:pPr>
        <w:pStyle w:val="Subsection"/>
        <w:rPr>
          <w:snapToGrid w:val="0"/>
        </w:rPr>
      </w:pPr>
      <w:r>
        <w:rPr>
          <w:snapToGrid w:val="0"/>
        </w:rPr>
        <w:tab/>
      </w:r>
      <w:r>
        <w:rPr>
          <w:snapToGrid w:val="0"/>
        </w:rPr>
        <w:tab/>
        <w:t>A person must not, without lawful authority, organise, promote or conduct a race involving vessels on or through CALM land.</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[Regulation 58 amended in Gazette 3 Dec 2010 p. 6052</w:t>
      </w:r>
      <w:r>
        <w:noBreakHyphen/>
        <w:t>3.]</w:t>
      </w:r>
    </w:p>
    <w:p>
      <w:pPr>
        <w:pStyle w:val="Heading5"/>
        <w:rPr>
          <w:snapToGrid w:val="0"/>
        </w:rPr>
      </w:pPr>
      <w:bookmarkStart w:id="169" w:name="_Toc491956750"/>
      <w:bookmarkStart w:id="170" w:name="_Toc473035933"/>
      <w:r>
        <w:rPr>
          <w:rStyle w:val="CharSectno"/>
        </w:rPr>
        <w:t>59</w:t>
      </w:r>
      <w:r>
        <w:rPr>
          <w:snapToGrid w:val="0"/>
        </w:rPr>
        <w:t>.</w:t>
      </w:r>
      <w:r>
        <w:rPr>
          <w:snapToGrid w:val="0"/>
        </w:rPr>
        <w:tab/>
        <w:t>Moorings</w:t>
      </w:r>
      <w:bookmarkEnd w:id="169"/>
      <w:bookmarkEnd w:id="170"/>
      <w:r>
        <w:rPr>
          <w:snapToGrid w:val="0"/>
        </w:rPr>
        <w:t xml:space="preserve"> </w:t>
      </w:r>
    </w:p>
    <w:p>
      <w:pPr>
        <w:pStyle w:val="Subsection"/>
      </w:pPr>
      <w:r>
        <w:tab/>
        <w:t>(1)</w:t>
      </w:r>
      <w:r>
        <w:tab/>
        <w:t xml:space="preserve">A person must not, without lawful authority — </w:t>
      </w:r>
    </w:p>
    <w:p>
      <w:pPr>
        <w:pStyle w:val="Indenta"/>
      </w:pPr>
      <w:r>
        <w:tab/>
        <w:t>(a)</w:t>
      </w:r>
      <w:r>
        <w:tab/>
        <w:t>install a mooring on CALM land; or</w:t>
      </w:r>
    </w:p>
    <w:p>
      <w:pPr>
        <w:pStyle w:val="Indenta"/>
      </w:pPr>
      <w:r>
        <w:tab/>
        <w:t>(b)</w:t>
      </w:r>
      <w:r>
        <w:tab/>
        <w:t>allow a mooring which the person owns or apparently controls to remain on CALM land.</w:t>
      </w:r>
    </w:p>
    <w:p>
      <w:pPr>
        <w:pStyle w:val="Penstart"/>
      </w:pPr>
      <w:r>
        <w:tab/>
        <w:t>Penalty: a fine of $2 000.</w:t>
      </w:r>
    </w:p>
    <w:p>
      <w:pPr>
        <w:pStyle w:val="Subsection"/>
      </w:pPr>
      <w:r>
        <w:tab/>
        <w:t>(2)</w:t>
      </w:r>
      <w:r>
        <w:tab/>
        <w:t>A person must not secure a vessel, or allow it to remain secured, to a mooring that is on CALM land without lawful authority.</w:t>
      </w:r>
    </w:p>
    <w:p>
      <w:pPr>
        <w:pStyle w:val="Penstart"/>
      </w:pPr>
      <w:r>
        <w:tab/>
        <w:t>Penalty: a fine of $1 000.</w:t>
      </w:r>
    </w:p>
    <w:p>
      <w:pPr>
        <w:pStyle w:val="Subsection"/>
      </w:pPr>
      <w:r>
        <w:rPr>
          <w:snapToGrid w:val="0"/>
        </w:rPr>
        <w:tab/>
        <w:t>(3A)</w:t>
      </w:r>
      <w:r>
        <w:rPr>
          <w:snapToGrid w:val="0"/>
        </w:rPr>
        <w:tab/>
        <w:t>A person must not, without lawful authority, allow a moored vessel to be on CALM land.</w:t>
      </w:r>
    </w:p>
    <w:p>
      <w:pPr>
        <w:pStyle w:val="Penstart"/>
      </w:pPr>
      <w:r>
        <w:tab/>
        <w:t>Penalty: a fine of $1 000.</w:t>
      </w:r>
    </w:p>
    <w:p>
      <w:pPr>
        <w:pStyle w:val="Subsection"/>
        <w:rPr>
          <w:snapToGrid w:val="0"/>
        </w:rPr>
      </w:pPr>
      <w:r>
        <w:rPr>
          <w:snapToGrid w:val="0"/>
        </w:rPr>
        <w:tab/>
        <w:t>(3)</w:t>
      </w:r>
      <w:r>
        <w:rPr>
          <w:snapToGrid w:val="0"/>
        </w:rPr>
        <w:tab/>
        <w:t>A person must not secure a vessel, or allow it to remain secured, to — </w:t>
      </w:r>
    </w:p>
    <w:p>
      <w:pPr>
        <w:pStyle w:val="Indenta"/>
      </w:pPr>
      <w:r>
        <w:rPr>
          <w:snapToGrid w:val="0"/>
        </w:rPr>
        <w:tab/>
        <w:t>(a)</w:t>
      </w:r>
      <w:r>
        <w:rPr>
          <w:snapToGrid w:val="0"/>
        </w:rPr>
        <w:tab/>
      </w:r>
      <w:r>
        <w:t>a mooring on CALM land, without lawful authority; or</w:t>
      </w:r>
    </w:p>
    <w:p>
      <w:pPr>
        <w:pStyle w:val="Indenta"/>
        <w:rPr>
          <w:snapToGrid w:val="0"/>
        </w:rPr>
      </w:pPr>
      <w:r>
        <w:rPr>
          <w:snapToGrid w:val="0"/>
        </w:rPr>
        <w:tab/>
        <w:t>(b)</w:t>
      </w:r>
      <w:r>
        <w:rPr>
          <w:snapToGrid w:val="0"/>
        </w:rPr>
        <w:tab/>
        <w:t>a mooring on CALM land to which a vessel is already secured; or</w:t>
      </w:r>
    </w:p>
    <w:p>
      <w:pPr>
        <w:pStyle w:val="Indenta"/>
        <w:rPr>
          <w:snapToGrid w:val="0"/>
        </w:rPr>
      </w:pPr>
      <w:r>
        <w:rPr>
          <w:snapToGrid w:val="0"/>
        </w:rPr>
        <w:tab/>
        <w:t>(c)</w:t>
      </w:r>
      <w:r>
        <w:rPr>
          <w:snapToGrid w:val="0"/>
        </w:rPr>
        <w:tab/>
        <w:t>a vessel that is secured to a mooring on CALM 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Subregulation (3) does not apply so as to prohibit a tender being attached to a vessel.</w:t>
      </w:r>
    </w:p>
    <w:p>
      <w:pPr>
        <w:pStyle w:val="Subsection"/>
        <w:rPr>
          <w:snapToGrid w:val="0"/>
        </w:rPr>
      </w:pPr>
      <w:r>
        <w:rPr>
          <w:snapToGrid w:val="0"/>
        </w:rPr>
        <w:tab/>
        <w:t>(5)</w:t>
      </w:r>
      <w:r>
        <w:rPr>
          <w:snapToGrid w:val="0"/>
        </w:rPr>
        <w:tab/>
        <w:t>For the purposes of this regulation, a person who is on a vessel that is secured to a mooring</w:t>
      </w:r>
      <w:r>
        <w:rPr>
          <w:spacing w:val="-6"/>
          <w:kern w:val="24"/>
        </w:rPr>
        <w:t>, or secured to a vessel that is secured to a mooring,</w:t>
      </w:r>
      <w:r>
        <w:t xml:space="preserve"> </w:t>
      </w:r>
      <w:r>
        <w:rPr>
          <w:snapToGrid w:val="0"/>
        </w:rPr>
        <w:t>is taken to allow it to remain secured to that mooring</w:t>
      </w:r>
      <w:r>
        <w:t xml:space="preserve"> or that vessel</w:t>
      </w:r>
      <w:r>
        <w:rPr>
          <w:snapToGrid w:val="0"/>
        </w:rPr>
        <w:t>.</w:t>
      </w:r>
    </w:p>
    <w:p>
      <w:pPr>
        <w:pStyle w:val="Footnotesection"/>
      </w:pPr>
      <w:r>
        <w:tab/>
        <w:t>[Regulation 59 amended in Gazette 29 Sep 2006 p. 4315; 3 Dec 2010 p. 6052</w:t>
      </w:r>
      <w:r>
        <w:noBreakHyphen/>
        <w:t>3; 24 Mar 2015 p. 1034</w:t>
      </w:r>
      <w:r>
        <w:noBreakHyphen/>
        <w:t>5.]</w:t>
      </w:r>
    </w:p>
    <w:p>
      <w:pPr>
        <w:pStyle w:val="Heading5"/>
      </w:pPr>
      <w:bookmarkStart w:id="171" w:name="_Toc491956751"/>
      <w:bookmarkStart w:id="172" w:name="_Toc473035934"/>
      <w:r>
        <w:rPr>
          <w:rStyle w:val="CharSectno"/>
        </w:rPr>
        <w:t>60AA</w:t>
      </w:r>
      <w:r>
        <w:t>.</w:t>
      </w:r>
      <w:r>
        <w:tab/>
        <w:t>Notice of moorings suspected of not being lawfully authorised</w:t>
      </w:r>
      <w:bookmarkEnd w:id="171"/>
      <w:bookmarkEnd w:id="172"/>
    </w:p>
    <w:p>
      <w:pPr>
        <w:pStyle w:val="Subsection"/>
      </w:pPr>
      <w:r>
        <w:tab/>
        <w:t>(1)</w:t>
      </w:r>
      <w:r>
        <w:tab/>
        <w:t>If the CEO is of the opinion that a mooring is on CALM land without lawful authority the CEO may give notice in writing to the person who owns or apparently controls the mooring.</w:t>
      </w:r>
    </w:p>
    <w:p>
      <w:pPr>
        <w:pStyle w:val="Subsection"/>
      </w:pPr>
      <w:r>
        <w:tab/>
        <w:t>(2)</w:t>
      </w:r>
      <w:r>
        <w:tab/>
        <w:t xml:space="preserve">The notice must specify a reasonable time within which the person must — </w:t>
      </w:r>
    </w:p>
    <w:p>
      <w:pPr>
        <w:pStyle w:val="Indenta"/>
      </w:pPr>
      <w:r>
        <w:tab/>
        <w:t>(a)</w:t>
      </w:r>
      <w:r>
        <w:tab/>
        <w:t>provide evidence to the CEO that the mooring is authorised to be on CALM land; or</w:t>
      </w:r>
    </w:p>
    <w:p>
      <w:pPr>
        <w:pStyle w:val="Indenta"/>
      </w:pPr>
      <w:r>
        <w:tab/>
        <w:t>(b)</w:t>
      </w:r>
      <w:r>
        <w:tab/>
        <w:t>apply to the CEO for a licence or other authorisation for the mooring to be on CALM land; or</w:t>
      </w:r>
    </w:p>
    <w:p>
      <w:pPr>
        <w:pStyle w:val="Indenta"/>
      </w:pPr>
      <w:r>
        <w:tab/>
        <w:t>(c)</w:t>
      </w:r>
      <w:r>
        <w:tab/>
        <w:t>remove the mooring.</w:t>
      </w:r>
    </w:p>
    <w:p>
      <w:pPr>
        <w:pStyle w:val="Subsection"/>
      </w:pPr>
      <w:r>
        <w:tab/>
        <w:t>(3)</w:t>
      </w:r>
      <w:r>
        <w:tab/>
        <w:t xml:space="preserve">Proceedings for an offence under subregulation 59(1)(b) must not be commenced against a person unless the CEO has given the person a notice under subregulation (1) and either — </w:t>
      </w:r>
    </w:p>
    <w:p>
      <w:pPr>
        <w:pStyle w:val="Indenta"/>
      </w:pPr>
      <w:r>
        <w:tab/>
        <w:t>(a)</w:t>
      </w:r>
      <w:r>
        <w:tab/>
        <w:t>the person has failed to comply with the notice; or</w:t>
      </w:r>
    </w:p>
    <w:p>
      <w:pPr>
        <w:pStyle w:val="Indenta"/>
      </w:pPr>
      <w:r>
        <w:tab/>
        <w:t>(b)</w:t>
      </w:r>
      <w:r>
        <w:tab/>
        <w:t>the person has applied for a licence or other authorisation before the end of the period specified in the notice and the application has been refused.</w:t>
      </w:r>
    </w:p>
    <w:p>
      <w:pPr>
        <w:pStyle w:val="Footnotesection"/>
      </w:pPr>
      <w:r>
        <w:tab/>
        <w:t>[Regulation 60AA inserted in Gazette 4 Dec 2015 p. 4841-2.]</w:t>
      </w:r>
    </w:p>
    <w:p>
      <w:pPr>
        <w:pStyle w:val="Heading5"/>
        <w:spacing w:before="180"/>
      </w:pPr>
      <w:bookmarkStart w:id="173" w:name="_Toc491956752"/>
      <w:bookmarkStart w:id="174" w:name="_Toc473035935"/>
      <w:r>
        <w:rPr>
          <w:rStyle w:val="CharSectno"/>
        </w:rPr>
        <w:t>60A</w:t>
      </w:r>
      <w:r>
        <w:t>.</w:t>
      </w:r>
      <w:r>
        <w:tab/>
        <w:t>Public moorings</w:t>
      </w:r>
      <w:bookmarkEnd w:id="173"/>
      <w:bookmarkEnd w:id="174"/>
    </w:p>
    <w:p>
      <w:pPr>
        <w:pStyle w:val="Subsection"/>
      </w:pPr>
      <w:r>
        <w:tab/>
        <w:t>(1)</w:t>
      </w:r>
      <w:r>
        <w:tab/>
        <w:t xml:space="preserve">The CEO may designate a mooring as a public mooring by a sign attached to the mooring. </w:t>
      </w:r>
    </w:p>
    <w:p>
      <w:pPr>
        <w:pStyle w:val="Subsection"/>
      </w:pPr>
      <w:r>
        <w:tab/>
        <w:t>(2)</w:t>
      </w:r>
      <w:r>
        <w:tab/>
        <w:t>A mooring may be designated as a public mooring at all times or during a period or periods specified on the sign.</w:t>
      </w:r>
    </w:p>
    <w:p>
      <w:pPr>
        <w:pStyle w:val="Subsection"/>
      </w:pPr>
      <w:r>
        <w:tab/>
        <w:t>(3)</w:t>
      </w:r>
      <w:r>
        <w:tab/>
        <w:t xml:space="preserve">The sign that is attached to a public mooring must indicate — </w:t>
      </w:r>
    </w:p>
    <w:p>
      <w:pPr>
        <w:pStyle w:val="Indenta"/>
      </w:pPr>
      <w:r>
        <w:tab/>
        <w:t>(a)</w:t>
      </w:r>
      <w:r>
        <w:tab/>
        <w:t>the period or periods during which the mooring is a public mooring; and</w:t>
      </w:r>
    </w:p>
    <w:p>
      <w:pPr>
        <w:pStyle w:val="Indenta"/>
      </w:pPr>
      <w:r>
        <w:tab/>
        <w:t>(b)</w:t>
      </w:r>
      <w:r>
        <w:tab/>
        <w:t>the conditions, if any, that apply to the use of the mooring.</w:t>
      </w:r>
    </w:p>
    <w:p>
      <w:pPr>
        <w:pStyle w:val="Subsection"/>
      </w:pPr>
      <w:r>
        <w:tab/>
        <w:t>(4)</w:t>
      </w:r>
      <w:r>
        <w:tab/>
        <w:t>A person has lawful authority to secure a vessel, or allow it to remain secured, to a public mooring if the person complies with the conditions specified on a sign attached to the mooring.</w:t>
      </w:r>
    </w:p>
    <w:p>
      <w:pPr>
        <w:pStyle w:val="Penstart"/>
      </w:pPr>
      <w:r>
        <w:tab/>
        <w:t>Penalty: a fine of $2 000.</w:t>
      </w:r>
    </w:p>
    <w:p>
      <w:pPr>
        <w:pStyle w:val="Footnotesection"/>
      </w:pPr>
      <w:r>
        <w:tab/>
        <w:t>[Regulation 60A inserted in Gazette 24 Mar 2015 p. 1035.]</w:t>
      </w:r>
    </w:p>
    <w:p>
      <w:pPr>
        <w:pStyle w:val="Heading5"/>
      </w:pPr>
      <w:bookmarkStart w:id="175" w:name="_Toc491956753"/>
      <w:bookmarkStart w:id="176" w:name="_Toc473035936"/>
      <w:r>
        <w:rPr>
          <w:rStyle w:val="CharSectno"/>
        </w:rPr>
        <w:t>60B</w:t>
      </w:r>
      <w:r>
        <w:t>.</w:t>
      </w:r>
      <w:r>
        <w:tab/>
        <w:t>Temporary mooring areas</w:t>
      </w:r>
      <w:bookmarkEnd w:id="175"/>
      <w:bookmarkEnd w:id="176"/>
    </w:p>
    <w:p>
      <w:pPr>
        <w:pStyle w:val="Subsection"/>
      </w:pPr>
      <w:r>
        <w:tab/>
      </w:r>
      <w:r>
        <w:tab/>
        <w:t>A person has lawful authority to moor a vessel in a temporary mooring area in accordance with conditions specified on signs erected in or in the vicinity of that area for the purposes of regulation 6(3) or signs designating the area as a temporary mooring area.</w:t>
      </w:r>
    </w:p>
    <w:p>
      <w:pPr>
        <w:pStyle w:val="Footnotesection"/>
      </w:pPr>
      <w:r>
        <w:tab/>
        <w:t>[Regulation 60B inserted in Gazette 24 Mar 2015 p. 1035.]</w:t>
      </w:r>
    </w:p>
    <w:p>
      <w:pPr>
        <w:pStyle w:val="Heading5"/>
      </w:pPr>
      <w:bookmarkStart w:id="177" w:name="_Toc491956754"/>
      <w:bookmarkStart w:id="178" w:name="_Toc473035937"/>
      <w:r>
        <w:rPr>
          <w:rStyle w:val="CharSectno"/>
        </w:rPr>
        <w:t>60</w:t>
      </w:r>
      <w:r>
        <w:rPr>
          <w:snapToGrid w:val="0"/>
        </w:rPr>
        <w:t>.</w:t>
      </w:r>
      <w:r>
        <w:rPr>
          <w:snapToGrid w:val="0"/>
        </w:rPr>
        <w:tab/>
        <w:t>Anchoring vessels</w:t>
      </w:r>
      <w:bookmarkEnd w:id="177"/>
      <w:bookmarkEnd w:id="178"/>
    </w:p>
    <w:p>
      <w:pPr>
        <w:pStyle w:val="Subsection"/>
        <w:ind w:left="0" w:firstLine="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anchor a vessel in a restricted area if that activity is prohibited under regulation 5; or</w:t>
      </w:r>
    </w:p>
    <w:p>
      <w:pPr>
        <w:pStyle w:val="Indenta"/>
        <w:rPr>
          <w:snapToGrid w:val="0"/>
        </w:rPr>
      </w:pPr>
      <w:r>
        <w:rPr>
          <w:snapToGrid w:val="0"/>
        </w:rPr>
        <w:tab/>
        <w:t>(b)</w:t>
      </w:r>
      <w:r>
        <w:rPr>
          <w:snapToGrid w:val="0"/>
        </w:rPr>
        <w:tab/>
        <w:t>contravene a restriction on the anchoring of vessels in a restricted area imposed under regulation 5.</w:t>
      </w:r>
    </w:p>
    <w:p>
      <w:pPr>
        <w:pStyle w:val="Penstart"/>
        <w:rPr>
          <w:snapToGrid w:val="0"/>
        </w:rPr>
      </w:pPr>
      <w:r>
        <w:rPr>
          <w:snapToGrid w:val="0"/>
        </w:rPr>
        <w:tab/>
        <w:t xml:space="preserve">Penalty: </w:t>
      </w:r>
      <w:r>
        <w:t>a fine of</w:t>
      </w:r>
      <w:r>
        <w:rPr>
          <w:snapToGrid w:val="0"/>
        </w:rPr>
        <w:t xml:space="preserve"> $1 000.</w:t>
      </w:r>
    </w:p>
    <w:p>
      <w:pPr>
        <w:pStyle w:val="Subsection"/>
      </w:pPr>
      <w:r>
        <w:tab/>
        <w:t>(2A)</w:t>
      </w:r>
      <w:r>
        <w:tab/>
        <w:t>A person must not anchor a vessel, or allow a vessel to remain anchored, on CALM land if the vessel lies in a position where part of the vessel, or a tender attached to it, is closer than 50 metres to a mooring that is on CALM land.</w:t>
      </w:r>
    </w:p>
    <w:p>
      <w:pPr>
        <w:pStyle w:val="Penstart"/>
      </w:pPr>
      <w:r>
        <w:tab/>
        <w:t>Penalty: a fine of $1 000.</w:t>
      </w:r>
    </w:p>
    <w:p>
      <w:pPr>
        <w:pStyle w:val="Subsection"/>
        <w:rPr>
          <w:snapToGrid w:val="0"/>
        </w:rPr>
      </w:pPr>
      <w:r>
        <w:rPr>
          <w:snapToGrid w:val="0"/>
        </w:rPr>
        <w:tab/>
        <w:t>(2)</w:t>
      </w:r>
      <w:r>
        <w:rPr>
          <w:snapToGrid w:val="0"/>
        </w:rPr>
        <w:tab/>
      </w:r>
      <w:r>
        <w:t>Subregulations (1) and (2A) do</w:t>
      </w:r>
      <w:r>
        <w:rPr>
          <w:snapToGrid w:val="0"/>
        </w:rPr>
        <w:t xml:space="preserve"> not apply to a vessel that is required to anchor contrary to that subregulation to avoid or mitigate danger to human life or significant damage to property.</w:t>
      </w:r>
    </w:p>
    <w:p>
      <w:pPr>
        <w:pStyle w:val="Footnotesection"/>
      </w:pPr>
      <w:r>
        <w:tab/>
        <w:t>[Regulation 60 amended in Gazette 3 Dec 2010 p. 6052</w:t>
      </w:r>
      <w:r>
        <w:noBreakHyphen/>
        <w:t>3; 24 Mar 2015 p. 1035</w:t>
      </w:r>
      <w:r>
        <w:noBreakHyphen/>
        <w:t>6.]</w:t>
      </w:r>
    </w:p>
    <w:p>
      <w:pPr>
        <w:pStyle w:val="Heading5"/>
        <w:rPr>
          <w:snapToGrid w:val="0"/>
        </w:rPr>
      </w:pPr>
      <w:bookmarkStart w:id="179" w:name="_Toc491956755"/>
      <w:bookmarkStart w:id="180" w:name="_Toc473035938"/>
      <w:r>
        <w:rPr>
          <w:rStyle w:val="CharSectno"/>
        </w:rPr>
        <w:t>61</w:t>
      </w:r>
      <w:r>
        <w:rPr>
          <w:snapToGrid w:val="0"/>
        </w:rPr>
        <w:t>.</w:t>
      </w:r>
      <w:r>
        <w:rPr>
          <w:snapToGrid w:val="0"/>
        </w:rPr>
        <w:tab/>
        <w:t>Operation of certain vessel in restricted area</w:t>
      </w:r>
      <w:bookmarkEnd w:id="179"/>
      <w:bookmarkEnd w:id="180"/>
    </w:p>
    <w:p>
      <w:pPr>
        <w:pStyle w:val="Subsection"/>
      </w:pPr>
      <w:r>
        <w:rPr>
          <w:snapToGrid w:val="0"/>
        </w:rPr>
        <w:tab/>
      </w:r>
      <w:r>
        <w:rPr>
          <w:snapToGrid w:val="0"/>
        </w:rPr>
        <w:tab/>
      </w:r>
      <w:r>
        <w:t xml:space="preserve">A person must not, without lawful authority, in a restricted area — </w:t>
      </w:r>
    </w:p>
    <w:p>
      <w:pPr>
        <w:pStyle w:val="Indenta"/>
      </w:pPr>
      <w:r>
        <w:tab/>
        <w:t>(a)</w:t>
      </w:r>
      <w:r>
        <w:tab/>
        <w:t>operate a vessel if the operation of a vessel of that kind is prohibited in that area under regulation 5; or</w:t>
      </w:r>
    </w:p>
    <w:p>
      <w:pPr>
        <w:pStyle w:val="Indenta"/>
      </w:pPr>
      <w:r>
        <w:tab/>
        <w:t>(b)</w:t>
      </w:r>
      <w:r>
        <w:tab/>
        <w:t>contravene a restriction imposed on the operation of a vessel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61 amended in Gazette 3 Dec 2010 p. 6052</w:t>
      </w:r>
      <w:r>
        <w:noBreakHyphen/>
        <w:t>3; 19 Sep 2014 p. 3336.]</w:t>
      </w:r>
    </w:p>
    <w:p>
      <w:pPr>
        <w:pStyle w:val="Heading5"/>
        <w:spacing w:before="180"/>
      </w:pPr>
      <w:bookmarkStart w:id="181" w:name="_Toc491956756"/>
      <w:bookmarkStart w:id="182" w:name="_Toc473035939"/>
      <w:r>
        <w:rPr>
          <w:rStyle w:val="CharSectno"/>
        </w:rPr>
        <w:t>61A</w:t>
      </w:r>
      <w:r>
        <w:t>.</w:t>
      </w:r>
      <w:r>
        <w:tab/>
        <w:t>Operation of vessels in nature reserves</w:t>
      </w:r>
      <w:bookmarkEnd w:id="181"/>
      <w:bookmarkEnd w:id="182"/>
    </w:p>
    <w:p>
      <w:pPr>
        <w:pStyle w:val="Subsection"/>
      </w:pPr>
      <w:r>
        <w:tab/>
      </w:r>
      <w:r>
        <w:tab/>
        <w:t>A person must not, without lawful authority, operate a vessel in a nature reserve, except in a designated area of the reserve.</w:t>
      </w:r>
    </w:p>
    <w:p>
      <w:pPr>
        <w:pStyle w:val="Penstart"/>
      </w:pPr>
      <w:r>
        <w:tab/>
        <w:t>Penalty: a fine of $1 000.</w:t>
      </w:r>
    </w:p>
    <w:p>
      <w:pPr>
        <w:pStyle w:val="Footnotesection"/>
        <w:spacing w:before="100"/>
      </w:pPr>
      <w:r>
        <w:tab/>
        <w:t>[Regulation 61A inserted in Gazette 29 Sep 2006 p. 4315; amended in Gazette 3 Dec 2010 p. 6052</w:t>
      </w:r>
      <w:r>
        <w:noBreakHyphen/>
        <w:t>3.]</w:t>
      </w:r>
    </w:p>
    <w:p>
      <w:pPr>
        <w:pStyle w:val="Heading5"/>
        <w:spacing w:before="180"/>
      </w:pPr>
      <w:bookmarkStart w:id="183" w:name="_Toc491956757"/>
      <w:bookmarkStart w:id="184" w:name="_Toc473035940"/>
      <w:r>
        <w:rPr>
          <w:rStyle w:val="CharSectno"/>
        </w:rPr>
        <w:t>61B</w:t>
      </w:r>
      <w:r>
        <w:t>.</w:t>
      </w:r>
      <w:r>
        <w:tab/>
        <w:t>CEO may limit speed of vessels</w:t>
      </w:r>
      <w:bookmarkEnd w:id="183"/>
      <w:bookmarkEnd w:id="184"/>
    </w:p>
    <w:p>
      <w:pPr>
        <w:pStyle w:val="Subsection"/>
      </w:pPr>
      <w:r>
        <w:tab/>
        <w:t>(1)</w:t>
      </w:r>
      <w:r>
        <w:tab/>
        <w:t xml:space="preserve">In this regulation — </w:t>
      </w:r>
    </w:p>
    <w:p>
      <w:pPr>
        <w:pStyle w:val="Defstart"/>
      </w:pPr>
      <w:r>
        <w:tab/>
      </w:r>
      <w:r>
        <w:rPr>
          <w:rStyle w:val="CharDefText"/>
        </w:rPr>
        <w:t>specified</w:t>
      </w:r>
      <w:r>
        <w:t xml:space="preserve"> means specified in a notice referred to in subregulation (2).</w:t>
      </w:r>
    </w:p>
    <w:p>
      <w:pPr>
        <w:pStyle w:val="Subsection"/>
      </w:pPr>
      <w:r>
        <w:tab/>
        <w:t>(2)</w:t>
      </w:r>
      <w:r>
        <w:tab/>
        <w:t xml:space="preserve">The CEO may, by notice published in the </w:t>
      </w:r>
      <w:r>
        <w:rPr>
          <w:i/>
          <w:iCs/>
        </w:rPr>
        <w:t>Gazette</w:t>
      </w:r>
      <w:r>
        <w:t>, limit the speed of any specified class or classes of vessel in any specified area of waters on CALM land.</w:t>
      </w:r>
    </w:p>
    <w:p>
      <w:pPr>
        <w:pStyle w:val="Subsection"/>
      </w:pPr>
      <w:r>
        <w:tab/>
        <w:t>(3)</w:t>
      </w:r>
      <w:r>
        <w:tab/>
        <w:t>The CEO is to ensure that signs are erected in, or in the vicinity of, each specified area indicating the speed limits that apply in the area and the class or classes of vessel to which the speed limits apply.</w:t>
      </w:r>
    </w:p>
    <w:p>
      <w:pPr>
        <w:pStyle w:val="Subsection"/>
      </w:pPr>
      <w:r>
        <w:tab/>
        <w:t>(4)</w:t>
      </w:r>
      <w:r>
        <w:tab/>
        <w:t>A person must not operate a vessel in a specified area at a speed exceeding the specified limit for a vessel of that class.</w:t>
      </w:r>
    </w:p>
    <w:p>
      <w:pPr>
        <w:pStyle w:val="Penstart"/>
      </w:pPr>
      <w:r>
        <w:tab/>
        <w:t>Penalty: a fine of $2 000.</w:t>
      </w:r>
    </w:p>
    <w:p>
      <w:pPr>
        <w:pStyle w:val="Footnotesection"/>
      </w:pPr>
      <w:r>
        <w:tab/>
        <w:t>[Regulation 61B inserted in Gazette 24 Mar 2015 p. 1036.]</w:t>
      </w:r>
    </w:p>
    <w:p>
      <w:pPr>
        <w:pStyle w:val="Heading5"/>
        <w:rPr>
          <w:snapToGrid w:val="0"/>
        </w:rPr>
      </w:pPr>
      <w:bookmarkStart w:id="185" w:name="_Toc491956758"/>
      <w:bookmarkStart w:id="186" w:name="_Toc473035941"/>
      <w:r>
        <w:rPr>
          <w:rStyle w:val="CharSectno"/>
        </w:rPr>
        <w:t>62</w:t>
      </w:r>
      <w:r>
        <w:rPr>
          <w:snapToGrid w:val="0"/>
        </w:rPr>
        <w:t>.</w:t>
      </w:r>
      <w:r>
        <w:rPr>
          <w:snapToGrid w:val="0"/>
        </w:rPr>
        <w:tab/>
        <w:t>Safe navigation of vessels</w:t>
      </w:r>
      <w:bookmarkEnd w:id="185"/>
      <w:bookmarkEnd w:id="186"/>
      <w:r>
        <w:rPr>
          <w:snapToGrid w:val="0"/>
        </w:rPr>
        <w:t xml:space="preserve"> </w:t>
      </w:r>
    </w:p>
    <w:p>
      <w:pPr>
        <w:pStyle w:val="Subsection"/>
        <w:rPr>
          <w:snapToGrid w:val="0"/>
        </w:rPr>
      </w:pPr>
      <w:r>
        <w:rPr>
          <w:snapToGrid w:val="0"/>
        </w:rPr>
        <w:tab/>
        <w:t>(1)</w:t>
      </w:r>
      <w:r>
        <w:rPr>
          <w:snapToGrid w:val="0"/>
        </w:rPr>
        <w:tab/>
        <w:t>A person must not navigate a vessel on waters on CALM land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cause damage to any person or to any other vessel;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damage vegetation, coral, shoals, sandbanks, mudflats or the bed or banks of any body of water; or</w:t>
      </w:r>
    </w:p>
    <w:p>
      <w:pPr>
        <w:pStyle w:val="Indenta"/>
        <w:rPr>
          <w:snapToGrid w:val="0"/>
        </w:rPr>
      </w:pPr>
      <w:r>
        <w:rPr>
          <w:snapToGrid w:val="0"/>
        </w:rPr>
        <w:tab/>
        <w:t>(e)</w:t>
      </w:r>
      <w:r>
        <w:rPr>
          <w:snapToGrid w:val="0"/>
        </w:rPr>
        <w:tab/>
      </w:r>
      <w:r>
        <w:t>endanger or harm any fauna</w:t>
      </w:r>
      <w:r>
        <w:rPr>
          <w:snapToGrid w:val="0"/>
        </w:rPr>
        <w:t>.</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rPr>
          <w:snapToGrid w:val="0"/>
        </w:rPr>
      </w:pPr>
      <w:r>
        <w:tab/>
        <w:t>(2)</w:t>
      </w:r>
      <w:r>
        <w:tab/>
      </w:r>
      <w:r>
        <w:rPr>
          <w:snapToGrid w:val="0"/>
        </w:rPr>
        <w:t xml:space="preserve">A person must not navigate a vessel on waters on CALM land in such a manner as to — </w:t>
      </w:r>
    </w:p>
    <w:p>
      <w:pPr>
        <w:pStyle w:val="Indenta"/>
        <w:rPr>
          <w:snapToGrid w:val="0"/>
        </w:rPr>
      </w:pPr>
      <w:r>
        <w:tab/>
        <w:t>(a)</w:t>
      </w:r>
      <w:r>
        <w:tab/>
      </w:r>
      <w:r>
        <w:rPr>
          <w:snapToGrid w:val="0"/>
        </w:rPr>
        <w:t>cause nuisance to any person or to any other vessel; or</w:t>
      </w:r>
    </w:p>
    <w:p>
      <w:pPr>
        <w:pStyle w:val="Indenta"/>
        <w:rPr>
          <w:snapToGrid w:val="0"/>
        </w:rPr>
      </w:pPr>
      <w:r>
        <w:rPr>
          <w:snapToGrid w:val="0"/>
        </w:rPr>
        <w:tab/>
        <w:t>(b)</w:t>
      </w:r>
      <w:r>
        <w:rPr>
          <w:snapToGrid w:val="0"/>
        </w:rPr>
        <w:tab/>
        <w:t>obstruct, impede or otherwise interfere with any other vessel; or</w:t>
      </w:r>
    </w:p>
    <w:p>
      <w:pPr>
        <w:pStyle w:val="Indenta"/>
        <w:rPr>
          <w:snapToGrid w:val="0"/>
        </w:rPr>
      </w:pPr>
      <w:r>
        <w:rPr>
          <w:snapToGrid w:val="0"/>
        </w:rPr>
        <w:tab/>
        <w:t>(c)</w:t>
      </w:r>
      <w:r>
        <w:rPr>
          <w:snapToGrid w:val="0"/>
        </w:rPr>
        <w:tab/>
      </w:r>
      <w:r>
        <w:t>disturb any fauna</w:t>
      </w:r>
      <w:r>
        <w:rPr>
          <w:snapToGrid w:val="0"/>
        </w:rPr>
        <w:t>.</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62 amended in Gazette 29 Sep 2006 p. 4315</w:t>
      </w:r>
      <w:r>
        <w:noBreakHyphen/>
        <w:t>16; 3 Dec 2010 p. 6052</w:t>
      </w:r>
      <w:r>
        <w:noBreakHyphen/>
        <w:t>3; 19 Sep 2014 p. 3336.]</w:t>
      </w:r>
    </w:p>
    <w:p>
      <w:pPr>
        <w:pStyle w:val="Heading5"/>
        <w:rPr>
          <w:snapToGrid w:val="0"/>
        </w:rPr>
      </w:pPr>
      <w:bookmarkStart w:id="187" w:name="_Toc491956759"/>
      <w:bookmarkStart w:id="188" w:name="_Toc473035942"/>
      <w:r>
        <w:rPr>
          <w:rStyle w:val="CharSectno"/>
        </w:rPr>
        <w:t>63</w:t>
      </w:r>
      <w:r>
        <w:rPr>
          <w:snapToGrid w:val="0"/>
        </w:rPr>
        <w:t>.</w:t>
      </w:r>
      <w:r>
        <w:rPr>
          <w:snapToGrid w:val="0"/>
        </w:rPr>
        <w:tab/>
        <w:t>Owner to obey reasonable direction</w:t>
      </w:r>
      <w:bookmarkEnd w:id="187"/>
      <w:bookmarkEnd w:id="188"/>
      <w:r>
        <w:rPr>
          <w:snapToGrid w:val="0"/>
        </w:rPr>
        <w:t xml:space="preserve"> </w:t>
      </w:r>
    </w:p>
    <w:p>
      <w:pPr>
        <w:pStyle w:val="Subsection"/>
        <w:rPr>
          <w:snapToGrid w:val="0"/>
        </w:rPr>
      </w:pPr>
      <w:r>
        <w:rPr>
          <w:snapToGrid w:val="0"/>
        </w:rPr>
        <w:tab/>
      </w:r>
      <w:r>
        <w:rPr>
          <w:snapToGrid w:val="0"/>
        </w:rPr>
        <w:tab/>
        <w:t>The owner or person in charge of a vessel must obey any reasonable direction given to him or her by an authorised officer in relation to the anchoring, mooring or movement of the vessel on CALM land.</w:t>
      </w:r>
    </w:p>
    <w:p>
      <w:pPr>
        <w:pStyle w:val="Penstart"/>
        <w:rPr>
          <w:snapToGrid w:val="0"/>
        </w:rPr>
      </w:pPr>
      <w:r>
        <w:rPr>
          <w:snapToGrid w:val="0"/>
        </w:rPr>
        <w:tab/>
        <w:t xml:space="preserve">Penalty: </w:t>
      </w:r>
      <w:r>
        <w:t>a fine of</w:t>
      </w:r>
      <w:r>
        <w:rPr>
          <w:snapToGrid w:val="0"/>
        </w:rPr>
        <w:t xml:space="preserve"> $1 000.</w:t>
      </w:r>
    </w:p>
    <w:p>
      <w:pPr>
        <w:pStyle w:val="Footnotesection"/>
        <w:spacing w:before="100"/>
      </w:pPr>
      <w:r>
        <w:tab/>
        <w:t>[Regulation 63 amended in Gazette 3 Dec 2010 p. 6052</w:t>
      </w:r>
      <w:r>
        <w:noBreakHyphen/>
        <w:t>3; 24 Mar 2015 p. 1036.]</w:t>
      </w:r>
    </w:p>
    <w:p>
      <w:pPr>
        <w:pStyle w:val="Heading5"/>
        <w:rPr>
          <w:snapToGrid w:val="0"/>
        </w:rPr>
      </w:pPr>
      <w:bookmarkStart w:id="189" w:name="_Toc491956760"/>
      <w:bookmarkStart w:id="190" w:name="_Toc473035943"/>
      <w:r>
        <w:rPr>
          <w:rStyle w:val="CharSectno"/>
        </w:rPr>
        <w:t>64</w:t>
      </w:r>
      <w:r>
        <w:rPr>
          <w:snapToGrid w:val="0"/>
        </w:rPr>
        <w:t>.</w:t>
      </w:r>
      <w:r>
        <w:rPr>
          <w:snapToGrid w:val="0"/>
        </w:rPr>
        <w:tab/>
        <w:t>Launching, beaching and retrieving</w:t>
      </w:r>
      <w:bookmarkEnd w:id="189"/>
      <w:bookmarkEnd w:id="190"/>
      <w:r>
        <w:rPr>
          <w:snapToGrid w:val="0"/>
        </w:rPr>
        <w:t xml:space="preserve"> </w:t>
      </w:r>
    </w:p>
    <w:p>
      <w:pPr>
        <w:pStyle w:val="Subsection"/>
        <w:rPr>
          <w:snapToGrid w:val="0"/>
        </w:rPr>
      </w:pPr>
      <w:r>
        <w:rPr>
          <w:snapToGrid w:val="0"/>
        </w:rPr>
        <w:tab/>
        <w:t>(1)</w:t>
      </w:r>
      <w:r>
        <w:rPr>
          <w:snapToGrid w:val="0"/>
        </w:rPr>
        <w:tab/>
        <w:t>A person must not, without lawful authority, in a restricted area — </w:t>
      </w:r>
    </w:p>
    <w:p>
      <w:pPr>
        <w:pStyle w:val="Indenta"/>
        <w:rPr>
          <w:snapToGrid w:val="0"/>
        </w:rPr>
      </w:pPr>
      <w:r>
        <w:rPr>
          <w:snapToGrid w:val="0"/>
        </w:rPr>
        <w:tab/>
        <w:t>(a)</w:t>
      </w:r>
      <w:r>
        <w:rPr>
          <w:snapToGrid w:val="0"/>
        </w:rPr>
        <w:tab/>
        <w:t>launch or beach a vessel; or</w:t>
      </w:r>
    </w:p>
    <w:p>
      <w:pPr>
        <w:pStyle w:val="Indenta"/>
        <w:rPr>
          <w:snapToGrid w:val="0"/>
        </w:rPr>
      </w:pPr>
      <w:r>
        <w:rPr>
          <w:snapToGrid w:val="0"/>
        </w:rPr>
        <w:tab/>
        <w:t>(b)</w:t>
      </w:r>
      <w:r>
        <w:rPr>
          <w:snapToGrid w:val="0"/>
        </w:rPr>
        <w:tab/>
        <w:t>anchor a vessel by placing the anchor on a beach; or</w:t>
      </w:r>
    </w:p>
    <w:p>
      <w:pPr>
        <w:pStyle w:val="Indenta"/>
        <w:rPr>
          <w:snapToGrid w:val="0"/>
        </w:rPr>
      </w:pPr>
      <w:r>
        <w:rPr>
          <w:snapToGrid w:val="0"/>
        </w:rPr>
        <w:tab/>
        <w:t>(c)</w:t>
      </w:r>
      <w:r>
        <w:rPr>
          <w:snapToGrid w:val="0"/>
        </w:rPr>
        <w:tab/>
        <w:t>access, operate or retrieve a vessel,</w:t>
      </w:r>
    </w:p>
    <w:p>
      <w:pPr>
        <w:pStyle w:val="Subsection"/>
        <w:rPr>
          <w:snapToGrid w:val="0"/>
        </w:rPr>
      </w:pPr>
      <w:r>
        <w:rPr>
          <w:snapToGrid w:val="0"/>
        </w:rPr>
        <w:tab/>
      </w:r>
      <w:r>
        <w:rPr>
          <w:snapToGrid w:val="0"/>
        </w:rPr>
        <w:tab/>
        <w:t>if that activity is prohibited under regulation 5.</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must not, without lawful authority, in a restricted area, contravene a restriction imposed under regulation 5 in respect of — </w:t>
      </w:r>
    </w:p>
    <w:p>
      <w:pPr>
        <w:pStyle w:val="Indenta"/>
        <w:rPr>
          <w:snapToGrid w:val="0"/>
        </w:rPr>
      </w:pPr>
      <w:r>
        <w:rPr>
          <w:snapToGrid w:val="0"/>
        </w:rPr>
        <w:tab/>
        <w:t>(a)</w:t>
      </w:r>
      <w:r>
        <w:rPr>
          <w:snapToGrid w:val="0"/>
        </w:rPr>
        <w:tab/>
        <w:t>launching or beaching a vessel; or</w:t>
      </w:r>
    </w:p>
    <w:p>
      <w:pPr>
        <w:pStyle w:val="Indenta"/>
        <w:rPr>
          <w:snapToGrid w:val="0"/>
        </w:rPr>
      </w:pPr>
      <w:r>
        <w:rPr>
          <w:snapToGrid w:val="0"/>
        </w:rPr>
        <w:tab/>
        <w:t>(b)</w:t>
      </w:r>
      <w:r>
        <w:rPr>
          <w:snapToGrid w:val="0"/>
        </w:rPr>
        <w:tab/>
        <w:t>anchoring a vessel by placing the anchor on a beach; or</w:t>
      </w:r>
    </w:p>
    <w:p>
      <w:pPr>
        <w:pStyle w:val="Indenta"/>
        <w:rPr>
          <w:snapToGrid w:val="0"/>
        </w:rPr>
      </w:pPr>
      <w:r>
        <w:rPr>
          <w:snapToGrid w:val="0"/>
        </w:rPr>
        <w:tab/>
        <w:t>(c)</w:t>
      </w:r>
      <w:r>
        <w:rPr>
          <w:snapToGrid w:val="0"/>
        </w:rPr>
        <w:tab/>
        <w:t>accessing, operating or retrieving a vessel.</w:t>
      </w:r>
    </w:p>
    <w:p>
      <w:pPr>
        <w:pStyle w:val="Penstart"/>
        <w:rPr>
          <w:snapToGrid w:val="0"/>
        </w:rPr>
      </w:pPr>
      <w:r>
        <w:tab/>
        <w:t>Penalty: a fine of $1 000.</w:t>
      </w:r>
    </w:p>
    <w:p>
      <w:pPr>
        <w:pStyle w:val="Subsection"/>
        <w:rPr>
          <w:snapToGrid w:val="0"/>
        </w:rPr>
      </w:pPr>
      <w:r>
        <w:rPr>
          <w:snapToGrid w:val="0"/>
        </w:rPr>
        <w:tab/>
        <w:t>(3)</w:t>
      </w:r>
      <w:r>
        <w:rPr>
          <w:snapToGrid w:val="0"/>
        </w:rPr>
        <w:tab/>
        <w:t>An authorised officer may direct a person in charge of a vessel in a restricted area to remove the vessel from the restricted area.</w:t>
      </w:r>
    </w:p>
    <w:p>
      <w:pPr>
        <w:pStyle w:val="Subsection"/>
        <w:rPr>
          <w:snapToGrid w:val="0"/>
        </w:rPr>
      </w:pPr>
      <w:r>
        <w:rPr>
          <w:snapToGrid w:val="0"/>
        </w:rPr>
        <w:tab/>
        <w:t>(4)</w:t>
      </w:r>
      <w:r>
        <w:rPr>
          <w:snapToGrid w:val="0"/>
        </w:rPr>
        <w:tab/>
        <w:t>A person must comply with a direction under subregulation (3).</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(5)</w:t>
      </w:r>
      <w:r>
        <w:rPr>
          <w:snapToGrid w:val="0"/>
        </w:rPr>
        <w:tab/>
        <w:t xml:space="preserve">If — </w:t>
      </w:r>
    </w:p>
    <w:p>
      <w:pPr>
        <w:pStyle w:val="Indenta"/>
        <w:spacing w:before="60"/>
        <w:rPr>
          <w:snapToGrid w:val="0"/>
        </w:rPr>
      </w:pPr>
      <w:r>
        <w:rPr>
          <w:snapToGrid w:val="0"/>
        </w:rPr>
        <w:tab/>
        <w:t>(a)</w:t>
      </w:r>
      <w:r>
        <w:rPr>
          <w:snapToGrid w:val="0"/>
        </w:rPr>
        <w:tab/>
        <w:t>the person in charge of a vessel does not comply with a direction under subregulation (3) within a period that the authorised officer considers reasonable; or</w:t>
      </w:r>
    </w:p>
    <w:p>
      <w:pPr>
        <w:pStyle w:val="Indenta"/>
        <w:spacing w:before="60"/>
      </w:pPr>
      <w:r>
        <w:rPr>
          <w:snapToGrid w:val="0"/>
        </w:rPr>
        <w:tab/>
        <w:t>(b)</w:t>
      </w:r>
      <w:r>
        <w:rPr>
          <w:snapToGrid w:val="0"/>
        </w:rPr>
        <w:tab/>
      </w:r>
      <w:r>
        <w:t>the authorised officer is unable to find a person who has, or appears to the authorised officer to have, possession or control of the vessel,</w:t>
      </w:r>
    </w:p>
    <w:p>
      <w:pPr>
        <w:pStyle w:val="Subsection"/>
        <w:rPr>
          <w:snapToGrid w:val="0"/>
        </w:rPr>
      </w:pPr>
      <w:r>
        <w:rPr>
          <w:snapToGrid w:val="0"/>
        </w:rPr>
        <w:tab/>
      </w:r>
      <w:r>
        <w:rPr>
          <w:snapToGrid w:val="0"/>
        </w:rPr>
        <w:tab/>
        <w:t>the authorised officer may move the vessel or cause the vessel to be moved.</w:t>
      </w:r>
    </w:p>
    <w:p>
      <w:pPr>
        <w:pStyle w:val="Subsection"/>
        <w:rPr>
          <w:snapToGrid w:val="0"/>
        </w:rPr>
      </w:pPr>
      <w:r>
        <w:rPr>
          <w:snapToGrid w:val="0"/>
        </w:rPr>
        <w:tab/>
        <w:t>(6)</w:t>
      </w:r>
      <w:r>
        <w:rPr>
          <w:snapToGrid w:val="0"/>
        </w:rPr>
        <w:tab/>
        <w:t>Nothing in subregulation (5) affects the liability of a person under subregulations (1) and (4).</w:t>
      </w:r>
    </w:p>
    <w:p>
      <w:pPr>
        <w:pStyle w:val="Subsection"/>
        <w:rPr>
          <w:snapToGrid w:val="0"/>
        </w:rPr>
      </w:pPr>
      <w:r>
        <w:rPr>
          <w:snapToGrid w:val="0"/>
        </w:rPr>
        <w:tab/>
        <w:t>(7)</w:t>
      </w:r>
      <w:r>
        <w:rPr>
          <w:snapToGrid w:val="0"/>
        </w:rPr>
        <w:tab/>
        <w:t>In this regulation — </w:t>
      </w:r>
    </w:p>
    <w:p>
      <w:pPr>
        <w:pStyle w:val="Defstart"/>
      </w:pPr>
      <w:r>
        <w:tab/>
      </w:r>
      <w:r>
        <w:rPr>
          <w:rStyle w:val="CharDefText"/>
        </w:rPr>
        <w:t>beach</w:t>
      </w:r>
      <w:r>
        <w:rPr>
          <w:b/>
        </w:rPr>
        <w:t xml:space="preserve"> </w:t>
      </w:r>
      <w:r>
        <w:t>includes any part of the foreshore that is above the low water mark whether it is covered by water or not.</w:t>
      </w:r>
    </w:p>
    <w:p>
      <w:pPr>
        <w:pStyle w:val="Footnotesection"/>
        <w:ind w:left="890" w:hanging="890"/>
      </w:pPr>
      <w:r>
        <w:tab/>
        <w:t>[Regulation 64 amended in Gazette 29 Sep 2006 p. 4316; 3 Dec 2010 p. 6052</w:t>
      </w:r>
      <w:r>
        <w:noBreakHyphen/>
        <w:t>3.]</w:t>
      </w:r>
    </w:p>
    <w:p>
      <w:pPr>
        <w:pStyle w:val="Heading5"/>
      </w:pPr>
      <w:bookmarkStart w:id="191" w:name="_Toc491956761"/>
      <w:bookmarkStart w:id="192" w:name="_Toc473035944"/>
      <w:r>
        <w:rPr>
          <w:rStyle w:val="CharSectno"/>
        </w:rPr>
        <w:t>65A</w:t>
      </w:r>
      <w:r>
        <w:t>.</w:t>
      </w:r>
      <w:r>
        <w:tab/>
        <w:t>Unlawful use of vessel storage facility</w:t>
      </w:r>
      <w:bookmarkEnd w:id="191"/>
      <w:bookmarkEnd w:id="192"/>
    </w:p>
    <w:p>
      <w:pPr>
        <w:pStyle w:val="Subsection"/>
        <w:keepNext/>
      </w:pPr>
      <w:r>
        <w:tab/>
        <w:t>(1)</w:t>
      </w:r>
      <w:r>
        <w:tab/>
        <w:t xml:space="preserve">In subregulation (2) — </w:t>
      </w:r>
    </w:p>
    <w:p>
      <w:pPr>
        <w:pStyle w:val="Defstart"/>
      </w:pPr>
      <w:r>
        <w:tab/>
      </w:r>
      <w:r>
        <w:rPr>
          <w:rStyle w:val="CharDefText"/>
        </w:rPr>
        <w:t>vessel storage facility</w:t>
      </w:r>
      <w:r>
        <w:t xml:space="preserve"> means a rack or other structure erected and maintained by the CEO for the storage of vessels but does not include a mooring.</w:t>
      </w:r>
    </w:p>
    <w:p>
      <w:pPr>
        <w:pStyle w:val="Subsection"/>
      </w:pPr>
      <w:r>
        <w:tab/>
        <w:t>(2)</w:t>
      </w:r>
      <w:r>
        <w:tab/>
        <w:t>A person must not, without lawful authority, place a vessel in or on a vessel storage facility on CALM land.</w:t>
      </w:r>
    </w:p>
    <w:p>
      <w:pPr>
        <w:pStyle w:val="Penstart"/>
      </w:pPr>
      <w:r>
        <w:tab/>
        <w:t>Penalty: a fine of $2 000.</w:t>
      </w:r>
    </w:p>
    <w:p>
      <w:pPr>
        <w:pStyle w:val="Footnotesection"/>
        <w:ind w:left="890" w:hanging="890"/>
        <w:rPr>
          <w:b/>
          <w:i w:val="0"/>
        </w:rPr>
      </w:pPr>
      <w:r>
        <w:tab/>
        <w:t>[Regulation 65A inserted in Gazette 3 Dec 2010 p. 6048.]</w:t>
      </w:r>
    </w:p>
    <w:p>
      <w:pPr>
        <w:pStyle w:val="Heading3"/>
        <w:spacing w:before="280"/>
      </w:pPr>
      <w:bookmarkStart w:id="193" w:name="_Toc491954608"/>
      <w:bookmarkStart w:id="194" w:name="_Toc491956762"/>
      <w:bookmarkStart w:id="195" w:name="_Toc473019207"/>
      <w:bookmarkStart w:id="196" w:name="_Toc473035945"/>
      <w:r>
        <w:rPr>
          <w:rStyle w:val="CharDivNo"/>
        </w:rPr>
        <w:t>Division 4</w:t>
      </w:r>
      <w:r>
        <w:rPr>
          <w:snapToGrid w:val="0"/>
        </w:rPr>
        <w:t xml:space="preserve"> — </w:t>
      </w:r>
      <w:r>
        <w:rPr>
          <w:rStyle w:val="CharDivText"/>
        </w:rPr>
        <w:t>Aircraft</w:t>
      </w:r>
      <w:bookmarkEnd w:id="193"/>
      <w:bookmarkEnd w:id="194"/>
      <w:bookmarkEnd w:id="195"/>
      <w:bookmarkEnd w:id="196"/>
    </w:p>
    <w:p>
      <w:pPr>
        <w:pStyle w:val="Heading5"/>
        <w:rPr>
          <w:snapToGrid w:val="0"/>
        </w:rPr>
      </w:pPr>
      <w:bookmarkStart w:id="197" w:name="_Toc491956763"/>
      <w:bookmarkStart w:id="198" w:name="_Toc473035946"/>
      <w:r>
        <w:rPr>
          <w:rStyle w:val="CharSectno"/>
        </w:rPr>
        <w:t>65</w:t>
      </w:r>
      <w:r>
        <w:rPr>
          <w:snapToGrid w:val="0"/>
        </w:rPr>
        <w:t>.</w:t>
      </w:r>
      <w:r>
        <w:rPr>
          <w:snapToGrid w:val="0"/>
        </w:rPr>
        <w:tab/>
        <w:t>Launching or landing of aircraft</w:t>
      </w:r>
      <w:bookmarkEnd w:id="197"/>
      <w:bookmarkEnd w:id="198"/>
      <w:r>
        <w:rPr>
          <w:snapToGrid w:val="0"/>
        </w:rPr>
        <w:t xml:space="preserve"> </w:t>
      </w:r>
    </w:p>
    <w:p>
      <w:pPr>
        <w:pStyle w:val="Subsection"/>
        <w:rPr>
          <w:snapToGrid w:val="0"/>
        </w:rPr>
      </w:pPr>
      <w:r>
        <w:rPr>
          <w:snapToGrid w:val="0"/>
        </w:rPr>
        <w:tab/>
        <w:t>(1)</w:t>
      </w:r>
      <w:r>
        <w:rPr>
          <w:snapToGrid w:val="0"/>
        </w:rPr>
        <w:tab/>
      </w:r>
      <w:r>
        <w:t>A</w:t>
      </w:r>
      <w:r>
        <w:rPr>
          <w:snapToGrid w:val="0"/>
        </w:rPr>
        <w:t xml:space="preserve"> person must not, without lawful authority, launch, land or make a touch down in an aircraft on CALM land.</w:t>
      </w:r>
    </w:p>
    <w:p>
      <w:pPr>
        <w:pStyle w:val="Penstart"/>
        <w:rPr>
          <w:snapToGrid w:val="0"/>
        </w:rPr>
      </w:pPr>
      <w:r>
        <w:rPr>
          <w:snapToGrid w:val="0"/>
        </w:rPr>
        <w:tab/>
        <w:t xml:space="preserve">Penalty: </w:t>
      </w:r>
      <w:r>
        <w:t>a fine of</w:t>
      </w:r>
      <w:r>
        <w:rPr>
          <w:snapToGrid w:val="0"/>
        </w:rPr>
        <w:t xml:space="preserve"> $1 000.</w:t>
      </w:r>
    </w:p>
    <w:p>
      <w:pPr>
        <w:pStyle w:val="Subsection"/>
        <w:keepNext/>
        <w:keepLines/>
        <w:rPr>
          <w:snapToGrid w:val="0"/>
        </w:rPr>
      </w:pPr>
      <w:r>
        <w:rPr>
          <w:snapToGrid w:val="0"/>
        </w:rPr>
        <w:tab/>
        <w:t>(2)</w:t>
      </w:r>
      <w:r>
        <w:rPr>
          <w:snapToGrid w:val="0"/>
        </w:rPr>
        <w:tab/>
        <w:t>Subregulation (1) does not apply to an aircraft that is required to launch, land or touch down contrary to that subregulation to avoid or mitigate danger to human life or significant damage to property.</w:t>
      </w:r>
    </w:p>
    <w:p>
      <w:pPr>
        <w:pStyle w:val="Footnotesection"/>
      </w:pPr>
      <w:r>
        <w:tab/>
        <w:t>[Regulation 65 amended in Gazette 4 Oct 2002 p. 5065; 3 Dec 2010 p. 6048 and 6052</w:t>
      </w:r>
      <w:r>
        <w:noBreakHyphen/>
        <w:t>3.]</w:t>
      </w:r>
    </w:p>
    <w:p>
      <w:pPr>
        <w:pStyle w:val="Heading2"/>
      </w:pPr>
      <w:bookmarkStart w:id="199" w:name="_Toc491954610"/>
      <w:bookmarkStart w:id="200" w:name="_Toc491956764"/>
      <w:bookmarkStart w:id="201" w:name="_Toc473019209"/>
      <w:bookmarkStart w:id="202" w:name="_Toc473035947"/>
      <w:r>
        <w:rPr>
          <w:rStyle w:val="CharPartNo"/>
        </w:rPr>
        <w:t>Part 4</w:t>
      </w:r>
      <w:r>
        <w:rPr>
          <w:rStyle w:val="CharDivNo"/>
        </w:rPr>
        <w:t xml:space="preserve"> </w:t>
      </w:r>
      <w:r>
        <w:t>—</w:t>
      </w:r>
      <w:r>
        <w:rPr>
          <w:rStyle w:val="CharDivText"/>
        </w:rPr>
        <w:t xml:space="preserve"> </w:t>
      </w:r>
      <w:r>
        <w:rPr>
          <w:rStyle w:val="CharPartText"/>
        </w:rPr>
        <w:t>Camping</w:t>
      </w:r>
      <w:bookmarkEnd w:id="199"/>
      <w:bookmarkEnd w:id="200"/>
      <w:bookmarkEnd w:id="201"/>
      <w:bookmarkEnd w:id="202"/>
      <w:r>
        <w:rPr>
          <w:rStyle w:val="CharPartText"/>
        </w:rPr>
        <w:t xml:space="preserve"> </w:t>
      </w:r>
    </w:p>
    <w:p>
      <w:pPr>
        <w:pStyle w:val="Heading5"/>
        <w:spacing w:before="240"/>
        <w:rPr>
          <w:snapToGrid w:val="0"/>
        </w:rPr>
      </w:pPr>
      <w:bookmarkStart w:id="203" w:name="_Toc491956765"/>
      <w:bookmarkStart w:id="204" w:name="_Toc473035948"/>
      <w:r>
        <w:rPr>
          <w:rStyle w:val="CharSectno"/>
        </w:rPr>
        <w:t>66</w:t>
      </w:r>
      <w:r>
        <w:rPr>
          <w:snapToGrid w:val="0"/>
        </w:rPr>
        <w:t>.</w:t>
      </w:r>
      <w:r>
        <w:rPr>
          <w:snapToGrid w:val="0"/>
        </w:rPr>
        <w:tab/>
        <w:t>Camping controlled</w:t>
      </w:r>
      <w:bookmarkEnd w:id="203"/>
      <w:bookmarkEnd w:id="204"/>
      <w:r>
        <w:rPr>
          <w:snapToGrid w:val="0"/>
        </w:rPr>
        <w:t xml:space="preserve"> </w:t>
      </w:r>
    </w:p>
    <w:p>
      <w:pPr>
        <w:pStyle w:val="Subsection"/>
        <w:spacing w:before="180"/>
        <w:rPr>
          <w:snapToGrid w:val="0"/>
        </w:rPr>
      </w:pPr>
      <w:r>
        <w:rPr>
          <w:snapToGrid w:val="0"/>
        </w:rPr>
        <w:tab/>
        <w:t>(1)</w:t>
      </w:r>
      <w:r>
        <w:rPr>
          <w:snapToGrid w:val="0"/>
        </w:rPr>
        <w:tab/>
        <w:t>A person must not, without lawful authority, camp on CALM land except in a camping area or on a vessel that is moored or anchored in accordance with these regulations.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A person camping in a camping area must comply with conditions specified on signs erected in or in the vicinity of that area for the purposes of regulation 6(3) or signs designating that area as a camping area.</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66 amended in Gazette 3 Dec 2010 p. 6052</w:t>
      </w:r>
      <w:r>
        <w:noBreakHyphen/>
        <w:t>3; 19 Sep 2014 p. 3336.]</w:t>
      </w:r>
    </w:p>
    <w:p>
      <w:pPr>
        <w:pStyle w:val="Heading5"/>
        <w:spacing w:before="240"/>
        <w:rPr>
          <w:snapToGrid w:val="0"/>
        </w:rPr>
      </w:pPr>
      <w:bookmarkStart w:id="205" w:name="_Toc491956766"/>
      <w:bookmarkStart w:id="206" w:name="_Toc473035949"/>
      <w:r>
        <w:rPr>
          <w:rStyle w:val="CharSectno"/>
        </w:rPr>
        <w:t>67</w:t>
      </w:r>
      <w:r>
        <w:rPr>
          <w:snapToGrid w:val="0"/>
        </w:rPr>
        <w:t>.</w:t>
      </w:r>
      <w:r>
        <w:rPr>
          <w:snapToGrid w:val="0"/>
        </w:rPr>
        <w:tab/>
        <w:t>Direction to vacate camp</w:t>
      </w:r>
      <w:bookmarkEnd w:id="205"/>
      <w:bookmarkEnd w:id="206"/>
      <w:r>
        <w:rPr>
          <w:snapToGrid w:val="0"/>
        </w:rPr>
        <w:t xml:space="preserve"> </w:t>
      </w:r>
    </w:p>
    <w:p>
      <w:pPr>
        <w:pStyle w:val="Subsection"/>
        <w:spacing w:before="180"/>
        <w:rPr>
          <w:snapToGrid w:val="0"/>
        </w:rPr>
      </w:pPr>
      <w:r>
        <w:rPr>
          <w:snapToGrid w:val="0"/>
        </w:rPr>
        <w:tab/>
        <w:t>(1)</w:t>
      </w:r>
      <w:r>
        <w:rPr>
          <w:snapToGrid w:val="0"/>
        </w:rPr>
        <w:tab/>
        <w:t>An authorised officer may direct a person who — </w:t>
      </w:r>
    </w:p>
    <w:p>
      <w:pPr>
        <w:pStyle w:val="Indenta"/>
        <w:rPr>
          <w:snapToGrid w:val="0"/>
        </w:rPr>
      </w:pPr>
      <w:r>
        <w:rPr>
          <w:snapToGrid w:val="0"/>
        </w:rPr>
        <w:tab/>
        <w:t>(a)</w:t>
      </w:r>
      <w:r>
        <w:rPr>
          <w:snapToGrid w:val="0"/>
        </w:rPr>
        <w:tab/>
        <w:t>without lawful authority is camped on a site that is not in a camping area; or</w:t>
      </w:r>
    </w:p>
    <w:p>
      <w:pPr>
        <w:pStyle w:val="Indenta"/>
      </w:pPr>
      <w:r>
        <w:rPr>
          <w:snapToGrid w:val="0"/>
        </w:rPr>
        <w:tab/>
        <w:t>(b)</w:t>
      </w:r>
      <w:r>
        <w:rPr>
          <w:snapToGrid w:val="0"/>
        </w:rPr>
        <w:tab/>
        <w:t>has occupied a site in a camping area for more than 28 consecutive days</w:t>
      </w:r>
      <w:r>
        <w:t>; or</w:t>
      </w:r>
    </w:p>
    <w:p>
      <w:pPr>
        <w:pStyle w:val="Indenta"/>
      </w:pPr>
      <w:r>
        <w:tab/>
        <w:t>(c)</w:t>
      </w:r>
      <w:r>
        <w:tab/>
        <w:t>is occupying a site in a camping area during the school holidays and has occupied that site for more than 14 consecutive days (whether or not all of those days occur during the school holidays); or</w:t>
      </w:r>
    </w:p>
    <w:p>
      <w:pPr>
        <w:pStyle w:val="Indenta"/>
      </w:pPr>
      <w:r>
        <w:tab/>
        <w:t>(d)</w:t>
      </w:r>
      <w:r>
        <w:tab/>
        <w:t>is occupying a site in a camping area and, in the opinion of the authorised officer, has contravened a provision of the Act or these regulations; or</w:t>
      </w:r>
    </w:p>
    <w:p>
      <w:pPr>
        <w:pStyle w:val="Indenta"/>
        <w:rPr>
          <w:snapToGrid w:val="0"/>
        </w:rPr>
      </w:pPr>
      <w:r>
        <w:tab/>
        <w:t>(e)</w:t>
      </w:r>
      <w:r>
        <w:tab/>
        <w:t>is occupying a site in a camping area and, in the opinion of the authorised officer, is causing or has caused damage to the camping area,</w:t>
      </w:r>
    </w:p>
    <w:p>
      <w:pPr>
        <w:pStyle w:val="Subsection"/>
        <w:spacing w:before="180"/>
        <w:rPr>
          <w:snapToGrid w:val="0"/>
        </w:rPr>
      </w:pPr>
      <w:r>
        <w:rPr>
          <w:snapToGrid w:val="0"/>
        </w:rPr>
        <w:tab/>
      </w:r>
      <w:r>
        <w:rPr>
          <w:snapToGrid w:val="0"/>
        </w:rPr>
        <w:tab/>
        <w:t>to vacate that site.</w:t>
      </w:r>
    </w:p>
    <w:p>
      <w:pPr>
        <w:pStyle w:val="Subsection"/>
      </w:pPr>
      <w:r>
        <w:tab/>
        <w:t>(2A)</w:t>
      </w:r>
      <w:r>
        <w:tab/>
        <w:t xml:space="preserve">An authorised officer may direct a person directed to vacate a site under subregulation (1) not to camp within the park or reserve in which the site is situated during a period — </w:t>
      </w:r>
    </w:p>
    <w:p>
      <w:pPr>
        <w:pStyle w:val="Indenta"/>
      </w:pPr>
      <w:r>
        <w:tab/>
        <w:t>(a)</w:t>
      </w:r>
      <w:r>
        <w:tab/>
        <w:t>beginning on the day on which the direction is given; and</w:t>
      </w:r>
    </w:p>
    <w:p>
      <w:pPr>
        <w:pStyle w:val="Indenta"/>
      </w:pPr>
      <w:r>
        <w:tab/>
        <w:t>(b)</w:t>
      </w:r>
      <w:r>
        <w:tab/>
        <w:t>not exceeding 14 days.</w:t>
      </w:r>
    </w:p>
    <w:p>
      <w:pPr>
        <w:pStyle w:val="Subsection"/>
        <w:keepNext/>
        <w:keepLines/>
        <w:spacing w:before="180"/>
        <w:rPr>
          <w:snapToGrid w:val="0"/>
        </w:rPr>
      </w:pPr>
      <w:r>
        <w:rPr>
          <w:snapToGrid w:val="0"/>
        </w:rPr>
        <w:tab/>
        <w:t>(2)</w:t>
      </w:r>
      <w:r>
        <w:rPr>
          <w:snapToGrid w:val="0"/>
        </w:rPr>
        <w:tab/>
        <w:t>A person must comply with a direction under subregulation (1) or (2A).</w:t>
      </w:r>
    </w:p>
    <w:p>
      <w:pPr>
        <w:pStyle w:val="Penstart"/>
        <w:keepNext/>
        <w:keepLines/>
        <w:rPr>
          <w:snapToGrid w:val="0"/>
        </w:rPr>
      </w:pPr>
      <w:r>
        <w:rPr>
          <w:snapToGrid w:val="0"/>
        </w:rPr>
        <w:tab/>
        <w:t xml:space="preserve">Penalty: </w:t>
      </w:r>
      <w:r>
        <w:t>a fine of</w:t>
      </w:r>
      <w:r>
        <w:rPr>
          <w:snapToGrid w:val="0"/>
        </w:rPr>
        <w:t xml:space="preserve"> $1 000.</w:t>
      </w:r>
    </w:p>
    <w:p>
      <w:pPr>
        <w:pStyle w:val="Footnotesection"/>
        <w:keepLines w:val="0"/>
        <w:ind w:left="890" w:hanging="890"/>
      </w:pPr>
      <w:r>
        <w:tab/>
        <w:t>[Regulation 67 amended in Gazette 29 Sep 2006 p. 4316</w:t>
      </w:r>
      <w:r>
        <w:noBreakHyphen/>
        <w:t>17; 3 Dec 2010 p. 6052</w:t>
      </w:r>
      <w:r>
        <w:noBreakHyphen/>
        <w:t>3; 19 Sep 2014 p. 3331.]</w:t>
      </w:r>
    </w:p>
    <w:p>
      <w:pPr>
        <w:pStyle w:val="Heading5"/>
        <w:rPr>
          <w:snapToGrid w:val="0"/>
        </w:rPr>
      </w:pPr>
      <w:bookmarkStart w:id="207" w:name="_Toc491956767"/>
      <w:bookmarkStart w:id="208" w:name="_Toc473035950"/>
      <w:r>
        <w:rPr>
          <w:rStyle w:val="CharSectno"/>
        </w:rPr>
        <w:t>68</w:t>
      </w:r>
      <w:r>
        <w:rPr>
          <w:snapToGrid w:val="0"/>
        </w:rPr>
        <w:t>.</w:t>
      </w:r>
      <w:r>
        <w:rPr>
          <w:snapToGrid w:val="0"/>
        </w:rPr>
        <w:tab/>
        <w:t>Unauthorised persons not to enter camping unit</w:t>
      </w:r>
      <w:bookmarkEnd w:id="207"/>
      <w:bookmarkEnd w:id="208"/>
      <w:r>
        <w:rPr>
          <w:snapToGrid w:val="0"/>
        </w:rPr>
        <w:t xml:space="preserve"> </w:t>
      </w:r>
    </w:p>
    <w:p>
      <w:pPr>
        <w:pStyle w:val="Subsection"/>
        <w:rPr>
          <w:snapToGrid w:val="0"/>
        </w:rPr>
      </w:pPr>
      <w:r>
        <w:rPr>
          <w:snapToGrid w:val="0"/>
        </w:rPr>
        <w:tab/>
      </w:r>
      <w:r>
        <w:rPr>
          <w:snapToGrid w:val="0"/>
        </w:rPr>
        <w:tab/>
        <w:t>A person, other than a ranger</w:t>
      </w:r>
      <w:r>
        <w:t xml:space="preserve"> or wildlife officer</w:t>
      </w:r>
      <w:r>
        <w:rPr>
          <w:snapToGrid w:val="0"/>
        </w:rPr>
        <w:t>, must not enter or remain on a camping unit without the consent of the person occupying that camping unit.</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68 amended in Gazette 29 Sep 2006 p. 4317; 3 Dec 2010 p. 6052</w:t>
      </w:r>
      <w:r>
        <w:noBreakHyphen/>
        <w:t>3.]</w:t>
      </w:r>
    </w:p>
    <w:p>
      <w:pPr>
        <w:pStyle w:val="Heading5"/>
        <w:rPr>
          <w:snapToGrid w:val="0"/>
        </w:rPr>
      </w:pPr>
      <w:bookmarkStart w:id="209" w:name="_Toc491956768"/>
      <w:bookmarkStart w:id="210" w:name="_Toc473035951"/>
      <w:r>
        <w:rPr>
          <w:rStyle w:val="CharSectno"/>
        </w:rPr>
        <w:t>69</w:t>
      </w:r>
      <w:r>
        <w:rPr>
          <w:snapToGrid w:val="0"/>
        </w:rPr>
        <w:t>.</w:t>
      </w:r>
      <w:r>
        <w:rPr>
          <w:snapToGrid w:val="0"/>
        </w:rPr>
        <w:tab/>
        <w:t>Construction and positioning of camping units</w:t>
      </w:r>
      <w:bookmarkEnd w:id="209"/>
      <w:bookmarkEnd w:id="210"/>
      <w:r>
        <w:rPr>
          <w:snapToGrid w:val="0"/>
        </w:rPr>
        <w:t xml:space="preserve"> </w:t>
      </w:r>
    </w:p>
    <w:p>
      <w:pPr>
        <w:pStyle w:val="Subsection"/>
        <w:rPr>
          <w:snapToGrid w:val="0"/>
        </w:rPr>
      </w:pPr>
      <w:r>
        <w:rPr>
          <w:snapToGrid w:val="0"/>
        </w:rPr>
        <w:tab/>
        <w:t>(1)</w:t>
      </w:r>
      <w:r>
        <w:rPr>
          <w:snapToGrid w:val="0"/>
        </w:rPr>
        <w:tab/>
        <w:t>A person must not construct a camping unit — </w:t>
      </w:r>
    </w:p>
    <w:p>
      <w:pPr>
        <w:pStyle w:val="Indenta"/>
        <w:rPr>
          <w:snapToGrid w:val="0"/>
        </w:rPr>
      </w:pPr>
      <w:r>
        <w:rPr>
          <w:snapToGrid w:val="0"/>
        </w:rPr>
        <w:tab/>
        <w:t>(a)</w:t>
      </w:r>
      <w:r>
        <w:rPr>
          <w:snapToGrid w:val="0"/>
        </w:rPr>
        <w:tab/>
        <w:t>in a manner likely to be offensive or dangerous to other persons; or</w:t>
      </w:r>
    </w:p>
    <w:p>
      <w:pPr>
        <w:pStyle w:val="Indenta"/>
        <w:rPr>
          <w:snapToGrid w:val="0"/>
        </w:rPr>
      </w:pPr>
      <w:r>
        <w:rPr>
          <w:snapToGrid w:val="0"/>
        </w:rPr>
        <w:tab/>
        <w:t>(b)</w:t>
      </w:r>
      <w:r>
        <w:rPr>
          <w:snapToGrid w:val="0"/>
        </w:rPr>
        <w:tab/>
        <w:t>of a permanent or semi</w:t>
      </w:r>
      <w:r>
        <w:rPr>
          <w:snapToGrid w:val="0"/>
        </w:rPr>
        <w:noBreakHyphen/>
        <w:t>permanent nature.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must not position a camping unit so as to — </w:t>
      </w:r>
    </w:p>
    <w:p>
      <w:pPr>
        <w:pStyle w:val="Indenta"/>
        <w:rPr>
          <w:snapToGrid w:val="0"/>
        </w:rPr>
      </w:pPr>
      <w:r>
        <w:rPr>
          <w:snapToGrid w:val="0"/>
        </w:rPr>
        <w:tab/>
        <w:t>(a)</w:t>
      </w:r>
      <w:r>
        <w:rPr>
          <w:snapToGrid w:val="0"/>
        </w:rPr>
        <w:tab/>
        <w:t>cause inconvenience, discomfort or danger to other vehicles or to users of CALM land; or</w:t>
      </w:r>
    </w:p>
    <w:p>
      <w:pPr>
        <w:pStyle w:val="Indenta"/>
        <w:rPr>
          <w:snapToGrid w:val="0"/>
        </w:rPr>
      </w:pPr>
      <w:r>
        <w:rPr>
          <w:snapToGrid w:val="0"/>
        </w:rPr>
        <w:tab/>
        <w:t>(b)</w:t>
      </w:r>
      <w:r>
        <w:rPr>
          <w:snapToGrid w:val="0"/>
        </w:rPr>
        <w:tab/>
        <w:t>damage flora or interfere with the movement of fauna.</w:t>
      </w:r>
    </w:p>
    <w:p>
      <w:pPr>
        <w:pStyle w:val="Penstart"/>
        <w:rPr>
          <w:snapToGrid w:val="0"/>
        </w:rPr>
      </w:pPr>
      <w:r>
        <w:rPr>
          <w:snapToGrid w:val="0"/>
        </w:rPr>
        <w:tab/>
        <w:t>Penalty:</w:t>
      </w:r>
      <w:r>
        <w:t xml:space="preserve"> a fine of</w:t>
      </w:r>
      <w:r>
        <w:rPr>
          <w:snapToGrid w:val="0"/>
        </w:rPr>
        <w:t xml:space="preserve"> $500.</w:t>
      </w:r>
    </w:p>
    <w:p>
      <w:pPr>
        <w:pStyle w:val="Subsection"/>
        <w:rPr>
          <w:snapToGrid w:val="0"/>
        </w:rPr>
      </w:pPr>
      <w:r>
        <w:rPr>
          <w:snapToGrid w:val="0"/>
        </w:rPr>
        <w:tab/>
        <w:t>(3)</w:t>
      </w:r>
      <w:r>
        <w:rPr>
          <w:snapToGrid w:val="0"/>
        </w:rPr>
        <w:tab/>
        <w:t>A person must maintain the site on which that person camps in a clean and sanitary condition at all times.</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(4)</w:t>
      </w:r>
      <w:r>
        <w:rPr>
          <w:snapToGrid w:val="0"/>
        </w:rPr>
        <w:tab/>
        <w:t>An authorised officer may allot or define the site to be used by a person in a camping area and the person must confine the camp to that site.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(5)</w:t>
      </w:r>
      <w:r>
        <w:rPr>
          <w:snapToGrid w:val="0"/>
        </w:rPr>
        <w:tab/>
        <w:t>An authorised officer may direct a person to vacate a site and move to another site in a camping area.</w:t>
      </w:r>
    </w:p>
    <w:p>
      <w:pPr>
        <w:pStyle w:val="Subsection"/>
        <w:rPr>
          <w:snapToGrid w:val="0"/>
        </w:rPr>
      </w:pPr>
      <w:r>
        <w:rPr>
          <w:snapToGrid w:val="0"/>
        </w:rPr>
        <w:tab/>
        <w:t>(6)</w:t>
      </w:r>
      <w:r>
        <w:rPr>
          <w:snapToGrid w:val="0"/>
        </w:rPr>
        <w:tab/>
        <w:t>A person must comply with a direction of an authorised officer under subregulation (5).</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69 amended in Gazette 29 Sep 2006 p. 4317; 3 Dec 2010 p. 6052</w:t>
      </w:r>
      <w:r>
        <w:noBreakHyphen/>
        <w:t>3.]</w:t>
      </w:r>
    </w:p>
    <w:p>
      <w:pPr>
        <w:pStyle w:val="Heading5"/>
        <w:rPr>
          <w:snapToGrid w:val="0"/>
        </w:rPr>
      </w:pPr>
      <w:bookmarkStart w:id="211" w:name="_Toc491956769"/>
      <w:bookmarkStart w:id="212" w:name="_Toc473035952"/>
      <w:r>
        <w:rPr>
          <w:rStyle w:val="CharSectno"/>
        </w:rPr>
        <w:t>70</w:t>
      </w:r>
      <w:r>
        <w:rPr>
          <w:snapToGrid w:val="0"/>
        </w:rPr>
        <w:t>.</w:t>
      </w:r>
      <w:r>
        <w:rPr>
          <w:snapToGrid w:val="0"/>
        </w:rPr>
        <w:tab/>
        <w:t>Power generating devices</w:t>
      </w:r>
      <w:bookmarkEnd w:id="211"/>
      <w:bookmarkEnd w:id="212"/>
      <w:r>
        <w:rPr>
          <w:snapToGrid w:val="0"/>
        </w:rPr>
        <w:t xml:space="preserve"> </w:t>
      </w:r>
    </w:p>
    <w:p>
      <w:pPr>
        <w:pStyle w:val="Subsection"/>
        <w:rPr>
          <w:snapToGrid w:val="0"/>
        </w:rPr>
      </w:pPr>
      <w:r>
        <w:rPr>
          <w:snapToGrid w:val="0"/>
        </w:rPr>
        <w:tab/>
        <w:t>(1)</w:t>
      </w:r>
      <w:r>
        <w:rPr>
          <w:snapToGrid w:val="0"/>
        </w:rPr>
        <w:tab/>
        <w:t>An authorised officer may direct a person — </w:t>
      </w:r>
    </w:p>
    <w:p>
      <w:pPr>
        <w:pStyle w:val="Indenta"/>
        <w:rPr>
          <w:snapToGrid w:val="0"/>
        </w:rPr>
      </w:pPr>
      <w:r>
        <w:rPr>
          <w:snapToGrid w:val="0"/>
        </w:rPr>
        <w:tab/>
        <w:t>(a)</w:t>
      </w:r>
      <w:r>
        <w:rPr>
          <w:snapToGrid w:val="0"/>
        </w:rPr>
        <w:tab/>
        <w:t>not to use a power generating device other than in an area directed by the authorised officer; or</w:t>
      </w:r>
    </w:p>
    <w:p>
      <w:pPr>
        <w:pStyle w:val="Indenta"/>
        <w:rPr>
          <w:snapToGrid w:val="0"/>
        </w:rPr>
      </w:pPr>
      <w:r>
        <w:rPr>
          <w:snapToGrid w:val="0"/>
        </w:rPr>
        <w:tab/>
        <w:t>(b)</w:t>
      </w:r>
      <w:r>
        <w:rPr>
          <w:snapToGrid w:val="0"/>
        </w:rPr>
        <w:tab/>
        <w:t>to stop using a power generating device in a camping area; or</w:t>
      </w:r>
    </w:p>
    <w:p>
      <w:pPr>
        <w:pStyle w:val="Indenta"/>
        <w:rPr>
          <w:snapToGrid w:val="0"/>
        </w:rPr>
      </w:pPr>
      <w:r>
        <w:rPr>
          <w:snapToGrid w:val="0"/>
        </w:rPr>
        <w:tab/>
        <w:t>(c)</w:t>
      </w:r>
      <w:r>
        <w:rPr>
          <w:snapToGrid w:val="0"/>
        </w:rPr>
        <w:tab/>
        <w:t>to use a power generating device in accordance with the directions of the authorised officer.</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70 amended in Gazette 3 Dec 2010 p. 6052</w:t>
      </w:r>
      <w:r>
        <w:noBreakHyphen/>
        <w:t>3.]</w:t>
      </w:r>
    </w:p>
    <w:p>
      <w:pPr>
        <w:pStyle w:val="Heading5"/>
        <w:keepNext w:val="0"/>
        <w:keepLines w:val="0"/>
        <w:pageBreakBefore/>
        <w:spacing w:before="0"/>
        <w:rPr>
          <w:snapToGrid w:val="0"/>
        </w:rPr>
      </w:pPr>
      <w:bookmarkStart w:id="213" w:name="_Toc491956770"/>
      <w:bookmarkStart w:id="214" w:name="_Toc473035953"/>
      <w:r>
        <w:rPr>
          <w:rStyle w:val="CharSectno"/>
        </w:rPr>
        <w:t>71</w:t>
      </w:r>
      <w:r>
        <w:rPr>
          <w:snapToGrid w:val="0"/>
        </w:rPr>
        <w:t>.</w:t>
      </w:r>
      <w:r>
        <w:rPr>
          <w:snapToGrid w:val="0"/>
        </w:rPr>
        <w:tab/>
        <w:t>Firewood</w:t>
      </w:r>
      <w:bookmarkEnd w:id="213"/>
      <w:bookmarkEnd w:id="214"/>
      <w:r>
        <w:rPr>
          <w:snapToGrid w:val="0"/>
        </w:rPr>
        <w:t xml:space="preserve"> </w:t>
      </w:r>
    </w:p>
    <w:p>
      <w:pPr>
        <w:pStyle w:val="Subsection"/>
        <w:keepNext/>
        <w:rPr>
          <w:snapToGrid w:val="0"/>
        </w:rPr>
      </w:pPr>
      <w:r>
        <w:rPr>
          <w:snapToGrid w:val="0"/>
        </w:rPr>
        <w:tab/>
        <w:t>(1)</w:t>
      </w:r>
      <w:r>
        <w:rPr>
          <w:snapToGrid w:val="0"/>
        </w:rPr>
        <w:tab/>
        <w:t>A person may collect firewood from the immediate vicinity of a camping area if — </w:t>
      </w:r>
    </w:p>
    <w:p>
      <w:pPr>
        <w:pStyle w:val="Indenta"/>
        <w:rPr>
          <w:snapToGrid w:val="0"/>
        </w:rPr>
      </w:pPr>
      <w:r>
        <w:rPr>
          <w:snapToGrid w:val="0"/>
        </w:rPr>
        <w:tab/>
        <w:t>(a)</w:t>
      </w:r>
      <w:r>
        <w:rPr>
          <w:snapToGrid w:val="0"/>
        </w:rPr>
        <w:tab/>
        <w:t>there is a sign erected authorising the collection of firewood; and</w:t>
      </w:r>
    </w:p>
    <w:p>
      <w:pPr>
        <w:pStyle w:val="Indenta"/>
        <w:rPr>
          <w:snapToGrid w:val="0"/>
        </w:rPr>
      </w:pPr>
      <w:r>
        <w:rPr>
          <w:snapToGrid w:val="0"/>
        </w:rPr>
        <w:tab/>
        <w:t>(b)</w:t>
      </w:r>
      <w:r>
        <w:rPr>
          <w:snapToGrid w:val="0"/>
        </w:rPr>
        <w:tab/>
        <w:t>the firewood is intended for use on a campfire or barbecue in the area.</w:t>
      </w:r>
    </w:p>
    <w:p>
      <w:pPr>
        <w:pStyle w:val="Subsection"/>
        <w:rPr>
          <w:snapToGrid w:val="0"/>
        </w:rPr>
      </w:pPr>
      <w:r>
        <w:rPr>
          <w:snapToGrid w:val="0"/>
        </w:rPr>
        <w:tab/>
        <w:t>(2)</w:t>
      </w:r>
      <w:r>
        <w:rPr>
          <w:snapToGrid w:val="0"/>
        </w:rPr>
        <w:tab/>
        <w:t>Nothing in subregulation (1) is to be taken as authorising any person to fell, cut, injure or destroy any tree, shrub or bush.</w:t>
      </w:r>
    </w:p>
    <w:p>
      <w:pPr>
        <w:pStyle w:val="Subsection"/>
        <w:keepNext/>
      </w:pPr>
      <w:r>
        <w:tab/>
        <w:t>(2a)</w:t>
      </w:r>
      <w:r>
        <w:tab/>
        <w:t xml:space="preserve">If — </w:t>
      </w:r>
    </w:p>
    <w:p>
      <w:pPr>
        <w:pStyle w:val="Indenta"/>
      </w:pPr>
      <w:r>
        <w:tab/>
        <w:t>(a)</w:t>
      </w:r>
      <w:r>
        <w:tab/>
        <w:t>a person collects firewood from the immediate vicinity of a camping area on CALM land; and</w:t>
      </w:r>
    </w:p>
    <w:p>
      <w:pPr>
        <w:pStyle w:val="Indenta"/>
      </w:pPr>
      <w:r>
        <w:tab/>
        <w:t>(b)</w:t>
      </w:r>
      <w:r>
        <w:tab/>
        <w:t>the firewood is intended for use on a campfire or barbecue in the area; and</w:t>
      </w:r>
    </w:p>
    <w:p>
      <w:pPr>
        <w:pStyle w:val="Indenta"/>
      </w:pPr>
      <w:r>
        <w:tab/>
        <w:t>(c)</w:t>
      </w:r>
      <w:r>
        <w:tab/>
        <w:t>there are no signs authorising the collection of firewood; and</w:t>
      </w:r>
    </w:p>
    <w:p>
      <w:pPr>
        <w:pStyle w:val="Indenta"/>
      </w:pPr>
      <w:r>
        <w:tab/>
        <w:t>(d)</w:t>
      </w:r>
      <w:r>
        <w:tab/>
        <w:t>the person is not otherwise authorised to collect the firewood,</w:t>
      </w:r>
    </w:p>
    <w:p>
      <w:pPr>
        <w:pStyle w:val="Subsection"/>
      </w:pPr>
      <w:r>
        <w:tab/>
      </w:r>
      <w:r>
        <w:tab/>
        <w:t>the person commits an offence.</w:t>
      </w:r>
    </w:p>
    <w:p>
      <w:pPr>
        <w:pStyle w:val="Penstart"/>
      </w:pPr>
      <w:r>
        <w:tab/>
        <w:t>Penalty: a fine of $1 000.</w:t>
      </w:r>
    </w:p>
    <w:p>
      <w:pPr>
        <w:pStyle w:val="Subsection"/>
        <w:rPr>
          <w:snapToGrid w:val="0"/>
        </w:rPr>
      </w:pPr>
      <w:r>
        <w:rPr>
          <w:snapToGrid w:val="0"/>
        </w:rPr>
        <w:tab/>
        <w:t>(3)</w:t>
      </w:r>
      <w:r>
        <w:rPr>
          <w:snapToGrid w:val="0"/>
        </w:rPr>
        <w:tab/>
        <w:t xml:space="preserve">Part 15 of the </w:t>
      </w:r>
      <w:smartTag w:uri="urn:schemas-microsoft-com:office:smarttags" w:element="place">
        <w:r>
          <w:rPr>
            <w:i/>
            <w:snapToGrid w:val="0"/>
          </w:rPr>
          <w:t>Forest</w:t>
        </w:r>
      </w:smartTag>
      <w:r>
        <w:rPr>
          <w:i/>
          <w:snapToGrid w:val="0"/>
        </w:rPr>
        <w:t xml:space="preserve"> Management Regulations 1993</w:t>
      </w:r>
      <w:r>
        <w:rPr>
          <w:snapToGrid w:val="0"/>
        </w:rPr>
        <w:t xml:space="preserve"> applies to the collection of firewood in public firewood areas.</w:t>
      </w:r>
    </w:p>
    <w:p>
      <w:pPr>
        <w:pStyle w:val="Subsection"/>
        <w:rPr>
          <w:snapToGrid w:val="0"/>
        </w:rPr>
      </w:pPr>
      <w:r>
        <w:rPr>
          <w:snapToGrid w:val="0"/>
        </w:rPr>
        <w:tab/>
        <w:t>(4)</w:t>
      </w:r>
      <w:r>
        <w:rPr>
          <w:snapToGrid w:val="0"/>
        </w:rPr>
        <w:tab/>
        <w:t>In this regulation — </w:t>
      </w:r>
    </w:p>
    <w:p>
      <w:pPr>
        <w:pStyle w:val="Defstart"/>
      </w:pPr>
      <w:r>
        <w:tab/>
      </w:r>
      <w:r>
        <w:rPr>
          <w:rStyle w:val="CharDefText"/>
        </w:rPr>
        <w:t>firewood</w:t>
      </w:r>
      <w:r>
        <w:rPr>
          <w:b/>
        </w:rPr>
        <w:t xml:space="preserve"> </w:t>
      </w:r>
      <w:r>
        <w:t>means dead wood lying on the ground.</w:t>
      </w:r>
    </w:p>
    <w:p>
      <w:pPr>
        <w:pStyle w:val="Footnotesection"/>
      </w:pPr>
      <w:r>
        <w:tab/>
        <w:t>[Regulation 71 amended in Gazette 29 Sep 2006 p. 4317</w:t>
      </w:r>
      <w:r>
        <w:noBreakHyphen/>
        <w:t>18; 3 Dec 2010 p. 6052</w:t>
      </w:r>
      <w:r>
        <w:noBreakHyphen/>
        <w:t>3; 19 Sep 2014 p. 3336.]</w:t>
      </w:r>
    </w:p>
    <w:p>
      <w:pPr>
        <w:pStyle w:val="Heading2"/>
      </w:pPr>
      <w:bookmarkStart w:id="215" w:name="_Toc491954617"/>
      <w:bookmarkStart w:id="216" w:name="_Toc491956771"/>
      <w:bookmarkStart w:id="217" w:name="_Toc473019216"/>
      <w:bookmarkStart w:id="218" w:name="_Toc473035954"/>
      <w:r>
        <w:rPr>
          <w:rStyle w:val="CharPartNo"/>
        </w:rPr>
        <w:t>Part 5</w:t>
      </w:r>
      <w:r>
        <w:rPr>
          <w:rStyle w:val="CharDivNo"/>
        </w:rPr>
        <w:t xml:space="preserve"> </w:t>
      </w:r>
      <w:r>
        <w:t>—</w:t>
      </w:r>
      <w:r>
        <w:rPr>
          <w:rStyle w:val="CharDivText"/>
        </w:rPr>
        <w:t xml:space="preserve"> </w:t>
      </w:r>
      <w:r>
        <w:rPr>
          <w:rStyle w:val="CharPartText"/>
        </w:rPr>
        <w:t>Offensive and dangerous behaviour</w:t>
      </w:r>
      <w:bookmarkEnd w:id="215"/>
      <w:bookmarkEnd w:id="216"/>
      <w:bookmarkEnd w:id="217"/>
      <w:bookmarkEnd w:id="218"/>
      <w:r>
        <w:rPr>
          <w:rStyle w:val="CharPartText"/>
        </w:rPr>
        <w:t xml:space="preserve"> </w:t>
      </w:r>
    </w:p>
    <w:p>
      <w:pPr>
        <w:pStyle w:val="Heading5"/>
        <w:spacing w:before="240"/>
        <w:rPr>
          <w:snapToGrid w:val="0"/>
        </w:rPr>
      </w:pPr>
      <w:bookmarkStart w:id="219" w:name="_Toc491956772"/>
      <w:bookmarkStart w:id="220" w:name="_Toc473035955"/>
      <w:r>
        <w:rPr>
          <w:rStyle w:val="CharSectno"/>
        </w:rPr>
        <w:t>72</w:t>
      </w:r>
      <w:r>
        <w:rPr>
          <w:snapToGrid w:val="0"/>
        </w:rPr>
        <w:t>.</w:t>
      </w:r>
      <w:r>
        <w:rPr>
          <w:snapToGrid w:val="0"/>
        </w:rPr>
        <w:tab/>
        <w:t>Authorised officer may direct person to stop activity</w:t>
      </w:r>
      <w:bookmarkEnd w:id="219"/>
      <w:bookmarkEnd w:id="220"/>
      <w:r>
        <w:rPr>
          <w:snapToGrid w:val="0"/>
        </w:rPr>
        <w:t xml:space="preserve"> </w:t>
      </w:r>
    </w:p>
    <w:p>
      <w:pPr>
        <w:pStyle w:val="Subsection"/>
        <w:rPr>
          <w:snapToGrid w:val="0"/>
        </w:rPr>
      </w:pPr>
      <w:r>
        <w:rPr>
          <w:snapToGrid w:val="0"/>
        </w:rPr>
        <w:tab/>
        <w:t>(1)</w:t>
      </w:r>
      <w:r>
        <w:rPr>
          <w:snapToGrid w:val="0"/>
        </w:rPr>
        <w:tab/>
        <w:t>An authorised officer may direct a person on CALM land to cease any behaviour which is — </w:t>
      </w:r>
    </w:p>
    <w:p>
      <w:pPr>
        <w:pStyle w:val="Indenta"/>
        <w:rPr>
          <w:snapToGrid w:val="0"/>
        </w:rPr>
      </w:pPr>
      <w:r>
        <w:rPr>
          <w:snapToGrid w:val="0"/>
        </w:rPr>
        <w:tab/>
        <w:t>(a)</w:t>
      </w:r>
      <w:r>
        <w:rPr>
          <w:snapToGrid w:val="0"/>
        </w:rPr>
        <w:tab/>
        <w:t>contrary to the lawful use of the land; or</w:t>
      </w:r>
    </w:p>
    <w:p>
      <w:pPr>
        <w:pStyle w:val="Indenta"/>
        <w:rPr>
          <w:snapToGrid w:val="0"/>
        </w:rPr>
      </w:pPr>
      <w:r>
        <w:rPr>
          <w:snapToGrid w:val="0"/>
        </w:rPr>
        <w:tab/>
        <w:t>(b)</w:t>
      </w:r>
      <w:r>
        <w:rPr>
          <w:snapToGrid w:val="0"/>
        </w:rPr>
        <w:tab/>
        <w:t>causing a disturbance or annoyance to other persons or, in the opinion of the authorised officer, disorderly or offensive; or</w:t>
      </w:r>
    </w:p>
    <w:p>
      <w:pPr>
        <w:pStyle w:val="Indenta"/>
        <w:rPr>
          <w:snapToGrid w:val="0"/>
        </w:rPr>
      </w:pPr>
      <w:r>
        <w:rPr>
          <w:snapToGrid w:val="0"/>
        </w:rPr>
        <w:tab/>
        <w:t>(c)</w:t>
      </w:r>
      <w:r>
        <w:rPr>
          <w:snapToGrid w:val="0"/>
        </w:rPr>
        <w:tab/>
        <w:t>in the opinion of the authorised officer, dangerous.</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72 amended in Gazette 3 Dec 2010 p. 6052</w:t>
      </w:r>
      <w:r>
        <w:noBreakHyphen/>
        <w:t>3; 19 Sep 2014 p. 3336.]</w:t>
      </w:r>
    </w:p>
    <w:p>
      <w:pPr>
        <w:pStyle w:val="Heading5"/>
        <w:spacing w:before="240"/>
        <w:rPr>
          <w:snapToGrid w:val="0"/>
        </w:rPr>
      </w:pPr>
      <w:bookmarkStart w:id="221" w:name="_Toc491956773"/>
      <w:bookmarkStart w:id="222" w:name="_Toc473035956"/>
      <w:r>
        <w:rPr>
          <w:rStyle w:val="CharSectno"/>
        </w:rPr>
        <w:t>73</w:t>
      </w:r>
      <w:r>
        <w:rPr>
          <w:snapToGrid w:val="0"/>
        </w:rPr>
        <w:t>.</w:t>
      </w:r>
      <w:r>
        <w:rPr>
          <w:snapToGrid w:val="0"/>
        </w:rPr>
        <w:tab/>
        <w:t>Conduct generally</w:t>
      </w:r>
      <w:bookmarkEnd w:id="221"/>
      <w:bookmarkEnd w:id="222"/>
      <w:r>
        <w:rPr>
          <w:snapToGrid w:val="0"/>
        </w:rPr>
        <w:t xml:space="preserve"> </w:t>
      </w:r>
    </w:p>
    <w:p>
      <w:pPr>
        <w:pStyle w:val="Subsection"/>
        <w:rPr>
          <w:snapToGrid w:val="0"/>
        </w:rPr>
      </w:pPr>
      <w:r>
        <w:rPr>
          <w:snapToGrid w:val="0"/>
        </w:rPr>
        <w:tab/>
        <w:t>(1)</w:t>
      </w:r>
      <w:r>
        <w:rPr>
          <w:snapToGrid w:val="0"/>
        </w:rPr>
        <w:tab/>
        <w:t>A person must not, on CALM land — </w:t>
      </w:r>
    </w:p>
    <w:p>
      <w:pPr>
        <w:pStyle w:val="Indenta"/>
        <w:rPr>
          <w:snapToGrid w:val="0"/>
        </w:rPr>
      </w:pPr>
      <w:r>
        <w:rPr>
          <w:snapToGrid w:val="0"/>
        </w:rPr>
        <w:tab/>
        <w:t>(a)</w:t>
      </w:r>
      <w:r>
        <w:rPr>
          <w:snapToGrid w:val="0"/>
        </w:rPr>
        <w:tab/>
        <w:t>create or commit any nuisance; or</w:t>
      </w:r>
    </w:p>
    <w:p>
      <w:pPr>
        <w:pStyle w:val="Indenta"/>
        <w:rPr>
          <w:snapToGrid w:val="0"/>
        </w:rPr>
      </w:pPr>
      <w:r>
        <w:rPr>
          <w:snapToGrid w:val="0"/>
        </w:rPr>
        <w:tab/>
        <w:t>(b)</w:t>
      </w:r>
      <w:r>
        <w:rPr>
          <w:snapToGrid w:val="0"/>
        </w:rPr>
        <w:tab/>
        <w:t>behave in a disorderly or offensive manner; or</w:t>
      </w:r>
    </w:p>
    <w:p>
      <w:pPr>
        <w:pStyle w:val="Indenta"/>
        <w:rPr>
          <w:snapToGrid w:val="0"/>
        </w:rPr>
      </w:pPr>
      <w:r>
        <w:rPr>
          <w:snapToGrid w:val="0"/>
        </w:rPr>
        <w:tab/>
        <w:t>(c)</w:t>
      </w:r>
      <w:r>
        <w:rPr>
          <w:snapToGrid w:val="0"/>
        </w:rPr>
        <w:tab/>
        <w:t>use abusive, offensive or insulting language; or</w:t>
      </w:r>
    </w:p>
    <w:p>
      <w:pPr>
        <w:pStyle w:val="Indenta"/>
        <w:rPr>
          <w:snapToGrid w:val="0"/>
        </w:rPr>
      </w:pPr>
      <w:r>
        <w:rPr>
          <w:snapToGrid w:val="0"/>
        </w:rPr>
        <w:tab/>
        <w:t>(d)</w:t>
      </w:r>
      <w:r>
        <w:rPr>
          <w:snapToGrid w:val="0"/>
        </w:rPr>
        <w:tab/>
        <w:t>otherwise act in such a way as to cause or be likely to cause a nuisance or annoyance to other persons on the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 xml:space="preserve">A person must, on CALM land, comply with any direction on a sign on that land regarding </w:t>
      </w:r>
      <w:r>
        <w:t xml:space="preserve">any </w:t>
      </w:r>
      <w:r>
        <w:rPr>
          <w:snapToGrid w:val="0"/>
        </w:rPr>
        <w:t>activity or behaviour that is prohibited on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73 amended in Gazette 3 Dec 2010 p. 6052</w:t>
      </w:r>
      <w:r>
        <w:noBreakHyphen/>
        <w:t>3; 19 Sep 2014 p. 3331 and 3336.]</w:t>
      </w:r>
    </w:p>
    <w:p>
      <w:pPr>
        <w:pStyle w:val="Heading5"/>
        <w:spacing w:before="240"/>
        <w:rPr>
          <w:snapToGrid w:val="0"/>
        </w:rPr>
      </w:pPr>
      <w:bookmarkStart w:id="223" w:name="_Toc491956774"/>
      <w:bookmarkStart w:id="224" w:name="_Toc473035957"/>
      <w:r>
        <w:rPr>
          <w:rStyle w:val="CharSectno"/>
        </w:rPr>
        <w:t>74</w:t>
      </w:r>
      <w:r>
        <w:rPr>
          <w:snapToGrid w:val="0"/>
        </w:rPr>
        <w:t>.</w:t>
      </w:r>
      <w:r>
        <w:rPr>
          <w:snapToGrid w:val="0"/>
        </w:rPr>
        <w:tab/>
        <w:t>Offensive noise</w:t>
      </w:r>
      <w:bookmarkEnd w:id="223"/>
      <w:bookmarkEnd w:id="224"/>
      <w:r>
        <w:rPr>
          <w:snapToGrid w:val="0"/>
        </w:rPr>
        <w:t xml:space="preserve"> </w:t>
      </w:r>
    </w:p>
    <w:p>
      <w:pPr>
        <w:pStyle w:val="Subsection"/>
        <w:spacing w:before="120"/>
        <w:rPr>
          <w:snapToGrid w:val="0"/>
        </w:rPr>
      </w:pPr>
      <w:r>
        <w:rPr>
          <w:snapToGrid w:val="0"/>
        </w:rPr>
        <w:tab/>
      </w:r>
      <w:r>
        <w:rPr>
          <w:snapToGrid w:val="0"/>
        </w:rPr>
        <w:tab/>
        <w:t>A person must not, while on CALM land, by the use of any electronic, mechanical or other instrument or thing or by natural means cause or produce a noise that unreasonably interferes with the convenience, comfort or amenity of any other person.</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74 amended in Gazette 3 Dec 2010 p. 6052</w:t>
      </w:r>
      <w:r>
        <w:noBreakHyphen/>
        <w:t>4.]</w:t>
      </w:r>
    </w:p>
    <w:p>
      <w:pPr>
        <w:pStyle w:val="Heading5"/>
        <w:spacing w:before="180"/>
        <w:rPr>
          <w:snapToGrid w:val="0"/>
        </w:rPr>
      </w:pPr>
      <w:bookmarkStart w:id="225" w:name="_Toc491956775"/>
      <w:bookmarkStart w:id="226" w:name="_Toc473035958"/>
      <w:r>
        <w:rPr>
          <w:rStyle w:val="CharSectno"/>
        </w:rPr>
        <w:t>75</w:t>
      </w:r>
      <w:r>
        <w:rPr>
          <w:snapToGrid w:val="0"/>
        </w:rPr>
        <w:t>.</w:t>
      </w:r>
      <w:r>
        <w:rPr>
          <w:snapToGrid w:val="0"/>
        </w:rPr>
        <w:tab/>
        <w:t>Alcohol and drugs</w:t>
      </w:r>
      <w:bookmarkEnd w:id="225"/>
      <w:bookmarkEnd w:id="226"/>
      <w:r>
        <w:rPr>
          <w:snapToGrid w:val="0"/>
        </w:rPr>
        <w:t xml:space="preserve"> </w:t>
      </w:r>
    </w:p>
    <w:p>
      <w:pPr>
        <w:pStyle w:val="Subsection"/>
        <w:spacing w:before="120"/>
        <w:rPr>
          <w:snapToGrid w:val="0"/>
        </w:rPr>
      </w:pPr>
      <w:r>
        <w:rPr>
          <w:snapToGrid w:val="0"/>
        </w:rPr>
        <w:tab/>
        <w:t>(1)</w:t>
      </w:r>
      <w:r>
        <w:rPr>
          <w:snapToGrid w:val="0"/>
        </w:rPr>
        <w:tab/>
        <w:t>A person must not enter or remain on CALM land when seriously affected apparently by alcohol, drugs or other intoxicating substance, or any combination of those things.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20"/>
        <w:rPr>
          <w:snapToGrid w:val="0"/>
        </w:rPr>
      </w:pPr>
      <w:r>
        <w:rPr>
          <w:snapToGrid w:val="0"/>
        </w:rPr>
        <w:tab/>
        <w:t>(2)</w:t>
      </w:r>
      <w:r>
        <w:rPr>
          <w:snapToGrid w:val="0"/>
        </w:rPr>
        <w:tab/>
        <w:t>A person must not without lawful authority take alcohol or any other intoxicating substance into a cave or part of a cave which is on or under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20"/>
        <w:rPr>
          <w:snapToGrid w:val="0"/>
        </w:rPr>
      </w:pPr>
      <w:r>
        <w:rPr>
          <w:snapToGrid w:val="0"/>
        </w:rPr>
        <w:tab/>
        <w:t>(3)</w:t>
      </w:r>
      <w:r>
        <w:rPr>
          <w:snapToGrid w:val="0"/>
        </w:rPr>
        <w:tab/>
        <w:t>Where an authorised officer is of the opinion that the consumption of alcohol or other intoxicating substance may give rise to offensive or dangerous behaviour, the authorised officer may direct a person not to bring the alcohol or intoxicating substance on to CALM land.</w:t>
      </w:r>
    </w:p>
    <w:p>
      <w:pPr>
        <w:pStyle w:val="Subsection"/>
        <w:spacing w:before="120"/>
        <w:rPr>
          <w:snapToGrid w:val="0"/>
        </w:rPr>
      </w:pPr>
      <w:r>
        <w:rPr>
          <w:snapToGrid w:val="0"/>
        </w:rPr>
        <w:tab/>
        <w:t>(4)</w:t>
      </w:r>
      <w:r>
        <w:rPr>
          <w:snapToGrid w:val="0"/>
        </w:rPr>
        <w:tab/>
        <w:t>A person must comply with a direction of an authorised officer under subregulation (3).</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75 amended in Gazette 3 Dec 2010 p. 6052</w:t>
      </w:r>
      <w:r>
        <w:noBreakHyphen/>
        <w:t>4; 19 Sep 2014 p. 3336.]</w:t>
      </w:r>
    </w:p>
    <w:p>
      <w:pPr>
        <w:pStyle w:val="Heading5"/>
        <w:spacing w:before="180"/>
        <w:rPr>
          <w:snapToGrid w:val="0"/>
        </w:rPr>
      </w:pPr>
      <w:bookmarkStart w:id="227" w:name="_Toc491956776"/>
      <w:bookmarkStart w:id="228" w:name="_Toc473035959"/>
      <w:r>
        <w:rPr>
          <w:rStyle w:val="CharSectno"/>
        </w:rPr>
        <w:t>76</w:t>
      </w:r>
      <w:r>
        <w:rPr>
          <w:snapToGrid w:val="0"/>
        </w:rPr>
        <w:t>.</w:t>
      </w:r>
      <w:r>
        <w:rPr>
          <w:snapToGrid w:val="0"/>
        </w:rPr>
        <w:tab/>
        <w:t>Removal of CALM property</w:t>
      </w:r>
      <w:bookmarkEnd w:id="227"/>
      <w:bookmarkEnd w:id="228"/>
    </w:p>
    <w:p>
      <w:pPr>
        <w:pStyle w:val="Subsection"/>
        <w:spacing w:before="120"/>
        <w:rPr>
          <w:snapToGrid w:val="0"/>
        </w:rPr>
      </w:pPr>
      <w:r>
        <w:rPr>
          <w:snapToGrid w:val="0"/>
        </w:rPr>
        <w:tab/>
        <w:t>(1)</w:t>
      </w:r>
      <w:r>
        <w:rPr>
          <w:snapToGrid w:val="0"/>
        </w:rPr>
        <w:tab/>
        <w:t>A person must not, without lawful authority, remove any or any part of, a building, fence, facility, sign, notice, device, machinery or other object on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If an authorised officer finds a person on CALM land in possession of an object removed in contravention of subregulation (1), the authorised officer may direct the person to leave the object</w:t>
      </w:r>
      <w:r>
        <w:t xml:space="preserve"> at a place on the CALM land specified by the officer</w:t>
      </w:r>
      <w:r>
        <w:rPr>
          <w:snapToGrid w:val="0"/>
        </w:rPr>
        <w:t>.</w:t>
      </w:r>
    </w:p>
    <w:p>
      <w:pPr>
        <w:pStyle w:val="Subsection"/>
        <w:rPr>
          <w:snapToGrid w:val="0"/>
        </w:rPr>
      </w:pPr>
      <w:r>
        <w:rPr>
          <w:snapToGrid w:val="0"/>
        </w:rPr>
        <w:tab/>
        <w:t>(3)</w:t>
      </w:r>
      <w:r>
        <w:rPr>
          <w:snapToGrid w:val="0"/>
        </w:rPr>
        <w:tab/>
        <w:t>A person must comply with a direction of an authorised officer under subregulation (2).</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76 amended in Gazette 29 Sep 2006 p. 4318; 3 Dec 2010 p. 6052</w:t>
      </w:r>
      <w:r>
        <w:noBreakHyphen/>
        <w:t>4.]</w:t>
      </w:r>
    </w:p>
    <w:p>
      <w:pPr>
        <w:pStyle w:val="Heading2"/>
      </w:pPr>
      <w:bookmarkStart w:id="229" w:name="_Toc491954623"/>
      <w:bookmarkStart w:id="230" w:name="_Toc491956777"/>
      <w:bookmarkStart w:id="231" w:name="_Toc473019222"/>
      <w:bookmarkStart w:id="232" w:name="_Toc473035960"/>
      <w:r>
        <w:rPr>
          <w:rStyle w:val="CharPartNo"/>
        </w:rPr>
        <w:t>Part 6</w:t>
      </w:r>
      <w:r>
        <w:rPr>
          <w:rStyle w:val="CharDivNo"/>
        </w:rPr>
        <w:t xml:space="preserve"> </w:t>
      </w:r>
      <w:r>
        <w:t>—</w:t>
      </w:r>
      <w:r>
        <w:rPr>
          <w:rStyle w:val="CharDivText"/>
        </w:rPr>
        <w:t xml:space="preserve"> </w:t>
      </w:r>
      <w:r>
        <w:rPr>
          <w:rStyle w:val="CharPartText"/>
        </w:rPr>
        <w:t>Removal and forfeiture of unauthorised property on CALM land</w:t>
      </w:r>
      <w:bookmarkEnd w:id="229"/>
      <w:bookmarkEnd w:id="230"/>
      <w:bookmarkEnd w:id="231"/>
      <w:bookmarkEnd w:id="232"/>
    </w:p>
    <w:p>
      <w:pPr>
        <w:pStyle w:val="Heading5"/>
      </w:pPr>
      <w:bookmarkStart w:id="233" w:name="_Toc491956778"/>
      <w:bookmarkStart w:id="234" w:name="_Toc473035961"/>
      <w:r>
        <w:rPr>
          <w:rStyle w:val="CharSectno"/>
        </w:rPr>
        <w:t>77</w:t>
      </w:r>
      <w:r>
        <w:t>.</w:t>
      </w:r>
      <w:r>
        <w:tab/>
        <w:t>Term used: property</w:t>
      </w:r>
      <w:bookmarkEnd w:id="233"/>
      <w:bookmarkEnd w:id="234"/>
    </w:p>
    <w:p>
      <w:pPr>
        <w:pStyle w:val="Subsection"/>
      </w:pPr>
      <w:r>
        <w:tab/>
        <w:t>(1)</w:t>
      </w:r>
      <w:r>
        <w:tab/>
        <w:t xml:space="preserve">In this Part — </w:t>
      </w:r>
    </w:p>
    <w:p>
      <w:pPr>
        <w:pStyle w:val="Defstart"/>
      </w:pPr>
      <w:r>
        <w:tab/>
      </w:r>
      <w:r>
        <w:rPr>
          <w:rStyle w:val="CharDefText"/>
        </w:rPr>
        <w:t>property</w:t>
      </w:r>
      <w:r>
        <w:t xml:space="preserve"> — </w:t>
      </w:r>
    </w:p>
    <w:p>
      <w:pPr>
        <w:pStyle w:val="Defpara"/>
      </w:pPr>
      <w:r>
        <w:tab/>
        <w:t>(a)</w:t>
      </w:r>
      <w:r>
        <w:tab/>
        <w:t>includes a vehicle, caravan, vessel, mooring, pontoon, platform (including a platform on water), tent or other thing related to camping, tarpaulin, tripod, log, post, picket, spike, pipe, rope, cable, chain, wire and any kind of lock or locking device;</w:t>
      </w:r>
    </w:p>
    <w:p>
      <w:pPr>
        <w:pStyle w:val="Defpara"/>
      </w:pPr>
      <w:r>
        <w:tab/>
        <w:t>(b)</w:t>
      </w:r>
      <w:r>
        <w:tab/>
        <w:t>does not include anything to which section 108A(1) of the Act applies.</w:t>
      </w:r>
    </w:p>
    <w:p>
      <w:pPr>
        <w:pStyle w:val="Subsection"/>
      </w:pPr>
      <w:r>
        <w:tab/>
        <w:t>(2)</w:t>
      </w:r>
      <w:r>
        <w:tab/>
        <w:t>Subject to subregulation (1)(b), a thing may be property for the purposes of this Part whether or not it is attached to CALM land.</w:t>
      </w:r>
    </w:p>
    <w:p>
      <w:pPr>
        <w:pStyle w:val="Footnotesection"/>
      </w:pPr>
      <w:r>
        <w:tab/>
        <w:t>[Regulation 77 amended in Gazette 3 Dec 2010 p. 6048.]</w:t>
      </w:r>
    </w:p>
    <w:p>
      <w:pPr>
        <w:pStyle w:val="Heading5"/>
      </w:pPr>
      <w:bookmarkStart w:id="235" w:name="_Toc491956779"/>
      <w:bookmarkStart w:id="236" w:name="_Toc473035962"/>
      <w:r>
        <w:rPr>
          <w:rStyle w:val="CharSectno"/>
        </w:rPr>
        <w:t>78</w:t>
      </w:r>
      <w:r>
        <w:t>.</w:t>
      </w:r>
      <w:r>
        <w:tab/>
        <w:t>Authorised officers may seize and remove unauthorised property</w:t>
      </w:r>
      <w:bookmarkEnd w:id="235"/>
      <w:bookmarkEnd w:id="236"/>
    </w:p>
    <w:p>
      <w:pPr>
        <w:pStyle w:val="Subsection"/>
      </w:pPr>
      <w:r>
        <w:tab/>
        <w:t>(1)</w:t>
      </w:r>
      <w:r>
        <w:tab/>
        <w:t>An authorised officer who finds on CALM land any property that the officer reasonably believes is not authorised under a written law to be on the land may order or request a person who has, or appears to the officer to have, possession or control of the property to remove it from the land.</w:t>
      </w:r>
    </w:p>
    <w:p>
      <w:pPr>
        <w:pStyle w:val="Subsection"/>
      </w:pPr>
      <w:r>
        <w:tab/>
        <w:t>(1a)</w:t>
      </w:r>
      <w:r>
        <w:tab/>
        <w:t>A person must comply with an order given to the person under subregulation (1).</w:t>
      </w:r>
    </w:p>
    <w:p>
      <w:pPr>
        <w:pStyle w:val="Penstart"/>
      </w:pPr>
      <w:r>
        <w:tab/>
        <w:t>Penalty: a fine of $2 000.</w:t>
      </w:r>
    </w:p>
    <w:p>
      <w:pPr>
        <w:pStyle w:val="Subsection"/>
        <w:keepNext/>
      </w:pPr>
      <w:r>
        <w:tab/>
        <w:t>(2)</w:t>
      </w:r>
      <w:r>
        <w:tab/>
        <w:t xml:space="preserve">If — </w:t>
      </w:r>
    </w:p>
    <w:p>
      <w:pPr>
        <w:pStyle w:val="Indenta"/>
      </w:pPr>
      <w:r>
        <w:tab/>
        <w:t>(a)</w:t>
      </w:r>
      <w:r>
        <w:tab/>
        <w:t>a person does not comply with an order or request under subregulation (1) within a period that the authorised officer considers reasonable; or</w:t>
      </w:r>
    </w:p>
    <w:p>
      <w:pPr>
        <w:pStyle w:val="Indenta"/>
      </w:pPr>
      <w:r>
        <w:tab/>
        <w:t>(b)</w:t>
      </w:r>
      <w:r>
        <w:tab/>
        <w:t>the officer is unable to find a person who has, or appears to the officer to have, possession or control of the property,</w:t>
      </w:r>
    </w:p>
    <w:p>
      <w:pPr>
        <w:pStyle w:val="Subsection"/>
        <w:spacing w:before="180"/>
      </w:pPr>
      <w:r>
        <w:tab/>
      </w:r>
      <w:r>
        <w:tab/>
        <w:t>the officer may seize the property and remove it from CALM land.</w:t>
      </w:r>
    </w:p>
    <w:p>
      <w:pPr>
        <w:pStyle w:val="Subsection"/>
        <w:spacing w:before="180"/>
      </w:pPr>
      <w:r>
        <w:tab/>
        <w:t>(3)</w:t>
      </w:r>
      <w:r>
        <w:tab/>
        <w:t>Property seized and removed under subregulation (2) shall be held at an office of the Department until it is collected under regulation 79 or destroyed, sold or otherwise disposed of under regulation 80.</w:t>
      </w:r>
    </w:p>
    <w:p>
      <w:pPr>
        <w:pStyle w:val="Footnotesection"/>
      </w:pPr>
      <w:r>
        <w:tab/>
        <w:t>[Regulation 78 amended in Gazette 29 Sep 2006 p. 4318</w:t>
      </w:r>
      <w:r>
        <w:noBreakHyphen/>
        <w:t>19; 3 Dec 2010 p. 6048.]</w:t>
      </w:r>
    </w:p>
    <w:p>
      <w:pPr>
        <w:pStyle w:val="Heading5"/>
        <w:spacing w:before="260"/>
      </w:pPr>
      <w:bookmarkStart w:id="237" w:name="_Toc491956780"/>
      <w:bookmarkStart w:id="238" w:name="_Toc473035963"/>
      <w:r>
        <w:rPr>
          <w:rStyle w:val="CharSectno"/>
        </w:rPr>
        <w:t>79</w:t>
      </w:r>
      <w:r>
        <w:t>.</w:t>
      </w:r>
      <w:r>
        <w:tab/>
        <w:t>Seized property may be claimed</w:t>
      </w:r>
      <w:bookmarkEnd w:id="237"/>
      <w:bookmarkEnd w:id="238"/>
    </w:p>
    <w:p>
      <w:pPr>
        <w:pStyle w:val="Subsection"/>
        <w:spacing w:before="180"/>
      </w:pPr>
      <w:r>
        <w:tab/>
        <w:t>(1)</w:t>
      </w:r>
      <w:r>
        <w:tab/>
        <w:t>A person may claim property that is seized and removed under regulation 78 if the claim is made to an authorised officer within 6 months after the property is seized and removed.</w:t>
      </w:r>
    </w:p>
    <w:p>
      <w:pPr>
        <w:pStyle w:val="Subsection"/>
        <w:spacing w:before="180"/>
      </w:pPr>
      <w:r>
        <w:tab/>
        <w:t>(2)</w:t>
      </w:r>
      <w:r>
        <w:tab/>
        <w:t>If an authorised officer is satisfied that a person who claims property under subregulation (1) is the owner of the property or is entitled to possession of the property, the officer is to make the property available to be collected by the person at a time and a place notified in writing to the person.</w:t>
      </w:r>
    </w:p>
    <w:p>
      <w:pPr>
        <w:pStyle w:val="Subsection"/>
        <w:spacing w:before="180"/>
      </w:pPr>
      <w:r>
        <w:tab/>
        <w:t>(3)</w:t>
      </w:r>
      <w:r>
        <w:tab/>
        <w:t>The time referred to in subregulation (2) is to be within 21 days after the authorised officer is satisfied in relation to the matters referred to in that subregulation.</w:t>
      </w:r>
    </w:p>
    <w:p>
      <w:pPr>
        <w:pStyle w:val="Footnotesection"/>
      </w:pPr>
      <w:r>
        <w:tab/>
        <w:t>[Regulation 79 amended in Gazette 29 Sep 2006 p. 4319.]</w:t>
      </w:r>
    </w:p>
    <w:p>
      <w:pPr>
        <w:pStyle w:val="Heading5"/>
        <w:spacing w:before="260"/>
      </w:pPr>
      <w:bookmarkStart w:id="239" w:name="_Toc491956781"/>
      <w:bookmarkStart w:id="240" w:name="_Toc473035964"/>
      <w:r>
        <w:rPr>
          <w:rStyle w:val="CharSectno"/>
        </w:rPr>
        <w:t>80</w:t>
      </w:r>
      <w:r>
        <w:t>.</w:t>
      </w:r>
      <w:r>
        <w:tab/>
        <w:t>Unclaimed property may be forfeited</w:t>
      </w:r>
      <w:bookmarkEnd w:id="239"/>
      <w:bookmarkEnd w:id="240"/>
    </w:p>
    <w:p>
      <w:pPr>
        <w:pStyle w:val="Subsection"/>
        <w:spacing w:before="200"/>
      </w:pPr>
      <w:r>
        <w:tab/>
        <w:t>(1)</w:t>
      </w:r>
      <w:r>
        <w:tab/>
        <w:t>If property is not claimed by a person who an authorised officer is satisfied is the owner of the property or is entitled to possession of the property within 6 months after the property is seized and removed under regulation 78, the property is, on the expiry of that period, forfeited to the Crown and may be destroyed, sold or otherwise disposed of as directed by the CEO.</w:t>
      </w:r>
    </w:p>
    <w:p>
      <w:pPr>
        <w:pStyle w:val="Ednotesubsection"/>
      </w:pPr>
      <w:r>
        <w:tab/>
        <w:t>[(2)</w:t>
      </w:r>
      <w:r>
        <w:tab/>
        <w:t>deleted]</w:t>
      </w:r>
    </w:p>
    <w:p>
      <w:pPr>
        <w:pStyle w:val="Footnotesection"/>
      </w:pPr>
      <w:r>
        <w:tab/>
        <w:t>[Regulation 80 amended in Gazette 29 Sep 2006 p. 4319 and 4334; 3 Dec 2010 p. 6049.]</w:t>
      </w:r>
    </w:p>
    <w:p>
      <w:pPr>
        <w:pStyle w:val="Heading2"/>
      </w:pPr>
      <w:bookmarkStart w:id="241" w:name="_Toc491954628"/>
      <w:bookmarkStart w:id="242" w:name="_Toc491956782"/>
      <w:bookmarkStart w:id="243" w:name="_Toc473019227"/>
      <w:bookmarkStart w:id="244" w:name="_Toc473035965"/>
      <w:r>
        <w:rPr>
          <w:rStyle w:val="CharPartNo"/>
        </w:rPr>
        <w:t>Part 6A</w:t>
      </w:r>
      <w:r>
        <w:rPr>
          <w:rStyle w:val="CharDivNo"/>
        </w:rPr>
        <w:t> </w:t>
      </w:r>
      <w:r>
        <w:t>—</w:t>
      </w:r>
      <w:r>
        <w:rPr>
          <w:rStyle w:val="CharDivText"/>
        </w:rPr>
        <w:t> </w:t>
      </w:r>
      <w:r>
        <w:rPr>
          <w:rStyle w:val="CharPartText"/>
        </w:rPr>
        <w:t>Management plans</w:t>
      </w:r>
      <w:bookmarkEnd w:id="241"/>
      <w:bookmarkEnd w:id="242"/>
      <w:bookmarkEnd w:id="243"/>
      <w:bookmarkEnd w:id="244"/>
    </w:p>
    <w:p>
      <w:pPr>
        <w:pStyle w:val="Footnoteheading"/>
        <w:tabs>
          <w:tab w:val="left" w:pos="851"/>
        </w:tabs>
      </w:pPr>
      <w:r>
        <w:tab/>
        <w:t>[Heading inserted in Gazette 4 May 2004 p. 1383.]</w:t>
      </w:r>
    </w:p>
    <w:p>
      <w:pPr>
        <w:pStyle w:val="Heading5"/>
      </w:pPr>
      <w:bookmarkStart w:id="245" w:name="_Toc491956783"/>
      <w:bookmarkStart w:id="246" w:name="_Toc473035966"/>
      <w:r>
        <w:rPr>
          <w:rStyle w:val="CharSectno"/>
        </w:rPr>
        <w:t>81</w:t>
      </w:r>
      <w:r>
        <w:t>.</w:t>
      </w:r>
      <w:r>
        <w:tab/>
        <w:t>Purposes of reserves (Act s. 55(1a))</w:t>
      </w:r>
      <w:bookmarkEnd w:id="245"/>
      <w:bookmarkEnd w:id="246"/>
    </w:p>
    <w:p>
      <w:pPr>
        <w:pStyle w:val="Subsection"/>
      </w:pPr>
      <w:r>
        <w:tab/>
      </w:r>
      <w:r>
        <w:tab/>
        <w:t xml:space="preserve">For the purposes of section 55(1a) of the Act, the other purposes for which an indigenous State forest or timber reserve may be reserved include any of the following — </w:t>
      </w:r>
    </w:p>
    <w:p>
      <w:pPr>
        <w:pStyle w:val="Indenta"/>
      </w:pPr>
      <w:r>
        <w:tab/>
        <w:t>(a)</w:t>
      </w:r>
      <w:r>
        <w:tab/>
        <w:t>the removal of water from the reserved land;</w:t>
      </w:r>
    </w:p>
    <w:p>
      <w:pPr>
        <w:pStyle w:val="Indenta"/>
      </w:pPr>
      <w:r>
        <w:tab/>
        <w:t>(b)</w:t>
      </w:r>
      <w:r>
        <w:tab/>
        <w:t>the storage of water on the reserve;</w:t>
      </w:r>
    </w:p>
    <w:p>
      <w:pPr>
        <w:pStyle w:val="Indenta"/>
      </w:pPr>
      <w:r>
        <w:tab/>
        <w:t>(c)</w:t>
      </w:r>
      <w:r>
        <w:tab/>
        <w:t>the removal of water from the reserve;</w:t>
      </w:r>
    </w:p>
    <w:p>
      <w:pPr>
        <w:pStyle w:val="Indenta"/>
      </w:pPr>
      <w:r>
        <w:tab/>
        <w:t>(d)</w:t>
      </w:r>
      <w:r>
        <w:tab/>
        <w:t>the location of infrastructure, and other similar facilities, that serve the public interest, to the extent to which locating such infrastructure and facilities is not inconsistent with achieving the other purposes for which the forest or reserve is reserved.</w:t>
      </w:r>
    </w:p>
    <w:p>
      <w:pPr>
        <w:pStyle w:val="Footnotesection"/>
      </w:pPr>
      <w:r>
        <w:tab/>
        <w:t>[Regulation 81 inserted in Gazette 4 May 2004 p. 1383; amended in Gazette 29 Jan 2008 p. 241</w:t>
      </w:r>
      <w:r>
        <w:noBreakHyphen/>
        <w:t>2.]</w:t>
      </w:r>
    </w:p>
    <w:p>
      <w:pPr>
        <w:pStyle w:val="Heading2"/>
      </w:pPr>
      <w:bookmarkStart w:id="247" w:name="_Toc491954630"/>
      <w:bookmarkStart w:id="248" w:name="_Toc491956784"/>
      <w:bookmarkStart w:id="249" w:name="_Toc473019229"/>
      <w:bookmarkStart w:id="250" w:name="_Toc473035967"/>
      <w:r>
        <w:rPr>
          <w:rStyle w:val="CharPartNo"/>
        </w:rPr>
        <w:t>Part 7</w:t>
      </w:r>
      <w:r>
        <w:t xml:space="preserve"> — </w:t>
      </w:r>
      <w:r>
        <w:rPr>
          <w:rStyle w:val="CharPartText"/>
        </w:rPr>
        <w:t>Licences</w:t>
      </w:r>
      <w:bookmarkEnd w:id="247"/>
      <w:bookmarkEnd w:id="248"/>
      <w:bookmarkEnd w:id="249"/>
      <w:bookmarkEnd w:id="250"/>
    </w:p>
    <w:p>
      <w:pPr>
        <w:pStyle w:val="Heading3"/>
      </w:pPr>
      <w:bookmarkStart w:id="251" w:name="_Toc491954631"/>
      <w:bookmarkStart w:id="252" w:name="_Toc491956785"/>
      <w:bookmarkStart w:id="253" w:name="_Toc473019230"/>
      <w:bookmarkStart w:id="254" w:name="_Toc473035968"/>
      <w:r>
        <w:rPr>
          <w:rStyle w:val="CharDivNo"/>
        </w:rPr>
        <w:t>Division 1</w:t>
      </w:r>
      <w:r>
        <w:rPr>
          <w:snapToGrid w:val="0"/>
        </w:rPr>
        <w:t xml:space="preserve"> — </w:t>
      </w:r>
      <w:r>
        <w:rPr>
          <w:rStyle w:val="CharDivText"/>
        </w:rPr>
        <w:t>General</w:t>
      </w:r>
      <w:bookmarkEnd w:id="251"/>
      <w:bookmarkEnd w:id="252"/>
      <w:bookmarkEnd w:id="253"/>
      <w:bookmarkEnd w:id="254"/>
    </w:p>
    <w:p>
      <w:pPr>
        <w:pStyle w:val="Heading5"/>
        <w:spacing w:before="180"/>
        <w:rPr>
          <w:snapToGrid w:val="0"/>
        </w:rPr>
      </w:pPr>
      <w:bookmarkStart w:id="255" w:name="_Toc491956786"/>
      <w:bookmarkStart w:id="256" w:name="_Toc473035969"/>
      <w:r>
        <w:rPr>
          <w:rStyle w:val="CharSectno"/>
        </w:rPr>
        <w:t>82</w:t>
      </w:r>
      <w:r>
        <w:rPr>
          <w:snapToGrid w:val="0"/>
        </w:rPr>
        <w:t>.</w:t>
      </w:r>
      <w:r>
        <w:rPr>
          <w:snapToGrid w:val="0"/>
        </w:rPr>
        <w:tab/>
        <w:t>Term used: licence</w:t>
      </w:r>
      <w:bookmarkEnd w:id="255"/>
      <w:bookmarkEnd w:id="256"/>
      <w:r>
        <w:rPr>
          <w:snapToGrid w:val="0"/>
        </w:rPr>
        <w:t xml:space="preserve"> </w:t>
      </w:r>
    </w:p>
    <w:p>
      <w:pPr>
        <w:pStyle w:val="Subsection"/>
        <w:rPr>
          <w:snapToGrid w:val="0"/>
        </w:rPr>
      </w:pPr>
      <w:r>
        <w:rPr>
          <w:snapToGrid w:val="0"/>
        </w:rPr>
        <w:tab/>
      </w:r>
      <w:r>
        <w:rPr>
          <w:snapToGrid w:val="0"/>
        </w:rPr>
        <w:tab/>
        <w:t>In this Part — </w:t>
      </w:r>
    </w:p>
    <w:p>
      <w:pPr>
        <w:pStyle w:val="Defstart"/>
      </w:pPr>
      <w:r>
        <w:tab/>
      </w:r>
      <w:r>
        <w:rPr>
          <w:rStyle w:val="CharDefText"/>
        </w:rPr>
        <w:t>licence</w:t>
      </w:r>
      <w:r>
        <w:rPr>
          <w:b/>
        </w:rPr>
        <w:t xml:space="preserve"> </w:t>
      </w:r>
      <w:r>
        <w:t>means a licence granted under these regulations.</w:t>
      </w:r>
    </w:p>
    <w:p>
      <w:pPr>
        <w:pStyle w:val="Heading5"/>
        <w:spacing w:before="180"/>
        <w:rPr>
          <w:snapToGrid w:val="0"/>
        </w:rPr>
      </w:pPr>
      <w:bookmarkStart w:id="257" w:name="_Toc491956787"/>
      <w:bookmarkStart w:id="258" w:name="_Toc473035970"/>
      <w:r>
        <w:rPr>
          <w:rStyle w:val="CharSectno"/>
        </w:rPr>
        <w:t>83</w:t>
      </w:r>
      <w:r>
        <w:rPr>
          <w:snapToGrid w:val="0"/>
        </w:rPr>
        <w:t>.</w:t>
      </w:r>
      <w:r>
        <w:rPr>
          <w:snapToGrid w:val="0"/>
        </w:rPr>
        <w:tab/>
        <w:t>Application for licence</w:t>
      </w:r>
      <w:bookmarkEnd w:id="257"/>
      <w:bookmarkEnd w:id="258"/>
      <w:r>
        <w:rPr>
          <w:snapToGrid w:val="0"/>
        </w:rPr>
        <w:t xml:space="preserve"> </w:t>
      </w:r>
    </w:p>
    <w:p>
      <w:pPr>
        <w:pStyle w:val="Subsection"/>
        <w:rPr>
          <w:snapToGrid w:val="0"/>
        </w:rPr>
      </w:pPr>
      <w:r>
        <w:rPr>
          <w:snapToGrid w:val="0"/>
        </w:rPr>
        <w:tab/>
        <w:t>(1)</w:t>
      </w:r>
      <w:r>
        <w:rPr>
          <w:snapToGrid w:val="0"/>
        </w:rPr>
        <w:tab/>
        <w:t>An application for a licence is to be — </w:t>
      </w:r>
    </w:p>
    <w:p>
      <w:pPr>
        <w:pStyle w:val="Indenta"/>
        <w:rPr>
          <w:snapToGrid w:val="0"/>
        </w:rPr>
      </w:pPr>
      <w:r>
        <w:rPr>
          <w:snapToGrid w:val="0"/>
        </w:rPr>
        <w:tab/>
        <w:t>(a)</w:t>
      </w:r>
      <w:r>
        <w:rPr>
          <w:snapToGrid w:val="0"/>
        </w:rPr>
        <w:tab/>
        <w:t xml:space="preserve">made to the </w:t>
      </w:r>
      <w:r>
        <w:t xml:space="preserve">CEO </w:t>
      </w:r>
      <w:r>
        <w:rPr>
          <w:snapToGrid w:val="0"/>
        </w:rPr>
        <w:t>in a form approved by the</w:t>
      </w:r>
      <w:r>
        <w:t xml:space="preserve"> CEO</w:t>
      </w:r>
      <w:r>
        <w:rPr>
          <w:snapToGrid w:val="0"/>
        </w:rPr>
        <w:t>; and</w:t>
      </w:r>
    </w:p>
    <w:p>
      <w:pPr>
        <w:pStyle w:val="Indenta"/>
        <w:rPr>
          <w:snapToGrid w:val="0"/>
        </w:rPr>
      </w:pPr>
      <w:r>
        <w:rPr>
          <w:snapToGrid w:val="0"/>
        </w:rPr>
        <w:tab/>
        <w:t>(b)</w:t>
      </w:r>
      <w:r>
        <w:rPr>
          <w:snapToGrid w:val="0"/>
        </w:rPr>
        <w:tab/>
        <w:t>accompanied by the appropriate fee specified in Schedule 1 Division 8.</w:t>
      </w:r>
    </w:p>
    <w:p>
      <w:pPr>
        <w:pStyle w:val="Subsection"/>
        <w:rPr>
          <w:snapToGrid w:val="0"/>
        </w:rPr>
      </w:pPr>
      <w:r>
        <w:rPr>
          <w:snapToGrid w:val="0"/>
        </w:rPr>
        <w:tab/>
        <w:t>(2)</w:t>
      </w:r>
      <w:r>
        <w:rPr>
          <w:snapToGrid w:val="0"/>
        </w:rPr>
        <w:tab/>
        <w:t xml:space="preserve">The applicant is to provide the </w:t>
      </w:r>
      <w:r>
        <w:t xml:space="preserve">CEO </w:t>
      </w:r>
      <w:r>
        <w:rPr>
          <w:snapToGrid w:val="0"/>
        </w:rPr>
        <w:t xml:space="preserve">with such further information as the </w:t>
      </w:r>
      <w:r>
        <w:t xml:space="preserve">CEO </w:t>
      </w:r>
      <w:r>
        <w:rPr>
          <w:snapToGrid w:val="0"/>
        </w:rPr>
        <w:t>may require in any particular case.</w:t>
      </w:r>
    </w:p>
    <w:p>
      <w:pPr>
        <w:pStyle w:val="Footnotesection"/>
      </w:pPr>
      <w:r>
        <w:tab/>
        <w:t>[Regulation 83 amended in Gazette 29 Sep 2006 p. 4334.]</w:t>
      </w:r>
    </w:p>
    <w:p>
      <w:pPr>
        <w:pStyle w:val="Heading5"/>
        <w:spacing w:before="180"/>
      </w:pPr>
      <w:bookmarkStart w:id="259" w:name="_Toc491956788"/>
      <w:bookmarkStart w:id="260" w:name="_Toc473035971"/>
      <w:r>
        <w:rPr>
          <w:rStyle w:val="CharSectno"/>
        </w:rPr>
        <w:t>84</w:t>
      </w:r>
      <w:r>
        <w:rPr>
          <w:snapToGrid w:val="0"/>
        </w:rPr>
        <w:t>.</w:t>
      </w:r>
      <w:r>
        <w:rPr>
          <w:snapToGrid w:val="0"/>
        </w:rPr>
        <w:tab/>
        <w:t>Restriction on exercise of powers</w:t>
      </w:r>
      <w:bookmarkEnd w:id="259"/>
      <w:bookmarkEnd w:id="260"/>
    </w:p>
    <w:p>
      <w:pPr>
        <w:pStyle w:val="Subsection"/>
      </w:pPr>
      <w:r>
        <w:tab/>
        <w:t>(1)</w:t>
      </w:r>
      <w:r>
        <w:tab/>
        <w:t xml:space="preserve">Subject to subregulation (2), the powers conferred on the CEO by this Part to grant or renew a licence are exercisable only — </w:t>
      </w:r>
    </w:p>
    <w:p>
      <w:pPr>
        <w:pStyle w:val="Indenta"/>
      </w:pPr>
      <w:r>
        <w:tab/>
        <w:t>(a)</w:t>
      </w:r>
      <w:r>
        <w:tab/>
        <w:t>with the approval of the Minister; and</w:t>
      </w:r>
    </w:p>
    <w:p>
      <w:pPr>
        <w:pStyle w:val="Indenta"/>
      </w:pPr>
      <w:r>
        <w:tab/>
        <w:t>(b)</w:t>
      </w:r>
      <w:r>
        <w:tab/>
        <w:t>in the case of land vested in the Commission, after consultation with the Commission and, where applicable, a joint responsible body; and</w:t>
      </w:r>
    </w:p>
    <w:p>
      <w:pPr>
        <w:pStyle w:val="Indenta"/>
      </w:pPr>
      <w:r>
        <w:tab/>
        <w:t>(c)</w:t>
      </w:r>
      <w:r>
        <w:tab/>
        <w:t>in the case of land classified under Part V Division 2 of the Act as a forest conservation area, consistently with any management plan for the land concerned; and</w:t>
      </w:r>
    </w:p>
    <w:p>
      <w:pPr>
        <w:pStyle w:val="Ednotepara"/>
        <w:spacing w:before="80"/>
      </w:pPr>
      <w:r>
        <w:tab/>
        <w:t>[(d), (e)</w:t>
      </w:r>
      <w:r>
        <w:tab/>
        <w:t>deleted]</w:t>
      </w:r>
    </w:p>
    <w:p>
      <w:pPr>
        <w:pStyle w:val="Indenta"/>
      </w:pPr>
      <w:r>
        <w:tab/>
        <w:t>(f)</w:t>
      </w:r>
      <w:r>
        <w:tab/>
        <w:t>in the case of land for the management of which an agreement is entered into under section 8A of the Act, consistently with the agreement; and</w:t>
      </w:r>
    </w:p>
    <w:p>
      <w:pPr>
        <w:pStyle w:val="Indenta"/>
      </w:pPr>
      <w:r>
        <w:tab/>
        <w:t>(g)</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pPr>
      <w:r>
        <w:tab/>
        <w:t>(h)</w:t>
      </w:r>
      <w:r>
        <w:tab/>
        <w:t>in conformity with section 33(3) of the Act.</w:t>
      </w:r>
    </w:p>
    <w:p>
      <w:pPr>
        <w:pStyle w:val="Subsection"/>
      </w:pPr>
      <w:r>
        <w:tab/>
        <w:t>(2)</w:t>
      </w:r>
      <w:r>
        <w:tab/>
        <w:t xml:space="preserve">In the case of land other than land classified under Part V Division 2 of the Act as a forest conservation area, subregulation (1)(a), (b) and (d) do not apply to the grant or renewal of a licence under this Part where — </w:t>
      </w:r>
    </w:p>
    <w:p>
      <w:pPr>
        <w:pStyle w:val="Indenta"/>
      </w:pPr>
      <w:r>
        <w:tab/>
        <w:t>(a)</w:t>
      </w:r>
      <w:r>
        <w:tab/>
        <w:t xml:space="preserve">the appropriate approval has been given under subregulation (1)(a) and, if applicable, the appropriate consultation has taken place under subregulation (1)(b) or (1)(d) for — </w:t>
      </w:r>
    </w:p>
    <w:p>
      <w:pPr>
        <w:pStyle w:val="Indenti"/>
      </w:pPr>
      <w:r>
        <w:tab/>
        <w:t>(i)</w:t>
      </w:r>
      <w:r>
        <w:tab/>
        <w:t>the grant under this Part of certain kinds of licences or certain numbers of licences; or</w:t>
      </w:r>
    </w:p>
    <w:p>
      <w:pPr>
        <w:pStyle w:val="Indenti"/>
      </w:pPr>
      <w:r>
        <w:tab/>
        <w:t>(ii)</w:t>
      </w:r>
      <w:r>
        <w:tab/>
        <w:t>the renewal, cancellation or suspension of, or the imposition or variation of terms or conditions attached to, a licence granted under this Part,</w:t>
      </w:r>
    </w:p>
    <w:p>
      <w:pPr>
        <w:pStyle w:val="Indenta"/>
      </w:pPr>
      <w:r>
        <w:tab/>
      </w:r>
      <w:r>
        <w:tab/>
        <w:t>and the licence granted or renewed is covered by the terms of that approval and, if applicable, that consultation; or</w:t>
      </w:r>
    </w:p>
    <w:p>
      <w:pPr>
        <w:pStyle w:val="Indenta"/>
      </w:pPr>
      <w:r>
        <w:tab/>
        <w:t>(b)</w:t>
      </w:r>
      <w:r>
        <w:tab/>
        <w:t xml:space="preserve">in the case of the renewal of a licence, the licence was granted under Part 5 of the </w:t>
      </w:r>
      <w:r>
        <w:rPr>
          <w:i/>
        </w:rPr>
        <w:t>Conservation and Land Management Regulations 1992</w:t>
      </w:r>
      <w:r>
        <w:rPr>
          <w:i/>
          <w:vertAlign w:val="superscript"/>
        </w:rPr>
        <w:t> </w:t>
      </w:r>
      <w:r>
        <w:rPr>
          <w:iCs/>
          <w:vertAlign w:val="superscript"/>
        </w:rPr>
        <w:t>2</w:t>
      </w:r>
      <w:r>
        <w:t>.</w:t>
      </w:r>
    </w:p>
    <w:p>
      <w:pPr>
        <w:pStyle w:val="Footnotesection"/>
        <w:ind w:left="890" w:hanging="890"/>
      </w:pPr>
      <w:r>
        <w:tab/>
        <w:t>[Regulation 84 amended in Gazette 29 Sep 2006 p. 4319 and 4334; 19 Jun 2015 p. 2096; 6 May 2016 p. 1382.]</w:t>
      </w:r>
    </w:p>
    <w:p>
      <w:pPr>
        <w:pStyle w:val="Heading5"/>
        <w:spacing w:before="180"/>
      </w:pPr>
      <w:bookmarkStart w:id="261" w:name="_Toc491956789"/>
      <w:bookmarkStart w:id="262" w:name="_Toc473035972"/>
      <w:r>
        <w:rPr>
          <w:rStyle w:val="CharSectno"/>
        </w:rPr>
        <w:t>85</w:t>
      </w:r>
      <w:r>
        <w:rPr>
          <w:snapToGrid w:val="0"/>
        </w:rPr>
        <w:t>.</w:t>
      </w:r>
      <w:r>
        <w:rPr>
          <w:snapToGrid w:val="0"/>
        </w:rPr>
        <w:tab/>
        <w:t>Refusal to renew licence</w:t>
      </w:r>
      <w:bookmarkEnd w:id="261"/>
      <w:bookmarkEnd w:id="262"/>
    </w:p>
    <w:p>
      <w:pPr>
        <w:pStyle w:val="Subsection"/>
        <w:spacing w:before="120"/>
      </w:pPr>
      <w:r>
        <w:tab/>
        <w:t>(1)</w:t>
      </w:r>
      <w:r>
        <w:tab/>
        <w:t>A licence is not renewable as of right.</w:t>
      </w:r>
    </w:p>
    <w:p>
      <w:pPr>
        <w:pStyle w:val="Subsection"/>
        <w:spacing w:before="120"/>
      </w:pPr>
      <w:r>
        <w:tab/>
        <w:t>(2)</w:t>
      </w:r>
      <w:r>
        <w:tab/>
        <w:t xml:space="preserve">The CEO may, by written notice given to the person who held the licence, refuse to renew a licence on the grounds that — </w:t>
      </w:r>
    </w:p>
    <w:p>
      <w:pPr>
        <w:pStyle w:val="Indenta"/>
      </w:pPr>
      <w:r>
        <w:tab/>
        <w:t>(a)</w:t>
      </w:r>
      <w:r>
        <w:tab/>
        <w:t xml:space="preserve">the holder of the licence has been convicted of an offence against the Act or these regulations or the </w:t>
      </w:r>
      <w:r>
        <w:rPr>
          <w:i/>
        </w:rPr>
        <w:t>Wildlife Conservation Act 1950</w:t>
      </w:r>
      <w:r>
        <w:t xml:space="preserve"> or regulations made under that Act; or</w:t>
      </w:r>
    </w:p>
    <w:p>
      <w:pPr>
        <w:pStyle w:val="Indenta"/>
      </w:pPr>
      <w:r>
        <w:tab/>
        <w:t>(b)</w:t>
      </w:r>
      <w:r>
        <w:tab/>
        <w:t>a condition imposed upon the licence has been contravened; or</w:t>
      </w:r>
    </w:p>
    <w:p>
      <w:pPr>
        <w:pStyle w:val="Indenta"/>
      </w:pPr>
      <w:r>
        <w:tab/>
        <w:t>(c)</w:t>
      </w:r>
      <w:r>
        <w:tab/>
        <w:t>the licence was obtained by fraud or misrepresentation; or</w:t>
      </w:r>
    </w:p>
    <w:p>
      <w:pPr>
        <w:pStyle w:val="Indenta"/>
      </w:pPr>
      <w:r>
        <w:tab/>
        <w:t>(d)</w:t>
      </w:r>
      <w:r>
        <w:tab/>
        <w:t xml:space="preserve">in the interests of — </w:t>
      </w:r>
    </w:p>
    <w:p>
      <w:pPr>
        <w:pStyle w:val="Indenti"/>
      </w:pPr>
      <w:r>
        <w:tab/>
        <w:t>(i)</w:t>
      </w:r>
      <w:r>
        <w:tab/>
        <w:t>the protection, management or control of CALM land or assets on CALM land; or</w:t>
      </w:r>
    </w:p>
    <w:p>
      <w:pPr>
        <w:pStyle w:val="Indenti"/>
      </w:pPr>
      <w:r>
        <w:tab/>
        <w:t>(ii)</w:t>
      </w:r>
      <w:r>
        <w:tab/>
        <w:t>the protection of persons using CALM land; or</w:t>
      </w:r>
    </w:p>
    <w:p>
      <w:pPr>
        <w:pStyle w:val="Indenti"/>
      </w:pPr>
      <w:r>
        <w:tab/>
        <w:t>(iii)</w:t>
      </w:r>
      <w:r>
        <w:tab/>
        <w:t>the conservation, protection or proper management of fauna or flora,</w:t>
      </w:r>
    </w:p>
    <w:p>
      <w:pPr>
        <w:pStyle w:val="Indenta"/>
      </w:pPr>
      <w:r>
        <w:tab/>
      </w:r>
      <w:r>
        <w:tab/>
        <w:t>the operation of the licence should not be permitted to continue.</w:t>
      </w:r>
    </w:p>
    <w:p>
      <w:pPr>
        <w:pStyle w:val="Footnotesection"/>
      </w:pPr>
      <w:r>
        <w:tab/>
        <w:t>[Regulation 85 amended in Gazette 29 Sep 2006 p. 4334.]</w:t>
      </w:r>
    </w:p>
    <w:p>
      <w:pPr>
        <w:pStyle w:val="Heading5"/>
        <w:rPr>
          <w:snapToGrid w:val="0"/>
        </w:rPr>
      </w:pPr>
      <w:bookmarkStart w:id="263" w:name="_Toc491956790"/>
      <w:bookmarkStart w:id="264" w:name="_Toc473035973"/>
      <w:r>
        <w:rPr>
          <w:rStyle w:val="CharSectno"/>
        </w:rPr>
        <w:t>86</w:t>
      </w:r>
      <w:r>
        <w:rPr>
          <w:snapToGrid w:val="0"/>
        </w:rPr>
        <w:t>.</w:t>
      </w:r>
      <w:r>
        <w:rPr>
          <w:snapToGrid w:val="0"/>
        </w:rPr>
        <w:tab/>
        <w:t xml:space="preserve">Cancellation or suspension of licence by </w:t>
      </w:r>
      <w:r>
        <w:t>CEO</w:t>
      </w:r>
      <w:bookmarkEnd w:id="263"/>
      <w:bookmarkEnd w:id="264"/>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person who holds a licence — </w:t>
      </w:r>
    </w:p>
    <w:p>
      <w:pPr>
        <w:pStyle w:val="Indenti"/>
        <w:rPr>
          <w:snapToGrid w:val="0"/>
        </w:rPr>
      </w:pPr>
      <w:r>
        <w:rPr>
          <w:snapToGrid w:val="0"/>
        </w:rPr>
        <w:tab/>
        <w:t>(i)</w:t>
      </w:r>
      <w:r>
        <w:rPr>
          <w:snapToGrid w:val="0"/>
        </w:rPr>
        <w:tab/>
        <w:t>contravenes a provision of the Act or these regulations or a condition or restriction to which the licence was subject; or</w:t>
      </w:r>
    </w:p>
    <w:p>
      <w:pPr>
        <w:pStyle w:val="Indenti"/>
        <w:rPr>
          <w:snapToGrid w:val="0"/>
        </w:rPr>
      </w:pPr>
      <w:r>
        <w:rPr>
          <w:snapToGrid w:val="0"/>
        </w:rPr>
        <w:tab/>
        <w:t>(ii)</w:t>
      </w:r>
      <w:r>
        <w:rPr>
          <w:snapToGrid w:val="0"/>
        </w:rPr>
        <w:tab/>
      </w:r>
      <w:r>
        <w:t xml:space="preserve">contravenes a provision of the </w:t>
      </w:r>
      <w:r>
        <w:rPr>
          <w:i/>
        </w:rPr>
        <w:t>Wildlife Conservation Act 1950</w:t>
      </w:r>
      <w:r>
        <w:t xml:space="preserve"> or regulations made under that Act;</w:t>
      </w:r>
      <w:r>
        <w:rPr>
          <w:snapToGrid w:val="0"/>
        </w:rPr>
        <w:t xml:space="preserve"> or</w:t>
      </w:r>
    </w:p>
    <w:p>
      <w:pPr>
        <w:pStyle w:val="Indenti"/>
        <w:rPr>
          <w:snapToGrid w:val="0"/>
        </w:rPr>
      </w:pPr>
      <w:r>
        <w:rPr>
          <w:snapToGrid w:val="0"/>
        </w:rPr>
        <w:tab/>
        <w:t>(iii)</w:t>
      </w:r>
      <w:r>
        <w:rPr>
          <w:snapToGrid w:val="0"/>
        </w:rPr>
        <w:tab/>
      </w:r>
      <w:r>
        <w:t xml:space="preserve">is otherwise in the opinion of the CEO </w:t>
      </w:r>
      <w:r>
        <w:rPr>
          <w:snapToGrid w:val="0"/>
        </w:rPr>
        <w:t xml:space="preserve">no longer a fit and proper person or otherwise suitable to hold the licence;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w:t>
      </w:r>
      <w:r>
        <w:t xml:space="preserve">CEO </w:t>
      </w:r>
      <w:r>
        <w:rPr>
          <w:snapToGrid w:val="0"/>
        </w:rPr>
        <w:t>considers that in the interests of — </w:t>
      </w:r>
    </w:p>
    <w:p>
      <w:pPr>
        <w:pStyle w:val="Indenti"/>
        <w:rPr>
          <w:snapToGrid w:val="0"/>
        </w:rPr>
      </w:pPr>
      <w:r>
        <w:rPr>
          <w:snapToGrid w:val="0"/>
        </w:rPr>
        <w:tab/>
        <w:t>(i)</w:t>
      </w:r>
      <w:r>
        <w:rPr>
          <w:snapToGrid w:val="0"/>
        </w:rPr>
        <w:tab/>
        <w:t>the protection, management or control of CALM land or assets on CALM land; or</w:t>
      </w:r>
    </w:p>
    <w:p>
      <w:pPr>
        <w:pStyle w:val="Indenti"/>
        <w:rPr>
          <w:snapToGrid w:val="0"/>
        </w:rPr>
      </w:pPr>
      <w:r>
        <w:rPr>
          <w:snapToGrid w:val="0"/>
        </w:rPr>
        <w:tab/>
        <w:t>(ii)</w:t>
      </w:r>
      <w:r>
        <w:rPr>
          <w:snapToGrid w:val="0"/>
        </w:rPr>
        <w:tab/>
        <w:t>the protection or management of persons using CALM land; or</w:t>
      </w:r>
    </w:p>
    <w:p>
      <w:pPr>
        <w:pStyle w:val="Indenti"/>
        <w:rPr>
          <w:snapToGrid w:val="0"/>
        </w:rPr>
      </w:pPr>
      <w:r>
        <w:rPr>
          <w:snapToGrid w:val="0"/>
        </w:rPr>
        <w:tab/>
        <w:t>(iii)</w:t>
      </w:r>
      <w:r>
        <w:rPr>
          <w:snapToGrid w:val="0"/>
        </w:rPr>
        <w:tab/>
        <w:t xml:space="preserve">the conservation, protection or proper management of fauna or flora, </w:t>
      </w:r>
    </w:p>
    <w:p>
      <w:pPr>
        <w:pStyle w:val="Indenta"/>
        <w:rPr>
          <w:snapToGrid w:val="0"/>
        </w:rPr>
      </w:pPr>
      <w:r>
        <w:rPr>
          <w:snapToGrid w:val="0"/>
        </w:rPr>
        <w:tab/>
      </w:r>
      <w:r>
        <w:rPr>
          <w:snapToGrid w:val="0"/>
        </w:rPr>
        <w:tab/>
        <w:t>a licence should be suspended or cancelled,</w:t>
      </w:r>
    </w:p>
    <w:p>
      <w:pPr>
        <w:pStyle w:val="Subsection"/>
        <w:rPr>
          <w:snapToGrid w:val="0"/>
        </w:rPr>
      </w:pPr>
      <w:r>
        <w:rPr>
          <w:snapToGrid w:val="0"/>
        </w:rPr>
        <w:tab/>
      </w:r>
      <w:r>
        <w:rPr>
          <w:snapToGrid w:val="0"/>
        </w:rPr>
        <w:tab/>
        <w:t xml:space="preserve">the </w:t>
      </w:r>
      <w:r>
        <w:t xml:space="preserve">CEO </w:t>
      </w:r>
      <w:r>
        <w:rPr>
          <w:snapToGrid w:val="0"/>
        </w:rPr>
        <w:t xml:space="preserve">may, by written notice given to the person, cancel the licence or suspend it for such period as the </w:t>
      </w:r>
      <w:r>
        <w:t xml:space="preserve">CEO </w:t>
      </w:r>
      <w:r>
        <w:rPr>
          <w:snapToGrid w:val="0"/>
        </w:rPr>
        <w:t>thinks fit.</w:t>
      </w:r>
    </w:p>
    <w:p>
      <w:pPr>
        <w:pStyle w:val="Subsection"/>
        <w:rPr>
          <w:snapToGrid w:val="0"/>
        </w:rPr>
      </w:pPr>
      <w:r>
        <w:rPr>
          <w:snapToGrid w:val="0"/>
        </w:rPr>
        <w:tab/>
        <w:t>(2)</w:t>
      </w:r>
      <w:r>
        <w:rPr>
          <w:snapToGrid w:val="0"/>
        </w:rPr>
        <w:tab/>
        <w:t>A suspension of a licence may relate to the doing of some, but not all, of the things authorised by the licence.</w:t>
      </w:r>
    </w:p>
    <w:p>
      <w:pPr>
        <w:pStyle w:val="Footnotesection"/>
      </w:pPr>
      <w:r>
        <w:tab/>
        <w:t>[Regulation 86 amended in Gazette 29 Sep 2006 p. 4334.]</w:t>
      </w:r>
    </w:p>
    <w:p>
      <w:pPr>
        <w:pStyle w:val="Heading5"/>
        <w:spacing w:before="180"/>
        <w:rPr>
          <w:snapToGrid w:val="0"/>
        </w:rPr>
      </w:pPr>
      <w:bookmarkStart w:id="265" w:name="_Toc491956791"/>
      <w:bookmarkStart w:id="266" w:name="_Toc473035974"/>
      <w:r>
        <w:rPr>
          <w:rStyle w:val="CharSectno"/>
        </w:rPr>
        <w:t>87</w:t>
      </w:r>
      <w:r>
        <w:rPr>
          <w:snapToGrid w:val="0"/>
        </w:rPr>
        <w:t>.</w:t>
      </w:r>
      <w:r>
        <w:rPr>
          <w:snapToGrid w:val="0"/>
        </w:rPr>
        <w:tab/>
        <w:t>Notice of proposed cancellation or suspension</w:t>
      </w:r>
      <w:bookmarkEnd w:id="265"/>
      <w:bookmarkEnd w:id="266"/>
      <w:r>
        <w:rPr>
          <w:snapToGrid w:val="0"/>
        </w:rPr>
        <w:t xml:space="preserve"> </w:t>
      </w:r>
    </w:p>
    <w:p>
      <w:pPr>
        <w:pStyle w:val="Subsection"/>
        <w:spacing w:before="120"/>
        <w:rPr>
          <w:snapToGrid w:val="0"/>
        </w:rPr>
      </w:pPr>
      <w:r>
        <w:rPr>
          <w:snapToGrid w:val="0"/>
        </w:rPr>
        <w:tab/>
        <w:t>(1)</w:t>
      </w:r>
      <w:r>
        <w:rPr>
          <w:snapToGrid w:val="0"/>
        </w:rPr>
        <w:tab/>
        <w:t xml:space="preserve">If the </w:t>
      </w:r>
      <w:r>
        <w:t xml:space="preserve">CEO </w:t>
      </w:r>
      <w:r>
        <w:rPr>
          <w:snapToGrid w:val="0"/>
        </w:rPr>
        <w:t xml:space="preserve">proposes to cancel or suspend a licence, the </w:t>
      </w:r>
      <w:r>
        <w:t xml:space="preserve">CEO </w:t>
      </w:r>
      <w:r>
        <w:rPr>
          <w:snapToGrid w:val="0"/>
        </w:rPr>
        <w:t>is to give to the holder of the licence written notice of the proposal and the CEO’s reasons for the proposal.</w:t>
      </w:r>
    </w:p>
    <w:p>
      <w:pPr>
        <w:pStyle w:val="Subsection"/>
        <w:spacing w:before="120"/>
        <w:rPr>
          <w:snapToGrid w:val="0"/>
        </w:rPr>
      </w:pPr>
      <w:r>
        <w:rPr>
          <w:snapToGrid w:val="0"/>
        </w:rPr>
        <w:tab/>
        <w:t>(2)</w:t>
      </w:r>
      <w:r>
        <w:rPr>
          <w:snapToGrid w:val="0"/>
        </w:rPr>
        <w:tab/>
        <w:t xml:space="preserve">A notice given under subregulation (1) is to state that within a specified number of days after the notice is given, the person to whom it is given may make written representations to the </w:t>
      </w:r>
      <w:r>
        <w:t xml:space="preserve">CEO </w:t>
      </w:r>
      <w:r>
        <w:rPr>
          <w:snapToGrid w:val="0"/>
        </w:rPr>
        <w:t xml:space="preserve">concerning the proposal and the </w:t>
      </w:r>
      <w:r>
        <w:t xml:space="preserve">CEO </w:t>
      </w:r>
      <w:r>
        <w:rPr>
          <w:snapToGrid w:val="0"/>
        </w:rPr>
        <w:t>is not to give effect to the proposal without considering any representations received within that period.</w:t>
      </w:r>
    </w:p>
    <w:p>
      <w:pPr>
        <w:pStyle w:val="Subsection"/>
        <w:spacing w:before="120"/>
        <w:rPr>
          <w:snapToGrid w:val="0"/>
        </w:rPr>
      </w:pPr>
      <w:r>
        <w:rPr>
          <w:snapToGrid w:val="0"/>
        </w:rPr>
        <w:tab/>
        <w:t>(3)</w:t>
      </w:r>
      <w:r>
        <w:rPr>
          <w:snapToGrid w:val="0"/>
        </w:rPr>
        <w:tab/>
        <w:t>The number of days to be specified in a notice under subregulation (2) is to be not less than — </w:t>
      </w:r>
    </w:p>
    <w:p>
      <w:pPr>
        <w:pStyle w:val="Indenta"/>
        <w:rPr>
          <w:snapToGrid w:val="0"/>
        </w:rPr>
      </w:pPr>
      <w:r>
        <w:rPr>
          <w:snapToGrid w:val="0"/>
        </w:rPr>
        <w:tab/>
        <w:t>(a)</w:t>
      </w:r>
      <w:r>
        <w:rPr>
          <w:snapToGrid w:val="0"/>
        </w:rPr>
        <w:tab/>
        <w:t>21 days in the case of a proposal to cancel a licence; or</w:t>
      </w:r>
    </w:p>
    <w:p>
      <w:pPr>
        <w:pStyle w:val="Indenta"/>
        <w:rPr>
          <w:snapToGrid w:val="0"/>
        </w:rPr>
      </w:pPr>
      <w:r>
        <w:rPr>
          <w:snapToGrid w:val="0"/>
        </w:rPr>
        <w:tab/>
        <w:t>(b)</w:t>
      </w:r>
      <w:r>
        <w:rPr>
          <w:snapToGrid w:val="0"/>
        </w:rPr>
        <w:tab/>
        <w:t>7 days in the case of a proposal to suspend a licence.</w:t>
      </w:r>
    </w:p>
    <w:p>
      <w:pPr>
        <w:pStyle w:val="Subsection"/>
        <w:spacing w:before="120"/>
        <w:rPr>
          <w:snapToGrid w:val="0"/>
        </w:rPr>
      </w:pPr>
      <w:r>
        <w:rPr>
          <w:snapToGrid w:val="0"/>
        </w:rPr>
        <w:tab/>
        <w:t>(4)</w:t>
      </w:r>
      <w:r>
        <w:rPr>
          <w:snapToGrid w:val="0"/>
        </w:rPr>
        <w:tab/>
        <w:t xml:space="preserve">If for any reason a notice cannot be given to a person under subregulation (1), when read with section 76 of the </w:t>
      </w:r>
      <w:r>
        <w:rPr>
          <w:i/>
          <w:snapToGrid w:val="0"/>
        </w:rPr>
        <w:t>Interpretation Act 1984</w:t>
      </w:r>
      <w:r>
        <w:rPr>
          <w:snapToGrid w:val="0"/>
        </w:rPr>
        <w:t xml:space="preserve">, the </w:t>
      </w:r>
      <w:r>
        <w:t xml:space="preserve">CEO </w:t>
      </w:r>
      <w:r>
        <w:rPr>
          <w:snapToGrid w:val="0"/>
        </w:rPr>
        <w:t>may give the notice to that person by publishing a copy of the notice addressed to that person in a newspaper circulating in the area in which the person was last known to be.</w:t>
      </w:r>
    </w:p>
    <w:p>
      <w:pPr>
        <w:pStyle w:val="Footnotesection"/>
        <w:spacing w:before="80"/>
        <w:ind w:left="890" w:hanging="890"/>
      </w:pPr>
      <w:r>
        <w:tab/>
        <w:t>[Regulation 87 amended in Gazette 29 Sep 2006 p. 4319 and 4334.]</w:t>
      </w:r>
    </w:p>
    <w:p>
      <w:pPr>
        <w:pStyle w:val="Heading5"/>
        <w:spacing w:before="240"/>
        <w:rPr>
          <w:snapToGrid w:val="0"/>
        </w:rPr>
      </w:pPr>
      <w:bookmarkStart w:id="267" w:name="_Toc491956792"/>
      <w:bookmarkStart w:id="268" w:name="_Toc473035975"/>
      <w:r>
        <w:rPr>
          <w:rStyle w:val="CharSectno"/>
        </w:rPr>
        <w:t>88</w:t>
      </w:r>
      <w:r>
        <w:rPr>
          <w:snapToGrid w:val="0"/>
        </w:rPr>
        <w:t>.</w:t>
      </w:r>
      <w:r>
        <w:rPr>
          <w:snapToGrid w:val="0"/>
        </w:rPr>
        <w:tab/>
        <w:t>Return of licence</w:t>
      </w:r>
      <w:bookmarkEnd w:id="267"/>
      <w:bookmarkEnd w:id="268"/>
      <w:r>
        <w:rPr>
          <w:snapToGrid w:val="0"/>
        </w:rPr>
        <w:t xml:space="preserve"> </w:t>
      </w:r>
    </w:p>
    <w:p>
      <w:pPr>
        <w:pStyle w:val="Subsection"/>
        <w:spacing w:before="150"/>
        <w:rPr>
          <w:snapToGrid w:val="0"/>
        </w:rPr>
      </w:pPr>
      <w:r>
        <w:rPr>
          <w:snapToGrid w:val="0"/>
        </w:rPr>
        <w:tab/>
        <w:t>(1)</w:t>
      </w:r>
      <w:r>
        <w:rPr>
          <w:snapToGrid w:val="0"/>
        </w:rPr>
        <w:tab/>
        <w:t xml:space="preserve">The </w:t>
      </w:r>
      <w:r>
        <w:t xml:space="preserve">CEO </w:t>
      </w:r>
      <w:r>
        <w:rPr>
          <w:snapToGrid w:val="0"/>
        </w:rPr>
        <w:t xml:space="preserve">may require the holder of a licence to return the licence to the </w:t>
      </w:r>
      <w:r>
        <w:t xml:space="preserve">CEO </w:t>
      </w:r>
      <w:r>
        <w:rPr>
          <w:snapToGrid w:val="0"/>
        </w:rPr>
        <w:t>where the licence has been cancelled, suspended or has not been renewed.</w:t>
      </w:r>
    </w:p>
    <w:p>
      <w:pPr>
        <w:pStyle w:val="Subsection"/>
        <w:spacing w:before="150"/>
        <w:rPr>
          <w:snapToGrid w:val="0"/>
        </w:rPr>
      </w:pPr>
      <w:r>
        <w:rPr>
          <w:snapToGrid w:val="0"/>
        </w:rPr>
        <w:tab/>
        <w:t>(2)</w:t>
      </w:r>
      <w:r>
        <w:rPr>
          <w:snapToGrid w:val="0"/>
        </w:rPr>
        <w:tab/>
        <w:t xml:space="preserve">A person must comply with a requirement made of that person by the </w:t>
      </w:r>
      <w:r>
        <w:t xml:space="preserve">CEO </w:t>
      </w:r>
      <w:r>
        <w:rPr>
          <w:snapToGrid w:val="0"/>
        </w:rPr>
        <w:t>under subregulation (1).</w:t>
      </w:r>
    </w:p>
    <w:p>
      <w:pPr>
        <w:pStyle w:val="Penstart"/>
        <w:rPr>
          <w:snapToGrid w:val="0"/>
        </w:rPr>
      </w:pPr>
      <w:r>
        <w:rPr>
          <w:snapToGrid w:val="0"/>
        </w:rPr>
        <w:tab/>
        <w:t>Penalty:</w:t>
      </w:r>
      <w:r>
        <w:t xml:space="preserve"> a fine of</w:t>
      </w:r>
      <w:r>
        <w:rPr>
          <w:snapToGrid w:val="0"/>
        </w:rPr>
        <w:t xml:space="preserve"> $500.</w:t>
      </w:r>
    </w:p>
    <w:p>
      <w:pPr>
        <w:pStyle w:val="Footnotesection"/>
        <w:spacing w:before="100"/>
      </w:pPr>
      <w:r>
        <w:tab/>
        <w:t>[Regulation 88 amended in Gazette 29 Sep 2006 p. 4334; 3 Dec 2010 p. 6052</w:t>
      </w:r>
      <w:r>
        <w:noBreakHyphen/>
        <w:t>4.]</w:t>
      </w:r>
    </w:p>
    <w:p>
      <w:pPr>
        <w:pStyle w:val="Heading3"/>
      </w:pPr>
      <w:bookmarkStart w:id="269" w:name="_Toc491954639"/>
      <w:bookmarkStart w:id="270" w:name="_Toc491956793"/>
      <w:bookmarkStart w:id="271" w:name="_Toc473019238"/>
      <w:bookmarkStart w:id="272" w:name="_Toc473035976"/>
      <w:r>
        <w:rPr>
          <w:rStyle w:val="CharDivNo"/>
        </w:rPr>
        <w:t>Division 2</w:t>
      </w:r>
      <w:r>
        <w:rPr>
          <w:snapToGrid w:val="0"/>
        </w:rPr>
        <w:t xml:space="preserve"> — </w:t>
      </w:r>
      <w:r>
        <w:rPr>
          <w:rStyle w:val="CharDivText"/>
        </w:rPr>
        <w:t>Scientific purposes licences</w:t>
      </w:r>
      <w:bookmarkEnd w:id="269"/>
      <w:bookmarkEnd w:id="270"/>
      <w:bookmarkEnd w:id="271"/>
      <w:bookmarkEnd w:id="272"/>
      <w:r>
        <w:rPr>
          <w:rStyle w:val="CharDivText"/>
        </w:rPr>
        <w:t xml:space="preserve"> </w:t>
      </w:r>
    </w:p>
    <w:p>
      <w:pPr>
        <w:pStyle w:val="Heading5"/>
        <w:spacing w:before="240"/>
        <w:rPr>
          <w:snapToGrid w:val="0"/>
        </w:rPr>
      </w:pPr>
      <w:bookmarkStart w:id="273" w:name="_Toc491956794"/>
      <w:bookmarkStart w:id="274" w:name="_Toc473035977"/>
      <w:r>
        <w:rPr>
          <w:rStyle w:val="CharSectno"/>
        </w:rPr>
        <w:t>89</w:t>
      </w:r>
      <w:r>
        <w:rPr>
          <w:snapToGrid w:val="0"/>
        </w:rPr>
        <w:t>.</w:t>
      </w:r>
      <w:r>
        <w:rPr>
          <w:snapToGrid w:val="0"/>
        </w:rPr>
        <w:tab/>
        <w:t>Scientific purposes licence</w:t>
      </w:r>
      <w:bookmarkEnd w:id="273"/>
      <w:bookmarkEnd w:id="274"/>
      <w:r>
        <w:rPr>
          <w:snapToGrid w:val="0"/>
        </w:rPr>
        <w:t xml:space="preserve"> </w:t>
      </w:r>
    </w:p>
    <w:p>
      <w:pPr>
        <w:pStyle w:val="Subsection"/>
        <w:spacing w:before="150"/>
        <w:rPr>
          <w:snapToGrid w:val="0"/>
        </w:rPr>
      </w:pPr>
      <w:r>
        <w:rPr>
          <w:snapToGrid w:val="0"/>
        </w:rPr>
        <w:tab/>
      </w:r>
      <w:r>
        <w:rPr>
          <w:snapToGrid w:val="0"/>
        </w:rPr>
        <w:tab/>
        <w:t xml:space="preserve">The </w:t>
      </w:r>
      <w:r>
        <w:t xml:space="preserve">CEO </w:t>
      </w:r>
      <w:r>
        <w:rPr>
          <w:snapToGrid w:val="0"/>
        </w:rPr>
        <w:t>may grant a licence to take flora and fauna (including fish and pearl oyster) in a marine nature reserve, marine park or marine management area for scientific purposes.</w:t>
      </w:r>
    </w:p>
    <w:p>
      <w:pPr>
        <w:pStyle w:val="Footnotesection"/>
        <w:spacing w:before="100"/>
      </w:pPr>
      <w:r>
        <w:tab/>
        <w:t>[Regulation 89 amended in Gazette 29 Sep 2006 p. 4334.]</w:t>
      </w:r>
    </w:p>
    <w:p>
      <w:pPr>
        <w:pStyle w:val="Heading5"/>
        <w:spacing w:before="240"/>
        <w:rPr>
          <w:snapToGrid w:val="0"/>
        </w:rPr>
      </w:pPr>
      <w:bookmarkStart w:id="275" w:name="_Toc491956795"/>
      <w:bookmarkStart w:id="276" w:name="_Toc473035978"/>
      <w:r>
        <w:rPr>
          <w:rStyle w:val="CharSectno"/>
        </w:rPr>
        <w:t>90</w:t>
      </w:r>
      <w:r>
        <w:rPr>
          <w:snapToGrid w:val="0"/>
        </w:rPr>
        <w:t>.</w:t>
      </w:r>
      <w:r>
        <w:rPr>
          <w:snapToGrid w:val="0"/>
        </w:rPr>
        <w:tab/>
        <w:t>Application for scientific purposes licence</w:t>
      </w:r>
      <w:bookmarkEnd w:id="275"/>
      <w:bookmarkEnd w:id="276"/>
      <w:r>
        <w:rPr>
          <w:snapToGrid w:val="0"/>
        </w:rPr>
        <w:t xml:space="preserve"> </w:t>
      </w:r>
    </w:p>
    <w:p>
      <w:pPr>
        <w:pStyle w:val="Subsection"/>
        <w:rPr>
          <w:snapToGrid w:val="0"/>
        </w:rPr>
      </w:pPr>
      <w:r>
        <w:rPr>
          <w:snapToGrid w:val="0"/>
        </w:rPr>
        <w:tab/>
      </w:r>
      <w:r>
        <w:rPr>
          <w:snapToGrid w:val="0"/>
        </w:rPr>
        <w:tab/>
        <w:t xml:space="preserve">An application for a scientific purposes licence is to specify the flora and fauna the applicant proposes to take. </w:t>
      </w:r>
    </w:p>
    <w:p>
      <w:pPr>
        <w:pStyle w:val="Heading5"/>
        <w:spacing w:before="240"/>
        <w:rPr>
          <w:snapToGrid w:val="0"/>
        </w:rPr>
      </w:pPr>
      <w:bookmarkStart w:id="277" w:name="_Toc491956796"/>
      <w:bookmarkStart w:id="278" w:name="_Toc473035979"/>
      <w:r>
        <w:rPr>
          <w:rStyle w:val="CharSectno"/>
        </w:rPr>
        <w:t>91</w:t>
      </w:r>
      <w:r>
        <w:rPr>
          <w:snapToGrid w:val="0"/>
        </w:rPr>
        <w:t>.</w:t>
      </w:r>
      <w:r>
        <w:rPr>
          <w:snapToGrid w:val="0"/>
        </w:rPr>
        <w:tab/>
        <w:t>Duration of scientific purposes licence</w:t>
      </w:r>
      <w:bookmarkEnd w:id="277"/>
      <w:bookmarkEnd w:id="278"/>
      <w:r>
        <w:rPr>
          <w:snapToGrid w:val="0"/>
        </w:rPr>
        <w:t xml:space="preserve"> </w:t>
      </w:r>
    </w:p>
    <w:p>
      <w:pPr>
        <w:pStyle w:val="Subsection"/>
        <w:rPr>
          <w:snapToGrid w:val="0"/>
        </w:rPr>
      </w:pPr>
      <w:r>
        <w:rPr>
          <w:snapToGrid w:val="0"/>
        </w:rPr>
        <w:tab/>
      </w:r>
      <w:r>
        <w:rPr>
          <w:snapToGrid w:val="0"/>
        </w:rPr>
        <w:tab/>
        <w:t>Subject to this Part, a scientific purposes licence remains current for the period specified in the licence.</w:t>
      </w:r>
    </w:p>
    <w:p>
      <w:pPr>
        <w:pStyle w:val="Heading5"/>
        <w:rPr>
          <w:snapToGrid w:val="0"/>
        </w:rPr>
      </w:pPr>
      <w:bookmarkStart w:id="279" w:name="_Toc491956797"/>
      <w:bookmarkStart w:id="280" w:name="_Toc473035980"/>
      <w:r>
        <w:rPr>
          <w:rStyle w:val="CharSectno"/>
        </w:rPr>
        <w:t>92</w:t>
      </w:r>
      <w:r>
        <w:rPr>
          <w:snapToGrid w:val="0"/>
        </w:rPr>
        <w:t>.</w:t>
      </w:r>
      <w:r>
        <w:rPr>
          <w:snapToGrid w:val="0"/>
        </w:rPr>
        <w:tab/>
        <w:t>Renewal of scientific purposes licence</w:t>
      </w:r>
      <w:bookmarkEnd w:id="279"/>
      <w:bookmarkEnd w:id="280"/>
    </w:p>
    <w:p>
      <w:pPr>
        <w:pStyle w:val="Subsection"/>
        <w:spacing w:before="180"/>
      </w:pPr>
      <w:r>
        <w:tab/>
      </w:r>
      <w:r>
        <w:tab/>
        <w:t>The CEO may, on payment of the appropriate fee specified in Schedule 1 Division 8, renew the scientific purposes licence of any person for a further period determined by the CEO.</w:t>
      </w:r>
    </w:p>
    <w:p>
      <w:pPr>
        <w:pStyle w:val="Footnotesection"/>
      </w:pPr>
      <w:r>
        <w:tab/>
        <w:t>[Regulation 92 amended in Gazette 29 Sep 2006 p. 4334.]</w:t>
      </w:r>
    </w:p>
    <w:p>
      <w:pPr>
        <w:pStyle w:val="Heading5"/>
        <w:spacing w:before="240"/>
        <w:rPr>
          <w:snapToGrid w:val="0"/>
        </w:rPr>
      </w:pPr>
      <w:bookmarkStart w:id="281" w:name="_Toc491956798"/>
      <w:bookmarkStart w:id="282" w:name="_Toc473035981"/>
      <w:r>
        <w:rPr>
          <w:rStyle w:val="CharSectno"/>
        </w:rPr>
        <w:t>93</w:t>
      </w:r>
      <w:r>
        <w:rPr>
          <w:snapToGrid w:val="0"/>
        </w:rPr>
        <w:t>.</w:t>
      </w:r>
      <w:r>
        <w:rPr>
          <w:snapToGrid w:val="0"/>
        </w:rPr>
        <w:tab/>
        <w:t>Conditions and restrictions</w:t>
      </w:r>
      <w:bookmarkEnd w:id="281"/>
      <w:bookmarkEnd w:id="282"/>
      <w:r>
        <w:rPr>
          <w:snapToGrid w:val="0"/>
        </w:rPr>
        <w:t xml:space="preserve"> </w:t>
      </w:r>
    </w:p>
    <w:p>
      <w:pPr>
        <w:pStyle w:val="Subsection"/>
        <w:spacing w:before="180"/>
        <w:rPr>
          <w:snapToGrid w:val="0"/>
        </w:rPr>
      </w:pPr>
      <w:r>
        <w:rPr>
          <w:snapToGrid w:val="0"/>
        </w:rPr>
        <w:tab/>
        <w:t>(1)</w:t>
      </w:r>
      <w:r>
        <w:rPr>
          <w:snapToGrid w:val="0"/>
        </w:rPr>
        <w:tab/>
        <w:t xml:space="preserve">A scientific purposes licence may be granted subject to such conditions and restrictions as the </w:t>
      </w:r>
      <w:r>
        <w:t xml:space="preserve">CEO </w:t>
      </w:r>
      <w:r>
        <w:rPr>
          <w:snapToGrid w:val="0"/>
        </w:rPr>
        <w:t>thinks fit, including conditions and restrictions as to — </w:t>
      </w:r>
    </w:p>
    <w:p>
      <w:pPr>
        <w:pStyle w:val="Indenta"/>
        <w:rPr>
          <w:snapToGrid w:val="0"/>
        </w:rPr>
      </w:pPr>
      <w:r>
        <w:rPr>
          <w:snapToGrid w:val="0"/>
        </w:rPr>
        <w:tab/>
        <w:t>(a)</w:t>
      </w:r>
      <w:r>
        <w:rPr>
          <w:snapToGrid w:val="0"/>
        </w:rPr>
        <w:tab/>
        <w:t>the marine nature reserves, marine parks and marine management areas in which the holder of the licence may take flora and fauna for scientific purposes; and</w:t>
      </w:r>
    </w:p>
    <w:p>
      <w:pPr>
        <w:pStyle w:val="Indenta"/>
        <w:rPr>
          <w:snapToGrid w:val="0"/>
        </w:rPr>
      </w:pPr>
      <w:r>
        <w:rPr>
          <w:snapToGrid w:val="0"/>
        </w:rPr>
        <w:tab/>
        <w:t>(b)</w:t>
      </w:r>
      <w:r>
        <w:rPr>
          <w:snapToGrid w:val="0"/>
        </w:rPr>
        <w:tab/>
        <w:t>the scientific purposes for which the flora and fauna may be used; and</w:t>
      </w:r>
    </w:p>
    <w:p>
      <w:pPr>
        <w:pStyle w:val="Indenta"/>
        <w:rPr>
          <w:snapToGrid w:val="0"/>
        </w:rPr>
      </w:pPr>
      <w:r>
        <w:rPr>
          <w:snapToGrid w:val="0"/>
        </w:rPr>
        <w:tab/>
        <w:t>(c)</w:t>
      </w:r>
      <w:r>
        <w:rPr>
          <w:snapToGrid w:val="0"/>
        </w:rPr>
        <w:tab/>
        <w:t>the species, and the greatest number of each or any species, that may be taken, held or disposed of; and</w:t>
      </w:r>
    </w:p>
    <w:p>
      <w:pPr>
        <w:pStyle w:val="Indenta"/>
        <w:rPr>
          <w:snapToGrid w:val="0"/>
        </w:rPr>
      </w:pPr>
      <w:r>
        <w:rPr>
          <w:snapToGrid w:val="0"/>
        </w:rPr>
        <w:tab/>
        <w:t>(d)</w:t>
      </w:r>
      <w:r>
        <w:rPr>
          <w:snapToGrid w:val="0"/>
        </w:rPr>
        <w:tab/>
        <w:t>the part or parts of the State in which the flora or fauna may be taken, held or released.</w:t>
      </w:r>
    </w:p>
    <w:p>
      <w:pPr>
        <w:pStyle w:val="Subsection"/>
        <w:spacing w:before="180"/>
        <w:rPr>
          <w:snapToGrid w:val="0"/>
        </w:rPr>
      </w:pPr>
      <w:r>
        <w:rPr>
          <w:snapToGrid w:val="0"/>
        </w:rPr>
        <w:tab/>
        <w:t>(2)</w:t>
      </w:r>
      <w:r>
        <w:rPr>
          <w:snapToGrid w:val="0"/>
        </w:rPr>
        <w:tab/>
        <w:t xml:space="preserve">The </w:t>
      </w:r>
      <w:r>
        <w:t xml:space="preserve">CEO </w:t>
      </w:r>
      <w:r>
        <w:rPr>
          <w:snapToGrid w:val="0"/>
        </w:rPr>
        <w:t xml:space="preserve">is not to impose any restrictions on the taking, in a marine park or marine management area — </w:t>
      </w:r>
    </w:p>
    <w:p>
      <w:pPr>
        <w:pStyle w:val="Indenta"/>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pPr>
      <w:r>
        <w:tab/>
        <w:t>(b)</w:t>
      </w:r>
      <w:r>
        <w:tab/>
        <w:t xml:space="preserve">of pearl oyster, within the meaning of the </w:t>
      </w:r>
      <w:r>
        <w:rPr>
          <w:i/>
        </w:rPr>
        <w:t>Pearling Act 1990</w:t>
      </w:r>
      <w:r>
        <w:t xml:space="preserve">, in accordance with that Act. </w:t>
      </w:r>
    </w:p>
    <w:p>
      <w:pPr>
        <w:pStyle w:val="Subsection"/>
      </w:pPr>
      <w:r>
        <w:tab/>
        <w:t>(3)</w:t>
      </w:r>
      <w:r>
        <w:tab/>
        <w:t>The prohibition in subregulation (2)(a) does not include a restriction that relates to conduct or activity other than the taking of fish but that incidentally affects the taking of fish.</w:t>
      </w:r>
    </w:p>
    <w:p>
      <w:pPr>
        <w:pStyle w:val="Subsection"/>
        <w:keepNext/>
        <w:rPr>
          <w:snapToGrid w:val="0"/>
        </w:rPr>
      </w:pPr>
      <w:r>
        <w:rPr>
          <w:snapToGrid w:val="0"/>
        </w:rPr>
        <w:tab/>
        <w:t>(4)</w:t>
      </w:r>
      <w:r>
        <w:rPr>
          <w:snapToGrid w:val="0"/>
        </w:rPr>
        <w:tab/>
        <w:t>Where a scientific purposes licence is granted subject to conditions or restrictions, those conditions or restrictions — </w:t>
      </w:r>
    </w:p>
    <w:p>
      <w:pPr>
        <w:pStyle w:val="Indenta"/>
        <w:rPr>
          <w:snapToGrid w:val="0"/>
        </w:rPr>
      </w:pPr>
      <w:r>
        <w:rPr>
          <w:snapToGrid w:val="0"/>
        </w:rPr>
        <w:tab/>
        <w:t>(a)</w:t>
      </w:r>
      <w:r>
        <w:rPr>
          <w:snapToGrid w:val="0"/>
        </w:rPr>
        <w:tab/>
        <w:t>are to be endorsed upon or attached to the licence when granted;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(5)</w:t>
      </w:r>
      <w:r>
        <w:rPr>
          <w:snapToGrid w:val="0"/>
        </w:rPr>
        <w:tab/>
        <w:t>The holder of a scientific purposes licence must not contravene a condition or restriction endorsed upon or attached to the licence.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93 amended in Gazette 4 Oct 2002 p. 5065; 29 Sep 2006 p. 4334; 3 Dec 2010 p. 6052</w:t>
      </w:r>
      <w:r>
        <w:noBreakHyphen/>
        <w:t>4; 19 Sep 2014 p. 3336.]</w:t>
      </w:r>
    </w:p>
    <w:p>
      <w:pPr>
        <w:pStyle w:val="Heading3"/>
      </w:pPr>
      <w:bookmarkStart w:id="283" w:name="_Toc491954645"/>
      <w:bookmarkStart w:id="284" w:name="_Toc491956799"/>
      <w:bookmarkStart w:id="285" w:name="_Toc473019244"/>
      <w:bookmarkStart w:id="286" w:name="_Toc473035982"/>
      <w:r>
        <w:rPr>
          <w:rStyle w:val="CharDivNo"/>
        </w:rPr>
        <w:t>Division 3</w:t>
      </w:r>
      <w:r>
        <w:rPr>
          <w:snapToGrid w:val="0"/>
        </w:rPr>
        <w:t xml:space="preserve"> — </w:t>
      </w:r>
      <w:r>
        <w:rPr>
          <w:rStyle w:val="CharDivText"/>
        </w:rPr>
        <w:t>Commercial operations licences</w:t>
      </w:r>
      <w:bookmarkEnd w:id="283"/>
      <w:bookmarkEnd w:id="284"/>
      <w:bookmarkEnd w:id="285"/>
      <w:bookmarkEnd w:id="286"/>
      <w:r>
        <w:rPr>
          <w:rStyle w:val="CharDivText"/>
        </w:rPr>
        <w:t xml:space="preserve"> </w:t>
      </w:r>
    </w:p>
    <w:p>
      <w:pPr>
        <w:pStyle w:val="Heading5"/>
        <w:rPr>
          <w:snapToGrid w:val="0"/>
        </w:rPr>
      </w:pPr>
      <w:bookmarkStart w:id="287" w:name="_Toc491956800"/>
      <w:bookmarkStart w:id="288" w:name="_Toc473035983"/>
      <w:r>
        <w:rPr>
          <w:rStyle w:val="CharSectno"/>
        </w:rPr>
        <w:t>94</w:t>
      </w:r>
      <w:r>
        <w:rPr>
          <w:snapToGrid w:val="0"/>
        </w:rPr>
        <w:t>.</w:t>
      </w:r>
      <w:r>
        <w:rPr>
          <w:snapToGrid w:val="0"/>
        </w:rPr>
        <w:tab/>
        <w:t>Commercial operations licence</w:t>
      </w:r>
      <w:bookmarkEnd w:id="287"/>
      <w:bookmarkEnd w:id="288"/>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grant a licence to any person to sell goods or services, or to undertake an activity for a commercial purpose, on an area of CALM land.</w:t>
      </w:r>
    </w:p>
    <w:p>
      <w:pPr>
        <w:pStyle w:val="Subsection"/>
      </w:pPr>
      <w:r>
        <w:rPr>
          <w:snapToGrid w:val="0"/>
        </w:rPr>
        <w:tab/>
        <w:t>(2)</w:t>
      </w:r>
      <w:r>
        <w:rPr>
          <w:snapToGrid w:val="0"/>
        </w:rPr>
        <w:tab/>
      </w:r>
      <w:r>
        <w:t>The CEO may not grant a licence under this regulation to take or remove forest produce or other flora from land to which Part VIII Division 2 of the Act applies and which is vested in the  Commission.</w:t>
      </w:r>
    </w:p>
    <w:p>
      <w:pPr>
        <w:pStyle w:val="Footnotesection"/>
      </w:pPr>
      <w:r>
        <w:tab/>
        <w:t>[Regulation 94 amended in Gazette 29 Sep 2006 p. 4334; 6 May 2016 p. 1382.]</w:t>
      </w:r>
    </w:p>
    <w:p>
      <w:pPr>
        <w:pStyle w:val="Heading5"/>
        <w:rPr>
          <w:snapToGrid w:val="0"/>
        </w:rPr>
      </w:pPr>
      <w:bookmarkStart w:id="289" w:name="_Toc491956801"/>
      <w:bookmarkStart w:id="290" w:name="_Toc473035984"/>
      <w:r>
        <w:rPr>
          <w:rStyle w:val="CharSectno"/>
        </w:rPr>
        <w:t>95</w:t>
      </w:r>
      <w:r>
        <w:rPr>
          <w:snapToGrid w:val="0"/>
        </w:rPr>
        <w:t>.</w:t>
      </w:r>
      <w:r>
        <w:rPr>
          <w:snapToGrid w:val="0"/>
        </w:rPr>
        <w:tab/>
        <w:t>Application for commercial operations licence</w:t>
      </w:r>
      <w:bookmarkEnd w:id="289"/>
      <w:bookmarkEnd w:id="290"/>
      <w:r>
        <w:rPr>
          <w:snapToGrid w:val="0"/>
        </w:rPr>
        <w:t xml:space="preserve"> </w:t>
      </w:r>
    </w:p>
    <w:p>
      <w:pPr>
        <w:pStyle w:val="Subsection"/>
        <w:rPr>
          <w:snapToGrid w:val="0"/>
        </w:rPr>
      </w:pPr>
      <w:r>
        <w:rPr>
          <w:snapToGrid w:val="0"/>
        </w:rPr>
        <w:tab/>
      </w:r>
      <w:r>
        <w:rPr>
          <w:snapToGrid w:val="0"/>
        </w:rPr>
        <w:tab/>
        <w:t>An application for a commercial operations licence is to specify — </w:t>
      </w:r>
    </w:p>
    <w:p>
      <w:pPr>
        <w:pStyle w:val="Indenta"/>
        <w:rPr>
          <w:snapToGrid w:val="0"/>
        </w:rPr>
      </w:pPr>
      <w:r>
        <w:rPr>
          <w:snapToGrid w:val="0"/>
        </w:rPr>
        <w:tab/>
        <w:t>(a)</w:t>
      </w:r>
      <w:r>
        <w:rPr>
          <w:snapToGrid w:val="0"/>
        </w:rPr>
        <w:tab/>
        <w:t>the goods or services the applicant proposes to sell or the activity the applicant proposes to undertake; and</w:t>
      </w:r>
    </w:p>
    <w:p>
      <w:pPr>
        <w:pStyle w:val="Indenta"/>
        <w:rPr>
          <w:snapToGrid w:val="0"/>
        </w:rPr>
      </w:pPr>
      <w:r>
        <w:rPr>
          <w:snapToGrid w:val="0"/>
        </w:rPr>
        <w:tab/>
        <w:t>(b)</w:t>
      </w:r>
      <w:r>
        <w:rPr>
          <w:snapToGrid w:val="0"/>
        </w:rPr>
        <w:tab/>
        <w:t>the places where it is proposed to sell the goods or services or undertake the activity.</w:t>
      </w:r>
    </w:p>
    <w:p>
      <w:pPr>
        <w:pStyle w:val="Heading5"/>
        <w:spacing w:before="180"/>
        <w:rPr>
          <w:snapToGrid w:val="0"/>
        </w:rPr>
      </w:pPr>
      <w:bookmarkStart w:id="291" w:name="_Toc491956802"/>
      <w:bookmarkStart w:id="292" w:name="_Toc473035985"/>
      <w:r>
        <w:rPr>
          <w:rStyle w:val="CharSectno"/>
        </w:rPr>
        <w:t>96</w:t>
      </w:r>
      <w:r>
        <w:rPr>
          <w:snapToGrid w:val="0"/>
        </w:rPr>
        <w:t>.</w:t>
      </w:r>
      <w:r>
        <w:rPr>
          <w:snapToGrid w:val="0"/>
        </w:rPr>
        <w:tab/>
        <w:t>Duration of commercial operations licence</w:t>
      </w:r>
      <w:bookmarkEnd w:id="291"/>
      <w:bookmarkEnd w:id="292"/>
      <w:r>
        <w:rPr>
          <w:snapToGrid w:val="0"/>
        </w:rPr>
        <w:t xml:space="preserve"> </w:t>
      </w:r>
    </w:p>
    <w:p>
      <w:pPr>
        <w:pStyle w:val="Subsection"/>
        <w:rPr>
          <w:snapToGrid w:val="0"/>
        </w:rPr>
      </w:pPr>
      <w:r>
        <w:rPr>
          <w:snapToGrid w:val="0"/>
        </w:rPr>
        <w:tab/>
      </w:r>
      <w:r>
        <w:rPr>
          <w:snapToGrid w:val="0"/>
        </w:rPr>
        <w:tab/>
        <w:t>Subject to this Part, a commercial operations licence is valid for such period, not exceeding 10 years, as is specified in the licence.</w:t>
      </w:r>
    </w:p>
    <w:p>
      <w:pPr>
        <w:pStyle w:val="Footnotesection"/>
      </w:pPr>
      <w:r>
        <w:tab/>
        <w:t>[Regulation 96 amended in Gazette 3 Dec 2010 p. 6049.]</w:t>
      </w:r>
    </w:p>
    <w:p>
      <w:pPr>
        <w:pStyle w:val="Heading5"/>
        <w:rPr>
          <w:snapToGrid w:val="0"/>
        </w:rPr>
      </w:pPr>
      <w:bookmarkStart w:id="293" w:name="_Toc491956803"/>
      <w:bookmarkStart w:id="294" w:name="_Toc473035986"/>
      <w:r>
        <w:rPr>
          <w:rStyle w:val="CharSectno"/>
        </w:rPr>
        <w:t>97</w:t>
      </w:r>
      <w:r>
        <w:rPr>
          <w:snapToGrid w:val="0"/>
        </w:rPr>
        <w:t>.</w:t>
      </w:r>
      <w:r>
        <w:rPr>
          <w:snapToGrid w:val="0"/>
        </w:rPr>
        <w:tab/>
        <w:t>Renewal of commercial operations licence</w:t>
      </w:r>
      <w:bookmarkEnd w:id="293"/>
      <w:bookmarkEnd w:id="294"/>
    </w:p>
    <w:p>
      <w:pPr>
        <w:pStyle w:val="Subsection"/>
        <w:rPr>
          <w:snapToGrid w:val="0"/>
        </w:rPr>
      </w:pPr>
      <w:r>
        <w:rPr>
          <w:snapToGrid w:val="0"/>
        </w:rPr>
        <w:tab/>
      </w:r>
      <w:r>
        <w:rPr>
          <w:snapToGrid w:val="0"/>
        </w:rPr>
        <w:tab/>
        <w:t xml:space="preserve">The </w:t>
      </w:r>
      <w:r>
        <w:t xml:space="preserve">CEO </w:t>
      </w:r>
      <w:r>
        <w:rPr>
          <w:snapToGrid w:val="0"/>
        </w:rPr>
        <w:t>may, on payment of the appropriate fee specified in Schedule 1 Division 8, renew the commercial operations licence of any person for a further period not exceeding 5 years.</w:t>
      </w:r>
    </w:p>
    <w:p>
      <w:pPr>
        <w:pStyle w:val="Footnotesection"/>
      </w:pPr>
      <w:r>
        <w:tab/>
        <w:t>[Regulation 97 amended in Gazette 29 Sep 2006 p. 4334.]</w:t>
      </w:r>
    </w:p>
    <w:p>
      <w:pPr>
        <w:pStyle w:val="Heading5"/>
        <w:rPr>
          <w:snapToGrid w:val="0"/>
        </w:rPr>
      </w:pPr>
      <w:bookmarkStart w:id="295" w:name="_Toc491956804"/>
      <w:bookmarkStart w:id="296" w:name="_Toc473035987"/>
      <w:r>
        <w:rPr>
          <w:rStyle w:val="CharSectno"/>
        </w:rPr>
        <w:t>98</w:t>
      </w:r>
      <w:r>
        <w:rPr>
          <w:snapToGrid w:val="0"/>
        </w:rPr>
        <w:t>.</w:t>
      </w:r>
      <w:r>
        <w:rPr>
          <w:snapToGrid w:val="0"/>
        </w:rPr>
        <w:tab/>
        <w:t>Conditions</w:t>
      </w:r>
      <w:bookmarkEnd w:id="295"/>
      <w:bookmarkEnd w:id="296"/>
      <w:r>
        <w:rPr>
          <w:snapToGrid w:val="0"/>
        </w:rPr>
        <w:t xml:space="preserve"> </w:t>
      </w:r>
    </w:p>
    <w:p>
      <w:pPr>
        <w:pStyle w:val="Subsection"/>
        <w:rPr>
          <w:snapToGrid w:val="0"/>
        </w:rPr>
      </w:pPr>
      <w:r>
        <w:rPr>
          <w:snapToGrid w:val="0"/>
        </w:rPr>
        <w:tab/>
        <w:t>(1)</w:t>
      </w:r>
      <w:r>
        <w:rPr>
          <w:snapToGrid w:val="0"/>
        </w:rPr>
        <w:tab/>
        <w:t xml:space="preserve">A commercial operations licence may be granted or renewed subject to such conditions as the </w:t>
      </w:r>
      <w:r>
        <w:t xml:space="preserve">CEO </w:t>
      </w:r>
      <w:r>
        <w:rPr>
          <w:snapToGrid w:val="0"/>
        </w:rPr>
        <w:t>thinks fit, including conditions as to — </w:t>
      </w:r>
    </w:p>
    <w:p>
      <w:pPr>
        <w:pStyle w:val="Indenta"/>
        <w:rPr>
          <w:snapToGrid w:val="0"/>
        </w:rPr>
      </w:pPr>
      <w:r>
        <w:rPr>
          <w:snapToGrid w:val="0"/>
        </w:rPr>
        <w:tab/>
        <w:t>(a)</w:t>
      </w:r>
      <w:r>
        <w:rPr>
          <w:snapToGrid w:val="0"/>
        </w:rPr>
        <w:tab/>
        <w:t>the land to which the licence applies; and</w:t>
      </w:r>
    </w:p>
    <w:p>
      <w:pPr>
        <w:pStyle w:val="Indenta"/>
        <w:rPr>
          <w:snapToGrid w:val="0"/>
        </w:rPr>
      </w:pPr>
      <w:r>
        <w:rPr>
          <w:snapToGrid w:val="0"/>
        </w:rPr>
        <w:tab/>
        <w:t>(b)</w:t>
      </w:r>
      <w:r>
        <w:rPr>
          <w:snapToGrid w:val="0"/>
        </w:rPr>
        <w:tab/>
        <w:t>the class or description of goods, services or activity to which the licence applies; and</w:t>
      </w:r>
    </w:p>
    <w:p>
      <w:pPr>
        <w:pStyle w:val="Indenta"/>
        <w:rPr>
          <w:snapToGrid w:val="0"/>
        </w:rPr>
      </w:pPr>
      <w:r>
        <w:rPr>
          <w:snapToGrid w:val="0"/>
        </w:rPr>
        <w:tab/>
        <w:t>(c)</w:t>
      </w:r>
      <w:r>
        <w:rPr>
          <w:snapToGrid w:val="0"/>
        </w:rPr>
        <w:tab/>
        <w:t>the manner in which the goods or services are to be supplied (including conditions as to the viewing and feeding of fauna) or the activity is to be undertaken; and</w:t>
      </w:r>
    </w:p>
    <w:p>
      <w:pPr>
        <w:pStyle w:val="Indenta"/>
        <w:rPr>
          <w:snapToGrid w:val="0"/>
        </w:rPr>
      </w:pPr>
      <w:r>
        <w:rPr>
          <w:snapToGrid w:val="0"/>
        </w:rPr>
        <w:tab/>
        <w:t>(d)</w:t>
      </w:r>
      <w:r>
        <w:rPr>
          <w:snapToGrid w:val="0"/>
        </w:rPr>
        <w:tab/>
        <w:t>the payment of any charge in relation to the use of land to which these regulations apply and the equipment, services and facilities of the Department.</w:t>
      </w:r>
    </w:p>
    <w:p>
      <w:pPr>
        <w:pStyle w:val="Subsection"/>
        <w:rPr>
          <w:snapToGrid w:val="0"/>
        </w:rPr>
      </w:pPr>
      <w:r>
        <w:rPr>
          <w:snapToGrid w:val="0"/>
        </w:rPr>
        <w:tab/>
        <w:t>(2)</w:t>
      </w:r>
      <w:r>
        <w:rPr>
          <w:snapToGrid w:val="0"/>
        </w:rPr>
        <w:tab/>
        <w:t>Where a commercial operations licence is granted or renewed subject to conditions, those conditions — </w:t>
      </w:r>
    </w:p>
    <w:p>
      <w:pPr>
        <w:pStyle w:val="Indenta"/>
        <w:rPr>
          <w:snapToGrid w:val="0"/>
        </w:rPr>
      </w:pPr>
      <w:r>
        <w:rPr>
          <w:snapToGrid w:val="0"/>
        </w:rPr>
        <w:tab/>
        <w:t>(a)</w:t>
      </w:r>
      <w:r>
        <w:rPr>
          <w:snapToGrid w:val="0"/>
        </w:rPr>
        <w:tab/>
        <w:t>are to be endorsed upon or attached to the licence when granted or renewed, as the case may be;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(3)</w:t>
      </w:r>
      <w:r>
        <w:rPr>
          <w:snapToGrid w:val="0"/>
        </w:rPr>
        <w:tab/>
        <w:t>The holder of a commercial operations licence must not contravene a condition endorsed upon or attached to the licence.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pPr>
      <w:r>
        <w:tab/>
        <w:t>[Regulation 98 amended in Gazette 29 Sep 2006 p. 4334; 3 Dec 2010 p. 6052</w:t>
      </w:r>
      <w:r>
        <w:noBreakHyphen/>
        <w:t>4; 19 Sep 2014 p. 3336.]</w:t>
      </w:r>
    </w:p>
    <w:p>
      <w:pPr>
        <w:pStyle w:val="Heading3"/>
        <w:pageBreakBefore/>
        <w:spacing w:before="0"/>
      </w:pPr>
      <w:bookmarkStart w:id="297" w:name="_Toc491954651"/>
      <w:bookmarkStart w:id="298" w:name="_Toc491956805"/>
      <w:bookmarkStart w:id="299" w:name="_Toc473019250"/>
      <w:bookmarkStart w:id="300" w:name="_Toc473035988"/>
      <w:r>
        <w:rPr>
          <w:rStyle w:val="CharDivNo"/>
        </w:rPr>
        <w:t>Division 4</w:t>
      </w:r>
      <w:r>
        <w:t> — </w:t>
      </w:r>
      <w:r>
        <w:rPr>
          <w:rStyle w:val="CharDivText"/>
        </w:rPr>
        <w:t>Rental mooring licence</w:t>
      </w:r>
      <w:bookmarkEnd w:id="297"/>
      <w:bookmarkEnd w:id="298"/>
      <w:bookmarkEnd w:id="299"/>
      <w:bookmarkEnd w:id="300"/>
    </w:p>
    <w:p>
      <w:pPr>
        <w:pStyle w:val="Footnoteheading"/>
      </w:pPr>
      <w:r>
        <w:tab/>
        <w:t>[Heading inserted in Gazette 24 Mar 2015 p. 1036.]</w:t>
      </w:r>
    </w:p>
    <w:p>
      <w:pPr>
        <w:pStyle w:val="Heading5"/>
      </w:pPr>
      <w:bookmarkStart w:id="301" w:name="_Toc491956806"/>
      <w:bookmarkStart w:id="302" w:name="_Toc473035989"/>
      <w:r>
        <w:rPr>
          <w:rStyle w:val="CharSectno"/>
        </w:rPr>
        <w:t>98AA</w:t>
      </w:r>
      <w:r>
        <w:t>.</w:t>
      </w:r>
      <w:r>
        <w:tab/>
        <w:t>Terms used</w:t>
      </w:r>
      <w:bookmarkEnd w:id="301"/>
      <w:bookmarkEnd w:id="302"/>
    </w:p>
    <w:p>
      <w:pPr>
        <w:pStyle w:val="Subsection"/>
      </w:pPr>
      <w:r>
        <w:tab/>
      </w:r>
      <w:r>
        <w:tab/>
        <w:t xml:space="preserve">In this Division — </w:t>
      </w:r>
    </w:p>
    <w:p>
      <w:pPr>
        <w:pStyle w:val="Defstart"/>
      </w:pPr>
      <w:r>
        <w:tab/>
      </w:r>
      <w:r>
        <w:rPr>
          <w:rStyle w:val="CharDefText"/>
        </w:rPr>
        <w:t>licence holder</w:t>
      </w:r>
      <w:r>
        <w:t xml:space="preserve"> means the holder of a licence granted under regulation 98AC;</w:t>
      </w:r>
    </w:p>
    <w:p>
      <w:pPr>
        <w:pStyle w:val="Defstart"/>
      </w:pPr>
      <w:r>
        <w:tab/>
      </w:r>
      <w:r>
        <w:rPr>
          <w:rStyle w:val="CharDefText"/>
        </w:rPr>
        <w:t>rental mooring</w:t>
      </w:r>
      <w:r>
        <w:t xml:space="preserve"> means a mooring designated as a rental mooring under regulation 98AB;</w:t>
      </w:r>
    </w:p>
    <w:p>
      <w:pPr>
        <w:pStyle w:val="Defstart"/>
      </w:pPr>
      <w:r>
        <w:tab/>
      </w:r>
      <w:r>
        <w:rPr>
          <w:rStyle w:val="CharDefText"/>
        </w:rPr>
        <w:t>rental mooring licence</w:t>
      </w:r>
      <w:r>
        <w:t xml:space="preserve"> means a licence granted under regulation 98AC.</w:t>
      </w:r>
    </w:p>
    <w:p>
      <w:pPr>
        <w:pStyle w:val="Footnotesection"/>
      </w:pPr>
      <w:r>
        <w:tab/>
        <w:t>[Regulation 98AA inserted in Gazette 24 Mar 2015 p. 1036</w:t>
      </w:r>
      <w:r>
        <w:noBreakHyphen/>
        <w:t>7.]</w:t>
      </w:r>
    </w:p>
    <w:p>
      <w:pPr>
        <w:pStyle w:val="Heading5"/>
      </w:pPr>
      <w:bookmarkStart w:id="303" w:name="_Toc491956807"/>
      <w:bookmarkStart w:id="304" w:name="_Toc473035990"/>
      <w:r>
        <w:t>98AB.</w:t>
      </w:r>
      <w:r>
        <w:tab/>
        <w:t>CEO may designate rental mooring</w:t>
      </w:r>
      <w:bookmarkEnd w:id="303"/>
      <w:bookmarkEnd w:id="304"/>
    </w:p>
    <w:p>
      <w:pPr>
        <w:pStyle w:val="Subsection"/>
      </w:pPr>
      <w:r>
        <w:tab/>
        <w:t>(1)</w:t>
      </w:r>
      <w:r>
        <w:tab/>
        <w:t xml:space="preserve">The CEO may, by notice published in the </w:t>
      </w:r>
      <w:r>
        <w:rPr>
          <w:i/>
        </w:rPr>
        <w:t>Gazette</w:t>
      </w:r>
      <w:r>
        <w:t>, designate a mooring (other than a public mooring) that is on CALM land as a rental mooring.</w:t>
      </w:r>
    </w:p>
    <w:p>
      <w:pPr>
        <w:pStyle w:val="Subsection"/>
      </w:pPr>
      <w:r>
        <w:tab/>
        <w:t>(2)</w:t>
      </w:r>
      <w:r>
        <w:tab/>
        <w:t>A mooring may be declared to be a rental mooring at all times or during a period or periods specified in the notice.</w:t>
      </w:r>
    </w:p>
    <w:p>
      <w:pPr>
        <w:pStyle w:val="Subsection"/>
      </w:pPr>
      <w:r>
        <w:tab/>
        <w:t>(3)</w:t>
      </w:r>
      <w:r>
        <w:tab/>
        <w:t xml:space="preserve">The CEO may, by notice published in the </w:t>
      </w:r>
      <w:r>
        <w:rPr>
          <w:i/>
        </w:rPr>
        <w:t>Gazette</w:t>
      </w:r>
      <w:r>
        <w:t>, amend or revoke any previous notice published under this regulation.</w:t>
      </w:r>
    </w:p>
    <w:p>
      <w:pPr>
        <w:pStyle w:val="Subsection"/>
      </w:pPr>
      <w:r>
        <w:tab/>
        <w:t>(4)</w:t>
      </w:r>
      <w:r>
        <w:tab/>
        <w:t>A notice published under this regulation takes effect on such day after publication as is specified in the notice.</w:t>
      </w:r>
    </w:p>
    <w:p>
      <w:pPr>
        <w:pStyle w:val="Footnotesection"/>
      </w:pPr>
      <w:r>
        <w:tab/>
        <w:t>[Regulation 98AB inserted in Gazette 24 Mar 2015 p. 1037.]</w:t>
      </w:r>
    </w:p>
    <w:p>
      <w:pPr>
        <w:pStyle w:val="Heading5"/>
      </w:pPr>
      <w:bookmarkStart w:id="305" w:name="_Toc491956808"/>
      <w:bookmarkStart w:id="306" w:name="_Toc473035991"/>
      <w:r>
        <w:rPr>
          <w:rStyle w:val="CharSectno"/>
        </w:rPr>
        <w:t>98AC</w:t>
      </w:r>
      <w:r>
        <w:t>.</w:t>
      </w:r>
      <w:r>
        <w:tab/>
        <w:t>Rental mooring licence</w:t>
      </w:r>
      <w:bookmarkEnd w:id="305"/>
      <w:bookmarkEnd w:id="306"/>
    </w:p>
    <w:p>
      <w:pPr>
        <w:pStyle w:val="Subsection"/>
      </w:pPr>
      <w:r>
        <w:tab/>
        <w:t>(1)</w:t>
      </w:r>
      <w:r>
        <w:tab/>
        <w:t xml:space="preserve">In this regulation — </w:t>
      </w:r>
    </w:p>
    <w:p>
      <w:pPr>
        <w:pStyle w:val="Defstart"/>
      </w:pPr>
      <w:r>
        <w:tab/>
      </w:r>
      <w:r>
        <w:rPr>
          <w:rStyle w:val="CharDefText"/>
        </w:rPr>
        <w:t>specified</w:t>
      </w:r>
      <w:r>
        <w:t xml:space="preserve"> means specified in a licence.</w:t>
      </w:r>
    </w:p>
    <w:p>
      <w:pPr>
        <w:pStyle w:val="Subsection"/>
      </w:pPr>
      <w:r>
        <w:tab/>
        <w:t>(2)</w:t>
      </w:r>
      <w:r>
        <w:tab/>
        <w:t>The CEO may grant a licence authorising the use of a specified rental mooring by a specified vessel for a specified period.</w:t>
      </w:r>
    </w:p>
    <w:p>
      <w:pPr>
        <w:pStyle w:val="Footnotesection"/>
      </w:pPr>
      <w:r>
        <w:tab/>
        <w:t>[Regulation 98AC inserted in Gazette 24 Mar 2015 p. 1037.]</w:t>
      </w:r>
    </w:p>
    <w:p>
      <w:pPr>
        <w:pStyle w:val="Heading5"/>
      </w:pPr>
      <w:bookmarkStart w:id="307" w:name="_Toc491956809"/>
      <w:bookmarkStart w:id="308" w:name="_Toc473035992"/>
      <w:r>
        <w:rPr>
          <w:rStyle w:val="CharSectno"/>
        </w:rPr>
        <w:t>98AD</w:t>
      </w:r>
      <w:r>
        <w:t>.</w:t>
      </w:r>
      <w:r>
        <w:tab/>
        <w:t>Application for rental mooring licence</w:t>
      </w:r>
      <w:bookmarkEnd w:id="307"/>
      <w:bookmarkEnd w:id="308"/>
    </w:p>
    <w:p>
      <w:pPr>
        <w:pStyle w:val="Subsection"/>
      </w:pPr>
      <w:r>
        <w:rPr>
          <w:snapToGrid w:val="0"/>
        </w:rPr>
        <w:tab/>
      </w:r>
      <w:r>
        <w:rPr>
          <w:snapToGrid w:val="0"/>
        </w:rPr>
        <w:tab/>
        <w:t xml:space="preserve">An </w:t>
      </w:r>
      <w:r>
        <w:t xml:space="preserve">application for a rental mooring licence must specify — </w:t>
      </w:r>
    </w:p>
    <w:p>
      <w:pPr>
        <w:pStyle w:val="Indenta"/>
        <w:rPr>
          <w:snapToGrid w:val="0"/>
        </w:rPr>
      </w:pPr>
      <w:r>
        <w:tab/>
        <w:t>(a)</w:t>
      </w:r>
      <w:r>
        <w:tab/>
        <w:t>the rental mooring to which the application relates</w:t>
      </w:r>
      <w:r>
        <w:rPr>
          <w:snapToGrid w:val="0"/>
        </w:rPr>
        <w:t>; and</w:t>
      </w:r>
    </w:p>
    <w:p>
      <w:pPr>
        <w:pStyle w:val="Indenta"/>
        <w:rPr>
          <w:snapToGrid w:val="0"/>
        </w:rPr>
      </w:pPr>
      <w:r>
        <w:rPr>
          <w:snapToGrid w:val="0"/>
        </w:rPr>
        <w:tab/>
        <w:t>(b)</w:t>
      </w:r>
      <w:r>
        <w:rPr>
          <w:snapToGrid w:val="0"/>
        </w:rPr>
        <w:tab/>
        <w:t>particulars of the vessel to which the application relates; and</w:t>
      </w:r>
    </w:p>
    <w:p>
      <w:pPr>
        <w:pStyle w:val="Indenta"/>
        <w:rPr>
          <w:snapToGrid w:val="0"/>
        </w:rPr>
      </w:pPr>
      <w:r>
        <w:rPr>
          <w:snapToGrid w:val="0"/>
        </w:rPr>
        <w:tab/>
        <w:t>(c)</w:t>
      </w:r>
      <w:r>
        <w:rPr>
          <w:snapToGrid w:val="0"/>
        </w:rPr>
        <w:tab/>
        <w:t>the period for which the licence is sought.</w:t>
      </w:r>
    </w:p>
    <w:p>
      <w:pPr>
        <w:pStyle w:val="Footnotesection"/>
      </w:pPr>
      <w:r>
        <w:tab/>
        <w:t>[Regulation 98AD inserted in Gazette 24 Mar 2015 p. 1037.]</w:t>
      </w:r>
    </w:p>
    <w:p>
      <w:pPr>
        <w:pStyle w:val="Heading5"/>
      </w:pPr>
      <w:bookmarkStart w:id="309" w:name="_Toc491956810"/>
      <w:bookmarkStart w:id="310" w:name="_Toc473035993"/>
      <w:r>
        <w:rPr>
          <w:rStyle w:val="CharSectno"/>
        </w:rPr>
        <w:t>98AE</w:t>
      </w:r>
      <w:r>
        <w:t>.</w:t>
      </w:r>
      <w:r>
        <w:tab/>
        <w:t>Duration of rental mooring licence</w:t>
      </w:r>
      <w:bookmarkEnd w:id="309"/>
      <w:bookmarkEnd w:id="310"/>
    </w:p>
    <w:p>
      <w:pPr>
        <w:pStyle w:val="Subsection"/>
      </w:pPr>
      <w:r>
        <w:tab/>
      </w:r>
      <w:r>
        <w:tab/>
        <w:t>Subject to this Part, a rental mooring licence remains in force for the period specified in the licence.</w:t>
      </w:r>
    </w:p>
    <w:p>
      <w:pPr>
        <w:pStyle w:val="Footnotesection"/>
      </w:pPr>
      <w:r>
        <w:tab/>
        <w:t>[Regulation 98AE inserted in Gazette 24 Mar 2015 p. 1037.]</w:t>
      </w:r>
    </w:p>
    <w:p>
      <w:pPr>
        <w:pStyle w:val="Heading5"/>
      </w:pPr>
      <w:bookmarkStart w:id="311" w:name="_Toc491956811"/>
      <w:bookmarkStart w:id="312" w:name="_Toc473035994"/>
      <w:r>
        <w:rPr>
          <w:rStyle w:val="CharSectno"/>
        </w:rPr>
        <w:t>98AF</w:t>
      </w:r>
      <w:r>
        <w:t>.</w:t>
      </w:r>
      <w:r>
        <w:tab/>
        <w:t>Conditions</w:t>
      </w:r>
      <w:bookmarkEnd w:id="311"/>
      <w:bookmarkEnd w:id="312"/>
    </w:p>
    <w:p>
      <w:pPr>
        <w:pStyle w:val="Subsection"/>
      </w:pPr>
      <w:r>
        <w:tab/>
        <w:t>(1)</w:t>
      </w:r>
      <w:r>
        <w:tab/>
        <w:t xml:space="preserve">A rental mooring licence may be granted subject to such conditions as the CEO thinks fit including conditions as to — </w:t>
      </w:r>
    </w:p>
    <w:p>
      <w:pPr>
        <w:pStyle w:val="Indenta"/>
      </w:pPr>
      <w:r>
        <w:tab/>
        <w:t>(a)</w:t>
      </w:r>
      <w:r>
        <w:tab/>
        <w:t>the manner in which the specified vessel may be secured to the mooring; and</w:t>
      </w:r>
    </w:p>
    <w:p>
      <w:pPr>
        <w:pStyle w:val="Indenta"/>
      </w:pPr>
      <w:r>
        <w:tab/>
        <w:t>(b)</w:t>
      </w:r>
      <w:r>
        <w:tab/>
        <w:t>the payment of any charge in respect of the use of the land on which the mooring is located.</w:t>
      </w:r>
    </w:p>
    <w:p>
      <w:pPr>
        <w:pStyle w:val="Subsection"/>
      </w:pPr>
      <w:r>
        <w:tab/>
        <w:t>(2)</w:t>
      </w:r>
      <w:r>
        <w:tab/>
        <w:t xml:space="preserve">If a rental mooring licence is granted subject to conditions, those conditions — </w:t>
      </w:r>
    </w:p>
    <w:p>
      <w:pPr>
        <w:pStyle w:val="Indenta"/>
      </w:pPr>
      <w:r>
        <w:tab/>
        <w:t>(a)</w:t>
      </w:r>
      <w:r>
        <w:tab/>
        <w:t>are to be endorsed upon or attached to the licence when granted; and</w:t>
      </w:r>
    </w:p>
    <w:p>
      <w:pPr>
        <w:pStyle w:val="Indenta"/>
      </w:pPr>
      <w:r>
        <w:tab/>
        <w:t>(b)</w:t>
      </w:r>
      <w:r>
        <w:tab/>
        <w:t>may be added to, cancelled, suspended and otherwise varied by the CEO from time to time during the operation of the licence.</w:t>
      </w:r>
    </w:p>
    <w:p>
      <w:pPr>
        <w:pStyle w:val="Subsection"/>
      </w:pPr>
      <w:r>
        <w:tab/>
        <w:t>(3)</w:t>
      </w:r>
      <w:r>
        <w:tab/>
        <w:t>A licence holder must not contravene a condition endorsed upon or attached to the licence.</w:t>
      </w:r>
    </w:p>
    <w:p>
      <w:pPr>
        <w:pStyle w:val="Penstart"/>
      </w:pPr>
      <w:r>
        <w:tab/>
        <w:t>Penalty: a fine of $1 000.</w:t>
      </w:r>
    </w:p>
    <w:p>
      <w:pPr>
        <w:pStyle w:val="Footnotesection"/>
      </w:pPr>
      <w:r>
        <w:tab/>
        <w:t>[Regulation 98AF inserted in Gazette 24 Mar 2015 p. 1037</w:t>
      </w:r>
      <w:r>
        <w:noBreakHyphen/>
        <w:t>8.]</w:t>
      </w:r>
    </w:p>
    <w:p>
      <w:pPr>
        <w:pStyle w:val="Heading5"/>
      </w:pPr>
      <w:bookmarkStart w:id="313" w:name="_Toc491956812"/>
      <w:bookmarkStart w:id="314" w:name="_Toc473035995"/>
      <w:r>
        <w:rPr>
          <w:rStyle w:val="CharSectno"/>
        </w:rPr>
        <w:t>98AG</w:t>
      </w:r>
      <w:r>
        <w:t>.</w:t>
      </w:r>
      <w:r>
        <w:tab/>
        <w:t>Cancellation of licence at request of licence holder</w:t>
      </w:r>
      <w:bookmarkEnd w:id="313"/>
      <w:bookmarkEnd w:id="314"/>
    </w:p>
    <w:p>
      <w:pPr>
        <w:pStyle w:val="Subsection"/>
      </w:pPr>
      <w:r>
        <w:tab/>
        <w:t>(1)</w:t>
      </w:r>
      <w:r>
        <w:tab/>
        <w:t>The licence holder may request the CEO to cancel a rental mooring licence.</w:t>
      </w:r>
    </w:p>
    <w:p>
      <w:pPr>
        <w:pStyle w:val="Subsection"/>
      </w:pPr>
      <w:r>
        <w:tab/>
        <w:t>(2)</w:t>
      </w:r>
      <w:r>
        <w:tab/>
        <w:t xml:space="preserve">On a request made under subregulation (1) the CEO must cancel the licence and may refund to the licence holder, in whole or in part, the charge paid in respect of the licence if the CEO considers it appropriate to do so in the circumstances. </w:t>
      </w:r>
    </w:p>
    <w:p>
      <w:pPr>
        <w:pStyle w:val="Footnotesection"/>
      </w:pPr>
      <w:r>
        <w:tab/>
        <w:t>[Regulation 98AG inserted in Gazette 24 Mar 2015 p. 1038.]</w:t>
      </w:r>
    </w:p>
    <w:p>
      <w:pPr>
        <w:pStyle w:val="Heading5"/>
      </w:pPr>
      <w:bookmarkStart w:id="315" w:name="_Toc491956813"/>
      <w:bookmarkStart w:id="316" w:name="_Toc473035996"/>
      <w:r>
        <w:rPr>
          <w:rStyle w:val="CharSectno"/>
        </w:rPr>
        <w:t>98AH</w:t>
      </w:r>
      <w:r>
        <w:t>.</w:t>
      </w:r>
      <w:r>
        <w:tab/>
        <w:t>Damage to rental mooring</w:t>
      </w:r>
      <w:bookmarkEnd w:id="315"/>
      <w:bookmarkEnd w:id="316"/>
    </w:p>
    <w:p>
      <w:pPr>
        <w:pStyle w:val="Subsection"/>
      </w:pPr>
      <w:r>
        <w:tab/>
        <w:t>(1)</w:t>
      </w:r>
      <w:r>
        <w:tab/>
        <w:t xml:space="preserve">If a rental mooring is damaged or destroyed (the </w:t>
      </w:r>
      <w:r>
        <w:rPr>
          <w:rStyle w:val="CharDefText"/>
        </w:rPr>
        <w:t>loss</w:t>
      </w:r>
      <w:r>
        <w:t xml:space="preserve">) during the period specified in a rental mooring licence in respect of that rental mooring, the cost of repair or replacement is a debt due to the State by the licence holder and is recoverable in a court of competent jurisdiction unless the person can show that — </w:t>
      </w:r>
    </w:p>
    <w:p>
      <w:pPr>
        <w:pStyle w:val="Indenta"/>
      </w:pPr>
      <w:r>
        <w:tab/>
        <w:t>(a)</w:t>
      </w:r>
      <w:r>
        <w:tab/>
        <w:t>the loss was caused by the act or omission of some other person; and</w:t>
      </w:r>
    </w:p>
    <w:p>
      <w:pPr>
        <w:pStyle w:val="Indenta"/>
      </w:pPr>
      <w:r>
        <w:tab/>
        <w:t>(b)</w:t>
      </w:r>
      <w:r>
        <w:tab/>
        <w:t>the licence holder could not have prevented the loss by the exercise of responsible care.</w:t>
      </w:r>
    </w:p>
    <w:p>
      <w:pPr>
        <w:pStyle w:val="Subsection"/>
      </w:pPr>
      <w:r>
        <w:tab/>
        <w:t>(2)</w:t>
      </w:r>
      <w:r>
        <w:tab/>
        <w:t xml:space="preserve">For the purposes of subregulation (1), the loss is taken to have occurred during the period specified in the licence if — </w:t>
      </w:r>
    </w:p>
    <w:p>
      <w:pPr>
        <w:pStyle w:val="Indenta"/>
      </w:pPr>
      <w:r>
        <w:tab/>
        <w:t>(a)</w:t>
      </w:r>
      <w:r>
        <w:tab/>
        <w:t>the mooring is found to be damaged or destroyed at the end of the period specified in the licence; and</w:t>
      </w:r>
    </w:p>
    <w:p>
      <w:pPr>
        <w:pStyle w:val="Indenta"/>
      </w:pPr>
      <w:r>
        <w:tab/>
        <w:t>(b)</w:t>
      </w:r>
      <w:r>
        <w:tab/>
        <w:t>the licence holder did not report the loss to the CEO at the commencement of the period specified in the licence.</w:t>
      </w:r>
    </w:p>
    <w:p>
      <w:pPr>
        <w:pStyle w:val="Footnotesection"/>
      </w:pPr>
      <w:r>
        <w:tab/>
        <w:t>[Regulation 98AH inserted in Gazette 24 Mar 2015 p. 1038.]</w:t>
      </w:r>
    </w:p>
    <w:p>
      <w:pPr>
        <w:pStyle w:val="Heading3"/>
        <w:pageBreakBefore/>
        <w:spacing w:before="0"/>
      </w:pPr>
      <w:bookmarkStart w:id="317" w:name="_Toc491954660"/>
      <w:bookmarkStart w:id="318" w:name="_Toc491956814"/>
      <w:bookmarkStart w:id="319" w:name="_Toc473019259"/>
      <w:bookmarkStart w:id="320" w:name="_Toc473035997"/>
      <w:r>
        <w:rPr>
          <w:rStyle w:val="CharDivNo"/>
        </w:rPr>
        <w:t>Division 5</w:t>
      </w:r>
      <w:r>
        <w:t> — </w:t>
      </w:r>
      <w:r>
        <w:rPr>
          <w:rStyle w:val="CharDivText"/>
        </w:rPr>
        <w:t>Private mooring licence</w:t>
      </w:r>
      <w:bookmarkEnd w:id="317"/>
      <w:bookmarkEnd w:id="318"/>
      <w:bookmarkEnd w:id="319"/>
      <w:bookmarkEnd w:id="320"/>
    </w:p>
    <w:p>
      <w:pPr>
        <w:pStyle w:val="Footnoteheading"/>
      </w:pPr>
      <w:r>
        <w:tab/>
        <w:t>[Heading inserted in Gazette 24 Mar 2015 p. 1038.]</w:t>
      </w:r>
    </w:p>
    <w:p>
      <w:pPr>
        <w:pStyle w:val="Heading5"/>
        <w:rPr>
          <w:snapToGrid w:val="0"/>
        </w:rPr>
      </w:pPr>
      <w:bookmarkStart w:id="321" w:name="_Toc491956815"/>
      <w:bookmarkStart w:id="322" w:name="_Toc473035998"/>
      <w:r>
        <w:rPr>
          <w:rStyle w:val="CharSectno"/>
        </w:rPr>
        <w:t>98AI</w:t>
      </w:r>
      <w:r>
        <w:rPr>
          <w:snapToGrid w:val="0"/>
        </w:rPr>
        <w:t>.</w:t>
      </w:r>
      <w:r>
        <w:rPr>
          <w:snapToGrid w:val="0"/>
        </w:rPr>
        <w:tab/>
        <w:t>Terms used</w:t>
      </w:r>
      <w:bookmarkEnd w:id="321"/>
      <w:bookmarkEnd w:id="322"/>
    </w:p>
    <w:p>
      <w:pPr>
        <w:pStyle w:val="Subsection"/>
        <w:rPr>
          <w:snapToGrid w:val="0"/>
        </w:rPr>
      </w:pPr>
      <w:r>
        <w:rPr>
          <w:snapToGrid w:val="0"/>
        </w:rPr>
        <w:tab/>
        <w:t>(1)</w:t>
      </w:r>
      <w:r>
        <w:rPr>
          <w:snapToGrid w:val="0"/>
        </w:rPr>
        <w:tab/>
        <w:t>In this Division — </w:t>
      </w:r>
    </w:p>
    <w:p>
      <w:pPr>
        <w:pStyle w:val="Defstart"/>
      </w:pPr>
      <w:r>
        <w:tab/>
      </w:r>
      <w:r>
        <w:rPr>
          <w:rStyle w:val="CharDefText"/>
        </w:rPr>
        <w:t>current inspection report</w:t>
      </w:r>
      <w:r>
        <w:t xml:space="preserve"> has the meaning given in subregulation (2); </w:t>
      </w:r>
    </w:p>
    <w:p>
      <w:pPr>
        <w:pStyle w:val="Defstart"/>
      </w:pPr>
      <w:r>
        <w:tab/>
      </w:r>
      <w:r>
        <w:rPr>
          <w:rStyle w:val="CharDefText"/>
        </w:rPr>
        <w:t>inspection report</w:t>
      </w:r>
      <w:r>
        <w:t xml:space="preserve"> means a report about the condition of a mooring prepared by a person approved by the CEO after the person has inspected the mooring;</w:t>
      </w:r>
    </w:p>
    <w:p>
      <w:pPr>
        <w:pStyle w:val="Defstart"/>
      </w:pPr>
      <w:r>
        <w:tab/>
      </w:r>
      <w:r>
        <w:rPr>
          <w:rStyle w:val="CharDefText"/>
        </w:rPr>
        <w:t>licence holder</w:t>
      </w:r>
      <w:r>
        <w:t xml:space="preserve"> means the holder of a private mooring licence for a mooring;</w:t>
      </w:r>
    </w:p>
    <w:p>
      <w:pPr>
        <w:pStyle w:val="Defstart"/>
      </w:pPr>
      <w:r>
        <w:tab/>
      </w:r>
      <w:r>
        <w:rPr>
          <w:rStyle w:val="CharDefText"/>
        </w:rPr>
        <w:t>licensed mooring</w:t>
      </w:r>
      <w:r>
        <w:t xml:space="preserve"> means a mooring for which a private mooring licence is in force;</w:t>
      </w:r>
    </w:p>
    <w:p>
      <w:pPr>
        <w:pStyle w:val="Defstart"/>
      </w:pPr>
      <w:r>
        <w:tab/>
      </w:r>
      <w:r>
        <w:rPr>
          <w:rStyle w:val="CharDefText"/>
        </w:rPr>
        <w:t>mooring licence area</w:t>
      </w:r>
      <w:r>
        <w:t xml:space="preserve"> means an area declared under regulation 98AJ to be a mooring licence area;</w:t>
      </w:r>
    </w:p>
    <w:p>
      <w:pPr>
        <w:pStyle w:val="Defstart"/>
      </w:pPr>
      <w:r>
        <w:tab/>
      </w:r>
      <w:r>
        <w:rPr>
          <w:rStyle w:val="CharDefText"/>
        </w:rPr>
        <w:t>private mooring</w:t>
      </w:r>
      <w:r>
        <w:t xml:space="preserve"> means a mooring on CALM land that is not — </w:t>
      </w:r>
    </w:p>
    <w:p>
      <w:pPr>
        <w:pStyle w:val="Defpara"/>
      </w:pPr>
      <w:r>
        <w:tab/>
        <w:t>(a)</w:t>
      </w:r>
      <w:r>
        <w:tab/>
        <w:t>a public mooring; or</w:t>
      </w:r>
    </w:p>
    <w:p>
      <w:pPr>
        <w:pStyle w:val="Defpara"/>
      </w:pPr>
      <w:r>
        <w:tab/>
        <w:t>(b)</w:t>
      </w:r>
      <w:r>
        <w:tab/>
        <w:t>a rental mooring; or</w:t>
      </w:r>
    </w:p>
    <w:p>
      <w:pPr>
        <w:pStyle w:val="Defpara"/>
      </w:pPr>
      <w:r>
        <w:tab/>
        <w:t>(c)</w:t>
      </w:r>
      <w:r>
        <w:tab/>
        <w:t>a mooring that is approved by the CEO for use in connection with a commercial operations licence;</w:t>
      </w:r>
    </w:p>
    <w:p>
      <w:pPr>
        <w:pStyle w:val="Defstart"/>
      </w:pPr>
      <w:r>
        <w:tab/>
      </w:r>
      <w:r>
        <w:rPr>
          <w:rStyle w:val="CharDefText"/>
        </w:rPr>
        <w:t>private mooring licence</w:t>
      </w:r>
      <w:r>
        <w:t xml:space="preserve"> means a licence under this Division.</w:t>
      </w:r>
    </w:p>
    <w:p>
      <w:pPr>
        <w:pStyle w:val="Subsection"/>
      </w:pPr>
      <w:r>
        <w:tab/>
        <w:t>(2)</w:t>
      </w:r>
      <w:r>
        <w:tab/>
        <w:t>An inspection report is current for the period of 12 months commencing on the day the mooring is inspected.</w:t>
      </w:r>
    </w:p>
    <w:p>
      <w:pPr>
        <w:pStyle w:val="Footnotesection"/>
      </w:pPr>
      <w:r>
        <w:tab/>
        <w:t>[Regulation 98AI inserted in Gazette 24 Mar 2015 p. 1038</w:t>
      </w:r>
      <w:r>
        <w:noBreakHyphen/>
        <w:t>9.]</w:t>
      </w:r>
    </w:p>
    <w:p>
      <w:pPr>
        <w:pStyle w:val="Heading5"/>
      </w:pPr>
      <w:bookmarkStart w:id="323" w:name="_Toc491956816"/>
      <w:bookmarkStart w:id="324" w:name="_Toc473035999"/>
      <w:r>
        <w:rPr>
          <w:rStyle w:val="CharSectno"/>
        </w:rPr>
        <w:t>98AJ</w:t>
      </w:r>
      <w:r>
        <w:t>.</w:t>
      </w:r>
      <w:r>
        <w:tab/>
        <w:t>Mooring licence areas</w:t>
      </w:r>
      <w:bookmarkEnd w:id="323"/>
      <w:bookmarkEnd w:id="324"/>
    </w:p>
    <w:p>
      <w:pPr>
        <w:pStyle w:val="Subsection"/>
      </w:pPr>
      <w:r>
        <w:tab/>
        <w:t>(1)</w:t>
      </w:r>
      <w:r>
        <w:tab/>
        <w:t xml:space="preserve">The CEO may, by notice published in the </w:t>
      </w:r>
      <w:r>
        <w:rPr>
          <w:i/>
        </w:rPr>
        <w:t>Gazette</w:t>
      </w:r>
      <w:r>
        <w:t>, declare an area of CALM land specified in the notice to be a mooring licence area.</w:t>
      </w:r>
    </w:p>
    <w:p>
      <w:pPr>
        <w:pStyle w:val="Subsection"/>
      </w:pPr>
      <w:r>
        <w:tab/>
        <w:t>(2)</w:t>
      </w:r>
      <w:r>
        <w:tab/>
        <w:t>A notice published under this regulation takes effect on such day after publication as is specified in the notice.</w:t>
      </w:r>
    </w:p>
    <w:p>
      <w:pPr>
        <w:pStyle w:val="Footnotesection"/>
      </w:pPr>
      <w:r>
        <w:tab/>
        <w:t>[Regulation 98AJ inserted in Gazette 24 Mar 2015 p. 1039.]</w:t>
      </w:r>
    </w:p>
    <w:p>
      <w:pPr>
        <w:pStyle w:val="Heading5"/>
      </w:pPr>
      <w:bookmarkStart w:id="325" w:name="_Toc491956817"/>
      <w:bookmarkStart w:id="326" w:name="_Toc473036000"/>
      <w:r>
        <w:rPr>
          <w:rStyle w:val="CharSectno"/>
        </w:rPr>
        <w:t>98AK</w:t>
      </w:r>
      <w:r>
        <w:t>.</w:t>
      </w:r>
      <w:r>
        <w:tab/>
        <w:t>Private mooring licence</w:t>
      </w:r>
      <w:bookmarkEnd w:id="325"/>
      <w:bookmarkEnd w:id="326"/>
    </w:p>
    <w:p>
      <w:pPr>
        <w:pStyle w:val="Subsection"/>
      </w:pPr>
      <w:r>
        <w:tab/>
      </w:r>
      <w:r>
        <w:tab/>
        <w:t xml:space="preserve">The CEO may grant a licence for either or both of the following purposes — </w:t>
      </w:r>
    </w:p>
    <w:p>
      <w:pPr>
        <w:pStyle w:val="Indenta"/>
      </w:pPr>
      <w:r>
        <w:tab/>
        <w:t>(a)</w:t>
      </w:r>
      <w:r>
        <w:tab/>
        <w:t>to install a private mooring in a mooring licence area;</w:t>
      </w:r>
    </w:p>
    <w:p>
      <w:pPr>
        <w:pStyle w:val="Indenta"/>
      </w:pPr>
      <w:r>
        <w:tab/>
        <w:t>(b)</w:t>
      </w:r>
      <w:r>
        <w:tab/>
        <w:t>to own and control a private mooring located in a mooring licence area.</w:t>
      </w:r>
    </w:p>
    <w:p>
      <w:pPr>
        <w:pStyle w:val="Footnotesection"/>
      </w:pPr>
      <w:r>
        <w:tab/>
        <w:t>[Regulation 98AK inserted in Gazette 24 Mar 2015 p. 1039.]</w:t>
      </w:r>
    </w:p>
    <w:p>
      <w:pPr>
        <w:pStyle w:val="Heading5"/>
      </w:pPr>
      <w:bookmarkStart w:id="327" w:name="_Toc491956818"/>
      <w:bookmarkStart w:id="328" w:name="_Toc473036001"/>
      <w:r>
        <w:rPr>
          <w:rStyle w:val="CharSectno"/>
        </w:rPr>
        <w:t>98AL</w:t>
      </w:r>
      <w:r>
        <w:t>.</w:t>
      </w:r>
      <w:r>
        <w:tab/>
        <w:t>Effect of private mooring licence</w:t>
      </w:r>
      <w:bookmarkEnd w:id="327"/>
      <w:bookmarkEnd w:id="328"/>
    </w:p>
    <w:p>
      <w:pPr>
        <w:pStyle w:val="Subsection"/>
      </w:pPr>
      <w:r>
        <w:tab/>
        <w:t>(1)</w:t>
      </w:r>
      <w:r>
        <w:tab/>
        <w:t>A licensed mooring is authorised to be in a mooring licence area.</w:t>
      </w:r>
    </w:p>
    <w:p>
      <w:pPr>
        <w:pStyle w:val="Subsection"/>
      </w:pPr>
      <w:r>
        <w:tab/>
        <w:t>(2)</w:t>
      </w:r>
      <w:r>
        <w:tab/>
        <w:t>A licence holder is authorised to use a licensed mooring in accordance with a private mooring licence that is in force for the mooring.</w:t>
      </w:r>
    </w:p>
    <w:p>
      <w:pPr>
        <w:pStyle w:val="Subsection"/>
        <w:rPr>
          <w:snapToGrid w:val="0"/>
        </w:rPr>
      </w:pPr>
      <w:r>
        <w:rPr>
          <w:snapToGrid w:val="0"/>
        </w:rPr>
        <w:tab/>
        <w:t>(3)</w:t>
      </w:r>
      <w:r>
        <w:rPr>
          <w:snapToGrid w:val="0"/>
        </w:rPr>
        <w:tab/>
        <w:t>A person who has the written consent of the licence holder is authorised to use a licensed mooring in accordance with a private mooring licence that is in force for the mooring.</w:t>
      </w:r>
    </w:p>
    <w:p>
      <w:pPr>
        <w:pStyle w:val="Subsection"/>
        <w:keepNext/>
        <w:rPr>
          <w:snapToGrid w:val="0"/>
        </w:rPr>
      </w:pPr>
      <w:r>
        <w:rPr>
          <w:snapToGrid w:val="0"/>
        </w:rPr>
        <w:tab/>
        <w:t>(4)</w:t>
      </w:r>
      <w:r>
        <w:rPr>
          <w:snapToGrid w:val="0"/>
        </w:rPr>
        <w:tab/>
        <w:t>A person referred to in subregulation (3) must have in his or her possession the written consent of the licence holder at any time the person has a vessel secured to the mooring.</w:t>
      </w:r>
    </w:p>
    <w:p>
      <w:pPr>
        <w:pStyle w:val="Penstart"/>
      </w:pPr>
      <w:r>
        <w:tab/>
        <w:t>Penalty: a fine of $1 000.</w:t>
      </w:r>
    </w:p>
    <w:p>
      <w:pPr>
        <w:pStyle w:val="Footnotesection"/>
      </w:pPr>
      <w:r>
        <w:tab/>
        <w:t>[Regulation 98AL inserted in Gazette 24 Mar 2015 p. 1039</w:t>
      </w:r>
      <w:r>
        <w:noBreakHyphen/>
        <w:t>40.]</w:t>
      </w:r>
    </w:p>
    <w:p>
      <w:pPr>
        <w:pStyle w:val="Heading5"/>
      </w:pPr>
      <w:bookmarkStart w:id="329" w:name="_Toc491956819"/>
      <w:bookmarkStart w:id="330" w:name="_Toc473036002"/>
      <w:r>
        <w:rPr>
          <w:rStyle w:val="CharSectno"/>
        </w:rPr>
        <w:t>98AM</w:t>
      </w:r>
      <w:r>
        <w:t>.</w:t>
      </w:r>
      <w:r>
        <w:tab/>
        <w:t>Application for private mooring licence</w:t>
      </w:r>
      <w:bookmarkEnd w:id="329"/>
      <w:bookmarkEnd w:id="330"/>
    </w:p>
    <w:p>
      <w:pPr>
        <w:pStyle w:val="Subsection"/>
      </w:pPr>
      <w:r>
        <w:rPr>
          <w:snapToGrid w:val="0"/>
        </w:rPr>
        <w:tab/>
        <w:t>(1)</w:t>
      </w:r>
      <w:r>
        <w:rPr>
          <w:snapToGrid w:val="0"/>
        </w:rPr>
        <w:tab/>
        <w:t xml:space="preserve">An </w:t>
      </w:r>
      <w:r>
        <w:t xml:space="preserve">application for a private mooring licence must specify — </w:t>
      </w:r>
    </w:p>
    <w:p>
      <w:pPr>
        <w:pStyle w:val="Indenta"/>
        <w:rPr>
          <w:snapToGrid w:val="0"/>
        </w:rPr>
      </w:pPr>
      <w:r>
        <w:tab/>
        <w:t>(a)</w:t>
      </w:r>
      <w:r>
        <w:tab/>
        <w:t>the location of the mooring or proposed mooring in a form approved by the CEO; and</w:t>
      </w:r>
    </w:p>
    <w:p>
      <w:pPr>
        <w:pStyle w:val="Indenta"/>
        <w:rPr>
          <w:snapToGrid w:val="0"/>
        </w:rPr>
      </w:pPr>
      <w:r>
        <w:rPr>
          <w:snapToGrid w:val="0"/>
        </w:rPr>
        <w:tab/>
        <w:t>(b)</w:t>
      </w:r>
      <w:r>
        <w:rPr>
          <w:snapToGrid w:val="0"/>
        </w:rPr>
        <w:tab/>
        <w:t>particulars of the purposes for which the mooring or proposed mooring is to be used, including particulars of each vessel or class of vessel that may be secured to the mooring; and</w:t>
      </w:r>
    </w:p>
    <w:p>
      <w:pPr>
        <w:pStyle w:val="Indenta"/>
        <w:rPr>
          <w:snapToGrid w:val="0"/>
        </w:rPr>
      </w:pPr>
      <w:r>
        <w:rPr>
          <w:snapToGrid w:val="0"/>
        </w:rPr>
        <w:tab/>
        <w:t>(c)</w:t>
      </w:r>
      <w:r>
        <w:rPr>
          <w:snapToGrid w:val="0"/>
        </w:rPr>
        <w:tab/>
        <w:t>if the applicant is not a natural person, the name, address and telephone numbers of a natural person who may be contacted on behalf of the applicant in relation to the mooring.</w:t>
      </w:r>
    </w:p>
    <w:p>
      <w:pPr>
        <w:pStyle w:val="Subsection"/>
        <w:rPr>
          <w:snapToGrid w:val="0"/>
        </w:rPr>
      </w:pPr>
      <w:r>
        <w:rPr>
          <w:snapToGrid w:val="0"/>
        </w:rPr>
        <w:tab/>
        <w:t>(2)</w:t>
      </w:r>
      <w:r>
        <w:rPr>
          <w:snapToGrid w:val="0"/>
        </w:rPr>
        <w:tab/>
        <w:t>The applicant must provide the CEO, or a person nominated by the CEO, with any assistance that the CEO or the person requires to inspect the mooring.</w:t>
      </w:r>
    </w:p>
    <w:p>
      <w:pPr>
        <w:pStyle w:val="Footnotesection"/>
      </w:pPr>
      <w:r>
        <w:tab/>
        <w:t>[Regulation 98AM inserted in Gazette 24 Mar 2015 p. 1040.]</w:t>
      </w:r>
    </w:p>
    <w:p>
      <w:pPr>
        <w:pStyle w:val="Heading5"/>
      </w:pPr>
      <w:bookmarkStart w:id="331" w:name="_Toc491956820"/>
      <w:bookmarkStart w:id="332" w:name="_Toc473036003"/>
      <w:r>
        <w:rPr>
          <w:rStyle w:val="CharSectno"/>
        </w:rPr>
        <w:t>98AN</w:t>
      </w:r>
      <w:r>
        <w:t>.</w:t>
      </w:r>
      <w:r>
        <w:tab/>
        <w:t>Grant of private mooring licence</w:t>
      </w:r>
      <w:bookmarkEnd w:id="331"/>
      <w:bookmarkEnd w:id="332"/>
    </w:p>
    <w:p>
      <w:pPr>
        <w:pStyle w:val="Subsection"/>
      </w:pPr>
      <w:r>
        <w:rPr>
          <w:snapToGrid w:val="0"/>
        </w:rPr>
        <w:tab/>
      </w:r>
      <w:r>
        <w:tab/>
        <w:t xml:space="preserve">The CEO may grant a private mooring licence for a mooring or a proposed mooring if the CEO is satisfied that the mooring or proposed mooring — </w:t>
      </w:r>
    </w:p>
    <w:p>
      <w:pPr>
        <w:pStyle w:val="Indenta"/>
        <w:rPr>
          <w:snapToGrid w:val="0"/>
        </w:rPr>
      </w:pPr>
      <w:r>
        <w:rPr>
          <w:snapToGrid w:val="0"/>
        </w:rPr>
        <w:tab/>
        <w:t>(a)</w:t>
      </w:r>
      <w:r>
        <w:rPr>
          <w:snapToGrid w:val="0"/>
        </w:rPr>
        <w:tab/>
        <w:t>is suitable for each vessel or class of vessel that may be secured to the mooring; and</w:t>
      </w:r>
    </w:p>
    <w:p>
      <w:pPr>
        <w:pStyle w:val="Indenta"/>
        <w:rPr>
          <w:snapToGrid w:val="0"/>
        </w:rPr>
      </w:pPr>
      <w:r>
        <w:rPr>
          <w:snapToGrid w:val="0"/>
        </w:rPr>
        <w:tab/>
        <w:t>(b)</w:t>
      </w:r>
      <w:r>
        <w:rPr>
          <w:snapToGrid w:val="0"/>
        </w:rPr>
        <w:tab/>
        <w:t>does not constitute a danger or interfere with the navigation of other craft or any other usage of the land on which the mooring is, or is to be, located.</w:t>
      </w:r>
    </w:p>
    <w:p>
      <w:pPr>
        <w:pStyle w:val="Footnotesection"/>
      </w:pPr>
      <w:r>
        <w:tab/>
        <w:t>[Regulation 98AN inserted in Gazette 24 Mar 2015 p. 1040.]</w:t>
      </w:r>
    </w:p>
    <w:p>
      <w:pPr>
        <w:pStyle w:val="Heading5"/>
      </w:pPr>
      <w:bookmarkStart w:id="333" w:name="_Toc491956821"/>
      <w:bookmarkStart w:id="334" w:name="_Toc473036004"/>
      <w:r>
        <w:rPr>
          <w:rStyle w:val="CharSectno"/>
        </w:rPr>
        <w:t>98AO</w:t>
      </w:r>
      <w:r>
        <w:t>.</w:t>
      </w:r>
      <w:r>
        <w:tab/>
        <w:t>Private mooring licence not transferable</w:t>
      </w:r>
      <w:bookmarkEnd w:id="333"/>
      <w:bookmarkEnd w:id="334"/>
    </w:p>
    <w:p>
      <w:pPr>
        <w:pStyle w:val="Subsection"/>
      </w:pPr>
      <w:r>
        <w:tab/>
      </w:r>
      <w:r>
        <w:tab/>
        <w:t>A private mooring licence is not transferable.</w:t>
      </w:r>
    </w:p>
    <w:p>
      <w:pPr>
        <w:pStyle w:val="Footnotesection"/>
      </w:pPr>
      <w:r>
        <w:tab/>
        <w:t>[Regulation 98AO inserted in Gazette 24 Mar 2015 p. 1040.]</w:t>
      </w:r>
    </w:p>
    <w:p>
      <w:pPr>
        <w:pStyle w:val="Heading5"/>
      </w:pPr>
      <w:bookmarkStart w:id="335" w:name="_Toc491956822"/>
      <w:bookmarkStart w:id="336" w:name="_Toc473036005"/>
      <w:r>
        <w:rPr>
          <w:rStyle w:val="CharSectno"/>
        </w:rPr>
        <w:t>98AP</w:t>
      </w:r>
      <w:r>
        <w:t>.</w:t>
      </w:r>
      <w:r>
        <w:tab/>
        <w:t>Duration of private mooring licence</w:t>
      </w:r>
      <w:bookmarkEnd w:id="335"/>
      <w:bookmarkEnd w:id="336"/>
    </w:p>
    <w:p>
      <w:pPr>
        <w:pStyle w:val="Subsection"/>
      </w:pPr>
      <w:r>
        <w:tab/>
      </w:r>
      <w:r>
        <w:tab/>
        <w:t>Subject to this Part, a private mooring licence remains in force for the period specified in the licence.</w:t>
      </w:r>
    </w:p>
    <w:p>
      <w:pPr>
        <w:pStyle w:val="Footnotesection"/>
      </w:pPr>
      <w:r>
        <w:tab/>
        <w:t>[Regulation 98AP inserted in Gazette 24 Mar 2015 p. 1040.]</w:t>
      </w:r>
    </w:p>
    <w:p>
      <w:pPr>
        <w:pStyle w:val="Heading5"/>
      </w:pPr>
      <w:bookmarkStart w:id="337" w:name="_Toc491956823"/>
      <w:bookmarkStart w:id="338" w:name="_Toc473036006"/>
      <w:r>
        <w:rPr>
          <w:rStyle w:val="CharSectno"/>
        </w:rPr>
        <w:t>98AQ</w:t>
      </w:r>
      <w:r>
        <w:t>.</w:t>
      </w:r>
      <w:r>
        <w:tab/>
        <w:t>Renewal of private mooring licence</w:t>
      </w:r>
      <w:bookmarkEnd w:id="337"/>
      <w:bookmarkEnd w:id="338"/>
    </w:p>
    <w:p>
      <w:pPr>
        <w:pStyle w:val="Subsection"/>
      </w:pPr>
      <w:r>
        <w:tab/>
        <w:t>(1)</w:t>
      </w:r>
      <w:r>
        <w:tab/>
        <w:t>A licence holder may apply to the CEO for renewal of a licence.</w:t>
      </w:r>
    </w:p>
    <w:p>
      <w:pPr>
        <w:pStyle w:val="Subsection"/>
      </w:pPr>
      <w:r>
        <w:tab/>
        <w:t>(2)</w:t>
      </w:r>
      <w:r>
        <w:tab/>
        <w:t xml:space="preserve">An application for renewal must be — </w:t>
      </w:r>
    </w:p>
    <w:p>
      <w:pPr>
        <w:pStyle w:val="Indenta"/>
      </w:pPr>
      <w:r>
        <w:tab/>
        <w:t>(a)</w:t>
      </w:r>
      <w:r>
        <w:tab/>
        <w:t>in a form approved by the CEO; and</w:t>
      </w:r>
    </w:p>
    <w:p>
      <w:pPr>
        <w:pStyle w:val="Indenta"/>
        <w:rPr>
          <w:snapToGrid w:val="0"/>
        </w:rPr>
      </w:pPr>
      <w:r>
        <w:tab/>
        <w:t>(b)</w:t>
      </w:r>
      <w:r>
        <w:tab/>
        <w:t xml:space="preserve">accompanied by the </w:t>
      </w:r>
      <w:r>
        <w:rPr>
          <w:snapToGrid w:val="0"/>
        </w:rPr>
        <w:t>appropriate fee specified in Schedule 1 Division 8 (if any); and</w:t>
      </w:r>
    </w:p>
    <w:p>
      <w:pPr>
        <w:pStyle w:val="Indenta"/>
        <w:rPr>
          <w:snapToGrid w:val="0"/>
        </w:rPr>
      </w:pPr>
      <w:r>
        <w:rPr>
          <w:snapToGrid w:val="0"/>
        </w:rPr>
        <w:tab/>
        <w:t>(c)</w:t>
      </w:r>
      <w:r>
        <w:rPr>
          <w:snapToGrid w:val="0"/>
        </w:rPr>
        <w:tab/>
        <w:t>accompanied by a current inspection report in respect of the mooring.</w:t>
      </w:r>
    </w:p>
    <w:p>
      <w:pPr>
        <w:pStyle w:val="Subsection"/>
        <w:rPr>
          <w:snapToGrid w:val="0"/>
        </w:rPr>
      </w:pPr>
      <w:r>
        <w:rPr>
          <w:snapToGrid w:val="0"/>
        </w:rPr>
        <w:tab/>
        <w:t>(3)</w:t>
      </w:r>
      <w:r>
        <w:rPr>
          <w:snapToGrid w:val="0"/>
        </w:rPr>
        <w:tab/>
        <w:t>The applicant must provide the CEO, or a person nominated by the CEO, with any assistance that the CEO or the person requires to inspect the mooring.</w:t>
      </w:r>
    </w:p>
    <w:p>
      <w:pPr>
        <w:pStyle w:val="Subsection"/>
        <w:rPr>
          <w:snapToGrid w:val="0"/>
        </w:rPr>
      </w:pPr>
      <w:r>
        <w:rPr>
          <w:snapToGrid w:val="0"/>
        </w:rPr>
        <w:tab/>
        <w:t>(4)</w:t>
      </w:r>
      <w:r>
        <w:rPr>
          <w:snapToGrid w:val="0"/>
        </w:rPr>
        <w:tab/>
        <w:t>The CEO may renew a private mooring licence if the CEO is satisfied that the mooring is in good condition and repair.</w:t>
      </w:r>
    </w:p>
    <w:p>
      <w:pPr>
        <w:pStyle w:val="Footnotesection"/>
      </w:pPr>
      <w:r>
        <w:tab/>
        <w:t>[Regulation 98AQ inserted in Gazette 24 Mar 2015 p. 1040-1.]</w:t>
      </w:r>
    </w:p>
    <w:p>
      <w:pPr>
        <w:pStyle w:val="Heading5"/>
        <w:spacing w:before="180"/>
      </w:pPr>
      <w:bookmarkStart w:id="339" w:name="_Toc491956824"/>
      <w:bookmarkStart w:id="340" w:name="_Toc473036007"/>
      <w:r>
        <w:rPr>
          <w:rStyle w:val="CharSectno"/>
        </w:rPr>
        <w:t>98AR</w:t>
      </w:r>
      <w:r>
        <w:t>.</w:t>
      </w:r>
      <w:r>
        <w:tab/>
        <w:t>Conditions</w:t>
      </w:r>
      <w:bookmarkEnd w:id="339"/>
      <w:bookmarkEnd w:id="340"/>
    </w:p>
    <w:p>
      <w:pPr>
        <w:pStyle w:val="Subsection"/>
        <w:spacing w:before="120"/>
      </w:pPr>
      <w:r>
        <w:tab/>
        <w:t>(1)</w:t>
      </w:r>
      <w:r>
        <w:tab/>
        <w:t xml:space="preserve">A private mooring licence may be granted or renewed subject to such conditions as the CEO thinks fit including conditions as to — </w:t>
      </w:r>
    </w:p>
    <w:p>
      <w:pPr>
        <w:pStyle w:val="Indenta"/>
      </w:pPr>
      <w:r>
        <w:tab/>
        <w:t>(a)</w:t>
      </w:r>
      <w:r>
        <w:tab/>
        <w:t>the class or description of vessel that may be secured to the mooring; and</w:t>
      </w:r>
    </w:p>
    <w:p>
      <w:pPr>
        <w:pStyle w:val="Indenta"/>
      </w:pPr>
      <w:r>
        <w:tab/>
        <w:t>(b)</w:t>
      </w:r>
      <w:r>
        <w:tab/>
        <w:t>the manner in which a vessel may be secured to the mooring; and</w:t>
      </w:r>
    </w:p>
    <w:p>
      <w:pPr>
        <w:pStyle w:val="Indenta"/>
      </w:pPr>
      <w:r>
        <w:tab/>
        <w:t>(c)</w:t>
      </w:r>
      <w:r>
        <w:tab/>
        <w:t>the payment of any charge in relation to the use of the land on which the mooring is located.</w:t>
      </w:r>
    </w:p>
    <w:p>
      <w:pPr>
        <w:pStyle w:val="Subsection"/>
        <w:spacing w:before="120"/>
      </w:pPr>
      <w:r>
        <w:tab/>
        <w:t>(2)</w:t>
      </w:r>
      <w:r>
        <w:tab/>
        <w:t xml:space="preserve">If a private mooring licence is granted or renewed subject to conditions, those conditions — </w:t>
      </w:r>
    </w:p>
    <w:p>
      <w:pPr>
        <w:pStyle w:val="Indenta"/>
      </w:pPr>
      <w:r>
        <w:tab/>
        <w:t>(a)</w:t>
      </w:r>
      <w:r>
        <w:tab/>
        <w:t>are to be endorsed upon or attached to the licence when granted or renewed, as the case may be; and</w:t>
      </w:r>
    </w:p>
    <w:p>
      <w:pPr>
        <w:pStyle w:val="Indenta"/>
      </w:pPr>
      <w:r>
        <w:tab/>
        <w:t>(b)</w:t>
      </w:r>
      <w:r>
        <w:tab/>
        <w:t>may be added to, cancelled, suspended and otherwise varied by the CEO from time to time during the operation of the licence.</w:t>
      </w:r>
    </w:p>
    <w:p>
      <w:pPr>
        <w:pStyle w:val="Subsection"/>
      </w:pPr>
      <w:r>
        <w:tab/>
        <w:t>(3)</w:t>
      </w:r>
      <w:r>
        <w:tab/>
        <w:t>A licence holder must not contravene a condition endorsed upon or attached to the licence.</w:t>
      </w:r>
    </w:p>
    <w:p>
      <w:pPr>
        <w:pStyle w:val="Penstart"/>
      </w:pPr>
      <w:r>
        <w:tab/>
        <w:t>Penalty: a fine of $1 000.</w:t>
      </w:r>
    </w:p>
    <w:p>
      <w:pPr>
        <w:pStyle w:val="Footnotesection"/>
      </w:pPr>
      <w:r>
        <w:tab/>
        <w:t>[Regulation 98AR inserted in Gazette 24 Mar 2015 p. 1041.]</w:t>
      </w:r>
    </w:p>
    <w:p>
      <w:pPr>
        <w:pStyle w:val="Heading5"/>
      </w:pPr>
      <w:bookmarkStart w:id="341" w:name="_Toc491956825"/>
      <w:bookmarkStart w:id="342" w:name="_Toc473036008"/>
      <w:r>
        <w:rPr>
          <w:rStyle w:val="CharSectno"/>
        </w:rPr>
        <w:t>98AS</w:t>
      </w:r>
      <w:r>
        <w:t>.</w:t>
      </w:r>
      <w:r>
        <w:tab/>
        <w:t>Form of licence</w:t>
      </w:r>
      <w:bookmarkEnd w:id="341"/>
      <w:bookmarkEnd w:id="342"/>
    </w:p>
    <w:p>
      <w:pPr>
        <w:pStyle w:val="Subsection"/>
      </w:pPr>
      <w:r>
        <w:tab/>
      </w:r>
      <w:r>
        <w:tab/>
        <w:t xml:space="preserve">A licence for a private mooring must be in a form approved by the CEO and must contain the following information — </w:t>
      </w:r>
    </w:p>
    <w:p>
      <w:pPr>
        <w:pStyle w:val="Indenta"/>
      </w:pPr>
      <w:r>
        <w:tab/>
        <w:t>(a)</w:t>
      </w:r>
      <w:r>
        <w:tab/>
        <w:t>the location of the mooring;</w:t>
      </w:r>
    </w:p>
    <w:p>
      <w:pPr>
        <w:pStyle w:val="Indenta"/>
      </w:pPr>
      <w:r>
        <w:tab/>
        <w:t>(b)</w:t>
      </w:r>
      <w:r>
        <w:tab/>
        <w:t>the name of the licence holder;</w:t>
      </w:r>
    </w:p>
    <w:p>
      <w:pPr>
        <w:pStyle w:val="Indenta"/>
      </w:pPr>
      <w:r>
        <w:tab/>
        <w:t>(c)</w:t>
      </w:r>
      <w:r>
        <w:tab/>
        <w:t>particulars of each vessel or each class of vessel authorised to use the mooring;</w:t>
      </w:r>
    </w:p>
    <w:p>
      <w:pPr>
        <w:pStyle w:val="Indenta"/>
      </w:pPr>
      <w:r>
        <w:tab/>
        <w:t>(d)</w:t>
      </w:r>
      <w:r>
        <w:tab/>
        <w:t>the period for which the licence is granted.</w:t>
      </w:r>
    </w:p>
    <w:p>
      <w:pPr>
        <w:pStyle w:val="Footnotesection"/>
      </w:pPr>
      <w:r>
        <w:tab/>
        <w:t>[Regulation 98AS inserted in Gazette 24 Mar 2015 p. 1041.]</w:t>
      </w:r>
    </w:p>
    <w:p>
      <w:pPr>
        <w:pStyle w:val="Heading5"/>
        <w:rPr>
          <w:snapToGrid w:val="0"/>
        </w:rPr>
      </w:pPr>
      <w:bookmarkStart w:id="343" w:name="_Toc491956826"/>
      <w:bookmarkStart w:id="344" w:name="_Toc473036009"/>
      <w:r>
        <w:rPr>
          <w:rStyle w:val="CharSectno"/>
        </w:rPr>
        <w:t>98AT</w:t>
      </w:r>
      <w:r>
        <w:rPr>
          <w:snapToGrid w:val="0"/>
        </w:rPr>
        <w:t>.</w:t>
      </w:r>
      <w:r>
        <w:rPr>
          <w:snapToGrid w:val="0"/>
        </w:rPr>
        <w:tab/>
        <w:t>Private moorings to be maintained</w:t>
      </w:r>
      <w:bookmarkEnd w:id="343"/>
      <w:bookmarkEnd w:id="344"/>
      <w:r>
        <w:rPr>
          <w:snapToGrid w:val="0"/>
        </w:rPr>
        <w:t xml:space="preserve"> </w:t>
      </w:r>
    </w:p>
    <w:p>
      <w:pPr>
        <w:pStyle w:val="Subsection"/>
        <w:rPr>
          <w:snapToGrid w:val="0"/>
        </w:rPr>
      </w:pPr>
      <w:r>
        <w:rPr>
          <w:snapToGrid w:val="0"/>
        </w:rPr>
        <w:tab/>
        <w:t>(1)</w:t>
      </w:r>
      <w:r>
        <w:rPr>
          <w:snapToGrid w:val="0"/>
        </w:rPr>
        <w:tab/>
        <w:t>It is a condition of a licence to use a private mooring that the licence holder must maintain the mooring in good condition and repair.</w:t>
      </w:r>
    </w:p>
    <w:p>
      <w:pPr>
        <w:pStyle w:val="Subsection"/>
        <w:rPr>
          <w:snapToGrid w:val="0"/>
        </w:rPr>
      </w:pPr>
      <w:r>
        <w:rPr>
          <w:snapToGrid w:val="0"/>
        </w:rPr>
        <w:tab/>
        <w:t>(2)</w:t>
      </w:r>
      <w:r>
        <w:rPr>
          <w:snapToGrid w:val="0"/>
        </w:rPr>
        <w:tab/>
        <w:t>The CEO may, by notice in writing, require a licence holder to provide a current inspection report for the licensed mooring.</w:t>
      </w:r>
    </w:p>
    <w:p>
      <w:pPr>
        <w:pStyle w:val="Subsection"/>
        <w:rPr>
          <w:snapToGrid w:val="0"/>
        </w:rPr>
      </w:pPr>
      <w:r>
        <w:rPr>
          <w:snapToGrid w:val="0"/>
        </w:rPr>
        <w:tab/>
        <w:t>(3)</w:t>
      </w:r>
      <w:r>
        <w:rPr>
          <w:snapToGrid w:val="0"/>
        </w:rPr>
        <w:tab/>
        <w:t>The licence holder must comply with a notice under subregulation (2) within the time specified in the notice.</w:t>
      </w:r>
    </w:p>
    <w:p>
      <w:pPr>
        <w:pStyle w:val="Penstart"/>
      </w:pPr>
      <w:r>
        <w:tab/>
        <w:t>Penalty: a fine of $1 000.</w:t>
      </w:r>
    </w:p>
    <w:p>
      <w:pPr>
        <w:pStyle w:val="Footnotesection"/>
      </w:pPr>
      <w:r>
        <w:tab/>
        <w:t>[Regulation 98AT inserted in Gazette 24 Mar 2015 p. 1042.]</w:t>
      </w:r>
    </w:p>
    <w:p>
      <w:pPr>
        <w:pStyle w:val="Heading5"/>
        <w:rPr>
          <w:snapToGrid w:val="0"/>
        </w:rPr>
      </w:pPr>
      <w:bookmarkStart w:id="345" w:name="_Toc491956827"/>
      <w:bookmarkStart w:id="346" w:name="_Toc473036010"/>
      <w:r>
        <w:rPr>
          <w:rStyle w:val="CharSectno"/>
        </w:rPr>
        <w:t>98AU</w:t>
      </w:r>
      <w:r>
        <w:rPr>
          <w:snapToGrid w:val="0"/>
        </w:rPr>
        <w:t>.</w:t>
      </w:r>
      <w:r>
        <w:rPr>
          <w:snapToGrid w:val="0"/>
        </w:rPr>
        <w:tab/>
        <w:t>Requirement to repair, relocate or remove private mooring</w:t>
      </w:r>
      <w:bookmarkEnd w:id="345"/>
      <w:bookmarkEnd w:id="346"/>
    </w:p>
    <w:p>
      <w:pPr>
        <w:pStyle w:val="Subsection"/>
        <w:rPr>
          <w:snapToGrid w:val="0"/>
        </w:rPr>
      </w:pPr>
      <w:r>
        <w:rPr>
          <w:snapToGrid w:val="0"/>
        </w:rPr>
        <w:tab/>
        <w:t>(1)</w:t>
      </w:r>
      <w:r>
        <w:rPr>
          <w:snapToGrid w:val="0"/>
        </w:rPr>
        <w:tab/>
        <w:t xml:space="preserve">The CEO may, by notice in writing, require a licence holder to repair the licensed mooring within a specified time if </w:t>
      </w:r>
      <w:r>
        <w:t>the CEO considers that the</w:t>
      </w:r>
      <w:r>
        <w:rPr>
          <w:snapToGrid w:val="0"/>
        </w:rPr>
        <w:t xml:space="preserve"> mooring has deteriorated to the extent that it is dangerous, unusable or in need of repair.</w:t>
      </w:r>
    </w:p>
    <w:p>
      <w:pPr>
        <w:pStyle w:val="Subsection"/>
      </w:pPr>
      <w:r>
        <w:tab/>
        <w:t>(2)</w:t>
      </w:r>
      <w:r>
        <w:tab/>
      </w:r>
      <w:r>
        <w:rPr>
          <w:snapToGrid w:val="0"/>
        </w:rPr>
        <w:t xml:space="preserve">The CEO may, by notice in writing, require a licence holder, or a person who was a licence holder, to relocate or remove the licensed mooring within a specified time if — </w:t>
      </w:r>
    </w:p>
    <w:p>
      <w:pPr>
        <w:pStyle w:val="Indenta"/>
        <w:rPr>
          <w:snapToGrid w:val="0"/>
        </w:rPr>
      </w:pPr>
      <w:r>
        <w:rPr>
          <w:snapToGrid w:val="0"/>
        </w:rPr>
        <w:tab/>
        <w:t>(a)</w:t>
      </w:r>
      <w:r>
        <w:rPr>
          <w:snapToGrid w:val="0"/>
        </w:rPr>
        <w:tab/>
        <w:t>the CEO cancels the licence; or</w:t>
      </w:r>
    </w:p>
    <w:p>
      <w:pPr>
        <w:pStyle w:val="Indenta"/>
        <w:rPr>
          <w:snapToGrid w:val="0"/>
        </w:rPr>
      </w:pPr>
      <w:r>
        <w:rPr>
          <w:snapToGrid w:val="0"/>
        </w:rPr>
        <w:tab/>
        <w:t>(b)</w:t>
      </w:r>
      <w:r>
        <w:rPr>
          <w:snapToGrid w:val="0"/>
        </w:rPr>
        <w:tab/>
        <w:t>the licence holder surrenders the licence; or</w:t>
      </w:r>
    </w:p>
    <w:p>
      <w:pPr>
        <w:pStyle w:val="Indenta"/>
        <w:rPr>
          <w:snapToGrid w:val="0"/>
        </w:rPr>
      </w:pPr>
      <w:r>
        <w:rPr>
          <w:snapToGrid w:val="0"/>
        </w:rPr>
        <w:tab/>
        <w:t>(c)</w:t>
      </w:r>
      <w:r>
        <w:rPr>
          <w:snapToGrid w:val="0"/>
        </w:rPr>
        <w:tab/>
        <w:t>the relocation or removal is necessary to comply with any management plan for the land on which the mooring is located; or</w:t>
      </w:r>
    </w:p>
    <w:p>
      <w:pPr>
        <w:pStyle w:val="Indenta"/>
        <w:rPr>
          <w:snapToGrid w:val="0"/>
        </w:rPr>
      </w:pPr>
      <w:r>
        <w:rPr>
          <w:snapToGrid w:val="0"/>
        </w:rPr>
        <w:tab/>
        <w:t>(d)</w:t>
      </w:r>
      <w:r>
        <w:rPr>
          <w:snapToGrid w:val="0"/>
        </w:rPr>
        <w:tab/>
        <w:t>the CEO considers that it is in the public interest for the mooring to be relocated or removed.</w:t>
      </w:r>
    </w:p>
    <w:p>
      <w:pPr>
        <w:pStyle w:val="Subsection"/>
      </w:pPr>
      <w:r>
        <w:tab/>
        <w:t>(3)</w:t>
      </w:r>
      <w:r>
        <w:tab/>
        <w:t>A person to whom a notice is given under subregulation (1) or (2) must comply with the requirements specified in the notice within the time specified in the notice.</w:t>
      </w:r>
    </w:p>
    <w:p>
      <w:pPr>
        <w:pStyle w:val="Penstart"/>
      </w:pPr>
      <w:r>
        <w:tab/>
        <w:t>Penalty: a fine of $2 000.</w:t>
      </w:r>
    </w:p>
    <w:p>
      <w:pPr>
        <w:pStyle w:val="Subsection"/>
      </w:pPr>
      <w:r>
        <w:tab/>
        <w:t>(4)</w:t>
      </w:r>
      <w:r>
        <w:tab/>
        <w:t>A mooring that is not relocated or removed within the period specified in a notice given under subregulation (2) is, on the expiry of that period, forfeited to the Crown and may be destroyed, sold or otherwise disposed of as directed by the CEO.</w:t>
      </w:r>
    </w:p>
    <w:p>
      <w:pPr>
        <w:pStyle w:val="Footnotesection"/>
      </w:pPr>
      <w:r>
        <w:tab/>
        <w:t>[Regulation 98AU inserted in Gazette 24 Mar 2015 p. 1042.]</w:t>
      </w:r>
    </w:p>
    <w:p>
      <w:pPr>
        <w:pStyle w:val="Heading5"/>
        <w:rPr>
          <w:snapToGrid w:val="0"/>
        </w:rPr>
      </w:pPr>
      <w:bookmarkStart w:id="347" w:name="_Toc491956828"/>
      <w:bookmarkStart w:id="348" w:name="_Toc473036011"/>
      <w:r>
        <w:rPr>
          <w:rStyle w:val="CharSectno"/>
        </w:rPr>
        <w:t>98AV</w:t>
      </w:r>
      <w:r>
        <w:rPr>
          <w:snapToGrid w:val="0"/>
        </w:rPr>
        <w:t>.</w:t>
      </w:r>
      <w:r>
        <w:rPr>
          <w:snapToGrid w:val="0"/>
        </w:rPr>
        <w:tab/>
        <w:t>Cancellation of private mooring licence</w:t>
      </w:r>
      <w:bookmarkEnd w:id="347"/>
      <w:bookmarkEnd w:id="348"/>
      <w:r>
        <w:rPr>
          <w:snapToGrid w:val="0"/>
        </w:rPr>
        <w:t xml:space="preserve"> </w:t>
      </w:r>
    </w:p>
    <w:p>
      <w:pPr>
        <w:pStyle w:val="Subsection"/>
        <w:rPr>
          <w:snapToGrid w:val="0"/>
        </w:rPr>
      </w:pPr>
      <w:r>
        <w:rPr>
          <w:snapToGrid w:val="0"/>
        </w:rPr>
        <w:tab/>
        <w:t>(1)</w:t>
      </w:r>
      <w:r>
        <w:rPr>
          <w:snapToGrid w:val="0"/>
        </w:rPr>
        <w:tab/>
        <w:t>The CEO may, by written notice given to the licence holder, cancel a private mooring licence if — </w:t>
      </w:r>
    </w:p>
    <w:p>
      <w:pPr>
        <w:pStyle w:val="Indenta"/>
        <w:rPr>
          <w:snapToGrid w:val="0"/>
        </w:rPr>
      </w:pPr>
      <w:r>
        <w:rPr>
          <w:snapToGrid w:val="0"/>
        </w:rPr>
        <w:tab/>
        <w:t>(a)</w:t>
      </w:r>
      <w:r>
        <w:rPr>
          <w:snapToGrid w:val="0"/>
        </w:rPr>
        <w:tab/>
        <w:t>the licence holder ceases to own, or no longer appears to control, the mooring; or</w:t>
      </w:r>
    </w:p>
    <w:p>
      <w:pPr>
        <w:pStyle w:val="Indenta"/>
        <w:rPr>
          <w:snapToGrid w:val="0"/>
        </w:rPr>
      </w:pPr>
      <w:r>
        <w:rPr>
          <w:snapToGrid w:val="0"/>
        </w:rPr>
        <w:tab/>
        <w:t>(b)</w:t>
      </w:r>
      <w:r>
        <w:rPr>
          <w:snapToGrid w:val="0"/>
        </w:rPr>
        <w:tab/>
        <w:t>the licence holder fails to provide an inspection report for the mooring in accordance with regulation 98AT(2); or</w:t>
      </w:r>
    </w:p>
    <w:p>
      <w:pPr>
        <w:pStyle w:val="Indenta"/>
        <w:rPr>
          <w:snapToGrid w:val="0"/>
        </w:rPr>
      </w:pPr>
      <w:r>
        <w:rPr>
          <w:snapToGrid w:val="0"/>
        </w:rPr>
        <w:tab/>
        <w:t>(c)</w:t>
      </w:r>
      <w:r>
        <w:rPr>
          <w:snapToGrid w:val="0"/>
        </w:rPr>
        <w:tab/>
        <w:t>the licence holder fails to comply with a requirement under regulation 98AU(1) or (2).</w:t>
      </w:r>
    </w:p>
    <w:p>
      <w:pPr>
        <w:pStyle w:val="Subsection"/>
        <w:keepLines/>
        <w:spacing w:before="120"/>
      </w:pPr>
      <w:r>
        <w:tab/>
        <w:t>(2)</w:t>
      </w:r>
      <w:r>
        <w:tab/>
        <w:t>The powers of the CEO referred to in subregulation (1) are in addition to, and do not derogate from, the powers referred to in regulation 86(1).</w:t>
      </w:r>
    </w:p>
    <w:p>
      <w:pPr>
        <w:pStyle w:val="Footnotesection"/>
      </w:pPr>
      <w:r>
        <w:tab/>
        <w:t>[Regulation 98AV inserted in Gazette 24 Mar 2015 p. 1043.]</w:t>
      </w:r>
    </w:p>
    <w:p>
      <w:pPr>
        <w:pStyle w:val="Heading5"/>
        <w:rPr>
          <w:snapToGrid w:val="0"/>
        </w:rPr>
      </w:pPr>
      <w:bookmarkStart w:id="349" w:name="_Toc491956829"/>
      <w:bookmarkStart w:id="350" w:name="_Toc473036012"/>
      <w:r>
        <w:rPr>
          <w:rStyle w:val="CharSectno"/>
        </w:rPr>
        <w:t>98AW</w:t>
      </w:r>
      <w:r>
        <w:rPr>
          <w:snapToGrid w:val="0"/>
        </w:rPr>
        <w:t>.</w:t>
      </w:r>
      <w:r>
        <w:rPr>
          <w:snapToGrid w:val="0"/>
        </w:rPr>
        <w:tab/>
        <w:t>Giving notice of change of registered particulars</w:t>
      </w:r>
      <w:bookmarkEnd w:id="349"/>
      <w:bookmarkEnd w:id="350"/>
    </w:p>
    <w:p>
      <w:pPr>
        <w:pStyle w:val="Subsection"/>
        <w:rPr>
          <w:snapToGrid w:val="0"/>
        </w:rPr>
      </w:pPr>
      <w:r>
        <w:rPr>
          <w:snapToGrid w:val="0"/>
        </w:rPr>
        <w:tab/>
      </w:r>
      <w:r>
        <w:rPr>
          <w:snapToGrid w:val="0"/>
        </w:rPr>
        <w:tab/>
        <w:t>A licence holder must, within 7 days, notify the CEO of any alteration in the particulars of the licensed mooring, including any change of address or telephone number of the licence holder or the natural person who may be contacted on behalf of a body corporate or partnership.</w:t>
      </w:r>
    </w:p>
    <w:p>
      <w:pPr>
        <w:pStyle w:val="Penstart"/>
      </w:pPr>
      <w:r>
        <w:tab/>
        <w:t>Penalty: a fine of $1 000.</w:t>
      </w:r>
    </w:p>
    <w:p>
      <w:pPr>
        <w:pStyle w:val="Footnotesection"/>
      </w:pPr>
      <w:r>
        <w:tab/>
        <w:t>[Regulation 98AW inserted in Gazette 24 Mar 2015 p. 1043.]</w:t>
      </w:r>
    </w:p>
    <w:p>
      <w:pPr>
        <w:pStyle w:val="Heading5"/>
        <w:rPr>
          <w:snapToGrid w:val="0"/>
        </w:rPr>
      </w:pPr>
      <w:bookmarkStart w:id="351" w:name="_Toc491956830"/>
      <w:bookmarkStart w:id="352" w:name="_Toc473036013"/>
      <w:r>
        <w:rPr>
          <w:rStyle w:val="CharSectno"/>
        </w:rPr>
        <w:t>98AX</w:t>
      </w:r>
      <w:r>
        <w:rPr>
          <w:snapToGrid w:val="0"/>
        </w:rPr>
        <w:t>.</w:t>
      </w:r>
      <w:r>
        <w:rPr>
          <w:snapToGrid w:val="0"/>
        </w:rPr>
        <w:tab/>
        <w:t>Surrender of private mooring licence</w:t>
      </w:r>
      <w:bookmarkEnd w:id="351"/>
      <w:bookmarkEnd w:id="352"/>
    </w:p>
    <w:p>
      <w:pPr>
        <w:pStyle w:val="Subsection"/>
        <w:rPr>
          <w:snapToGrid w:val="0"/>
        </w:rPr>
      </w:pPr>
      <w:r>
        <w:rPr>
          <w:snapToGrid w:val="0"/>
        </w:rPr>
        <w:tab/>
        <w:t>(1)</w:t>
      </w:r>
      <w:r>
        <w:rPr>
          <w:snapToGrid w:val="0"/>
        </w:rPr>
        <w:tab/>
        <w:t xml:space="preserve">A licence holder may by notice in writing to the CEO surrender a licence. </w:t>
      </w:r>
    </w:p>
    <w:p>
      <w:pPr>
        <w:pStyle w:val="Subsection"/>
        <w:rPr>
          <w:snapToGrid w:val="0"/>
        </w:rPr>
      </w:pPr>
      <w:r>
        <w:rPr>
          <w:snapToGrid w:val="0"/>
        </w:rPr>
        <w:tab/>
        <w:t>(2)</w:t>
      </w:r>
      <w:r>
        <w:rPr>
          <w:snapToGrid w:val="0"/>
        </w:rPr>
        <w:tab/>
        <w:t>A licence holder who surrenders a licence is not entitled to the refund of any fees paid in respect of a period after the date of surrender.</w:t>
      </w:r>
    </w:p>
    <w:p>
      <w:pPr>
        <w:pStyle w:val="Footnotesection"/>
      </w:pPr>
      <w:r>
        <w:tab/>
        <w:t>[Regulation 98AX inserted in Gazette 24 Mar 2015 p. 1043.]</w:t>
      </w:r>
    </w:p>
    <w:p>
      <w:pPr>
        <w:pStyle w:val="Ednotepart"/>
      </w:pPr>
      <w:r>
        <w:t>[Part 7A deleted in Gazette 27 Feb 2009 p. 530.]</w:t>
      </w:r>
    </w:p>
    <w:p>
      <w:pPr>
        <w:pStyle w:val="Heading2"/>
      </w:pPr>
      <w:bookmarkStart w:id="353" w:name="_Toc491954677"/>
      <w:bookmarkStart w:id="354" w:name="_Toc491956831"/>
      <w:bookmarkStart w:id="355" w:name="_Toc473019276"/>
      <w:bookmarkStart w:id="356" w:name="_Toc473036014"/>
      <w:r>
        <w:rPr>
          <w:rStyle w:val="CharPartNo"/>
        </w:rPr>
        <w:t>Part 8A</w:t>
      </w:r>
      <w:r>
        <w:rPr>
          <w:rStyle w:val="CharDivNo"/>
        </w:rPr>
        <w:t> </w:t>
      </w:r>
      <w:r>
        <w:t>—</w:t>
      </w:r>
      <w:r>
        <w:rPr>
          <w:rStyle w:val="CharDivText"/>
        </w:rPr>
        <w:t> </w:t>
      </w:r>
      <w:r>
        <w:rPr>
          <w:rStyle w:val="CharPartText"/>
        </w:rPr>
        <w:t>Apiary permits and licences</w:t>
      </w:r>
      <w:bookmarkEnd w:id="353"/>
      <w:bookmarkEnd w:id="354"/>
      <w:bookmarkEnd w:id="355"/>
      <w:bookmarkEnd w:id="356"/>
    </w:p>
    <w:p>
      <w:pPr>
        <w:pStyle w:val="yFootnoteheading"/>
      </w:pPr>
      <w:r>
        <w:tab/>
        <w:t>[Heading inserted in Gazette 3 Sep 2010 p. 4278.]</w:t>
      </w:r>
    </w:p>
    <w:p>
      <w:pPr>
        <w:pStyle w:val="Heading5"/>
      </w:pPr>
      <w:bookmarkStart w:id="357" w:name="_Toc491956832"/>
      <w:bookmarkStart w:id="358" w:name="_Toc473036015"/>
      <w:r>
        <w:rPr>
          <w:rStyle w:val="CharSectno"/>
        </w:rPr>
        <w:t>98A</w:t>
      </w:r>
      <w:r>
        <w:t>.</w:t>
      </w:r>
      <w:r>
        <w:tab/>
        <w:t>Terms used</w:t>
      </w:r>
      <w:bookmarkEnd w:id="357"/>
      <w:bookmarkEnd w:id="358"/>
    </w:p>
    <w:p>
      <w:pPr>
        <w:pStyle w:val="Subsection"/>
      </w:pPr>
      <w:r>
        <w:tab/>
      </w:r>
      <w:r>
        <w:tab/>
        <w:t xml:space="preserve">In this Part — </w:t>
      </w:r>
    </w:p>
    <w:p>
      <w:pPr>
        <w:pStyle w:val="Defstart"/>
      </w:pPr>
      <w:r>
        <w:rPr>
          <w:b/>
        </w:rPr>
        <w:tab/>
      </w:r>
      <w:r>
        <w:rPr>
          <w:rStyle w:val="CharDefText"/>
        </w:rPr>
        <w:t>apiary authority</w:t>
      </w:r>
      <w:r>
        <w:t xml:space="preserve"> means an apiary licence or apiary permit;</w:t>
      </w:r>
    </w:p>
    <w:p>
      <w:pPr>
        <w:pStyle w:val="Defstart"/>
      </w:pPr>
      <w:r>
        <w:rPr>
          <w:b/>
        </w:rPr>
        <w:tab/>
      </w:r>
      <w:r>
        <w:rPr>
          <w:rStyle w:val="CharDefText"/>
        </w:rPr>
        <w:t>apiary licence</w:t>
      </w:r>
      <w:r>
        <w:t xml:space="preserve"> means a licence granted under Part VIII Division 2 of the Act to — </w:t>
      </w:r>
    </w:p>
    <w:p>
      <w:pPr>
        <w:pStyle w:val="Defpara"/>
      </w:pPr>
      <w:r>
        <w:tab/>
        <w:t>(a)</w:t>
      </w:r>
      <w:r>
        <w:tab/>
        <w:t>enter and use the land specified in the licence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permit</w:t>
      </w:r>
      <w:r>
        <w:t xml:space="preserve"> means a permit granted under Part VIII Division 1 of the Act to — </w:t>
      </w:r>
    </w:p>
    <w:p>
      <w:pPr>
        <w:pStyle w:val="Defpara"/>
      </w:pPr>
      <w:r>
        <w:tab/>
        <w:t>(a)</w:t>
      </w:r>
      <w:r>
        <w:tab/>
        <w:t>occupy the land specified in the permit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site</w:t>
      </w:r>
      <w:r>
        <w:t xml:space="preserve"> means the land specified in an apiary authority as the land to which the authority relates;</w:t>
      </w:r>
    </w:p>
    <w:p>
      <w:pPr>
        <w:pStyle w:val="Defstart"/>
      </w:pPr>
      <w:r>
        <w:rPr>
          <w:b/>
        </w:rPr>
        <w:tab/>
      </w:r>
      <w:r>
        <w:rPr>
          <w:rStyle w:val="CharDefText"/>
        </w:rPr>
        <w:t>South</w:t>
      </w:r>
      <w:r>
        <w:rPr>
          <w:rStyle w:val="CharDefText"/>
        </w:rPr>
        <w:noBreakHyphen/>
        <w:t>west zone</w:t>
      </w:r>
      <w:r>
        <w:t xml:space="preserve"> means those parts of the South</w:t>
      </w:r>
      <w:r>
        <w:noBreakHyphen/>
        <w:t xml:space="preserve">west Division and Eucla Division of the State (as described in the </w:t>
      </w:r>
      <w:r>
        <w:rPr>
          <w:i/>
          <w:iCs/>
        </w:rPr>
        <w:t>Land Administration Act 1997</w:t>
      </w:r>
      <w:r>
        <w:t xml:space="preserve"> Schedule 1) depicted as the South</w:t>
      </w:r>
      <w:r>
        <w:noBreakHyphen/>
        <w:t>west zone on the Department of Environment and Conservation</w:t>
      </w:r>
      <w:r>
        <w:rPr>
          <w:vertAlign w:val="superscript"/>
        </w:rPr>
        <w:t> 3</w:t>
      </w:r>
      <w:r>
        <w:t xml:space="preserve"> plan entitled “South</w:t>
      </w:r>
      <w:r>
        <w:noBreakHyphen/>
        <w:t>west zone — Apiary Permits and Licenses” dated August 2009.</w:t>
      </w:r>
    </w:p>
    <w:p>
      <w:pPr>
        <w:pStyle w:val="Footnotesection"/>
      </w:pPr>
      <w:r>
        <w:tab/>
        <w:t>[Regulation 98A inserted in Gazette 3 Sep 2010 p. 4278</w:t>
      </w:r>
      <w:r>
        <w:noBreakHyphen/>
        <w:t>9.]</w:t>
      </w:r>
    </w:p>
    <w:p>
      <w:pPr>
        <w:pStyle w:val="Heading5"/>
      </w:pPr>
      <w:bookmarkStart w:id="359" w:name="_Toc491956833"/>
      <w:bookmarkStart w:id="360" w:name="_Toc473036016"/>
      <w:r>
        <w:rPr>
          <w:rStyle w:val="CharSectno"/>
        </w:rPr>
        <w:t>98B</w:t>
      </w:r>
      <w:r>
        <w:t>.</w:t>
      </w:r>
      <w:r>
        <w:tab/>
        <w:t>Application of Part 8A</w:t>
      </w:r>
      <w:bookmarkEnd w:id="359"/>
      <w:bookmarkEnd w:id="360"/>
    </w:p>
    <w:p>
      <w:pPr>
        <w:pStyle w:val="Subsection"/>
      </w:pPr>
      <w:r>
        <w:tab/>
      </w:r>
      <w:r>
        <w:tab/>
        <w:t>This Part applies to all land in respect of which an apiary licence or apiary permit may be granted.</w:t>
      </w:r>
    </w:p>
    <w:p>
      <w:pPr>
        <w:pStyle w:val="Footnotesection"/>
      </w:pPr>
      <w:r>
        <w:tab/>
        <w:t>[Regulation 98B inserted in Gazette 3 Sep 2010 p. 4279.]</w:t>
      </w:r>
    </w:p>
    <w:p>
      <w:pPr>
        <w:pStyle w:val="Heading5"/>
      </w:pPr>
      <w:bookmarkStart w:id="361" w:name="_Toc491956834"/>
      <w:bookmarkStart w:id="362" w:name="_Toc473036017"/>
      <w:r>
        <w:rPr>
          <w:rStyle w:val="CharSectno"/>
        </w:rPr>
        <w:t>98C</w:t>
      </w:r>
      <w:r>
        <w:t>.</w:t>
      </w:r>
      <w:r>
        <w:tab/>
        <w:t>Applications</w:t>
      </w:r>
      <w:bookmarkEnd w:id="361"/>
      <w:bookmarkEnd w:id="362"/>
    </w:p>
    <w:p>
      <w:pPr>
        <w:pStyle w:val="Subsection"/>
      </w:pPr>
      <w:r>
        <w:tab/>
        <w:t>(1)</w:t>
      </w:r>
      <w:r>
        <w:tab/>
        <w:t xml:space="preserve">An application — </w:t>
      </w:r>
    </w:p>
    <w:p>
      <w:pPr>
        <w:pStyle w:val="Indenta"/>
      </w:pPr>
      <w:r>
        <w:tab/>
        <w:t>(a)</w:t>
      </w:r>
      <w:r>
        <w:tab/>
        <w:t>for the grant, renewal or transfer of an apiary authority; or</w:t>
      </w:r>
    </w:p>
    <w:p>
      <w:pPr>
        <w:pStyle w:val="Indenta"/>
      </w:pPr>
      <w:r>
        <w:tab/>
        <w:t>(b)</w:t>
      </w:r>
      <w:r>
        <w:tab/>
        <w:t>for the variation of an apiary licence to change the site to which it relates; or</w:t>
      </w:r>
    </w:p>
    <w:p>
      <w:pPr>
        <w:pStyle w:val="Indenta"/>
      </w:pPr>
      <w:r>
        <w:tab/>
        <w:t>(c)</w:t>
      </w:r>
      <w:r>
        <w:tab/>
        <w:t>otherwise relating to an apiary authority,</w:t>
      </w:r>
    </w:p>
    <w:p>
      <w:pPr>
        <w:pStyle w:val="Subsection"/>
      </w:pPr>
      <w:r>
        <w:tab/>
      </w:r>
      <w:r>
        <w:tab/>
        <w:t>must be made to the CEO in writing.</w:t>
      </w:r>
    </w:p>
    <w:p>
      <w:pPr>
        <w:pStyle w:val="Subsection"/>
      </w:pPr>
      <w:r>
        <w:tab/>
        <w:t>(2)</w:t>
      </w:r>
      <w:r>
        <w:tab/>
        <w:t>An applicant must provide the CEO with any relevant information requested by the CEO.</w:t>
      </w:r>
    </w:p>
    <w:p>
      <w:pPr>
        <w:pStyle w:val="Subsection"/>
      </w:pPr>
      <w:r>
        <w:tab/>
        <w:t>(3)</w:t>
      </w:r>
      <w:r>
        <w:tab/>
        <w:t xml:space="preserve">An application may be made in relation to 2 or more apiary authorities in the same form. </w:t>
      </w:r>
    </w:p>
    <w:p>
      <w:pPr>
        <w:pStyle w:val="Subsection"/>
      </w:pPr>
      <w:r>
        <w:tab/>
        <w:t>(4)</w:t>
      </w:r>
      <w:r>
        <w:tab/>
        <w:t>The fees specified in Schedule 1 Division 11 are payable in respect of an application made in relation to an apiary authority.</w:t>
      </w:r>
    </w:p>
    <w:p>
      <w:pPr>
        <w:pStyle w:val="Footnotesection"/>
      </w:pPr>
      <w:r>
        <w:tab/>
        <w:t>[Regulation 98C inserted in Gazette 3 Sep 2010 p. 4279.]</w:t>
      </w:r>
    </w:p>
    <w:p>
      <w:pPr>
        <w:pStyle w:val="Heading5"/>
      </w:pPr>
      <w:bookmarkStart w:id="363" w:name="_Toc491956835"/>
      <w:bookmarkStart w:id="364" w:name="_Toc473036018"/>
      <w:r>
        <w:rPr>
          <w:rStyle w:val="CharSectno"/>
        </w:rPr>
        <w:t>98D</w:t>
      </w:r>
      <w:r>
        <w:t>.</w:t>
      </w:r>
      <w:r>
        <w:tab/>
        <w:t>Maximum area of apiary site</w:t>
      </w:r>
      <w:bookmarkEnd w:id="363"/>
      <w:bookmarkEnd w:id="364"/>
    </w:p>
    <w:p>
      <w:pPr>
        <w:pStyle w:val="Subsection"/>
      </w:pPr>
      <w:r>
        <w:tab/>
      </w:r>
      <w:r>
        <w:tab/>
        <w:t xml:space="preserve">The area of an apiary site for which an apiary authority is granted must not exceed the area that the CEO considers is reasonably necessary to enable an apiary to be efficiently operated on the site. </w:t>
      </w:r>
    </w:p>
    <w:p>
      <w:pPr>
        <w:pStyle w:val="Footnotesection"/>
      </w:pPr>
      <w:r>
        <w:tab/>
        <w:t>[Regulation 98D inserted in Gazette 3 Sep 2010 p. 4279.]</w:t>
      </w:r>
    </w:p>
    <w:p>
      <w:pPr>
        <w:pStyle w:val="Heading5"/>
      </w:pPr>
      <w:bookmarkStart w:id="365" w:name="_Toc491956836"/>
      <w:bookmarkStart w:id="366" w:name="_Toc473036019"/>
      <w:r>
        <w:rPr>
          <w:rStyle w:val="CharSectno"/>
        </w:rPr>
        <w:t>98E</w:t>
      </w:r>
      <w:r>
        <w:t>.</w:t>
      </w:r>
      <w:r>
        <w:tab/>
        <w:t>Form of apiary authority</w:t>
      </w:r>
      <w:bookmarkEnd w:id="365"/>
      <w:bookmarkEnd w:id="366"/>
    </w:p>
    <w:p>
      <w:pPr>
        <w:pStyle w:val="Subsection"/>
      </w:pPr>
      <w:r>
        <w:tab/>
        <w:t>(1)</w:t>
      </w:r>
      <w:r>
        <w:tab/>
        <w:t>An apiary permit is to be in the form of Schedule 3 Form 3.</w:t>
      </w:r>
    </w:p>
    <w:p>
      <w:pPr>
        <w:pStyle w:val="Subsection"/>
      </w:pPr>
      <w:r>
        <w:tab/>
        <w:t>(2)</w:t>
      </w:r>
      <w:r>
        <w:tab/>
        <w:t>An apiary licence is to be in writing in such form as the CEO thinks fit.</w:t>
      </w:r>
    </w:p>
    <w:p>
      <w:pPr>
        <w:pStyle w:val="Footnotesection"/>
      </w:pPr>
      <w:r>
        <w:tab/>
        <w:t>[Regulation 98E inserted in Gazette 3 Sep 2010 p. 4279</w:t>
      </w:r>
      <w:r>
        <w:noBreakHyphen/>
        <w:t>80.]</w:t>
      </w:r>
    </w:p>
    <w:p>
      <w:pPr>
        <w:pStyle w:val="Heading5"/>
      </w:pPr>
      <w:bookmarkStart w:id="367" w:name="_Toc491956837"/>
      <w:bookmarkStart w:id="368" w:name="_Toc473036020"/>
      <w:r>
        <w:rPr>
          <w:rStyle w:val="CharSectno"/>
        </w:rPr>
        <w:t>98F</w:t>
      </w:r>
      <w:r>
        <w:t>.</w:t>
      </w:r>
      <w:r>
        <w:tab/>
        <w:t>Duration of apiary authority</w:t>
      </w:r>
      <w:bookmarkEnd w:id="367"/>
      <w:bookmarkEnd w:id="368"/>
    </w:p>
    <w:p>
      <w:pPr>
        <w:pStyle w:val="Subsection"/>
      </w:pPr>
      <w:r>
        <w:tab/>
        <w:t>(1)</w:t>
      </w:r>
      <w:r>
        <w:tab/>
        <w:t>An apiary authority —</w:t>
      </w:r>
    </w:p>
    <w:p>
      <w:pPr>
        <w:pStyle w:val="Indenta"/>
      </w:pPr>
      <w:r>
        <w:tab/>
        <w:t>(a)</w:t>
      </w:r>
      <w:r>
        <w:tab/>
        <w:t>takes effect on the day on which it is granted or any later day specified in it; and</w:t>
      </w:r>
    </w:p>
    <w:p>
      <w:pPr>
        <w:pStyle w:val="Indenta"/>
      </w:pPr>
      <w:r>
        <w:tab/>
        <w:t>(b)</w:t>
      </w:r>
      <w:r>
        <w:tab/>
        <w:t>remains in force for the period specified in it unless before then it expires under subregulation (2), is surrendered or is cancelled.</w:t>
      </w:r>
    </w:p>
    <w:p>
      <w:pPr>
        <w:pStyle w:val="Subsection"/>
      </w:pPr>
      <w:r>
        <w:tab/>
        <w:t>(2)</w:t>
      </w:r>
      <w:r>
        <w:tab/>
        <w:t>An apiary authority expires if the apiary site ceases to be land in respect of which the authority can be granted under Part VIII Division 1 or 2, as the case requires, of the Act.</w:t>
      </w:r>
    </w:p>
    <w:p>
      <w:pPr>
        <w:pStyle w:val="Subsection"/>
      </w:pPr>
      <w:r>
        <w:tab/>
        <w:t>(3)</w:t>
      </w:r>
      <w:r>
        <w:tab/>
        <w:t>The holder of an apiary authority may surrender it at any time by returning the permit or licence to the CEO, in which case it ceases to have effect when it is received by the CEO.</w:t>
      </w:r>
    </w:p>
    <w:p>
      <w:pPr>
        <w:pStyle w:val="Footnotesection"/>
      </w:pPr>
      <w:r>
        <w:tab/>
        <w:t>[Regulation 98F inserted in Gazette 3 Sep 2010 p. 4280.]</w:t>
      </w:r>
    </w:p>
    <w:p>
      <w:pPr>
        <w:pStyle w:val="Heading5"/>
      </w:pPr>
      <w:bookmarkStart w:id="369" w:name="_Toc491956838"/>
      <w:bookmarkStart w:id="370" w:name="_Toc473036021"/>
      <w:r>
        <w:rPr>
          <w:rStyle w:val="CharSectno"/>
        </w:rPr>
        <w:t>98G</w:t>
      </w:r>
      <w:r>
        <w:t>.</w:t>
      </w:r>
      <w:r>
        <w:tab/>
        <w:t>Conditions</w:t>
      </w:r>
      <w:bookmarkEnd w:id="369"/>
      <w:bookmarkEnd w:id="370"/>
    </w:p>
    <w:p>
      <w:pPr>
        <w:pStyle w:val="Subsection"/>
      </w:pPr>
      <w:r>
        <w:tab/>
        <w:t>(1)</w:t>
      </w:r>
      <w:r>
        <w:tab/>
        <w:t xml:space="preserve">In this regulation — </w:t>
      </w:r>
    </w:p>
    <w:p>
      <w:pPr>
        <w:pStyle w:val="Defstart"/>
      </w:pPr>
      <w:r>
        <w:rPr>
          <w:b/>
        </w:rPr>
        <w:tab/>
      </w:r>
      <w:r>
        <w:rPr>
          <w:rStyle w:val="CharDefText"/>
        </w:rPr>
        <w:t>apiarist</w:t>
      </w:r>
      <w:r>
        <w:t xml:space="preserve"> includes an employee or agent of the apiarist; </w:t>
      </w:r>
    </w:p>
    <w:p>
      <w:pPr>
        <w:pStyle w:val="Defstart"/>
      </w:pPr>
      <w:r>
        <w:rPr>
          <w:b/>
        </w:rPr>
        <w:tab/>
      </w:r>
      <w:r>
        <w:rPr>
          <w:rStyle w:val="CharDefText"/>
        </w:rPr>
        <w:t>local departmental office</w:t>
      </w:r>
      <w:r>
        <w:rPr>
          <w:bCs/>
        </w:rPr>
        <w:t xml:space="preserve">, in relation to an apiary site, </w:t>
      </w:r>
      <w:r>
        <w:t>means the office of the Department responsible for the day</w:t>
      </w:r>
      <w:r>
        <w:noBreakHyphen/>
        <w:t>to</w:t>
      </w:r>
      <w:r>
        <w:noBreakHyphen/>
        <w:t>day management of the area that includes the apiary site.</w:t>
      </w:r>
    </w:p>
    <w:p>
      <w:pPr>
        <w:pStyle w:val="Subsection"/>
      </w:pPr>
      <w:r>
        <w:tab/>
        <w:t>(2)</w:t>
      </w:r>
      <w:r>
        <w:tab/>
        <w:t xml:space="preserve">The following conditions apply to every apiary authority — </w:t>
      </w:r>
    </w:p>
    <w:p>
      <w:pPr>
        <w:pStyle w:val="Indenta"/>
      </w:pPr>
      <w:r>
        <w:tab/>
        <w:t>(a)</w:t>
      </w:r>
      <w:r>
        <w:tab/>
        <w:t>the apiarist must immediately report any outbreak of fire on or near the apiary site to the local departmental office;</w:t>
      </w:r>
    </w:p>
    <w:p>
      <w:pPr>
        <w:pStyle w:val="Indenta"/>
      </w:pPr>
      <w:r>
        <w:tab/>
        <w:t>(b)</w:t>
      </w:r>
      <w:r>
        <w:tab/>
        <w:t>the apiarist must cooperate with the Department and any other authority or person lawfully carrying out fire prevention or control activities on or near the apiary site;</w:t>
      </w:r>
    </w:p>
    <w:p>
      <w:pPr>
        <w:pStyle w:val="Indenta"/>
      </w:pPr>
      <w:r>
        <w:tab/>
        <w:t>(c)</w:t>
      </w:r>
      <w:r>
        <w:tab/>
        <w:t>the apiarist must ensure that there is adequate water on the apiary site for all apiary requirements;</w:t>
      </w:r>
    </w:p>
    <w:p>
      <w:pPr>
        <w:pStyle w:val="Indenta"/>
        <w:keepNext/>
      </w:pPr>
      <w:r>
        <w:tab/>
        <w:t>(d)</w:t>
      </w:r>
      <w:r>
        <w:tab/>
        <w:t xml:space="preserve">before placing hives on the apiary site the apiarist must give notice to — </w:t>
      </w:r>
    </w:p>
    <w:p>
      <w:pPr>
        <w:pStyle w:val="Indenti"/>
      </w:pPr>
      <w:r>
        <w:tab/>
        <w:t>(i)</w:t>
      </w:r>
      <w:r>
        <w:tab/>
        <w:t>the local departmental office; and</w:t>
      </w:r>
    </w:p>
    <w:p>
      <w:pPr>
        <w:pStyle w:val="Indenti"/>
      </w:pPr>
      <w:r>
        <w:tab/>
        <w:t>(ii)</w:t>
      </w:r>
      <w:r>
        <w:tab/>
        <w:t>if the site is on a pastoral lease or mining tenement — the employee or agent of the pastoral lessee or tenement holder who is responsible for the day</w:t>
      </w:r>
      <w:r>
        <w:noBreakHyphen/>
        <w:t>to</w:t>
      </w:r>
      <w:r>
        <w:noBreakHyphen/>
        <w:t>day management of the area of the lease or tenement where the site is located;</w:t>
      </w:r>
    </w:p>
    <w:p>
      <w:pPr>
        <w:pStyle w:val="Indenta"/>
      </w:pPr>
      <w:r>
        <w:tab/>
        <w:t>(e)</w:t>
      </w:r>
      <w:r>
        <w:tab/>
        <w:t>the apiarist must take all reasonably practicable steps to ensure that the apiarist’s activities do not infect the site with, or spread, a forest disease;</w:t>
      </w:r>
    </w:p>
    <w:p>
      <w:pPr>
        <w:pStyle w:val="Indenta"/>
      </w:pPr>
      <w:r>
        <w:tab/>
        <w:t>(f)</w:t>
      </w:r>
      <w:r>
        <w:tab/>
        <w:t xml:space="preserve">the apiarist must comply with the following written laws — </w:t>
      </w:r>
    </w:p>
    <w:p>
      <w:pPr>
        <w:pStyle w:val="Indenti"/>
        <w:rPr>
          <w:snapToGrid w:val="0"/>
        </w:rPr>
      </w:pPr>
      <w:r>
        <w:rPr>
          <w:snapToGrid w:val="0"/>
        </w:rPr>
        <w:tab/>
        <w:t>(i)</w:t>
      </w:r>
      <w:r>
        <w:rPr>
          <w:snapToGrid w:val="0"/>
        </w:rPr>
        <w:tab/>
      </w:r>
      <w:r>
        <w:rPr>
          <w:i/>
          <w:iCs/>
          <w:snapToGrid w:val="0"/>
        </w:rPr>
        <w:t>Conservation and Land Management Act 1984</w:t>
      </w:r>
      <w:r>
        <w:rPr>
          <w:snapToGrid w:val="0"/>
        </w:rPr>
        <w:t>;</w:t>
      </w:r>
    </w:p>
    <w:p>
      <w:pPr>
        <w:pStyle w:val="Indenti"/>
        <w:rPr>
          <w:snapToGrid w:val="0"/>
        </w:rPr>
      </w:pPr>
      <w:r>
        <w:rPr>
          <w:snapToGrid w:val="0"/>
        </w:rPr>
        <w:tab/>
        <w:t>(ii)</w:t>
      </w:r>
      <w:r>
        <w:rPr>
          <w:snapToGrid w:val="0"/>
        </w:rPr>
        <w:tab/>
      </w:r>
      <w:r>
        <w:rPr>
          <w:i/>
          <w:iCs/>
          <w:snapToGrid w:val="0"/>
        </w:rPr>
        <w:t>Bush Fires Act 1954</w:t>
      </w:r>
      <w:r>
        <w:rPr>
          <w:snapToGrid w:val="0"/>
        </w:rPr>
        <w:t>;</w:t>
      </w:r>
    </w:p>
    <w:p>
      <w:pPr>
        <w:pStyle w:val="Indenti"/>
        <w:rPr>
          <w:snapToGrid w:val="0"/>
        </w:rPr>
      </w:pPr>
      <w:r>
        <w:rPr>
          <w:snapToGrid w:val="0"/>
        </w:rPr>
        <w:tab/>
        <w:t>(iii)</w:t>
      </w:r>
      <w:r>
        <w:rPr>
          <w:snapToGrid w:val="0"/>
        </w:rPr>
        <w:tab/>
      </w:r>
      <w:r>
        <w:rPr>
          <w:i/>
        </w:rPr>
        <w:t>Health (Miscellaneous Provisions) Act 1911</w:t>
      </w:r>
      <w:r>
        <w:t>;</w:t>
      </w:r>
    </w:p>
    <w:p>
      <w:pPr>
        <w:pStyle w:val="Indenti"/>
        <w:rPr>
          <w:snapToGrid w:val="0"/>
        </w:rPr>
      </w:pPr>
      <w:r>
        <w:tab/>
        <w:t>(iv)</w:t>
      </w:r>
      <w:r>
        <w:tab/>
        <w:t xml:space="preserve">any written law relating to </w:t>
      </w:r>
      <w:r>
        <w:rPr>
          <w:snapToGrid w:val="0"/>
        </w:rPr>
        <w:t>protection of water catchments or regulation of water supplies.</w:t>
      </w:r>
    </w:p>
    <w:p>
      <w:pPr>
        <w:pStyle w:val="Subsection"/>
      </w:pPr>
      <w:r>
        <w:tab/>
        <w:t>(3)</w:t>
      </w:r>
      <w:r>
        <w:tab/>
        <w:t xml:space="preserve">A notice for the purposes of subregulation (2)(d) must include the following information — </w:t>
      </w:r>
    </w:p>
    <w:p>
      <w:pPr>
        <w:pStyle w:val="Indenta"/>
      </w:pPr>
      <w:r>
        <w:tab/>
        <w:t>(a)</w:t>
      </w:r>
      <w:r>
        <w:tab/>
        <w:t>the proposed location of the hives;</w:t>
      </w:r>
    </w:p>
    <w:p>
      <w:pPr>
        <w:pStyle w:val="Indenta"/>
      </w:pPr>
      <w:r>
        <w:tab/>
        <w:t>(b)</w:t>
      </w:r>
      <w:r>
        <w:tab/>
        <w:t>the number of hives proposed to be placed on the site;</w:t>
      </w:r>
    </w:p>
    <w:p>
      <w:pPr>
        <w:pStyle w:val="Indenta"/>
      </w:pPr>
      <w:r>
        <w:tab/>
        <w:t>(c)</w:t>
      </w:r>
      <w:r>
        <w:tab/>
        <w:t>how long it is proposed the hives will remain on the site;</w:t>
      </w:r>
    </w:p>
    <w:p>
      <w:pPr>
        <w:pStyle w:val="Indenta"/>
      </w:pPr>
      <w:r>
        <w:tab/>
        <w:t>(d)</w:t>
      </w:r>
      <w:r>
        <w:tab/>
        <w:t>the names of the people who are expected to be entering the site for apiary purposes.</w:t>
      </w:r>
    </w:p>
    <w:p>
      <w:pPr>
        <w:pStyle w:val="Footnotesection"/>
      </w:pPr>
      <w:r>
        <w:tab/>
        <w:t>[Regulation 98G inserted in Gazette 3 Sep 2010 p. 4280</w:t>
      </w:r>
      <w:r>
        <w:noBreakHyphen/>
        <w:t>1; amended in Gazette 10 Jan 2017 p. 192.]</w:t>
      </w:r>
    </w:p>
    <w:p>
      <w:pPr>
        <w:pStyle w:val="Heading5"/>
      </w:pPr>
      <w:bookmarkStart w:id="371" w:name="_Toc491956839"/>
      <w:bookmarkStart w:id="372" w:name="_Toc473036022"/>
      <w:r>
        <w:rPr>
          <w:rStyle w:val="CharSectno"/>
        </w:rPr>
        <w:t>98H</w:t>
      </w:r>
      <w:r>
        <w:t>.</w:t>
      </w:r>
      <w:r>
        <w:tab/>
        <w:t>Application of regulations to apiary sites that are not on CALM land</w:t>
      </w:r>
      <w:bookmarkEnd w:id="371"/>
      <w:bookmarkEnd w:id="372"/>
    </w:p>
    <w:p>
      <w:pPr>
        <w:pStyle w:val="Subsection"/>
      </w:pPr>
      <w:r>
        <w:tab/>
      </w:r>
      <w:r>
        <w:tab/>
        <w:t>If an apiary site is on land that is not CALM land, the regulations listed in the Table apply in relation to the apiarist, any employee or agent of the apiarist and any other person who is on the site for a purpose related to the operation of the apiary, as if the apiary site were CALM land.</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t>r. 21</w:t>
            </w:r>
          </w:p>
        </w:tc>
        <w:tc>
          <w:tcPr>
            <w:tcW w:w="2764" w:type="dxa"/>
          </w:tcPr>
          <w:p>
            <w:pPr>
              <w:pStyle w:val="TableNAm"/>
            </w:pPr>
            <w:r>
              <w:t>r. 23</w:t>
            </w:r>
          </w:p>
        </w:tc>
      </w:tr>
      <w:tr>
        <w:tc>
          <w:tcPr>
            <w:tcW w:w="2764" w:type="dxa"/>
          </w:tcPr>
          <w:p>
            <w:pPr>
              <w:pStyle w:val="TableNAm"/>
            </w:pPr>
            <w:r>
              <w:t>r. 24</w:t>
            </w:r>
          </w:p>
        </w:tc>
        <w:tc>
          <w:tcPr>
            <w:tcW w:w="2764" w:type="dxa"/>
          </w:tcPr>
          <w:p>
            <w:pPr>
              <w:pStyle w:val="TableNAm"/>
            </w:pPr>
            <w:r>
              <w:t>r. 25</w:t>
            </w:r>
          </w:p>
        </w:tc>
      </w:tr>
      <w:tr>
        <w:tc>
          <w:tcPr>
            <w:tcW w:w="2764" w:type="dxa"/>
          </w:tcPr>
          <w:p>
            <w:pPr>
              <w:pStyle w:val="TableNAm"/>
            </w:pPr>
            <w:r>
              <w:t>r. 27</w:t>
            </w:r>
          </w:p>
        </w:tc>
        <w:tc>
          <w:tcPr>
            <w:tcW w:w="2764" w:type="dxa"/>
          </w:tcPr>
          <w:p>
            <w:pPr>
              <w:pStyle w:val="TableNAm"/>
            </w:pPr>
            <w:r>
              <w:t>r. 31</w:t>
            </w:r>
          </w:p>
        </w:tc>
      </w:tr>
      <w:tr>
        <w:tc>
          <w:tcPr>
            <w:tcW w:w="2764" w:type="dxa"/>
          </w:tcPr>
          <w:p>
            <w:pPr>
              <w:pStyle w:val="TableNAm"/>
            </w:pPr>
            <w:r>
              <w:t>r. 34</w:t>
            </w:r>
          </w:p>
        </w:tc>
        <w:tc>
          <w:tcPr>
            <w:tcW w:w="2764" w:type="dxa"/>
          </w:tcPr>
          <w:p>
            <w:pPr>
              <w:pStyle w:val="TableNAm"/>
            </w:pPr>
            <w:r>
              <w:t>r. 35</w:t>
            </w:r>
          </w:p>
        </w:tc>
      </w:tr>
      <w:tr>
        <w:tc>
          <w:tcPr>
            <w:tcW w:w="2764" w:type="dxa"/>
          </w:tcPr>
          <w:p>
            <w:pPr>
              <w:pStyle w:val="TableNAm"/>
            </w:pPr>
            <w:r>
              <w:t>r. 36</w:t>
            </w:r>
          </w:p>
        </w:tc>
        <w:tc>
          <w:tcPr>
            <w:tcW w:w="2764" w:type="dxa"/>
          </w:tcPr>
          <w:p>
            <w:pPr>
              <w:pStyle w:val="TableNAm"/>
            </w:pPr>
            <w:r>
              <w:t>r. 38</w:t>
            </w:r>
          </w:p>
        </w:tc>
      </w:tr>
    </w:tbl>
    <w:p>
      <w:pPr>
        <w:pStyle w:val="Footnotesection"/>
      </w:pPr>
      <w:r>
        <w:tab/>
        <w:t>[Regulation 98H inserted in Gazette 3 Sep 2010 p. 4281.]</w:t>
      </w:r>
    </w:p>
    <w:p>
      <w:pPr>
        <w:pStyle w:val="Heading5"/>
      </w:pPr>
      <w:bookmarkStart w:id="373" w:name="_Toc491956840"/>
      <w:bookmarkStart w:id="374" w:name="_Toc473036023"/>
      <w:r>
        <w:rPr>
          <w:rStyle w:val="CharSectno"/>
        </w:rPr>
        <w:t>98I</w:t>
      </w:r>
      <w:r>
        <w:t>.</w:t>
      </w:r>
      <w:r>
        <w:tab/>
        <w:t>Other operations not affected by apiary</w:t>
      </w:r>
      <w:bookmarkEnd w:id="373"/>
      <w:bookmarkEnd w:id="374"/>
    </w:p>
    <w:p>
      <w:pPr>
        <w:pStyle w:val="Subsection"/>
      </w:pPr>
      <w:r>
        <w:tab/>
        <w:t>(1)</w:t>
      </w:r>
      <w:r>
        <w:tab/>
        <w:t>The fact that an apiary authority is in force in respect of a site does not affect the right of any person who has lawful authority to do so from doing any of the following, whether on the site or elsewhere —</w:t>
      </w:r>
    </w:p>
    <w:p>
      <w:pPr>
        <w:pStyle w:val="Indenta"/>
      </w:pPr>
      <w:r>
        <w:tab/>
        <w:t>(a)</w:t>
      </w:r>
      <w:r>
        <w:tab/>
        <w:t>felling, cutting or removing any forest produce;</w:t>
      </w:r>
    </w:p>
    <w:p>
      <w:pPr>
        <w:pStyle w:val="Indenta"/>
      </w:pPr>
      <w:r>
        <w:tab/>
        <w:t>(b)</w:t>
      </w:r>
      <w:r>
        <w:tab/>
        <w:t>carrying out any fire control or prevention activity, including the construction and maintenance of firebreaks and managed burning;</w:t>
      </w:r>
    </w:p>
    <w:p>
      <w:pPr>
        <w:pStyle w:val="Indenta"/>
      </w:pPr>
      <w:r>
        <w:tab/>
        <w:t>(c)</w:t>
      </w:r>
      <w:r>
        <w:tab/>
        <w:t>doing anything that is required or permitted to be done under a management plan.</w:t>
      </w:r>
    </w:p>
    <w:p>
      <w:pPr>
        <w:pStyle w:val="Subsection"/>
      </w:pPr>
      <w:r>
        <w:tab/>
        <w:t>(2)</w:t>
      </w:r>
      <w:r>
        <w:tab/>
        <w:t>The holder of an apiary authority is not entitled to compensation for any loss or damage arising from the carrying out of any such activity.</w:t>
      </w:r>
    </w:p>
    <w:p>
      <w:pPr>
        <w:pStyle w:val="Footnotesection"/>
      </w:pPr>
      <w:r>
        <w:tab/>
        <w:t>[Regulation 98I inserted in Gazette 3 Sep 2010 p. 4282.]</w:t>
      </w:r>
    </w:p>
    <w:p>
      <w:pPr>
        <w:pStyle w:val="Heading5"/>
      </w:pPr>
      <w:bookmarkStart w:id="375" w:name="_Toc491956841"/>
      <w:bookmarkStart w:id="376" w:name="_Toc473036024"/>
      <w:r>
        <w:rPr>
          <w:rStyle w:val="CharSectno"/>
        </w:rPr>
        <w:t>98J</w:t>
      </w:r>
      <w:r>
        <w:t>.</w:t>
      </w:r>
      <w:r>
        <w:tab/>
        <w:t>False or misleading information</w:t>
      </w:r>
      <w:bookmarkEnd w:id="375"/>
      <w:bookmarkEnd w:id="376"/>
    </w:p>
    <w:p>
      <w:pPr>
        <w:pStyle w:val="Subsection"/>
      </w:pPr>
      <w:r>
        <w:tab/>
      </w:r>
      <w:r>
        <w:tab/>
        <w:t>A person must not, in relation to an apiary authority, give information orally or in writing to the CEO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98J inserted in Gazette 3 Sep 2010 p. 4282.]</w:t>
      </w:r>
    </w:p>
    <w:p>
      <w:pPr>
        <w:pStyle w:val="Heading5"/>
      </w:pPr>
      <w:bookmarkStart w:id="377" w:name="_Toc473036025"/>
      <w:bookmarkStart w:id="378" w:name="_Toc491956842"/>
      <w:r>
        <w:rPr>
          <w:rStyle w:val="CharSectno"/>
        </w:rPr>
        <w:t>98K</w:t>
      </w:r>
      <w:r>
        <w:t>.</w:t>
      </w:r>
      <w:r>
        <w:tab/>
      </w:r>
      <w:del w:id="379" w:author="Master Repository Process" w:date="2021-07-31T20:58:00Z">
        <w:r>
          <w:delText>Rent for apiary sites</w:delText>
        </w:r>
      </w:del>
      <w:bookmarkEnd w:id="377"/>
      <w:ins w:id="380" w:author="Master Repository Process" w:date="2021-07-31T20:58:00Z">
        <w:r>
          <w:t>Apiary site fee</w:t>
        </w:r>
      </w:ins>
      <w:bookmarkEnd w:id="378"/>
    </w:p>
    <w:p>
      <w:pPr>
        <w:pStyle w:val="Subsection"/>
        <w:rPr>
          <w:ins w:id="381" w:author="Master Repository Process" w:date="2021-07-31T20:58:00Z"/>
        </w:rPr>
      </w:pPr>
      <w:r>
        <w:tab/>
        <w:t>(1)</w:t>
      </w:r>
      <w:r>
        <w:tab/>
        <w:t xml:space="preserve">The holder of an apiary authority is to pay to the CEO </w:t>
      </w:r>
      <w:ins w:id="382" w:author="Master Repository Process" w:date="2021-07-31T20:58:00Z">
        <w:r>
          <w:t xml:space="preserve">an </w:t>
        </w:r>
      </w:ins>
      <w:r>
        <w:t xml:space="preserve">annual </w:t>
      </w:r>
      <w:del w:id="383" w:author="Master Repository Process" w:date="2021-07-31T20:58:00Z">
        <w:r>
          <w:delText>rent</w:delText>
        </w:r>
      </w:del>
      <w:ins w:id="384" w:author="Master Repository Process" w:date="2021-07-31T20:58:00Z">
        <w:r>
          <w:t>fee</w:t>
        </w:r>
      </w:ins>
      <w:r>
        <w:t xml:space="preserve"> for each apiary site at the rate set out in </w:t>
      </w:r>
      <w:del w:id="385" w:author="Master Repository Process" w:date="2021-07-31T20:58:00Z">
        <w:r>
          <w:delText>subregulation (</w:delText>
        </w:r>
      </w:del>
      <w:ins w:id="386" w:author="Master Repository Process" w:date="2021-07-31T20:58:00Z">
        <w:r>
          <w:t>Schedule 1 Division 11 item 5.</w:t>
        </w:r>
      </w:ins>
    </w:p>
    <w:p>
      <w:pPr>
        <w:pStyle w:val="Ednotesubsection"/>
      </w:pPr>
      <w:ins w:id="387" w:author="Master Repository Process" w:date="2021-07-31T20:58:00Z">
        <w:r>
          <w:tab/>
          <w:t>[(</w:t>
        </w:r>
      </w:ins>
      <w:r>
        <w:t>2</w:t>
      </w:r>
      <w:del w:id="388" w:author="Master Repository Process" w:date="2021-07-31T20:58:00Z">
        <w:r>
          <w:delText>).</w:delText>
        </w:r>
      </w:del>
      <w:ins w:id="389" w:author="Master Repository Process" w:date="2021-07-31T20:58:00Z">
        <w:r>
          <w:t>)</w:t>
        </w:r>
        <w:r>
          <w:tab/>
          <w:t>deleted]</w:t>
        </w:r>
      </w:ins>
    </w:p>
    <w:p>
      <w:pPr>
        <w:pStyle w:val="Subsection"/>
        <w:rPr>
          <w:del w:id="390" w:author="Master Repository Process" w:date="2021-07-31T20:58:00Z"/>
        </w:rPr>
      </w:pPr>
      <w:del w:id="391" w:author="Master Repository Process" w:date="2021-07-31T20:58:00Z">
        <w:r>
          <w:tab/>
          <w:delText>(2)</w:delText>
        </w:r>
        <w:r>
          <w:tab/>
          <w:delText xml:space="preserve">The rate of rent is — </w:delText>
        </w:r>
      </w:del>
    </w:p>
    <w:p>
      <w:pPr>
        <w:pStyle w:val="Indenta"/>
        <w:rPr>
          <w:del w:id="392" w:author="Master Repository Process" w:date="2021-07-31T20:58:00Z"/>
        </w:rPr>
      </w:pPr>
      <w:del w:id="393" w:author="Master Repository Process" w:date="2021-07-31T20:58:00Z">
        <w:r>
          <w:tab/>
          <w:delText>(a)</w:delText>
        </w:r>
        <w:r>
          <w:tab/>
          <w:delText>if the site is in the South</w:delText>
        </w:r>
        <w:r>
          <w:noBreakHyphen/>
          <w:delText>west zone — $84; or</w:delText>
        </w:r>
      </w:del>
    </w:p>
    <w:p>
      <w:pPr>
        <w:pStyle w:val="Indenta"/>
        <w:rPr>
          <w:del w:id="394" w:author="Master Repository Process" w:date="2021-07-31T20:58:00Z"/>
        </w:rPr>
      </w:pPr>
      <w:del w:id="395" w:author="Master Repository Process" w:date="2021-07-31T20:58:00Z">
        <w:r>
          <w:tab/>
          <w:delText>(b)</w:delText>
        </w:r>
        <w:r>
          <w:tab/>
          <w:delText>if the site is outside the South</w:delText>
        </w:r>
        <w:r>
          <w:noBreakHyphen/>
          <w:delText>west zone — $42.</w:delText>
        </w:r>
      </w:del>
    </w:p>
    <w:p>
      <w:pPr>
        <w:pStyle w:val="Subsection"/>
      </w:pPr>
      <w:r>
        <w:tab/>
        <w:t>(3)</w:t>
      </w:r>
      <w:r>
        <w:tab/>
        <w:t xml:space="preserve">The </w:t>
      </w:r>
      <w:del w:id="396" w:author="Master Repository Process" w:date="2021-07-31T20:58:00Z">
        <w:r>
          <w:delText>rent</w:delText>
        </w:r>
      </w:del>
      <w:ins w:id="397" w:author="Master Repository Process" w:date="2021-07-31T20:58:00Z">
        <w:r>
          <w:t>fee</w:t>
        </w:r>
      </w:ins>
      <w:r>
        <w:t xml:space="preserve"> is payable annually in advance on the date on which the apiary authority takes effect and each anniversary of that date.</w:t>
      </w:r>
    </w:p>
    <w:p>
      <w:pPr>
        <w:pStyle w:val="Subsection"/>
      </w:pPr>
      <w:r>
        <w:tab/>
        <w:t>(4)</w:t>
      </w:r>
      <w:r>
        <w:tab/>
        <w:t xml:space="preserve">If an apiary authority is to be in force for part only of a year the </w:t>
      </w:r>
      <w:del w:id="398" w:author="Master Repository Process" w:date="2021-07-31T20:58:00Z">
        <w:r>
          <w:delText>rent</w:delText>
        </w:r>
      </w:del>
      <w:ins w:id="399" w:author="Master Repository Process" w:date="2021-07-31T20:58:00Z">
        <w:r>
          <w:t>fee</w:t>
        </w:r>
      </w:ins>
      <w:r>
        <w:t xml:space="preserve"> payable for that year is reduced proportionately.</w:t>
      </w:r>
    </w:p>
    <w:p>
      <w:pPr>
        <w:pStyle w:val="Subsection"/>
      </w:pPr>
      <w:r>
        <w:tab/>
        <w:t>(5)</w:t>
      </w:r>
      <w:r>
        <w:tab/>
        <w:t xml:space="preserve">The </w:t>
      </w:r>
      <w:del w:id="400" w:author="Master Repository Process" w:date="2021-07-31T20:58:00Z">
        <w:r>
          <w:delText>rent</w:delText>
        </w:r>
      </w:del>
      <w:ins w:id="401" w:author="Master Repository Process" w:date="2021-07-31T20:58:00Z">
        <w:r>
          <w:t>fee</w:t>
        </w:r>
      </w:ins>
      <w:r>
        <w:t xml:space="preserve"> is payable whether or not the apiarist places any hives on, or removes any forest produce from, the apiary site.</w:t>
      </w:r>
    </w:p>
    <w:p>
      <w:pPr>
        <w:pStyle w:val="Footnotesection"/>
      </w:pPr>
      <w:r>
        <w:tab/>
        <w:t>[Regulation 98K inserted in Gazette 3 Sep 2010 p. </w:t>
      </w:r>
      <w:del w:id="402" w:author="Master Repository Process" w:date="2021-07-31T20:58:00Z">
        <w:r>
          <w:delText>4282</w:delText>
        </w:r>
      </w:del>
      <w:ins w:id="403" w:author="Master Repository Process" w:date="2021-07-31T20:58:00Z">
        <w:r>
          <w:t>4282; amended in Gazette 1 Sep 2017 p. 4649</w:t>
        </w:r>
        <w:r>
          <w:noBreakHyphen/>
          <w:t>50</w:t>
        </w:r>
      </w:ins>
      <w:r>
        <w:t>.]</w:t>
      </w:r>
    </w:p>
    <w:p>
      <w:pPr>
        <w:pStyle w:val="Heading2"/>
      </w:pPr>
      <w:bookmarkStart w:id="404" w:name="_Toc491954689"/>
      <w:bookmarkStart w:id="405" w:name="_Toc491956843"/>
      <w:bookmarkStart w:id="406" w:name="_Toc473019288"/>
      <w:bookmarkStart w:id="407" w:name="_Toc473036026"/>
      <w:r>
        <w:rPr>
          <w:rStyle w:val="CharPartNo"/>
        </w:rPr>
        <w:t>Part 8</w:t>
      </w:r>
      <w:r>
        <w:rPr>
          <w:rStyle w:val="CharDivNo"/>
        </w:rPr>
        <w:t xml:space="preserve"> </w:t>
      </w:r>
      <w:r>
        <w:t>—</w:t>
      </w:r>
      <w:r>
        <w:rPr>
          <w:rStyle w:val="CharDivText"/>
        </w:rPr>
        <w:t xml:space="preserve"> </w:t>
      </w:r>
      <w:r>
        <w:rPr>
          <w:rStyle w:val="CharPartText"/>
        </w:rPr>
        <w:t>Fees</w:t>
      </w:r>
      <w:bookmarkEnd w:id="404"/>
      <w:bookmarkEnd w:id="405"/>
      <w:bookmarkEnd w:id="406"/>
      <w:bookmarkEnd w:id="407"/>
    </w:p>
    <w:p>
      <w:pPr>
        <w:pStyle w:val="Footnoteheading"/>
      </w:pPr>
      <w:r>
        <w:tab/>
        <w:t>[Heading amended in Gazette 29 Sep 2006 p. 4319.]</w:t>
      </w:r>
    </w:p>
    <w:p>
      <w:pPr>
        <w:pStyle w:val="Heading5"/>
        <w:spacing w:before="240"/>
        <w:rPr>
          <w:snapToGrid w:val="0"/>
        </w:rPr>
      </w:pPr>
      <w:bookmarkStart w:id="408" w:name="_Toc491956844"/>
      <w:bookmarkStart w:id="409" w:name="_Toc473036027"/>
      <w:r>
        <w:rPr>
          <w:rStyle w:val="CharSectno"/>
        </w:rPr>
        <w:t>99</w:t>
      </w:r>
      <w:r>
        <w:rPr>
          <w:snapToGrid w:val="0"/>
        </w:rPr>
        <w:t>.</w:t>
      </w:r>
      <w:r>
        <w:rPr>
          <w:snapToGrid w:val="0"/>
        </w:rPr>
        <w:tab/>
        <w:t>Entrance fees</w:t>
      </w:r>
      <w:r>
        <w:rPr>
          <w:b w:val="0"/>
        </w:rPr>
        <w:t xml:space="preserve"> </w:t>
      </w:r>
      <w:r>
        <w:t>for motor vehicles</w:t>
      </w:r>
      <w:bookmarkEnd w:id="408"/>
      <w:bookmarkEnd w:id="409"/>
      <w:r>
        <w:rPr>
          <w:snapToGrid w:val="0"/>
        </w:rPr>
        <w:t xml:space="preserve"> </w:t>
      </w:r>
    </w:p>
    <w:p>
      <w:pPr>
        <w:pStyle w:val="Subsection"/>
        <w:spacing w:before="180"/>
        <w:rPr>
          <w:snapToGrid w:val="0"/>
        </w:rPr>
      </w:pPr>
      <w:r>
        <w:rPr>
          <w:snapToGrid w:val="0"/>
        </w:rPr>
        <w:tab/>
        <w:t>(1)</w:t>
      </w:r>
      <w:r>
        <w:rPr>
          <w:snapToGrid w:val="0"/>
        </w:rPr>
        <w:tab/>
        <w:t>In this regulation — </w:t>
      </w:r>
    </w:p>
    <w:p>
      <w:pPr>
        <w:pStyle w:val="Defstart"/>
      </w:pPr>
      <w:r>
        <w:tab/>
      </w:r>
      <w:r>
        <w:rPr>
          <w:rStyle w:val="CharDefText"/>
        </w:rPr>
        <w:t>non</w:t>
      </w:r>
      <w:r>
        <w:rPr>
          <w:rStyle w:val="CharDefText"/>
        </w:rPr>
        <w:noBreakHyphen/>
        <w:t>tour motor vehicle</w:t>
      </w:r>
      <w:r>
        <w:rPr>
          <w:b/>
        </w:rPr>
        <w:t xml:space="preserve"> </w:t>
      </w:r>
      <w:r>
        <w:t>means a motor vehicle that is not a tour vehicle;</w:t>
      </w:r>
    </w:p>
    <w:p>
      <w:pPr>
        <w:pStyle w:val="Defstart"/>
      </w:pPr>
      <w:r>
        <w:tab/>
      </w:r>
      <w:r>
        <w:rPr>
          <w:rStyle w:val="CharDefText"/>
        </w:rPr>
        <w:t>tour vehicle</w:t>
      </w:r>
      <w:r>
        <w:t xml:space="preserve"> means — </w:t>
      </w:r>
    </w:p>
    <w:p>
      <w:pPr>
        <w:pStyle w:val="Defpara"/>
        <w:spacing w:before="60"/>
      </w:pPr>
      <w:r>
        <w:tab/>
        <w:t>(a)</w:t>
      </w:r>
      <w:r>
        <w:tab/>
        <w:t>a vehicle that is fitted with seats for 8 or more adult persons, including the driver, and is being used to carry passengers for separate fares; or</w:t>
      </w:r>
    </w:p>
    <w:p>
      <w:pPr>
        <w:pStyle w:val="Defpara"/>
        <w:spacing w:before="60"/>
      </w:pPr>
      <w:r>
        <w:tab/>
        <w:t>(b)</w:t>
      </w:r>
      <w:r>
        <w:tab/>
        <w:t xml:space="preserve">a taxi within the meaning of the </w:t>
      </w:r>
      <w:r>
        <w:rPr>
          <w:i/>
        </w:rPr>
        <w:t>Taxi Act 1994</w:t>
      </w:r>
      <w:r>
        <w:t>; or</w:t>
      </w:r>
    </w:p>
    <w:p>
      <w:pPr>
        <w:pStyle w:val="Defpara"/>
        <w:spacing w:before="60"/>
      </w:pPr>
      <w:r>
        <w:tab/>
        <w:t>(c)</w:t>
      </w:r>
      <w:r>
        <w:tab/>
        <w:t>a vehicle that is licensed to stand or ply for the carriage of passengers for reward; or</w:t>
      </w:r>
    </w:p>
    <w:p>
      <w:pPr>
        <w:pStyle w:val="Defpara"/>
        <w:spacing w:before="60"/>
      </w:pPr>
      <w:r>
        <w:tab/>
        <w:t>(d)</w:t>
      </w:r>
      <w:r>
        <w:tab/>
        <w:t>a vehicle that is fitted with seats for 13 or more persons, including the driver of the vehicle, and is being used to carry 13 or more persons, including the driver.</w:t>
      </w:r>
    </w:p>
    <w:p>
      <w:pPr>
        <w:pStyle w:val="Subsection"/>
        <w:spacing w:before="180"/>
        <w:rPr>
          <w:snapToGrid w:val="0"/>
        </w:rPr>
      </w:pPr>
      <w:r>
        <w:rPr>
          <w:snapToGrid w:val="0"/>
        </w:rPr>
        <w:tab/>
        <w:t>(2)</w:t>
      </w:r>
      <w:r>
        <w:rPr>
          <w:snapToGrid w:val="0"/>
        </w:rPr>
        <w:tab/>
        <w:t>Subject to subregulations (3) and (4) and Schedule 1 Division 1 — </w:t>
      </w:r>
    </w:p>
    <w:p>
      <w:pPr>
        <w:pStyle w:val="Indenta"/>
        <w:spacing w:before="60"/>
        <w:rPr>
          <w:snapToGrid w:val="0"/>
        </w:rPr>
      </w:pPr>
      <w:r>
        <w:rPr>
          <w:snapToGrid w:val="0"/>
        </w:rPr>
        <w:tab/>
        <w:t>(a)</w:t>
      </w:r>
      <w:r>
        <w:rPr>
          <w:snapToGrid w:val="0"/>
        </w:rPr>
        <w:tab/>
        <w:t>the relevant fee specified in Schedule 1 Division 1 item 1, 2 or 5 is payable daily per non</w:t>
      </w:r>
      <w:r>
        <w:rPr>
          <w:snapToGrid w:val="0"/>
        </w:rPr>
        <w:noBreakHyphen/>
        <w:t>tour motor vehicle entering an area of CALM land, and the person in charge of the vehicle is liable to pay the relevant fee; and</w:t>
      </w:r>
    </w:p>
    <w:p>
      <w:pPr>
        <w:pStyle w:val="Indenta"/>
        <w:spacing w:before="60"/>
        <w:rPr>
          <w:snapToGrid w:val="0"/>
        </w:rPr>
      </w:pPr>
      <w:r>
        <w:rPr>
          <w:snapToGrid w:val="0"/>
        </w:rPr>
        <w:tab/>
        <w:t>(b)</w:t>
      </w:r>
      <w:r>
        <w:rPr>
          <w:snapToGrid w:val="0"/>
        </w:rPr>
        <w:tab/>
        <w:t>the relevant fee specified in Schedule 1 Division 1 item 3, 4, or 6 is payable daily per occupant of a tour vehicle entering an area of CALM land, and the owner or operator of the tour vehicle is liable to pay the fee for every occupant of the tour vehicle.</w:t>
      </w:r>
    </w:p>
    <w:p>
      <w:pPr>
        <w:pStyle w:val="Subsection"/>
      </w:pPr>
      <w:r>
        <w:tab/>
        <w:t>(3)</w:t>
      </w:r>
      <w:r>
        <w:tab/>
        <w:t xml:space="preserve">Fees are not payable under this regulation unless the CEO has erected — </w:t>
      </w:r>
    </w:p>
    <w:p>
      <w:pPr>
        <w:pStyle w:val="Indenta"/>
        <w:spacing w:before="60"/>
      </w:pPr>
      <w:r>
        <w:tab/>
        <w:t>(a)</w:t>
      </w:r>
      <w:r>
        <w:tab/>
        <w:t>signs at or near the entrances to the area of CALM land stating that fees are payable for entry to that area; and</w:t>
      </w:r>
    </w:p>
    <w:p>
      <w:pPr>
        <w:pStyle w:val="Indenta"/>
      </w:pPr>
      <w:r>
        <w:tab/>
        <w:t>(b)</w:t>
      </w:r>
      <w:r>
        <w:tab/>
        <w:t xml:space="preserve">signs at or near the entrances to the area of CALM land, or at or near the place on CALM land at which the fees are collected, specifying — </w:t>
      </w:r>
    </w:p>
    <w:p>
      <w:pPr>
        <w:pStyle w:val="Indenti"/>
      </w:pPr>
      <w:r>
        <w:tab/>
        <w:t>(i)</w:t>
      </w:r>
      <w:r>
        <w:tab/>
        <w:t>the fees that are payable; and</w:t>
      </w:r>
    </w:p>
    <w:p>
      <w:pPr>
        <w:pStyle w:val="Indenti"/>
      </w:pPr>
      <w:r>
        <w:tab/>
        <w:t>(ii)</w:t>
      </w:r>
      <w:r>
        <w:tab/>
        <w:t>the manner in which the fees are to be paid.</w:t>
      </w:r>
    </w:p>
    <w:p>
      <w:pPr>
        <w:pStyle w:val="Subsection"/>
        <w:rPr>
          <w:snapToGrid w:val="0"/>
        </w:rPr>
      </w:pPr>
      <w:r>
        <w:tab/>
        <w:t>(4)</w:t>
      </w:r>
      <w:r>
        <w:tab/>
      </w:r>
      <w:r>
        <w:rPr>
          <w:snapToGrid w:val="0"/>
        </w:rPr>
        <w:t>A person is not liable to pay a fee under this regulation for entry in a non</w:t>
      </w:r>
      <w:r>
        <w:rPr>
          <w:snapToGrid w:val="0"/>
        </w:rPr>
        <w:noBreakHyphen/>
        <w:t xml:space="preserve">tour motor vehicle to an area of CALM land if that person has — </w:t>
      </w:r>
    </w:p>
    <w:p>
      <w:pPr>
        <w:pStyle w:val="Indenta"/>
        <w:spacing w:before="70"/>
        <w:rPr>
          <w:snapToGrid w:val="0"/>
        </w:rPr>
      </w:pPr>
      <w:r>
        <w:rPr>
          <w:snapToGrid w:val="0"/>
        </w:rPr>
        <w:tab/>
        <w:t>(a)</w:t>
      </w:r>
      <w:r>
        <w:rPr>
          <w:snapToGrid w:val="0"/>
        </w:rPr>
        <w:tab/>
        <w:t>paid the fee prescribed in Schedule 1 Division 2 for an extended pass for that person to enter that area at the relevant time and complied with any conditions on entry set out in that Division for that fee; or</w:t>
      </w:r>
    </w:p>
    <w:p>
      <w:pPr>
        <w:pStyle w:val="Indenta"/>
        <w:spacing w:before="70"/>
      </w:pPr>
      <w:r>
        <w:rPr>
          <w:snapToGrid w:val="0"/>
        </w:rPr>
        <w:tab/>
        <w:t>(b)</w:t>
      </w:r>
      <w:r>
        <w:rPr>
          <w:snapToGrid w:val="0"/>
        </w:rPr>
        <w:tab/>
        <w:t>been otherwise authorised by the CEO to enter that area.</w:t>
      </w:r>
    </w:p>
    <w:p>
      <w:pPr>
        <w:pStyle w:val="Subsection"/>
        <w:rPr>
          <w:snapToGrid w:val="0"/>
        </w:rPr>
      </w:pPr>
      <w:r>
        <w:rPr>
          <w:snapToGrid w:val="0"/>
        </w:rPr>
        <w:tab/>
        <w:t>(5)</w:t>
      </w:r>
      <w:r>
        <w:rPr>
          <w:snapToGrid w:val="0"/>
        </w:rPr>
        <w:tab/>
        <w:t>A person must pay, in the manner specified on a sign under subregulation (3)</w:t>
      </w:r>
      <w:r>
        <w:t>(b)(ii),</w:t>
      </w:r>
      <w:r>
        <w:rPr>
          <w:snapToGrid w:val="0"/>
        </w:rPr>
        <w:t xml:space="preserve">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pPr>
      <w:r>
        <w:tab/>
        <w:t>(6)</w:t>
      </w:r>
      <w:r>
        <w:tab/>
        <w:t>This regulation does not apply to aircraft.</w:t>
      </w:r>
    </w:p>
    <w:p>
      <w:pPr>
        <w:pStyle w:val="Footnotesection"/>
      </w:pPr>
      <w:r>
        <w:tab/>
        <w:t>[Regulation 99 amended in Gazette 29 Sep 2006 p. 4320 and 4334; 3 Dec 2010 p. 6049 and 6052</w:t>
      </w:r>
      <w:r>
        <w:noBreakHyphen/>
        <w:t>4.]</w:t>
      </w:r>
    </w:p>
    <w:p>
      <w:pPr>
        <w:pStyle w:val="Heading5"/>
      </w:pPr>
      <w:bookmarkStart w:id="410" w:name="_Toc491956845"/>
      <w:bookmarkStart w:id="411" w:name="_Toc473036028"/>
      <w:r>
        <w:rPr>
          <w:rStyle w:val="CharSectno"/>
        </w:rPr>
        <w:t>99A</w:t>
      </w:r>
      <w:r>
        <w:t>.</w:t>
      </w:r>
      <w:r>
        <w:tab/>
        <w:t>Landing fees for aircraft</w:t>
      </w:r>
      <w:bookmarkEnd w:id="410"/>
      <w:bookmarkEnd w:id="411"/>
    </w:p>
    <w:p>
      <w:pPr>
        <w:pStyle w:val="Subsection"/>
      </w:pPr>
      <w:r>
        <w:tab/>
        <w:t>(1)</w:t>
      </w:r>
      <w:r>
        <w:tab/>
        <w:t xml:space="preserve">In this regulation and Schedule 1 Division 12 — </w:t>
      </w:r>
    </w:p>
    <w:p>
      <w:pPr>
        <w:pStyle w:val="Defstart"/>
      </w:pPr>
      <w:r>
        <w:tab/>
      </w:r>
      <w:r>
        <w:rPr>
          <w:rStyle w:val="CharDefText"/>
        </w:rPr>
        <w:t>aircraft landing area</w:t>
      </w:r>
      <w:r>
        <w:t xml:space="preserve"> means an area declared under regulation 99B to be an aircraft landing area for the purposes of this regulation;</w:t>
      </w:r>
    </w:p>
    <w:p>
      <w:pPr>
        <w:pStyle w:val="Defstart"/>
      </w:pPr>
      <w:r>
        <w:tab/>
      </w:r>
      <w:r>
        <w:rPr>
          <w:rStyle w:val="CharDefText"/>
        </w:rPr>
        <w:t>occupant</w:t>
      </w:r>
      <w:r>
        <w:t xml:space="preserve"> does not include — </w:t>
      </w:r>
    </w:p>
    <w:p>
      <w:pPr>
        <w:pStyle w:val="Defpara"/>
        <w:spacing w:before="70"/>
      </w:pPr>
      <w:r>
        <w:tab/>
        <w:t>(a)</w:t>
      </w:r>
      <w:r>
        <w:tab/>
        <w:t>a person who is under 6 years of age; or</w:t>
      </w:r>
    </w:p>
    <w:p>
      <w:pPr>
        <w:pStyle w:val="Indenta"/>
        <w:spacing w:before="70"/>
      </w:pPr>
      <w:r>
        <w:tab/>
        <w:t>(b)</w:t>
      </w:r>
      <w:r>
        <w:tab/>
        <w:t>the pilot or other crew of an aircraft operating under a commercial operations licence.</w:t>
      </w:r>
    </w:p>
    <w:p>
      <w:pPr>
        <w:pStyle w:val="Subsection"/>
      </w:pPr>
      <w:r>
        <w:tab/>
        <w:t>(2)</w:t>
      </w:r>
      <w:r>
        <w:tab/>
        <w:t>The fee specified in Schedule 1 Division 12 is payable daily per occupant of an aircraft that lands on an aircraft landing area.</w:t>
      </w:r>
    </w:p>
    <w:p>
      <w:pPr>
        <w:pStyle w:val="Subsection"/>
      </w:pPr>
      <w:r>
        <w:tab/>
        <w:t>(3)</w:t>
      </w:r>
      <w:r>
        <w:tab/>
        <w:t xml:space="preserve">The person liable to pay the fee is — </w:t>
      </w:r>
    </w:p>
    <w:p>
      <w:pPr>
        <w:pStyle w:val="Indenta"/>
        <w:spacing w:before="60"/>
      </w:pPr>
      <w:r>
        <w:tab/>
        <w:t>(a)</w:t>
      </w:r>
      <w:r>
        <w:tab/>
        <w:t>if the aircraft is operating under a commercial operations licence — the holder of the licence; or</w:t>
      </w:r>
    </w:p>
    <w:p>
      <w:pPr>
        <w:pStyle w:val="Indenta"/>
        <w:spacing w:before="60"/>
      </w:pPr>
      <w:r>
        <w:tab/>
        <w:t>(b)</w:t>
      </w:r>
      <w:r>
        <w:tab/>
        <w:t xml:space="preserve">in any other case — </w:t>
      </w:r>
    </w:p>
    <w:p>
      <w:pPr>
        <w:pStyle w:val="Indenti"/>
        <w:spacing w:before="60"/>
      </w:pPr>
      <w:r>
        <w:tab/>
        <w:t>(i)</w:t>
      </w:r>
      <w:r>
        <w:tab/>
        <w:t>the person in charge of the aircraft; or</w:t>
      </w:r>
    </w:p>
    <w:p>
      <w:pPr>
        <w:pStyle w:val="Indenti"/>
        <w:spacing w:before="60"/>
      </w:pPr>
      <w:r>
        <w:tab/>
        <w:t>(ii)</w:t>
      </w:r>
      <w:r>
        <w:tab/>
        <w:t>if the person in charge of the aircraft is employed or engaged by another person who is the owner or operator of the aircraft — that other person.</w:t>
      </w:r>
    </w:p>
    <w:p>
      <w:pPr>
        <w:pStyle w:val="Subsection"/>
        <w:spacing w:before="120"/>
      </w:pPr>
      <w:r>
        <w:tab/>
        <w:t>(4)</w:t>
      </w:r>
      <w:r>
        <w:tab/>
        <w:t>The person liable under subregulation (3) to pay the fee must pay the fee.</w:t>
      </w:r>
    </w:p>
    <w:p>
      <w:pPr>
        <w:pStyle w:val="Penstart"/>
      </w:pPr>
      <w:r>
        <w:tab/>
        <w:t>Penalty: a fine of $1 000.</w:t>
      </w:r>
    </w:p>
    <w:p>
      <w:pPr>
        <w:pStyle w:val="Footnotesection"/>
        <w:spacing w:before="100"/>
      </w:pPr>
      <w:r>
        <w:tab/>
        <w:t>[Regulation 99A inserted in Gazette 3 Dec 2010 p. 6049</w:t>
      </w:r>
      <w:r>
        <w:noBreakHyphen/>
        <w:t>50.]</w:t>
      </w:r>
    </w:p>
    <w:p>
      <w:pPr>
        <w:pStyle w:val="Heading5"/>
        <w:spacing w:before="200"/>
      </w:pPr>
      <w:bookmarkStart w:id="412" w:name="_Toc491956846"/>
      <w:bookmarkStart w:id="413" w:name="_Toc473036029"/>
      <w:r>
        <w:rPr>
          <w:rStyle w:val="CharSectno"/>
        </w:rPr>
        <w:t>99B</w:t>
      </w:r>
      <w:r>
        <w:t>.</w:t>
      </w:r>
      <w:r>
        <w:tab/>
        <w:t>Aircraft landing areas</w:t>
      </w:r>
      <w:bookmarkEnd w:id="412"/>
      <w:bookmarkEnd w:id="413"/>
    </w:p>
    <w:p>
      <w:pPr>
        <w:pStyle w:val="Subsection"/>
        <w:spacing w:before="120"/>
      </w:pPr>
      <w:r>
        <w:tab/>
        <w:t>(1)</w:t>
      </w:r>
      <w:r>
        <w:tab/>
        <w:t xml:space="preserve">The CEO may, by notice published in the </w:t>
      </w:r>
      <w:r>
        <w:rPr>
          <w:i/>
          <w:iCs/>
        </w:rPr>
        <w:t>Gazette</w:t>
      </w:r>
      <w:r>
        <w:t>, declare an area of CALM land specified in the notice to be an aircraft landing area for the purposes of regulation 99A.</w:t>
      </w:r>
    </w:p>
    <w:p>
      <w:pPr>
        <w:pStyle w:val="Subsection"/>
        <w:spacing w:before="120"/>
      </w:pPr>
      <w:r>
        <w:tab/>
        <w:t>(2)</w:t>
      </w:r>
      <w:r>
        <w:tab/>
        <w:t>An area may be declared to be an aircraft landing area at all times or during a period or periods specified in the notice.</w:t>
      </w:r>
    </w:p>
    <w:p>
      <w:pPr>
        <w:pStyle w:val="Subsection"/>
        <w:spacing w:before="120"/>
      </w:pPr>
      <w:r>
        <w:tab/>
        <w:t>(3)</w:t>
      </w:r>
      <w:r>
        <w:tab/>
        <w:t xml:space="preserve">The CEO may, by notice published in the </w:t>
      </w:r>
      <w:r>
        <w:rPr>
          <w:i/>
          <w:iCs/>
        </w:rPr>
        <w:t>Gazette</w:t>
      </w:r>
      <w:r>
        <w:t>,</w:t>
      </w:r>
      <w:r>
        <w:rPr>
          <w:iCs/>
        </w:rPr>
        <w:t xml:space="preserve"> </w:t>
      </w:r>
      <w:r>
        <w:t>amend or revoke any previous notice published under this regulation.</w:t>
      </w:r>
    </w:p>
    <w:p>
      <w:pPr>
        <w:pStyle w:val="Subsection"/>
        <w:spacing w:before="120"/>
      </w:pPr>
      <w:r>
        <w:tab/>
        <w:t>(4)</w:t>
      </w:r>
      <w:r>
        <w:tab/>
        <w:t>A notice published under this regulation takes effect on such day after publication as is specified in the notice.</w:t>
      </w:r>
    </w:p>
    <w:p>
      <w:pPr>
        <w:pStyle w:val="Footnotesection"/>
        <w:spacing w:before="100"/>
      </w:pPr>
      <w:r>
        <w:tab/>
        <w:t>[Regulation 99B inserted in Gazette 3 Dec 2010 p. 6050.]</w:t>
      </w:r>
    </w:p>
    <w:p>
      <w:pPr>
        <w:pStyle w:val="Heading5"/>
        <w:spacing w:before="200"/>
      </w:pPr>
      <w:bookmarkStart w:id="414" w:name="_Toc491956847"/>
      <w:bookmarkStart w:id="415" w:name="_Toc473036030"/>
      <w:r>
        <w:rPr>
          <w:rStyle w:val="CharSectno"/>
        </w:rPr>
        <w:t>99C</w:t>
      </w:r>
      <w:r>
        <w:t>.</w:t>
      </w:r>
      <w:r>
        <w:tab/>
        <w:t xml:space="preserve">Entrance fees for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bookmarkEnd w:id="414"/>
      <w:bookmarkEnd w:id="415"/>
    </w:p>
    <w:p>
      <w:pPr>
        <w:pStyle w:val="Subsection"/>
        <w:spacing w:before="120"/>
      </w:pPr>
      <w:r>
        <w:tab/>
        <w:t>(1)</w:t>
      </w:r>
      <w:r>
        <w:tab/>
        <w:t xml:space="preserve">The relevant fee specified in Schedule 1 Division 10 item 1, 2, 3 or 4 is payable by a person entering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w:t>
      </w:r>
    </w:p>
    <w:p>
      <w:pPr>
        <w:pStyle w:val="Subsection"/>
        <w:spacing w:before="120"/>
      </w:pPr>
      <w:r>
        <w:tab/>
        <w:t>(2)</w:t>
      </w:r>
      <w:r>
        <w:tab/>
        <w:t xml:space="preserve">The CEO is to erect signs at or near the entrance to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 xml:space="preserve"> — </w:t>
      </w:r>
    </w:p>
    <w:p>
      <w:pPr>
        <w:pStyle w:val="Indenta"/>
        <w:spacing w:before="60"/>
      </w:pPr>
      <w:r>
        <w:tab/>
        <w:t>(a)</w:t>
      </w:r>
      <w:r>
        <w:tab/>
        <w:t>specifying the fees that are payable under this regulation; and</w:t>
      </w:r>
    </w:p>
    <w:p>
      <w:pPr>
        <w:pStyle w:val="Indenta"/>
      </w:pPr>
      <w:r>
        <w:tab/>
        <w:t>(b)</w:t>
      </w:r>
      <w:r>
        <w:tab/>
        <w:t>specifying the manner in which the fees are to be paid.</w:t>
      </w:r>
    </w:p>
    <w:p>
      <w:pPr>
        <w:pStyle w:val="Subsection"/>
      </w:pPr>
      <w:r>
        <w:tab/>
        <w:t>(3)</w:t>
      </w:r>
      <w:r>
        <w:tab/>
        <w:t xml:space="preserve">A person is not liable to pay a fee under subregulation (1) for entry to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 xml:space="preserve"> if that person has paid the fee specified in Schedule 1 Division 10 item 5, 6, 7 or 8 for an extended pass for that person to enter the Park at the relevant time.</w:t>
      </w:r>
    </w:p>
    <w:p>
      <w:pPr>
        <w:pStyle w:val="Subsection"/>
      </w:pPr>
      <w:r>
        <w:tab/>
        <w:t>(4)</w:t>
      </w:r>
      <w:r>
        <w:tab/>
        <w:t>A person must pay, in the manner specified on a sign under subregulation (2)(b), a fee for which the person is liable under subregulation (1).</w:t>
      </w:r>
    </w:p>
    <w:p>
      <w:pPr>
        <w:pStyle w:val="Penstart"/>
      </w:pPr>
      <w:r>
        <w:tab/>
        <w:t>Penalty: a fine of $200.</w:t>
      </w:r>
    </w:p>
    <w:p>
      <w:pPr>
        <w:pStyle w:val="Footnotesection"/>
      </w:pPr>
      <w:r>
        <w:tab/>
        <w:t>[Regulation 99C inserted in Gazette 3 Dec 2010 p. 6050</w:t>
      </w:r>
      <w:r>
        <w:noBreakHyphen/>
        <w:t>1.]</w:t>
      </w:r>
    </w:p>
    <w:p>
      <w:pPr>
        <w:pStyle w:val="Heading5"/>
        <w:rPr>
          <w:snapToGrid w:val="0"/>
        </w:rPr>
      </w:pPr>
      <w:bookmarkStart w:id="416" w:name="_Toc491956848"/>
      <w:bookmarkStart w:id="417" w:name="_Toc473036031"/>
      <w:r>
        <w:rPr>
          <w:rStyle w:val="CharSectno"/>
        </w:rPr>
        <w:t>100</w:t>
      </w:r>
      <w:r>
        <w:rPr>
          <w:snapToGrid w:val="0"/>
        </w:rPr>
        <w:t>.</w:t>
      </w:r>
      <w:r>
        <w:rPr>
          <w:snapToGrid w:val="0"/>
        </w:rPr>
        <w:tab/>
        <w:t>Entrance fees for Tree Top Walk</w:t>
      </w:r>
      <w:bookmarkEnd w:id="416"/>
      <w:bookmarkEnd w:id="417"/>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Tree Top Walk</w:t>
      </w:r>
      <w:r>
        <w:rPr>
          <w:b/>
        </w:rPr>
        <w:t xml:space="preserve"> </w:t>
      </w:r>
      <w:r>
        <w:t xml:space="preserve">means the walkway known as the “Tree Top Walk” constructed within the area known as the “Valley of the Giants”, near </w:t>
      </w:r>
      <w:smartTag w:uri="urn:schemas-microsoft-com:office:smarttags" w:element="place">
        <w:smartTag w:uri="urn:schemas-microsoft-com:office:smarttags" w:element="City">
          <w:r>
            <w:t>Walpole</w:t>
          </w:r>
        </w:smartTag>
      </w:smartTag>
      <w:r>
        <w:t>.</w:t>
      </w:r>
    </w:p>
    <w:p>
      <w:pPr>
        <w:pStyle w:val="Subsection"/>
        <w:rPr>
          <w:snapToGrid w:val="0"/>
        </w:rPr>
      </w:pPr>
      <w:r>
        <w:rPr>
          <w:snapToGrid w:val="0"/>
        </w:rPr>
        <w:tab/>
        <w:t>(2)</w:t>
      </w:r>
      <w:r>
        <w:rPr>
          <w:snapToGrid w:val="0"/>
        </w:rPr>
        <w:tab/>
        <w:t>The relevant fee specified in Schedule 1 Division 3 is payable by a person entering the Tree Top Walk.</w:t>
      </w:r>
    </w:p>
    <w:p>
      <w:pPr>
        <w:pStyle w:val="Subsection"/>
        <w:rPr>
          <w:snapToGrid w:val="0"/>
        </w:rPr>
      </w:pPr>
      <w:r>
        <w:rPr>
          <w:snapToGrid w:val="0"/>
        </w:rPr>
        <w:tab/>
        <w:t>(3)</w:t>
      </w:r>
      <w:r>
        <w:rPr>
          <w:snapToGrid w:val="0"/>
        </w:rPr>
        <w:tab/>
        <w:t xml:space="preserve">The </w:t>
      </w:r>
      <w:r>
        <w:t xml:space="preserve">CEO </w:t>
      </w:r>
      <w:r>
        <w:rPr>
          <w:snapToGrid w:val="0"/>
        </w:rPr>
        <w:t>is to erect a sign at the entrance to the Tree Top Walk — </w:t>
      </w:r>
    </w:p>
    <w:p>
      <w:pPr>
        <w:pStyle w:val="Indenta"/>
        <w:rPr>
          <w:snapToGrid w:val="0"/>
        </w:rPr>
      </w:pPr>
      <w:r>
        <w:rPr>
          <w:snapToGrid w:val="0"/>
        </w:rPr>
        <w:tab/>
        <w:t>(a)</w:t>
      </w:r>
      <w:r>
        <w:rPr>
          <w:snapToGrid w:val="0"/>
        </w:rPr>
        <w:tab/>
        <w:t>specifying the fees payable under this regulation; and</w:t>
      </w:r>
    </w:p>
    <w:p>
      <w:pPr>
        <w:pStyle w:val="Indenta"/>
        <w:rPr>
          <w:snapToGrid w:val="0"/>
        </w:rPr>
      </w:pPr>
      <w:r>
        <w:rPr>
          <w:snapToGrid w:val="0"/>
        </w:rPr>
        <w:tab/>
        <w:t>(b)</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100 amended in Gazette 29 Sep 2006 p. 4334; 3 Dec 2010 p. 6052</w:t>
      </w:r>
      <w:r>
        <w:noBreakHyphen/>
        <w:t>4.]</w:t>
      </w:r>
    </w:p>
    <w:p>
      <w:pPr>
        <w:pStyle w:val="Heading5"/>
      </w:pPr>
      <w:bookmarkStart w:id="418" w:name="_Toc491956849"/>
      <w:bookmarkStart w:id="419" w:name="_Toc473036032"/>
      <w:r>
        <w:rPr>
          <w:rStyle w:val="CharSectno"/>
        </w:rPr>
        <w:t>100A</w:t>
      </w:r>
      <w:r>
        <w:t>.</w:t>
      </w:r>
      <w:r>
        <w:tab/>
        <w:t xml:space="preserve">Entrance fees for </w:t>
      </w:r>
      <w:smartTag w:uri="urn:schemas-microsoft-com:office:smarttags" w:element="PlaceName">
        <w:r>
          <w:t>Crystal</w:t>
        </w:r>
      </w:smartTag>
      <w:r>
        <w:t xml:space="preserve"> </w:t>
      </w:r>
      <w:smartTag w:uri="urn:schemas-microsoft-com:office:smarttags" w:element="PlaceName">
        <w:r>
          <w:t>Cave</w:t>
        </w:r>
      </w:smartTag>
      <w:r>
        <w:t xml:space="preserve"> and Calgardup and </w:t>
      </w:r>
      <w:smartTag w:uri="urn:schemas-microsoft-com:office:smarttags" w:element="place">
        <w:smartTag w:uri="urn:schemas-microsoft-com:office:smarttags" w:element="PlaceName">
          <w:r>
            <w:t>Giants</w:t>
          </w:r>
        </w:smartTag>
        <w:r>
          <w:t xml:space="preserve"> </w:t>
        </w:r>
        <w:smartTag w:uri="urn:schemas-microsoft-com:office:smarttags" w:element="PlaceType">
          <w:r>
            <w:t>Caves</w:t>
          </w:r>
        </w:smartTag>
      </w:smartTag>
      <w:bookmarkEnd w:id="418"/>
      <w:bookmarkEnd w:id="419"/>
    </w:p>
    <w:p>
      <w:pPr>
        <w:pStyle w:val="Subsection"/>
        <w:spacing w:before="120"/>
        <w:rPr>
          <w:snapToGrid w:val="0"/>
        </w:rPr>
      </w:pPr>
      <w:r>
        <w:rPr>
          <w:snapToGrid w:val="0"/>
        </w:rPr>
        <w:tab/>
        <w:t>(1)</w:t>
      </w:r>
      <w:r>
        <w:rPr>
          <w:snapToGrid w:val="0"/>
        </w:rPr>
        <w:tab/>
        <w:t xml:space="preserve">The relevant fee specified in Schedule 1 Division 7 item 1 is payable by a person entering </w:t>
      </w:r>
      <w:smartTag w:uri="urn:schemas-microsoft-com:office:smarttags" w:element="PlaceName">
        <w:r>
          <w:rPr>
            <w:snapToGrid w:val="0"/>
          </w:rPr>
          <w:t>Crystal</w:t>
        </w:r>
      </w:smartTag>
      <w:r>
        <w:rPr>
          <w:snapToGrid w:val="0"/>
        </w:rPr>
        <w:t xml:space="preserve"> </w:t>
      </w:r>
      <w:smartTag w:uri="urn:schemas-microsoft-com:office:smarttags" w:element="PlaceName">
        <w:r>
          <w:rPr>
            <w:snapToGrid w:val="0"/>
          </w:rPr>
          <w:t>Cave</w:t>
        </w:r>
      </w:smartTag>
      <w:r>
        <w:rPr>
          <w:snapToGrid w:val="0"/>
        </w:rPr>
        <w:t xml:space="preserve">, </w:t>
      </w:r>
      <w:smartTag w:uri="urn:schemas-microsoft-com:office:smarttags" w:element="place">
        <w:smartTag w:uri="urn:schemas-microsoft-com:office:smarttags" w:element="PlaceName">
          <w:r>
            <w:rPr>
              <w:snapToGrid w:val="0"/>
            </w:rPr>
            <w:t>Yanchep</w:t>
          </w:r>
        </w:smartTag>
        <w:r>
          <w:rPr>
            <w:snapToGrid w:val="0"/>
          </w:rPr>
          <w:t xml:space="preserve"> </w:t>
        </w:r>
        <w:smartTag w:uri="urn:schemas-microsoft-com:office:smarttags" w:element="PlaceType">
          <w:r>
            <w:rPr>
              <w:snapToGrid w:val="0"/>
            </w:rPr>
            <w:t>National Park</w:t>
          </w:r>
        </w:smartTag>
      </w:smartTag>
      <w:r>
        <w:rPr>
          <w:snapToGrid w:val="0"/>
        </w:rPr>
        <w:t>.</w:t>
      </w:r>
    </w:p>
    <w:p>
      <w:pPr>
        <w:pStyle w:val="Subsection"/>
        <w:spacing w:before="120"/>
        <w:rPr>
          <w:snapToGrid w:val="0"/>
        </w:rPr>
      </w:pPr>
      <w:r>
        <w:rPr>
          <w:snapToGrid w:val="0"/>
        </w:rPr>
        <w:tab/>
        <w:t>(2)</w:t>
      </w:r>
      <w:r>
        <w:rPr>
          <w:snapToGrid w:val="0"/>
        </w:rPr>
        <w:tab/>
        <w:t xml:space="preserve">The relevant fee specified in Schedule 1 Division 7 item 2 is payable by a person entering Calgardup or </w:t>
      </w:r>
      <w:smartTag w:uri="urn:schemas-microsoft-com:office:smarttags" w:element="place">
        <w:smartTag w:uri="urn:schemas-microsoft-com:office:smarttags" w:element="PlaceName">
          <w:r>
            <w:rPr>
              <w:snapToGrid w:val="0"/>
            </w:rPr>
            <w:t>Giants</w:t>
          </w:r>
        </w:smartTag>
        <w:r>
          <w:rPr>
            <w:snapToGrid w:val="0"/>
          </w:rPr>
          <w:t xml:space="preserve"> </w:t>
        </w:r>
        <w:smartTag w:uri="urn:schemas-microsoft-com:office:smarttags" w:element="PlaceType">
          <w:r>
            <w:rPr>
              <w:snapToGrid w:val="0"/>
            </w:rPr>
            <w:t>Caves</w:t>
          </w:r>
        </w:smartTag>
      </w:smartTag>
      <w:r>
        <w:rPr>
          <w:snapToGrid w:val="0"/>
        </w:rPr>
        <w:t>, Leeuwin</w:t>
      </w:r>
      <w:r>
        <w:rPr>
          <w:snapToGrid w:val="0"/>
        </w:rPr>
        <w:noBreakHyphen/>
        <w:t>Naturaliste National Park.</w:t>
      </w:r>
    </w:p>
    <w:p>
      <w:pPr>
        <w:pStyle w:val="Subsection"/>
        <w:spacing w:before="120"/>
        <w:rPr>
          <w:snapToGrid w:val="0"/>
        </w:rPr>
      </w:pPr>
      <w:r>
        <w:rPr>
          <w:snapToGrid w:val="0"/>
        </w:rPr>
        <w:tab/>
        <w:t>(3)</w:t>
      </w:r>
      <w:r>
        <w:rPr>
          <w:snapToGrid w:val="0"/>
        </w:rPr>
        <w:tab/>
        <w:t>The CEO is to erect signs at the entrance to each of the caves —</w:t>
      </w:r>
    </w:p>
    <w:p>
      <w:pPr>
        <w:pStyle w:val="Indenta"/>
        <w:spacing w:before="60"/>
        <w:rPr>
          <w:snapToGrid w:val="0"/>
        </w:rPr>
      </w:pPr>
      <w:r>
        <w:rPr>
          <w:snapToGrid w:val="0"/>
        </w:rPr>
        <w:tab/>
        <w:t>(a)</w:t>
      </w:r>
      <w:r>
        <w:rPr>
          <w:snapToGrid w:val="0"/>
        </w:rPr>
        <w:tab/>
        <w:t>specifying the fees payable under this regulation; and</w:t>
      </w:r>
    </w:p>
    <w:p>
      <w:pPr>
        <w:pStyle w:val="Indenta"/>
        <w:spacing w:before="60"/>
        <w:rPr>
          <w:snapToGrid w:val="0"/>
        </w:rPr>
      </w:pPr>
      <w:r>
        <w:rPr>
          <w:snapToGrid w:val="0"/>
        </w:rPr>
        <w:tab/>
        <w:t>(b)</w:t>
      </w:r>
      <w:r>
        <w:rPr>
          <w:snapToGrid w:val="0"/>
        </w:rPr>
        <w:tab/>
        <w:t>specifying the manner in which the fees are to be paid.</w:t>
      </w:r>
    </w:p>
    <w:p>
      <w:pPr>
        <w:pStyle w:val="Subsection"/>
        <w:spacing w:before="120"/>
        <w:rPr>
          <w:snapToGrid w:val="0"/>
        </w:rPr>
      </w:pPr>
      <w:r>
        <w:rPr>
          <w:snapToGrid w:val="0"/>
        </w:rPr>
        <w:tab/>
        <w:t>(4)</w:t>
      </w:r>
      <w:r>
        <w:rPr>
          <w:snapToGrid w:val="0"/>
        </w:rPr>
        <w:tab/>
        <w:t>A person must pay, in the manner specified on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spacing w:before="80"/>
      </w:pPr>
      <w:r>
        <w:tab/>
        <w:t>[Regulation 100A inserted in Gazette 29 Sep 2006 p. 4321</w:t>
      </w:r>
      <w:r>
        <w:noBreakHyphen/>
        <w:t>2; amended in Gazette 3 Dec 2010 p. 6052</w:t>
      </w:r>
      <w:r>
        <w:noBreakHyphen/>
        <w:t>4.]</w:t>
      </w:r>
    </w:p>
    <w:p>
      <w:pPr>
        <w:pStyle w:val="Heading5"/>
        <w:spacing w:before="200"/>
        <w:rPr>
          <w:snapToGrid w:val="0"/>
        </w:rPr>
      </w:pPr>
      <w:bookmarkStart w:id="420" w:name="_Toc491956850"/>
      <w:bookmarkStart w:id="421" w:name="_Toc473036033"/>
      <w:r>
        <w:rPr>
          <w:rStyle w:val="CharSectno"/>
        </w:rPr>
        <w:t>101</w:t>
      </w:r>
      <w:r>
        <w:rPr>
          <w:snapToGrid w:val="0"/>
        </w:rPr>
        <w:t>.</w:t>
      </w:r>
      <w:r>
        <w:rPr>
          <w:snapToGrid w:val="0"/>
        </w:rPr>
        <w:tab/>
        <w:t xml:space="preserve">Fees for </w:t>
      </w:r>
      <w:smartTag w:uri="urn:schemas-microsoft-com:office:smarttags" w:element="place">
        <w:smartTag w:uri="urn:schemas-microsoft-com:office:smarttags" w:element="PlaceName">
          <w:r>
            <w:rPr>
              <w:snapToGrid w:val="0"/>
            </w:rPr>
            <w:t>Geikie</w:t>
          </w:r>
        </w:smartTag>
        <w:r>
          <w:rPr>
            <w:snapToGrid w:val="0"/>
          </w:rPr>
          <w:t xml:space="preserve"> </w:t>
        </w:r>
        <w:smartTag w:uri="urn:schemas-microsoft-com:office:smarttags" w:element="PlaceName">
          <w:r>
            <w:rPr>
              <w:snapToGrid w:val="0"/>
            </w:rPr>
            <w:t>Gorge</w:t>
          </w:r>
        </w:smartTag>
        <w:r>
          <w:rPr>
            <w:snapToGrid w:val="0"/>
          </w:rPr>
          <w:t xml:space="preserve"> </w:t>
        </w:r>
        <w:smartTag w:uri="urn:schemas-microsoft-com:office:smarttags" w:element="PlaceType">
          <w:r>
            <w:rPr>
              <w:snapToGrid w:val="0"/>
            </w:rPr>
            <w:t>National Park</w:t>
          </w:r>
        </w:smartTag>
      </w:smartTag>
      <w:r>
        <w:rPr>
          <w:snapToGrid w:val="0"/>
        </w:rPr>
        <w:t xml:space="preserve"> Boat Trip</w:t>
      </w:r>
      <w:bookmarkEnd w:id="420"/>
      <w:bookmarkEnd w:id="421"/>
      <w:r>
        <w:rPr>
          <w:snapToGrid w:val="0"/>
        </w:rPr>
        <w:t xml:space="preserve"> </w:t>
      </w:r>
    </w:p>
    <w:p>
      <w:pPr>
        <w:pStyle w:val="Subsection"/>
        <w:spacing w:before="120"/>
        <w:rPr>
          <w:snapToGrid w:val="0"/>
        </w:rPr>
      </w:pPr>
      <w:r>
        <w:rPr>
          <w:snapToGrid w:val="0"/>
        </w:rPr>
        <w:tab/>
      </w:r>
      <w:r>
        <w:rPr>
          <w:snapToGrid w:val="0"/>
        </w:rPr>
        <w:tab/>
        <w:t>The fees for the Geikie Gorge National Park Boat Trip are as prescribed in Schedule 1 Division 4.</w:t>
      </w:r>
    </w:p>
    <w:p>
      <w:pPr>
        <w:pStyle w:val="Heading5"/>
        <w:spacing w:before="200"/>
        <w:rPr>
          <w:snapToGrid w:val="0"/>
        </w:rPr>
      </w:pPr>
      <w:bookmarkStart w:id="422" w:name="_Toc491956851"/>
      <w:bookmarkStart w:id="423" w:name="_Toc473036034"/>
      <w:r>
        <w:rPr>
          <w:rStyle w:val="CharSectno"/>
        </w:rPr>
        <w:t>102</w:t>
      </w:r>
      <w:r>
        <w:rPr>
          <w:snapToGrid w:val="0"/>
        </w:rPr>
        <w:t>.</w:t>
      </w:r>
      <w:r>
        <w:rPr>
          <w:snapToGrid w:val="0"/>
        </w:rPr>
        <w:tab/>
        <w:t>Fees for entry on horseback</w:t>
      </w:r>
      <w:bookmarkEnd w:id="422"/>
      <w:bookmarkEnd w:id="423"/>
    </w:p>
    <w:p>
      <w:pPr>
        <w:pStyle w:val="Subsection"/>
        <w:spacing w:before="120"/>
        <w:rPr>
          <w:snapToGrid w:val="0"/>
        </w:rPr>
      </w:pPr>
      <w:r>
        <w:rPr>
          <w:snapToGrid w:val="0"/>
        </w:rPr>
        <w:tab/>
      </w:r>
      <w:r>
        <w:rPr>
          <w:snapToGrid w:val="0"/>
        </w:rPr>
        <w:tab/>
        <w:t>A person must not enter an area of CALM land on horseback unless the relevant fee specified in Schedule 1 Division 5 has been paid — </w:t>
      </w:r>
    </w:p>
    <w:p>
      <w:pPr>
        <w:pStyle w:val="Indenta"/>
        <w:spacing w:before="60"/>
        <w:rPr>
          <w:snapToGrid w:val="0"/>
        </w:rPr>
      </w:pPr>
      <w:r>
        <w:rPr>
          <w:snapToGrid w:val="0"/>
        </w:rPr>
        <w:tab/>
        <w:t>(a)</w:t>
      </w:r>
      <w:r>
        <w:rPr>
          <w:snapToGrid w:val="0"/>
        </w:rPr>
        <w:tab/>
        <w:t>in the case of a daily entrance fee, to an authorised officer; and</w:t>
      </w:r>
    </w:p>
    <w:p>
      <w:pPr>
        <w:pStyle w:val="Indenta"/>
        <w:spacing w:before="60"/>
        <w:rPr>
          <w:snapToGrid w:val="0"/>
        </w:rPr>
      </w:pPr>
      <w:r>
        <w:rPr>
          <w:snapToGrid w:val="0"/>
        </w:rPr>
        <w:tab/>
        <w:t>(b)</w:t>
      </w:r>
      <w:r>
        <w:rPr>
          <w:snapToGrid w:val="0"/>
        </w:rPr>
        <w:tab/>
        <w:t>in the case of an annual pass, to the</w:t>
      </w:r>
      <w:r>
        <w:t xml:space="preserve"> CEO</w:t>
      </w:r>
      <w:r>
        <w:rPr>
          <w:snapToGrid w:val="0"/>
        </w:rPr>
        <w:t xml:space="preserve">, </w:t>
      </w:r>
    </w:p>
    <w:p>
      <w:pPr>
        <w:pStyle w:val="Subsection"/>
        <w:spacing w:before="120"/>
        <w:rPr>
          <w:snapToGrid w:val="0"/>
        </w:rPr>
      </w:pPr>
      <w:r>
        <w:rPr>
          <w:snapToGrid w:val="0"/>
        </w:rPr>
        <w:tab/>
      </w:r>
      <w:r>
        <w:rPr>
          <w:snapToGrid w:val="0"/>
        </w:rPr>
        <w:tab/>
        <w:t>before entering that area.</w:t>
      </w:r>
    </w:p>
    <w:p>
      <w:pPr>
        <w:pStyle w:val="Penstart"/>
        <w:rPr>
          <w:snapToGrid w:val="0"/>
        </w:rPr>
      </w:pPr>
      <w:r>
        <w:rPr>
          <w:snapToGrid w:val="0"/>
        </w:rPr>
        <w:tab/>
        <w:t>Penalty:</w:t>
      </w:r>
      <w:r>
        <w:t xml:space="preserve"> a fine of</w:t>
      </w:r>
      <w:r>
        <w:rPr>
          <w:snapToGrid w:val="0"/>
        </w:rPr>
        <w:t xml:space="preserve"> $200.</w:t>
      </w:r>
    </w:p>
    <w:p>
      <w:pPr>
        <w:pStyle w:val="Footnotesection"/>
        <w:spacing w:before="80"/>
      </w:pPr>
      <w:r>
        <w:tab/>
        <w:t>[Regulation 102 amended in Gazette 29 Sep 2006 p. 4334; 3 Dec 2010 p. 6052</w:t>
      </w:r>
      <w:r>
        <w:noBreakHyphen/>
        <w:t>4.]</w:t>
      </w:r>
    </w:p>
    <w:p>
      <w:pPr>
        <w:pStyle w:val="Heading5"/>
      </w:pPr>
      <w:bookmarkStart w:id="424" w:name="_Toc491956852"/>
      <w:bookmarkStart w:id="425" w:name="_Toc473036035"/>
      <w:r>
        <w:rPr>
          <w:rStyle w:val="CharSectno"/>
        </w:rPr>
        <w:t>102A</w:t>
      </w:r>
      <w:r>
        <w:t>.</w:t>
      </w:r>
      <w:r>
        <w:tab/>
        <w:t>Abseiling fee</w:t>
      </w:r>
      <w:bookmarkEnd w:id="424"/>
      <w:bookmarkEnd w:id="425"/>
    </w:p>
    <w:p>
      <w:pPr>
        <w:pStyle w:val="Subsection"/>
        <w:spacing w:before="140"/>
        <w:rPr>
          <w:snapToGrid w:val="0"/>
        </w:rPr>
      </w:pPr>
      <w:r>
        <w:rPr>
          <w:snapToGrid w:val="0"/>
        </w:rPr>
        <w:tab/>
        <w:t>(1)</w:t>
      </w:r>
      <w:r>
        <w:rPr>
          <w:snapToGrid w:val="0"/>
        </w:rPr>
        <w:tab/>
        <w:t>Subject to subregulation (2), a person who intends to abseil in an abseiling area during a particular half</w:t>
      </w:r>
      <w:r>
        <w:rPr>
          <w:snapToGrid w:val="0"/>
        </w:rPr>
        <w:noBreakHyphen/>
        <w:t>day, or day in the case of Wilyabrup Cliffs, is liable to pay the relevant fee specified in Schedule 1 Division 9 in respect of the half</w:t>
      </w:r>
      <w:r>
        <w:rPr>
          <w:snapToGrid w:val="0"/>
        </w:rPr>
        <w:noBreakHyphen/>
        <w:t>day or day.</w:t>
      </w:r>
    </w:p>
    <w:p>
      <w:pPr>
        <w:pStyle w:val="Subsection"/>
        <w:spacing w:before="140"/>
        <w:rPr>
          <w:snapToGrid w:val="0"/>
        </w:rPr>
      </w:pPr>
      <w:r>
        <w:rPr>
          <w:snapToGrid w:val="0"/>
        </w:rPr>
        <w:tab/>
        <w:t>(2)</w:t>
      </w:r>
      <w:r>
        <w:rPr>
          <w:snapToGrid w:val="0"/>
        </w:rPr>
        <w:tab/>
        <w:t>Fees are not payable under this regulation unless the CEO has erected a sign at the abseiling area — </w:t>
      </w:r>
    </w:p>
    <w:p>
      <w:pPr>
        <w:pStyle w:val="Indenta"/>
        <w:spacing w:before="60"/>
        <w:rPr>
          <w:snapToGrid w:val="0"/>
        </w:rPr>
      </w:pPr>
      <w:r>
        <w:rPr>
          <w:snapToGrid w:val="0"/>
        </w:rPr>
        <w:tab/>
        <w:t>(a)</w:t>
      </w:r>
      <w:r>
        <w:rPr>
          <w:snapToGrid w:val="0"/>
        </w:rPr>
        <w:tab/>
        <w:t>stating that fees are payable for abseiling; and</w:t>
      </w:r>
    </w:p>
    <w:p>
      <w:pPr>
        <w:pStyle w:val="Indenta"/>
        <w:spacing w:before="60"/>
        <w:rPr>
          <w:snapToGrid w:val="0"/>
        </w:rPr>
      </w:pPr>
      <w:r>
        <w:rPr>
          <w:snapToGrid w:val="0"/>
        </w:rPr>
        <w:tab/>
        <w:t>(b)</w:t>
      </w:r>
      <w:r>
        <w:rPr>
          <w:snapToGrid w:val="0"/>
        </w:rPr>
        <w:tab/>
        <w:t>specifying the fees that are payable; and</w:t>
      </w:r>
    </w:p>
    <w:p>
      <w:pPr>
        <w:pStyle w:val="Indenta"/>
        <w:spacing w:before="60"/>
        <w:rPr>
          <w:snapToGrid w:val="0"/>
        </w:rPr>
      </w:pPr>
      <w:r>
        <w:rPr>
          <w:snapToGrid w:val="0"/>
        </w:rPr>
        <w:tab/>
        <w:t>(c)</w:t>
      </w:r>
      <w:r>
        <w:rPr>
          <w:snapToGrid w:val="0"/>
        </w:rPr>
        <w:tab/>
        <w:t>specifying the manner in which the fees are to be paid.</w:t>
      </w:r>
    </w:p>
    <w:p>
      <w:pPr>
        <w:pStyle w:val="Subsection"/>
        <w:spacing w:before="140"/>
        <w:rPr>
          <w:snapToGrid w:val="0"/>
        </w:rPr>
      </w:pPr>
      <w:r>
        <w:rPr>
          <w:snapToGrid w:val="0"/>
        </w:rPr>
        <w:tab/>
        <w:t>(3)</w:t>
      </w:r>
      <w:r>
        <w:rPr>
          <w:snapToGrid w:val="0"/>
        </w:rPr>
        <w:tab/>
        <w:t>A person must pay, in the manner specified in a sign under subregulation (2)(c), the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spacing w:before="130"/>
      </w:pPr>
      <w:r>
        <w:tab/>
        <w:t>(4)</w:t>
      </w:r>
      <w:r>
        <w:tab/>
        <w:t xml:space="preserve">If a person, who has paid </w:t>
      </w:r>
      <w:r>
        <w:rPr>
          <w:snapToGrid w:val="0"/>
        </w:rPr>
        <w:t xml:space="preserve">the relevant fee in advance, </w:t>
      </w:r>
      <w:r>
        <w:t>notifies the CEO more than 2 weeks before the half</w:t>
      </w:r>
      <w:r>
        <w:noBreakHyphen/>
        <w:t>day, or day, in respect of which the fee was paid that the person is not going to abseil on that half</w:t>
      </w:r>
      <w:r>
        <w:noBreakHyphen/>
        <w:t>day, or day, in the area in respect of which the fee was paid, the CEO may refund the fee.</w:t>
      </w:r>
    </w:p>
    <w:p>
      <w:pPr>
        <w:pStyle w:val="Footnotesection"/>
        <w:spacing w:before="100"/>
      </w:pPr>
      <w:r>
        <w:tab/>
        <w:t>[Regulation 102A inserted in Gazette 29 Sep 2006 p. 4322</w:t>
      </w:r>
      <w:r>
        <w:noBreakHyphen/>
        <w:t>3; amended in Gazette 3 Dec 2010 p. 6051 and 6052</w:t>
      </w:r>
      <w:r>
        <w:noBreakHyphen/>
        <w:t>4.]</w:t>
      </w:r>
    </w:p>
    <w:p>
      <w:pPr>
        <w:pStyle w:val="Heading5"/>
        <w:spacing w:before="180"/>
        <w:rPr>
          <w:snapToGrid w:val="0"/>
        </w:rPr>
      </w:pPr>
      <w:bookmarkStart w:id="426" w:name="_Toc491956853"/>
      <w:bookmarkStart w:id="427" w:name="_Toc473036036"/>
      <w:r>
        <w:rPr>
          <w:rStyle w:val="CharSectno"/>
        </w:rPr>
        <w:t>103</w:t>
      </w:r>
      <w:r>
        <w:rPr>
          <w:snapToGrid w:val="0"/>
        </w:rPr>
        <w:t>.</w:t>
      </w:r>
      <w:r>
        <w:rPr>
          <w:snapToGrid w:val="0"/>
        </w:rPr>
        <w:tab/>
        <w:t>Camping fees</w:t>
      </w:r>
      <w:bookmarkEnd w:id="426"/>
      <w:bookmarkEnd w:id="427"/>
      <w:r>
        <w:rPr>
          <w:snapToGrid w:val="0"/>
        </w:rPr>
        <w:t xml:space="preserve"> </w:t>
      </w:r>
    </w:p>
    <w:p>
      <w:pPr>
        <w:pStyle w:val="Subsection"/>
        <w:spacing w:before="130"/>
        <w:rPr>
          <w:snapToGrid w:val="0"/>
        </w:rPr>
      </w:pPr>
      <w:r>
        <w:rPr>
          <w:snapToGrid w:val="0"/>
        </w:rPr>
        <w:tab/>
        <w:t>(1)</w:t>
      </w:r>
      <w:r>
        <w:rPr>
          <w:snapToGrid w:val="0"/>
        </w:rPr>
        <w:tab/>
        <w:t>Subject to subregulation (3) the fees specified in Schedule 1 Division 6 are payable in respect of persons who camp in camping areas on CALM land.</w:t>
      </w:r>
    </w:p>
    <w:p>
      <w:pPr>
        <w:pStyle w:val="Subsection"/>
        <w:spacing w:before="130"/>
        <w:rPr>
          <w:snapToGrid w:val="0"/>
        </w:rPr>
      </w:pPr>
      <w:r>
        <w:rPr>
          <w:snapToGrid w:val="0"/>
        </w:rPr>
        <w:tab/>
        <w:t>(2)</w:t>
      </w:r>
      <w:r>
        <w:rPr>
          <w:snapToGrid w:val="0"/>
        </w:rPr>
        <w:tab/>
        <w:t>A person occupying a camping site is liable to pay the fee referred to in subregulation (1) or, if there is more than one person occupying the site, the persons occupying the site are jointly and severally liable to pay the fee.</w:t>
      </w:r>
    </w:p>
    <w:p>
      <w:pPr>
        <w:pStyle w:val="Subsection"/>
        <w:spacing w:before="130"/>
        <w:rPr>
          <w:snapToGrid w:val="0"/>
        </w:rPr>
      </w:pPr>
      <w:r>
        <w:rPr>
          <w:snapToGrid w:val="0"/>
        </w:rPr>
        <w:tab/>
        <w:t>(3)</w:t>
      </w:r>
      <w:r>
        <w:rPr>
          <w:snapToGrid w:val="0"/>
        </w:rPr>
        <w:tab/>
        <w:t xml:space="preserve">Fees are not payable under this regulation unless the </w:t>
      </w:r>
      <w:r>
        <w:t xml:space="preserve">CEO </w:t>
      </w:r>
      <w:r>
        <w:rPr>
          <w:snapToGrid w:val="0"/>
        </w:rPr>
        <w:t>has erected a sign at the camping area — </w:t>
      </w:r>
    </w:p>
    <w:p>
      <w:pPr>
        <w:pStyle w:val="Indenta"/>
        <w:spacing w:before="60"/>
        <w:rPr>
          <w:snapToGrid w:val="0"/>
        </w:rPr>
      </w:pPr>
      <w:r>
        <w:rPr>
          <w:snapToGrid w:val="0"/>
        </w:rPr>
        <w:tab/>
        <w:t>(a)</w:t>
      </w:r>
      <w:r>
        <w:rPr>
          <w:snapToGrid w:val="0"/>
        </w:rPr>
        <w:tab/>
        <w:t>stating that fees are payable for camping; and</w:t>
      </w:r>
    </w:p>
    <w:p>
      <w:pPr>
        <w:pStyle w:val="Indenta"/>
        <w:rPr>
          <w:snapToGrid w:val="0"/>
        </w:rPr>
      </w:pPr>
      <w:r>
        <w:rPr>
          <w:snapToGrid w:val="0"/>
        </w:rPr>
        <w:tab/>
        <w:t>(b)</w:t>
      </w:r>
      <w:r>
        <w:rPr>
          <w:snapToGrid w:val="0"/>
        </w:rPr>
        <w:tab/>
        <w:t>specifying the fees that are payable; and</w:t>
      </w:r>
    </w:p>
    <w:p>
      <w:pPr>
        <w:pStyle w:val="Indenta"/>
        <w:rPr>
          <w:snapToGrid w:val="0"/>
        </w:rPr>
      </w:pPr>
      <w:r>
        <w:rPr>
          <w:snapToGrid w:val="0"/>
        </w:rPr>
        <w:tab/>
        <w:t>(c)</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(3)(c),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103 amended in Gazette 29 Sep 2006 p. 4334; 3 Dec 2010 p. 6052</w:t>
      </w:r>
      <w:r>
        <w:noBreakHyphen/>
        <w:t>4.]</w:t>
      </w:r>
    </w:p>
    <w:p>
      <w:pPr>
        <w:pStyle w:val="Heading5"/>
      </w:pPr>
      <w:bookmarkStart w:id="428" w:name="_Toc491956854"/>
      <w:bookmarkStart w:id="429" w:name="_Toc473036037"/>
      <w:r>
        <w:rPr>
          <w:rStyle w:val="CharSectno"/>
        </w:rPr>
        <w:t>103A</w:t>
      </w:r>
      <w:r>
        <w:t>.</w:t>
      </w:r>
      <w:r>
        <w:tab/>
        <w:t>Companion of Companion Card holder</w:t>
      </w:r>
      <w:bookmarkEnd w:id="428"/>
      <w:bookmarkEnd w:id="429"/>
    </w:p>
    <w:p>
      <w:pPr>
        <w:pStyle w:val="Subsection"/>
      </w:pPr>
      <w:r>
        <w:tab/>
      </w:r>
      <w:r>
        <w:tab/>
        <w:t xml:space="preserve">Despite anything in this Part, a person need not pay a fee under this Part to enter a place or do a thing if — </w:t>
      </w:r>
    </w:p>
    <w:p>
      <w:pPr>
        <w:pStyle w:val="Indenta"/>
      </w:pPr>
      <w:r>
        <w:tab/>
        <w:t>(a)</w:t>
      </w:r>
      <w:r>
        <w:tab/>
        <w:t>the person is, at the time of entering the place or doing the thing, the companion of a person who holds a Companion Card; and</w:t>
      </w:r>
    </w:p>
    <w:p>
      <w:pPr>
        <w:pStyle w:val="Indenta"/>
      </w:pPr>
      <w:r>
        <w:tab/>
        <w:t>(b)</w:t>
      </w:r>
      <w:r>
        <w:tab/>
        <w:t>the person who holds the Companion Card is entitled to pay a concession fee to enter the place or do the thing.</w:t>
      </w:r>
    </w:p>
    <w:p>
      <w:pPr>
        <w:pStyle w:val="Footnotesection"/>
      </w:pPr>
      <w:r>
        <w:tab/>
        <w:t>[Regulation 103A inserted in Gazette 29 Sep 2006 p. 4323.]</w:t>
      </w:r>
    </w:p>
    <w:p>
      <w:pPr>
        <w:pStyle w:val="Heading5"/>
      </w:pPr>
      <w:bookmarkStart w:id="430" w:name="_Toc491956855"/>
      <w:bookmarkStart w:id="431" w:name="_Toc473036038"/>
      <w:r>
        <w:rPr>
          <w:rStyle w:val="CharSectno"/>
        </w:rPr>
        <w:t>104</w:t>
      </w:r>
      <w:r>
        <w:rPr>
          <w:snapToGrid w:val="0"/>
        </w:rPr>
        <w:t>.</w:t>
      </w:r>
      <w:r>
        <w:rPr>
          <w:snapToGrid w:val="0"/>
        </w:rPr>
        <w:tab/>
        <w:t>Fees may be waived or reduced</w:t>
      </w:r>
      <w:bookmarkEnd w:id="430"/>
      <w:bookmarkEnd w:id="431"/>
    </w:p>
    <w:p>
      <w:pPr>
        <w:pStyle w:val="Subsection"/>
      </w:pPr>
      <w:r>
        <w:tab/>
      </w:r>
      <w:r>
        <w:tab/>
        <w:t>The CEO may waive payment of a fee or part of a fee prescribed or provided for in these regulations.</w:t>
      </w:r>
    </w:p>
    <w:p>
      <w:pPr>
        <w:pStyle w:val="Footnotesection"/>
      </w:pPr>
      <w:r>
        <w:tab/>
        <w:t>[Regulation 104 amended in Gazette 29 Sep 2006 p. 4334.]</w:t>
      </w:r>
    </w:p>
    <w:p>
      <w:pPr>
        <w:pStyle w:val="Heading2"/>
      </w:pPr>
      <w:bookmarkStart w:id="432" w:name="_Toc491954702"/>
      <w:bookmarkStart w:id="433" w:name="_Toc491956856"/>
      <w:bookmarkStart w:id="434" w:name="_Toc473019301"/>
      <w:bookmarkStart w:id="435" w:name="_Toc473036039"/>
      <w:r>
        <w:rPr>
          <w:rStyle w:val="CharPartNo"/>
        </w:rPr>
        <w:t>Part 9</w:t>
      </w:r>
      <w:r>
        <w:rPr>
          <w:b w:val="0"/>
        </w:rPr>
        <w:t> </w:t>
      </w:r>
      <w:r>
        <w:t>—</w:t>
      </w:r>
      <w:r>
        <w:rPr>
          <w:b w:val="0"/>
        </w:rPr>
        <w:t> </w:t>
      </w:r>
      <w:r>
        <w:rPr>
          <w:rStyle w:val="CharPartText"/>
        </w:rPr>
        <w:t>Miscellaneous</w:t>
      </w:r>
      <w:bookmarkEnd w:id="432"/>
      <w:bookmarkEnd w:id="433"/>
      <w:bookmarkEnd w:id="434"/>
      <w:bookmarkEnd w:id="435"/>
    </w:p>
    <w:p>
      <w:pPr>
        <w:pStyle w:val="Footnoteheading"/>
        <w:spacing w:before="100"/>
      </w:pPr>
      <w:r>
        <w:tab/>
        <w:t>[Heading inserted in Gazette 29 Sep 2006 p. 4323.]</w:t>
      </w:r>
    </w:p>
    <w:p>
      <w:pPr>
        <w:pStyle w:val="Heading5"/>
        <w:rPr>
          <w:snapToGrid w:val="0"/>
        </w:rPr>
      </w:pPr>
      <w:bookmarkStart w:id="436" w:name="_Toc491956857"/>
      <w:bookmarkStart w:id="437" w:name="_Toc473036040"/>
      <w:r>
        <w:rPr>
          <w:rStyle w:val="CharSectno"/>
        </w:rPr>
        <w:t>105</w:t>
      </w:r>
      <w:r>
        <w:rPr>
          <w:snapToGrid w:val="0"/>
        </w:rPr>
        <w:t>.</w:t>
      </w:r>
      <w:r>
        <w:rPr>
          <w:snapToGrid w:val="0"/>
        </w:rPr>
        <w:tab/>
        <w:t>Organised events and meetings</w:t>
      </w:r>
      <w:bookmarkEnd w:id="436"/>
      <w:bookmarkEnd w:id="437"/>
      <w:r>
        <w:rPr>
          <w:snapToGrid w:val="0"/>
        </w:rPr>
        <w:t xml:space="preserve"> </w:t>
      </w:r>
    </w:p>
    <w:p>
      <w:pPr>
        <w:pStyle w:val="Subsection"/>
        <w:spacing w:before="140"/>
        <w:rPr>
          <w:snapToGrid w:val="0"/>
        </w:rPr>
      </w:pPr>
      <w:r>
        <w:rPr>
          <w:snapToGrid w:val="0"/>
        </w:rPr>
        <w:tab/>
        <w:t>(1)</w:t>
      </w:r>
      <w:r>
        <w:rPr>
          <w:snapToGrid w:val="0"/>
        </w:rPr>
        <w:tab/>
        <w:t xml:space="preserve">A person must not, without lawful authority, organise, advertise or hold a meeting, function or event on CALM land which is likely to involve or involves the attendance of more than 100 persons. </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The CEO cannot refuse to authorise a person for the purposes of subregulation (1) except on grounds relating to the adverse effects of the meeting, function or event on the environment or other users of the land.</w:t>
      </w:r>
    </w:p>
    <w:p>
      <w:pPr>
        <w:pStyle w:val="Footnotesection"/>
        <w:spacing w:before="100"/>
      </w:pPr>
      <w:r>
        <w:tab/>
        <w:t>[Regulation 105 amended in Gazette 29 Sep 2006 p. 4323</w:t>
      </w:r>
      <w:r>
        <w:noBreakHyphen/>
        <w:t>4; 3 Dec 2010 p. 6052</w:t>
      </w:r>
      <w:r>
        <w:noBreakHyphen/>
        <w:t>4.]</w:t>
      </w:r>
    </w:p>
    <w:p>
      <w:pPr>
        <w:pStyle w:val="Heading5"/>
        <w:rPr>
          <w:snapToGrid w:val="0"/>
        </w:rPr>
      </w:pPr>
      <w:bookmarkStart w:id="438" w:name="_Toc491956858"/>
      <w:bookmarkStart w:id="439" w:name="_Toc473036041"/>
      <w:r>
        <w:rPr>
          <w:rStyle w:val="CharSectno"/>
        </w:rPr>
        <w:t>106</w:t>
      </w:r>
      <w:r>
        <w:rPr>
          <w:snapToGrid w:val="0"/>
        </w:rPr>
        <w:t>.</w:t>
      </w:r>
      <w:r>
        <w:rPr>
          <w:snapToGrid w:val="0"/>
        </w:rPr>
        <w:tab/>
        <w:t>Unlawful commercial operations</w:t>
      </w:r>
      <w:bookmarkEnd w:id="438"/>
      <w:bookmarkEnd w:id="439"/>
      <w:r>
        <w:rPr>
          <w:snapToGrid w:val="0"/>
        </w:rPr>
        <w:t xml:space="preserve"> </w:t>
      </w:r>
    </w:p>
    <w:p>
      <w:pPr>
        <w:pStyle w:val="Subsection"/>
        <w:spacing w:before="140"/>
        <w:rPr>
          <w:snapToGrid w:val="0"/>
        </w:rPr>
      </w:pPr>
      <w:r>
        <w:rPr>
          <w:snapToGrid w:val="0"/>
        </w:rPr>
        <w:tab/>
        <w:t>(1)</w:t>
      </w:r>
      <w:r>
        <w:rPr>
          <w:snapToGrid w:val="0"/>
        </w:rPr>
        <w:tab/>
        <w:t>A person must not, without lawful authority, sell any goods or services, or carry on any business, on CALM land.</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A person must not advertise that the person is willing to sell any goods or services, or that the person carries on or will carry on a business, on CALM land unless the person has lawful authority to sell the goods or services, or carry on the business, on the CALM land.</w:t>
      </w:r>
    </w:p>
    <w:p>
      <w:pPr>
        <w:pStyle w:val="Penstart"/>
      </w:pPr>
      <w:r>
        <w:tab/>
        <w:t>Penalty: a fine of $2 000.</w:t>
      </w:r>
    </w:p>
    <w:p>
      <w:pPr>
        <w:pStyle w:val="Footnotesection"/>
        <w:spacing w:before="100"/>
      </w:pPr>
      <w:r>
        <w:tab/>
        <w:t>[Regulation 106 amended in Gazette 29 Sep 2006 p. 4324; 3 Dec 2010 p. 6052</w:t>
      </w:r>
      <w:r>
        <w:noBreakHyphen/>
        <w:t>4.]</w:t>
      </w:r>
    </w:p>
    <w:p>
      <w:pPr>
        <w:pStyle w:val="Heading5"/>
      </w:pPr>
      <w:bookmarkStart w:id="440" w:name="_Toc491956859"/>
      <w:bookmarkStart w:id="441" w:name="_Toc473036042"/>
      <w:r>
        <w:rPr>
          <w:rStyle w:val="CharSectno"/>
        </w:rPr>
        <w:t>107</w:t>
      </w:r>
      <w:r>
        <w:t>.</w:t>
      </w:r>
      <w:r>
        <w:tab/>
        <w:t>Distribution of printed matter and advertising material</w:t>
      </w:r>
      <w:bookmarkEnd w:id="440"/>
      <w:bookmarkEnd w:id="441"/>
    </w:p>
    <w:p>
      <w:pPr>
        <w:pStyle w:val="Subsection"/>
        <w:spacing w:before="140"/>
      </w:pPr>
      <w:r>
        <w:tab/>
      </w:r>
      <w:r>
        <w:tab/>
        <w:t xml:space="preserve">A person must not, without lawful authority, on CALM land — </w:t>
      </w:r>
    </w:p>
    <w:p>
      <w:pPr>
        <w:pStyle w:val="Indenta"/>
      </w:pPr>
      <w:r>
        <w:tab/>
        <w:t>(a)</w:t>
      </w:r>
      <w:r>
        <w:tab/>
        <w:t>sell or distribute or carry or expose for sale any printed or written matter; or</w:t>
      </w:r>
    </w:p>
    <w:p>
      <w:pPr>
        <w:pStyle w:val="Indenta"/>
        <w:spacing w:before="60"/>
      </w:pPr>
      <w:r>
        <w:tab/>
        <w:t>(b)</w:t>
      </w:r>
      <w:r>
        <w:tab/>
        <w:t>distribute any printed or written matter for a commercial purpose; or</w:t>
      </w:r>
    </w:p>
    <w:p>
      <w:pPr>
        <w:pStyle w:val="Indenta"/>
        <w:spacing w:before="60"/>
      </w:pPr>
      <w:r>
        <w:tab/>
        <w:t>(c)</w:t>
      </w:r>
      <w:r>
        <w:tab/>
        <w:t>advertise or promote any product, service or event for a commercial purpose.</w:t>
      </w:r>
    </w:p>
    <w:p>
      <w:pPr>
        <w:pStyle w:val="Penstart"/>
      </w:pPr>
      <w:r>
        <w:tab/>
        <w:t>Penalty: a fine of $500.</w:t>
      </w:r>
    </w:p>
    <w:p>
      <w:pPr>
        <w:pStyle w:val="Footnotesection"/>
        <w:spacing w:before="100"/>
      </w:pPr>
      <w:r>
        <w:tab/>
        <w:t>[Regulation 107 inserted in Gazette 29 Sep 2006 p. 4324</w:t>
      </w:r>
      <w:r>
        <w:noBreakHyphen/>
        <w:t>5; amended in Gazette 3 Dec 2010 p. 6052</w:t>
      </w:r>
      <w:r>
        <w:noBreakHyphen/>
        <w:t>4.]</w:t>
      </w:r>
    </w:p>
    <w:p>
      <w:pPr>
        <w:pStyle w:val="Heading5"/>
        <w:spacing w:before="200"/>
        <w:rPr>
          <w:snapToGrid w:val="0"/>
        </w:rPr>
      </w:pPr>
      <w:bookmarkStart w:id="442" w:name="_Toc491956860"/>
      <w:bookmarkStart w:id="443" w:name="_Toc473036043"/>
      <w:r>
        <w:rPr>
          <w:rStyle w:val="CharSectno"/>
        </w:rPr>
        <w:t>108</w:t>
      </w:r>
      <w:r>
        <w:rPr>
          <w:snapToGrid w:val="0"/>
        </w:rPr>
        <w:t>.</w:t>
      </w:r>
      <w:r>
        <w:rPr>
          <w:snapToGrid w:val="0"/>
        </w:rPr>
        <w:tab/>
        <w:t>Photography for commercial purposes</w:t>
      </w:r>
      <w:bookmarkEnd w:id="442"/>
      <w:bookmarkEnd w:id="443"/>
      <w:r>
        <w:rPr>
          <w:snapToGrid w:val="0"/>
        </w:rPr>
        <w:t xml:space="preserve"> </w:t>
      </w:r>
    </w:p>
    <w:p>
      <w:pPr>
        <w:pStyle w:val="Subsection"/>
        <w:spacing w:before="140"/>
        <w:rPr>
          <w:snapToGrid w:val="0"/>
        </w:rPr>
      </w:pPr>
      <w:r>
        <w:rPr>
          <w:snapToGrid w:val="0"/>
        </w:rPr>
        <w:tab/>
      </w:r>
      <w:r>
        <w:rPr>
          <w:snapToGrid w:val="0"/>
        </w:rPr>
        <w:tab/>
        <w:t>A person must not, without lawful authority, take — </w:t>
      </w:r>
    </w:p>
    <w:p>
      <w:pPr>
        <w:pStyle w:val="Indenta"/>
        <w:spacing w:before="60"/>
        <w:rPr>
          <w:snapToGrid w:val="0"/>
        </w:rPr>
      </w:pPr>
      <w:r>
        <w:rPr>
          <w:snapToGrid w:val="0"/>
        </w:rPr>
        <w:tab/>
        <w:t>(a)</w:t>
      </w:r>
      <w:r>
        <w:rPr>
          <w:snapToGrid w:val="0"/>
        </w:rPr>
        <w:tab/>
        <w:t xml:space="preserve">still pictures on CALM land by photographic or electronic means if the pictures are to be used for </w:t>
      </w:r>
      <w:r>
        <w:t xml:space="preserve">commercial </w:t>
      </w:r>
      <w:r>
        <w:rPr>
          <w:snapToGrid w:val="0"/>
        </w:rPr>
        <w:t>purposes; or</w:t>
      </w:r>
    </w:p>
    <w:p>
      <w:pPr>
        <w:pStyle w:val="Indenta"/>
        <w:spacing w:before="60"/>
        <w:rPr>
          <w:snapToGrid w:val="0"/>
        </w:rPr>
      </w:pPr>
      <w:r>
        <w:rPr>
          <w:snapToGrid w:val="0"/>
        </w:rPr>
        <w:tab/>
        <w:t>(b)</w:t>
      </w:r>
      <w:r>
        <w:rPr>
          <w:snapToGrid w:val="0"/>
        </w:rPr>
        <w:tab/>
        <w:t>motion pictures on CALM land by photographic or electronic means if the pictures are to be used for commercial purposes.</w:t>
      </w:r>
    </w:p>
    <w:p>
      <w:pPr>
        <w:pStyle w:val="Penstart"/>
        <w:rPr>
          <w:snapToGrid w:val="0"/>
        </w:rPr>
      </w:pPr>
      <w:r>
        <w:rPr>
          <w:snapToGrid w:val="0"/>
        </w:rPr>
        <w:tab/>
        <w:t>Penalty:</w:t>
      </w:r>
      <w:r>
        <w:t xml:space="preserve"> a fine of</w:t>
      </w:r>
      <w:r>
        <w:rPr>
          <w:snapToGrid w:val="0"/>
        </w:rPr>
        <w:t xml:space="preserve"> $500.</w:t>
      </w:r>
    </w:p>
    <w:p>
      <w:pPr>
        <w:pStyle w:val="Footnotesection"/>
        <w:spacing w:before="100"/>
      </w:pPr>
      <w:r>
        <w:tab/>
        <w:t>[Regulation 108 amended in Gazette 29 Sep 2006 p. 4325; 3 Dec 2010 p. 6052</w:t>
      </w:r>
      <w:r>
        <w:noBreakHyphen/>
        <w:t>4.]</w:t>
      </w:r>
    </w:p>
    <w:p>
      <w:pPr>
        <w:pStyle w:val="Heading5"/>
        <w:spacing w:before="200"/>
        <w:rPr>
          <w:snapToGrid w:val="0"/>
        </w:rPr>
      </w:pPr>
      <w:bookmarkStart w:id="444" w:name="_Toc491956861"/>
      <w:bookmarkStart w:id="445" w:name="_Toc473036044"/>
      <w:r>
        <w:rPr>
          <w:rStyle w:val="CharSectno"/>
        </w:rPr>
        <w:t>109</w:t>
      </w:r>
      <w:r>
        <w:rPr>
          <w:snapToGrid w:val="0"/>
        </w:rPr>
        <w:t>.</w:t>
      </w:r>
      <w:r>
        <w:rPr>
          <w:snapToGrid w:val="0"/>
        </w:rPr>
        <w:tab/>
        <w:t>Production of licences etc.</w:t>
      </w:r>
      <w:bookmarkEnd w:id="444"/>
      <w:bookmarkEnd w:id="445"/>
      <w:r>
        <w:rPr>
          <w:snapToGrid w:val="0"/>
        </w:rPr>
        <w:t xml:space="preserve"> </w:t>
      </w:r>
    </w:p>
    <w:p>
      <w:pPr>
        <w:pStyle w:val="Subsection"/>
        <w:spacing w:before="140"/>
      </w:pPr>
      <w:r>
        <w:rPr>
          <w:snapToGrid w:val="0"/>
        </w:rPr>
        <w:tab/>
      </w:r>
      <w:r>
        <w:rPr>
          <w:snapToGrid w:val="0"/>
        </w:rPr>
        <w:tab/>
        <w:t xml:space="preserve">The holder of a licence, permit, written authorisation or pass issued under the Act or these regulations must, if requested by an authorised officer, produce the licence, permit, authorisation or pass for </w:t>
      </w:r>
      <w:r>
        <w:t xml:space="preserve">inspection — </w:t>
      </w:r>
    </w:p>
    <w:p>
      <w:pPr>
        <w:pStyle w:val="Indenta"/>
        <w:spacing w:before="60"/>
      </w:pPr>
      <w:r>
        <w:tab/>
        <w:t>(a)</w:t>
      </w:r>
      <w:r>
        <w:tab/>
        <w:t>if it is a condition of the licence, permit, authorisation or pass that the holder produce the licence, permit, authorisation or pass upon demand of an authorised officer — at the time of the request; or</w:t>
      </w:r>
    </w:p>
    <w:p>
      <w:pPr>
        <w:pStyle w:val="Indenta"/>
        <w:spacing w:before="60"/>
        <w:rPr>
          <w:snapToGrid w:val="0"/>
        </w:rPr>
      </w:pPr>
      <w:r>
        <w:tab/>
        <w:t>(b)</w:t>
      </w:r>
      <w:r>
        <w:tab/>
        <w:t>if paragraph (a) does not apply — as soon as is practicable.</w:t>
      </w:r>
    </w:p>
    <w:p>
      <w:pPr>
        <w:pStyle w:val="Penstart"/>
        <w:rPr>
          <w:snapToGrid w:val="0"/>
        </w:rPr>
      </w:pPr>
      <w:r>
        <w:rPr>
          <w:snapToGrid w:val="0"/>
        </w:rPr>
        <w:tab/>
        <w:t>Penalty:</w:t>
      </w:r>
      <w:r>
        <w:t xml:space="preserve"> a fine of</w:t>
      </w:r>
      <w:r>
        <w:rPr>
          <w:snapToGrid w:val="0"/>
        </w:rPr>
        <w:t xml:space="preserve"> </w:t>
      </w:r>
      <w:r>
        <w:t>$2 000</w:t>
      </w:r>
      <w:r>
        <w:rPr>
          <w:snapToGrid w:val="0"/>
        </w:rPr>
        <w:t>.</w:t>
      </w:r>
    </w:p>
    <w:p>
      <w:pPr>
        <w:pStyle w:val="Footnotesection"/>
        <w:spacing w:before="100"/>
      </w:pPr>
      <w:r>
        <w:tab/>
        <w:t>[Regulation 109 amended in Gazette 29 Sep 2006 p. 4325; 3 Dec 2010 p. 6052</w:t>
      </w:r>
      <w:r>
        <w:noBreakHyphen/>
        <w:t>4; 19 Sep 2014 p. 3336.]</w:t>
      </w:r>
    </w:p>
    <w:p>
      <w:pPr>
        <w:pStyle w:val="Heading5"/>
        <w:rPr>
          <w:snapToGrid w:val="0"/>
        </w:rPr>
      </w:pPr>
      <w:bookmarkStart w:id="446" w:name="_Toc491956862"/>
      <w:bookmarkStart w:id="447" w:name="_Toc473036045"/>
      <w:r>
        <w:rPr>
          <w:rStyle w:val="CharSectno"/>
        </w:rPr>
        <w:t>110</w:t>
      </w:r>
      <w:r>
        <w:rPr>
          <w:snapToGrid w:val="0"/>
        </w:rPr>
        <w:t>.</w:t>
      </w:r>
      <w:r>
        <w:rPr>
          <w:snapToGrid w:val="0"/>
        </w:rPr>
        <w:tab/>
        <w:t>False or misleading information</w:t>
      </w:r>
      <w:bookmarkEnd w:id="446"/>
      <w:bookmarkEnd w:id="447"/>
      <w:r>
        <w:rPr>
          <w:snapToGrid w:val="0"/>
        </w:rPr>
        <w:t xml:space="preserve"> </w:t>
      </w:r>
    </w:p>
    <w:p>
      <w:pPr>
        <w:pStyle w:val="Subsection"/>
        <w:rPr>
          <w:snapToGrid w:val="0"/>
        </w:rPr>
      </w:pPr>
      <w:r>
        <w:rPr>
          <w:snapToGrid w:val="0"/>
        </w:rPr>
        <w:tab/>
      </w:r>
      <w:r>
        <w:rPr>
          <w:snapToGrid w:val="0"/>
        </w:rPr>
        <w:tab/>
        <w:t>A person must not, in relation to the holding of a lease, licence or permit or the payment of a fee, give information orally or in writing to an authorised officer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w:t>
      </w:r>
      <w:r>
        <w:t xml:space="preserve"> a fine of</w:t>
      </w:r>
      <w:r>
        <w:rPr>
          <w:snapToGrid w:val="0"/>
        </w:rPr>
        <w:t xml:space="preserve"> </w:t>
      </w:r>
      <w:r>
        <w:t>$2 000</w:t>
      </w:r>
      <w:r>
        <w:rPr>
          <w:snapToGrid w:val="0"/>
        </w:rPr>
        <w:t>.</w:t>
      </w:r>
    </w:p>
    <w:p>
      <w:pPr>
        <w:pStyle w:val="Footnotesection"/>
      </w:pPr>
      <w:r>
        <w:tab/>
        <w:t>[Regulation 110 amended in Gazette 3 Dec 2010 p. 6052</w:t>
      </w:r>
      <w:r>
        <w:noBreakHyphen/>
        <w:t>4; 19 Sep 2014 p. 3336.]</w:t>
      </w:r>
    </w:p>
    <w:p>
      <w:pPr>
        <w:pStyle w:val="Heading5"/>
        <w:rPr>
          <w:snapToGrid w:val="0"/>
        </w:rPr>
      </w:pPr>
      <w:bookmarkStart w:id="448" w:name="_Toc491956863"/>
      <w:bookmarkStart w:id="449" w:name="_Toc473036046"/>
      <w:r>
        <w:rPr>
          <w:rStyle w:val="CharSectno"/>
        </w:rPr>
        <w:t>111</w:t>
      </w:r>
      <w:r>
        <w:rPr>
          <w:snapToGrid w:val="0"/>
        </w:rPr>
        <w:t>.</w:t>
      </w:r>
      <w:r>
        <w:rPr>
          <w:snapToGrid w:val="0"/>
        </w:rPr>
        <w:tab/>
        <w:t>Signs — presumption</w:t>
      </w:r>
      <w:bookmarkEnd w:id="448"/>
      <w:bookmarkEnd w:id="449"/>
      <w:r>
        <w:rPr>
          <w:snapToGrid w:val="0"/>
        </w:rPr>
        <w:t xml:space="preserve"> </w:t>
      </w:r>
    </w:p>
    <w:p>
      <w:pPr>
        <w:pStyle w:val="Subsection"/>
        <w:rPr>
          <w:snapToGrid w:val="0"/>
        </w:rPr>
      </w:pPr>
      <w:r>
        <w:rPr>
          <w:snapToGrid w:val="0"/>
        </w:rPr>
        <w:tab/>
      </w:r>
      <w:r>
        <w:rPr>
          <w:snapToGrid w:val="0"/>
        </w:rPr>
        <w:tab/>
        <w:t xml:space="preserve">A sign on CALM land is to be taken to have been erected or made by the authority of the </w:t>
      </w:r>
      <w:r>
        <w:t xml:space="preserve">CEO </w:t>
      </w:r>
      <w:r>
        <w:rPr>
          <w:snapToGrid w:val="0"/>
        </w:rPr>
        <w:t>unless the contrary is shown.</w:t>
      </w:r>
    </w:p>
    <w:p>
      <w:pPr>
        <w:pStyle w:val="Footnotesection"/>
      </w:pPr>
      <w:r>
        <w:tab/>
        <w:t>[Regulation 111 amended in Gazette 29 Sep 2006 p. 4334.]</w:t>
      </w:r>
    </w:p>
    <w:p>
      <w:pPr>
        <w:pStyle w:val="Heading5"/>
      </w:pPr>
      <w:bookmarkStart w:id="450" w:name="_Toc491956864"/>
      <w:bookmarkStart w:id="451" w:name="_Toc473036047"/>
      <w:r>
        <w:rPr>
          <w:rStyle w:val="CharSectno"/>
        </w:rPr>
        <w:t>111A</w:t>
      </w:r>
      <w:r>
        <w:t>.</w:t>
      </w:r>
      <w:r>
        <w:tab/>
        <w:t>Reasons for decisions</w:t>
      </w:r>
      <w:bookmarkEnd w:id="450"/>
      <w:bookmarkEnd w:id="451"/>
    </w:p>
    <w:p>
      <w:pPr>
        <w:pStyle w:val="Subsection"/>
      </w:pPr>
      <w:r>
        <w:tab/>
        <w:t>(1)</w:t>
      </w:r>
      <w:r>
        <w:tab/>
        <w:t>A person aggrieved by a decision of the CEO under these regulations may apply to the CEO for reasons for the decision.</w:t>
      </w:r>
    </w:p>
    <w:p>
      <w:pPr>
        <w:pStyle w:val="Subsection"/>
      </w:pPr>
      <w:r>
        <w:tab/>
        <w:t>(2)</w:t>
      </w:r>
      <w:r>
        <w:tab/>
        <w:t>The CEO must give the reasons for the decision to the person.</w:t>
      </w:r>
    </w:p>
    <w:p>
      <w:pPr>
        <w:pStyle w:val="Footnotesection"/>
      </w:pPr>
      <w:r>
        <w:tab/>
        <w:t>[Regulation 111A inserted in Gazette 29 Sep 2006 p. 4326.]</w:t>
      </w:r>
    </w:p>
    <w:p>
      <w:pPr>
        <w:pStyle w:val="Heading5"/>
        <w:rPr>
          <w:snapToGrid w:val="0"/>
        </w:rPr>
      </w:pPr>
      <w:bookmarkStart w:id="452" w:name="_Toc491956865"/>
      <w:bookmarkStart w:id="453" w:name="_Toc473036048"/>
      <w:r>
        <w:rPr>
          <w:rStyle w:val="CharSectno"/>
        </w:rPr>
        <w:t>112</w:t>
      </w:r>
      <w:r>
        <w:rPr>
          <w:snapToGrid w:val="0"/>
        </w:rPr>
        <w:t>.</w:t>
      </w:r>
      <w:r>
        <w:rPr>
          <w:snapToGrid w:val="0"/>
        </w:rPr>
        <w:tab/>
        <w:t>Infringement notices</w:t>
      </w:r>
      <w:bookmarkEnd w:id="452"/>
      <w:bookmarkEnd w:id="453"/>
      <w:r>
        <w:rPr>
          <w:snapToGrid w:val="0"/>
        </w:rPr>
        <w:t xml:space="preserve"> </w:t>
      </w:r>
    </w:p>
    <w:p>
      <w:pPr>
        <w:pStyle w:val="Subsection"/>
        <w:rPr>
          <w:snapToGrid w:val="0"/>
        </w:rPr>
      </w:pPr>
      <w:r>
        <w:rPr>
          <w:snapToGrid w:val="0"/>
        </w:rPr>
        <w:tab/>
        <w:t>(1)</w:t>
      </w:r>
      <w:r>
        <w:rPr>
          <w:snapToGrid w:val="0"/>
        </w:rPr>
        <w:tab/>
        <w:t>The offences described in Schedule 2 columns 1 and 2 are prescribed offences for the purposes of section 114A of the Act.</w:t>
      </w:r>
    </w:p>
    <w:p>
      <w:pPr>
        <w:pStyle w:val="Subsection"/>
        <w:rPr>
          <w:snapToGrid w:val="0"/>
        </w:rPr>
      </w:pPr>
      <w:r>
        <w:rPr>
          <w:snapToGrid w:val="0"/>
        </w:rPr>
        <w:tab/>
        <w:t>(2)</w:t>
      </w:r>
      <w:r>
        <w:rPr>
          <w:snapToGrid w:val="0"/>
        </w:rPr>
        <w:tab/>
        <w:t>The penalties set out in Schedule 2 column 3 are prescribed modified penalties for the offence in columns 1 and 2 to which the penalties correspond, for the purposes of section 114A of the Act.</w:t>
      </w:r>
    </w:p>
    <w:p>
      <w:pPr>
        <w:pStyle w:val="Subsection"/>
        <w:rPr>
          <w:snapToGrid w:val="0"/>
        </w:rPr>
      </w:pPr>
      <w:r>
        <w:rPr>
          <w:snapToGrid w:val="0"/>
        </w:rPr>
        <w:tab/>
        <w:t>(3)</w:t>
      </w:r>
      <w:r>
        <w:rPr>
          <w:snapToGrid w:val="0"/>
        </w:rPr>
        <w:tab/>
        <w:t>Schedule 3 Form 1 is prescribed for the purposes of section 114A(1) of the Act.</w:t>
      </w:r>
    </w:p>
    <w:p>
      <w:pPr>
        <w:pStyle w:val="Subsection"/>
        <w:rPr>
          <w:snapToGrid w:val="0"/>
        </w:rPr>
      </w:pPr>
      <w:r>
        <w:rPr>
          <w:snapToGrid w:val="0"/>
        </w:rPr>
        <w:tab/>
        <w:t>(4)</w:t>
      </w:r>
      <w:r>
        <w:rPr>
          <w:snapToGrid w:val="0"/>
        </w:rPr>
        <w:tab/>
        <w:t>Schedule 3 Form 2 is prescribed for the purposes of section 114A(6) of the Act.</w:t>
      </w:r>
    </w:p>
    <w:p>
      <w:pPr>
        <w:pStyle w:val="Heading5"/>
        <w:rPr>
          <w:snapToGrid w:val="0"/>
        </w:rPr>
      </w:pPr>
      <w:bookmarkStart w:id="454" w:name="_Toc491956866"/>
      <w:bookmarkStart w:id="455" w:name="_Toc473036049"/>
      <w:r>
        <w:rPr>
          <w:rStyle w:val="CharSectno"/>
        </w:rPr>
        <w:t>113</w:t>
      </w:r>
      <w:r>
        <w:rPr>
          <w:snapToGrid w:val="0"/>
        </w:rPr>
        <w:t>.</w:t>
      </w:r>
      <w:r>
        <w:rPr>
          <w:snapToGrid w:val="0"/>
        </w:rPr>
        <w:tab/>
        <w:t>Evidence</w:t>
      </w:r>
      <w:bookmarkEnd w:id="454"/>
      <w:bookmarkEnd w:id="455"/>
      <w:r>
        <w:rPr>
          <w:snapToGrid w:val="0"/>
        </w:rPr>
        <w:t xml:space="preserve"> </w:t>
      </w:r>
    </w:p>
    <w:p>
      <w:pPr>
        <w:pStyle w:val="Subsection"/>
        <w:rPr>
          <w:snapToGrid w:val="0"/>
        </w:rPr>
      </w:pPr>
      <w:r>
        <w:rPr>
          <w:snapToGrid w:val="0"/>
        </w:rPr>
        <w:tab/>
      </w:r>
      <w:r>
        <w:rPr>
          <w:snapToGrid w:val="0"/>
        </w:rPr>
        <w:tab/>
        <w:t>In any prosecution under these regulations an averment in the complaint — </w:t>
      </w:r>
    </w:p>
    <w:p>
      <w:pPr>
        <w:pStyle w:val="Indenta"/>
        <w:rPr>
          <w:snapToGrid w:val="0"/>
        </w:rPr>
      </w:pPr>
      <w:r>
        <w:rPr>
          <w:snapToGrid w:val="0"/>
        </w:rPr>
        <w:tab/>
        <w:t>(a)</w:t>
      </w:r>
      <w:r>
        <w:rPr>
          <w:snapToGrid w:val="0"/>
        </w:rPr>
        <w:tab/>
        <w:t>that the place at or in respect of which a contravention of a regulation is alleged to have occurred was, or was within, a restricted area declared for the purpose of that regulation; or</w:t>
      </w:r>
    </w:p>
    <w:p>
      <w:pPr>
        <w:pStyle w:val="Indenta"/>
        <w:rPr>
          <w:snapToGrid w:val="0"/>
        </w:rPr>
      </w:pPr>
      <w:r>
        <w:rPr>
          <w:snapToGrid w:val="0"/>
        </w:rPr>
        <w:tab/>
        <w:t>(b)</w:t>
      </w:r>
      <w:r>
        <w:rPr>
          <w:snapToGrid w:val="0"/>
        </w:rPr>
        <w:tab/>
        <w:t>that the place at or in respect of which a contravention of a regulation is alleged to have occurred was, or was within, a designated area declared for the purpose of that regulation; or</w:t>
      </w:r>
    </w:p>
    <w:p>
      <w:pPr>
        <w:pStyle w:val="Indenta"/>
        <w:rPr>
          <w:snapToGrid w:val="0"/>
        </w:rPr>
      </w:pPr>
      <w:r>
        <w:rPr>
          <w:snapToGrid w:val="0"/>
        </w:rPr>
        <w:tab/>
        <w:t>(c)</w:t>
      </w:r>
      <w:r>
        <w:rPr>
          <w:snapToGrid w:val="0"/>
        </w:rPr>
        <w:tab/>
        <w:t>that an act or state of affairs occurred without lawful authority,</w:t>
      </w:r>
    </w:p>
    <w:p>
      <w:pPr>
        <w:pStyle w:val="Subsection"/>
        <w:rPr>
          <w:snapToGrid w:val="0"/>
        </w:rPr>
      </w:pPr>
      <w:r>
        <w:rPr>
          <w:snapToGrid w:val="0"/>
        </w:rPr>
        <w:tab/>
      </w:r>
      <w:r>
        <w:rPr>
          <w:snapToGrid w:val="0"/>
        </w:rPr>
        <w:tab/>
        <w:t>is taken to have been proved in the absence of evidence to the contrary.</w:t>
      </w:r>
    </w:p>
    <w:p>
      <w:pPr>
        <w:pStyle w:val="Heading2"/>
        <w:tabs>
          <w:tab w:val="left" w:pos="840"/>
        </w:tabs>
      </w:pPr>
      <w:bookmarkStart w:id="456" w:name="_Toc491954713"/>
      <w:bookmarkStart w:id="457" w:name="_Toc491956867"/>
      <w:bookmarkStart w:id="458" w:name="_Toc473019312"/>
      <w:bookmarkStart w:id="459" w:name="_Toc473036050"/>
      <w:r>
        <w:rPr>
          <w:rStyle w:val="CharPartNo"/>
        </w:rPr>
        <w:t>Part 10</w:t>
      </w:r>
      <w:r>
        <w:rPr>
          <w:rStyle w:val="CharDivNo"/>
        </w:rPr>
        <w:t> </w:t>
      </w:r>
      <w:r>
        <w:t>—</w:t>
      </w:r>
      <w:r>
        <w:rPr>
          <w:rStyle w:val="CharDivText"/>
        </w:rPr>
        <w:t> </w:t>
      </w:r>
      <w:r>
        <w:rPr>
          <w:rStyle w:val="CharPartText"/>
        </w:rPr>
        <w:t>Exclusion of operation of section 103A(3)</w:t>
      </w:r>
      <w:bookmarkEnd w:id="456"/>
      <w:bookmarkEnd w:id="457"/>
      <w:bookmarkEnd w:id="458"/>
      <w:bookmarkEnd w:id="459"/>
    </w:p>
    <w:p>
      <w:pPr>
        <w:pStyle w:val="Footnoteheading"/>
      </w:pPr>
      <w:r>
        <w:tab/>
        <w:t>[Heading inserted in Gazette 7 Dec 2012 p. 5966.]</w:t>
      </w:r>
    </w:p>
    <w:p>
      <w:pPr>
        <w:pStyle w:val="Heading5"/>
      </w:pPr>
      <w:bookmarkStart w:id="460" w:name="_Toc491956868"/>
      <w:bookmarkStart w:id="461" w:name="_Toc473036051"/>
      <w:r>
        <w:rPr>
          <w:rStyle w:val="CharSectno"/>
        </w:rPr>
        <w:t>114</w:t>
      </w:r>
      <w:r>
        <w:t>.</w:t>
      </w:r>
      <w:r>
        <w:tab/>
        <w:t>Terms used</w:t>
      </w:r>
      <w:bookmarkEnd w:id="460"/>
      <w:bookmarkEnd w:id="461"/>
    </w:p>
    <w:p>
      <w:pPr>
        <w:pStyle w:val="Subsection"/>
      </w:pPr>
      <w:r>
        <w:tab/>
      </w:r>
      <w:r>
        <w:tab/>
        <w:t xml:space="preserve">In this Part — </w:t>
      </w:r>
    </w:p>
    <w:p>
      <w:pPr>
        <w:pStyle w:val="Defstart"/>
      </w:pPr>
      <w:r>
        <w:tab/>
      </w:r>
      <w:r>
        <w:rPr>
          <w:rStyle w:val="CharDefText"/>
        </w:rPr>
        <w:t>recreational land</w:t>
      </w:r>
      <w:r>
        <w:t xml:space="preserve"> means CALM land that is, or is within 500 m of, any of the following —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Defstart"/>
      </w:pPr>
      <w:r>
        <w:tab/>
      </w:r>
      <w:r>
        <w:rPr>
          <w:rStyle w:val="CharDefText"/>
        </w:rPr>
        <w:t>townsite</w:t>
      </w:r>
      <w:r>
        <w:t xml:space="preserve"> has the meaning given in the </w:t>
      </w:r>
      <w:r>
        <w:rPr>
          <w:i/>
        </w:rPr>
        <w:t>Land Administration Act 1997</w:t>
      </w:r>
      <w:r>
        <w:t xml:space="preserve"> section 26(1);</w:t>
      </w:r>
    </w:p>
    <w:p>
      <w:pPr>
        <w:pStyle w:val="Defstart"/>
      </w:pPr>
      <w:r>
        <w:tab/>
      </w:r>
      <w:r>
        <w:rPr>
          <w:rStyle w:val="CharDefText"/>
        </w:rPr>
        <w:t>urban land</w:t>
      </w:r>
      <w:r>
        <w:t xml:space="preserve"> means land within the metropolitan region as defined in the </w:t>
      </w:r>
      <w:r>
        <w:rPr>
          <w:i/>
        </w:rPr>
        <w:t>Planning and Development Act 2005</w:t>
      </w:r>
      <w:r>
        <w:t xml:space="preserve"> section 4(1), the Peel Region described in Schedule 4 to that Act or the local government district of Bunbury;</w:t>
      </w:r>
    </w:p>
    <w:p>
      <w:pPr>
        <w:pStyle w:val="Defstart"/>
      </w:pPr>
      <w:r>
        <w:tab/>
      </w:r>
      <w:r>
        <w:rPr>
          <w:rStyle w:val="CharDefText"/>
        </w:rPr>
        <w:t>visitor area</w:t>
      </w:r>
      <w:r>
        <w:t xml:space="preserve"> includes any of the following — </w:t>
      </w:r>
    </w:p>
    <w:p>
      <w:pPr>
        <w:pStyle w:val="Defpara"/>
      </w:pPr>
      <w:r>
        <w:tab/>
        <w:t>(a)</w:t>
      </w:r>
      <w:r>
        <w:tab/>
        <w:t>an area of cultivated lawn;</w:t>
      </w:r>
    </w:p>
    <w:p>
      <w:pPr>
        <w:pStyle w:val="Defpara"/>
      </w:pPr>
      <w:r>
        <w:tab/>
        <w:t>(b)</w:t>
      </w:r>
      <w:r>
        <w:tab/>
        <w:t>an area signposted as a picnic area;</w:t>
      </w:r>
    </w:p>
    <w:p>
      <w:pPr>
        <w:pStyle w:val="Defpara"/>
      </w:pPr>
      <w:r>
        <w:tab/>
        <w:t>(c)</w:t>
      </w:r>
      <w:r>
        <w:tab/>
        <w:t>an area signposted as an historical, natural or cultural point of interest;</w:t>
      </w:r>
    </w:p>
    <w:p>
      <w:pPr>
        <w:pStyle w:val="Defpara"/>
      </w:pPr>
      <w:r>
        <w:tab/>
        <w:t>(d)</w:t>
      </w:r>
      <w:r>
        <w:tab/>
        <w:t xml:space="preserve">an area where any of the following have been provided for visitors — </w:t>
      </w:r>
    </w:p>
    <w:p>
      <w:pPr>
        <w:pStyle w:val="Indenti"/>
      </w:pPr>
      <w:r>
        <w:tab/>
        <w:t>(i)</w:t>
      </w:r>
      <w:r>
        <w:tab/>
        <w:t>tables and seating;</w:t>
      </w:r>
    </w:p>
    <w:p>
      <w:pPr>
        <w:pStyle w:val="Defsubpara"/>
      </w:pPr>
      <w:r>
        <w:tab/>
        <w:t>(ii)</w:t>
      </w:r>
      <w:r>
        <w:tab/>
        <w:t>a lookout or platform;</w:t>
      </w:r>
    </w:p>
    <w:p>
      <w:pPr>
        <w:pStyle w:val="Defsubpara"/>
      </w:pPr>
      <w:r>
        <w:tab/>
        <w:t>(iii)</w:t>
      </w:r>
      <w:r>
        <w:tab/>
        <w:t>a toilet facility;</w:t>
      </w:r>
    </w:p>
    <w:p>
      <w:pPr>
        <w:pStyle w:val="Defsubpara"/>
      </w:pPr>
      <w:r>
        <w:tab/>
        <w:t>(iv)</w:t>
      </w:r>
      <w:r>
        <w:tab/>
        <w:t>a rubbish bin;</w:t>
      </w:r>
    </w:p>
    <w:p>
      <w:pPr>
        <w:pStyle w:val="Defsubpara"/>
      </w:pPr>
      <w:r>
        <w:tab/>
        <w:t>(v)</w:t>
      </w:r>
      <w:r>
        <w:tab/>
        <w:t>interpretive information;</w:t>
      </w:r>
    </w:p>
    <w:p>
      <w:pPr>
        <w:pStyle w:val="Defsubpara"/>
      </w:pPr>
      <w:r>
        <w:tab/>
        <w:t>(vi)</w:t>
      </w:r>
      <w:r>
        <w:tab/>
        <w:t>any building, facility or other erected or constructed thing,</w:t>
      </w:r>
    </w:p>
    <w:p>
      <w:pPr>
        <w:pStyle w:val="Defpara"/>
      </w:pPr>
      <w:r>
        <w:tab/>
      </w:r>
      <w:r>
        <w:tab/>
        <w:t>but does not include a walk trail or unsealed road.</w:t>
      </w:r>
    </w:p>
    <w:p>
      <w:pPr>
        <w:pStyle w:val="Footnotesection"/>
      </w:pPr>
      <w:r>
        <w:tab/>
        <w:t>[Regulation 114 inserted in Gazette 7 Dec 2012 p. 5966-7.]</w:t>
      </w:r>
    </w:p>
    <w:p>
      <w:pPr>
        <w:pStyle w:val="Heading5"/>
      </w:pPr>
      <w:bookmarkStart w:id="462" w:name="_Toc491956869"/>
      <w:bookmarkStart w:id="463" w:name="_Toc473036052"/>
      <w:r>
        <w:rPr>
          <w:rStyle w:val="CharSectno"/>
        </w:rPr>
        <w:t>115</w:t>
      </w:r>
      <w:r>
        <w:t>.</w:t>
      </w:r>
      <w:r>
        <w:tab/>
        <w:t>Exclusion of operation of section 103A(3) of Act: animals</w:t>
      </w:r>
      <w:bookmarkEnd w:id="462"/>
      <w:bookmarkEnd w:id="463"/>
    </w:p>
    <w:p>
      <w:pPr>
        <w:pStyle w:val="Subsection"/>
      </w:pPr>
      <w:r>
        <w:tab/>
        <w:t>(1)</w:t>
      </w:r>
      <w:r>
        <w:tab/>
        <w:t xml:space="preserve">In this regulation — </w:t>
      </w:r>
    </w:p>
    <w:p>
      <w:pPr>
        <w:pStyle w:val="Defstart"/>
      </w:pPr>
      <w:r>
        <w:tab/>
      </w:r>
      <w:r>
        <w:rPr>
          <w:rStyle w:val="CharDefText"/>
        </w:rPr>
        <w:t>poison risk area</w:t>
      </w:r>
      <w:r>
        <w:t xml:space="preserve"> means an area shown on a poison risk map in which poison baits to control vertebrates may be present;</w:t>
      </w:r>
    </w:p>
    <w:p>
      <w:pPr>
        <w:pStyle w:val="Defstart"/>
      </w:pPr>
      <w:r>
        <w:tab/>
      </w:r>
      <w:r>
        <w:rPr>
          <w:rStyle w:val="CharDefText"/>
        </w:rPr>
        <w:t>poison risk map</w:t>
      </w:r>
      <w:r>
        <w:t xml:space="preserve"> means a map produced by the Department that — </w:t>
      </w:r>
    </w:p>
    <w:p>
      <w:pPr>
        <w:pStyle w:val="Defpara"/>
      </w:pPr>
      <w:r>
        <w:tab/>
        <w:t>(a)</w:t>
      </w:r>
      <w:r>
        <w:tab/>
        <w:t>shows poison risk areas; and</w:t>
      </w:r>
    </w:p>
    <w:p>
      <w:pPr>
        <w:pStyle w:val="Defpara"/>
      </w:pPr>
      <w:r>
        <w:tab/>
        <w:t>(b)</w:t>
      </w:r>
      <w:r>
        <w:tab/>
        <w:t>is available for inspection by the public during normal office hours at each district office of the Department nearest to a poison risk area.</w:t>
      </w:r>
    </w:p>
    <w:p>
      <w:pPr>
        <w:pStyle w:val="Subsection"/>
      </w:pPr>
      <w:r>
        <w:tab/>
        <w:t>(2)</w:t>
      </w:r>
      <w:r>
        <w:tab/>
        <w:t xml:space="preserve">The operation of section 103A(3) of the Act is excluded in relation to bringing an animal on to CALM land contrary to regulation 15(a) if — </w:t>
      </w:r>
    </w:p>
    <w:p>
      <w:pPr>
        <w:pStyle w:val="Indenta"/>
      </w:pPr>
      <w:r>
        <w:tab/>
        <w:t>(a)</w:t>
      </w:r>
      <w:r>
        <w:tab/>
        <w:t>the animal is brought on to the land without the written permission of the CEO; and</w:t>
      </w:r>
    </w:p>
    <w:p>
      <w:pPr>
        <w:pStyle w:val="Indenta"/>
      </w:pPr>
      <w:r>
        <w:tab/>
        <w:t>(b)</w:t>
      </w:r>
      <w:r>
        <w:tab/>
        <w:t>the land is in a poison risk area.</w:t>
      </w:r>
    </w:p>
    <w:p>
      <w:pPr>
        <w:pStyle w:val="Subsection"/>
      </w:pPr>
      <w:r>
        <w:tab/>
        <w:t>(3)</w:t>
      </w:r>
      <w:r>
        <w:tab/>
        <w:t xml:space="preserve">The operation of section 103A(3) of the Act is excluded in relation to bringing an animal on to CALM land contrary to regulation 15(a) if — </w:t>
      </w:r>
    </w:p>
    <w:p>
      <w:pPr>
        <w:pStyle w:val="Indenta"/>
        <w:spacing w:before="70"/>
      </w:pPr>
      <w:r>
        <w:tab/>
        <w:t>(a)</w:t>
      </w:r>
      <w:r>
        <w:tab/>
        <w:t>the animal is brought on to the land without the written permission of the CEO; and</w:t>
      </w:r>
    </w:p>
    <w:p>
      <w:pPr>
        <w:pStyle w:val="Indenta"/>
        <w:spacing w:before="70"/>
      </w:pPr>
      <w:r>
        <w:tab/>
        <w:t>(b)</w:t>
      </w:r>
      <w:r>
        <w:tab/>
        <w:t>the animal is not kept in a vehicle while on the land; and</w:t>
      </w:r>
    </w:p>
    <w:p>
      <w:pPr>
        <w:pStyle w:val="Indenta"/>
        <w:spacing w:before="70"/>
      </w:pPr>
      <w:r>
        <w:tab/>
        <w:t>(c)</w:t>
      </w:r>
      <w:r>
        <w:tab/>
        <w:t xml:space="preserve">the land is — </w:t>
      </w:r>
    </w:p>
    <w:p>
      <w:pPr>
        <w:pStyle w:val="Indenti"/>
        <w:spacing w:before="70"/>
      </w:pPr>
      <w:r>
        <w:tab/>
        <w:t>(i)</w:t>
      </w:r>
      <w:r>
        <w:tab/>
        <w:t>recreational land or urban land; or</w:t>
      </w:r>
    </w:p>
    <w:p>
      <w:pPr>
        <w:pStyle w:val="Indenti"/>
        <w:spacing w:before="70"/>
      </w:pPr>
      <w:r>
        <w:tab/>
        <w:t>(ii)</w:t>
      </w:r>
      <w:r>
        <w:tab/>
        <w:t>in a townsite; or</w:t>
      </w:r>
    </w:p>
    <w:p>
      <w:pPr>
        <w:pStyle w:val="Indenti"/>
        <w:spacing w:before="70"/>
      </w:pPr>
      <w:r>
        <w:tab/>
        <w:t>(iii)</w:t>
      </w:r>
      <w:r>
        <w:tab/>
        <w:t xml:space="preserve">in Tunnel Creek National Park (Reserve No. 26890), </w:t>
      </w:r>
      <w:smartTag w:uri="urn:schemas-microsoft-com:office:smarttags" w:element="place">
        <w:smartTag w:uri="urn:schemas-microsoft-com:office:smarttags" w:element="PlaceName">
          <w:r>
            <w:t>Geikie</w:t>
          </w:r>
        </w:smartTag>
        <w:r>
          <w:t xml:space="preserve"> </w:t>
        </w:r>
        <w:smartTag w:uri="urn:schemas-microsoft-com:office:smarttags" w:element="PlaceName">
          <w:r>
            <w:t>Gorge</w:t>
          </w:r>
        </w:smartTag>
        <w:r>
          <w:t xml:space="preserve"> </w:t>
        </w:r>
        <w:smartTag w:uri="urn:schemas-microsoft-com:office:smarttags" w:element="PlaceType">
          <w:r>
            <w:t>National Park</w:t>
          </w:r>
        </w:smartTag>
      </w:smartTag>
      <w:r>
        <w:t xml:space="preserve"> (Reserve No. 28401), or Marlgu Billabong and Telegraph Hill in Parry Lagoons Nature Reserve (Reserve No. 42155).</w:t>
      </w:r>
    </w:p>
    <w:p>
      <w:pPr>
        <w:pStyle w:val="Footnotesection"/>
      </w:pPr>
      <w:r>
        <w:tab/>
        <w:t>[Regulation 115 inserted in Gazette 7 Dec 2012 p. 5967-8.]</w:t>
      </w:r>
    </w:p>
    <w:p>
      <w:pPr>
        <w:pStyle w:val="Heading5"/>
      </w:pPr>
      <w:bookmarkStart w:id="464" w:name="_Toc491956870"/>
      <w:bookmarkStart w:id="465" w:name="_Toc473036053"/>
      <w:r>
        <w:rPr>
          <w:rStyle w:val="CharSectno"/>
        </w:rPr>
        <w:t>116</w:t>
      </w:r>
      <w:r>
        <w:t>.</w:t>
      </w:r>
      <w:r>
        <w:tab/>
        <w:t>Exclusion of operation of section 103A(3) of Act: vehicles</w:t>
      </w:r>
      <w:bookmarkEnd w:id="464"/>
      <w:bookmarkEnd w:id="465"/>
    </w:p>
    <w:p>
      <w:pPr>
        <w:pStyle w:val="Subsection"/>
      </w:pPr>
      <w:r>
        <w:tab/>
        <w:t>(1)</w:t>
      </w:r>
      <w:r>
        <w:tab/>
        <w:t xml:space="preserve">The operation of section 103A(3) of the Act is excluded in relation to driving or riding a vehicle contrary to regulation 51(1) if the vehicle is driven or ridden without the written permission of the CEO — </w:t>
      </w:r>
    </w:p>
    <w:p>
      <w:pPr>
        <w:pStyle w:val="Indenta"/>
      </w:pPr>
      <w:r>
        <w:tab/>
        <w:t>(a)</w:t>
      </w:r>
      <w:r>
        <w:tab/>
        <w:t>on recreational land or urban land; or</w:t>
      </w:r>
    </w:p>
    <w:p>
      <w:pPr>
        <w:pStyle w:val="Indenta"/>
      </w:pPr>
      <w:r>
        <w:tab/>
        <w:t>(b)</w:t>
      </w:r>
      <w:r>
        <w:tab/>
        <w:t>in a townsite; or</w:t>
      </w:r>
    </w:p>
    <w:p>
      <w:pPr>
        <w:pStyle w:val="Indenta"/>
      </w:pPr>
      <w:r>
        <w:tab/>
        <w:t>(c)</w:t>
      </w:r>
      <w:r>
        <w:tab/>
        <w:t xml:space="preserve">in Boonanaring Nature Reserve (Reserve No. 41805), Drummond Nature Reserve (Reserve No. 42808) or </w:t>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Subsection"/>
      </w:pPr>
      <w:r>
        <w:tab/>
        <w:t>(2)</w:t>
      </w:r>
      <w:r>
        <w:tab/>
        <w:t>The operation of section 103A(3) of the Act is excluded in relation to driving or riding a vehicle contrary to regulation 51(3)(a) if the vehicle is so driven or ridden without the written permission of the CEO.</w:t>
      </w:r>
    </w:p>
    <w:p>
      <w:pPr>
        <w:pStyle w:val="Footnotesection"/>
      </w:pPr>
      <w:r>
        <w:tab/>
        <w:t>[Regulation 116 inserted in Gazette 7 Dec 2012 p. 5968.]</w:t>
      </w:r>
    </w:p>
    <w:p>
      <w:pPr>
        <w:pStyle w:val="Heading5"/>
      </w:pPr>
      <w:bookmarkStart w:id="466" w:name="_Toc491956871"/>
      <w:bookmarkStart w:id="467" w:name="_Toc473036054"/>
      <w:r>
        <w:rPr>
          <w:rStyle w:val="CharSectno"/>
        </w:rPr>
        <w:t>117</w:t>
      </w:r>
      <w:r>
        <w:t>.</w:t>
      </w:r>
      <w:r>
        <w:tab/>
        <w:t>Exclusion of operation of section 103A(3) of Act: vessel</w:t>
      </w:r>
      <w:bookmarkEnd w:id="466"/>
      <w:bookmarkEnd w:id="467"/>
    </w:p>
    <w:p>
      <w:pPr>
        <w:pStyle w:val="Subsection"/>
      </w:pPr>
      <w:r>
        <w:tab/>
      </w:r>
      <w:r>
        <w:tab/>
        <w:t>The operation of section 103A(3) of the Act is excluded in relation to navigating a vessel contrary to regulation 61(a) or 64(1)(c) or (2)(c) if the vessel is so navigated without the written permission of the CEO.</w:t>
      </w:r>
    </w:p>
    <w:p>
      <w:pPr>
        <w:pStyle w:val="Footnotesection"/>
      </w:pPr>
      <w:r>
        <w:tab/>
        <w:t>[Regulation 117 inserted in Gazette 7 Dec 2012 p. 5968.]</w:t>
      </w:r>
    </w:p>
    <w:p>
      <w:pPr>
        <w:pStyle w:val="Heading5"/>
      </w:pPr>
      <w:bookmarkStart w:id="468" w:name="_Toc491956872"/>
      <w:bookmarkStart w:id="469" w:name="_Toc473036055"/>
      <w:r>
        <w:rPr>
          <w:rStyle w:val="CharSectno"/>
        </w:rPr>
        <w:t>118</w:t>
      </w:r>
      <w:r>
        <w:t>.</w:t>
      </w:r>
      <w:r>
        <w:tab/>
        <w:t>Exclusion of operation of section 103A(3) of Act: fire</w:t>
      </w:r>
      <w:bookmarkEnd w:id="468"/>
      <w:bookmarkEnd w:id="469"/>
    </w:p>
    <w:p>
      <w:pPr>
        <w:pStyle w:val="Subsection"/>
      </w:pPr>
      <w:r>
        <w:tab/>
        <w:t>(1)</w:t>
      </w:r>
      <w:r>
        <w:tab/>
        <w:t xml:space="preserve">The operation of section 103A(3) of the Act is excluded in relation to lighting or kindling a fire contrary to section 104(1) of the Act or regulation 39(2) if the fire is lit or kindled without the written permission of the CEO on or in any of the following — </w:t>
      </w:r>
    </w:p>
    <w:p>
      <w:pPr>
        <w:pStyle w:val="Indenta"/>
        <w:spacing w:before="60"/>
      </w:pPr>
      <w:r>
        <w:tab/>
        <w:t>(a)</w:t>
      </w:r>
      <w:r>
        <w:tab/>
        <w:t>recreational land;</w:t>
      </w:r>
    </w:p>
    <w:p>
      <w:pPr>
        <w:pStyle w:val="Indenta"/>
        <w:spacing w:before="60"/>
      </w:pPr>
      <w:r>
        <w:tab/>
        <w:t>(b)</w:t>
      </w:r>
      <w:r>
        <w:tab/>
        <w:t>a townsite;</w:t>
      </w:r>
    </w:p>
    <w:p>
      <w:pPr>
        <w:pStyle w:val="Indenta"/>
        <w:spacing w:before="60"/>
      </w:pPr>
      <w:r>
        <w:tab/>
        <w:t>(c)</w:t>
      </w:r>
      <w:r>
        <w:tab/>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Indenta"/>
        <w:spacing w:before="60"/>
      </w:pPr>
      <w:r>
        <w:tab/>
        <w:t>(d)</w:t>
      </w:r>
      <w:r>
        <w:tab/>
        <w:t>urban land.</w:t>
      </w:r>
    </w:p>
    <w:p>
      <w:pPr>
        <w:pStyle w:val="Subsection"/>
      </w:pPr>
      <w:r>
        <w:tab/>
        <w:t>(2)</w:t>
      </w:r>
      <w:r>
        <w:tab/>
        <w:t xml:space="preserve">In subregulation (1)(d) — </w:t>
      </w:r>
    </w:p>
    <w:p>
      <w:pPr>
        <w:pStyle w:val="Defstart"/>
      </w:pPr>
      <w:r>
        <w:tab/>
      </w:r>
      <w:r>
        <w:rPr>
          <w:rStyle w:val="CharDefText"/>
        </w:rPr>
        <w:t>urban land</w:t>
      </w:r>
      <w:r>
        <w:t xml:space="preserve"> does not include land in — </w:t>
      </w:r>
    </w:p>
    <w:p>
      <w:pPr>
        <w:pStyle w:val="Defpara"/>
        <w:spacing w:before="60"/>
      </w:pPr>
      <w:r>
        <w:tab/>
        <w:t>(a)</w:t>
      </w:r>
      <w:r>
        <w:tab/>
      </w: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r>
          <w:t xml:space="preserve"> </w:t>
        </w:r>
        <w:smartTag w:uri="urn:schemas-microsoft-com:office:smarttags" w:element="PlaceType">
          <w:r>
            <w:t>National Park</w:t>
          </w:r>
        </w:smartTag>
      </w:smartTag>
      <w:r>
        <w:t xml:space="preserve"> (Reserve No. 30192);</w:t>
      </w:r>
    </w:p>
    <w:p>
      <w:pPr>
        <w:pStyle w:val="Defpara"/>
        <w:spacing w:before="60"/>
      </w:pPr>
      <w:r>
        <w:tab/>
        <w:t>(b)</w:t>
      </w:r>
      <w:r>
        <w:tab/>
      </w:r>
      <w:smartTag w:uri="urn:schemas-microsoft-com:office:smarttags" w:element="PlaceName">
        <w:r>
          <w:t>Dwellingup</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14);</w:t>
      </w:r>
    </w:p>
    <w:p>
      <w:pPr>
        <w:pStyle w:val="Defpara"/>
        <w:spacing w:before="60"/>
      </w:pPr>
      <w:r>
        <w:tab/>
        <w:t>(c)</w:t>
      </w:r>
      <w:r>
        <w:tab/>
        <w:t>Lane Poole Reserve (Reserve No. 39827);</w:t>
      </w:r>
    </w:p>
    <w:p>
      <w:pPr>
        <w:pStyle w:val="Defpara"/>
        <w:spacing w:before="60"/>
      </w:pPr>
      <w:r>
        <w:tab/>
        <w:t>(d)</w:t>
      </w:r>
      <w:r>
        <w:tab/>
      </w:r>
      <w:smartTag w:uri="urn:schemas-microsoft-com:office:smarttags" w:element="PlaceName">
        <w:r>
          <w:t>Jarrahdale</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22);</w:t>
      </w:r>
    </w:p>
    <w:p>
      <w:pPr>
        <w:pStyle w:val="Defpara"/>
        <w:spacing w:before="60"/>
      </w:pPr>
      <w:r>
        <w:tab/>
        <w:t>(e)</w:t>
      </w:r>
      <w:r>
        <w:tab/>
      </w:r>
      <w:smartTag w:uri="urn:schemas-microsoft-com:office:smarttags" w:element="PlaceName">
        <w:r>
          <w:t>Moore</w:t>
        </w:r>
      </w:smartTag>
      <w:r>
        <w:t xml:space="preserve"> </w:t>
      </w:r>
      <w:smartTag w:uri="urn:schemas-microsoft-com:office:smarttags" w:element="PlaceType">
        <w:r>
          <w:t>River</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xml:space="preserve"> 65);</w:t>
      </w:r>
    </w:p>
    <w:p>
      <w:pPr>
        <w:pStyle w:val="Defpara"/>
        <w:spacing w:before="60"/>
      </w:pPr>
      <w:r>
        <w:tab/>
        <w:t>(f)</w:t>
      </w:r>
      <w:r>
        <w:tab/>
      </w:r>
      <w:smartTag w:uri="urn:schemas-microsoft-com:office:smarttags" w:element="place">
        <w:smartTag w:uri="urn:schemas-microsoft-com:office:smarttags" w:element="PlaceName">
          <w:r>
            <w:t>Walyunga</w:t>
          </w:r>
        </w:smartTag>
        <w:r>
          <w:t xml:space="preserve"> </w:t>
        </w:r>
        <w:smartTag w:uri="urn:schemas-microsoft-com:office:smarttags" w:element="PlaceType">
          <w:r>
            <w:t>National Park</w:t>
          </w:r>
        </w:smartTag>
      </w:smartTag>
      <w:r>
        <w:t xml:space="preserve"> (Reserve No. 2065).</w:t>
      </w:r>
    </w:p>
    <w:p>
      <w:pPr>
        <w:pStyle w:val="Subsection"/>
      </w:pPr>
      <w:r>
        <w:tab/>
        <w:t>(3)</w:t>
      </w:r>
      <w:r>
        <w:tab/>
        <w:t xml:space="preserve">The operation of section 103A(3) of the Act is excluded in relation to lighting or kindling a fire contrary to section 104(1) of the Act or regulation 39(2) on land, defined in section 102(1) of the Act as </w:t>
      </w:r>
      <w:r>
        <w:rPr>
          <w:b/>
          <w:i/>
        </w:rPr>
        <w:t>land to which this Part applies</w:t>
      </w:r>
      <w:r>
        <w:t xml:space="preserve">, other than land referred to in subregulation (1), unless it is lit or kindled — </w:t>
      </w:r>
    </w:p>
    <w:p>
      <w:pPr>
        <w:pStyle w:val="Indenta"/>
        <w:spacing w:before="60"/>
      </w:pPr>
      <w:r>
        <w:tab/>
        <w:t>(a)</w:t>
      </w:r>
      <w:r>
        <w:tab/>
        <w:t>for the purpose of cooking food; or</w:t>
      </w:r>
    </w:p>
    <w:p>
      <w:pPr>
        <w:pStyle w:val="Indenta"/>
        <w:spacing w:before="60"/>
      </w:pPr>
      <w:r>
        <w:tab/>
        <w:t>(b)</w:t>
      </w:r>
      <w:r>
        <w:tab/>
        <w:t>for the purpose of a camp fire; or</w:t>
      </w:r>
    </w:p>
    <w:p>
      <w:pPr>
        <w:pStyle w:val="Indenta"/>
        <w:spacing w:before="60"/>
      </w:pPr>
      <w:r>
        <w:tab/>
        <w:t>(c)</w:t>
      </w:r>
      <w:r>
        <w:tab/>
        <w:t>for the purpose of a ceremonial activity, such as a smoking ceremony, during which activity the fire is confined to an area of less than 1 m</w:t>
      </w:r>
      <w:r>
        <w:rPr>
          <w:vertAlign w:val="superscript"/>
        </w:rPr>
        <w:t>2</w:t>
      </w:r>
      <w:r>
        <w:t>; or</w:t>
      </w:r>
    </w:p>
    <w:p>
      <w:pPr>
        <w:pStyle w:val="Indenta"/>
        <w:spacing w:before="60"/>
      </w:pPr>
      <w:r>
        <w:tab/>
        <w:t>(d)</w:t>
      </w:r>
      <w:r>
        <w:tab/>
        <w:t>for an Aboriginal customary purpose, other than a purpose referred to in paragraph (a), (b) or (c), with the written permission of the CEO.</w:t>
      </w:r>
    </w:p>
    <w:p>
      <w:pPr>
        <w:pStyle w:val="Subsection"/>
      </w:pPr>
      <w:r>
        <w:tab/>
        <w:t>(4)</w:t>
      </w:r>
      <w:r>
        <w:tab/>
        <w:t>The operation of section 103A(3) of the Act is excluded in relation to lighting or kindling a fire contrary to regulation 39(1)(b) if the fire is lit or kindled without the written permission of the CEO.</w:t>
      </w:r>
    </w:p>
    <w:p>
      <w:pPr>
        <w:pStyle w:val="Footnotesection"/>
      </w:pPr>
      <w:r>
        <w:tab/>
        <w:t>[Regulation 118 inserted in Gazette 7 Dec 2012 p. 5968-9.]</w:t>
      </w:r>
    </w:p>
    <w:p>
      <w:pPr>
        <w:pStyle w:val="Heading5"/>
      </w:pPr>
      <w:bookmarkStart w:id="470" w:name="_Toc491956873"/>
      <w:bookmarkStart w:id="471" w:name="_Toc473036056"/>
      <w:r>
        <w:rPr>
          <w:rStyle w:val="CharSectno"/>
        </w:rPr>
        <w:t>119</w:t>
      </w:r>
      <w:r>
        <w:t>.</w:t>
      </w:r>
      <w:r>
        <w:tab/>
        <w:t>Exclusion of operation of section 103A(3) of Act: camping</w:t>
      </w:r>
      <w:bookmarkEnd w:id="470"/>
      <w:bookmarkEnd w:id="471"/>
    </w:p>
    <w:p>
      <w:pPr>
        <w:pStyle w:val="Subsection"/>
      </w:pPr>
      <w:r>
        <w:tab/>
        <w:t>(1)</w:t>
      </w:r>
      <w:r>
        <w:tab/>
        <w:t xml:space="preserve">The operation of section 103A(3) of the Act is excluded in relation to a person camping temporarily on CALM land contrary to regulation 66(1) if the person camps on the land — </w:t>
      </w:r>
    </w:p>
    <w:p>
      <w:pPr>
        <w:pStyle w:val="Indenta"/>
      </w:pPr>
      <w:r>
        <w:tab/>
        <w:t>(a)</w:t>
      </w:r>
      <w:r>
        <w:tab/>
        <w:t>without the written permission of the CEO; and</w:t>
      </w:r>
    </w:p>
    <w:p>
      <w:pPr>
        <w:pStyle w:val="Indenta"/>
      </w:pPr>
      <w:r>
        <w:tab/>
        <w:t>(b)</w:t>
      </w:r>
      <w:r>
        <w:tab/>
        <w:t>for more than 28 consecutive days, unless it is necessary to camp on the land for a longer period (not exceeding 84 consecutive days) for ceremonial purposes.</w:t>
      </w:r>
    </w:p>
    <w:p>
      <w:pPr>
        <w:pStyle w:val="Subsection"/>
      </w:pPr>
      <w:r>
        <w:tab/>
        <w:t>(2)</w:t>
      </w:r>
      <w:r>
        <w:tab/>
        <w:t xml:space="preserve">The operation of section 103A(3) of the Act is excluded in relation to a person camping temporarily on CALM land contrary to regulation 66(1) if the person camps on the land without the written permission of the CEO and the land is — </w:t>
      </w:r>
    </w:p>
    <w:p>
      <w:pPr>
        <w:pStyle w:val="Indenta"/>
      </w:pPr>
      <w:r>
        <w:tab/>
        <w:t>(a)</w:t>
      </w:r>
      <w:r>
        <w:tab/>
        <w:t>recreational land; or</w:t>
      </w:r>
    </w:p>
    <w:p>
      <w:pPr>
        <w:pStyle w:val="Indenta"/>
      </w:pPr>
      <w:r>
        <w:tab/>
        <w:t>(b)</w:t>
      </w:r>
      <w:r>
        <w:tab/>
        <w:t xml:space="preserve">in one of the following — </w:t>
      </w:r>
    </w:p>
    <w:p>
      <w:pPr>
        <w:pStyle w:val="Indenti"/>
      </w:pPr>
      <w:r>
        <w:tab/>
        <w:t>(i)</w:t>
      </w:r>
      <w:r>
        <w:tab/>
        <w:t>a townsite;</w:t>
      </w:r>
    </w:p>
    <w:p>
      <w:pPr>
        <w:pStyle w:val="Indenti"/>
      </w:pPr>
      <w:r>
        <w:tab/>
        <w:t>(ii)</w:t>
      </w:r>
      <w:r>
        <w:tab/>
        <w:t>Boonanaring Nature Reserve (Reserve No. 41805);</w:t>
      </w:r>
    </w:p>
    <w:p>
      <w:pPr>
        <w:pStyle w:val="Indenti"/>
      </w:pPr>
      <w:r>
        <w:tab/>
        <w:t>(iii)</w:t>
      </w:r>
      <w:r>
        <w:tab/>
        <w:t>Drummond Nature Reserve (Reserve No. 42808);</w:t>
      </w:r>
    </w:p>
    <w:p>
      <w:pPr>
        <w:pStyle w:val="Indenti"/>
      </w:pPr>
      <w:r>
        <w:tab/>
        <w:t>(iv)</w:t>
      </w:r>
      <w:r>
        <w:tab/>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Indenti"/>
      </w:pPr>
      <w:r>
        <w:tab/>
        <w:t>(v)</w:t>
      </w:r>
      <w:r>
        <w:tab/>
      </w:r>
      <w:smartTag w:uri="urn:schemas-microsoft-com:office:smarttags" w:element="place">
        <w:smartTag w:uri="urn:schemas-microsoft-com:office:smarttags" w:element="PlaceName">
          <w:r>
            <w:t>Tunnel</w:t>
          </w:r>
        </w:smartTag>
        <w:r>
          <w:t xml:space="preserve"> </w:t>
        </w:r>
        <w:smartTag w:uri="urn:schemas-microsoft-com:office:smarttags" w:element="PlaceType">
          <w:r>
            <w:t>Creek</w:t>
          </w:r>
        </w:smartTag>
        <w:r>
          <w:t xml:space="preserve"> </w:t>
        </w:r>
        <w:smartTag w:uri="urn:schemas-microsoft-com:office:smarttags" w:element="PlaceType">
          <w:r>
            <w:t>National Park</w:t>
          </w:r>
        </w:smartTag>
      </w:smartTag>
      <w:r>
        <w:t>;</w:t>
      </w:r>
    </w:p>
    <w:p>
      <w:pPr>
        <w:pStyle w:val="Indenta"/>
      </w:pPr>
      <w:r>
        <w:tab/>
      </w:r>
      <w:r>
        <w:tab/>
        <w:t>or</w:t>
      </w:r>
    </w:p>
    <w:p>
      <w:pPr>
        <w:pStyle w:val="Indenta"/>
      </w:pPr>
      <w:r>
        <w:tab/>
        <w:t>(c)</w:t>
      </w:r>
      <w:r>
        <w:tab/>
        <w:t>urban land.</w:t>
      </w:r>
    </w:p>
    <w:p>
      <w:pPr>
        <w:pStyle w:val="Subsection"/>
        <w:keepNext/>
      </w:pPr>
      <w:r>
        <w:tab/>
        <w:t>(3)</w:t>
      </w:r>
      <w:r>
        <w:tab/>
        <w:t xml:space="preserve">In subregulation (2)(c) — </w:t>
      </w:r>
    </w:p>
    <w:p>
      <w:pPr>
        <w:pStyle w:val="Defstart"/>
        <w:keepNext/>
      </w:pPr>
      <w:r>
        <w:tab/>
      </w:r>
      <w:r>
        <w:rPr>
          <w:rStyle w:val="CharDefText"/>
        </w:rPr>
        <w:t>urban land</w:t>
      </w:r>
      <w:r>
        <w:t xml:space="preserve"> does not include land in — </w:t>
      </w:r>
    </w:p>
    <w:p>
      <w:pPr>
        <w:pStyle w:val="Defpara"/>
      </w:pPr>
      <w:r>
        <w:tab/>
        <w:t>(a)</w:t>
      </w:r>
      <w:r>
        <w:tab/>
      </w: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r>
          <w:t xml:space="preserve"> </w:t>
        </w:r>
        <w:smartTag w:uri="urn:schemas-microsoft-com:office:smarttags" w:element="PlaceType">
          <w:r>
            <w:t>National Park</w:t>
          </w:r>
        </w:smartTag>
      </w:smartTag>
      <w:r>
        <w:t xml:space="preserve"> (Reserve No. 30192);</w:t>
      </w:r>
    </w:p>
    <w:p>
      <w:pPr>
        <w:pStyle w:val="Defpara"/>
      </w:pPr>
      <w:r>
        <w:tab/>
        <w:t>(b)</w:t>
      </w:r>
      <w:r>
        <w:tab/>
      </w:r>
      <w:smartTag w:uri="urn:schemas-microsoft-com:office:smarttags" w:element="PlaceName">
        <w:r>
          <w:t>Dwellingup</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14);</w:t>
      </w:r>
    </w:p>
    <w:p>
      <w:pPr>
        <w:pStyle w:val="Defpara"/>
      </w:pPr>
      <w:r>
        <w:tab/>
        <w:t>(c)</w:t>
      </w:r>
      <w:r>
        <w:tab/>
        <w:t>Lane Poole Reserve (Reserve No. 39827);</w:t>
      </w:r>
    </w:p>
    <w:p>
      <w:pPr>
        <w:pStyle w:val="Defpara"/>
      </w:pPr>
      <w:r>
        <w:tab/>
        <w:t>(d)</w:t>
      </w:r>
      <w:r>
        <w:tab/>
      </w:r>
      <w:smartTag w:uri="urn:schemas-microsoft-com:office:smarttags" w:element="PlaceName">
        <w:r>
          <w:t>Jarrahdale</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22);</w:t>
      </w:r>
    </w:p>
    <w:p>
      <w:pPr>
        <w:pStyle w:val="Defpara"/>
        <w:keepNext/>
      </w:pPr>
      <w:r>
        <w:tab/>
        <w:t>(e)</w:t>
      </w:r>
      <w:r>
        <w:tab/>
      </w:r>
      <w:smartTag w:uri="urn:schemas-microsoft-com:office:smarttags" w:element="PlaceName">
        <w:r>
          <w:t>Moore</w:t>
        </w:r>
      </w:smartTag>
      <w:r>
        <w:t xml:space="preserve"> </w:t>
      </w:r>
      <w:smartTag w:uri="urn:schemas-microsoft-com:office:smarttags" w:element="PlaceType">
        <w:r>
          <w:t>River</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xml:space="preserve"> 65);</w:t>
      </w:r>
    </w:p>
    <w:p>
      <w:pPr>
        <w:pStyle w:val="Defpara"/>
      </w:pPr>
      <w:r>
        <w:tab/>
        <w:t>(f)</w:t>
      </w:r>
      <w:r>
        <w:tab/>
      </w:r>
      <w:smartTag w:uri="urn:schemas-microsoft-com:office:smarttags" w:element="place">
        <w:smartTag w:uri="urn:schemas-microsoft-com:office:smarttags" w:element="PlaceName">
          <w:r>
            <w:t>Walyunga</w:t>
          </w:r>
        </w:smartTag>
        <w:r>
          <w:t xml:space="preserve"> </w:t>
        </w:r>
        <w:smartTag w:uri="urn:schemas-microsoft-com:office:smarttags" w:element="PlaceType">
          <w:r>
            <w:t>National Park</w:t>
          </w:r>
        </w:smartTag>
      </w:smartTag>
      <w:r>
        <w:t xml:space="preserve"> (Reserve No. 2065).</w:t>
      </w:r>
    </w:p>
    <w:p>
      <w:pPr>
        <w:pStyle w:val="Footnotesection"/>
      </w:pPr>
      <w:r>
        <w:tab/>
        <w:t>[Regulation 119 inserted in Gazette 7 Dec 2012 p. 5969-70.]</w:t>
      </w:r>
    </w:p>
    <w:p>
      <w:pPr>
        <w:pStyle w:val="Heading5"/>
      </w:pPr>
      <w:bookmarkStart w:id="472" w:name="_Toc491956874"/>
      <w:bookmarkStart w:id="473" w:name="_Toc473036057"/>
      <w:r>
        <w:rPr>
          <w:rStyle w:val="CharSectno"/>
        </w:rPr>
        <w:t>120</w:t>
      </w:r>
      <w:r>
        <w:t>.</w:t>
      </w:r>
      <w:r>
        <w:tab/>
        <w:t>Exclusion of operation of section 103A(3) of Act: entering land</w:t>
      </w:r>
      <w:bookmarkEnd w:id="472"/>
      <w:bookmarkEnd w:id="473"/>
    </w:p>
    <w:p>
      <w:pPr>
        <w:pStyle w:val="Subsection"/>
      </w:pPr>
      <w:r>
        <w:tab/>
        <w:t>(1)</w:t>
      </w:r>
      <w:r>
        <w:tab/>
        <w:t>The operation of section 103A(3) of the Act is excluded in relation to entering land contrary to regulation 41(a), (b) and (c), 42 or 43 if the entry is made without the written permission of the CEO.</w:t>
      </w:r>
    </w:p>
    <w:p>
      <w:pPr>
        <w:pStyle w:val="Subsection"/>
      </w:pPr>
      <w:r>
        <w:tab/>
        <w:t>(2)</w:t>
      </w:r>
      <w:r>
        <w:tab/>
        <w:t>The operation of section 103A(3) of the Act is excluded in relation to entering land contrary to regulation 46(1) or 48 if the entry is made without the written permission of the CEO.</w:t>
      </w:r>
    </w:p>
    <w:p>
      <w:pPr>
        <w:pStyle w:val="Footnotesection"/>
      </w:pPr>
      <w:r>
        <w:tab/>
        <w:t>[Regulation 120 inserted in Gazette 7 Dec 2012 p. 5970.]</w:t>
      </w:r>
    </w:p>
    <w:p>
      <w:pPr>
        <w:pStyle w:val="Heading5"/>
      </w:pPr>
      <w:bookmarkStart w:id="474" w:name="_Toc491956875"/>
      <w:bookmarkStart w:id="475" w:name="_Toc473036058"/>
      <w:r>
        <w:rPr>
          <w:rStyle w:val="CharSectno"/>
        </w:rPr>
        <w:t>121</w:t>
      </w:r>
      <w:r>
        <w:t>.</w:t>
      </w:r>
      <w:r>
        <w:tab/>
        <w:t>Exclusion of operation of section 103A(3) of Act: protected thing</w:t>
      </w:r>
      <w:bookmarkEnd w:id="474"/>
      <w:bookmarkEnd w:id="475"/>
    </w:p>
    <w:p>
      <w:pPr>
        <w:pStyle w:val="Subsection"/>
      </w:pPr>
      <w:r>
        <w:tab/>
        <w:t>(1)</w:t>
      </w:r>
      <w:r>
        <w:tab/>
        <w:t xml:space="preserve">In this regulation — </w:t>
      </w:r>
    </w:p>
    <w:p>
      <w:pPr>
        <w:pStyle w:val="Defstart"/>
      </w:pPr>
      <w:r>
        <w:tab/>
      </w:r>
      <w:r>
        <w:rPr>
          <w:rStyle w:val="CharDefText"/>
        </w:rPr>
        <w:t>category A firearm</w:t>
      </w:r>
      <w:r>
        <w:t xml:space="preserve"> means a firearm of category A under the </w:t>
      </w:r>
      <w:r>
        <w:rPr>
          <w:i/>
        </w:rPr>
        <w:t>Firearms Regulations 1974</w:t>
      </w:r>
      <w:r>
        <w:t xml:space="preserve"> regulation 6A(1);</w:t>
      </w:r>
    </w:p>
    <w:p>
      <w:pPr>
        <w:pStyle w:val="Defstart"/>
      </w:pPr>
      <w:r>
        <w:tab/>
      </w:r>
      <w:r>
        <w:rPr>
          <w:rStyle w:val="CharDefText"/>
        </w:rPr>
        <w:t>category B firearm</w:t>
      </w:r>
      <w:r>
        <w:t xml:space="preserve"> means a firearm of category B under the </w:t>
      </w:r>
      <w:r>
        <w:rPr>
          <w:i/>
        </w:rPr>
        <w:t>Firearms Regulations 1974</w:t>
      </w:r>
      <w:r>
        <w:t xml:space="preserve"> regulation 6A(1);</w:t>
      </w:r>
    </w:p>
    <w:p>
      <w:pPr>
        <w:pStyle w:val="Defstart"/>
      </w:pPr>
      <w:r>
        <w:tab/>
      </w:r>
      <w:r>
        <w:rPr>
          <w:rStyle w:val="CharDefText"/>
        </w:rPr>
        <w:t>fish</w:t>
      </w:r>
      <w:r>
        <w:t xml:space="preserve"> has the meaning given in the </w:t>
      </w:r>
      <w:r>
        <w:rPr>
          <w:i/>
        </w:rPr>
        <w:t>Fish Resources Management Act 1994</w:t>
      </w:r>
      <w:r>
        <w:t xml:space="preserve"> section 4(1);</w:t>
      </w:r>
    </w:p>
    <w:p>
      <w:pPr>
        <w:pStyle w:val="Defstart"/>
      </w:pPr>
      <w:r>
        <w:tab/>
      </w:r>
      <w:r>
        <w:rPr>
          <w:rStyle w:val="CharDefText"/>
        </w:rPr>
        <w:t>relevant area</w:t>
      </w:r>
      <w:r>
        <w:t xml:space="preserve"> means any of the following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Subsection"/>
        <w:keepNext/>
      </w:pPr>
      <w:r>
        <w:tab/>
        <w:t>(2)</w:t>
      </w:r>
      <w:r>
        <w:tab/>
        <w:t xml:space="preserve">Subject to subregulation (3), the operation of section 103A(3) of the Act is excluded in relation to — </w:t>
      </w:r>
    </w:p>
    <w:p>
      <w:pPr>
        <w:pStyle w:val="Indenta"/>
      </w:pPr>
      <w:r>
        <w:tab/>
        <w:t>(a)</w:t>
      </w:r>
      <w:r>
        <w:tab/>
        <w:t>taking fauna that is fish contrary to section 101C of the Act; and</w:t>
      </w:r>
    </w:p>
    <w:p>
      <w:pPr>
        <w:pStyle w:val="Indenta"/>
      </w:pPr>
      <w:r>
        <w:tab/>
        <w:t>(b)</w:t>
      </w:r>
      <w:r>
        <w:tab/>
        <w:t>taking flora or fauna other than fish contrary to section 101C of the Act if the flora or fauna is taken in a marine nature reserve or any land or water in a marine park classified as a sanctuary area.</w:t>
      </w:r>
    </w:p>
    <w:p>
      <w:pPr>
        <w:pStyle w:val="Subsection"/>
        <w:spacing w:before="140"/>
      </w:pPr>
      <w:r>
        <w:tab/>
        <w:t>(3)</w:t>
      </w:r>
      <w:r>
        <w:tab/>
        <w:t xml:space="preserve">Subregulation (2)(a) does not apply in relation to fish taken in accordance with the </w:t>
      </w:r>
      <w:r>
        <w:rPr>
          <w:i/>
        </w:rPr>
        <w:t>Fish Resources Management Act 1994</w:t>
      </w:r>
      <w:r>
        <w:t>.</w:t>
      </w:r>
    </w:p>
    <w:p>
      <w:pPr>
        <w:pStyle w:val="Subsection"/>
        <w:spacing w:before="140"/>
      </w:pPr>
      <w:r>
        <w:tab/>
        <w:t>(4)</w:t>
      </w:r>
      <w:r>
        <w:tab/>
        <w:t>The operation of section 103A(3) of the Act is excluded in relation to removing firewood contrary to section 103(1) of the Act if the firewood is removed without the written permission of the CEO.</w:t>
      </w:r>
    </w:p>
    <w:p>
      <w:pPr>
        <w:pStyle w:val="Subsection"/>
      </w:pPr>
      <w:r>
        <w:tab/>
        <w:t>(5A)</w:t>
      </w:r>
      <w:r>
        <w:tab/>
        <w:t>The operation of section 103A(3) of the Act is excluded in relation to taking fauna contrary to regulation 8(1) if the fauna is taken with a firearm other than a category A firearm or a category B firearm.</w:t>
      </w:r>
    </w:p>
    <w:p>
      <w:pPr>
        <w:pStyle w:val="Subsection"/>
        <w:spacing w:before="140"/>
      </w:pPr>
      <w:r>
        <w:tab/>
        <w:t>(5)</w:t>
      </w:r>
      <w:r>
        <w:tab/>
        <w:t xml:space="preserve">The operation of section 103A(3) of the Act is excluded in relation to taking fauna contrary to regulation 8(1) if the fauna is taken — </w:t>
      </w:r>
    </w:p>
    <w:p>
      <w:pPr>
        <w:pStyle w:val="Indenta"/>
        <w:spacing w:before="60"/>
      </w:pPr>
      <w:r>
        <w:tab/>
        <w:t>(a)</w:t>
      </w:r>
      <w:r>
        <w:tab/>
        <w:t>without the written permission of the CEO; and</w:t>
      </w:r>
    </w:p>
    <w:p>
      <w:pPr>
        <w:pStyle w:val="Indenta"/>
        <w:spacing w:before="60"/>
      </w:pPr>
      <w:r>
        <w:tab/>
        <w:t>(b)</w:t>
      </w:r>
      <w:r>
        <w:tab/>
        <w:t>on urban land or in a townsite.</w:t>
      </w:r>
    </w:p>
    <w:p>
      <w:pPr>
        <w:pStyle w:val="Subsection"/>
      </w:pPr>
      <w:r>
        <w:tab/>
        <w:t>(6A)</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land that is a relevant area or — </w:t>
      </w:r>
    </w:p>
    <w:p>
      <w:pPr>
        <w:pStyle w:val="Indenti"/>
      </w:pPr>
      <w:r>
        <w:tab/>
        <w:t>(i)</w:t>
      </w:r>
      <w:r>
        <w:tab/>
        <w:t>if the fauna is taken with a category A firearm — within 1.5 km of a relevant area; or</w:t>
      </w:r>
    </w:p>
    <w:p>
      <w:pPr>
        <w:pStyle w:val="Indenti"/>
      </w:pPr>
      <w:r>
        <w:tab/>
        <w:t>(ii)</w:t>
      </w:r>
      <w:r>
        <w:tab/>
        <w:t>if the fauna is taken with a category B firearm — within 3 km of a relevant area.</w:t>
      </w:r>
    </w:p>
    <w:p>
      <w:pPr>
        <w:pStyle w:val="Subsection"/>
      </w:pPr>
      <w:r>
        <w:tab/>
        <w:t>(6B)</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Subsection"/>
        <w:spacing w:before="140"/>
      </w:pPr>
      <w:r>
        <w:tab/>
        <w:t>(6)</w:t>
      </w:r>
      <w:r>
        <w:tab/>
        <w:t xml:space="preserve">The operation of section 103A(3) of the Act is excluded in relation to taking flora contrary to regulation 8(1) if the flora is taken — </w:t>
      </w:r>
    </w:p>
    <w:p>
      <w:pPr>
        <w:pStyle w:val="Indenta"/>
        <w:spacing w:before="60"/>
      </w:pPr>
      <w:r>
        <w:tab/>
        <w:t>(a)</w:t>
      </w:r>
      <w:r>
        <w:tab/>
        <w:t>without the written permission of the CEO; and</w:t>
      </w:r>
    </w:p>
    <w:p>
      <w:pPr>
        <w:pStyle w:val="Indenta"/>
        <w:spacing w:before="60"/>
      </w:pPr>
      <w:r>
        <w:tab/>
        <w:t>(b)</w:t>
      </w:r>
      <w:r>
        <w:tab/>
        <w:t>on recreational land, urban land or in a townsite.</w:t>
      </w:r>
    </w:p>
    <w:p>
      <w:pPr>
        <w:pStyle w:val="Subsection"/>
      </w:pPr>
      <w:r>
        <w:tab/>
        <w:t>(7A)</w:t>
      </w:r>
      <w:r>
        <w:tab/>
        <w:t>The operation of section 103A(3) of the Act is excluded in relation to taking a non</w:t>
      </w:r>
      <w:r>
        <w:noBreakHyphen/>
        <w:t>indigenous animal contrary to regulation 18 if the animal is taken with a firearm other than a category A firearm or a category B firearm.</w:t>
      </w:r>
    </w:p>
    <w:p>
      <w:pPr>
        <w:pStyle w:val="Subsection"/>
        <w:spacing w:before="130"/>
      </w:pPr>
      <w:r>
        <w:tab/>
        <w:t>(7)</w:t>
      </w:r>
      <w:r>
        <w:tab/>
        <w:t>The operation of section 103A(3) of the Act is excluded in relation to taking a non</w:t>
      </w:r>
      <w:r>
        <w:noBreakHyphen/>
        <w:t xml:space="preserve">indigenous animal contrary to regulation 18 if the animal is taken — </w:t>
      </w:r>
    </w:p>
    <w:p>
      <w:pPr>
        <w:pStyle w:val="Indenta"/>
        <w:spacing w:before="60"/>
      </w:pPr>
      <w:r>
        <w:tab/>
        <w:t>(a)</w:t>
      </w:r>
      <w:r>
        <w:tab/>
        <w:t>without the written permission of the CEO; and</w:t>
      </w:r>
    </w:p>
    <w:p>
      <w:pPr>
        <w:pStyle w:val="Indenta"/>
        <w:keepNext/>
        <w:spacing w:before="60"/>
      </w:pPr>
      <w:r>
        <w:tab/>
        <w:t>(b)</w:t>
      </w:r>
      <w:r>
        <w:tab/>
        <w:t>on urban land or in a townsite.</w:t>
      </w:r>
    </w:p>
    <w:p>
      <w:pPr>
        <w:pStyle w:val="Subsection"/>
      </w:pPr>
      <w:r>
        <w:tab/>
        <w:t>(8)</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land that is a relevant area or — </w:t>
      </w:r>
    </w:p>
    <w:p>
      <w:pPr>
        <w:pStyle w:val="Indenti"/>
      </w:pPr>
      <w:r>
        <w:tab/>
        <w:t>(i)</w:t>
      </w:r>
      <w:r>
        <w:tab/>
        <w:t>if the animal is taken with a category A firearm — within 1.5 km of a relevant area; or</w:t>
      </w:r>
    </w:p>
    <w:p>
      <w:pPr>
        <w:pStyle w:val="Indenti"/>
      </w:pPr>
      <w:r>
        <w:tab/>
        <w:t>(ii)</w:t>
      </w:r>
      <w:r>
        <w:tab/>
        <w:t>if the animal is taken with a category B firearm — within 3 km of a relevant area.</w:t>
      </w:r>
    </w:p>
    <w:p>
      <w:pPr>
        <w:pStyle w:val="Subsection"/>
      </w:pPr>
      <w:r>
        <w:tab/>
        <w:t>(9)</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Footnotesection"/>
        <w:spacing w:before="100"/>
      </w:pPr>
      <w:r>
        <w:tab/>
        <w:t>[Regulation 121 inserted in Gazette 7 Dec 2012 p. 5970-1; amended in Gazette 19 Sep 2014 p. 3331</w:t>
      </w:r>
      <w:r>
        <w:noBreakHyphen/>
        <w:t>3.]</w:t>
      </w:r>
    </w:p>
    <w:p>
      <w:pPr>
        <w:pStyle w:val="Heading5"/>
        <w:spacing w:before="200"/>
      </w:pPr>
      <w:bookmarkStart w:id="476" w:name="_Toc491956876"/>
      <w:bookmarkStart w:id="477" w:name="_Toc473036059"/>
      <w:r>
        <w:rPr>
          <w:rStyle w:val="CharSectno"/>
        </w:rPr>
        <w:t>122</w:t>
      </w:r>
      <w:r>
        <w:t>.</w:t>
      </w:r>
      <w:r>
        <w:tab/>
        <w:t>Permission of CEO</w:t>
      </w:r>
      <w:bookmarkEnd w:id="476"/>
      <w:bookmarkEnd w:id="477"/>
    </w:p>
    <w:p>
      <w:pPr>
        <w:pStyle w:val="Subsection"/>
        <w:spacing w:before="130"/>
      </w:pPr>
      <w:r>
        <w:tab/>
        <w:t>(1)</w:t>
      </w:r>
      <w:r>
        <w:tab/>
        <w:t xml:space="preserve">When giving written permission for the purpose of regulations 115 to 121, the CEO is to specify in the permission — </w:t>
      </w:r>
    </w:p>
    <w:p>
      <w:pPr>
        <w:pStyle w:val="Indenta"/>
        <w:spacing w:before="60"/>
      </w:pPr>
      <w:r>
        <w:tab/>
        <w:t>(a)</w:t>
      </w:r>
      <w:r>
        <w:tab/>
        <w:t>the person or persons or group, body or association of persons to whom the permission applies; and</w:t>
      </w:r>
    </w:p>
    <w:p>
      <w:pPr>
        <w:pStyle w:val="Indenta"/>
        <w:spacing w:before="60"/>
      </w:pPr>
      <w:r>
        <w:tab/>
        <w:t>(b)</w:t>
      </w:r>
      <w:r>
        <w:tab/>
        <w:t>the conditions, if any, subject to which the permission is given.</w:t>
      </w:r>
    </w:p>
    <w:p>
      <w:pPr>
        <w:pStyle w:val="Subsection"/>
        <w:spacing w:before="104"/>
      </w:pPr>
      <w:r>
        <w:tab/>
        <w:t>(2)</w:t>
      </w:r>
      <w:r>
        <w:tab/>
        <w:t xml:space="preserve">The permission has effect — </w:t>
      </w:r>
    </w:p>
    <w:p>
      <w:pPr>
        <w:pStyle w:val="Indenta"/>
        <w:spacing w:before="56"/>
      </w:pPr>
      <w:r>
        <w:tab/>
        <w:t>(a)</w:t>
      </w:r>
      <w:r>
        <w:tab/>
        <w:t>for the period of effect specified in the permission, unless sooner revoked by the CEO under regulation 123(2); or</w:t>
      </w:r>
    </w:p>
    <w:p>
      <w:pPr>
        <w:pStyle w:val="Indenta"/>
        <w:spacing w:before="56"/>
      </w:pPr>
      <w:r>
        <w:tab/>
        <w:t>(b)</w:t>
      </w:r>
      <w:r>
        <w:tab/>
        <w:t>if no period of effect is specified in the permission, until it is revoked by the CEO under regulation 123(2).</w:t>
      </w:r>
    </w:p>
    <w:p>
      <w:pPr>
        <w:pStyle w:val="Subsection"/>
        <w:spacing w:before="104"/>
      </w:pPr>
      <w:r>
        <w:tab/>
        <w:t>(3)</w:t>
      </w:r>
      <w:r>
        <w:tab/>
        <w:t xml:space="preserve">The permission has no effect — </w:t>
      </w:r>
    </w:p>
    <w:p>
      <w:pPr>
        <w:pStyle w:val="Indenta"/>
        <w:spacing w:before="56"/>
      </w:pPr>
      <w:r>
        <w:tab/>
        <w:t>(a)</w:t>
      </w:r>
      <w:r>
        <w:tab/>
        <w:t>in respect of any person to whom the permission applies who does not observe or perform a condition; and</w:t>
      </w:r>
    </w:p>
    <w:p>
      <w:pPr>
        <w:pStyle w:val="Indenta"/>
        <w:spacing w:before="56"/>
      </w:pPr>
      <w:r>
        <w:tab/>
        <w:t>(b)</w:t>
      </w:r>
      <w:r>
        <w:tab/>
        <w:t>during any period in which the condition is not observed or performed by that person.</w:t>
      </w:r>
    </w:p>
    <w:p>
      <w:pPr>
        <w:pStyle w:val="Footnotesection"/>
        <w:spacing w:before="70"/>
      </w:pPr>
      <w:r>
        <w:tab/>
        <w:t>[Regulation 122 inserted in Gazette 7 Dec 2012 p. 5971-2.]</w:t>
      </w:r>
    </w:p>
    <w:p>
      <w:pPr>
        <w:pStyle w:val="Heading5"/>
        <w:spacing w:before="170"/>
      </w:pPr>
      <w:bookmarkStart w:id="478" w:name="_Toc491956877"/>
      <w:bookmarkStart w:id="479" w:name="_Toc473036060"/>
      <w:r>
        <w:rPr>
          <w:rStyle w:val="CharSectno"/>
        </w:rPr>
        <w:t>123</w:t>
      </w:r>
      <w:r>
        <w:t>.</w:t>
      </w:r>
      <w:r>
        <w:tab/>
        <w:t>Variation and revocation of permission</w:t>
      </w:r>
      <w:bookmarkEnd w:id="478"/>
      <w:bookmarkEnd w:id="479"/>
    </w:p>
    <w:p>
      <w:pPr>
        <w:pStyle w:val="Subsection"/>
        <w:spacing w:before="104"/>
      </w:pPr>
      <w:r>
        <w:tab/>
        <w:t>(1)</w:t>
      </w:r>
      <w:r>
        <w:tab/>
        <w:t xml:space="preserve">If written permission for the purpose of regulations 115 to 121 (the </w:t>
      </w:r>
      <w:r>
        <w:rPr>
          <w:rStyle w:val="CharDefText"/>
        </w:rPr>
        <w:t>permission</w:t>
      </w:r>
      <w:r>
        <w:t xml:space="preserve">) is given subject to conditions, those conditions may be added to, cancelled, suspended or otherwise varied by written notice given by the CEO to the person or persons or group, body or association of persons to whom the permission applies (the </w:t>
      </w:r>
      <w:r>
        <w:rPr>
          <w:rStyle w:val="CharDefText"/>
        </w:rPr>
        <w:t>permission holder</w:t>
      </w:r>
      <w:r>
        <w:t>).</w:t>
      </w:r>
    </w:p>
    <w:p>
      <w:pPr>
        <w:pStyle w:val="Subsection"/>
        <w:spacing w:before="104"/>
      </w:pPr>
      <w:r>
        <w:tab/>
        <w:t>(2)</w:t>
      </w:r>
      <w:r>
        <w:tab/>
        <w:t>The CEO may at any time revoke the permission by written notice given to the permission holder.</w:t>
      </w:r>
    </w:p>
    <w:p>
      <w:pPr>
        <w:pStyle w:val="Subsection"/>
        <w:spacing w:before="104"/>
      </w:pPr>
      <w:r>
        <w:tab/>
        <w:t>(3)</w:t>
      </w:r>
      <w:r>
        <w:tab/>
        <w:t>If the CEO proposes to revoke the permission under subregulation (2), the CEO is to give the permission holder written notice of the proposal and the CEO’s reasons for the proposal.</w:t>
      </w:r>
    </w:p>
    <w:p>
      <w:pPr>
        <w:pStyle w:val="Subsection"/>
        <w:spacing w:before="104"/>
      </w:pPr>
      <w:r>
        <w:tab/>
        <w:t>(4)</w:t>
      </w:r>
      <w:r>
        <w:tab/>
        <w:t>The notice is to state that the permission holder may make written representations to the CEO concerning the proposal within 21 days after the notice is given.</w:t>
      </w:r>
    </w:p>
    <w:p>
      <w:pPr>
        <w:pStyle w:val="Subsection"/>
        <w:spacing w:before="104"/>
      </w:pPr>
      <w:r>
        <w:tab/>
        <w:t>(5)</w:t>
      </w:r>
      <w:r>
        <w:tab/>
        <w:t>The CEO is not to give effect to the proposal without considering any representations received within that period.</w:t>
      </w:r>
    </w:p>
    <w:p>
      <w:pPr>
        <w:pStyle w:val="Footnotesection"/>
        <w:spacing w:before="70"/>
      </w:pPr>
      <w:r>
        <w:tab/>
        <w:t>[Regulation 123 inserted in Gazette 7 Dec 2012 p. 5972.]</w:t>
      </w:r>
    </w:p>
    <w:p/>
    <w:p>
      <w:pPr>
        <w:pStyle w:val="Heading2"/>
      </w:pPr>
      <w:bookmarkStart w:id="480" w:name="_Toc491954724"/>
      <w:bookmarkStart w:id="481" w:name="_Toc491956878"/>
      <w:bookmarkStart w:id="482" w:name="_Toc473019323"/>
      <w:bookmarkStart w:id="483" w:name="_Toc473036061"/>
      <w:r>
        <w:rPr>
          <w:rStyle w:val="CharPartNo"/>
        </w:rPr>
        <w:t>Part 11</w:t>
      </w:r>
      <w:r>
        <w:rPr>
          <w:rStyle w:val="CharDivNo"/>
        </w:rPr>
        <w:t> </w:t>
      </w:r>
      <w:r>
        <w:t>—</w:t>
      </w:r>
      <w:r>
        <w:rPr>
          <w:rStyle w:val="CharDivText"/>
        </w:rPr>
        <w:t> </w:t>
      </w:r>
      <w:r>
        <w:rPr>
          <w:rStyle w:val="CharPartText"/>
        </w:rPr>
        <w:t>Transitional regulations</w:t>
      </w:r>
      <w:bookmarkEnd w:id="480"/>
      <w:bookmarkEnd w:id="481"/>
      <w:bookmarkEnd w:id="482"/>
      <w:bookmarkEnd w:id="483"/>
    </w:p>
    <w:p>
      <w:pPr>
        <w:pStyle w:val="Footnoteheading"/>
      </w:pPr>
      <w:r>
        <w:tab/>
        <w:t>[Heading inserted in Gazette 30 Aug 2016 p. 3685.]</w:t>
      </w:r>
    </w:p>
    <w:p>
      <w:pPr>
        <w:pStyle w:val="Heading5"/>
      </w:pPr>
      <w:bookmarkStart w:id="484" w:name="_Toc491956879"/>
      <w:bookmarkStart w:id="485" w:name="_Toc473036062"/>
      <w:r>
        <w:rPr>
          <w:rStyle w:val="CharSectno"/>
        </w:rPr>
        <w:t>124</w:t>
      </w:r>
      <w:r>
        <w:t>.</w:t>
      </w:r>
      <w:r>
        <w:tab/>
        <w:t xml:space="preserve">State forests: </w:t>
      </w:r>
      <w:r>
        <w:rPr>
          <w:i/>
        </w:rPr>
        <w:t>Conservation and Land Management Amendment Act 2015</w:t>
      </w:r>
      <w:r>
        <w:t xml:space="preserve"> section 12</w:t>
      </w:r>
      <w:bookmarkEnd w:id="484"/>
      <w:bookmarkEnd w:id="485"/>
    </w:p>
    <w:p>
      <w:pPr>
        <w:pStyle w:val="Subsection"/>
      </w:pPr>
      <w:r>
        <w:tab/>
        <w:t>(1)</w:t>
      </w:r>
      <w:r>
        <w:tab/>
        <w:t xml:space="preserve">In this regulation — </w:t>
      </w:r>
    </w:p>
    <w:p>
      <w:pPr>
        <w:pStyle w:val="Defstart"/>
      </w:pPr>
      <w:r>
        <w:tab/>
      </w:r>
      <w:r>
        <w:rPr>
          <w:rStyle w:val="CharDefText"/>
        </w:rPr>
        <w:t>section 9(2)</w:t>
      </w:r>
      <w:r>
        <w:t xml:space="preserve"> means section 9(2) of the Act as in force before the section 12 commencement;</w:t>
      </w:r>
    </w:p>
    <w:p>
      <w:pPr>
        <w:pStyle w:val="Defstart"/>
      </w:pPr>
      <w:r>
        <w:tab/>
      </w:r>
      <w:r>
        <w:rPr>
          <w:rStyle w:val="CharDefText"/>
        </w:rPr>
        <w:t>section 12 commencement</w:t>
      </w:r>
      <w:r>
        <w:t xml:space="preserve"> means the day on which the </w:t>
      </w:r>
      <w:r>
        <w:rPr>
          <w:i/>
        </w:rPr>
        <w:t>Conservation and Land Management Amendment Act 2015</w:t>
      </w:r>
      <w:r>
        <w:t xml:space="preserve"> section 12 came into operation;</w:t>
      </w:r>
    </w:p>
    <w:p>
      <w:pPr>
        <w:pStyle w:val="Defstart"/>
      </w:pPr>
      <w:r>
        <w:tab/>
      </w:r>
      <w:r>
        <w:rPr>
          <w:rStyle w:val="CharDefText"/>
        </w:rPr>
        <w:t>State forest resolution</w:t>
      </w:r>
      <w:r>
        <w:t xml:space="preserve"> means a resolution under section 9(2) that a proposal that the whole or part of a State forest is to cease to be State forest be carried out.</w:t>
      </w:r>
    </w:p>
    <w:p>
      <w:pPr>
        <w:pStyle w:val="Subsection"/>
      </w:pPr>
      <w:r>
        <w:tab/>
        <w:t>(2)</w:t>
      </w:r>
      <w:r>
        <w:tab/>
        <w:t xml:space="preserve">The Governor may by order published in the </w:t>
      </w:r>
      <w:r>
        <w:rPr>
          <w:i/>
        </w:rPr>
        <w:t>Gazette</w:t>
      </w:r>
      <w:r>
        <w:t xml:space="preserve"> declare land to be no longer State forest if, before the section 12 commencement — </w:t>
      </w:r>
    </w:p>
    <w:p>
      <w:pPr>
        <w:pStyle w:val="Indenta"/>
      </w:pPr>
      <w:r>
        <w:tab/>
        <w:t>(a)</w:t>
      </w:r>
      <w:r>
        <w:tab/>
        <w:t>each House of Parliament had passed a State forest resolution in relation to the land; but</w:t>
      </w:r>
    </w:p>
    <w:p>
      <w:pPr>
        <w:pStyle w:val="Indenta"/>
      </w:pPr>
      <w:r>
        <w:tab/>
        <w:t>(b)</w:t>
      </w:r>
      <w:r>
        <w:tab/>
        <w:t>the Governor had not acted under section 9(2) in respect of the resolution.</w:t>
      </w:r>
    </w:p>
    <w:p>
      <w:pPr>
        <w:pStyle w:val="Subsection"/>
      </w:pPr>
      <w:r>
        <w:tab/>
        <w:t>(3)</w:t>
      </w:r>
      <w:r>
        <w:tab/>
        <w:t xml:space="preserve">On the publication of an order under subregulation (2) declaring that land is no longer State forest, the land — </w:t>
      </w:r>
    </w:p>
    <w:p>
      <w:pPr>
        <w:pStyle w:val="Indenta"/>
      </w:pPr>
      <w:r>
        <w:tab/>
        <w:t>(a)</w:t>
      </w:r>
      <w:r>
        <w:tab/>
        <w:t>in the case of land acquired under section 15 of the Act and set apart as a State forest, becomes vested in the Executive Body and section 131 of the Act applies to it; and</w:t>
      </w:r>
    </w:p>
    <w:p>
      <w:pPr>
        <w:pStyle w:val="Indenta"/>
      </w:pPr>
      <w:r>
        <w:tab/>
        <w:t>(b)</w:t>
      </w:r>
      <w:r>
        <w:tab/>
        <w:t xml:space="preserve">in any other case, becomes Crown land within the meaning of the </w:t>
      </w:r>
      <w:r>
        <w:rPr>
          <w:i/>
        </w:rPr>
        <w:t>Land Administration Act 1997</w:t>
      </w:r>
      <w:r>
        <w:t>.</w:t>
      </w:r>
    </w:p>
    <w:p>
      <w:pPr>
        <w:pStyle w:val="Footnotesection"/>
        <w:spacing w:before="70"/>
      </w:pPr>
      <w:r>
        <w:tab/>
        <w:t>[Regulation 124 inserted in Gazette 30 Aug 2016 p. 3685</w:t>
      </w:r>
      <w:r>
        <w:noBreakHyphen/>
        <w:t>6.]</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86" w:name="_Toc491954726"/>
      <w:bookmarkStart w:id="487" w:name="_Toc491956880"/>
      <w:bookmarkStart w:id="488" w:name="_Toc473019325"/>
      <w:bookmarkStart w:id="489" w:name="_Toc473036063"/>
      <w:r>
        <w:rPr>
          <w:rStyle w:val="CharSchNo"/>
        </w:rPr>
        <w:t>Schedule 1</w:t>
      </w:r>
      <w:r>
        <w:t xml:space="preserve"> — </w:t>
      </w:r>
      <w:r>
        <w:rPr>
          <w:rStyle w:val="CharSchText"/>
        </w:rPr>
        <w:t>Fees</w:t>
      </w:r>
      <w:bookmarkEnd w:id="486"/>
      <w:bookmarkEnd w:id="487"/>
      <w:bookmarkEnd w:id="488"/>
      <w:bookmarkEnd w:id="489"/>
    </w:p>
    <w:p>
      <w:pPr>
        <w:pStyle w:val="yShoulderClause"/>
        <w:ind w:left="3544"/>
      </w:pPr>
      <w:r>
        <w:rPr>
          <w:szCs w:val="22"/>
        </w:rPr>
        <w:t>[r. 49, 83, 92, 97, 98C</w:t>
      </w:r>
      <w:ins w:id="490" w:author="Master Repository Process" w:date="2021-07-31T20:58:00Z">
        <w:r>
          <w:rPr>
            <w:szCs w:val="22"/>
          </w:rPr>
          <w:t>, 98K</w:t>
        </w:r>
      </w:ins>
      <w:r>
        <w:rPr>
          <w:szCs w:val="22"/>
        </w:rPr>
        <w:t>, 99, 99A, 99C, 100, 100A, 101, 102, 102A and 103]</w:t>
      </w:r>
    </w:p>
    <w:p>
      <w:pPr>
        <w:pStyle w:val="yFootnoteheading"/>
        <w:spacing w:before="160"/>
      </w:pPr>
      <w:r>
        <w:tab/>
        <w:t>[Heading amended in Gazette 29 Sep 2006 p. 4326; 3 Sep 2010 p. 4283; 3 Dec 2010 p. 6051</w:t>
      </w:r>
      <w:ins w:id="491" w:author="Master Repository Process" w:date="2021-07-31T20:58:00Z">
        <w:r>
          <w:t>; 1 Sep 2017 p. 4650</w:t>
        </w:r>
      </w:ins>
      <w:r>
        <w:t>.]</w:t>
      </w:r>
    </w:p>
    <w:p>
      <w:pPr>
        <w:pStyle w:val="yHeading3"/>
        <w:rPr>
          <w:snapToGrid w:val="0"/>
        </w:rPr>
      </w:pPr>
      <w:bookmarkStart w:id="492" w:name="_Toc491954727"/>
      <w:bookmarkStart w:id="493" w:name="_Toc491956881"/>
      <w:bookmarkStart w:id="494" w:name="_Toc473019326"/>
      <w:bookmarkStart w:id="495" w:name="_Toc473036064"/>
      <w:r>
        <w:rPr>
          <w:rStyle w:val="CharSDivNo"/>
        </w:rPr>
        <w:t>Division 1</w:t>
      </w:r>
      <w:r>
        <w:rPr>
          <w:snapToGrid w:val="0"/>
        </w:rPr>
        <w:t> — </w:t>
      </w:r>
      <w:r>
        <w:rPr>
          <w:rStyle w:val="CharSDivText"/>
        </w:rPr>
        <w:t>Daily entrance fees where an entrance fee is charged</w:t>
      </w:r>
      <w:bookmarkEnd w:id="492"/>
      <w:bookmarkEnd w:id="493"/>
      <w:bookmarkEnd w:id="494"/>
      <w:bookmarkEnd w:id="495"/>
    </w:p>
    <w:p>
      <w:pPr>
        <w:pStyle w:val="yFootnoteheading"/>
        <w:keepNext/>
        <w:keepLines/>
        <w:spacing w:after="60"/>
        <w:rPr>
          <w:snapToGrid w:val="0"/>
        </w:rPr>
      </w:pPr>
      <w:r>
        <w:tab/>
        <w:t>[Heading inserted in Gazette 27 Sep 2013 p. 4525.]</w:t>
      </w:r>
    </w:p>
    <w:tbl>
      <w:tblPr>
        <w:tblW w:w="0" w:type="auto"/>
        <w:tblInd w:w="227" w:type="dxa"/>
        <w:tblLayout w:type="fixed"/>
        <w:tblCellMar>
          <w:left w:w="85" w:type="dxa"/>
          <w:right w:w="85" w:type="dxa"/>
        </w:tblCellMar>
        <w:tblLook w:val="0000" w:firstRow="0" w:lastRow="0" w:firstColumn="0" w:lastColumn="0" w:noHBand="0" w:noVBand="0"/>
      </w:tblPr>
      <w:tblGrid>
        <w:gridCol w:w="709"/>
        <w:gridCol w:w="5269"/>
        <w:gridCol w:w="968"/>
      </w:tblGrid>
      <w:tr>
        <w:trPr>
          <w:cantSplit/>
          <w:tblHeader/>
        </w:trPr>
        <w:tc>
          <w:tcPr>
            <w:tcW w:w="709" w:type="dxa"/>
          </w:tcPr>
          <w:p>
            <w:pPr>
              <w:pStyle w:val="zyTableNAm"/>
            </w:pPr>
          </w:p>
        </w:tc>
        <w:tc>
          <w:tcPr>
            <w:tcW w:w="5269" w:type="dxa"/>
          </w:tcPr>
          <w:p>
            <w:pPr>
              <w:pStyle w:val="zyTableNAm"/>
            </w:pPr>
          </w:p>
        </w:tc>
        <w:tc>
          <w:tcPr>
            <w:tcW w:w="968" w:type="dxa"/>
          </w:tcPr>
          <w:p>
            <w:pPr>
              <w:pStyle w:val="yTableNAm"/>
              <w:jc w:val="center"/>
            </w:pPr>
            <w:r>
              <w:rPr>
                <w:b/>
              </w:rPr>
              <w:t>$</w:t>
            </w:r>
          </w:p>
        </w:tc>
      </w:tr>
      <w:tr>
        <w:trPr>
          <w:cantSplit/>
        </w:trPr>
        <w:tc>
          <w:tcPr>
            <w:tcW w:w="709" w:type="dxa"/>
          </w:tcPr>
          <w:p>
            <w:pPr>
              <w:pStyle w:val="yTableNAm"/>
            </w:pPr>
            <w:r>
              <w:t>1.</w:t>
            </w:r>
          </w:p>
        </w:tc>
        <w:tc>
          <w:tcPr>
            <w:tcW w:w="5269" w:type="dxa"/>
          </w:tcPr>
          <w:p>
            <w:pPr>
              <w:pStyle w:val="yTableNAm"/>
              <w:ind w:left="198" w:hanging="198"/>
            </w:pPr>
            <w:r>
              <w:t>*Daily entrance fee for non</w:t>
            </w:r>
            <w:r>
              <w:noBreakHyphen/>
              <w:t>tour motor vehicle that is a motorcycle</w:t>
            </w:r>
          </w:p>
        </w:tc>
        <w:tc>
          <w:tcPr>
            <w:tcW w:w="968" w:type="dxa"/>
            <w:vAlign w:val="bottom"/>
          </w:tcPr>
          <w:p>
            <w:pPr>
              <w:pStyle w:val="yTableNAm"/>
              <w:jc w:val="center"/>
            </w:pPr>
            <w:del w:id="496" w:author="Master Repository Process" w:date="2021-07-31T20:58:00Z">
              <w:r>
                <w:delText>6</w:delText>
              </w:r>
            </w:del>
            <w:ins w:id="497" w:author="Master Repository Process" w:date="2021-07-31T20:58:00Z">
              <w:r>
                <w:rPr>
                  <w:szCs w:val="22"/>
                </w:rPr>
                <w:t>7</w:t>
              </w:r>
            </w:ins>
            <w:r>
              <w:rPr>
                <w:szCs w:val="22"/>
              </w:rPr>
              <w:t>.00</w:t>
            </w:r>
          </w:p>
        </w:tc>
      </w:tr>
      <w:tr>
        <w:trPr>
          <w:cantSplit/>
        </w:trPr>
        <w:tc>
          <w:tcPr>
            <w:tcW w:w="709" w:type="dxa"/>
          </w:tcPr>
          <w:p>
            <w:pPr>
              <w:pStyle w:val="yTableNAm"/>
            </w:pPr>
            <w:r>
              <w:t>2.</w:t>
            </w:r>
          </w:p>
        </w:tc>
        <w:tc>
          <w:tcPr>
            <w:tcW w:w="5269" w:type="dxa"/>
          </w:tcPr>
          <w:p>
            <w:pPr>
              <w:pStyle w:val="yTableNAm"/>
              <w:ind w:left="198" w:hanging="198"/>
            </w:pPr>
            <w:r>
              <w:t>*Daily entrance fee for non</w:t>
            </w:r>
            <w:r>
              <w:noBreakHyphen/>
              <w:t>tour motor vehicle that is not a motorcycle (unless item 5 applies)</w:t>
            </w:r>
          </w:p>
        </w:tc>
        <w:tc>
          <w:tcPr>
            <w:tcW w:w="968" w:type="dxa"/>
            <w:vAlign w:val="bottom"/>
          </w:tcPr>
          <w:p>
            <w:pPr>
              <w:pStyle w:val="yTableNAm"/>
              <w:jc w:val="center"/>
            </w:pPr>
            <w:del w:id="498" w:author="Master Repository Process" w:date="2021-07-31T20:58:00Z">
              <w:r>
                <w:delText>12</w:delText>
              </w:r>
            </w:del>
            <w:ins w:id="499" w:author="Master Repository Process" w:date="2021-07-31T20:58:00Z">
              <w:r>
                <w:rPr>
                  <w:szCs w:val="22"/>
                </w:rPr>
                <w:t>13</w:t>
              </w:r>
            </w:ins>
            <w:r>
              <w:rPr>
                <w:szCs w:val="22"/>
              </w:rPr>
              <w:t>.00</w:t>
            </w:r>
          </w:p>
        </w:tc>
      </w:tr>
      <w:tr>
        <w:trPr>
          <w:cantSplit/>
        </w:trPr>
        <w:tc>
          <w:tcPr>
            <w:tcW w:w="709" w:type="dxa"/>
          </w:tcPr>
          <w:p>
            <w:pPr>
              <w:pStyle w:val="yTableNAm"/>
            </w:pPr>
            <w:r>
              <w:t>3.</w:t>
            </w:r>
          </w:p>
        </w:tc>
        <w:tc>
          <w:tcPr>
            <w:tcW w:w="5269" w:type="dxa"/>
          </w:tcPr>
          <w:p>
            <w:pPr>
              <w:pStyle w:val="yTableNAm"/>
              <w:ind w:left="198" w:hanging="198"/>
            </w:pPr>
            <w:r>
              <w:t>*Daily entrance for each occupant (6 years of age or older) of tour vehicle (unless entry is to Yanchep National Park or Nambung National Park, or item 6 applies)</w:t>
            </w:r>
          </w:p>
        </w:tc>
        <w:tc>
          <w:tcPr>
            <w:tcW w:w="968" w:type="dxa"/>
            <w:vAlign w:val="bottom"/>
          </w:tcPr>
          <w:p>
            <w:pPr>
              <w:pStyle w:val="yTableNAm"/>
              <w:jc w:val="center"/>
            </w:pPr>
            <w:del w:id="500" w:author="Master Repository Process" w:date="2021-07-31T20:58:00Z">
              <w:r>
                <w:delText>5.50</w:delText>
              </w:r>
            </w:del>
            <w:ins w:id="501" w:author="Master Repository Process" w:date="2021-07-31T20:58:00Z">
              <w:r>
                <w:rPr>
                  <w:szCs w:val="22"/>
                </w:rPr>
                <w:t>6.00</w:t>
              </w:r>
            </w:ins>
          </w:p>
        </w:tc>
      </w:tr>
      <w:tr>
        <w:trPr>
          <w:cantSplit/>
        </w:trPr>
        <w:tc>
          <w:tcPr>
            <w:tcW w:w="709" w:type="dxa"/>
          </w:tcPr>
          <w:p>
            <w:pPr>
              <w:pStyle w:val="yTableNAm"/>
            </w:pPr>
            <w:r>
              <w:t>4.</w:t>
            </w:r>
          </w:p>
        </w:tc>
        <w:tc>
          <w:tcPr>
            <w:tcW w:w="5269" w:type="dxa"/>
          </w:tcPr>
          <w:p>
            <w:pPr>
              <w:pStyle w:val="yTableNAm"/>
              <w:ind w:left="198" w:hanging="198"/>
            </w:pPr>
            <w:r>
              <w:t>Daily entrance for each occupant (6 years of age or older) of tour vehicle — Yanchep National Park, Nambung National Park</w:t>
            </w:r>
          </w:p>
        </w:tc>
        <w:tc>
          <w:tcPr>
            <w:tcW w:w="968" w:type="dxa"/>
            <w:vAlign w:val="bottom"/>
          </w:tcPr>
          <w:p>
            <w:pPr>
              <w:pStyle w:val="yTableNAm"/>
              <w:jc w:val="center"/>
            </w:pPr>
            <w:del w:id="502" w:author="Master Repository Process" w:date="2021-07-31T20:58:00Z">
              <w:r>
                <w:delText>5.50</w:delText>
              </w:r>
            </w:del>
            <w:ins w:id="503" w:author="Master Repository Process" w:date="2021-07-31T20:58:00Z">
              <w:r>
                <w:rPr>
                  <w:szCs w:val="22"/>
                </w:rPr>
                <w:t>6.00</w:t>
              </w:r>
            </w:ins>
          </w:p>
        </w:tc>
      </w:tr>
      <w:tr>
        <w:trPr>
          <w:cantSplit/>
        </w:trPr>
        <w:tc>
          <w:tcPr>
            <w:tcW w:w="709" w:type="dxa"/>
          </w:tcPr>
          <w:p>
            <w:pPr>
              <w:pStyle w:val="yTableNAm"/>
            </w:pPr>
            <w:r>
              <w:t>5.</w:t>
            </w:r>
          </w:p>
        </w:tc>
        <w:tc>
          <w:tcPr>
            <w:tcW w:w="5269" w:type="dxa"/>
          </w:tcPr>
          <w:p>
            <w:pPr>
              <w:pStyle w:val="yTableNAm"/>
              <w:ind w:left="198" w:hanging="198"/>
            </w:pPr>
            <w:r>
              <w:t>*Daily entrance concession fee for non</w:t>
            </w:r>
            <w:r>
              <w:noBreakHyphen/>
              <w:t xml:space="preserve">tour motor vehicle if the driver holds a concession card </w:t>
            </w:r>
          </w:p>
        </w:tc>
        <w:tc>
          <w:tcPr>
            <w:tcW w:w="968" w:type="dxa"/>
            <w:vAlign w:val="bottom"/>
          </w:tcPr>
          <w:p>
            <w:pPr>
              <w:pStyle w:val="yTableNAm"/>
              <w:jc w:val="center"/>
            </w:pPr>
            <w:del w:id="504" w:author="Master Repository Process" w:date="2021-07-31T20:58:00Z">
              <w:r>
                <w:delText>6</w:delText>
              </w:r>
            </w:del>
            <w:ins w:id="505" w:author="Master Repository Process" w:date="2021-07-31T20:58:00Z">
              <w:r>
                <w:rPr>
                  <w:szCs w:val="22"/>
                </w:rPr>
                <w:t>7</w:t>
              </w:r>
            </w:ins>
            <w:r>
              <w:rPr>
                <w:szCs w:val="22"/>
              </w:rPr>
              <w:t>.00</w:t>
            </w:r>
          </w:p>
        </w:tc>
      </w:tr>
      <w:tr>
        <w:trPr>
          <w:cantSplit/>
        </w:trPr>
        <w:tc>
          <w:tcPr>
            <w:tcW w:w="709" w:type="dxa"/>
          </w:tcPr>
          <w:p>
            <w:pPr>
              <w:pStyle w:val="yTableNAm"/>
            </w:pPr>
            <w:r>
              <w:t>6.</w:t>
            </w:r>
          </w:p>
        </w:tc>
        <w:tc>
          <w:tcPr>
            <w:tcW w:w="5269" w:type="dxa"/>
          </w:tcPr>
          <w:p>
            <w:pPr>
              <w:pStyle w:val="yTableNAm"/>
              <w:ind w:left="198" w:hanging="198"/>
            </w:pPr>
            <w:r>
              <w:t>*Daily entrance concession fee for occupant of tour vehicle if the occupant holds a concession card (except where tour vehicle is operating for profit)</w:t>
            </w:r>
          </w:p>
        </w:tc>
        <w:tc>
          <w:tcPr>
            <w:tcW w:w="968" w:type="dxa"/>
            <w:vAlign w:val="bottom"/>
          </w:tcPr>
          <w:p>
            <w:pPr>
              <w:pStyle w:val="yTableNAm"/>
              <w:jc w:val="center"/>
            </w:pPr>
            <w:del w:id="506" w:author="Master Repository Process" w:date="2021-07-31T20:58:00Z">
              <w:r>
                <w:delText>1.70</w:delText>
              </w:r>
            </w:del>
            <w:ins w:id="507" w:author="Master Repository Process" w:date="2021-07-31T20:58:00Z">
              <w:r>
                <w:rPr>
                  <w:szCs w:val="22"/>
                </w:rPr>
                <w:t>2.00</w:t>
              </w:r>
            </w:ins>
          </w:p>
        </w:tc>
      </w:tr>
    </w:tbl>
    <w:p>
      <w:pPr>
        <w:pStyle w:val="yMiscellaneousBody"/>
        <w:spacing w:before="200"/>
        <w:rPr>
          <w:sz w:val="16"/>
        </w:rPr>
      </w:pPr>
      <w:r>
        <w:rPr>
          <w:sz w:val="16"/>
        </w:rPr>
        <w:t xml:space="preserve">[* Payment of a daily entrance fee under this item entitles the visitor on that day to enter any other area of CALM land for which an entrance fee is charged under the same item.] </w:t>
      </w:r>
    </w:p>
    <w:p>
      <w:pPr>
        <w:pStyle w:val="yFootnotesection"/>
      </w:pPr>
      <w:r>
        <w:tab/>
        <w:t>[Division 1 inserted in Gazette 27 Sep 2013 p. 4525-6</w:t>
      </w:r>
      <w:ins w:id="508" w:author="Master Repository Process" w:date="2021-07-31T20:58:00Z">
        <w:r>
          <w:t>; amended in Gazette 1 Sep 2017 p. 4650</w:t>
        </w:r>
      </w:ins>
      <w:r>
        <w:t>.]</w:t>
      </w:r>
    </w:p>
    <w:p>
      <w:pPr>
        <w:pStyle w:val="yHeading3"/>
        <w:rPr>
          <w:rStyle w:val="CharSDivText"/>
        </w:rPr>
      </w:pPr>
      <w:bookmarkStart w:id="509" w:name="_Toc491954728"/>
      <w:bookmarkStart w:id="510" w:name="_Toc491956882"/>
      <w:bookmarkStart w:id="511" w:name="_Toc473019327"/>
      <w:bookmarkStart w:id="512" w:name="_Toc473036065"/>
      <w:r>
        <w:rPr>
          <w:rStyle w:val="CharSDivNo"/>
        </w:rPr>
        <w:t>Division 2</w:t>
      </w:r>
      <w:r>
        <w:rPr>
          <w:snapToGrid w:val="0"/>
        </w:rPr>
        <w:t> — </w:t>
      </w:r>
      <w:r>
        <w:rPr>
          <w:rStyle w:val="CharSDivText"/>
        </w:rPr>
        <w:t>Fees for passes providing extended entrance to CALM land</w:t>
      </w:r>
      <w:bookmarkEnd w:id="509"/>
      <w:bookmarkEnd w:id="510"/>
      <w:bookmarkEnd w:id="511"/>
      <w:bookmarkEnd w:id="512"/>
    </w:p>
    <w:p>
      <w:pPr>
        <w:pStyle w:val="yFootnoteheading"/>
        <w:keepNext/>
        <w:keepLines/>
        <w:spacing w:after="60"/>
        <w:rPr>
          <w:snapToGrid w:val="0"/>
        </w:rPr>
      </w:pPr>
      <w:r>
        <w:tab/>
        <w:t>[Heading inserted in Gazette 27 Sep 2013 p. 4526.]</w:t>
      </w:r>
    </w:p>
    <w:tbl>
      <w:tblPr>
        <w:tblW w:w="6946" w:type="dxa"/>
        <w:tblInd w:w="150" w:type="dxa"/>
        <w:tblLayout w:type="fixed"/>
        <w:tblCellMar>
          <w:left w:w="8" w:type="dxa"/>
          <w:right w:w="8" w:type="dxa"/>
        </w:tblCellMar>
        <w:tblLook w:val="0000" w:firstRow="0" w:lastRow="0" w:firstColumn="0" w:lastColumn="0" w:noHBand="0" w:noVBand="0"/>
      </w:tblPr>
      <w:tblGrid>
        <w:gridCol w:w="709"/>
        <w:gridCol w:w="5276"/>
        <w:gridCol w:w="961"/>
      </w:tblGrid>
      <w:tr>
        <w:trPr>
          <w:cantSplit/>
          <w:tblHeader/>
        </w:trPr>
        <w:tc>
          <w:tcPr>
            <w:tcW w:w="709" w:type="dxa"/>
          </w:tcPr>
          <w:p>
            <w:pPr>
              <w:pStyle w:val="zyTableNAm"/>
              <w:keepNext/>
            </w:pPr>
          </w:p>
        </w:tc>
        <w:tc>
          <w:tcPr>
            <w:tcW w:w="5276" w:type="dxa"/>
          </w:tcPr>
          <w:p>
            <w:pPr>
              <w:pStyle w:val="zyTableNAm"/>
              <w:keepNext/>
            </w:pPr>
          </w:p>
        </w:tc>
        <w:tc>
          <w:tcPr>
            <w:tcW w:w="961" w:type="dxa"/>
            <w:vAlign w:val="bottom"/>
          </w:tcPr>
          <w:p>
            <w:pPr>
              <w:pStyle w:val="yTableNAm"/>
              <w:keepNext/>
              <w:jc w:val="center"/>
            </w:pPr>
            <w:r>
              <w:rPr>
                <w:b/>
              </w:rPr>
              <w:t>$</w:t>
            </w:r>
          </w:p>
        </w:tc>
      </w:tr>
      <w:tr>
        <w:trPr>
          <w:cantSplit/>
        </w:trPr>
        <w:tc>
          <w:tcPr>
            <w:tcW w:w="709" w:type="dxa"/>
          </w:tcPr>
          <w:p>
            <w:pPr>
              <w:pStyle w:val="yTableNAm"/>
            </w:pPr>
            <w:r>
              <w:t>1.</w:t>
            </w:r>
          </w:p>
        </w:tc>
        <w:tc>
          <w:tcPr>
            <w:tcW w:w="5276" w:type="dxa"/>
          </w:tcPr>
          <w:p>
            <w:pPr>
              <w:pStyle w:val="yTableNAm"/>
            </w:pPr>
            <w:r>
              <w:t>For an annual pass for a non</w:t>
            </w:r>
            <w:r>
              <w:noBreakHyphen/>
              <w:t xml:space="preserve">tour motor vehicle with up to 12 occupants to all CALM land where an entrance fee is charged except the Monkey Mia Conservation Park </w:t>
            </w:r>
          </w:p>
        </w:tc>
        <w:tc>
          <w:tcPr>
            <w:tcW w:w="961" w:type="dxa"/>
            <w:vAlign w:val="bottom"/>
          </w:tcPr>
          <w:p>
            <w:pPr>
              <w:pStyle w:val="yTableNAm"/>
              <w:jc w:val="center"/>
            </w:pPr>
            <w:del w:id="513" w:author="Master Repository Process" w:date="2021-07-31T20:58:00Z">
              <w:r>
                <w:delText>88</w:delText>
              </w:r>
            </w:del>
            <w:ins w:id="514" w:author="Master Repository Process" w:date="2021-07-31T20:58:00Z">
              <w:r>
                <w:rPr>
                  <w:szCs w:val="22"/>
                </w:rPr>
                <w:t>92</w:t>
              </w:r>
            </w:ins>
            <w:r>
              <w:rPr>
                <w:szCs w:val="22"/>
              </w:rPr>
              <w:t>.00</w:t>
            </w:r>
          </w:p>
        </w:tc>
      </w:tr>
      <w:tr>
        <w:trPr>
          <w:cantSplit/>
        </w:trPr>
        <w:tc>
          <w:tcPr>
            <w:tcW w:w="709" w:type="dxa"/>
          </w:tcPr>
          <w:p>
            <w:pPr>
              <w:pStyle w:val="yTableNAm"/>
            </w:pPr>
            <w:r>
              <w:t>2.</w:t>
            </w:r>
          </w:p>
        </w:tc>
        <w:tc>
          <w:tcPr>
            <w:tcW w:w="5276" w:type="dxa"/>
          </w:tcPr>
          <w:p>
            <w:pPr>
              <w:pStyle w:val="yTableNAm"/>
            </w:pPr>
            <w:r>
              <w:t>For an annual concession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del w:id="515" w:author="Master Repository Process" w:date="2021-07-31T20:58:00Z">
              <w:r>
                <w:delText>55</w:delText>
              </w:r>
            </w:del>
            <w:ins w:id="516" w:author="Master Repository Process" w:date="2021-07-31T20:58:00Z">
              <w:r>
                <w:rPr>
                  <w:szCs w:val="22"/>
                </w:rPr>
                <w:t>58</w:t>
              </w:r>
            </w:ins>
            <w:r>
              <w:rPr>
                <w:szCs w:val="22"/>
              </w:rPr>
              <w:t>.00</w:t>
            </w:r>
          </w:p>
        </w:tc>
      </w:tr>
      <w:tr>
        <w:trPr>
          <w:cantSplit/>
        </w:trPr>
        <w:tc>
          <w:tcPr>
            <w:tcW w:w="709" w:type="dxa"/>
          </w:tcPr>
          <w:p>
            <w:pPr>
              <w:pStyle w:val="zyTableNAm"/>
            </w:pPr>
          </w:p>
        </w:tc>
        <w:tc>
          <w:tcPr>
            <w:tcW w:w="5276" w:type="dxa"/>
          </w:tcPr>
          <w:p>
            <w:pPr>
              <w:pStyle w:val="yTableNAm"/>
            </w:pPr>
            <w:r>
              <w:t>Conditions on entry: the driver holds a concession card</w:t>
            </w:r>
          </w:p>
        </w:tc>
        <w:tc>
          <w:tcPr>
            <w:tcW w:w="961" w:type="dxa"/>
            <w:vAlign w:val="bottom"/>
          </w:tcPr>
          <w:p>
            <w:pPr>
              <w:pStyle w:val="yTableNAm"/>
              <w:jc w:val="center"/>
            </w:pPr>
          </w:p>
        </w:tc>
      </w:tr>
      <w:tr>
        <w:trPr>
          <w:cantSplit/>
        </w:trPr>
        <w:tc>
          <w:tcPr>
            <w:tcW w:w="709" w:type="dxa"/>
          </w:tcPr>
          <w:p>
            <w:pPr>
              <w:pStyle w:val="yTableNAm"/>
            </w:pPr>
            <w:r>
              <w:t>3.</w:t>
            </w:r>
          </w:p>
        </w:tc>
        <w:tc>
          <w:tcPr>
            <w:tcW w:w="5276" w:type="dxa"/>
          </w:tcPr>
          <w:p>
            <w:pPr>
              <w:pStyle w:val="yTableNAm"/>
            </w:pPr>
            <w:r>
              <w:t>For a 4 week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br/>
            </w:r>
            <w:r>
              <w:br/>
            </w:r>
            <w:del w:id="517" w:author="Master Repository Process" w:date="2021-07-31T20:58:00Z">
              <w:r>
                <w:delText>44</w:delText>
              </w:r>
            </w:del>
            <w:ins w:id="518" w:author="Master Repository Process" w:date="2021-07-31T20:58:00Z">
              <w:r>
                <w:rPr>
                  <w:szCs w:val="22"/>
                </w:rPr>
                <w:t>46</w:t>
              </w:r>
            </w:ins>
            <w:r>
              <w:rPr>
                <w:szCs w:val="22"/>
              </w:rPr>
              <w:t>.00</w:t>
            </w:r>
          </w:p>
        </w:tc>
      </w:tr>
      <w:tr>
        <w:trPr>
          <w:cantSplit/>
        </w:trPr>
        <w:tc>
          <w:tcPr>
            <w:tcW w:w="709" w:type="dxa"/>
          </w:tcPr>
          <w:p>
            <w:pPr>
              <w:pStyle w:val="yTableNAm"/>
            </w:pPr>
            <w:r>
              <w:rPr>
                <w:sz w:val="24"/>
              </w:rPr>
              <w:br w:type="page"/>
            </w:r>
            <w:r>
              <w:t>4.</w:t>
            </w:r>
          </w:p>
        </w:tc>
        <w:tc>
          <w:tcPr>
            <w:tcW w:w="5276" w:type="dxa"/>
          </w:tcPr>
          <w:p>
            <w:pPr>
              <w:pStyle w:val="yTableNAm"/>
            </w:pPr>
            <w:r>
              <w:t>For an annual local pass for a non</w:t>
            </w:r>
            <w:r>
              <w:noBreakHyphen/>
              <w:t>tour vehicle with up to 12 occupants for any one national park or reserve or for any one of the following groups of national parks, conservation parks and reserves —</w:t>
            </w:r>
          </w:p>
          <w:p>
            <w:pPr>
              <w:pStyle w:val="yTableNAm"/>
              <w:tabs>
                <w:tab w:val="clear" w:pos="567"/>
                <w:tab w:val="left" w:pos="389"/>
                <w:tab w:val="left" w:pos="984"/>
              </w:tabs>
              <w:ind w:left="984" w:hanging="984"/>
            </w:pPr>
            <w:r>
              <w:tab/>
              <w:t>(a)</w:t>
            </w:r>
            <w:r>
              <w:tab/>
              <w:t>Walyunga, Avon Valley and John Forrest</w:t>
            </w:r>
          </w:p>
          <w:p>
            <w:pPr>
              <w:pStyle w:val="yTableNAm"/>
              <w:tabs>
                <w:tab w:val="clear" w:pos="567"/>
                <w:tab w:val="left" w:pos="389"/>
                <w:tab w:val="left" w:pos="984"/>
              </w:tabs>
              <w:ind w:left="984" w:hanging="984"/>
            </w:pPr>
            <w:r>
              <w:tab/>
              <w:t>(b)</w:t>
            </w:r>
            <w:r>
              <w:tab/>
              <w:t>Gloucester, Warren, Beedelup, Greater Beedelup, Shannon and D’Entrecasteaux</w:t>
            </w:r>
          </w:p>
          <w:p>
            <w:pPr>
              <w:pStyle w:val="yTableNAm"/>
              <w:tabs>
                <w:tab w:val="clear" w:pos="567"/>
                <w:tab w:val="left" w:pos="389"/>
                <w:tab w:val="left" w:pos="984"/>
              </w:tabs>
              <w:ind w:left="984" w:hanging="984"/>
            </w:pPr>
            <w:r>
              <w:tab/>
              <w:t>(c)</w:t>
            </w:r>
            <w:r>
              <w:tab/>
            </w:r>
            <w:r>
              <w:rPr>
                <w:szCs w:val="22"/>
              </w:rPr>
              <w:t xml:space="preserve">Torndirrup, West Cape Howe, Two Peoples Bay, </w:t>
            </w:r>
            <w:r>
              <w:t>Stirling Range, Porongurup and Fitzgerald River</w:t>
            </w:r>
          </w:p>
          <w:p>
            <w:pPr>
              <w:pStyle w:val="yTableNAm"/>
              <w:tabs>
                <w:tab w:val="clear" w:pos="567"/>
                <w:tab w:val="left" w:pos="389"/>
                <w:tab w:val="left" w:pos="984"/>
              </w:tabs>
              <w:ind w:left="984" w:hanging="984"/>
            </w:pPr>
            <w:r>
              <w:tab/>
              <w:t>(d)</w:t>
            </w:r>
            <w:r>
              <w:tab/>
              <w:t>Stokes, Cape Le Grand, Cape Arid and Fitzgerald River</w:t>
            </w:r>
          </w:p>
        </w:tc>
        <w:tc>
          <w:tcPr>
            <w:tcW w:w="961" w:type="dxa"/>
            <w:vAlign w:val="bottom"/>
          </w:tcPr>
          <w:p>
            <w:pPr>
              <w:pStyle w:val="yTableNAm"/>
              <w:jc w:val="center"/>
            </w:pPr>
          </w:p>
        </w:tc>
      </w:tr>
      <w:tr>
        <w:trPr>
          <w:cantSplit/>
        </w:trPr>
        <w:tc>
          <w:tcPr>
            <w:tcW w:w="709" w:type="dxa"/>
          </w:tcPr>
          <w:p>
            <w:pPr>
              <w:pStyle w:val="yTableNAm"/>
              <w:rPr>
                <w:sz w:val="24"/>
              </w:rPr>
            </w:pPr>
          </w:p>
        </w:tc>
        <w:tc>
          <w:tcPr>
            <w:tcW w:w="5276" w:type="dxa"/>
          </w:tcPr>
          <w:p>
            <w:pPr>
              <w:pStyle w:val="yTableNAm"/>
              <w:tabs>
                <w:tab w:val="clear" w:pos="567"/>
                <w:tab w:val="left" w:pos="389"/>
                <w:tab w:val="left" w:pos="984"/>
              </w:tabs>
              <w:ind w:left="984" w:hanging="984"/>
            </w:pPr>
            <w:r>
              <w:tab/>
              <w:t>(e)</w:t>
            </w:r>
            <w:r>
              <w:tab/>
              <w:t>Karijini and Millstream</w:t>
            </w:r>
            <w:r>
              <w:noBreakHyphen/>
              <w:t>Chichester</w:t>
            </w:r>
          </w:p>
          <w:p>
            <w:pPr>
              <w:pStyle w:val="yTableNAm"/>
              <w:tabs>
                <w:tab w:val="clear" w:pos="567"/>
                <w:tab w:val="left" w:pos="389"/>
                <w:tab w:val="left" w:pos="984"/>
              </w:tabs>
              <w:ind w:left="984" w:hanging="984"/>
            </w:pPr>
            <w:r>
              <w:tab/>
              <w:t>(f)</w:t>
            </w:r>
            <w:r>
              <w:tab/>
              <w:t>Mirima, Purnululu and Mitchell River</w:t>
            </w:r>
          </w:p>
          <w:p>
            <w:pPr>
              <w:pStyle w:val="yTableNAm"/>
              <w:tabs>
                <w:tab w:val="clear" w:pos="567"/>
                <w:tab w:val="left" w:pos="389"/>
                <w:tab w:val="left" w:pos="984"/>
              </w:tabs>
              <w:ind w:left="984" w:hanging="984"/>
            </w:pPr>
            <w:r>
              <w:tab/>
              <w:t>(g)</w:t>
            </w:r>
            <w:r>
              <w:tab/>
              <w:t>Windjana, King Leopold Ranges and Tunnel Creek</w:t>
            </w:r>
          </w:p>
          <w:p>
            <w:pPr>
              <w:pStyle w:val="yTableNAm"/>
              <w:tabs>
                <w:tab w:val="clear" w:pos="567"/>
                <w:tab w:val="left" w:pos="389"/>
                <w:tab w:val="left" w:pos="984"/>
              </w:tabs>
              <w:ind w:left="984" w:hanging="984"/>
            </w:pPr>
            <w:r>
              <w:tab/>
              <w:t>(h)</w:t>
            </w:r>
            <w:r>
              <w:tab/>
              <w:t>Nambung and Lesueur</w:t>
            </w:r>
          </w:p>
        </w:tc>
        <w:tc>
          <w:tcPr>
            <w:tcW w:w="961" w:type="dxa"/>
            <w:vAlign w:val="bottom"/>
          </w:tcPr>
          <w:p>
            <w:pPr>
              <w:pStyle w:val="yTableNAm"/>
              <w:jc w:val="center"/>
            </w:pPr>
            <w:r>
              <w:br/>
            </w:r>
            <w:r>
              <w:br/>
            </w:r>
            <w:r>
              <w:br/>
            </w:r>
            <w:r>
              <w:br/>
            </w:r>
            <w:r>
              <w:br/>
            </w:r>
          </w:p>
        </w:tc>
      </w:tr>
      <w:tr>
        <w:trPr>
          <w:cantSplit/>
        </w:trPr>
        <w:tc>
          <w:tcPr>
            <w:tcW w:w="709" w:type="dxa"/>
          </w:tcPr>
          <w:p>
            <w:pPr>
              <w:pStyle w:val="yTableNAm"/>
              <w:rPr>
                <w:sz w:val="24"/>
              </w:rPr>
            </w:pPr>
          </w:p>
        </w:tc>
        <w:tc>
          <w:tcPr>
            <w:tcW w:w="5276" w:type="dxa"/>
          </w:tcPr>
          <w:p>
            <w:pPr>
              <w:pStyle w:val="yTableNAm"/>
              <w:tabs>
                <w:tab w:val="clear" w:pos="567"/>
                <w:tab w:val="left" w:pos="389"/>
                <w:tab w:val="left" w:pos="984"/>
              </w:tabs>
              <w:ind w:left="984" w:hanging="984"/>
            </w:pPr>
            <w:r>
              <w:tab/>
              <w:t>(i)</w:t>
            </w:r>
            <w:r>
              <w:tab/>
            </w:r>
            <w:r>
              <w:rPr>
                <w:szCs w:val="22"/>
              </w:rPr>
              <w:t>Lane Poole and Serpentine</w:t>
            </w:r>
          </w:p>
        </w:tc>
        <w:tc>
          <w:tcPr>
            <w:tcW w:w="961" w:type="dxa"/>
            <w:vAlign w:val="bottom"/>
          </w:tcPr>
          <w:p>
            <w:pPr>
              <w:pStyle w:val="yTableNAm"/>
              <w:jc w:val="center"/>
            </w:pPr>
            <w:del w:id="519" w:author="Master Repository Process" w:date="2021-07-31T20:58:00Z">
              <w:r>
                <w:delText>22</w:delText>
              </w:r>
            </w:del>
            <w:ins w:id="520" w:author="Master Repository Process" w:date="2021-07-31T20:58:00Z">
              <w:r>
                <w:rPr>
                  <w:szCs w:val="22"/>
                </w:rPr>
                <w:t>23</w:t>
              </w:r>
            </w:ins>
            <w:r>
              <w:rPr>
                <w:szCs w:val="22"/>
              </w:rPr>
              <w:t>.00</w:t>
            </w:r>
          </w:p>
        </w:tc>
      </w:tr>
      <w:tr>
        <w:trPr>
          <w:cantSplit/>
        </w:trPr>
        <w:tc>
          <w:tcPr>
            <w:tcW w:w="709" w:type="dxa"/>
          </w:tcPr>
          <w:p>
            <w:pPr>
              <w:pStyle w:val="yTableNAm"/>
            </w:pPr>
            <w:r>
              <w:rPr>
                <w:sz w:val="24"/>
              </w:rPr>
              <w:t>5.</w:t>
            </w:r>
          </w:p>
        </w:tc>
        <w:tc>
          <w:tcPr>
            <w:tcW w:w="5276" w:type="dxa"/>
          </w:tcPr>
          <w:p>
            <w:pPr>
              <w:pStyle w:val="yTableNAm"/>
            </w:pPr>
            <w:r>
              <w:t>For an annual pass for a non</w:t>
            </w:r>
            <w:r>
              <w:noBreakHyphen/>
              <w:t>tour motor vehicle with up to 12 occupants to all CALM land where an entrance fee is charged, except the Monkey Mia Conservation Park, and an annual subscription to the magazine “Landscope”</w:t>
            </w:r>
          </w:p>
        </w:tc>
        <w:tc>
          <w:tcPr>
            <w:tcW w:w="961" w:type="dxa"/>
            <w:vAlign w:val="bottom"/>
          </w:tcPr>
          <w:p>
            <w:pPr>
              <w:pStyle w:val="yTableNAm"/>
              <w:jc w:val="center"/>
            </w:pPr>
            <w:del w:id="521" w:author="Master Repository Process" w:date="2021-07-31T20:58:00Z">
              <w:r>
                <w:delText>110</w:delText>
              </w:r>
            </w:del>
            <w:ins w:id="522" w:author="Master Repository Process" w:date="2021-07-31T20:58:00Z">
              <w:r>
                <w:rPr>
                  <w:szCs w:val="22"/>
                </w:rPr>
                <w:t>115</w:t>
              </w:r>
            </w:ins>
            <w:r>
              <w:rPr>
                <w:szCs w:val="22"/>
              </w:rPr>
              <w:t>.00</w:t>
            </w:r>
          </w:p>
        </w:tc>
      </w:tr>
      <w:tr>
        <w:trPr>
          <w:cantSplit/>
        </w:trPr>
        <w:tc>
          <w:tcPr>
            <w:tcW w:w="709" w:type="dxa"/>
          </w:tcPr>
          <w:p>
            <w:pPr>
              <w:pStyle w:val="yTableNAm"/>
            </w:pPr>
            <w:r>
              <w:t>6.</w:t>
            </w:r>
          </w:p>
        </w:tc>
        <w:tc>
          <w:tcPr>
            <w:tcW w:w="5276" w:type="dxa"/>
          </w:tcPr>
          <w:p>
            <w:pPr>
              <w:pStyle w:val="yTableNAm"/>
            </w:pPr>
            <w:r>
              <w:t>For a pass for one group entering the Yanchep National Park in one or more non</w:t>
            </w:r>
            <w:r>
              <w:noBreakHyphen/>
              <w:t>tour motor vehicles for the purposes of a wedding or other function</w:t>
            </w:r>
          </w:p>
        </w:tc>
        <w:tc>
          <w:tcPr>
            <w:tcW w:w="961" w:type="dxa"/>
            <w:vAlign w:val="bottom"/>
          </w:tcPr>
          <w:p>
            <w:pPr>
              <w:pStyle w:val="yTableNAm"/>
              <w:jc w:val="center"/>
            </w:pPr>
            <w:del w:id="523" w:author="Master Repository Process" w:date="2021-07-31T20:58:00Z">
              <w:r>
                <w:delText>100</w:delText>
              </w:r>
            </w:del>
            <w:ins w:id="524" w:author="Master Repository Process" w:date="2021-07-31T20:58:00Z">
              <w:r>
                <w:rPr>
                  <w:szCs w:val="22"/>
                </w:rPr>
                <w:t>115</w:t>
              </w:r>
            </w:ins>
            <w:r>
              <w:rPr>
                <w:szCs w:val="22"/>
              </w:rPr>
              <w:t>.00</w:t>
            </w:r>
          </w:p>
        </w:tc>
      </w:tr>
    </w:tbl>
    <w:p>
      <w:pPr>
        <w:pStyle w:val="yFootnotesection"/>
      </w:pPr>
      <w:r>
        <w:tab/>
        <w:t>[Division 2 inserted in Gazette 27 Sep 2013 p. 4526-7; amended in Gazette 19 Sep 2014 p. 3333; 4 Apr 2016 p. 1011</w:t>
      </w:r>
      <w:r>
        <w:noBreakHyphen/>
        <w:t>12</w:t>
      </w:r>
      <w:ins w:id="525" w:author="Master Repository Process" w:date="2021-07-31T20:58:00Z">
        <w:r>
          <w:t>; 1 Sep 2017 p. 4650</w:t>
        </w:r>
      </w:ins>
      <w:r>
        <w:t>.]</w:t>
      </w:r>
    </w:p>
    <w:p>
      <w:pPr>
        <w:pStyle w:val="yHeading3"/>
        <w:rPr>
          <w:rStyle w:val="CharSDivText"/>
        </w:rPr>
      </w:pPr>
      <w:bookmarkStart w:id="526" w:name="_Toc491954729"/>
      <w:bookmarkStart w:id="527" w:name="_Toc491956883"/>
      <w:bookmarkStart w:id="528" w:name="_Toc473019328"/>
      <w:bookmarkStart w:id="529" w:name="_Toc473036066"/>
      <w:r>
        <w:rPr>
          <w:rStyle w:val="CharSDivNo"/>
        </w:rPr>
        <w:t>Division 3</w:t>
      </w:r>
      <w:r>
        <w:rPr>
          <w:b w:val="0"/>
        </w:rPr>
        <w:t> </w:t>
      </w:r>
      <w:r>
        <w:t>—</w:t>
      </w:r>
      <w:r>
        <w:rPr>
          <w:b w:val="0"/>
        </w:rPr>
        <w:t> </w:t>
      </w:r>
      <w:r>
        <w:rPr>
          <w:rStyle w:val="CharSDivText"/>
        </w:rPr>
        <w:t>Daily entrance fees for Tree Top Walk</w:t>
      </w:r>
      <w:bookmarkEnd w:id="526"/>
      <w:bookmarkEnd w:id="527"/>
      <w:bookmarkEnd w:id="528"/>
      <w:bookmarkEnd w:id="529"/>
    </w:p>
    <w:p>
      <w:pPr>
        <w:pStyle w:val="yFootnoteheading"/>
        <w:keepNext/>
        <w:keepLines/>
        <w:spacing w:after="60"/>
        <w:rPr>
          <w:snapToGrid w:val="0"/>
        </w:rPr>
      </w:pPr>
      <w:r>
        <w:tab/>
        <w:t>[Heading inserted in Gazette 5 Jul 2016 p. 2815.]</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zyTableNAm"/>
              <w:rPr>
                <w:b/>
              </w:rPr>
            </w:pPr>
          </w:p>
        </w:tc>
        <w:tc>
          <w:tcPr>
            <w:tcW w:w="5245" w:type="dxa"/>
          </w:tcPr>
          <w:p>
            <w:pPr>
              <w:pStyle w:val="zyTableNAm"/>
              <w:rPr>
                <w:b/>
              </w:rPr>
            </w:pPr>
          </w:p>
        </w:tc>
        <w:tc>
          <w:tcPr>
            <w:tcW w:w="992" w:type="dxa"/>
          </w:tcPr>
          <w:p>
            <w:pPr>
              <w:pStyle w:val="yTableNAm"/>
              <w:jc w:val="center"/>
              <w:rPr>
                <w:b/>
              </w:rP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992" w:type="dxa"/>
          </w:tcPr>
          <w:p>
            <w:pPr>
              <w:pStyle w:val="yTableNAm"/>
              <w:jc w:val="center"/>
            </w:pPr>
            <w:r>
              <w:t>21.00</w:t>
            </w:r>
          </w:p>
        </w:tc>
      </w:tr>
      <w:tr>
        <w:trPr>
          <w:cantSplit/>
        </w:trPr>
        <w:tc>
          <w:tcPr>
            <w:tcW w:w="709" w:type="dxa"/>
          </w:tcPr>
          <w:p>
            <w:pPr>
              <w:pStyle w:val="yTableNAm"/>
            </w:pPr>
            <w:r>
              <w:t>2.</w:t>
            </w:r>
          </w:p>
        </w:tc>
        <w:tc>
          <w:tcPr>
            <w:tcW w:w="5245" w:type="dxa"/>
          </w:tcPr>
          <w:p>
            <w:pPr>
              <w:pStyle w:val="yTableNAm"/>
            </w:pPr>
            <w:r>
              <w:t xml:space="preserve">For person of more than 5 and less than 16 years of age </w:t>
            </w:r>
          </w:p>
        </w:tc>
        <w:tc>
          <w:tcPr>
            <w:tcW w:w="992" w:type="dxa"/>
          </w:tcPr>
          <w:p>
            <w:pPr>
              <w:pStyle w:val="yTableNAm"/>
              <w:jc w:val="center"/>
            </w:pPr>
            <w:r>
              <w:t>10.50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tcPr>
          <w:p>
            <w:pPr>
              <w:pStyle w:val="yTableNAm"/>
              <w:jc w:val="center"/>
            </w:pPr>
            <w:r>
              <w:br/>
              <w:t>52.50</w:t>
            </w:r>
          </w:p>
        </w:tc>
      </w:tr>
      <w:tr>
        <w:trPr>
          <w:cantSplit/>
        </w:trP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15.50</w:t>
            </w:r>
          </w:p>
        </w:tc>
      </w:tr>
    </w:tbl>
    <w:p>
      <w:pPr>
        <w:pStyle w:val="yFootnotesection"/>
      </w:pPr>
      <w:r>
        <w:tab/>
        <w:t>[Division 3 inserted in Gazette 5 Jul 2016 p. 2815.]</w:t>
      </w:r>
    </w:p>
    <w:p>
      <w:pPr>
        <w:pStyle w:val="yHeading3"/>
        <w:rPr>
          <w:rStyle w:val="CharSDivText"/>
        </w:rPr>
      </w:pPr>
      <w:bookmarkStart w:id="530" w:name="_Toc491954730"/>
      <w:bookmarkStart w:id="531" w:name="_Toc491956884"/>
      <w:bookmarkStart w:id="532" w:name="_Toc473019329"/>
      <w:bookmarkStart w:id="533" w:name="_Toc473036067"/>
      <w:r>
        <w:rPr>
          <w:rStyle w:val="CharSDivNo"/>
        </w:rPr>
        <w:t>Division 4</w:t>
      </w:r>
      <w:r>
        <w:rPr>
          <w:b w:val="0"/>
        </w:rPr>
        <w:t> — </w:t>
      </w:r>
      <w:r>
        <w:rPr>
          <w:rStyle w:val="CharSDivText"/>
        </w:rPr>
        <w:t>Fees for Geikie Gorge National Park Boat Trip</w:t>
      </w:r>
      <w:bookmarkEnd w:id="530"/>
      <w:bookmarkEnd w:id="531"/>
      <w:bookmarkEnd w:id="532"/>
      <w:bookmarkEnd w:id="533"/>
    </w:p>
    <w:p>
      <w:pPr>
        <w:pStyle w:val="yFootnoteheading"/>
        <w:keepNext/>
        <w:keepLines/>
        <w:spacing w:after="60"/>
        <w:rPr>
          <w:snapToGrid w:val="0"/>
        </w:rPr>
      </w:pPr>
      <w:r>
        <w:tab/>
        <w:t>[Heading inserted in Gazette 5 Jul 2016 p. 2816.]</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c>
          <w:tcPr>
            <w:tcW w:w="709" w:type="dxa"/>
          </w:tcPr>
          <w:p>
            <w:pPr>
              <w:pStyle w:val="zyTableNAm"/>
            </w:pPr>
          </w:p>
        </w:tc>
        <w:tc>
          <w:tcPr>
            <w:tcW w:w="5245" w:type="dxa"/>
          </w:tcPr>
          <w:p>
            <w:pPr>
              <w:pStyle w:val="zyTableNAm"/>
            </w:pPr>
          </w:p>
        </w:tc>
        <w:tc>
          <w:tcPr>
            <w:tcW w:w="992" w:type="dxa"/>
          </w:tcPr>
          <w:p>
            <w:pPr>
              <w:pStyle w:val="yTableNAm"/>
              <w:jc w:val="center"/>
            </w:pPr>
            <w:r>
              <w:rPr>
                <w:b/>
              </w:rPr>
              <w:t>$</w:t>
            </w:r>
          </w:p>
        </w:tc>
      </w:tr>
      <w:tr>
        <w:tc>
          <w:tcPr>
            <w:tcW w:w="709" w:type="dxa"/>
          </w:tcPr>
          <w:p>
            <w:pPr>
              <w:pStyle w:val="yTableNAm"/>
            </w:pPr>
            <w:r>
              <w:t>1.</w:t>
            </w:r>
          </w:p>
        </w:tc>
        <w:tc>
          <w:tcPr>
            <w:tcW w:w="5245" w:type="dxa"/>
          </w:tcPr>
          <w:p>
            <w:pPr>
              <w:pStyle w:val="yTableNAm"/>
            </w:pPr>
            <w:r>
              <w:t>For person 16 years of age and over</w:t>
            </w:r>
          </w:p>
        </w:tc>
        <w:tc>
          <w:tcPr>
            <w:tcW w:w="992" w:type="dxa"/>
          </w:tcPr>
          <w:p>
            <w:pPr>
              <w:pStyle w:val="yTableNAm"/>
              <w:jc w:val="center"/>
            </w:pPr>
            <w:r>
              <w:t>45.00</w:t>
            </w:r>
          </w:p>
        </w:tc>
      </w:tr>
      <w:tr>
        <w:trPr>
          <w:cantSplit/>
        </w:trPr>
        <w:tc>
          <w:tcPr>
            <w:tcW w:w="709" w:type="dxa"/>
          </w:tcPr>
          <w:p>
            <w:pPr>
              <w:pStyle w:val="yTableNAm"/>
            </w:pPr>
            <w:r>
              <w:t>2.</w:t>
            </w:r>
          </w:p>
        </w:tc>
        <w:tc>
          <w:tcPr>
            <w:tcW w:w="5245" w:type="dxa"/>
          </w:tcPr>
          <w:p>
            <w:pPr>
              <w:pStyle w:val="yTableNAm"/>
            </w:pPr>
            <w:r>
              <w:t>For person of more than 5 and less than 16 years of age</w:t>
            </w:r>
          </w:p>
        </w:tc>
        <w:tc>
          <w:tcPr>
            <w:tcW w:w="992" w:type="dxa"/>
          </w:tcPr>
          <w:p>
            <w:pPr>
              <w:pStyle w:val="yTableNAm"/>
              <w:jc w:val="center"/>
            </w:pPr>
            <w:r>
              <w:t>12.00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tcPr>
          <w:p>
            <w:pPr>
              <w:pStyle w:val="yTableNAm"/>
              <w:jc w:val="center"/>
            </w:pPr>
            <w:r>
              <w:br/>
              <w:t>100.00</w:t>
            </w:r>
          </w:p>
        </w:tc>
      </w:tr>
      <w:t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32.00</w:t>
            </w:r>
          </w:p>
        </w:tc>
      </w:tr>
    </w:tbl>
    <w:p>
      <w:pPr>
        <w:pStyle w:val="yFootnotesection"/>
      </w:pPr>
      <w:r>
        <w:tab/>
        <w:t>[Division 4 inserted in Gazette 5 Jul 2016 p. 2816.]</w:t>
      </w:r>
    </w:p>
    <w:p>
      <w:pPr>
        <w:pStyle w:val="yHeading3"/>
      </w:pPr>
      <w:bookmarkStart w:id="534" w:name="_Toc491954731"/>
      <w:bookmarkStart w:id="535" w:name="_Toc491956885"/>
      <w:bookmarkStart w:id="536" w:name="_Toc473019330"/>
      <w:bookmarkStart w:id="537" w:name="_Toc473036068"/>
      <w:r>
        <w:rPr>
          <w:rStyle w:val="CharSDivNo"/>
        </w:rPr>
        <w:t>Division 5</w:t>
      </w:r>
      <w:r>
        <w:rPr>
          <w:b w:val="0"/>
        </w:rPr>
        <w:t> — </w:t>
      </w:r>
      <w:r>
        <w:rPr>
          <w:rStyle w:val="CharSDivText"/>
        </w:rPr>
        <w:t>Horse riding</w:t>
      </w:r>
      <w:bookmarkEnd w:id="534"/>
      <w:bookmarkEnd w:id="535"/>
      <w:bookmarkEnd w:id="536"/>
      <w:bookmarkEnd w:id="537"/>
    </w:p>
    <w:p>
      <w:pPr>
        <w:pStyle w:val="yFootnoteheading"/>
        <w:keepNext/>
        <w:keepLines/>
        <w:spacing w:after="60"/>
        <w:rPr>
          <w:snapToGrid w:val="0"/>
        </w:rPr>
      </w:pPr>
      <w:r>
        <w:tab/>
        <w:t>[Heading inserted in Gazette 5 Jul 2016 p. 2816.]</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zyTableNAm"/>
            </w:pPr>
          </w:p>
        </w:tc>
        <w:tc>
          <w:tcPr>
            <w:tcW w:w="5245" w:type="dxa"/>
          </w:tcPr>
          <w:p>
            <w:pPr>
              <w:pStyle w:val="z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Daily fee for one person</w:t>
            </w:r>
          </w:p>
        </w:tc>
        <w:tc>
          <w:tcPr>
            <w:tcW w:w="992" w:type="dxa"/>
          </w:tcPr>
          <w:p>
            <w:pPr>
              <w:pStyle w:val="yTableNAm"/>
              <w:jc w:val="center"/>
            </w:pPr>
            <w:r>
              <w:t>9.00</w:t>
            </w:r>
          </w:p>
        </w:tc>
      </w:tr>
      <w:tr>
        <w:tc>
          <w:tcPr>
            <w:tcW w:w="709" w:type="dxa"/>
          </w:tcPr>
          <w:p>
            <w:pPr>
              <w:pStyle w:val="yTableNAm"/>
            </w:pPr>
            <w:r>
              <w:t>2.</w:t>
            </w:r>
          </w:p>
        </w:tc>
        <w:tc>
          <w:tcPr>
            <w:tcW w:w="5245" w:type="dxa"/>
          </w:tcPr>
          <w:p>
            <w:pPr>
              <w:pStyle w:val="yTableNAm"/>
            </w:pPr>
            <w:r>
              <w:t>Annual pass for family</w:t>
            </w:r>
          </w:p>
        </w:tc>
        <w:tc>
          <w:tcPr>
            <w:tcW w:w="992" w:type="dxa"/>
          </w:tcPr>
          <w:p>
            <w:pPr>
              <w:pStyle w:val="yTableNAm"/>
              <w:jc w:val="center"/>
            </w:pPr>
            <w:r>
              <w:t>60.00</w:t>
            </w:r>
          </w:p>
        </w:tc>
      </w:tr>
    </w:tbl>
    <w:p>
      <w:pPr>
        <w:pStyle w:val="yFootnotesection"/>
      </w:pPr>
      <w:r>
        <w:tab/>
        <w:t>[Division 5 inserted in Gazette 5 Jul 2016 p. 2816.]</w:t>
      </w:r>
    </w:p>
    <w:p>
      <w:pPr>
        <w:pStyle w:val="yHeading3"/>
        <w:rPr>
          <w:snapToGrid w:val="0"/>
        </w:rPr>
      </w:pPr>
      <w:bookmarkStart w:id="538" w:name="_Toc491954732"/>
      <w:bookmarkStart w:id="539" w:name="_Toc491956886"/>
      <w:bookmarkStart w:id="540" w:name="_Toc473019331"/>
      <w:bookmarkStart w:id="541" w:name="_Toc473036069"/>
      <w:r>
        <w:rPr>
          <w:rStyle w:val="CharSDivNo"/>
        </w:rPr>
        <w:t>Division 6</w:t>
      </w:r>
      <w:r>
        <w:rPr>
          <w:snapToGrid w:val="0"/>
        </w:rPr>
        <w:t> — </w:t>
      </w:r>
      <w:r>
        <w:rPr>
          <w:rStyle w:val="CharSDivText"/>
        </w:rPr>
        <w:t>Camping site fees</w:t>
      </w:r>
      <w:bookmarkEnd w:id="538"/>
      <w:bookmarkEnd w:id="539"/>
      <w:bookmarkEnd w:id="540"/>
      <w:bookmarkEnd w:id="541"/>
    </w:p>
    <w:p>
      <w:pPr>
        <w:pStyle w:val="yFootnoteheading"/>
        <w:keepNext/>
        <w:keepLines/>
        <w:spacing w:after="60"/>
        <w:rPr>
          <w:snapToGrid w:val="0"/>
        </w:rPr>
      </w:pPr>
      <w:r>
        <w:tab/>
        <w:t>[Heading inserted in Gazette 27 Sep 2013 p. 4527.]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zyTableNAm"/>
              <w:keepNext/>
              <w:keepLines/>
            </w:pPr>
          </w:p>
        </w:tc>
        <w:tc>
          <w:tcPr>
            <w:tcW w:w="5245" w:type="dxa"/>
          </w:tcPr>
          <w:p>
            <w:pPr>
              <w:pStyle w:val="zyTableNAm"/>
              <w:keepNext/>
              <w:keepLines/>
            </w:pPr>
          </w:p>
        </w:tc>
        <w:tc>
          <w:tcPr>
            <w:tcW w:w="992" w:type="dxa"/>
            <w:vAlign w:val="center"/>
          </w:tcPr>
          <w:p>
            <w:pPr>
              <w:pStyle w:val="yTableNAm"/>
              <w:jc w:val="center"/>
            </w:pPr>
            <w:r>
              <w:rPr>
                <w:b/>
              </w:rPr>
              <w:t>Fee per night</w:t>
            </w:r>
            <w:r>
              <w:rPr>
                <w:b/>
              </w:rPr>
              <w:br/>
              <w:t>$</w:t>
            </w:r>
          </w:p>
        </w:tc>
      </w:tr>
      <w:tr>
        <w:trPr>
          <w:cantSplit/>
        </w:trPr>
        <w:tc>
          <w:tcPr>
            <w:tcW w:w="709" w:type="dxa"/>
          </w:tcPr>
          <w:p>
            <w:pPr>
              <w:pStyle w:val="yTableNAm"/>
            </w:pPr>
            <w:r>
              <w:t>1.</w:t>
            </w:r>
          </w:p>
        </w:tc>
        <w:tc>
          <w:tcPr>
            <w:tcW w:w="5245" w:type="dxa"/>
          </w:tcPr>
          <w:p>
            <w:pPr>
              <w:pStyle w:val="yTableNAm"/>
            </w:pPr>
            <w:r>
              <w:t xml:space="preserve">Fee for site without facilities or with only basic facilities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br/>
            </w:r>
            <w:del w:id="542" w:author="Master Repository Process" w:date="2021-07-31T20:58:00Z">
              <w:r>
                <w:delText>7.50</w:delText>
              </w:r>
            </w:del>
            <w:ins w:id="543" w:author="Master Repository Process" w:date="2021-07-31T20:58:00Z">
              <w:r>
                <w:rPr>
                  <w:szCs w:val="22"/>
                </w:rPr>
                <w:t>8.00</w:t>
              </w:r>
            </w:ins>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r>
            <w:del w:id="544" w:author="Master Repository Process" w:date="2021-07-31T20:58:00Z">
              <w:r>
                <w:delText>5.50</w:delText>
              </w:r>
            </w:del>
            <w:ins w:id="545" w:author="Master Repository Process" w:date="2021-07-31T20:58:00Z">
              <w:r>
                <w:rPr>
                  <w:szCs w:val="22"/>
                </w:rPr>
                <w:t>6.00</w:t>
              </w:r>
            </w:ins>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r>
            <w:del w:id="546" w:author="Master Repository Process" w:date="2021-07-31T20:58:00Z">
              <w:r>
                <w:delText>2.20</w:delText>
              </w:r>
            </w:del>
            <w:ins w:id="547" w:author="Master Repository Process" w:date="2021-07-31T20:58:00Z">
              <w:r>
                <w:rPr>
                  <w:szCs w:val="22"/>
                </w:rPr>
                <w:t>3.00</w:t>
              </w:r>
            </w:ins>
          </w:p>
        </w:tc>
      </w:tr>
      <w:tr>
        <w:trPr>
          <w:cantSplit/>
        </w:trPr>
        <w:tc>
          <w:tcPr>
            <w:tcW w:w="709" w:type="dxa"/>
          </w:tcPr>
          <w:p>
            <w:pPr>
              <w:pStyle w:val="yTableNAm"/>
            </w:pPr>
            <w:r>
              <w:t xml:space="preserve">2. </w:t>
            </w:r>
          </w:p>
        </w:tc>
        <w:tc>
          <w:tcPr>
            <w:tcW w:w="5245" w:type="dxa"/>
          </w:tcPr>
          <w:p>
            <w:pPr>
              <w:pStyle w:val="yTableNAm"/>
            </w:pPr>
            <w:r>
              <w:t xml:space="preserve">Fee for site with facilities such as ablutions or showers, camp kitchens or picnic shelters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br/>
            </w:r>
            <w:del w:id="548" w:author="Master Repository Process" w:date="2021-07-31T20:58:00Z">
              <w:r>
                <w:delText>10</w:delText>
              </w:r>
            </w:del>
            <w:ins w:id="549" w:author="Master Repository Process" w:date="2021-07-31T20:58:00Z">
              <w:r>
                <w:rPr>
                  <w:szCs w:val="22"/>
                </w:rPr>
                <w:t>11</w:t>
              </w:r>
            </w:ins>
            <w:r>
              <w:rPr>
                <w:szCs w:val="22"/>
              </w:rPr>
              <w:t>.00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r>
            <w:del w:id="550" w:author="Master Repository Process" w:date="2021-07-31T20:58:00Z">
              <w:r>
                <w:delText>6.60</w:delText>
              </w:r>
            </w:del>
            <w:ins w:id="551" w:author="Master Repository Process" w:date="2021-07-31T20:58:00Z">
              <w:r>
                <w:rPr>
                  <w:szCs w:val="22"/>
                </w:rPr>
                <w:t>7.00</w:t>
              </w:r>
            </w:ins>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r>
            <w:del w:id="552" w:author="Master Repository Process" w:date="2021-07-31T20:58:00Z">
              <w:r>
                <w:delText>2.20</w:delText>
              </w:r>
            </w:del>
            <w:ins w:id="553" w:author="Master Repository Process" w:date="2021-07-31T20:58:00Z">
              <w:r>
                <w:rPr>
                  <w:szCs w:val="22"/>
                </w:rPr>
                <w:t>3.00</w:t>
              </w:r>
            </w:ins>
          </w:p>
        </w:tc>
      </w:tr>
      <w:tr>
        <w:trPr>
          <w:cantSplit/>
        </w:trPr>
        <w:tc>
          <w:tcPr>
            <w:tcW w:w="709" w:type="dxa"/>
          </w:tcPr>
          <w:p>
            <w:pPr>
              <w:pStyle w:val="yTableNAm"/>
              <w:keepNext/>
              <w:keepLines/>
            </w:pPr>
            <w:r>
              <w:t>3.</w:t>
            </w:r>
          </w:p>
        </w:tc>
        <w:tc>
          <w:tcPr>
            <w:tcW w:w="5245" w:type="dxa"/>
          </w:tcPr>
          <w:p>
            <w:pPr>
              <w:pStyle w:val="yTableNAm"/>
              <w:keepNext/>
              <w:keepLines/>
            </w:pPr>
            <w:r>
              <w:t xml:space="preserve">Fee for site in Windjana Gorge National Park, Purnululu National Park or King Leopold Ranges Conservation Park — </w:t>
            </w:r>
          </w:p>
          <w:p>
            <w:pPr>
              <w:pStyle w:val="yTableNAm"/>
              <w:keepNext/>
              <w:keepLines/>
              <w:tabs>
                <w:tab w:val="clear" w:pos="567"/>
                <w:tab w:val="left" w:pos="417"/>
              </w:tabs>
              <w:ind w:left="417" w:hanging="417"/>
            </w:pPr>
            <w:r>
              <w:tab/>
              <w:t>each person 16 years of age or over</w:t>
            </w:r>
          </w:p>
        </w:tc>
        <w:tc>
          <w:tcPr>
            <w:tcW w:w="992" w:type="dxa"/>
            <w:vAlign w:val="center"/>
          </w:tcPr>
          <w:p>
            <w:pPr>
              <w:pStyle w:val="yTableNAm"/>
              <w:keepNext/>
              <w:jc w:val="center"/>
            </w:pPr>
          </w:p>
          <w:p>
            <w:pPr>
              <w:pStyle w:val="yTableNAm"/>
              <w:keepNext/>
              <w:jc w:val="center"/>
            </w:pPr>
            <w:r>
              <w:br/>
            </w:r>
            <w:r>
              <w:br/>
            </w:r>
            <w:del w:id="554" w:author="Master Repository Process" w:date="2021-07-31T20:58:00Z">
              <w:r>
                <w:delText>12</w:delText>
              </w:r>
            </w:del>
            <w:ins w:id="555" w:author="Master Repository Process" w:date="2021-07-31T20:58:00Z">
              <w:r>
                <w:rPr>
                  <w:szCs w:val="22"/>
                </w:rPr>
                <w:t>13</w:t>
              </w:r>
            </w:ins>
            <w:r>
              <w:rPr>
                <w:szCs w:val="22"/>
              </w:rPr>
              <w:t>.00</w:t>
            </w:r>
          </w:p>
        </w:tc>
      </w:tr>
      <w:tr>
        <w:trPr>
          <w:cantSplit/>
        </w:trPr>
        <w:tc>
          <w:tcPr>
            <w:tcW w:w="709" w:type="dxa"/>
          </w:tcPr>
          <w:p>
            <w:pPr>
              <w:pStyle w:val="zyTableNAm"/>
              <w:keepNext/>
            </w:pPr>
          </w:p>
        </w:tc>
        <w:tc>
          <w:tcPr>
            <w:tcW w:w="5245" w:type="dxa"/>
          </w:tcPr>
          <w:p>
            <w:pPr>
              <w:pStyle w:val="yTableNAm"/>
              <w:keepNext/>
              <w:tabs>
                <w:tab w:val="clear" w:pos="567"/>
                <w:tab w:val="left" w:pos="417"/>
              </w:tabs>
              <w:ind w:left="417" w:hanging="417"/>
            </w:pPr>
            <w:r>
              <w:tab/>
              <w:t>each person 16 years of age or over who holds a concession card</w:t>
            </w:r>
          </w:p>
        </w:tc>
        <w:tc>
          <w:tcPr>
            <w:tcW w:w="992" w:type="dxa"/>
            <w:vAlign w:val="center"/>
          </w:tcPr>
          <w:p>
            <w:pPr>
              <w:pStyle w:val="yTableNAm"/>
              <w:keepNext/>
              <w:jc w:val="center"/>
            </w:pPr>
            <w:r>
              <w:br/>
            </w:r>
            <w:del w:id="556" w:author="Master Repository Process" w:date="2021-07-31T20:58:00Z">
              <w:r>
                <w:delText>8.80</w:delText>
              </w:r>
            </w:del>
            <w:ins w:id="557" w:author="Master Repository Process" w:date="2021-07-31T20:58:00Z">
              <w:r>
                <w:rPr>
                  <w:szCs w:val="22"/>
                </w:rPr>
                <w:t>10.00</w:t>
              </w:r>
            </w:ins>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r>
            <w:del w:id="558" w:author="Master Repository Process" w:date="2021-07-31T20:58:00Z">
              <w:r>
                <w:delText>2.20</w:delText>
              </w:r>
            </w:del>
            <w:ins w:id="559" w:author="Master Repository Process" w:date="2021-07-31T20:58:00Z">
              <w:r>
                <w:rPr>
                  <w:szCs w:val="22"/>
                </w:rPr>
                <w:t>3.00</w:t>
              </w:r>
            </w:ins>
          </w:p>
        </w:tc>
      </w:tr>
      <w:tr>
        <w:trPr>
          <w:cantSplit/>
        </w:trPr>
        <w:tc>
          <w:tcPr>
            <w:tcW w:w="709" w:type="dxa"/>
          </w:tcPr>
          <w:p>
            <w:pPr>
              <w:pStyle w:val="yTableNAm"/>
            </w:pPr>
            <w:r>
              <w:t>4.</w:t>
            </w:r>
          </w:p>
        </w:tc>
        <w:tc>
          <w:tcPr>
            <w:tcW w:w="5245" w:type="dxa"/>
          </w:tcPr>
          <w:p>
            <w:pPr>
              <w:pStyle w:val="yTableNAm"/>
            </w:pPr>
            <w:r>
              <w:t xml:space="preserve">Fee for site in Dirk Hartog Island National Park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del w:id="560" w:author="Master Repository Process" w:date="2021-07-31T20:58:00Z">
              <w:r>
                <w:delText>19</w:delText>
              </w:r>
            </w:del>
            <w:ins w:id="561" w:author="Master Repository Process" w:date="2021-07-31T20:58:00Z">
              <w:r>
                <w:rPr>
                  <w:szCs w:val="22"/>
                </w:rPr>
                <w:t>20</w:t>
              </w:r>
            </w:ins>
            <w:r>
              <w:rPr>
                <w:szCs w:val="22"/>
              </w:rPr>
              <w:t>.00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r>
            <w:del w:id="562" w:author="Master Repository Process" w:date="2021-07-31T20:58:00Z">
              <w:r>
                <w:delText>13.50</w:delText>
              </w:r>
            </w:del>
            <w:ins w:id="563" w:author="Master Repository Process" w:date="2021-07-31T20:58:00Z">
              <w:r>
                <w:rPr>
                  <w:szCs w:val="22"/>
                </w:rPr>
                <w:t>15.00</w:t>
              </w:r>
            </w:ins>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r>
            <w:del w:id="564" w:author="Master Repository Process" w:date="2021-07-31T20:58:00Z">
              <w:r>
                <w:delText>2</w:delText>
              </w:r>
            </w:del>
            <w:ins w:id="565" w:author="Master Repository Process" w:date="2021-07-31T20:58:00Z">
              <w:r>
                <w:rPr>
                  <w:szCs w:val="22"/>
                </w:rPr>
                <w:t>3</w:t>
              </w:r>
            </w:ins>
            <w:r>
              <w:rPr>
                <w:szCs w:val="22"/>
              </w:rPr>
              <w:t>.00</w:t>
            </w:r>
          </w:p>
        </w:tc>
      </w:tr>
    </w:tbl>
    <w:p>
      <w:pPr>
        <w:pStyle w:val="yFootnotesection"/>
      </w:pPr>
      <w:r>
        <w:tab/>
        <w:t>[Division 6 inserted in Gazette 27 Sep 2013 p. 4527-8</w:t>
      </w:r>
      <w:ins w:id="566" w:author="Master Repository Process" w:date="2021-07-31T20:58:00Z">
        <w:r>
          <w:t>; amended in Gazette 1 Sep 2017 p. 4650</w:t>
        </w:r>
        <w:r>
          <w:noBreakHyphen/>
          <w:t>1</w:t>
        </w:r>
      </w:ins>
      <w:r>
        <w:t>.]</w:t>
      </w:r>
    </w:p>
    <w:p>
      <w:pPr>
        <w:pStyle w:val="yHeading3"/>
        <w:rPr>
          <w:rStyle w:val="CharSDivText"/>
        </w:rPr>
      </w:pPr>
      <w:bookmarkStart w:id="567" w:name="_Toc491954733"/>
      <w:bookmarkStart w:id="568" w:name="_Toc491956887"/>
      <w:bookmarkStart w:id="569" w:name="_Toc473019332"/>
      <w:bookmarkStart w:id="570" w:name="_Toc473036070"/>
      <w:r>
        <w:rPr>
          <w:rStyle w:val="CharSDivNo"/>
        </w:rPr>
        <w:t>Division 7</w:t>
      </w:r>
      <w:r>
        <w:rPr>
          <w:b w:val="0"/>
        </w:rPr>
        <w:t> — </w:t>
      </w:r>
      <w:r>
        <w:rPr>
          <w:rStyle w:val="CharSDivText"/>
        </w:rPr>
        <w:t>Cave entrance fees</w:t>
      </w:r>
      <w:bookmarkEnd w:id="567"/>
      <w:bookmarkEnd w:id="568"/>
      <w:bookmarkEnd w:id="569"/>
      <w:bookmarkEnd w:id="570"/>
    </w:p>
    <w:p>
      <w:pPr>
        <w:pStyle w:val="yFootnoteheading"/>
        <w:keepNext/>
        <w:keepLines/>
        <w:spacing w:after="60"/>
        <w:rPr>
          <w:snapToGrid w:val="0"/>
        </w:rPr>
      </w:pPr>
      <w:r>
        <w:tab/>
        <w:t>[Heading inserted in Gazette 5 Jul 2016 p. 2816.]</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zyTableNAm"/>
            </w:pPr>
          </w:p>
        </w:tc>
        <w:tc>
          <w:tcPr>
            <w:tcW w:w="5245" w:type="dxa"/>
          </w:tcPr>
          <w:p>
            <w:pPr>
              <w:pStyle w:val="zyTableNAm"/>
            </w:pPr>
          </w:p>
        </w:tc>
        <w:tc>
          <w:tcPr>
            <w:tcW w:w="992" w:type="dxa"/>
          </w:tcPr>
          <w:p>
            <w:pPr>
              <w:pStyle w:val="yTableNAm"/>
              <w:jc w:val="center"/>
            </w:pPr>
            <w:r>
              <w:rPr>
                <w:b/>
                <w:bCs/>
              </w:rPr>
              <w:t>$</w:t>
            </w:r>
          </w:p>
        </w:tc>
      </w:tr>
      <w:tr>
        <w:tc>
          <w:tcPr>
            <w:tcW w:w="709" w:type="dxa"/>
          </w:tcPr>
          <w:p>
            <w:pPr>
              <w:pStyle w:val="yTableNAm"/>
            </w:pPr>
            <w:r>
              <w:t>1.</w:t>
            </w:r>
          </w:p>
        </w:tc>
        <w:tc>
          <w:tcPr>
            <w:tcW w:w="5245" w:type="dxa"/>
          </w:tcPr>
          <w:p>
            <w:pPr>
              <w:pStyle w:val="yTableNAm"/>
            </w:pPr>
            <w:r>
              <w:t xml:space="preserve">Crystal Cave, Yanchep National Park — </w:t>
            </w:r>
          </w:p>
          <w:p>
            <w:pPr>
              <w:pStyle w:val="yTableNAm"/>
              <w:tabs>
                <w:tab w:val="clear" w:pos="567"/>
                <w:tab w:val="left" w:pos="417"/>
              </w:tabs>
              <w:ind w:left="417" w:hanging="417"/>
            </w:pPr>
            <w:r>
              <w:tab/>
              <w:t>each person 16 years of age or over</w:t>
            </w:r>
          </w:p>
          <w:p>
            <w:pPr>
              <w:pStyle w:val="yTableNAm"/>
              <w:tabs>
                <w:tab w:val="clear" w:pos="567"/>
                <w:tab w:val="left" w:pos="417"/>
              </w:tabs>
              <w:ind w:left="417" w:hanging="417"/>
            </w:pPr>
            <w:r>
              <w:tab/>
              <w:t>each person of more than 5 and less than 16 years of age</w:t>
            </w:r>
          </w:p>
          <w:p>
            <w:pPr>
              <w:pStyle w:val="yTableNAm"/>
              <w:tabs>
                <w:tab w:val="clear" w:pos="567"/>
                <w:tab w:val="left" w:pos="417"/>
              </w:tabs>
              <w:ind w:left="417" w:hanging="417"/>
            </w:pPr>
            <w:r>
              <w:tab/>
              <w:t>a family (2 adults and 2 children of more than 5 and less than 16 years of age)</w:t>
            </w:r>
          </w:p>
          <w:p>
            <w:pPr>
              <w:pStyle w:val="yTableNAm"/>
            </w:pPr>
            <w:r>
              <w:tab/>
              <w:t>each person who holds a concession card</w:t>
            </w:r>
          </w:p>
        </w:tc>
        <w:tc>
          <w:tcPr>
            <w:tcW w:w="992" w:type="dxa"/>
          </w:tcPr>
          <w:p>
            <w:pPr>
              <w:pStyle w:val="yTableNAm"/>
              <w:jc w:val="center"/>
            </w:pPr>
          </w:p>
          <w:p>
            <w:pPr>
              <w:pStyle w:val="yTableNAm"/>
              <w:jc w:val="center"/>
            </w:pPr>
            <w:r>
              <w:t>15.00</w:t>
            </w:r>
          </w:p>
          <w:p>
            <w:pPr>
              <w:pStyle w:val="yTableNAm"/>
              <w:jc w:val="center"/>
            </w:pPr>
            <w:r>
              <w:br/>
              <w:t>7.50</w:t>
            </w:r>
          </w:p>
          <w:p>
            <w:pPr>
              <w:pStyle w:val="yTableNAm"/>
              <w:jc w:val="center"/>
            </w:pPr>
            <w:r>
              <w:br/>
              <w:t>37.50</w:t>
            </w:r>
          </w:p>
          <w:p>
            <w:pPr>
              <w:pStyle w:val="yTableNAm"/>
              <w:jc w:val="center"/>
              <w:rPr>
                <w:bCs/>
              </w:rPr>
            </w:pPr>
            <w:r>
              <w:t>11.50</w:t>
            </w:r>
          </w:p>
        </w:tc>
      </w:tr>
      <w:tr>
        <w:trPr>
          <w:cantSplit/>
        </w:trPr>
        <w:tc>
          <w:tcPr>
            <w:tcW w:w="709" w:type="dxa"/>
          </w:tcPr>
          <w:p>
            <w:pPr>
              <w:pStyle w:val="yTableNAm"/>
            </w:pPr>
            <w:r>
              <w:t>2.</w:t>
            </w:r>
          </w:p>
        </w:tc>
        <w:tc>
          <w:tcPr>
            <w:tcW w:w="5245" w:type="dxa"/>
          </w:tcPr>
          <w:p>
            <w:pPr>
              <w:pStyle w:val="yTableNAm"/>
            </w:pPr>
            <w:r>
              <w:t>Calgardup and Giants Caves, Leeuwin</w:t>
            </w:r>
            <w:r>
              <w:noBreakHyphen/>
              <w:t>Naturaliste National Park —</w:t>
            </w:r>
          </w:p>
          <w:p>
            <w:pPr>
              <w:pStyle w:val="yTableNAm"/>
              <w:tabs>
                <w:tab w:val="clear" w:pos="567"/>
                <w:tab w:val="left" w:pos="417"/>
              </w:tabs>
              <w:ind w:left="417" w:hanging="417"/>
            </w:pPr>
            <w:r>
              <w:tab/>
              <w:t>each person 16 years of age or over</w:t>
            </w:r>
          </w:p>
        </w:tc>
        <w:tc>
          <w:tcPr>
            <w:tcW w:w="992" w:type="dxa"/>
            <w:vAlign w:val="bottom"/>
          </w:tcPr>
          <w:p>
            <w:pPr>
              <w:pStyle w:val="yTableNAm"/>
              <w:jc w:val="center"/>
            </w:pPr>
            <w:r>
              <w:t>18.00</w:t>
            </w:r>
          </w:p>
        </w:tc>
      </w:tr>
      <w:t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bottom"/>
          </w:tcPr>
          <w:p>
            <w:pPr>
              <w:pStyle w:val="yTableNAm"/>
              <w:jc w:val="center"/>
            </w:pPr>
            <w:r>
              <w:t>9.00</w:t>
            </w:r>
          </w:p>
        </w:tc>
      </w:tr>
      <w:tr>
        <w:tc>
          <w:tcPr>
            <w:tcW w:w="709" w:type="dxa"/>
          </w:tcPr>
          <w:p>
            <w:pPr>
              <w:pStyle w:val="zyTableNAm"/>
              <w:keepNext/>
            </w:pPr>
          </w:p>
        </w:tc>
        <w:tc>
          <w:tcPr>
            <w:tcW w:w="5245" w:type="dxa"/>
          </w:tcPr>
          <w:p>
            <w:pPr>
              <w:pStyle w:val="yTableNAm"/>
              <w:keepNext/>
              <w:tabs>
                <w:tab w:val="clear" w:pos="567"/>
                <w:tab w:val="left" w:pos="417"/>
              </w:tabs>
              <w:ind w:left="417" w:hanging="417"/>
            </w:pPr>
            <w:r>
              <w:tab/>
              <w:t>a family (2 adults and 2 children of more than 5 and less than 16 years of age)</w:t>
            </w:r>
          </w:p>
        </w:tc>
        <w:tc>
          <w:tcPr>
            <w:tcW w:w="992" w:type="dxa"/>
            <w:vAlign w:val="bottom"/>
          </w:tcPr>
          <w:p>
            <w:pPr>
              <w:pStyle w:val="yTableNAm"/>
              <w:keepNext/>
              <w:jc w:val="center"/>
            </w:pPr>
            <w:r>
              <w:t>45.00</w:t>
            </w:r>
          </w:p>
        </w:tc>
      </w:tr>
      <w:tr>
        <w:tc>
          <w:tcPr>
            <w:tcW w:w="709" w:type="dxa"/>
          </w:tcPr>
          <w:p>
            <w:pPr>
              <w:pStyle w:val="zyTableNAm"/>
              <w:keepNext/>
            </w:pPr>
          </w:p>
        </w:tc>
        <w:tc>
          <w:tcPr>
            <w:tcW w:w="5245" w:type="dxa"/>
          </w:tcPr>
          <w:p>
            <w:pPr>
              <w:pStyle w:val="yTableNAm"/>
              <w:keepNext/>
            </w:pPr>
            <w:r>
              <w:tab/>
              <w:t>each person who holds a concession card</w:t>
            </w:r>
          </w:p>
        </w:tc>
        <w:tc>
          <w:tcPr>
            <w:tcW w:w="992" w:type="dxa"/>
            <w:vAlign w:val="bottom"/>
          </w:tcPr>
          <w:p>
            <w:pPr>
              <w:pStyle w:val="yTableNAm"/>
              <w:keepNext/>
              <w:jc w:val="center"/>
            </w:pPr>
            <w:r>
              <w:t>12.00</w:t>
            </w:r>
          </w:p>
        </w:tc>
      </w:tr>
    </w:tbl>
    <w:p>
      <w:pPr>
        <w:pStyle w:val="yFootnotesection"/>
      </w:pPr>
      <w:r>
        <w:tab/>
        <w:t>[Division 7 inserted in Gazette 5 Jul 2016 p. 2816.]</w:t>
      </w:r>
    </w:p>
    <w:p>
      <w:pPr>
        <w:pStyle w:val="yHeading3"/>
      </w:pPr>
      <w:bookmarkStart w:id="571" w:name="_Toc491954734"/>
      <w:bookmarkStart w:id="572" w:name="_Toc491956888"/>
      <w:bookmarkStart w:id="573" w:name="_Toc473019333"/>
      <w:bookmarkStart w:id="574" w:name="_Toc473036071"/>
      <w:r>
        <w:rPr>
          <w:rStyle w:val="CharSDivNo"/>
        </w:rPr>
        <w:t>Division 8</w:t>
      </w:r>
      <w:r>
        <w:t> — </w:t>
      </w:r>
      <w:r>
        <w:rPr>
          <w:rStyle w:val="CharSDivText"/>
        </w:rPr>
        <w:t>Licence and permit fees</w:t>
      </w:r>
      <w:bookmarkEnd w:id="571"/>
      <w:bookmarkEnd w:id="572"/>
      <w:bookmarkEnd w:id="573"/>
      <w:bookmarkEnd w:id="574"/>
    </w:p>
    <w:p>
      <w:pPr>
        <w:pStyle w:val="yFootnoteheading"/>
        <w:keepNext/>
        <w:keepLines/>
        <w:spacing w:after="60"/>
        <w:rPr>
          <w:snapToGrid w:val="0"/>
        </w:rPr>
      </w:pPr>
      <w:r>
        <w:tab/>
        <w:t>[Heading inserted in Gazette 27 Sep 2013 p. 4528.]</w:t>
      </w:r>
    </w:p>
    <w:tbl>
      <w:tblPr>
        <w:tblW w:w="0" w:type="auto"/>
        <w:tblInd w:w="250" w:type="dxa"/>
        <w:tblLayout w:type="fixed"/>
        <w:tblCellMar>
          <w:bottom w:w="113" w:type="dxa"/>
        </w:tblCellMar>
        <w:tblLook w:val="0000" w:firstRow="0" w:lastRow="0" w:firstColumn="0" w:lastColumn="0" w:noHBand="0" w:noVBand="0"/>
      </w:tblPr>
      <w:tblGrid>
        <w:gridCol w:w="709"/>
        <w:gridCol w:w="5245"/>
        <w:gridCol w:w="992"/>
      </w:tblGrid>
      <w:tr>
        <w:trPr>
          <w:tblHeader/>
        </w:trPr>
        <w:tc>
          <w:tcPr>
            <w:tcW w:w="709" w:type="dxa"/>
          </w:tcPr>
          <w:p>
            <w:pPr>
              <w:pStyle w:val="zyTableNAm"/>
              <w:jc w:val="center"/>
              <w:rPr>
                <w:b/>
                <w:bCs/>
              </w:rPr>
            </w:pPr>
          </w:p>
        </w:tc>
        <w:tc>
          <w:tcPr>
            <w:tcW w:w="5245" w:type="dxa"/>
          </w:tcPr>
          <w:p>
            <w:pPr>
              <w:pStyle w:val="zyTableNAm"/>
              <w:jc w:val="center"/>
              <w:rPr>
                <w:b/>
                <w:bCs/>
              </w:rPr>
            </w:pPr>
          </w:p>
        </w:tc>
        <w:tc>
          <w:tcPr>
            <w:tcW w:w="992" w:type="dxa"/>
          </w:tcPr>
          <w:p>
            <w:pPr>
              <w:pStyle w:val="yTableNAm"/>
              <w:jc w:val="center"/>
            </w:pPr>
            <w:r>
              <w:rPr>
                <w:b/>
                <w:bCs/>
              </w:rPr>
              <w:t>$</w:t>
            </w:r>
          </w:p>
        </w:tc>
      </w:tr>
      <w:tr>
        <w:tc>
          <w:tcPr>
            <w:tcW w:w="709" w:type="dxa"/>
          </w:tcPr>
          <w:p>
            <w:pPr>
              <w:pStyle w:val="yTableNAm"/>
            </w:pPr>
            <w:r>
              <w:t>1.</w:t>
            </w:r>
          </w:p>
        </w:tc>
        <w:tc>
          <w:tcPr>
            <w:tcW w:w="5245" w:type="dxa"/>
          </w:tcPr>
          <w:p>
            <w:pPr>
              <w:pStyle w:val="yTableNAm"/>
            </w:pPr>
            <w:r>
              <w:t>Application for cave permit per person per half day (r. 49)</w:t>
            </w:r>
          </w:p>
        </w:tc>
        <w:tc>
          <w:tcPr>
            <w:tcW w:w="992" w:type="dxa"/>
          </w:tcPr>
          <w:p>
            <w:pPr>
              <w:pStyle w:val="yTableNAm"/>
              <w:jc w:val="center"/>
            </w:pPr>
            <w:r>
              <w:br/>
              <w:t>6.00</w:t>
            </w:r>
          </w:p>
        </w:tc>
      </w:tr>
      <w:tr>
        <w:tc>
          <w:tcPr>
            <w:tcW w:w="709" w:type="dxa"/>
          </w:tcPr>
          <w:p>
            <w:pPr>
              <w:pStyle w:val="yTableNAm"/>
            </w:pPr>
            <w:r>
              <w:t>2.</w:t>
            </w:r>
          </w:p>
        </w:tc>
        <w:tc>
          <w:tcPr>
            <w:tcW w:w="5245" w:type="dxa"/>
          </w:tcPr>
          <w:p>
            <w:pPr>
              <w:pStyle w:val="yTableNAm"/>
            </w:pPr>
            <w:r>
              <w:t>Application for scientific purposes licence (r. 83)</w:t>
            </w:r>
          </w:p>
        </w:tc>
        <w:tc>
          <w:tcPr>
            <w:tcW w:w="992" w:type="dxa"/>
            <w:vAlign w:val="center"/>
          </w:tcPr>
          <w:p>
            <w:pPr>
              <w:pStyle w:val="yTableNAm"/>
              <w:jc w:val="center"/>
            </w:pPr>
            <w:r>
              <w:t>25.00</w:t>
            </w:r>
          </w:p>
        </w:tc>
      </w:tr>
      <w:tr>
        <w:tc>
          <w:tcPr>
            <w:tcW w:w="709" w:type="dxa"/>
          </w:tcPr>
          <w:p>
            <w:pPr>
              <w:pStyle w:val="yTableNAm"/>
            </w:pPr>
            <w:r>
              <w:t>3.</w:t>
            </w:r>
          </w:p>
        </w:tc>
        <w:tc>
          <w:tcPr>
            <w:tcW w:w="5245" w:type="dxa"/>
          </w:tcPr>
          <w:p>
            <w:pPr>
              <w:pStyle w:val="yTableNAm"/>
            </w:pPr>
            <w:r>
              <w:t>Application for renewal of scientific purposes licence (r. 92)</w:t>
            </w:r>
          </w:p>
        </w:tc>
        <w:tc>
          <w:tcPr>
            <w:tcW w:w="992" w:type="dxa"/>
            <w:vAlign w:val="center"/>
          </w:tcPr>
          <w:p>
            <w:pPr>
              <w:pStyle w:val="yTableNAm"/>
              <w:jc w:val="center"/>
            </w:pPr>
            <w:r>
              <w:t>25.00</w:t>
            </w:r>
          </w:p>
        </w:tc>
      </w:tr>
      <w:tr>
        <w:tc>
          <w:tcPr>
            <w:tcW w:w="709" w:type="dxa"/>
          </w:tcPr>
          <w:p>
            <w:pPr>
              <w:pStyle w:val="yTableNAm"/>
            </w:pPr>
            <w:r>
              <w:t>4.</w:t>
            </w:r>
          </w:p>
        </w:tc>
        <w:tc>
          <w:tcPr>
            <w:tcW w:w="5245" w:type="dxa"/>
          </w:tcPr>
          <w:p>
            <w:pPr>
              <w:pStyle w:val="yTableNAm"/>
            </w:pPr>
            <w:r>
              <w:t>Application for commercial operations licence (r. 83)</w:t>
            </w:r>
          </w:p>
        </w:tc>
        <w:tc>
          <w:tcPr>
            <w:tcW w:w="992" w:type="dxa"/>
            <w:vAlign w:val="center"/>
          </w:tcPr>
          <w:p>
            <w:pPr>
              <w:pStyle w:val="yTableNAm"/>
              <w:jc w:val="center"/>
            </w:pPr>
            <w:r>
              <w:t>115.00</w:t>
            </w:r>
          </w:p>
        </w:tc>
      </w:tr>
      <w:tr>
        <w:tc>
          <w:tcPr>
            <w:tcW w:w="709" w:type="dxa"/>
          </w:tcPr>
          <w:p>
            <w:pPr>
              <w:pStyle w:val="yTableNAm"/>
            </w:pPr>
            <w:r>
              <w:t>5.</w:t>
            </w:r>
          </w:p>
        </w:tc>
        <w:tc>
          <w:tcPr>
            <w:tcW w:w="5245" w:type="dxa"/>
          </w:tcPr>
          <w:p>
            <w:pPr>
              <w:pStyle w:val="yTableNAm"/>
            </w:pPr>
            <w:r>
              <w:t>Application for renewal of commercial operations licence (r. 97)</w:t>
            </w:r>
          </w:p>
        </w:tc>
        <w:tc>
          <w:tcPr>
            <w:tcW w:w="992" w:type="dxa"/>
          </w:tcPr>
          <w:p>
            <w:pPr>
              <w:pStyle w:val="yTableNAm"/>
              <w:jc w:val="center"/>
            </w:pPr>
            <w:r>
              <w:br/>
              <w:t>100.00</w:t>
            </w:r>
          </w:p>
        </w:tc>
      </w:tr>
      <w:tr>
        <w:tc>
          <w:tcPr>
            <w:tcW w:w="709" w:type="dxa"/>
          </w:tcPr>
          <w:p>
            <w:pPr>
              <w:pStyle w:val="yTableNAm"/>
            </w:pPr>
            <w:r>
              <w:t>6.</w:t>
            </w:r>
            <w:r>
              <w:tab/>
            </w:r>
          </w:p>
        </w:tc>
        <w:tc>
          <w:tcPr>
            <w:tcW w:w="5245" w:type="dxa"/>
          </w:tcPr>
          <w:p>
            <w:pPr>
              <w:pStyle w:val="yTableNAm"/>
            </w:pPr>
            <w:r>
              <w:t>Application for private mooring licence (r. 83)</w:t>
            </w:r>
          </w:p>
        </w:tc>
        <w:tc>
          <w:tcPr>
            <w:tcW w:w="992" w:type="dxa"/>
            <w:vAlign w:val="bottom"/>
          </w:tcPr>
          <w:p>
            <w:pPr>
              <w:pStyle w:val="yTableNAm"/>
              <w:jc w:val="center"/>
            </w:pPr>
            <w:r>
              <w:t>50.00</w:t>
            </w:r>
          </w:p>
        </w:tc>
      </w:tr>
    </w:tbl>
    <w:p>
      <w:pPr>
        <w:pStyle w:val="yFootnotesection"/>
      </w:pPr>
      <w:r>
        <w:tab/>
        <w:t>[Division 8 inserted in Gazette 27 Sep 2013 p. 4528-9; amended in Gazette 24 Mar 2015 p. 1043; 14 Jul 2015 p. 2788; 5 Jul 2016 p. 2816.]</w:t>
      </w:r>
    </w:p>
    <w:p>
      <w:pPr>
        <w:pStyle w:val="yHeading3"/>
        <w:rPr>
          <w:rStyle w:val="CharSDivText"/>
        </w:rPr>
      </w:pPr>
      <w:bookmarkStart w:id="575" w:name="_Toc491954735"/>
      <w:bookmarkStart w:id="576" w:name="_Toc491956889"/>
      <w:bookmarkStart w:id="577" w:name="_Toc473019334"/>
      <w:bookmarkStart w:id="578" w:name="_Toc473036072"/>
      <w:r>
        <w:rPr>
          <w:rStyle w:val="CharSDivNo"/>
        </w:rPr>
        <w:t>Division 9</w:t>
      </w:r>
      <w:r>
        <w:rPr>
          <w:b w:val="0"/>
        </w:rPr>
        <w:t> — </w:t>
      </w:r>
      <w:r>
        <w:rPr>
          <w:rStyle w:val="CharSDivText"/>
        </w:rPr>
        <w:t>Fees for abseiling</w:t>
      </w:r>
      <w:bookmarkEnd w:id="575"/>
      <w:bookmarkEnd w:id="576"/>
      <w:bookmarkEnd w:id="577"/>
      <w:bookmarkEnd w:id="578"/>
    </w:p>
    <w:p>
      <w:pPr>
        <w:pStyle w:val="yFootnoteheading"/>
        <w:keepNext/>
        <w:keepLines/>
        <w:spacing w:after="60"/>
        <w:rPr>
          <w:snapToGrid w:val="0"/>
        </w:rPr>
      </w:pPr>
      <w:r>
        <w:tab/>
        <w:t>[Heading inserted in Gazette 5 Jul 2016 p. 2817.]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zyTableNAm"/>
            </w:pPr>
          </w:p>
        </w:tc>
        <w:tc>
          <w:tcPr>
            <w:tcW w:w="5245" w:type="dxa"/>
          </w:tcPr>
          <w:p>
            <w:pPr>
              <w:pStyle w:val="z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Fee for abseiling other than at Wilyabrup Cliffs (r. 102A)</w:t>
            </w:r>
          </w:p>
          <w:p>
            <w:pPr>
              <w:pStyle w:val="yTableNAm"/>
              <w:tabs>
                <w:tab w:val="clear" w:pos="567"/>
                <w:tab w:val="left" w:pos="417"/>
              </w:tabs>
              <w:ind w:left="417" w:hanging="417"/>
            </w:pPr>
            <w:r>
              <w:tab/>
              <w:t>per person per half</w:t>
            </w:r>
            <w:r>
              <w:noBreakHyphen/>
              <w:t>day</w:t>
            </w:r>
          </w:p>
        </w:tc>
        <w:tc>
          <w:tcPr>
            <w:tcW w:w="992" w:type="dxa"/>
          </w:tcPr>
          <w:p>
            <w:pPr>
              <w:pStyle w:val="yTableNAm"/>
              <w:jc w:val="center"/>
            </w:pPr>
          </w:p>
          <w:p>
            <w:pPr>
              <w:pStyle w:val="yTableNAm"/>
              <w:jc w:val="center"/>
            </w:pPr>
            <w:r>
              <w:t>9.50</w:t>
            </w:r>
          </w:p>
        </w:tc>
      </w:tr>
      <w:tr>
        <w:tc>
          <w:tcPr>
            <w:tcW w:w="709" w:type="dxa"/>
          </w:tcPr>
          <w:p>
            <w:pPr>
              <w:pStyle w:val="yTableNAm"/>
            </w:pPr>
            <w:r>
              <w:t>2.</w:t>
            </w:r>
          </w:p>
        </w:tc>
        <w:tc>
          <w:tcPr>
            <w:tcW w:w="5245" w:type="dxa"/>
          </w:tcPr>
          <w:p>
            <w:pPr>
              <w:pStyle w:val="yTableNAm"/>
            </w:pPr>
            <w:r>
              <w:t>Fee for abseiling at Wilyabrup Cliffs (r. 102A)</w:t>
            </w:r>
          </w:p>
        </w:tc>
        <w:tc>
          <w:tcPr>
            <w:tcW w:w="992" w:type="dxa"/>
          </w:tcPr>
          <w:p>
            <w:pPr>
              <w:pStyle w:val="yTableNAm"/>
              <w:jc w:val="center"/>
            </w:pPr>
            <w:r>
              <w:t>9.50</w:t>
            </w:r>
          </w:p>
        </w:tc>
      </w:tr>
    </w:tbl>
    <w:p>
      <w:pPr>
        <w:pStyle w:val="yFootnotesection"/>
      </w:pPr>
      <w:r>
        <w:tab/>
        <w:t>[Division 9 inserted in Gazette 5 Jul 2016 p. 2817.]</w:t>
      </w:r>
    </w:p>
    <w:p>
      <w:pPr>
        <w:pStyle w:val="yHeading3"/>
        <w:rPr>
          <w:rStyle w:val="CharSDivText"/>
        </w:rPr>
      </w:pPr>
      <w:bookmarkStart w:id="579" w:name="_Toc491954736"/>
      <w:bookmarkStart w:id="580" w:name="_Toc491956890"/>
      <w:bookmarkStart w:id="581" w:name="_Toc473019335"/>
      <w:bookmarkStart w:id="582" w:name="_Toc473036073"/>
      <w:r>
        <w:rPr>
          <w:rStyle w:val="CharSDivNo"/>
        </w:rPr>
        <w:t>Division 10</w:t>
      </w:r>
      <w:r>
        <w:rPr>
          <w:b w:val="0"/>
        </w:rPr>
        <w:t> — </w:t>
      </w:r>
      <w:r>
        <w:rPr>
          <w:rStyle w:val="CharSDivText"/>
        </w:rPr>
        <w:t>Entrance fees for Monkey Mia Conservation Park</w:t>
      </w:r>
      <w:bookmarkEnd w:id="579"/>
      <w:bookmarkEnd w:id="580"/>
      <w:bookmarkEnd w:id="581"/>
      <w:bookmarkEnd w:id="582"/>
    </w:p>
    <w:p>
      <w:pPr>
        <w:pStyle w:val="yFootnoteheading"/>
        <w:keepNext/>
        <w:keepLines/>
        <w:spacing w:after="60"/>
        <w:rPr>
          <w:snapToGrid w:val="0"/>
        </w:rPr>
      </w:pPr>
      <w:r>
        <w:tab/>
        <w:t>[Heading inserted in Gazette 5 Jul 2016 p. 2817.]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zyTableNAm"/>
            </w:pPr>
          </w:p>
        </w:tc>
        <w:tc>
          <w:tcPr>
            <w:tcW w:w="5245" w:type="dxa"/>
          </w:tcPr>
          <w:p>
            <w:pPr>
              <w:pStyle w:val="zyTableNAm"/>
            </w:pPr>
          </w:p>
        </w:tc>
        <w:tc>
          <w:tcPr>
            <w:tcW w:w="992" w:type="dxa"/>
            <w:vAlign w:val="center"/>
          </w:tcPr>
          <w:p>
            <w:pPr>
              <w:pStyle w:val="yTableNAm"/>
              <w:jc w:val="center"/>
              <w:rPr>
                <w:b/>
              </w:rP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992" w:type="dxa"/>
          </w:tcPr>
          <w:p>
            <w:pPr>
              <w:pStyle w:val="yTableNAm"/>
              <w:jc w:val="center"/>
            </w:pPr>
            <w:r>
              <w:t>12.00</w:t>
            </w:r>
          </w:p>
        </w:tc>
      </w:tr>
      <w:tr>
        <w:trPr>
          <w:cantSplit/>
        </w:trPr>
        <w:tc>
          <w:tcPr>
            <w:tcW w:w="709" w:type="dxa"/>
          </w:tcPr>
          <w:p>
            <w:pPr>
              <w:pStyle w:val="yTableNAm"/>
            </w:pPr>
            <w:r>
              <w:t>2.</w:t>
            </w:r>
          </w:p>
        </w:tc>
        <w:tc>
          <w:tcPr>
            <w:tcW w:w="5245" w:type="dxa"/>
          </w:tcPr>
          <w:p>
            <w:pPr>
              <w:pStyle w:val="yTableNAm"/>
            </w:pPr>
            <w:r>
              <w:t>For person of more than 5 and less than 16 years of age</w:t>
            </w:r>
          </w:p>
        </w:tc>
        <w:tc>
          <w:tcPr>
            <w:tcW w:w="992" w:type="dxa"/>
          </w:tcPr>
          <w:p>
            <w:pPr>
              <w:pStyle w:val="yTableNAm"/>
              <w:jc w:val="center"/>
            </w:pPr>
            <w:r>
              <w:t>4.50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vAlign w:val="center"/>
          </w:tcPr>
          <w:p>
            <w:pPr>
              <w:pStyle w:val="yTableNAm"/>
              <w:jc w:val="center"/>
            </w:pPr>
            <w:r>
              <w:br/>
              <w:t>28.50</w:t>
            </w:r>
          </w:p>
        </w:tc>
      </w:tr>
      <w:tr>
        <w:trPr>
          <w:cantSplit/>
        </w:trP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9.00</w:t>
            </w:r>
          </w:p>
        </w:tc>
      </w:tr>
      <w:tr>
        <w:trPr>
          <w:cantSplit/>
        </w:trPr>
        <w:tc>
          <w:tcPr>
            <w:tcW w:w="709" w:type="dxa"/>
          </w:tcPr>
          <w:p>
            <w:pPr>
              <w:pStyle w:val="yTableNAm"/>
            </w:pPr>
            <w:r>
              <w:t>5.</w:t>
            </w:r>
          </w:p>
        </w:tc>
        <w:tc>
          <w:tcPr>
            <w:tcW w:w="5245" w:type="dxa"/>
          </w:tcPr>
          <w:p>
            <w:pPr>
              <w:pStyle w:val="yTableNAm"/>
            </w:pPr>
            <w:r>
              <w:t>One month pass for person 16 years of age or over</w:t>
            </w:r>
          </w:p>
        </w:tc>
        <w:tc>
          <w:tcPr>
            <w:tcW w:w="992" w:type="dxa"/>
          </w:tcPr>
          <w:p>
            <w:pPr>
              <w:pStyle w:val="yTableNAm"/>
              <w:jc w:val="center"/>
            </w:pPr>
            <w:r>
              <w:t>18.00</w:t>
            </w:r>
          </w:p>
        </w:tc>
      </w:tr>
      <w:tr>
        <w:trPr>
          <w:cantSplit/>
        </w:trPr>
        <w:tc>
          <w:tcPr>
            <w:tcW w:w="709" w:type="dxa"/>
          </w:tcPr>
          <w:p>
            <w:pPr>
              <w:pStyle w:val="yTableNAm"/>
            </w:pPr>
            <w:r>
              <w:t>6.</w:t>
            </w:r>
          </w:p>
        </w:tc>
        <w:tc>
          <w:tcPr>
            <w:tcW w:w="5245" w:type="dxa"/>
          </w:tcPr>
          <w:p>
            <w:pPr>
              <w:pStyle w:val="yTableNAm"/>
            </w:pPr>
            <w:r>
              <w:t>One month pass for person of more than 5 and less than 16 years of age</w:t>
            </w:r>
          </w:p>
        </w:tc>
        <w:tc>
          <w:tcPr>
            <w:tcW w:w="992" w:type="dxa"/>
          </w:tcPr>
          <w:p>
            <w:pPr>
              <w:pStyle w:val="yTableNAm"/>
              <w:jc w:val="center"/>
            </w:pPr>
            <w:r>
              <w:br/>
              <w:t>7.50</w:t>
            </w:r>
          </w:p>
        </w:tc>
      </w:tr>
      <w:tr>
        <w:trPr>
          <w:cantSplit/>
        </w:trPr>
        <w:tc>
          <w:tcPr>
            <w:tcW w:w="709" w:type="dxa"/>
          </w:tcPr>
          <w:p>
            <w:pPr>
              <w:pStyle w:val="yTableNAm"/>
            </w:pPr>
            <w:r>
              <w:t>7.</w:t>
            </w:r>
          </w:p>
        </w:tc>
        <w:tc>
          <w:tcPr>
            <w:tcW w:w="5245" w:type="dxa"/>
          </w:tcPr>
          <w:p>
            <w:pPr>
              <w:pStyle w:val="yTableNAm"/>
            </w:pPr>
            <w:r>
              <w:t>One month pass for family (2 adults and 2 children of more than 5 and less than 16 years of age)</w:t>
            </w:r>
          </w:p>
        </w:tc>
        <w:tc>
          <w:tcPr>
            <w:tcW w:w="992" w:type="dxa"/>
          </w:tcPr>
          <w:p>
            <w:pPr>
              <w:pStyle w:val="yTableNAm"/>
              <w:jc w:val="center"/>
            </w:pPr>
            <w:r>
              <w:br/>
              <w:t>43.50</w:t>
            </w:r>
          </w:p>
        </w:tc>
      </w:tr>
      <w:tr>
        <w:trPr>
          <w:cantSplit/>
        </w:trPr>
        <w:tc>
          <w:tcPr>
            <w:tcW w:w="709" w:type="dxa"/>
          </w:tcPr>
          <w:p>
            <w:pPr>
              <w:pStyle w:val="yTableNAm"/>
            </w:pPr>
            <w:r>
              <w:t>8.</w:t>
            </w:r>
          </w:p>
        </w:tc>
        <w:tc>
          <w:tcPr>
            <w:tcW w:w="5245" w:type="dxa"/>
          </w:tcPr>
          <w:p>
            <w:pPr>
              <w:pStyle w:val="yTableNAm"/>
            </w:pPr>
            <w:r>
              <w:t>One month pass for holder of a concession card</w:t>
            </w:r>
          </w:p>
        </w:tc>
        <w:tc>
          <w:tcPr>
            <w:tcW w:w="992" w:type="dxa"/>
          </w:tcPr>
          <w:p>
            <w:pPr>
              <w:pStyle w:val="yTableNAm"/>
              <w:jc w:val="center"/>
            </w:pPr>
            <w:r>
              <w:t>15.00</w:t>
            </w:r>
          </w:p>
        </w:tc>
      </w:tr>
    </w:tbl>
    <w:p>
      <w:pPr>
        <w:pStyle w:val="yFootnotesection"/>
      </w:pPr>
      <w:r>
        <w:tab/>
        <w:t>[Division 10 inserted in Gazette 5 Jul 2016 p. 2817.]</w:t>
      </w:r>
    </w:p>
    <w:p>
      <w:pPr>
        <w:pStyle w:val="yHeading3"/>
        <w:pageBreakBefore/>
        <w:spacing w:before="0"/>
        <w:rPr>
          <w:rStyle w:val="CharSDivText"/>
          <w:highlight w:val="yellow"/>
        </w:rPr>
      </w:pPr>
      <w:bookmarkStart w:id="583" w:name="_Toc489952203"/>
      <w:bookmarkStart w:id="584" w:name="_Toc489952210"/>
      <w:bookmarkStart w:id="585" w:name="_Toc489952433"/>
      <w:bookmarkStart w:id="586" w:name="_Toc489954255"/>
      <w:bookmarkStart w:id="587" w:name="_Toc489954344"/>
      <w:bookmarkStart w:id="588" w:name="_Toc489955550"/>
      <w:bookmarkStart w:id="589" w:name="_Toc489956430"/>
      <w:bookmarkStart w:id="590" w:name="_Toc491956891"/>
      <w:bookmarkStart w:id="591" w:name="_Toc473019336"/>
      <w:bookmarkStart w:id="592" w:name="_Toc473036074"/>
      <w:bookmarkStart w:id="593" w:name="_Toc491954737"/>
      <w:r>
        <w:rPr>
          <w:rStyle w:val="CharSDivNo"/>
        </w:rPr>
        <w:t>Division 11</w:t>
      </w:r>
      <w:r>
        <w:rPr>
          <w:b w:val="0"/>
        </w:rPr>
        <w:t> — </w:t>
      </w:r>
      <w:r>
        <w:rPr>
          <w:rStyle w:val="CharSDivText"/>
        </w:rPr>
        <w:t>Apiary permit</w:t>
      </w:r>
      <w:del w:id="594" w:author="Master Repository Process" w:date="2021-07-31T20:58:00Z">
        <w:r>
          <w:rPr>
            <w:rStyle w:val="CharSDivText"/>
          </w:rPr>
          <w:delText xml:space="preserve"> and</w:delText>
        </w:r>
      </w:del>
      <w:ins w:id="595" w:author="Master Repository Process" w:date="2021-07-31T20:58:00Z">
        <w:r>
          <w:rPr>
            <w:rStyle w:val="CharSDivText"/>
          </w:rPr>
          <w:t>,</w:t>
        </w:r>
      </w:ins>
      <w:r>
        <w:rPr>
          <w:rStyle w:val="CharSDivText"/>
        </w:rPr>
        <w:t xml:space="preserve"> licence</w:t>
      </w:r>
      <w:ins w:id="596" w:author="Master Repository Process" w:date="2021-07-31T20:58:00Z">
        <w:r>
          <w:rPr>
            <w:rStyle w:val="CharSDivText"/>
          </w:rPr>
          <w:t xml:space="preserve"> and site</w:t>
        </w:r>
      </w:ins>
      <w:r>
        <w:rPr>
          <w:rStyle w:val="CharSDivText"/>
        </w:rPr>
        <w:t xml:space="preserve"> fees</w:t>
      </w:r>
      <w:bookmarkEnd w:id="583"/>
      <w:bookmarkEnd w:id="584"/>
      <w:bookmarkEnd w:id="585"/>
      <w:bookmarkEnd w:id="586"/>
      <w:bookmarkEnd w:id="587"/>
      <w:bookmarkEnd w:id="588"/>
      <w:bookmarkEnd w:id="589"/>
      <w:bookmarkEnd w:id="590"/>
      <w:bookmarkEnd w:id="591"/>
      <w:bookmarkEnd w:id="592"/>
    </w:p>
    <w:bookmarkEnd w:id="593"/>
    <w:p>
      <w:pPr>
        <w:pStyle w:val="yFootnoteheading"/>
        <w:keepNext/>
        <w:keepLines/>
        <w:spacing w:after="60"/>
      </w:pPr>
      <w:r>
        <w:tab/>
        <w:t xml:space="preserve">[Heading inserted in Gazette </w:t>
      </w:r>
      <w:del w:id="597" w:author="Master Repository Process" w:date="2021-07-31T20:58:00Z">
        <w:r>
          <w:delText>3</w:delText>
        </w:r>
      </w:del>
      <w:ins w:id="598" w:author="Master Repository Process" w:date="2021-07-31T20:58:00Z">
        <w:r>
          <w:t>1</w:t>
        </w:r>
      </w:ins>
      <w:r>
        <w:t> Sep </w:t>
      </w:r>
      <w:del w:id="599" w:author="Master Repository Process" w:date="2021-07-31T20:58:00Z">
        <w:r>
          <w:delText>2010</w:delText>
        </w:r>
      </w:del>
      <w:ins w:id="600" w:author="Master Repository Process" w:date="2021-07-31T20:58:00Z">
        <w:r>
          <w:t>2017</w:t>
        </w:r>
      </w:ins>
      <w:r>
        <w:t xml:space="preserve"> p. </w:t>
      </w:r>
      <w:del w:id="601" w:author="Master Repository Process" w:date="2021-07-31T20:58:00Z">
        <w:r>
          <w:delText>4283</w:delText>
        </w:r>
      </w:del>
      <w:ins w:id="602" w:author="Master Repository Process" w:date="2021-07-31T20:58:00Z">
        <w:r>
          <w:t>4651</w:t>
        </w:r>
      </w:ins>
      <w:r>
        <w:t>.]</w:t>
      </w:r>
    </w:p>
    <w:tbl>
      <w:tblPr>
        <w:tblW w:w="0" w:type="auto"/>
        <w:tblInd w:w="85" w:type="dxa"/>
        <w:tblLayout w:type="fixed"/>
        <w:tblCellMar>
          <w:left w:w="85" w:type="dxa"/>
          <w:bottom w:w="57" w:type="dxa"/>
          <w:right w:w="85" w:type="dxa"/>
        </w:tblCellMar>
        <w:tblLook w:val="0000" w:firstRow="0" w:lastRow="0" w:firstColumn="0" w:lastColumn="0" w:noHBand="0" w:noVBand="0"/>
      </w:tblPr>
      <w:tblGrid>
        <w:gridCol w:w="652"/>
        <w:gridCol w:w="5444"/>
        <w:gridCol w:w="992"/>
      </w:tblGrid>
      <w:tr>
        <w:trPr>
          <w:tblHeader/>
        </w:trPr>
        <w:tc>
          <w:tcPr>
            <w:tcW w:w="652" w:type="dxa"/>
          </w:tcPr>
          <w:p>
            <w:pPr>
              <w:pStyle w:val="yTableNAm"/>
              <w:keepNext/>
              <w:keepLines/>
              <w:spacing w:before="60"/>
            </w:pPr>
          </w:p>
        </w:tc>
        <w:tc>
          <w:tcPr>
            <w:tcW w:w="5444" w:type="dxa"/>
          </w:tcPr>
          <w:p>
            <w:pPr>
              <w:pStyle w:val="yTableNAm"/>
              <w:keepNext/>
              <w:keepLines/>
              <w:spacing w:before="60"/>
            </w:pPr>
          </w:p>
        </w:tc>
        <w:tc>
          <w:tcPr>
            <w:tcW w:w="992" w:type="dxa"/>
            <w:vAlign w:val="bottom"/>
          </w:tcPr>
          <w:p>
            <w:pPr>
              <w:pStyle w:val="yTableNAm"/>
              <w:keepNext/>
              <w:keepLines/>
              <w:tabs>
                <w:tab w:val="clear" w:pos="567"/>
              </w:tabs>
              <w:spacing w:before="60"/>
              <w:jc w:val="center"/>
              <w:rPr>
                <w:b/>
                <w:bCs/>
              </w:rPr>
            </w:pPr>
            <w:r>
              <w:rPr>
                <w:b/>
                <w:bCs/>
              </w:rPr>
              <w:t>$</w:t>
            </w:r>
          </w:p>
        </w:tc>
      </w:tr>
      <w:tr>
        <w:trPr>
          <w:cantSplit/>
        </w:trPr>
        <w:tc>
          <w:tcPr>
            <w:tcW w:w="652" w:type="dxa"/>
          </w:tcPr>
          <w:p>
            <w:pPr>
              <w:pStyle w:val="yTableNAm"/>
              <w:spacing w:before="60"/>
            </w:pPr>
            <w:r>
              <w:t>1.</w:t>
            </w:r>
          </w:p>
        </w:tc>
        <w:tc>
          <w:tcPr>
            <w:tcW w:w="5444" w:type="dxa"/>
          </w:tcPr>
          <w:p>
            <w:pPr>
              <w:pStyle w:val="yTableNAm"/>
              <w:spacing w:before="60"/>
            </w:pPr>
            <w:r>
              <w:t xml:space="preserve">Application for grant of apiary authority where item 4 does not apply — </w:t>
            </w:r>
          </w:p>
          <w:p>
            <w:pPr>
              <w:pStyle w:val="yTableNAm"/>
              <w:spacing w:before="60"/>
              <w:ind w:left="567" w:hanging="567"/>
            </w:pPr>
            <w:r>
              <w:t>(a)</w:t>
            </w:r>
            <w:r>
              <w:tab/>
              <w:t>for apiary site in South</w:t>
            </w:r>
            <w:r>
              <w:noBreakHyphen/>
              <w:t>west zone</w:t>
            </w:r>
            <w:r>
              <w:br/>
              <w:t>(fee per 5 sites)</w:t>
            </w:r>
          </w:p>
          <w:p>
            <w:pPr>
              <w:pStyle w:val="yTableNAm"/>
              <w:spacing w:before="60"/>
              <w:ind w:left="567" w:hanging="567"/>
            </w:pPr>
            <w:r>
              <w:t>(b)</w:t>
            </w:r>
            <w:r>
              <w:tab/>
              <w:t>for apiary site outside the South</w:t>
            </w:r>
            <w:r>
              <w:noBreakHyphen/>
              <w:t xml:space="preserve">west zone </w:t>
            </w:r>
            <w:r>
              <w:br/>
              <w:t>(fee per 5 sites)</w:t>
            </w:r>
          </w:p>
        </w:tc>
        <w:tc>
          <w:tcPr>
            <w:tcW w:w="992" w:type="dxa"/>
            <w:vAlign w:val="bottom"/>
          </w:tcPr>
          <w:p>
            <w:pPr>
              <w:pStyle w:val="yTableNAm"/>
              <w:tabs>
                <w:tab w:val="clear" w:pos="567"/>
              </w:tabs>
              <w:spacing w:before="60"/>
              <w:jc w:val="center"/>
            </w:pPr>
            <w:r>
              <w:br/>
            </w:r>
          </w:p>
          <w:p>
            <w:pPr>
              <w:pStyle w:val="yTableNAm"/>
              <w:tabs>
                <w:tab w:val="clear" w:pos="567"/>
              </w:tabs>
              <w:spacing w:before="60"/>
              <w:jc w:val="center"/>
            </w:pPr>
            <w:r>
              <w:br/>
              <w:t>148.00</w:t>
            </w:r>
          </w:p>
          <w:p>
            <w:pPr>
              <w:pStyle w:val="yTableNAm"/>
              <w:tabs>
                <w:tab w:val="clear" w:pos="567"/>
              </w:tabs>
              <w:spacing w:before="60"/>
              <w:jc w:val="center"/>
            </w:pPr>
            <w:r>
              <w:br/>
              <w:t>71.00</w:t>
            </w:r>
          </w:p>
        </w:tc>
      </w:tr>
      <w:tr>
        <w:tc>
          <w:tcPr>
            <w:tcW w:w="652" w:type="dxa"/>
          </w:tcPr>
          <w:p>
            <w:pPr>
              <w:pStyle w:val="yTableNAm"/>
              <w:spacing w:before="60"/>
            </w:pPr>
            <w:r>
              <w:t>2.</w:t>
            </w:r>
          </w:p>
        </w:tc>
        <w:tc>
          <w:tcPr>
            <w:tcW w:w="5444" w:type="dxa"/>
          </w:tcPr>
          <w:p>
            <w:pPr>
              <w:pStyle w:val="yTableNAm"/>
              <w:spacing w:before="60"/>
              <w:rPr>
                <w:rStyle w:val="DraftersNotes"/>
              </w:rPr>
            </w:pPr>
            <w:r>
              <w:t>Application to transfer apiary authority</w:t>
            </w:r>
          </w:p>
        </w:tc>
        <w:tc>
          <w:tcPr>
            <w:tcW w:w="992" w:type="dxa"/>
            <w:vAlign w:val="bottom"/>
          </w:tcPr>
          <w:p>
            <w:pPr>
              <w:pStyle w:val="yTableNAm"/>
              <w:tabs>
                <w:tab w:val="clear" w:pos="567"/>
              </w:tabs>
              <w:spacing w:before="60"/>
              <w:jc w:val="center"/>
            </w:pPr>
            <w:r>
              <w:t>13.00</w:t>
            </w:r>
          </w:p>
        </w:tc>
      </w:tr>
      <w:tr>
        <w:tc>
          <w:tcPr>
            <w:tcW w:w="652" w:type="dxa"/>
          </w:tcPr>
          <w:p>
            <w:pPr>
              <w:pStyle w:val="yTableNAm"/>
              <w:spacing w:before="60"/>
            </w:pPr>
            <w:r>
              <w:t>3.</w:t>
            </w:r>
          </w:p>
        </w:tc>
        <w:tc>
          <w:tcPr>
            <w:tcW w:w="5444" w:type="dxa"/>
          </w:tcPr>
          <w:p>
            <w:pPr>
              <w:pStyle w:val="yTableNAm"/>
              <w:spacing w:before="60"/>
            </w:pPr>
            <w:r>
              <w:t xml:space="preserve">Application to vary apiary licence to change the site to which it relates — </w:t>
            </w:r>
          </w:p>
          <w:p>
            <w:pPr>
              <w:pStyle w:val="yTableNAm"/>
              <w:spacing w:before="60"/>
              <w:ind w:left="567" w:hanging="567"/>
            </w:pPr>
            <w:r>
              <w:t>(a)</w:t>
            </w:r>
            <w:r>
              <w:tab/>
              <w:t>where new site is in the South</w:t>
            </w:r>
            <w:r>
              <w:noBreakHyphen/>
              <w:t xml:space="preserve">west zone </w:t>
            </w:r>
            <w:r>
              <w:br/>
              <w:t>(fee per 5 new sites)</w:t>
            </w:r>
          </w:p>
          <w:p>
            <w:pPr>
              <w:pStyle w:val="yTableNAm"/>
              <w:spacing w:before="60"/>
              <w:ind w:left="567" w:hanging="567"/>
            </w:pPr>
            <w:r>
              <w:t>(b)</w:t>
            </w:r>
            <w:r>
              <w:tab/>
              <w:t>where new site is outside the South</w:t>
            </w:r>
            <w:r>
              <w:noBreakHyphen/>
              <w:t>west zone (fee per 5 new sites)</w:t>
            </w:r>
          </w:p>
        </w:tc>
        <w:tc>
          <w:tcPr>
            <w:tcW w:w="992" w:type="dxa"/>
            <w:vAlign w:val="bottom"/>
          </w:tcPr>
          <w:p>
            <w:pPr>
              <w:pStyle w:val="yTableNAm"/>
              <w:tabs>
                <w:tab w:val="clear" w:pos="567"/>
              </w:tabs>
              <w:spacing w:before="60"/>
              <w:jc w:val="center"/>
            </w:pPr>
            <w:r>
              <w:br/>
            </w:r>
          </w:p>
          <w:p>
            <w:pPr>
              <w:pStyle w:val="yTableNAm"/>
              <w:tabs>
                <w:tab w:val="clear" w:pos="567"/>
              </w:tabs>
              <w:spacing w:before="60"/>
              <w:jc w:val="center"/>
            </w:pPr>
            <w:r>
              <w:br/>
              <w:t>110.00</w:t>
            </w:r>
          </w:p>
          <w:p>
            <w:pPr>
              <w:pStyle w:val="yTableNAm"/>
              <w:tabs>
                <w:tab w:val="clear" w:pos="567"/>
              </w:tabs>
              <w:spacing w:before="60"/>
              <w:jc w:val="center"/>
            </w:pPr>
            <w:r>
              <w:br/>
              <w:t>55.00</w:t>
            </w:r>
          </w:p>
        </w:tc>
      </w:tr>
      <w:tr>
        <w:tc>
          <w:tcPr>
            <w:tcW w:w="652" w:type="dxa"/>
          </w:tcPr>
          <w:p>
            <w:pPr>
              <w:pStyle w:val="yTableNAm"/>
              <w:spacing w:before="80"/>
            </w:pPr>
            <w:r>
              <w:t>4.</w:t>
            </w:r>
          </w:p>
        </w:tc>
        <w:tc>
          <w:tcPr>
            <w:tcW w:w="5444" w:type="dxa"/>
          </w:tcPr>
          <w:p>
            <w:pPr>
              <w:pStyle w:val="yTableNAm"/>
              <w:spacing w:before="80"/>
            </w:pPr>
            <w:r>
              <w:t xml:space="preserve">Application for grant of apiary permit where permit is sought to replace a permit held by the applicant for a different site which will be surrendered if the application is granted — </w:t>
            </w:r>
          </w:p>
          <w:p>
            <w:pPr>
              <w:pStyle w:val="yTableNAm"/>
              <w:spacing w:before="80"/>
              <w:ind w:left="567" w:hanging="567"/>
            </w:pPr>
            <w:r>
              <w:t>(a)</w:t>
            </w:r>
            <w:r>
              <w:tab/>
              <w:t>where new site is in the South</w:t>
            </w:r>
            <w:r>
              <w:noBreakHyphen/>
              <w:t xml:space="preserve">west zone </w:t>
            </w:r>
            <w:r>
              <w:br/>
              <w:t>(fee per 5 new sites)</w:t>
            </w:r>
          </w:p>
          <w:p>
            <w:pPr>
              <w:pStyle w:val="yTableNAm"/>
              <w:spacing w:before="80"/>
              <w:ind w:left="567" w:hanging="567"/>
            </w:pPr>
            <w:r>
              <w:t>(b)</w:t>
            </w:r>
            <w:r>
              <w:tab/>
              <w:t>where new site is outside the South</w:t>
            </w:r>
            <w:r>
              <w:noBreakHyphen/>
              <w:t>west zone (fee per 5 new sites)</w:t>
            </w:r>
          </w:p>
        </w:tc>
        <w:tc>
          <w:tcPr>
            <w:tcW w:w="992" w:type="dxa"/>
            <w:vAlign w:val="bottom"/>
          </w:tcPr>
          <w:p>
            <w:pPr>
              <w:pStyle w:val="yTableNAm"/>
              <w:tabs>
                <w:tab w:val="clear" w:pos="567"/>
              </w:tabs>
              <w:spacing w:before="80"/>
              <w:jc w:val="center"/>
            </w:pPr>
            <w:r>
              <w:br/>
            </w:r>
            <w:r>
              <w:br/>
            </w:r>
            <w:r>
              <w:br/>
            </w:r>
          </w:p>
          <w:p>
            <w:pPr>
              <w:pStyle w:val="yTableNAm"/>
              <w:tabs>
                <w:tab w:val="clear" w:pos="567"/>
              </w:tabs>
              <w:spacing w:before="80"/>
              <w:jc w:val="center"/>
            </w:pPr>
            <w:r>
              <w:br/>
              <w:t>110.00</w:t>
            </w:r>
          </w:p>
          <w:p>
            <w:pPr>
              <w:pStyle w:val="yTableNAm"/>
              <w:tabs>
                <w:tab w:val="clear" w:pos="567"/>
              </w:tabs>
              <w:spacing w:before="80"/>
              <w:jc w:val="center"/>
            </w:pPr>
            <w:r>
              <w:br/>
              <w:t>55.00</w:t>
            </w:r>
          </w:p>
        </w:tc>
      </w:tr>
      <w:tr>
        <w:trPr>
          <w:ins w:id="603" w:author="Master Repository Process" w:date="2021-07-31T20:58:00Z"/>
        </w:trPr>
        <w:tc>
          <w:tcPr>
            <w:tcW w:w="652" w:type="dxa"/>
          </w:tcPr>
          <w:p>
            <w:pPr>
              <w:pStyle w:val="yTableNAm"/>
              <w:spacing w:before="80"/>
              <w:rPr>
                <w:ins w:id="604" w:author="Master Repository Process" w:date="2021-07-31T20:58:00Z"/>
              </w:rPr>
            </w:pPr>
            <w:ins w:id="605" w:author="Master Repository Process" w:date="2021-07-31T20:58:00Z">
              <w:r>
                <w:t>5.</w:t>
              </w:r>
            </w:ins>
          </w:p>
        </w:tc>
        <w:tc>
          <w:tcPr>
            <w:tcW w:w="5444" w:type="dxa"/>
          </w:tcPr>
          <w:p>
            <w:pPr>
              <w:pStyle w:val="yTableNAm"/>
              <w:spacing w:before="80"/>
              <w:rPr>
                <w:ins w:id="606" w:author="Master Repository Process" w:date="2021-07-31T20:58:00Z"/>
              </w:rPr>
            </w:pPr>
            <w:ins w:id="607" w:author="Master Repository Process" w:date="2021-07-31T20:58:00Z">
              <w:r>
                <w:t xml:space="preserve">Apiary site fee — </w:t>
              </w:r>
            </w:ins>
          </w:p>
          <w:p>
            <w:pPr>
              <w:pStyle w:val="yTableNAm"/>
              <w:spacing w:before="80"/>
              <w:rPr>
                <w:ins w:id="608" w:author="Master Repository Process" w:date="2021-07-31T20:58:00Z"/>
              </w:rPr>
            </w:pPr>
            <w:ins w:id="609" w:author="Master Repository Process" w:date="2021-07-31T20:58:00Z">
              <w:r>
                <w:t>(a)</w:t>
              </w:r>
              <w:r>
                <w:tab/>
                <w:t>where site is in the South</w:t>
              </w:r>
              <w:r>
                <w:noBreakHyphen/>
                <w:t>west zone</w:t>
              </w:r>
            </w:ins>
          </w:p>
          <w:p>
            <w:pPr>
              <w:pStyle w:val="yTableNAm"/>
              <w:spacing w:before="80"/>
              <w:rPr>
                <w:ins w:id="610" w:author="Master Repository Process" w:date="2021-07-31T20:58:00Z"/>
              </w:rPr>
            </w:pPr>
            <w:ins w:id="611" w:author="Master Repository Process" w:date="2021-07-31T20:58:00Z">
              <w:r>
                <w:t>(b)</w:t>
              </w:r>
              <w:r>
                <w:tab/>
                <w:t>where site is outside the South</w:t>
              </w:r>
              <w:r>
                <w:noBreakHyphen/>
                <w:t>west zone</w:t>
              </w:r>
            </w:ins>
          </w:p>
        </w:tc>
        <w:tc>
          <w:tcPr>
            <w:tcW w:w="992" w:type="dxa"/>
            <w:vAlign w:val="bottom"/>
          </w:tcPr>
          <w:p>
            <w:pPr>
              <w:pStyle w:val="yTableNAm"/>
              <w:tabs>
                <w:tab w:val="clear" w:pos="567"/>
              </w:tabs>
              <w:spacing w:before="80"/>
              <w:jc w:val="center"/>
              <w:rPr>
                <w:ins w:id="612" w:author="Master Repository Process" w:date="2021-07-31T20:58:00Z"/>
              </w:rPr>
            </w:pPr>
            <w:ins w:id="613" w:author="Master Repository Process" w:date="2021-07-31T20:58:00Z">
              <w:r>
                <w:br/>
                <w:t>92.00</w:t>
              </w:r>
              <w:r>
                <w:br/>
                <w:t>46.00</w:t>
              </w:r>
            </w:ins>
          </w:p>
        </w:tc>
      </w:tr>
    </w:tbl>
    <w:p>
      <w:pPr>
        <w:pStyle w:val="yFootnotesection"/>
      </w:pPr>
      <w:r>
        <w:tab/>
        <w:t>[Division 11 inserted in Gazette 3 Sep 2010 p. 4283; amended in Gazette 14 Jul 2015 p. 2789</w:t>
      </w:r>
      <w:ins w:id="614" w:author="Master Repository Process" w:date="2021-07-31T20:58:00Z">
        <w:r>
          <w:t>; 1 Sep 2017 p. 4651</w:t>
        </w:r>
      </w:ins>
      <w:r>
        <w:t>.]</w:t>
      </w:r>
    </w:p>
    <w:p>
      <w:pPr>
        <w:pStyle w:val="yHeading3"/>
        <w:spacing w:before="360"/>
      </w:pPr>
      <w:bookmarkStart w:id="615" w:name="_Toc491954738"/>
      <w:bookmarkStart w:id="616" w:name="_Toc491956892"/>
      <w:bookmarkStart w:id="617" w:name="_Toc473019337"/>
      <w:bookmarkStart w:id="618" w:name="_Toc473036075"/>
      <w:r>
        <w:rPr>
          <w:rStyle w:val="CharSDivNo"/>
        </w:rPr>
        <w:t>Division 12</w:t>
      </w:r>
      <w:r>
        <w:rPr>
          <w:b w:val="0"/>
        </w:rPr>
        <w:t> — </w:t>
      </w:r>
      <w:r>
        <w:rPr>
          <w:rStyle w:val="CharSDivText"/>
        </w:rPr>
        <w:t>Landing fees for aircraft</w:t>
      </w:r>
      <w:bookmarkEnd w:id="615"/>
      <w:bookmarkEnd w:id="616"/>
      <w:bookmarkEnd w:id="617"/>
      <w:bookmarkEnd w:id="618"/>
    </w:p>
    <w:p>
      <w:pPr>
        <w:pStyle w:val="yFootnoteheading"/>
        <w:keepNext/>
        <w:keepLines/>
        <w:spacing w:after="60"/>
      </w:pPr>
      <w:r>
        <w:tab/>
        <w:t>[Heading inserted in Gazette 3 Dec 2010 p. 6052.]</w:t>
      </w:r>
    </w:p>
    <w:tbl>
      <w:tblPr>
        <w:tblW w:w="0" w:type="auto"/>
        <w:tblInd w:w="85" w:type="dxa"/>
        <w:tblLayout w:type="fixed"/>
        <w:tblCellMar>
          <w:left w:w="85" w:type="dxa"/>
          <w:right w:w="85" w:type="dxa"/>
        </w:tblCellMar>
        <w:tblLook w:val="0000" w:firstRow="0" w:lastRow="0" w:firstColumn="0" w:lastColumn="0" w:noHBand="0" w:noVBand="0"/>
      </w:tblPr>
      <w:tblGrid>
        <w:gridCol w:w="652"/>
        <w:gridCol w:w="5444"/>
        <w:gridCol w:w="992"/>
      </w:tblGrid>
      <w:tr>
        <w:tc>
          <w:tcPr>
            <w:tcW w:w="652" w:type="dxa"/>
          </w:tcPr>
          <w:p>
            <w:pPr>
              <w:pStyle w:val="yTableNAm"/>
            </w:pPr>
            <w:r>
              <w:t>1.</w:t>
            </w:r>
          </w:p>
        </w:tc>
        <w:tc>
          <w:tcPr>
            <w:tcW w:w="5444" w:type="dxa"/>
          </w:tcPr>
          <w:p>
            <w:pPr>
              <w:pStyle w:val="yTableNAm"/>
            </w:pPr>
            <w:r>
              <w:t>Daily landing fee for each occupant of an aircraft landing on an aircraft landing area</w:t>
            </w:r>
          </w:p>
        </w:tc>
        <w:tc>
          <w:tcPr>
            <w:tcW w:w="992" w:type="dxa"/>
          </w:tcPr>
          <w:p>
            <w:pPr>
              <w:pStyle w:val="yTableNAm"/>
              <w:jc w:val="center"/>
            </w:pPr>
            <w:r>
              <w:br/>
              <w:t>11.00</w:t>
            </w:r>
          </w:p>
        </w:tc>
      </w:tr>
    </w:tbl>
    <w:p>
      <w:pPr>
        <w:pStyle w:val="yFootnotesection"/>
      </w:pPr>
      <w:r>
        <w:tab/>
        <w:t>[Division 12 inserted in Gazette 3 Dec 2010 p. 6052.]</w:t>
      </w:r>
    </w:p>
    <w:p>
      <w:pPr>
        <w:pStyle w:val="yScheduleHeading"/>
      </w:pPr>
      <w:bookmarkStart w:id="619" w:name="_Toc491954739"/>
      <w:bookmarkStart w:id="620" w:name="_Toc491956893"/>
      <w:bookmarkStart w:id="621" w:name="_Toc473019338"/>
      <w:bookmarkStart w:id="622" w:name="_Toc473036076"/>
      <w:r>
        <w:rPr>
          <w:rStyle w:val="CharSchNo"/>
        </w:rPr>
        <w:t>Schedule 2</w:t>
      </w:r>
      <w:r>
        <w:t xml:space="preserve"> — </w:t>
      </w:r>
      <w:r>
        <w:rPr>
          <w:rStyle w:val="CharSchText"/>
        </w:rPr>
        <w:t>Offences to which modified penalties apply</w:t>
      </w:r>
      <w:bookmarkEnd w:id="619"/>
      <w:bookmarkEnd w:id="620"/>
      <w:bookmarkEnd w:id="621"/>
      <w:bookmarkEnd w:id="622"/>
    </w:p>
    <w:p>
      <w:pPr>
        <w:pStyle w:val="yShoulderClause"/>
      </w:pPr>
      <w:r>
        <w:t xml:space="preserve">[r. 112] </w:t>
      </w:r>
    </w:p>
    <w:p>
      <w:pPr>
        <w:pStyle w:val="yHeading3"/>
        <w:spacing w:after="80"/>
      </w:pPr>
      <w:bookmarkStart w:id="623" w:name="_Toc491954740"/>
      <w:bookmarkStart w:id="624" w:name="_Toc491956894"/>
      <w:bookmarkStart w:id="625" w:name="_Toc473019339"/>
      <w:bookmarkStart w:id="626" w:name="_Toc473036077"/>
      <w:r>
        <w:rPr>
          <w:rStyle w:val="CharSDivNo"/>
        </w:rPr>
        <w:t>Division 1</w:t>
      </w:r>
      <w:r>
        <w:rPr>
          <w:rStyle w:val="CharDivNo"/>
        </w:rPr>
        <w:t xml:space="preserve"> </w:t>
      </w:r>
      <w:r>
        <w:t xml:space="preserve">— </w:t>
      </w:r>
      <w:r>
        <w:rPr>
          <w:rStyle w:val="CharSDivText"/>
        </w:rPr>
        <w:t>Offences under the Act</w:t>
      </w:r>
      <w:bookmarkEnd w:id="623"/>
      <w:bookmarkEnd w:id="624"/>
      <w:bookmarkEnd w:id="625"/>
      <w:bookmarkEnd w:id="626"/>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c>
          <w:tcPr>
            <w:tcW w:w="840" w:type="dxa"/>
            <w:vAlign w:val="center"/>
          </w:tcPr>
          <w:p>
            <w:pPr>
              <w:pStyle w:val="yTable"/>
              <w:rPr>
                <w:b/>
              </w:rPr>
            </w:pPr>
          </w:p>
        </w:tc>
        <w:tc>
          <w:tcPr>
            <w:tcW w:w="1320" w:type="dxa"/>
          </w:tcPr>
          <w:p>
            <w:pPr>
              <w:pStyle w:val="yTable"/>
              <w:rPr>
                <w:b/>
              </w:rPr>
            </w:pPr>
            <w:r>
              <w:rPr>
                <w:b/>
              </w:rPr>
              <w:t>Column 1</w:t>
            </w:r>
          </w:p>
        </w:tc>
        <w:tc>
          <w:tcPr>
            <w:tcW w:w="3720" w:type="dxa"/>
          </w:tcPr>
          <w:p>
            <w:pPr>
              <w:pStyle w:val="yTable"/>
              <w:jc w:val="center"/>
              <w:rPr>
                <w:b/>
              </w:rPr>
            </w:pPr>
            <w:r>
              <w:rPr>
                <w:b/>
              </w:rPr>
              <w:t>Column 2</w:t>
            </w:r>
          </w:p>
        </w:tc>
        <w:tc>
          <w:tcPr>
            <w:tcW w:w="1200" w:type="dxa"/>
          </w:tcPr>
          <w:p>
            <w:pPr>
              <w:pStyle w:val="yTable"/>
              <w:jc w:val="center"/>
              <w:rPr>
                <w:b/>
              </w:rPr>
            </w:pPr>
            <w:r>
              <w:rPr>
                <w:b/>
              </w:rPr>
              <w:t>Column 3</w:t>
            </w:r>
          </w:p>
        </w:tc>
      </w:tr>
      <w:tr>
        <w:tc>
          <w:tcPr>
            <w:tcW w:w="840" w:type="dxa"/>
            <w:vAlign w:val="center"/>
          </w:tcPr>
          <w:p>
            <w:pPr>
              <w:pStyle w:val="yTable"/>
              <w:rPr>
                <w:b/>
              </w:rPr>
            </w:pPr>
            <w:r>
              <w:rPr>
                <w:b/>
              </w:rPr>
              <w:t>Item No.</w:t>
            </w:r>
            <w:r>
              <w:rPr>
                <w:b/>
              </w:rPr>
              <w:br/>
            </w:r>
          </w:p>
        </w:tc>
        <w:tc>
          <w:tcPr>
            <w:tcW w:w="1320" w:type="dxa"/>
          </w:tcPr>
          <w:p>
            <w:pPr>
              <w:pStyle w:val="yTable"/>
              <w:rPr>
                <w:b/>
              </w:rPr>
            </w:pPr>
            <w:r>
              <w:rPr>
                <w:b/>
              </w:rPr>
              <w:t>Section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c>
          <w:tcPr>
            <w:tcW w:w="840" w:type="dxa"/>
          </w:tcPr>
          <w:p>
            <w:pPr>
              <w:pStyle w:val="yTable"/>
            </w:pPr>
            <w:r>
              <w:t>1.</w:t>
            </w:r>
          </w:p>
        </w:tc>
        <w:tc>
          <w:tcPr>
            <w:tcW w:w="1320" w:type="dxa"/>
          </w:tcPr>
          <w:p>
            <w:pPr>
              <w:pStyle w:val="yTable"/>
            </w:pPr>
            <w:r>
              <w:t>101C</w:t>
            </w:r>
          </w:p>
        </w:tc>
        <w:tc>
          <w:tcPr>
            <w:tcW w:w="3720" w:type="dxa"/>
          </w:tcPr>
          <w:p>
            <w:pPr>
              <w:pStyle w:val="yTable"/>
            </w:pPr>
            <w:r>
              <w:t>Unlawfully taking flora or fauna in marine nature reserve, marine park or marine management area</w:t>
            </w:r>
          </w:p>
        </w:tc>
        <w:tc>
          <w:tcPr>
            <w:tcW w:w="1200" w:type="dxa"/>
            <w:vAlign w:val="bottom"/>
          </w:tcPr>
          <w:p>
            <w:pPr>
              <w:pStyle w:val="yTable"/>
              <w:jc w:val="center"/>
            </w:pPr>
            <w:r>
              <w:t>200</w:t>
            </w:r>
          </w:p>
        </w:tc>
      </w:tr>
      <w:tr>
        <w:trPr>
          <w:cantSplit/>
        </w:trPr>
        <w:tc>
          <w:tcPr>
            <w:tcW w:w="840" w:type="dxa"/>
          </w:tcPr>
          <w:p>
            <w:pPr>
              <w:pStyle w:val="yTable"/>
            </w:pPr>
            <w:r>
              <w:t>2.</w:t>
            </w:r>
          </w:p>
        </w:tc>
        <w:tc>
          <w:tcPr>
            <w:tcW w:w="1320" w:type="dxa"/>
          </w:tcPr>
          <w:p>
            <w:pPr>
              <w:pStyle w:val="yTable"/>
              <w:tabs>
                <w:tab w:val="decimal" w:pos="340"/>
              </w:tabs>
            </w:pPr>
            <w:r>
              <w:t>103(1)</w:t>
            </w:r>
          </w:p>
        </w:tc>
        <w:tc>
          <w:tcPr>
            <w:tcW w:w="3720" w:type="dxa"/>
          </w:tcPr>
          <w:p>
            <w:pPr>
              <w:pStyle w:val="yTable"/>
            </w:pPr>
            <w:r>
              <w:t>Unlawful taking of forest produce</w:t>
            </w:r>
          </w:p>
        </w:tc>
        <w:tc>
          <w:tcPr>
            <w:tcW w:w="1200" w:type="dxa"/>
            <w:vAlign w:val="bottom"/>
          </w:tcPr>
          <w:p>
            <w:pPr>
              <w:pStyle w:val="yTable"/>
              <w:jc w:val="center"/>
            </w:pPr>
            <w:r>
              <w:t>200</w:t>
            </w:r>
          </w:p>
        </w:tc>
      </w:tr>
      <w:tr>
        <w:trPr>
          <w:cantSplit/>
        </w:trPr>
        <w:tc>
          <w:tcPr>
            <w:tcW w:w="840" w:type="dxa"/>
          </w:tcPr>
          <w:p>
            <w:pPr>
              <w:pStyle w:val="yTable"/>
            </w:pPr>
            <w:r>
              <w:t>3.</w:t>
            </w:r>
          </w:p>
        </w:tc>
        <w:tc>
          <w:tcPr>
            <w:tcW w:w="1320" w:type="dxa"/>
          </w:tcPr>
          <w:p>
            <w:pPr>
              <w:pStyle w:val="yTable"/>
              <w:tabs>
                <w:tab w:val="decimal" w:pos="177"/>
              </w:tabs>
            </w:pPr>
            <w:r>
              <w:t>106</w:t>
            </w:r>
          </w:p>
        </w:tc>
        <w:tc>
          <w:tcPr>
            <w:tcW w:w="3720" w:type="dxa"/>
          </w:tcPr>
          <w:p>
            <w:pPr>
              <w:pStyle w:val="yTable"/>
            </w:pPr>
            <w:r>
              <w:t>Unlawful occupation of land</w:t>
            </w:r>
          </w:p>
        </w:tc>
        <w:tc>
          <w:tcPr>
            <w:tcW w:w="1200" w:type="dxa"/>
            <w:vAlign w:val="bottom"/>
          </w:tcPr>
          <w:p>
            <w:pPr>
              <w:pStyle w:val="yTable"/>
              <w:jc w:val="center"/>
            </w:pPr>
            <w:r>
              <w:t>200</w:t>
            </w:r>
          </w:p>
        </w:tc>
      </w:tr>
      <w:tr>
        <w:trPr>
          <w:cantSplit/>
        </w:trPr>
        <w:tc>
          <w:tcPr>
            <w:tcW w:w="840" w:type="dxa"/>
          </w:tcPr>
          <w:p>
            <w:pPr>
              <w:pStyle w:val="yTable"/>
            </w:pPr>
            <w:r>
              <w:t>4.</w:t>
            </w:r>
          </w:p>
        </w:tc>
        <w:tc>
          <w:tcPr>
            <w:tcW w:w="1320" w:type="dxa"/>
          </w:tcPr>
          <w:p>
            <w:pPr>
              <w:pStyle w:val="yTable"/>
              <w:tabs>
                <w:tab w:val="decimal" w:pos="340"/>
              </w:tabs>
            </w:pPr>
            <w:r>
              <w:t>107(b)</w:t>
            </w:r>
          </w:p>
        </w:tc>
        <w:tc>
          <w:tcPr>
            <w:tcW w:w="3720" w:type="dxa"/>
          </w:tcPr>
          <w:p>
            <w:pPr>
              <w:pStyle w:val="yTable"/>
            </w:pPr>
            <w:r>
              <w:t>Unlawfully altering signs etc.</w:t>
            </w:r>
          </w:p>
        </w:tc>
        <w:tc>
          <w:tcPr>
            <w:tcW w:w="1200" w:type="dxa"/>
            <w:vAlign w:val="bottom"/>
          </w:tcPr>
          <w:p>
            <w:pPr>
              <w:pStyle w:val="yTable"/>
              <w:jc w:val="center"/>
            </w:pPr>
            <w:r>
              <w:t>200</w:t>
            </w:r>
          </w:p>
        </w:tc>
      </w:tr>
      <w:tr>
        <w:trPr>
          <w:cantSplit/>
        </w:trPr>
        <w:tc>
          <w:tcPr>
            <w:tcW w:w="840" w:type="dxa"/>
          </w:tcPr>
          <w:p>
            <w:pPr>
              <w:pStyle w:val="yTable"/>
            </w:pPr>
            <w:r>
              <w:t>5.</w:t>
            </w:r>
          </w:p>
        </w:tc>
        <w:tc>
          <w:tcPr>
            <w:tcW w:w="1320" w:type="dxa"/>
          </w:tcPr>
          <w:p>
            <w:pPr>
              <w:pStyle w:val="yTable"/>
              <w:tabs>
                <w:tab w:val="decimal" w:pos="340"/>
              </w:tabs>
            </w:pPr>
            <w:r>
              <w:t>107(c)</w:t>
            </w:r>
          </w:p>
        </w:tc>
        <w:tc>
          <w:tcPr>
            <w:tcW w:w="3720" w:type="dxa"/>
          </w:tcPr>
          <w:p>
            <w:pPr>
              <w:pStyle w:val="yTable"/>
            </w:pPr>
            <w:r>
              <w:t>Damaging buildings etc.</w:t>
            </w:r>
          </w:p>
        </w:tc>
        <w:tc>
          <w:tcPr>
            <w:tcW w:w="1200" w:type="dxa"/>
            <w:vAlign w:val="bottom"/>
          </w:tcPr>
          <w:p>
            <w:pPr>
              <w:pStyle w:val="yTable"/>
              <w:jc w:val="center"/>
            </w:pPr>
            <w:r>
              <w:t>200</w:t>
            </w:r>
          </w:p>
        </w:tc>
      </w:tr>
      <w:tr>
        <w:trPr>
          <w:cantSplit/>
        </w:trPr>
        <w:tc>
          <w:tcPr>
            <w:tcW w:w="840" w:type="dxa"/>
          </w:tcPr>
          <w:p>
            <w:pPr>
              <w:pStyle w:val="yTable"/>
            </w:pPr>
            <w:r>
              <w:t>6.</w:t>
            </w:r>
          </w:p>
        </w:tc>
        <w:tc>
          <w:tcPr>
            <w:tcW w:w="1320" w:type="dxa"/>
          </w:tcPr>
          <w:p>
            <w:pPr>
              <w:pStyle w:val="yTable"/>
              <w:tabs>
                <w:tab w:val="decimal" w:pos="340"/>
              </w:tabs>
            </w:pPr>
            <w:r>
              <w:t>107(d)</w:t>
            </w:r>
          </w:p>
        </w:tc>
        <w:tc>
          <w:tcPr>
            <w:tcW w:w="3720" w:type="dxa"/>
          </w:tcPr>
          <w:p>
            <w:pPr>
              <w:pStyle w:val="yTable"/>
            </w:pPr>
            <w:r>
              <w:t>Destroying dams etc.</w:t>
            </w:r>
          </w:p>
        </w:tc>
        <w:tc>
          <w:tcPr>
            <w:tcW w:w="1200" w:type="dxa"/>
            <w:vAlign w:val="bottom"/>
          </w:tcPr>
          <w:p>
            <w:pPr>
              <w:pStyle w:val="yTable"/>
              <w:jc w:val="center"/>
            </w:pPr>
            <w:r>
              <w:t>200</w:t>
            </w:r>
          </w:p>
        </w:tc>
      </w:tr>
      <w:tr>
        <w:trPr>
          <w:cantSplit/>
        </w:trPr>
        <w:tc>
          <w:tcPr>
            <w:tcW w:w="840" w:type="dxa"/>
          </w:tcPr>
          <w:p>
            <w:pPr>
              <w:pStyle w:val="yTable"/>
            </w:pPr>
            <w:r>
              <w:t>7.</w:t>
            </w:r>
          </w:p>
        </w:tc>
        <w:tc>
          <w:tcPr>
            <w:tcW w:w="1320" w:type="dxa"/>
          </w:tcPr>
          <w:p>
            <w:pPr>
              <w:pStyle w:val="yTable"/>
              <w:tabs>
                <w:tab w:val="decimal" w:pos="340"/>
              </w:tabs>
            </w:pPr>
            <w:r>
              <w:t>107(i)</w:t>
            </w:r>
          </w:p>
        </w:tc>
        <w:tc>
          <w:tcPr>
            <w:tcW w:w="3720" w:type="dxa"/>
          </w:tcPr>
          <w:p>
            <w:pPr>
              <w:pStyle w:val="yTable"/>
            </w:pPr>
            <w:r>
              <w:t>Removing forest produce without paying</w:t>
            </w:r>
          </w:p>
        </w:tc>
        <w:tc>
          <w:tcPr>
            <w:tcW w:w="1200" w:type="dxa"/>
            <w:vAlign w:val="bottom"/>
          </w:tcPr>
          <w:p>
            <w:pPr>
              <w:pStyle w:val="yTable"/>
              <w:jc w:val="center"/>
            </w:pPr>
            <w:r>
              <w:t>200</w:t>
            </w:r>
          </w:p>
        </w:tc>
      </w:tr>
    </w:tbl>
    <w:p>
      <w:pPr>
        <w:pStyle w:val="yFootnotesection"/>
        <w:rPr>
          <w:rStyle w:val="CharPartNo"/>
        </w:rPr>
      </w:pPr>
      <w:r>
        <w:tab/>
        <w:t>[Division 1 amended in Gazette 29 Sep 2006 p. 4330</w:t>
      </w:r>
      <w:r>
        <w:noBreakHyphen/>
        <w:t>1.]</w:t>
      </w:r>
    </w:p>
    <w:p>
      <w:pPr>
        <w:pStyle w:val="yHeading3"/>
        <w:spacing w:after="80"/>
      </w:pPr>
      <w:bookmarkStart w:id="627" w:name="_Toc491954741"/>
      <w:bookmarkStart w:id="628" w:name="_Toc491956895"/>
      <w:bookmarkStart w:id="629" w:name="_Toc473019340"/>
      <w:bookmarkStart w:id="630" w:name="_Toc473036078"/>
      <w:r>
        <w:rPr>
          <w:rStyle w:val="CharSDivNo"/>
        </w:rPr>
        <w:t>Division 2</w:t>
      </w:r>
      <w:r>
        <w:rPr>
          <w:rStyle w:val="CharDivNo"/>
        </w:rPr>
        <w:t xml:space="preserve"> </w:t>
      </w:r>
      <w:r>
        <w:t>—</w:t>
      </w:r>
      <w:r>
        <w:rPr>
          <w:rStyle w:val="CharDivText"/>
        </w:rPr>
        <w:t xml:space="preserve"> </w:t>
      </w:r>
      <w:r>
        <w:rPr>
          <w:rStyle w:val="CharSDivText"/>
        </w:rPr>
        <w:t>Offences under these regulations</w:t>
      </w:r>
      <w:bookmarkEnd w:id="627"/>
      <w:bookmarkEnd w:id="628"/>
      <w:bookmarkEnd w:id="629"/>
      <w:bookmarkEnd w:id="630"/>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jc w:val="center"/>
              <w:rPr>
                <w:b/>
              </w:rPr>
            </w:pPr>
          </w:p>
        </w:tc>
        <w:tc>
          <w:tcPr>
            <w:tcW w:w="1320" w:type="dxa"/>
            <w:vAlign w:val="center"/>
          </w:tcPr>
          <w:p>
            <w:pPr>
              <w:pStyle w:val="yTable"/>
              <w:rPr>
                <w:b/>
              </w:rPr>
            </w:pPr>
            <w:r>
              <w:rPr>
                <w:b/>
              </w:rPr>
              <w:t>Column 1</w:t>
            </w:r>
          </w:p>
        </w:tc>
        <w:tc>
          <w:tcPr>
            <w:tcW w:w="3720" w:type="dxa"/>
            <w:vAlign w:val="center"/>
          </w:tcPr>
          <w:p>
            <w:pPr>
              <w:pStyle w:val="yTable"/>
              <w:jc w:val="center"/>
              <w:rPr>
                <w:b/>
              </w:rPr>
            </w:pPr>
            <w:r>
              <w:rPr>
                <w:b/>
              </w:rPr>
              <w:t>Column 2</w:t>
            </w:r>
          </w:p>
        </w:tc>
        <w:tc>
          <w:tcPr>
            <w:tcW w:w="1200" w:type="dxa"/>
            <w:vAlign w:val="center"/>
          </w:tcPr>
          <w:p>
            <w:pPr>
              <w:pStyle w:val="yTable"/>
              <w:jc w:val="center"/>
              <w:rPr>
                <w:b/>
              </w:rPr>
            </w:pPr>
            <w:r>
              <w:rPr>
                <w:b/>
              </w:rPr>
              <w:t>Column 3</w:t>
            </w:r>
          </w:p>
        </w:tc>
      </w:tr>
      <w:tr>
        <w:trPr>
          <w:cantSplit/>
          <w:trHeight w:val="240"/>
          <w:tblHeader/>
        </w:trPr>
        <w:tc>
          <w:tcPr>
            <w:tcW w:w="840" w:type="dxa"/>
          </w:tcPr>
          <w:p>
            <w:pPr>
              <w:pStyle w:val="yTable"/>
              <w:rPr>
                <w:b/>
              </w:rPr>
            </w:pPr>
            <w:r>
              <w:rPr>
                <w:b/>
              </w:rPr>
              <w:t>Item No.</w:t>
            </w:r>
          </w:p>
          <w:p>
            <w:pPr>
              <w:pStyle w:val="yTable"/>
              <w:rPr>
                <w:b/>
              </w:rPr>
            </w:pPr>
          </w:p>
        </w:tc>
        <w:tc>
          <w:tcPr>
            <w:tcW w:w="1320" w:type="dxa"/>
          </w:tcPr>
          <w:p>
            <w:pPr>
              <w:pStyle w:val="yTable"/>
              <w:rPr>
                <w:b/>
              </w:rPr>
            </w:pPr>
            <w:r>
              <w:rPr>
                <w:b/>
              </w:rPr>
              <w:t>Regulation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rPr>
          <w:cantSplit/>
        </w:trPr>
        <w:tc>
          <w:tcPr>
            <w:tcW w:w="840" w:type="dxa"/>
          </w:tcPr>
          <w:p>
            <w:pPr>
              <w:pStyle w:val="yTable"/>
            </w:pPr>
            <w:r>
              <w:t>1.</w:t>
            </w:r>
          </w:p>
        </w:tc>
        <w:tc>
          <w:tcPr>
            <w:tcW w:w="1320" w:type="dxa"/>
          </w:tcPr>
          <w:p>
            <w:pPr>
              <w:pStyle w:val="yTable"/>
            </w:pPr>
            <w:r>
              <w:t>8(1)</w:t>
            </w:r>
          </w:p>
        </w:tc>
        <w:tc>
          <w:tcPr>
            <w:tcW w:w="3720" w:type="dxa"/>
          </w:tcPr>
          <w:p>
            <w:pPr>
              <w:pStyle w:val="yTable"/>
              <w:tabs>
                <w:tab w:val="left" w:pos="340"/>
              </w:tabs>
            </w:pPr>
            <w:r>
              <w:t>Taking flora or fauna</w:t>
            </w:r>
          </w:p>
        </w:tc>
        <w:tc>
          <w:tcPr>
            <w:tcW w:w="1200" w:type="dxa"/>
          </w:tcPr>
          <w:p>
            <w:pPr>
              <w:pStyle w:val="yTable"/>
              <w:tabs>
                <w:tab w:val="decimal" w:pos="766"/>
              </w:tabs>
              <w:rPr>
                <w:rFonts w:ascii="NewCenturySchlbk" w:hAnsi="NewCenturySchlbk"/>
                <w:b/>
                <w:i/>
                <w:sz w:val="19"/>
              </w:rPr>
            </w:pPr>
            <w:r>
              <w:t>200</w:t>
            </w:r>
          </w:p>
        </w:tc>
      </w:tr>
      <w:tr>
        <w:trPr>
          <w:cantSplit/>
          <w:trHeight w:val="360"/>
        </w:trPr>
        <w:tc>
          <w:tcPr>
            <w:tcW w:w="840" w:type="dxa"/>
          </w:tcPr>
          <w:p>
            <w:pPr>
              <w:pStyle w:val="yTable"/>
            </w:pPr>
            <w:r>
              <w:t>2.</w:t>
            </w:r>
          </w:p>
        </w:tc>
        <w:tc>
          <w:tcPr>
            <w:tcW w:w="1320" w:type="dxa"/>
          </w:tcPr>
          <w:p>
            <w:pPr>
              <w:pStyle w:val="yTable"/>
            </w:pPr>
            <w:r>
              <w:t>9(1)</w:t>
            </w:r>
          </w:p>
        </w:tc>
        <w:tc>
          <w:tcPr>
            <w:tcW w:w="3720" w:type="dxa"/>
          </w:tcPr>
          <w:p>
            <w:pPr>
              <w:pStyle w:val="yTable"/>
              <w:tabs>
                <w:tab w:val="left" w:pos="340"/>
              </w:tabs>
            </w:pPr>
            <w:r>
              <w:t>Fishing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3.</w:t>
            </w:r>
          </w:p>
        </w:tc>
        <w:tc>
          <w:tcPr>
            <w:tcW w:w="1320" w:type="dxa"/>
          </w:tcPr>
          <w:p>
            <w:pPr>
              <w:pStyle w:val="yTable"/>
            </w:pPr>
            <w:r>
              <w:t>10</w:t>
            </w:r>
          </w:p>
        </w:tc>
        <w:tc>
          <w:tcPr>
            <w:tcW w:w="3720" w:type="dxa"/>
          </w:tcPr>
          <w:p>
            <w:pPr>
              <w:pStyle w:val="yTable"/>
            </w:pPr>
            <w:r>
              <w:t>Feeding fauna</w:t>
            </w:r>
          </w:p>
        </w:tc>
        <w:tc>
          <w:tcPr>
            <w:tcW w:w="1200" w:type="dxa"/>
          </w:tcPr>
          <w:p>
            <w:pPr>
              <w:pStyle w:val="yTable"/>
              <w:tabs>
                <w:tab w:val="decimal" w:pos="766"/>
              </w:tabs>
            </w:pPr>
            <w:r>
              <w:rPr>
                <w:szCs w:val="22"/>
              </w:rPr>
              <w:t>100</w:t>
            </w:r>
          </w:p>
        </w:tc>
      </w:tr>
      <w:tr>
        <w:trPr>
          <w:cantSplit/>
        </w:trPr>
        <w:tc>
          <w:tcPr>
            <w:tcW w:w="840" w:type="dxa"/>
          </w:tcPr>
          <w:p>
            <w:pPr>
              <w:pStyle w:val="yTable"/>
            </w:pPr>
            <w:r>
              <w:t>4.</w:t>
            </w:r>
          </w:p>
        </w:tc>
        <w:tc>
          <w:tcPr>
            <w:tcW w:w="1320" w:type="dxa"/>
          </w:tcPr>
          <w:p>
            <w:pPr>
              <w:pStyle w:val="yTable"/>
            </w:pPr>
            <w:r>
              <w:t>12(1)</w:t>
            </w:r>
          </w:p>
        </w:tc>
        <w:tc>
          <w:tcPr>
            <w:tcW w:w="3720" w:type="dxa"/>
          </w:tcPr>
          <w:p>
            <w:pPr>
              <w:pStyle w:val="yTable"/>
            </w:pPr>
            <w:r>
              <w:t>Failing to stow firearm or ammunition</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5.</w:t>
            </w:r>
          </w:p>
        </w:tc>
        <w:tc>
          <w:tcPr>
            <w:tcW w:w="1320" w:type="dxa"/>
          </w:tcPr>
          <w:p>
            <w:pPr>
              <w:pStyle w:val="yTable"/>
            </w:pPr>
            <w:r>
              <w:t>12(2)</w:t>
            </w:r>
          </w:p>
        </w:tc>
        <w:tc>
          <w:tcPr>
            <w:tcW w:w="3720" w:type="dxa"/>
          </w:tcPr>
          <w:p>
            <w:pPr>
              <w:pStyle w:val="yTable"/>
            </w:pPr>
            <w:r>
              <w:t>Possession in restricted or classified area of unstowed spear, speargun or gidgie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w:t>
            </w:r>
          </w:p>
        </w:tc>
        <w:tc>
          <w:tcPr>
            <w:tcW w:w="1320" w:type="dxa"/>
          </w:tcPr>
          <w:p>
            <w:pPr>
              <w:pStyle w:val="yTable"/>
            </w:pPr>
            <w:r>
              <w:t>12(3)</w:t>
            </w:r>
          </w:p>
        </w:tc>
        <w:tc>
          <w:tcPr>
            <w:tcW w:w="3720" w:type="dxa"/>
          </w:tcPr>
          <w:p>
            <w:pPr>
              <w:pStyle w:val="yTable"/>
            </w:pPr>
            <w:r>
              <w:t>Possession of restricted device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6a.</w:t>
            </w:r>
          </w:p>
        </w:tc>
        <w:tc>
          <w:tcPr>
            <w:tcW w:w="1320" w:type="dxa"/>
          </w:tcPr>
          <w:p>
            <w:pPr>
              <w:pStyle w:val="yTable"/>
            </w:pPr>
            <w:r>
              <w:t>12(3a)</w:t>
            </w:r>
          </w:p>
        </w:tc>
        <w:tc>
          <w:tcPr>
            <w:tcW w:w="3720" w:type="dxa"/>
          </w:tcPr>
          <w:p>
            <w:pPr>
              <w:pStyle w:val="yTable"/>
            </w:pPr>
            <w:r>
              <w:t>Unauthorised use of firearm, spear gun etc.</w:t>
            </w:r>
          </w:p>
        </w:tc>
        <w:tc>
          <w:tcPr>
            <w:tcW w:w="1200" w:type="dxa"/>
            <w:vAlign w:val="bottom"/>
          </w:tcPr>
          <w:p>
            <w:pPr>
              <w:pStyle w:val="yTable"/>
              <w:tabs>
                <w:tab w:val="decimal" w:pos="766"/>
              </w:tabs>
            </w:pPr>
            <w:r>
              <w:t>200</w:t>
            </w:r>
          </w:p>
        </w:tc>
      </w:tr>
      <w:tr>
        <w:trPr>
          <w:cantSplit/>
        </w:trPr>
        <w:tc>
          <w:tcPr>
            <w:tcW w:w="840" w:type="dxa"/>
          </w:tcPr>
          <w:p>
            <w:pPr>
              <w:pStyle w:val="yTable"/>
            </w:pPr>
            <w:r>
              <w:t>6B.</w:t>
            </w:r>
          </w:p>
        </w:tc>
        <w:tc>
          <w:tcPr>
            <w:tcW w:w="1320" w:type="dxa"/>
          </w:tcPr>
          <w:p>
            <w:pPr>
              <w:pStyle w:val="yTable"/>
            </w:pPr>
            <w:r>
              <w:t>13(1)</w:t>
            </w:r>
          </w:p>
        </w:tc>
        <w:tc>
          <w:tcPr>
            <w:tcW w:w="3720" w:type="dxa"/>
          </w:tcPr>
          <w:p>
            <w:pPr>
              <w:pStyle w:val="yTable"/>
            </w:pPr>
            <w:r>
              <w:t>Cultivating plants</w:t>
            </w:r>
          </w:p>
        </w:tc>
        <w:tc>
          <w:tcPr>
            <w:tcW w:w="1200" w:type="dxa"/>
            <w:vAlign w:val="bottom"/>
          </w:tcPr>
          <w:p>
            <w:pPr>
              <w:pStyle w:val="yTable"/>
              <w:tabs>
                <w:tab w:val="decimal" w:pos="766"/>
              </w:tabs>
            </w:pPr>
            <w:r>
              <w:t>200</w:t>
            </w:r>
          </w:p>
        </w:tc>
      </w:tr>
      <w:tr>
        <w:trPr>
          <w:cantSplit/>
        </w:trPr>
        <w:tc>
          <w:tcPr>
            <w:tcW w:w="840" w:type="dxa"/>
          </w:tcPr>
          <w:p>
            <w:pPr>
              <w:pStyle w:val="yTable"/>
            </w:pPr>
            <w:r>
              <w:t>6C.</w:t>
            </w:r>
          </w:p>
        </w:tc>
        <w:tc>
          <w:tcPr>
            <w:tcW w:w="1320" w:type="dxa"/>
          </w:tcPr>
          <w:p>
            <w:pPr>
              <w:pStyle w:val="yTable"/>
            </w:pPr>
            <w:r>
              <w:t>14(2)</w:t>
            </w:r>
          </w:p>
        </w:tc>
        <w:tc>
          <w:tcPr>
            <w:tcW w:w="3720" w:type="dxa"/>
          </w:tcPr>
          <w:p>
            <w:pPr>
              <w:pStyle w:val="yTable"/>
            </w:pPr>
            <w:r>
              <w:t>Failing to comply with direction to remove plants, equipment</w:t>
            </w:r>
          </w:p>
        </w:tc>
        <w:tc>
          <w:tcPr>
            <w:tcW w:w="1200" w:type="dxa"/>
            <w:vAlign w:val="bottom"/>
          </w:tcPr>
          <w:p>
            <w:pPr>
              <w:pStyle w:val="yTable"/>
              <w:tabs>
                <w:tab w:val="decimal" w:pos="766"/>
              </w:tabs>
            </w:pPr>
            <w:r>
              <w:br/>
              <w:t>200</w:t>
            </w:r>
          </w:p>
        </w:tc>
      </w:tr>
      <w:tr>
        <w:trPr>
          <w:cantSplit/>
        </w:trPr>
        <w:tc>
          <w:tcPr>
            <w:tcW w:w="840" w:type="dxa"/>
          </w:tcPr>
          <w:p>
            <w:pPr>
              <w:pStyle w:val="yTable"/>
            </w:pPr>
            <w:r>
              <w:t>7.</w:t>
            </w:r>
          </w:p>
        </w:tc>
        <w:tc>
          <w:tcPr>
            <w:tcW w:w="1320" w:type="dxa"/>
          </w:tcPr>
          <w:p>
            <w:pPr>
              <w:pStyle w:val="yTable"/>
            </w:pPr>
            <w:r>
              <w:t>15</w:t>
            </w:r>
          </w:p>
        </w:tc>
        <w:tc>
          <w:tcPr>
            <w:tcW w:w="3720" w:type="dxa"/>
          </w:tcPr>
          <w:p>
            <w:pPr>
              <w:pStyle w:val="yTable"/>
            </w:pPr>
            <w:r>
              <w:t>Bringing animal on to, or allowing animal to enter or remain, on CALM land</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8.</w:t>
            </w:r>
          </w:p>
        </w:tc>
        <w:tc>
          <w:tcPr>
            <w:tcW w:w="1320" w:type="dxa"/>
          </w:tcPr>
          <w:p>
            <w:pPr>
              <w:pStyle w:val="yTable"/>
            </w:pPr>
            <w:r>
              <w:t>16(2)</w:t>
            </w:r>
          </w:p>
        </w:tc>
        <w:tc>
          <w:tcPr>
            <w:tcW w:w="3720" w:type="dxa"/>
          </w:tcPr>
          <w:p>
            <w:pPr>
              <w:pStyle w:val="yTable"/>
            </w:pPr>
            <w:r>
              <w:t>Failing to control or manage dog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9.</w:t>
            </w:r>
          </w:p>
        </w:tc>
        <w:tc>
          <w:tcPr>
            <w:tcW w:w="1320" w:type="dxa"/>
          </w:tcPr>
          <w:p>
            <w:pPr>
              <w:pStyle w:val="yTable"/>
            </w:pPr>
            <w:r>
              <w:t>17(2)</w:t>
            </w:r>
          </w:p>
        </w:tc>
        <w:tc>
          <w:tcPr>
            <w:tcW w:w="3720" w:type="dxa"/>
          </w:tcPr>
          <w:p>
            <w:pPr>
              <w:pStyle w:val="yTable"/>
            </w:pPr>
            <w:r>
              <w:t>Failing to control or manage horse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10.</w:t>
            </w:r>
          </w:p>
        </w:tc>
        <w:tc>
          <w:tcPr>
            <w:tcW w:w="1320" w:type="dxa"/>
          </w:tcPr>
          <w:p>
            <w:pPr>
              <w:pStyle w:val="yTable"/>
            </w:pPr>
            <w:r>
              <w:t>18</w:t>
            </w:r>
          </w:p>
        </w:tc>
        <w:tc>
          <w:tcPr>
            <w:tcW w:w="3720" w:type="dxa"/>
          </w:tcPr>
          <w:p>
            <w:pPr>
              <w:pStyle w:val="yTable"/>
            </w:pPr>
            <w:r>
              <w:t>Hunting etc. non</w:t>
            </w:r>
            <w:r>
              <w:noBreakHyphen/>
              <w:t>indigenous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11.</w:t>
            </w:r>
          </w:p>
        </w:tc>
        <w:tc>
          <w:tcPr>
            <w:tcW w:w="1320" w:type="dxa"/>
          </w:tcPr>
          <w:p>
            <w:pPr>
              <w:pStyle w:val="yTable"/>
            </w:pPr>
            <w:r>
              <w:t>19</w:t>
            </w:r>
          </w:p>
        </w:tc>
        <w:tc>
          <w:tcPr>
            <w:tcW w:w="3720" w:type="dxa"/>
          </w:tcPr>
          <w:p>
            <w:pPr>
              <w:pStyle w:val="yTable"/>
            </w:pPr>
            <w:r>
              <w:t>Failing to remove animal</w:t>
            </w:r>
          </w:p>
        </w:tc>
        <w:tc>
          <w:tcPr>
            <w:tcW w:w="1200" w:type="dxa"/>
          </w:tcPr>
          <w:p>
            <w:pPr>
              <w:pStyle w:val="yTable"/>
              <w:tabs>
                <w:tab w:val="decimal" w:pos="766"/>
              </w:tabs>
            </w:pPr>
            <w:r>
              <w:rPr>
                <w:szCs w:val="22"/>
              </w:rPr>
              <w:t>200</w:t>
            </w:r>
          </w:p>
        </w:tc>
      </w:tr>
      <w:tr>
        <w:trPr>
          <w:cantSplit/>
        </w:trPr>
        <w:tc>
          <w:tcPr>
            <w:tcW w:w="840" w:type="dxa"/>
          </w:tcPr>
          <w:p>
            <w:pPr>
              <w:pStyle w:val="yTable"/>
            </w:pPr>
            <w:r>
              <w:t>12.</w:t>
            </w:r>
          </w:p>
        </w:tc>
        <w:tc>
          <w:tcPr>
            <w:tcW w:w="1320" w:type="dxa"/>
          </w:tcPr>
          <w:p>
            <w:pPr>
              <w:pStyle w:val="yTable"/>
            </w:pPr>
            <w:r>
              <w:t>21(1)</w:t>
            </w:r>
          </w:p>
        </w:tc>
        <w:tc>
          <w:tcPr>
            <w:tcW w:w="3720" w:type="dxa"/>
          </w:tcPr>
          <w:p>
            <w:pPr>
              <w:pStyle w:val="yTable"/>
            </w:pPr>
            <w:r>
              <w:t>Causing or allowing waste to be discharged or placed on CALM land</w:t>
            </w:r>
          </w:p>
        </w:tc>
        <w:tc>
          <w:tcPr>
            <w:tcW w:w="1200" w:type="dxa"/>
            <w:vAlign w:val="bottom"/>
          </w:tcPr>
          <w:p>
            <w:pPr>
              <w:pStyle w:val="yTable"/>
              <w:tabs>
                <w:tab w:val="decimal" w:pos="766"/>
              </w:tabs>
            </w:pPr>
            <w:r>
              <w:t>200</w:t>
            </w:r>
          </w:p>
        </w:tc>
      </w:tr>
      <w:tr>
        <w:trPr>
          <w:cantSplit/>
        </w:trPr>
        <w:tc>
          <w:tcPr>
            <w:tcW w:w="840" w:type="dxa"/>
          </w:tcPr>
          <w:p>
            <w:pPr>
              <w:pStyle w:val="yTable"/>
            </w:pPr>
            <w:r>
              <w:t>13.</w:t>
            </w:r>
          </w:p>
        </w:tc>
        <w:tc>
          <w:tcPr>
            <w:tcW w:w="1320" w:type="dxa"/>
          </w:tcPr>
          <w:p>
            <w:pPr>
              <w:pStyle w:val="yTable"/>
            </w:pPr>
            <w:r>
              <w:t>21(4)</w:t>
            </w:r>
          </w:p>
        </w:tc>
        <w:tc>
          <w:tcPr>
            <w:tcW w:w="3720" w:type="dxa"/>
          </w:tcPr>
          <w:p>
            <w:pPr>
              <w:pStyle w:val="yTable"/>
            </w:pPr>
            <w:r>
              <w:t>Failing to comply with conditions for discharging sewage in designated area</w:t>
            </w:r>
          </w:p>
        </w:tc>
        <w:tc>
          <w:tcPr>
            <w:tcW w:w="1200" w:type="dxa"/>
            <w:vAlign w:val="bottom"/>
          </w:tcPr>
          <w:p>
            <w:pPr>
              <w:pStyle w:val="yTable"/>
              <w:tabs>
                <w:tab w:val="decimal" w:pos="766"/>
              </w:tabs>
            </w:pPr>
            <w:r>
              <w:t>200</w:t>
            </w:r>
          </w:p>
        </w:tc>
      </w:tr>
      <w:tr>
        <w:trPr>
          <w:cantSplit/>
        </w:trPr>
        <w:tc>
          <w:tcPr>
            <w:tcW w:w="840" w:type="dxa"/>
          </w:tcPr>
          <w:p>
            <w:pPr>
              <w:pStyle w:val="yTable"/>
            </w:pPr>
            <w:r>
              <w:t>14.</w:t>
            </w:r>
          </w:p>
        </w:tc>
        <w:tc>
          <w:tcPr>
            <w:tcW w:w="1320" w:type="dxa"/>
          </w:tcPr>
          <w:p>
            <w:pPr>
              <w:pStyle w:val="yTable"/>
            </w:pPr>
            <w:r>
              <w:t>22</w:t>
            </w:r>
          </w:p>
        </w:tc>
        <w:tc>
          <w:tcPr>
            <w:tcW w:w="3720" w:type="dxa"/>
          </w:tcPr>
          <w:p>
            <w:pPr>
              <w:pStyle w:val="yTable"/>
            </w:pPr>
            <w:r>
              <w:t>Painting or treating vessels</w:t>
            </w:r>
          </w:p>
        </w:tc>
        <w:tc>
          <w:tcPr>
            <w:tcW w:w="1200" w:type="dxa"/>
            <w:vAlign w:val="bottom"/>
          </w:tcPr>
          <w:p>
            <w:pPr>
              <w:pStyle w:val="yTable"/>
              <w:tabs>
                <w:tab w:val="decimal" w:pos="766"/>
              </w:tabs>
            </w:pPr>
            <w:r>
              <w:t>200</w:t>
            </w:r>
          </w:p>
        </w:tc>
      </w:tr>
      <w:tr>
        <w:trPr>
          <w:cantSplit/>
        </w:trPr>
        <w:tc>
          <w:tcPr>
            <w:tcW w:w="840" w:type="dxa"/>
          </w:tcPr>
          <w:p>
            <w:pPr>
              <w:pStyle w:val="yTable"/>
            </w:pPr>
            <w:r>
              <w:t>15.</w:t>
            </w:r>
          </w:p>
        </w:tc>
        <w:tc>
          <w:tcPr>
            <w:tcW w:w="1320" w:type="dxa"/>
          </w:tcPr>
          <w:p>
            <w:pPr>
              <w:pStyle w:val="yTable"/>
            </w:pPr>
            <w:r>
              <w:t>23(1)</w:t>
            </w:r>
          </w:p>
        </w:tc>
        <w:tc>
          <w:tcPr>
            <w:tcW w:w="3720" w:type="dxa"/>
          </w:tcPr>
          <w:p>
            <w:pPr>
              <w:pStyle w:val="yTable"/>
            </w:pPr>
            <w:r>
              <w:t>Polluting water supply</w:t>
            </w:r>
          </w:p>
        </w:tc>
        <w:tc>
          <w:tcPr>
            <w:tcW w:w="1200" w:type="dxa"/>
            <w:vAlign w:val="bottom"/>
          </w:tcPr>
          <w:p>
            <w:pPr>
              <w:pStyle w:val="yTable"/>
              <w:tabs>
                <w:tab w:val="decimal" w:pos="766"/>
              </w:tabs>
            </w:pPr>
            <w:r>
              <w:t>200</w:t>
            </w:r>
          </w:p>
        </w:tc>
      </w:tr>
      <w:tr>
        <w:trPr>
          <w:cantSplit/>
        </w:trPr>
        <w:tc>
          <w:tcPr>
            <w:tcW w:w="840" w:type="dxa"/>
          </w:tcPr>
          <w:p>
            <w:pPr>
              <w:pStyle w:val="yTable"/>
            </w:pPr>
            <w:r>
              <w:t>16.</w:t>
            </w:r>
          </w:p>
        </w:tc>
        <w:tc>
          <w:tcPr>
            <w:tcW w:w="1320" w:type="dxa"/>
          </w:tcPr>
          <w:p>
            <w:pPr>
              <w:pStyle w:val="yTable"/>
            </w:pPr>
            <w:r>
              <w:t>23(2)</w:t>
            </w:r>
          </w:p>
        </w:tc>
        <w:tc>
          <w:tcPr>
            <w:tcW w:w="3720" w:type="dxa"/>
          </w:tcPr>
          <w:p>
            <w:pPr>
              <w:pStyle w:val="yTable"/>
            </w:pPr>
            <w:r>
              <w:t>Swimming etc. in reservoir or tank</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17.</w:t>
            </w:r>
          </w:p>
        </w:tc>
        <w:tc>
          <w:tcPr>
            <w:tcW w:w="1320" w:type="dxa"/>
          </w:tcPr>
          <w:p>
            <w:pPr>
              <w:pStyle w:val="yTable"/>
            </w:pPr>
            <w:r>
              <w:t>24(1)</w:t>
            </w:r>
          </w:p>
        </w:tc>
        <w:tc>
          <w:tcPr>
            <w:tcW w:w="3720" w:type="dxa"/>
          </w:tcPr>
          <w:p>
            <w:pPr>
              <w:pStyle w:val="yTable"/>
            </w:pPr>
            <w:r>
              <w:t>Littering</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18.</w:t>
            </w:r>
          </w:p>
        </w:tc>
        <w:tc>
          <w:tcPr>
            <w:tcW w:w="1320" w:type="dxa"/>
          </w:tcPr>
          <w:p>
            <w:pPr>
              <w:pStyle w:val="yTable"/>
            </w:pPr>
            <w:r>
              <w:t>26</w:t>
            </w:r>
          </w:p>
        </w:tc>
        <w:tc>
          <w:tcPr>
            <w:tcW w:w="3720" w:type="dxa"/>
          </w:tcPr>
          <w:p>
            <w:pPr>
              <w:pStyle w:val="yTable"/>
            </w:pPr>
            <w:r>
              <w:t>Taking glass into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19.</w:t>
            </w:r>
          </w:p>
        </w:tc>
        <w:tc>
          <w:tcPr>
            <w:tcW w:w="1320" w:type="dxa"/>
          </w:tcPr>
          <w:p>
            <w:pPr>
              <w:pStyle w:val="yTable"/>
            </w:pPr>
            <w:r>
              <w:t>27(2)</w:t>
            </w:r>
          </w:p>
        </w:tc>
        <w:tc>
          <w:tcPr>
            <w:tcW w:w="3720" w:type="dxa"/>
          </w:tcPr>
          <w:p>
            <w:pPr>
              <w:pStyle w:val="yTable"/>
            </w:pPr>
            <w:r>
              <w:t>Failing to comply with direction to remove litter</w:t>
            </w:r>
          </w:p>
        </w:tc>
        <w:tc>
          <w:tcPr>
            <w:tcW w:w="1200" w:type="dxa"/>
            <w:vAlign w:val="bottom"/>
          </w:tcPr>
          <w:p>
            <w:pPr>
              <w:pStyle w:val="yTable"/>
              <w:tabs>
                <w:tab w:val="decimal" w:pos="766"/>
              </w:tabs>
            </w:pPr>
            <w:r>
              <w:t>200</w:t>
            </w:r>
          </w:p>
        </w:tc>
      </w:tr>
      <w:tr>
        <w:trPr>
          <w:cantSplit/>
        </w:trPr>
        <w:tc>
          <w:tcPr>
            <w:tcW w:w="840" w:type="dxa"/>
          </w:tcPr>
          <w:p>
            <w:pPr>
              <w:pStyle w:val="yTable"/>
            </w:pPr>
            <w:r>
              <w:t>20.</w:t>
            </w:r>
          </w:p>
        </w:tc>
        <w:tc>
          <w:tcPr>
            <w:tcW w:w="1320" w:type="dxa"/>
          </w:tcPr>
          <w:p>
            <w:pPr>
              <w:pStyle w:val="yTable"/>
            </w:pPr>
            <w:r>
              <w:t>28</w:t>
            </w:r>
          </w:p>
        </w:tc>
        <w:tc>
          <w:tcPr>
            <w:tcW w:w="3720" w:type="dxa"/>
          </w:tcPr>
          <w:p>
            <w:pPr>
              <w:pStyle w:val="yTable"/>
            </w:pPr>
            <w:r>
              <w:t>Cleaning etc. fish in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21.</w:t>
            </w:r>
          </w:p>
        </w:tc>
        <w:tc>
          <w:tcPr>
            <w:tcW w:w="1320" w:type="dxa"/>
          </w:tcPr>
          <w:p>
            <w:pPr>
              <w:pStyle w:val="yTable"/>
            </w:pPr>
            <w:r>
              <w:t>29(1)</w:t>
            </w:r>
          </w:p>
        </w:tc>
        <w:tc>
          <w:tcPr>
            <w:tcW w:w="3720" w:type="dxa"/>
          </w:tcPr>
          <w:p>
            <w:pPr>
              <w:pStyle w:val="yTable"/>
            </w:pPr>
            <w:r>
              <w:t>Smoking in cave</w:t>
            </w:r>
          </w:p>
        </w:tc>
        <w:tc>
          <w:tcPr>
            <w:tcW w:w="1200" w:type="dxa"/>
            <w:vAlign w:val="bottom"/>
          </w:tcPr>
          <w:p>
            <w:pPr>
              <w:pStyle w:val="yTable"/>
              <w:tabs>
                <w:tab w:val="decimal" w:pos="766"/>
              </w:tabs>
            </w:pPr>
            <w:r>
              <w:t>50</w:t>
            </w:r>
          </w:p>
        </w:tc>
      </w:tr>
      <w:tr>
        <w:trPr>
          <w:cantSplit/>
        </w:trPr>
        <w:tc>
          <w:tcPr>
            <w:tcW w:w="840" w:type="dxa"/>
          </w:tcPr>
          <w:p>
            <w:pPr>
              <w:pStyle w:val="yTable"/>
            </w:pPr>
            <w:r>
              <w:t>22.</w:t>
            </w:r>
          </w:p>
        </w:tc>
        <w:tc>
          <w:tcPr>
            <w:tcW w:w="1320" w:type="dxa"/>
          </w:tcPr>
          <w:p>
            <w:pPr>
              <w:pStyle w:val="yTable"/>
            </w:pPr>
            <w:r>
              <w:t>29(2)</w:t>
            </w:r>
          </w:p>
        </w:tc>
        <w:tc>
          <w:tcPr>
            <w:tcW w:w="3720" w:type="dxa"/>
          </w:tcPr>
          <w:p>
            <w:pPr>
              <w:pStyle w:val="yTable"/>
            </w:pPr>
            <w:r>
              <w:t>Lighting a fire in a cave</w:t>
            </w:r>
          </w:p>
        </w:tc>
        <w:tc>
          <w:tcPr>
            <w:tcW w:w="1200" w:type="dxa"/>
            <w:vAlign w:val="bottom"/>
          </w:tcPr>
          <w:p>
            <w:pPr>
              <w:pStyle w:val="yTable"/>
              <w:tabs>
                <w:tab w:val="decimal" w:pos="766"/>
              </w:tabs>
            </w:pPr>
            <w:r>
              <w:t>200</w:t>
            </w:r>
          </w:p>
        </w:tc>
      </w:tr>
      <w:tr>
        <w:trPr>
          <w:cantSplit/>
        </w:trPr>
        <w:tc>
          <w:tcPr>
            <w:tcW w:w="840" w:type="dxa"/>
          </w:tcPr>
          <w:p>
            <w:pPr>
              <w:pStyle w:val="yTable"/>
            </w:pPr>
            <w:r>
              <w:t>23.</w:t>
            </w:r>
          </w:p>
        </w:tc>
        <w:tc>
          <w:tcPr>
            <w:tcW w:w="1320" w:type="dxa"/>
          </w:tcPr>
          <w:p>
            <w:pPr>
              <w:pStyle w:val="yTable"/>
            </w:pPr>
            <w:r>
              <w:t>31(1)</w:t>
            </w:r>
          </w:p>
        </w:tc>
        <w:tc>
          <w:tcPr>
            <w:tcW w:w="3720" w:type="dxa"/>
          </w:tcPr>
          <w:p>
            <w:pPr>
              <w:pStyle w:val="yTable"/>
            </w:pPr>
            <w:r>
              <w:t>Damaging, disturbing or removing naturally occurring feature</w:t>
            </w:r>
          </w:p>
        </w:tc>
        <w:tc>
          <w:tcPr>
            <w:tcW w:w="1200" w:type="dxa"/>
            <w:vAlign w:val="bottom"/>
          </w:tcPr>
          <w:p>
            <w:pPr>
              <w:pStyle w:val="yTable"/>
              <w:tabs>
                <w:tab w:val="decimal" w:pos="766"/>
              </w:tabs>
            </w:pPr>
            <w:r>
              <w:t>200</w:t>
            </w:r>
          </w:p>
        </w:tc>
      </w:tr>
      <w:tr>
        <w:trPr>
          <w:cantSplit/>
        </w:trPr>
        <w:tc>
          <w:tcPr>
            <w:tcW w:w="840" w:type="dxa"/>
          </w:tcPr>
          <w:p>
            <w:pPr>
              <w:pStyle w:val="yTable"/>
              <w:keepNext/>
            </w:pPr>
            <w:r>
              <w:t>24.</w:t>
            </w:r>
          </w:p>
        </w:tc>
        <w:tc>
          <w:tcPr>
            <w:tcW w:w="1320" w:type="dxa"/>
          </w:tcPr>
          <w:p>
            <w:pPr>
              <w:pStyle w:val="yTable"/>
              <w:keepNext/>
            </w:pPr>
            <w:r>
              <w:t>32</w:t>
            </w:r>
          </w:p>
        </w:tc>
        <w:tc>
          <w:tcPr>
            <w:tcW w:w="3720" w:type="dxa"/>
          </w:tcPr>
          <w:p>
            <w:pPr>
              <w:pStyle w:val="yTable"/>
              <w:keepNext/>
            </w:pPr>
            <w:r>
              <w:t>Sandboarding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25.</w:t>
            </w:r>
          </w:p>
        </w:tc>
        <w:tc>
          <w:tcPr>
            <w:tcW w:w="1320" w:type="dxa"/>
          </w:tcPr>
          <w:p>
            <w:pPr>
              <w:pStyle w:val="yTable"/>
            </w:pPr>
            <w:r>
              <w:t>33</w:t>
            </w:r>
          </w:p>
        </w:tc>
        <w:tc>
          <w:tcPr>
            <w:tcW w:w="3720" w:type="dxa"/>
          </w:tcPr>
          <w:p>
            <w:pPr>
              <w:pStyle w:val="yTable"/>
            </w:pPr>
            <w:r>
              <w:t>Abseiling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keepNext/>
            </w:pPr>
            <w:r>
              <w:t>25a.</w:t>
            </w:r>
          </w:p>
        </w:tc>
        <w:tc>
          <w:tcPr>
            <w:tcW w:w="1320" w:type="dxa"/>
          </w:tcPr>
          <w:p>
            <w:pPr>
              <w:pStyle w:val="yTable"/>
              <w:keepNext/>
            </w:pPr>
            <w:r>
              <w:t>34(1)</w:t>
            </w:r>
          </w:p>
        </w:tc>
        <w:tc>
          <w:tcPr>
            <w:tcW w:w="3720" w:type="dxa"/>
          </w:tcPr>
          <w:p>
            <w:pPr>
              <w:pStyle w:val="yTable"/>
              <w:keepNext/>
            </w:pPr>
            <w:r>
              <w:t>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25b.</w:t>
            </w:r>
          </w:p>
        </w:tc>
        <w:tc>
          <w:tcPr>
            <w:tcW w:w="1320" w:type="dxa"/>
          </w:tcPr>
          <w:p>
            <w:pPr>
              <w:pStyle w:val="yTable"/>
            </w:pPr>
            <w:r>
              <w:t>34(4)</w:t>
            </w:r>
          </w:p>
        </w:tc>
        <w:tc>
          <w:tcPr>
            <w:tcW w:w="3720" w:type="dxa"/>
          </w:tcPr>
          <w:p>
            <w:pPr>
              <w:pStyle w:val="yTable"/>
            </w:pPr>
            <w:r>
              <w:t>Failing to comply with direction to pull down etc. 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25c.</w:t>
            </w:r>
          </w:p>
        </w:tc>
        <w:tc>
          <w:tcPr>
            <w:tcW w:w="1320" w:type="dxa"/>
          </w:tcPr>
          <w:p>
            <w:pPr>
              <w:pStyle w:val="yTable"/>
            </w:pPr>
            <w:r>
              <w:t>35A(1)</w:t>
            </w:r>
          </w:p>
        </w:tc>
        <w:tc>
          <w:tcPr>
            <w:tcW w:w="3720" w:type="dxa"/>
          </w:tcPr>
          <w:p>
            <w:pPr>
              <w:pStyle w:val="yTable"/>
            </w:pPr>
            <w:r>
              <w:t>Quarrying, removing or disturbing soil etc.</w:t>
            </w:r>
          </w:p>
        </w:tc>
        <w:tc>
          <w:tcPr>
            <w:tcW w:w="1200" w:type="dxa"/>
            <w:vAlign w:val="bottom"/>
          </w:tcPr>
          <w:p>
            <w:pPr>
              <w:pStyle w:val="yTable"/>
              <w:tabs>
                <w:tab w:val="decimal" w:pos="766"/>
              </w:tabs>
            </w:pPr>
            <w:r>
              <w:t>200</w:t>
            </w:r>
          </w:p>
        </w:tc>
      </w:tr>
      <w:tr>
        <w:trPr>
          <w:cantSplit/>
        </w:trPr>
        <w:tc>
          <w:tcPr>
            <w:tcW w:w="840" w:type="dxa"/>
          </w:tcPr>
          <w:p>
            <w:pPr>
              <w:pStyle w:val="yTable"/>
            </w:pPr>
            <w:r>
              <w:t>26.</w:t>
            </w:r>
          </w:p>
        </w:tc>
        <w:tc>
          <w:tcPr>
            <w:tcW w:w="1320" w:type="dxa"/>
          </w:tcPr>
          <w:p>
            <w:pPr>
              <w:pStyle w:val="yTable"/>
            </w:pPr>
            <w:r>
              <w:t>36</w:t>
            </w:r>
          </w:p>
        </w:tc>
        <w:tc>
          <w:tcPr>
            <w:tcW w:w="3720" w:type="dxa"/>
          </w:tcPr>
          <w:p>
            <w:pPr>
              <w:pStyle w:val="yTable"/>
            </w:pPr>
            <w:r>
              <w:t>Dumping of vehicles etc.</w:t>
            </w:r>
          </w:p>
        </w:tc>
        <w:tc>
          <w:tcPr>
            <w:tcW w:w="1200" w:type="dxa"/>
            <w:vAlign w:val="bottom"/>
          </w:tcPr>
          <w:p>
            <w:pPr>
              <w:pStyle w:val="yTable"/>
              <w:tabs>
                <w:tab w:val="decimal" w:pos="766"/>
              </w:tabs>
            </w:pPr>
            <w:r>
              <w:t>200</w:t>
            </w:r>
          </w:p>
        </w:tc>
      </w:tr>
      <w:tr>
        <w:trPr>
          <w:cantSplit/>
        </w:trPr>
        <w:tc>
          <w:tcPr>
            <w:tcW w:w="840" w:type="dxa"/>
          </w:tcPr>
          <w:p>
            <w:pPr>
              <w:pStyle w:val="yTable"/>
            </w:pPr>
            <w:r>
              <w:t>27.</w:t>
            </w:r>
          </w:p>
        </w:tc>
        <w:tc>
          <w:tcPr>
            <w:tcW w:w="1320" w:type="dxa"/>
          </w:tcPr>
          <w:p>
            <w:pPr>
              <w:pStyle w:val="yTable"/>
            </w:pPr>
            <w:r>
              <w:t>37(1)</w:t>
            </w:r>
          </w:p>
        </w:tc>
        <w:tc>
          <w:tcPr>
            <w:tcW w:w="3720" w:type="dxa"/>
          </w:tcPr>
          <w:p>
            <w:pPr>
              <w:pStyle w:val="yTable"/>
            </w:pPr>
            <w:r>
              <w:t>Billsticking etc.</w:t>
            </w:r>
          </w:p>
        </w:tc>
        <w:tc>
          <w:tcPr>
            <w:tcW w:w="1200" w:type="dxa"/>
            <w:vAlign w:val="bottom"/>
          </w:tcPr>
          <w:p>
            <w:pPr>
              <w:pStyle w:val="yTable"/>
              <w:tabs>
                <w:tab w:val="decimal" w:pos="766"/>
              </w:tabs>
            </w:pPr>
            <w:r>
              <w:t>50</w:t>
            </w:r>
          </w:p>
        </w:tc>
      </w:tr>
      <w:tr>
        <w:trPr>
          <w:cantSplit/>
        </w:trPr>
        <w:tc>
          <w:tcPr>
            <w:tcW w:w="840" w:type="dxa"/>
          </w:tcPr>
          <w:p>
            <w:pPr>
              <w:pStyle w:val="yTable"/>
            </w:pPr>
            <w:r>
              <w:t>28.</w:t>
            </w:r>
          </w:p>
        </w:tc>
        <w:tc>
          <w:tcPr>
            <w:tcW w:w="1320" w:type="dxa"/>
          </w:tcPr>
          <w:p>
            <w:pPr>
              <w:pStyle w:val="yTable"/>
            </w:pPr>
            <w:r>
              <w:t>37(2)</w:t>
            </w:r>
          </w:p>
        </w:tc>
        <w:tc>
          <w:tcPr>
            <w:tcW w:w="3720" w:type="dxa"/>
          </w:tcPr>
          <w:p>
            <w:pPr>
              <w:pStyle w:val="yTable"/>
            </w:pPr>
            <w:r>
              <w:t>Damaging or interfering with thing or structure</w:t>
            </w:r>
          </w:p>
        </w:tc>
        <w:tc>
          <w:tcPr>
            <w:tcW w:w="1200" w:type="dxa"/>
            <w:vAlign w:val="bottom"/>
          </w:tcPr>
          <w:p>
            <w:pPr>
              <w:pStyle w:val="yTable"/>
              <w:tabs>
                <w:tab w:val="decimal" w:pos="766"/>
              </w:tabs>
            </w:pPr>
            <w:r>
              <w:t>200</w:t>
            </w:r>
          </w:p>
        </w:tc>
      </w:tr>
      <w:tr>
        <w:trPr>
          <w:cantSplit/>
        </w:trPr>
        <w:tc>
          <w:tcPr>
            <w:tcW w:w="840" w:type="dxa"/>
          </w:tcPr>
          <w:p>
            <w:pPr>
              <w:pStyle w:val="yTable"/>
            </w:pPr>
            <w:r>
              <w:t>29.</w:t>
            </w:r>
          </w:p>
        </w:tc>
        <w:tc>
          <w:tcPr>
            <w:tcW w:w="1320" w:type="dxa"/>
          </w:tcPr>
          <w:p>
            <w:pPr>
              <w:pStyle w:val="yTable"/>
            </w:pPr>
            <w:r>
              <w:t>38(1)</w:t>
            </w:r>
          </w:p>
        </w:tc>
        <w:tc>
          <w:tcPr>
            <w:tcW w:w="3720" w:type="dxa"/>
          </w:tcPr>
          <w:p>
            <w:pPr>
              <w:pStyle w:val="yTable"/>
            </w:pPr>
            <w:r>
              <w:t>Erecting unauthorised sign or notice</w:t>
            </w:r>
          </w:p>
        </w:tc>
        <w:tc>
          <w:tcPr>
            <w:tcW w:w="1200" w:type="dxa"/>
            <w:vAlign w:val="bottom"/>
          </w:tcPr>
          <w:p>
            <w:pPr>
              <w:pStyle w:val="yTable"/>
              <w:tabs>
                <w:tab w:val="decimal" w:pos="766"/>
              </w:tabs>
            </w:pPr>
            <w:r>
              <w:t>100</w:t>
            </w:r>
          </w:p>
        </w:tc>
      </w:tr>
      <w:tr>
        <w:trPr>
          <w:cantSplit/>
        </w:trPr>
        <w:tc>
          <w:tcPr>
            <w:tcW w:w="840" w:type="dxa"/>
          </w:tcPr>
          <w:p>
            <w:pPr>
              <w:pStyle w:val="yTable"/>
            </w:pPr>
            <w:r>
              <w:t>30.</w:t>
            </w:r>
          </w:p>
        </w:tc>
        <w:tc>
          <w:tcPr>
            <w:tcW w:w="1320" w:type="dxa"/>
          </w:tcPr>
          <w:p>
            <w:pPr>
              <w:pStyle w:val="yTable"/>
            </w:pPr>
            <w:r>
              <w:t>39(1) or (2)</w:t>
            </w:r>
          </w:p>
        </w:tc>
        <w:tc>
          <w:tcPr>
            <w:tcW w:w="3720" w:type="dxa"/>
          </w:tcPr>
          <w:p>
            <w:pPr>
              <w:pStyle w:val="yTable"/>
            </w:pPr>
            <w:r>
              <w:t>Unlawful lighting of fires etc.</w:t>
            </w:r>
          </w:p>
        </w:tc>
        <w:tc>
          <w:tcPr>
            <w:tcW w:w="1200" w:type="dxa"/>
            <w:vAlign w:val="bottom"/>
          </w:tcPr>
          <w:p>
            <w:pPr>
              <w:pStyle w:val="yTable"/>
              <w:tabs>
                <w:tab w:val="decimal" w:pos="766"/>
              </w:tabs>
            </w:pPr>
            <w:r>
              <w:t>200</w:t>
            </w:r>
          </w:p>
        </w:tc>
      </w:tr>
      <w:tr>
        <w:trPr>
          <w:cantSplit/>
        </w:trPr>
        <w:tc>
          <w:tcPr>
            <w:tcW w:w="840" w:type="dxa"/>
          </w:tcPr>
          <w:p>
            <w:pPr>
              <w:pStyle w:val="yTable"/>
            </w:pPr>
            <w:r>
              <w:t>31.</w:t>
            </w:r>
          </w:p>
        </w:tc>
        <w:tc>
          <w:tcPr>
            <w:tcW w:w="1320" w:type="dxa"/>
          </w:tcPr>
          <w:p>
            <w:pPr>
              <w:pStyle w:val="yTable"/>
            </w:pPr>
            <w:r>
              <w:t>40(3)</w:t>
            </w:r>
          </w:p>
        </w:tc>
        <w:tc>
          <w:tcPr>
            <w:tcW w:w="3720" w:type="dxa"/>
          </w:tcPr>
          <w:p>
            <w:pPr>
              <w:pStyle w:val="yTable"/>
            </w:pPr>
            <w:r>
              <w:t>Failing to comply with direction under regulation 40(1) or (2)</w:t>
            </w:r>
          </w:p>
        </w:tc>
        <w:tc>
          <w:tcPr>
            <w:tcW w:w="1200" w:type="dxa"/>
            <w:vAlign w:val="bottom"/>
          </w:tcPr>
          <w:p>
            <w:pPr>
              <w:pStyle w:val="yTable"/>
              <w:tabs>
                <w:tab w:val="decimal" w:pos="766"/>
              </w:tabs>
            </w:pPr>
            <w:r>
              <w:t>200</w:t>
            </w:r>
          </w:p>
        </w:tc>
      </w:tr>
      <w:tr>
        <w:trPr>
          <w:cantSplit/>
        </w:trPr>
        <w:tc>
          <w:tcPr>
            <w:tcW w:w="840" w:type="dxa"/>
          </w:tcPr>
          <w:p>
            <w:pPr>
              <w:pStyle w:val="yTable"/>
            </w:pPr>
            <w:r>
              <w:t>32.</w:t>
            </w:r>
          </w:p>
        </w:tc>
        <w:tc>
          <w:tcPr>
            <w:tcW w:w="1320" w:type="dxa"/>
          </w:tcPr>
          <w:p>
            <w:pPr>
              <w:pStyle w:val="yTable"/>
            </w:pPr>
            <w:r>
              <w:t>41</w:t>
            </w:r>
          </w:p>
        </w:tc>
        <w:tc>
          <w:tcPr>
            <w:tcW w:w="3720" w:type="dxa"/>
          </w:tcPr>
          <w:p>
            <w:pPr>
              <w:pStyle w:val="yTable"/>
            </w:pPr>
            <w:r>
              <w:t>Entering certain classified areas</w:t>
            </w:r>
          </w:p>
        </w:tc>
        <w:tc>
          <w:tcPr>
            <w:tcW w:w="1200" w:type="dxa"/>
            <w:vAlign w:val="bottom"/>
          </w:tcPr>
          <w:p>
            <w:pPr>
              <w:pStyle w:val="yTable"/>
              <w:tabs>
                <w:tab w:val="decimal" w:pos="766"/>
              </w:tabs>
            </w:pPr>
            <w:r>
              <w:t>200</w:t>
            </w:r>
          </w:p>
        </w:tc>
      </w:tr>
      <w:tr>
        <w:trPr>
          <w:cantSplit/>
        </w:trPr>
        <w:tc>
          <w:tcPr>
            <w:tcW w:w="840" w:type="dxa"/>
          </w:tcPr>
          <w:p>
            <w:pPr>
              <w:pStyle w:val="yTable"/>
            </w:pPr>
            <w:r>
              <w:t>33.</w:t>
            </w:r>
          </w:p>
        </w:tc>
        <w:tc>
          <w:tcPr>
            <w:tcW w:w="1320" w:type="dxa"/>
          </w:tcPr>
          <w:p>
            <w:pPr>
              <w:pStyle w:val="yTable"/>
            </w:pPr>
            <w:r>
              <w:t>42</w:t>
            </w:r>
          </w:p>
        </w:tc>
        <w:tc>
          <w:tcPr>
            <w:tcW w:w="3720" w:type="dxa"/>
          </w:tcPr>
          <w:p>
            <w:pPr>
              <w:pStyle w:val="yTable"/>
            </w:pPr>
            <w:r>
              <w:t>Entering limited access area other than on foot or by vessel</w:t>
            </w:r>
          </w:p>
        </w:tc>
        <w:tc>
          <w:tcPr>
            <w:tcW w:w="1200" w:type="dxa"/>
            <w:vAlign w:val="bottom"/>
          </w:tcPr>
          <w:p>
            <w:pPr>
              <w:pStyle w:val="yTable"/>
              <w:tabs>
                <w:tab w:val="decimal" w:pos="766"/>
              </w:tabs>
            </w:pPr>
            <w:r>
              <w:t>200</w:t>
            </w:r>
          </w:p>
        </w:tc>
      </w:tr>
      <w:tr>
        <w:trPr>
          <w:cantSplit/>
        </w:trPr>
        <w:tc>
          <w:tcPr>
            <w:tcW w:w="840" w:type="dxa"/>
          </w:tcPr>
          <w:p>
            <w:pPr>
              <w:pStyle w:val="yTable"/>
            </w:pPr>
            <w:r>
              <w:t>34.</w:t>
            </w:r>
          </w:p>
        </w:tc>
        <w:tc>
          <w:tcPr>
            <w:tcW w:w="1320" w:type="dxa"/>
          </w:tcPr>
          <w:p>
            <w:pPr>
              <w:pStyle w:val="yTable"/>
            </w:pPr>
            <w:r>
              <w:t>43</w:t>
            </w:r>
          </w:p>
        </w:tc>
        <w:tc>
          <w:tcPr>
            <w:tcW w:w="3720" w:type="dxa"/>
          </w:tcPr>
          <w:p>
            <w:pPr>
              <w:pStyle w:val="yTable"/>
            </w:pPr>
            <w:r>
              <w:t>Entering wilderness area by vehicle, vessel or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35.</w:t>
            </w:r>
          </w:p>
        </w:tc>
        <w:tc>
          <w:tcPr>
            <w:tcW w:w="1320" w:type="dxa"/>
          </w:tcPr>
          <w:p>
            <w:pPr>
              <w:pStyle w:val="yTable"/>
            </w:pPr>
            <w:r>
              <w:t>46(1)</w:t>
            </w:r>
          </w:p>
        </w:tc>
        <w:tc>
          <w:tcPr>
            <w:tcW w:w="3720" w:type="dxa"/>
          </w:tcPr>
          <w:p>
            <w:pPr>
              <w:pStyle w:val="yTable"/>
            </w:pPr>
            <w:r>
              <w:t>Entering closed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36A.</w:t>
            </w:r>
          </w:p>
        </w:tc>
        <w:tc>
          <w:tcPr>
            <w:tcW w:w="1320" w:type="dxa"/>
          </w:tcPr>
          <w:p>
            <w:pPr>
              <w:pStyle w:val="yTable"/>
            </w:pPr>
            <w:r>
              <w:t>46(2)</w:t>
            </w:r>
          </w:p>
        </w:tc>
        <w:tc>
          <w:tcPr>
            <w:tcW w:w="3720" w:type="dxa"/>
          </w:tcPr>
          <w:p>
            <w:pPr>
              <w:pStyle w:val="yTable"/>
            </w:pPr>
            <w:r>
              <w:t>Failing to leave a closed area</w:t>
            </w:r>
          </w:p>
        </w:tc>
        <w:tc>
          <w:tcPr>
            <w:tcW w:w="1200" w:type="dxa"/>
            <w:vAlign w:val="bottom"/>
          </w:tcPr>
          <w:p>
            <w:pPr>
              <w:pStyle w:val="yTable"/>
              <w:tabs>
                <w:tab w:val="decimal" w:pos="766"/>
              </w:tabs>
            </w:pPr>
            <w:r>
              <w:t>200</w:t>
            </w:r>
          </w:p>
        </w:tc>
      </w:tr>
      <w:tr>
        <w:trPr>
          <w:cantSplit/>
        </w:trPr>
        <w:tc>
          <w:tcPr>
            <w:tcW w:w="840" w:type="dxa"/>
          </w:tcPr>
          <w:p>
            <w:pPr>
              <w:pStyle w:val="yTable"/>
            </w:pPr>
            <w:r>
              <w:t>36.</w:t>
            </w:r>
          </w:p>
        </w:tc>
        <w:tc>
          <w:tcPr>
            <w:tcW w:w="1320" w:type="dxa"/>
          </w:tcPr>
          <w:p>
            <w:pPr>
              <w:pStyle w:val="yTable"/>
            </w:pPr>
            <w:r>
              <w:t>47(1)</w:t>
            </w:r>
          </w:p>
        </w:tc>
        <w:tc>
          <w:tcPr>
            <w:tcW w:w="3720" w:type="dxa"/>
          </w:tcPr>
          <w:p>
            <w:pPr>
              <w:pStyle w:val="yTable"/>
            </w:pPr>
            <w:r>
              <w:t>Failing to enter through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w:t>
            </w:r>
          </w:p>
        </w:tc>
        <w:tc>
          <w:tcPr>
            <w:tcW w:w="1320" w:type="dxa"/>
          </w:tcPr>
          <w:p>
            <w:pPr>
              <w:pStyle w:val="yTable"/>
            </w:pPr>
            <w:r>
              <w:t>47(2)</w:t>
            </w:r>
          </w:p>
        </w:tc>
        <w:tc>
          <w:tcPr>
            <w:tcW w:w="3720" w:type="dxa"/>
          </w:tcPr>
          <w:p>
            <w:pPr>
              <w:pStyle w:val="yTable"/>
            </w:pPr>
            <w:r>
              <w:t>Unlawfully unlocking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37a.</w:t>
            </w:r>
          </w:p>
        </w:tc>
        <w:tc>
          <w:tcPr>
            <w:tcW w:w="1320" w:type="dxa"/>
          </w:tcPr>
          <w:p>
            <w:pPr>
              <w:pStyle w:val="yTable"/>
            </w:pPr>
            <w:r>
              <w:t>47(3)</w:t>
            </w:r>
          </w:p>
        </w:tc>
        <w:tc>
          <w:tcPr>
            <w:tcW w:w="3720" w:type="dxa"/>
          </w:tcPr>
          <w:p>
            <w:pPr>
              <w:pStyle w:val="yTable"/>
            </w:pPr>
            <w:r>
              <w:t>Unlawfully removing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38.</w:t>
            </w:r>
          </w:p>
        </w:tc>
        <w:tc>
          <w:tcPr>
            <w:tcW w:w="1320" w:type="dxa"/>
          </w:tcPr>
          <w:p>
            <w:pPr>
              <w:pStyle w:val="yTable"/>
            </w:pPr>
            <w:r>
              <w:t>48</w:t>
            </w:r>
          </w:p>
        </w:tc>
        <w:tc>
          <w:tcPr>
            <w:tcW w:w="3720" w:type="dxa"/>
          </w:tcPr>
          <w:p>
            <w:pPr>
              <w:pStyle w:val="yTable"/>
            </w:pPr>
            <w:r>
              <w:t>Entering or remaining on area set aside for Departmental purposes</w:t>
            </w:r>
          </w:p>
        </w:tc>
        <w:tc>
          <w:tcPr>
            <w:tcW w:w="1200" w:type="dxa"/>
            <w:vAlign w:val="bottom"/>
          </w:tcPr>
          <w:p>
            <w:pPr>
              <w:pStyle w:val="yTable"/>
              <w:tabs>
                <w:tab w:val="decimal" w:pos="766"/>
              </w:tabs>
            </w:pPr>
            <w:r>
              <w:t>50</w:t>
            </w:r>
          </w:p>
        </w:tc>
      </w:tr>
      <w:tr>
        <w:trPr>
          <w:cantSplit/>
        </w:trPr>
        <w:tc>
          <w:tcPr>
            <w:tcW w:w="840" w:type="dxa"/>
          </w:tcPr>
          <w:p>
            <w:pPr>
              <w:pStyle w:val="yTable"/>
            </w:pPr>
            <w:r>
              <w:t>39A.</w:t>
            </w:r>
          </w:p>
        </w:tc>
        <w:tc>
          <w:tcPr>
            <w:tcW w:w="1320" w:type="dxa"/>
          </w:tcPr>
          <w:p>
            <w:pPr>
              <w:pStyle w:val="yTable"/>
            </w:pPr>
            <w:r>
              <w:t>49A</w:t>
            </w:r>
          </w:p>
        </w:tc>
        <w:tc>
          <w:tcPr>
            <w:tcW w:w="3720" w:type="dxa"/>
          </w:tcPr>
          <w:p>
            <w:pPr>
              <w:pStyle w:val="yTable"/>
            </w:pPr>
            <w:r>
              <w:t xml:space="preserve">Accessing restricted area on foot </w:t>
            </w:r>
          </w:p>
        </w:tc>
        <w:tc>
          <w:tcPr>
            <w:tcW w:w="1200" w:type="dxa"/>
            <w:vAlign w:val="bottom"/>
          </w:tcPr>
          <w:p>
            <w:pPr>
              <w:pStyle w:val="yTable"/>
              <w:tabs>
                <w:tab w:val="decimal" w:pos="766"/>
              </w:tabs>
            </w:pPr>
            <w:r>
              <w:t>200</w:t>
            </w:r>
          </w:p>
        </w:tc>
      </w:tr>
      <w:tr>
        <w:trPr>
          <w:cantSplit/>
        </w:trPr>
        <w:tc>
          <w:tcPr>
            <w:tcW w:w="840" w:type="dxa"/>
          </w:tcPr>
          <w:p>
            <w:pPr>
              <w:pStyle w:val="yTable"/>
            </w:pPr>
            <w:r>
              <w:t>39.</w:t>
            </w:r>
          </w:p>
        </w:tc>
        <w:tc>
          <w:tcPr>
            <w:tcW w:w="1320" w:type="dxa"/>
          </w:tcPr>
          <w:p>
            <w:pPr>
              <w:pStyle w:val="yTable"/>
            </w:pPr>
            <w:r>
              <w:t>49(4)</w:t>
            </w:r>
          </w:p>
        </w:tc>
        <w:tc>
          <w:tcPr>
            <w:tcW w:w="3720" w:type="dxa"/>
          </w:tcPr>
          <w:p>
            <w:pPr>
              <w:pStyle w:val="yTable"/>
            </w:pPr>
            <w:r>
              <w:t>Entering or remaining in cave</w:t>
            </w:r>
          </w:p>
        </w:tc>
        <w:tc>
          <w:tcPr>
            <w:tcW w:w="1200" w:type="dxa"/>
            <w:vAlign w:val="bottom"/>
          </w:tcPr>
          <w:p>
            <w:pPr>
              <w:pStyle w:val="yTable"/>
              <w:tabs>
                <w:tab w:val="decimal" w:pos="766"/>
              </w:tabs>
            </w:pPr>
            <w:r>
              <w:t>100</w:t>
            </w:r>
          </w:p>
        </w:tc>
      </w:tr>
      <w:tr>
        <w:trPr>
          <w:cantSplit/>
        </w:trPr>
        <w:tc>
          <w:tcPr>
            <w:tcW w:w="840" w:type="dxa"/>
          </w:tcPr>
          <w:p>
            <w:pPr>
              <w:pStyle w:val="yTable"/>
            </w:pPr>
            <w:r>
              <w:t>40.</w:t>
            </w:r>
          </w:p>
        </w:tc>
        <w:tc>
          <w:tcPr>
            <w:tcW w:w="1320" w:type="dxa"/>
          </w:tcPr>
          <w:p>
            <w:pPr>
              <w:pStyle w:val="yTable"/>
            </w:pPr>
            <w:r>
              <w:t>49(5)</w:t>
            </w:r>
          </w:p>
        </w:tc>
        <w:tc>
          <w:tcPr>
            <w:tcW w:w="3720" w:type="dxa"/>
          </w:tcPr>
          <w:p>
            <w:pPr>
              <w:pStyle w:val="yTable"/>
            </w:pPr>
            <w:r>
              <w:t>Failing to comply with condition or restriction of permit to enter cave</w:t>
            </w:r>
          </w:p>
        </w:tc>
        <w:tc>
          <w:tcPr>
            <w:tcW w:w="1200" w:type="dxa"/>
            <w:vAlign w:val="bottom"/>
          </w:tcPr>
          <w:p>
            <w:pPr>
              <w:pStyle w:val="yTable"/>
              <w:tabs>
                <w:tab w:val="decimal" w:pos="766"/>
              </w:tabs>
            </w:pPr>
            <w:r>
              <w:t>100</w:t>
            </w:r>
          </w:p>
        </w:tc>
      </w:tr>
      <w:tr>
        <w:trPr>
          <w:cantSplit/>
        </w:trPr>
        <w:tc>
          <w:tcPr>
            <w:tcW w:w="840" w:type="dxa"/>
          </w:tcPr>
          <w:p>
            <w:pPr>
              <w:pStyle w:val="yTable"/>
            </w:pPr>
            <w:r>
              <w:t>40a.</w:t>
            </w:r>
          </w:p>
        </w:tc>
        <w:tc>
          <w:tcPr>
            <w:tcW w:w="1320" w:type="dxa"/>
          </w:tcPr>
          <w:p>
            <w:pPr>
              <w:pStyle w:val="yTable"/>
            </w:pPr>
            <w:r>
              <w:t>50</w:t>
            </w:r>
          </w:p>
        </w:tc>
        <w:tc>
          <w:tcPr>
            <w:tcW w:w="3720" w:type="dxa"/>
          </w:tcPr>
          <w:p>
            <w:pPr>
              <w:pStyle w:val="yTable"/>
            </w:pPr>
            <w:r>
              <w:t>Unlawfully organising cross country events etc.</w:t>
            </w:r>
          </w:p>
        </w:tc>
        <w:tc>
          <w:tcPr>
            <w:tcW w:w="1200" w:type="dxa"/>
            <w:vAlign w:val="bottom"/>
          </w:tcPr>
          <w:p>
            <w:pPr>
              <w:pStyle w:val="yTable"/>
              <w:tabs>
                <w:tab w:val="decimal" w:pos="766"/>
              </w:tabs>
            </w:pPr>
            <w:r>
              <w:t>100</w:t>
            </w:r>
          </w:p>
        </w:tc>
      </w:tr>
      <w:tr>
        <w:trPr>
          <w:cantSplit/>
        </w:trPr>
        <w:tc>
          <w:tcPr>
            <w:tcW w:w="840" w:type="dxa"/>
          </w:tcPr>
          <w:p>
            <w:pPr>
              <w:pStyle w:val="yTable"/>
            </w:pPr>
            <w:r>
              <w:t>41.</w:t>
            </w:r>
          </w:p>
        </w:tc>
        <w:tc>
          <w:tcPr>
            <w:tcW w:w="1320" w:type="dxa"/>
          </w:tcPr>
          <w:p>
            <w:pPr>
              <w:pStyle w:val="yTable"/>
            </w:pPr>
            <w:r>
              <w:t>51(1)</w:t>
            </w:r>
          </w:p>
        </w:tc>
        <w:tc>
          <w:tcPr>
            <w:tcW w:w="3720" w:type="dxa"/>
          </w:tcPr>
          <w:p>
            <w:pPr>
              <w:pStyle w:val="yTable"/>
            </w:pPr>
            <w:r>
              <w:t>Unlawfully driving or using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41a.</w:t>
            </w:r>
          </w:p>
        </w:tc>
        <w:tc>
          <w:tcPr>
            <w:tcW w:w="1320" w:type="dxa"/>
          </w:tcPr>
          <w:p>
            <w:pPr>
              <w:pStyle w:val="yTable"/>
            </w:pPr>
            <w:r>
              <w:t>51(3)</w:t>
            </w:r>
          </w:p>
        </w:tc>
        <w:tc>
          <w:tcPr>
            <w:tcW w:w="3720" w:type="dxa"/>
          </w:tcPr>
          <w:p>
            <w:pPr>
              <w:pStyle w:val="yTable"/>
            </w:pPr>
            <w:r>
              <w:t>Unlawfully driving or using vehicle in restricted area</w:t>
            </w:r>
          </w:p>
        </w:tc>
        <w:tc>
          <w:tcPr>
            <w:tcW w:w="1200" w:type="dxa"/>
            <w:vAlign w:val="bottom"/>
          </w:tcPr>
          <w:p>
            <w:pPr>
              <w:pStyle w:val="yTable"/>
              <w:tabs>
                <w:tab w:val="decimal" w:pos="766"/>
              </w:tabs>
            </w:pPr>
            <w:r>
              <w:t>200</w:t>
            </w:r>
          </w:p>
        </w:tc>
      </w:tr>
      <w:tr>
        <w:trPr>
          <w:cantSplit/>
        </w:trPr>
        <w:tc>
          <w:tcPr>
            <w:tcW w:w="840" w:type="dxa"/>
          </w:tcPr>
          <w:p>
            <w:pPr>
              <w:pStyle w:val="yTable"/>
            </w:pPr>
            <w:r>
              <w:t>41b.</w:t>
            </w:r>
          </w:p>
        </w:tc>
        <w:tc>
          <w:tcPr>
            <w:tcW w:w="1320" w:type="dxa"/>
          </w:tcPr>
          <w:p>
            <w:pPr>
              <w:pStyle w:val="yTable"/>
            </w:pPr>
            <w:r>
              <w:t>51A(1)</w:t>
            </w:r>
          </w:p>
        </w:tc>
        <w:tc>
          <w:tcPr>
            <w:tcW w:w="3720" w:type="dxa"/>
          </w:tcPr>
          <w:p>
            <w:pPr>
              <w:pStyle w:val="yTable"/>
            </w:pPr>
            <w:r>
              <w:t>Unlawfully riding a bicycle on CALM land</w:t>
            </w:r>
          </w:p>
        </w:tc>
        <w:tc>
          <w:tcPr>
            <w:tcW w:w="1200" w:type="dxa"/>
            <w:vAlign w:val="bottom"/>
          </w:tcPr>
          <w:p>
            <w:pPr>
              <w:pStyle w:val="yTable"/>
              <w:tabs>
                <w:tab w:val="decimal" w:pos="766"/>
              </w:tabs>
            </w:pPr>
            <w:r>
              <w:t>50</w:t>
            </w:r>
          </w:p>
        </w:tc>
      </w:tr>
      <w:tr>
        <w:trPr>
          <w:cantSplit/>
        </w:trPr>
        <w:tc>
          <w:tcPr>
            <w:tcW w:w="840" w:type="dxa"/>
          </w:tcPr>
          <w:p>
            <w:pPr>
              <w:pStyle w:val="yTable"/>
            </w:pPr>
            <w:r>
              <w:t>41c.</w:t>
            </w:r>
          </w:p>
        </w:tc>
        <w:tc>
          <w:tcPr>
            <w:tcW w:w="1320" w:type="dxa"/>
          </w:tcPr>
          <w:p>
            <w:pPr>
              <w:pStyle w:val="yTable"/>
            </w:pPr>
            <w:r>
              <w:t>51A(3)</w:t>
            </w:r>
          </w:p>
        </w:tc>
        <w:tc>
          <w:tcPr>
            <w:tcW w:w="3720" w:type="dxa"/>
          </w:tcPr>
          <w:p>
            <w:pPr>
              <w:pStyle w:val="yTable"/>
            </w:pPr>
            <w:r>
              <w:t>Unlawfully riding a bicycle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42.</w:t>
            </w:r>
          </w:p>
        </w:tc>
        <w:tc>
          <w:tcPr>
            <w:tcW w:w="1320" w:type="dxa"/>
          </w:tcPr>
          <w:p>
            <w:pPr>
              <w:pStyle w:val="yTable"/>
            </w:pPr>
            <w:r>
              <w:t>52</w:t>
            </w:r>
          </w:p>
        </w:tc>
        <w:tc>
          <w:tcPr>
            <w:tcW w:w="3720" w:type="dxa"/>
          </w:tcPr>
          <w:p>
            <w:pPr>
              <w:pStyle w:val="yTable"/>
            </w:pPr>
            <w:r>
              <w:t>Unlawfully using off</w:t>
            </w:r>
            <w:r>
              <w:noBreakHyphen/>
              <w:t>road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42a.</w:t>
            </w:r>
          </w:p>
        </w:tc>
        <w:tc>
          <w:tcPr>
            <w:tcW w:w="1320" w:type="dxa"/>
          </w:tcPr>
          <w:p>
            <w:pPr>
              <w:pStyle w:val="yTable"/>
            </w:pPr>
            <w:r>
              <w:t>53</w:t>
            </w:r>
          </w:p>
        </w:tc>
        <w:tc>
          <w:tcPr>
            <w:tcW w:w="3720" w:type="dxa"/>
          </w:tcPr>
          <w:p>
            <w:pPr>
              <w:pStyle w:val="yTable"/>
            </w:pPr>
            <w:r>
              <w:t>Unlawfully organising car rallies etc.</w:t>
            </w:r>
          </w:p>
        </w:tc>
        <w:tc>
          <w:tcPr>
            <w:tcW w:w="1200" w:type="dxa"/>
            <w:vAlign w:val="bottom"/>
          </w:tcPr>
          <w:p>
            <w:pPr>
              <w:pStyle w:val="yTable"/>
              <w:tabs>
                <w:tab w:val="decimal" w:pos="766"/>
              </w:tabs>
            </w:pPr>
            <w:r>
              <w:t>200</w:t>
            </w:r>
          </w:p>
        </w:tc>
      </w:tr>
      <w:tr>
        <w:trPr>
          <w:cantSplit/>
        </w:trPr>
        <w:tc>
          <w:tcPr>
            <w:tcW w:w="840" w:type="dxa"/>
          </w:tcPr>
          <w:p>
            <w:pPr>
              <w:pStyle w:val="yTable"/>
            </w:pPr>
            <w:r>
              <w:t>43.</w:t>
            </w:r>
          </w:p>
        </w:tc>
        <w:tc>
          <w:tcPr>
            <w:tcW w:w="1320" w:type="dxa"/>
          </w:tcPr>
          <w:p>
            <w:pPr>
              <w:pStyle w:val="yTable"/>
            </w:pPr>
            <w:r>
              <w:t>54(1)</w:t>
            </w:r>
          </w:p>
        </w:tc>
        <w:tc>
          <w:tcPr>
            <w:tcW w:w="3720" w:type="dxa"/>
          </w:tcPr>
          <w:p>
            <w:pPr>
              <w:pStyle w:val="yTable"/>
            </w:pPr>
            <w:r>
              <w:t>Breaching traffic law</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44A.</w:t>
            </w:r>
          </w:p>
        </w:tc>
        <w:tc>
          <w:tcPr>
            <w:tcW w:w="1320" w:type="dxa"/>
          </w:tcPr>
          <w:p>
            <w:pPr>
              <w:pStyle w:val="yTable"/>
            </w:pPr>
            <w:r>
              <w:t>54(2)</w:t>
            </w:r>
          </w:p>
        </w:tc>
        <w:tc>
          <w:tcPr>
            <w:tcW w:w="3720" w:type="dxa"/>
          </w:tcPr>
          <w:p>
            <w:pPr>
              <w:pStyle w:val="yTable"/>
            </w:pPr>
            <w:r>
              <w:t>Driving a vehicle in a dangerous or careless manner</w:t>
            </w:r>
          </w:p>
        </w:tc>
        <w:tc>
          <w:tcPr>
            <w:tcW w:w="1200" w:type="dxa"/>
            <w:vAlign w:val="bottom"/>
          </w:tcPr>
          <w:p>
            <w:pPr>
              <w:pStyle w:val="yTable"/>
              <w:tabs>
                <w:tab w:val="decimal" w:pos="766"/>
              </w:tabs>
            </w:pPr>
            <w:r>
              <w:br/>
              <w:t>100</w:t>
            </w:r>
          </w:p>
        </w:tc>
      </w:tr>
      <w:tr>
        <w:trPr>
          <w:cantSplit/>
        </w:trPr>
        <w:tc>
          <w:tcPr>
            <w:tcW w:w="840" w:type="dxa"/>
          </w:tcPr>
          <w:p>
            <w:pPr>
              <w:pStyle w:val="yTable"/>
            </w:pPr>
            <w:r>
              <w:t>44.</w:t>
            </w:r>
          </w:p>
        </w:tc>
        <w:tc>
          <w:tcPr>
            <w:tcW w:w="1320" w:type="dxa"/>
          </w:tcPr>
          <w:p>
            <w:pPr>
              <w:pStyle w:val="yTable"/>
            </w:pPr>
            <w:r>
              <w:t>55</w:t>
            </w:r>
          </w:p>
        </w:tc>
        <w:tc>
          <w:tcPr>
            <w:tcW w:w="3720" w:type="dxa"/>
          </w:tcPr>
          <w:p>
            <w:pPr>
              <w:pStyle w:val="yTable"/>
            </w:pPr>
            <w:r>
              <w:t>Failing to obey direction in relation to the parking or movement of vehicle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45.</w:t>
            </w:r>
          </w:p>
        </w:tc>
        <w:tc>
          <w:tcPr>
            <w:tcW w:w="1320" w:type="dxa"/>
          </w:tcPr>
          <w:p>
            <w:pPr>
              <w:pStyle w:val="yTable"/>
            </w:pPr>
            <w:r>
              <w:t>56(1)</w:t>
            </w:r>
          </w:p>
        </w:tc>
        <w:tc>
          <w:tcPr>
            <w:tcW w:w="3720" w:type="dxa"/>
          </w:tcPr>
          <w:p>
            <w:pPr>
              <w:pStyle w:val="yTable"/>
            </w:pPr>
            <w:r>
              <w:t>Parking contrary to direction on sign</w:t>
            </w:r>
          </w:p>
        </w:tc>
        <w:tc>
          <w:tcPr>
            <w:tcW w:w="1200" w:type="dxa"/>
            <w:vAlign w:val="bottom"/>
          </w:tcPr>
          <w:p>
            <w:pPr>
              <w:pStyle w:val="yTable"/>
              <w:tabs>
                <w:tab w:val="decimal" w:pos="766"/>
              </w:tabs>
            </w:pPr>
            <w:r>
              <w:t>50</w:t>
            </w:r>
          </w:p>
        </w:tc>
      </w:tr>
      <w:tr>
        <w:trPr>
          <w:cantSplit/>
        </w:trPr>
        <w:tc>
          <w:tcPr>
            <w:tcW w:w="840" w:type="dxa"/>
          </w:tcPr>
          <w:p>
            <w:pPr>
              <w:pStyle w:val="yTable"/>
            </w:pPr>
            <w:r>
              <w:t>46.</w:t>
            </w:r>
          </w:p>
        </w:tc>
        <w:tc>
          <w:tcPr>
            <w:tcW w:w="1320" w:type="dxa"/>
          </w:tcPr>
          <w:p>
            <w:pPr>
              <w:pStyle w:val="yTable"/>
            </w:pPr>
            <w:r>
              <w:t>56(4)</w:t>
            </w:r>
          </w:p>
        </w:tc>
        <w:tc>
          <w:tcPr>
            <w:tcW w:w="3720" w:type="dxa"/>
          </w:tcPr>
          <w:p>
            <w:pPr>
              <w:pStyle w:val="yTable"/>
            </w:pPr>
            <w:r>
              <w:t>Failing to pay parking charge or display ticket</w:t>
            </w:r>
          </w:p>
        </w:tc>
        <w:tc>
          <w:tcPr>
            <w:tcW w:w="1200" w:type="dxa"/>
            <w:vAlign w:val="bottom"/>
          </w:tcPr>
          <w:p>
            <w:pPr>
              <w:pStyle w:val="yTable"/>
              <w:tabs>
                <w:tab w:val="decimal" w:pos="766"/>
              </w:tabs>
            </w:pPr>
            <w:r>
              <w:t>50</w:t>
            </w:r>
          </w:p>
        </w:tc>
      </w:tr>
      <w:tr>
        <w:trPr>
          <w:cantSplit/>
        </w:trPr>
        <w:tc>
          <w:tcPr>
            <w:tcW w:w="840" w:type="dxa"/>
          </w:tcPr>
          <w:p>
            <w:pPr>
              <w:pStyle w:val="yTable"/>
            </w:pPr>
            <w:r>
              <w:t>47.</w:t>
            </w:r>
          </w:p>
        </w:tc>
        <w:tc>
          <w:tcPr>
            <w:tcW w:w="1320" w:type="dxa"/>
          </w:tcPr>
          <w:p>
            <w:pPr>
              <w:pStyle w:val="yTable"/>
            </w:pPr>
            <w:r>
              <w:t>57</w:t>
            </w:r>
          </w:p>
        </w:tc>
        <w:tc>
          <w:tcPr>
            <w:tcW w:w="3720" w:type="dxa"/>
          </w:tcPr>
          <w:p>
            <w:pPr>
              <w:pStyle w:val="yTable"/>
            </w:pPr>
            <w:r>
              <w:t>Obstructing vehicle etc.</w:t>
            </w:r>
          </w:p>
        </w:tc>
        <w:tc>
          <w:tcPr>
            <w:tcW w:w="1200" w:type="dxa"/>
            <w:vAlign w:val="bottom"/>
          </w:tcPr>
          <w:p>
            <w:pPr>
              <w:pStyle w:val="yTable"/>
              <w:tabs>
                <w:tab w:val="decimal" w:pos="766"/>
              </w:tabs>
            </w:pPr>
            <w:r>
              <w:t>50</w:t>
            </w:r>
          </w:p>
        </w:tc>
      </w:tr>
      <w:tr>
        <w:trPr>
          <w:cantSplit/>
        </w:trPr>
        <w:tc>
          <w:tcPr>
            <w:tcW w:w="840" w:type="dxa"/>
          </w:tcPr>
          <w:p>
            <w:pPr>
              <w:pStyle w:val="yTable"/>
            </w:pPr>
            <w:r>
              <w:t>47a.</w:t>
            </w:r>
          </w:p>
        </w:tc>
        <w:tc>
          <w:tcPr>
            <w:tcW w:w="1320" w:type="dxa"/>
          </w:tcPr>
          <w:p>
            <w:pPr>
              <w:pStyle w:val="yTable"/>
            </w:pPr>
            <w:r>
              <w:t>59(1)</w:t>
            </w:r>
          </w:p>
        </w:tc>
        <w:tc>
          <w:tcPr>
            <w:tcW w:w="3720" w:type="dxa"/>
          </w:tcPr>
          <w:p>
            <w:pPr>
              <w:pStyle w:val="yTable"/>
            </w:pPr>
            <w:r>
              <w:t>Unlawfully having a mooring</w:t>
            </w:r>
          </w:p>
        </w:tc>
        <w:tc>
          <w:tcPr>
            <w:tcW w:w="1200" w:type="dxa"/>
            <w:vAlign w:val="bottom"/>
          </w:tcPr>
          <w:p>
            <w:pPr>
              <w:pStyle w:val="yTable"/>
              <w:tabs>
                <w:tab w:val="decimal" w:pos="766"/>
              </w:tabs>
            </w:pPr>
            <w:r>
              <w:t>200</w:t>
            </w:r>
          </w:p>
        </w:tc>
      </w:tr>
      <w:tr>
        <w:trPr>
          <w:cantSplit/>
        </w:trPr>
        <w:tc>
          <w:tcPr>
            <w:tcW w:w="840" w:type="dxa"/>
          </w:tcPr>
          <w:p>
            <w:pPr>
              <w:pStyle w:val="yTable"/>
            </w:pPr>
            <w:r>
              <w:t>48.</w:t>
            </w:r>
          </w:p>
        </w:tc>
        <w:tc>
          <w:tcPr>
            <w:tcW w:w="1320" w:type="dxa"/>
          </w:tcPr>
          <w:p>
            <w:pPr>
              <w:pStyle w:val="yTable"/>
            </w:pPr>
            <w:r>
              <w:t>59(2)</w:t>
            </w:r>
          </w:p>
        </w:tc>
        <w:tc>
          <w:tcPr>
            <w:tcW w:w="3720" w:type="dxa"/>
          </w:tcPr>
          <w:p>
            <w:pPr>
              <w:pStyle w:val="yTable"/>
            </w:pPr>
            <w:r>
              <w:t>Using an unlawful mooring</w:t>
            </w:r>
          </w:p>
        </w:tc>
        <w:tc>
          <w:tcPr>
            <w:tcW w:w="1200" w:type="dxa"/>
            <w:vAlign w:val="bottom"/>
          </w:tcPr>
          <w:p>
            <w:pPr>
              <w:pStyle w:val="yTable"/>
              <w:tabs>
                <w:tab w:val="decimal" w:pos="766"/>
              </w:tabs>
            </w:pPr>
            <w:r>
              <w:t>100</w:t>
            </w:r>
          </w:p>
        </w:tc>
      </w:tr>
      <w:tr>
        <w:trPr>
          <w:cantSplit/>
        </w:trPr>
        <w:tc>
          <w:tcPr>
            <w:tcW w:w="840" w:type="dxa"/>
          </w:tcPr>
          <w:p>
            <w:pPr>
              <w:pStyle w:val="yTable"/>
            </w:pPr>
            <w:r>
              <w:t>48A.</w:t>
            </w:r>
          </w:p>
        </w:tc>
        <w:tc>
          <w:tcPr>
            <w:tcW w:w="1320" w:type="dxa"/>
          </w:tcPr>
          <w:p>
            <w:pPr>
              <w:pStyle w:val="yTable"/>
            </w:pPr>
            <w:r>
              <w:t>59(3A)</w:t>
            </w:r>
          </w:p>
        </w:tc>
        <w:tc>
          <w:tcPr>
            <w:tcW w:w="3720" w:type="dxa"/>
          </w:tcPr>
          <w:p>
            <w:pPr>
              <w:pStyle w:val="yTable"/>
            </w:pPr>
            <w:r>
              <w:t>Unlawfully securing vessel to mooring</w:t>
            </w:r>
          </w:p>
        </w:tc>
        <w:tc>
          <w:tcPr>
            <w:tcW w:w="1200" w:type="dxa"/>
            <w:vAlign w:val="bottom"/>
          </w:tcPr>
          <w:p>
            <w:pPr>
              <w:pStyle w:val="yTable"/>
              <w:tabs>
                <w:tab w:val="decimal" w:pos="766"/>
              </w:tabs>
            </w:pPr>
            <w:r>
              <w:t>100</w:t>
            </w:r>
          </w:p>
        </w:tc>
      </w:tr>
      <w:tr>
        <w:trPr>
          <w:cantSplit/>
        </w:trPr>
        <w:tc>
          <w:tcPr>
            <w:tcW w:w="840" w:type="dxa"/>
          </w:tcPr>
          <w:p>
            <w:pPr>
              <w:pStyle w:val="yTable"/>
            </w:pPr>
            <w:r>
              <w:t>49.</w:t>
            </w:r>
          </w:p>
        </w:tc>
        <w:tc>
          <w:tcPr>
            <w:tcW w:w="1320" w:type="dxa"/>
          </w:tcPr>
          <w:p>
            <w:pPr>
              <w:pStyle w:val="yTable"/>
            </w:pPr>
            <w:r>
              <w:t>59(3)</w:t>
            </w:r>
          </w:p>
        </w:tc>
        <w:tc>
          <w:tcPr>
            <w:tcW w:w="3720" w:type="dxa"/>
          </w:tcPr>
          <w:p>
            <w:pPr>
              <w:pStyle w:val="yTable"/>
            </w:pPr>
            <w:r>
              <w:t>Securing a vessel in an unlawful manner</w:t>
            </w:r>
          </w:p>
        </w:tc>
        <w:tc>
          <w:tcPr>
            <w:tcW w:w="1200" w:type="dxa"/>
            <w:vAlign w:val="bottom"/>
          </w:tcPr>
          <w:p>
            <w:pPr>
              <w:pStyle w:val="yTable"/>
              <w:tabs>
                <w:tab w:val="decimal" w:pos="766"/>
              </w:tabs>
            </w:pPr>
            <w:r>
              <w:t>100</w:t>
            </w:r>
          </w:p>
        </w:tc>
      </w:tr>
      <w:tr>
        <w:trPr>
          <w:cantSplit/>
        </w:trPr>
        <w:tc>
          <w:tcPr>
            <w:tcW w:w="840" w:type="dxa"/>
          </w:tcPr>
          <w:p>
            <w:pPr>
              <w:pStyle w:val="yTable"/>
            </w:pPr>
            <w:r>
              <w:t>50.</w:t>
            </w:r>
          </w:p>
        </w:tc>
        <w:tc>
          <w:tcPr>
            <w:tcW w:w="1320" w:type="dxa"/>
          </w:tcPr>
          <w:p>
            <w:pPr>
              <w:pStyle w:val="yTable"/>
            </w:pPr>
            <w:r>
              <w:t>60(1)</w:t>
            </w:r>
          </w:p>
        </w:tc>
        <w:tc>
          <w:tcPr>
            <w:tcW w:w="3720" w:type="dxa"/>
          </w:tcPr>
          <w:p>
            <w:pPr>
              <w:pStyle w:val="yTable"/>
            </w:pPr>
            <w:r>
              <w:t>Anchoring a vessel in a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50A.</w:t>
            </w:r>
          </w:p>
        </w:tc>
        <w:tc>
          <w:tcPr>
            <w:tcW w:w="1320" w:type="dxa"/>
          </w:tcPr>
          <w:p>
            <w:pPr>
              <w:pStyle w:val="yTable"/>
            </w:pPr>
            <w:r>
              <w:t>60A(4)</w:t>
            </w:r>
          </w:p>
        </w:tc>
        <w:tc>
          <w:tcPr>
            <w:tcW w:w="3720" w:type="dxa"/>
          </w:tcPr>
          <w:p>
            <w:pPr>
              <w:pStyle w:val="yTable"/>
            </w:pPr>
            <w:r>
              <w:t>Failure to comply with conditions of use of public mooring</w:t>
            </w:r>
          </w:p>
        </w:tc>
        <w:tc>
          <w:tcPr>
            <w:tcW w:w="1200" w:type="dxa"/>
          </w:tcPr>
          <w:p>
            <w:pPr>
              <w:pStyle w:val="yTable"/>
              <w:tabs>
                <w:tab w:val="decimal" w:pos="766"/>
              </w:tabs>
            </w:pPr>
            <w:r>
              <w:br/>
              <w:t>200</w:t>
            </w:r>
          </w:p>
        </w:tc>
      </w:tr>
      <w:tr>
        <w:trPr>
          <w:cantSplit/>
        </w:trPr>
        <w:tc>
          <w:tcPr>
            <w:tcW w:w="840" w:type="dxa"/>
          </w:tcPr>
          <w:p>
            <w:pPr>
              <w:pStyle w:val="yTable"/>
            </w:pPr>
            <w:r>
              <w:t>50B.</w:t>
            </w:r>
          </w:p>
        </w:tc>
        <w:tc>
          <w:tcPr>
            <w:tcW w:w="1320" w:type="dxa"/>
          </w:tcPr>
          <w:p>
            <w:pPr>
              <w:pStyle w:val="yTable"/>
            </w:pPr>
            <w:r>
              <w:t>60(2A)</w:t>
            </w:r>
          </w:p>
        </w:tc>
        <w:tc>
          <w:tcPr>
            <w:tcW w:w="3720" w:type="dxa"/>
          </w:tcPr>
          <w:p>
            <w:pPr>
              <w:pStyle w:val="yTable"/>
            </w:pPr>
            <w:r>
              <w:t>Anchoring vessel within 50 metres of mooring</w:t>
            </w:r>
          </w:p>
        </w:tc>
        <w:tc>
          <w:tcPr>
            <w:tcW w:w="1200" w:type="dxa"/>
          </w:tcPr>
          <w:p>
            <w:pPr>
              <w:pStyle w:val="yTable"/>
              <w:tabs>
                <w:tab w:val="decimal" w:pos="766"/>
              </w:tabs>
            </w:pPr>
            <w:r>
              <w:br/>
              <w:t>100</w:t>
            </w:r>
          </w:p>
        </w:tc>
      </w:tr>
      <w:tr>
        <w:trPr>
          <w:cantSplit/>
        </w:trPr>
        <w:tc>
          <w:tcPr>
            <w:tcW w:w="840" w:type="dxa"/>
          </w:tcPr>
          <w:p>
            <w:pPr>
              <w:pStyle w:val="yTable"/>
            </w:pPr>
            <w:r>
              <w:t>51.</w:t>
            </w:r>
          </w:p>
        </w:tc>
        <w:tc>
          <w:tcPr>
            <w:tcW w:w="1320" w:type="dxa"/>
          </w:tcPr>
          <w:p>
            <w:pPr>
              <w:pStyle w:val="yTable"/>
            </w:pPr>
            <w:r>
              <w:t>61</w:t>
            </w:r>
          </w:p>
        </w:tc>
        <w:tc>
          <w:tcPr>
            <w:tcW w:w="3720" w:type="dxa"/>
          </w:tcPr>
          <w:p>
            <w:pPr>
              <w:pStyle w:val="yTable"/>
            </w:pPr>
            <w:r>
              <w:t>Operating certain vessels in a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51a.</w:t>
            </w:r>
          </w:p>
        </w:tc>
        <w:tc>
          <w:tcPr>
            <w:tcW w:w="1320" w:type="dxa"/>
          </w:tcPr>
          <w:p>
            <w:pPr>
              <w:pStyle w:val="yTable"/>
            </w:pPr>
            <w:r>
              <w:t>61A</w:t>
            </w:r>
          </w:p>
        </w:tc>
        <w:tc>
          <w:tcPr>
            <w:tcW w:w="3720" w:type="dxa"/>
          </w:tcPr>
          <w:p>
            <w:pPr>
              <w:pStyle w:val="yTable"/>
            </w:pPr>
            <w:r>
              <w:t>Unlawful operation of vessels in nature reserves</w:t>
            </w:r>
          </w:p>
        </w:tc>
        <w:tc>
          <w:tcPr>
            <w:tcW w:w="1200" w:type="dxa"/>
            <w:vAlign w:val="bottom"/>
          </w:tcPr>
          <w:p>
            <w:pPr>
              <w:pStyle w:val="yTable"/>
              <w:tabs>
                <w:tab w:val="decimal" w:pos="766"/>
              </w:tabs>
            </w:pPr>
            <w:r>
              <w:t>100</w:t>
            </w:r>
          </w:p>
        </w:tc>
      </w:tr>
      <w:tr>
        <w:trPr>
          <w:cantSplit/>
        </w:trPr>
        <w:tc>
          <w:tcPr>
            <w:tcW w:w="840" w:type="dxa"/>
          </w:tcPr>
          <w:p>
            <w:pPr>
              <w:pStyle w:val="yTable"/>
            </w:pPr>
            <w:r>
              <w:t>51AA.</w:t>
            </w:r>
          </w:p>
        </w:tc>
        <w:tc>
          <w:tcPr>
            <w:tcW w:w="1320" w:type="dxa"/>
          </w:tcPr>
          <w:p>
            <w:pPr>
              <w:pStyle w:val="yTable"/>
            </w:pPr>
            <w:r>
              <w:t>61B(4)</w:t>
            </w:r>
          </w:p>
        </w:tc>
        <w:tc>
          <w:tcPr>
            <w:tcW w:w="3720" w:type="dxa"/>
          </w:tcPr>
          <w:p>
            <w:pPr>
              <w:pStyle w:val="yTable"/>
            </w:pPr>
            <w:r>
              <w:t>Operating vessel in excess of speed limit</w:t>
            </w:r>
          </w:p>
        </w:tc>
        <w:tc>
          <w:tcPr>
            <w:tcW w:w="1200" w:type="dxa"/>
            <w:vAlign w:val="bottom"/>
          </w:tcPr>
          <w:p>
            <w:pPr>
              <w:pStyle w:val="yTable"/>
              <w:tabs>
                <w:tab w:val="decimal" w:pos="766"/>
              </w:tabs>
            </w:pPr>
            <w:r>
              <w:t>200</w:t>
            </w:r>
          </w:p>
        </w:tc>
      </w:tr>
      <w:tr>
        <w:trPr>
          <w:cantSplit/>
        </w:trPr>
        <w:tc>
          <w:tcPr>
            <w:tcW w:w="840" w:type="dxa"/>
          </w:tcPr>
          <w:p>
            <w:pPr>
              <w:pStyle w:val="yTable"/>
            </w:pPr>
            <w:r>
              <w:t>51b.</w:t>
            </w:r>
          </w:p>
        </w:tc>
        <w:tc>
          <w:tcPr>
            <w:tcW w:w="1320" w:type="dxa"/>
          </w:tcPr>
          <w:p>
            <w:pPr>
              <w:pStyle w:val="yTable"/>
            </w:pPr>
            <w:r>
              <w:t>62(1)</w:t>
            </w:r>
          </w:p>
        </w:tc>
        <w:tc>
          <w:tcPr>
            <w:tcW w:w="3720" w:type="dxa"/>
          </w:tcPr>
          <w:p>
            <w:pPr>
              <w:pStyle w:val="yTable"/>
            </w:pPr>
            <w:r>
              <w:t>Unsafe navigation of vessels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51C.</w:t>
            </w:r>
          </w:p>
        </w:tc>
        <w:tc>
          <w:tcPr>
            <w:tcW w:w="1320" w:type="dxa"/>
          </w:tcPr>
          <w:p>
            <w:pPr>
              <w:pStyle w:val="yTable"/>
            </w:pPr>
            <w:r>
              <w:t>62(2)</w:t>
            </w:r>
          </w:p>
        </w:tc>
        <w:tc>
          <w:tcPr>
            <w:tcW w:w="3720" w:type="dxa"/>
          </w:tcPr>
          <w:p>
            <w:pPr>
              <w:pStyle w:val="yTable"/>
            </w:pPr>
            <w:r>
              <w:t>Navigating a vessel in a manner that causes nuisance etc.</w:t>
            </w:r>
          </w:p>
        </w:tc>
        <w:tc>
          <w:tcPr>
            <w:tcW w:w="1200" w:type="dxa"/>
            <w:vAlign w:val="bottom"/>
          </w:tcPr>
          <w:p>
            <w:pPr>
              <w:pStyle w:val="yTable"/>
              <w:tabs>
                <w:tab w:val="decimal" w:pos="766"/>
              </w:tabs>
            </w:pPr>
            <w:r>
              <w:br/>
              <w:t>100</w:t>
            </w:r>
          </w:p>
        </w:tc>
      </w:tr>
      <w:tr>
        <w:trPr>
          <w:cantSplit/>
        </w:trPr>
        <w:tc>
          <w:tcPr>
            <w:tcW w:w="840" w:type="dxa"/>
          </w:tcPr>
          <w:p>
            <w:pPr>
              <w:pStyle w:val="yTable"/>
            </w:pPr>
            <w:r>
              <w:t>52.</w:t>
            </w:r>
          </w:p>
        </w:tc>
        <w:tc>
          <w:tcPr>
            <w:tcW w:w="1320" w:type="dxa"/>
          </w:tcPr>
          <w:p>
            <w:pPr>
              <w:pStyle w:val="yTable"/>
            </w:pPr>
            <w:r>
              <w:t>63</w:t>
            </w:r>
          </w:p>
        </w:tc>
        <w:tc>
          <w:tcPr>
            <w:tcW w:w="3720" w:type="dxa"/>
          </w:tcPr>
          <w:p>
            <w:pPr>
              <w:pStyle w:val="yTable"/>
            </w:pPr>
            <w:r>
              <w:t>Failing to obey direction as to vessel</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53.</w:t>
            </w:r>
          </w:p>
        </w:tc>
        <w:tc>
          <w:tcPr>
            <w:tcW w:w="1320" w:type="dxa"/>
          </w:tcPr>
          <w:p>
            <w:pPr>
              <w:pStyle w:val="yTable"/>
            </w:pPr>
            <w:r>
              <w:t>64(1)</w:t>
            </w:r>
          </w:p>
        </w:tc>
        <w:tc>
          <w:tcPr>
            <w:tcW w:w="3720" w:type="dxa"/>
          </w:tcPr>
          <w:p>
            <w:pPr>
              <w:pStyle w:val="yTable"/>
            </w:pPr>
            <w:r>
              <w:t>Launching etc. vessel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53a.</w:t>
            </w:r>
          </w:p>
        </w:tc>
        <w:tc>
          <w:tcPr>
            <w:tcW w:w="1320" w:type="dxa"/>
          </w:tcPr>
          <w:p>
            <w:pPr>
              <w:pStyle w:val="yTable"/>
            </w:pPr>
            <w:r>
              <w:t>64(2)</w:t>
            </w:r>
          </w:p>
        </w:tc>
        <w:tc>
          <w:tcPr>
            <w:tcW w:w="3720" w:type="dxa"/>
          </w:tcPr>
          <w:p>
            <w:pPr>
              <w:pStyle w:val="yTable"/>
            </w:pPr>
            <w:r>
              <w:t>Launching etc. vessel in restricted area — contravention of restriction</w:t>
            </w:r>
          </w:p>
        </w:tc>
        <w:tc>
          <w:tcPr>
            <w:tcW w:w="1200" w:type="dxa"/>
            <w:vAlign w:val="bottom"/>
          </w:tcPr>
          <w:p>
            <w:pPr>
              <w:pStyle w:val="yTable"/>
              <w:tabs>
                <w:tab w:val="decimal" w:pos="766"/>
              </w:tabs>
            </w:pPr>
            <w:r>
              <w:t>100</w:t>
            </w:r>
          </w:p>
        </w:tc>
      </w:tr>
      <w:tr>
        <w:trPr>
          <w:cantSplit/>
        </w:trPr>
        <w:tc>
          <w:tcPr>
            <w:tcW w:w="840" w:type="dxa"/>
          </w:tcPr>
          <w:p>
            <w:pPr>
              <w:pStyle w:val="yTable"/>
            </w:pPr>
            <w:r>
              <w:t>54.</w:t>
            </w:r>
          </w:p>
        </w:tc>
        <w:tc>
          <w:tcPr>
            <w:tcW w:w="1320" w:type="dxa"/>
          </w:tcPr>
          <w:p>
            <w:pPr>
              <w:pStyle w:val="yTable"/>
            </w:pPr>
            <w:r>
              <w:t>64(4)</w:t>
            </w:r>
          </w:p>
        </w:tc>
        <w:tc>
          <w:tcPr>
            <w:tcW w:w="3720" w:type="dxa"/>
            <w:vAlign w:val="bottom"/>
          </w:tcPr>
          <w:p>
            <w:pPr>
              <w:pStyle w:val="yTable"/>
            </w:pPr>
            <w:r>
              <w:t>Failing to comply with direction to remove vessel</w:t>
            </w:r>
          </w:p>
        </w:tc>
        <w:tc>
          <w:tcPr>
            <w:tcW w:w="1200" w:type="dxa"/>
            <w:vAlign w:val="bottom"/>
          </w:tcPr>
          <w:p>
            <w:pPr>
              <w:pStyle w:val="yTable"/>
              <w:tabs>
                <w:tab w:val="decimal" w:pos="766"/>
              </w:tabs>
            </w:pPr>
            <w:r>
              <w:t>100</w:t>
            </w:r>
          </w:p>
        </w:tc>
      </w:tr>
      <w:tr>
        <w:trPr>
          <w:cantSplit/>
        </w:trPr>
        <w:tc>
          <w:tcPr>
            <w:tcW w:w="840" w:type="dxa"/>
          </w:tcPr>
          <w:p>
            <w:pPr>
              <w:pStyle w:val="yTable"/>
            </w:pPr>
            <w:r>
              <w:t>54aa.</w:t>
            </w:r>
          </w:p>
        </w:tc>
        <w:tc>
          <w:tcPr>
            <w:tcW w:w="1320" w:type="dxa"/>
          </w:tcPr>
          <w:p>
            <w:pPr>
              <w:pStyle w:val="yTable"/>
            </w:pPr>
            <w:r>
              <w:t>65A(2)</w:t>
            </w:r>
          </w:p>
        </w:tc>
        <w:tc>
          <w:tcPr>
            <w:tcW w:w="3720" w:type="dxa"/>
          </w:tcPr>
          <w:p>
            <w:pPr>
              <w:pStyle w:val="yTable"/>
            </w:pPr>
            <w:r>
              <w:t>Unlawful use of vessel storage facility</w:t>
            </w:r>
          </w:p>
        </w:tc>
        <w:tc>
          <w:tcPr>
            <w:tcW w:w="1200" w:type="dxa"/>
          </w:tcPr>
          <w:p>
            <w:pPr>
              <w:pStyle w:val="yTable"/>
              <w:tabs>
                <w:tab w:val="decimal" w:pos="766"/>
              </w:tabs>
            </w:pPr>
            <w:r>
              <w:t>200</w:t>
            </w:r>
          </w:p>
        </w:tc>
      </w:tr>
      <w:tr>
        <w:trPr>
          <w:cantSplit/>
        </w:trPr>
        <w:tc>
          <w:tcPr>
            <w:tcW w:w="840" w:type="dxa"/>
          </w:tcPr>
          <w:p>
            <w:pPr>
              <w:pStyle w:val="yTable"/>
            </w:pPr>
            <w:r>
              <w:t>54a.</w:t>
            </w:r>
          </w:p>
        </w:tc>
        <w:tc>
          <w:tcPr>
            <w:tcW w:w="1320" w:type="dxa"/>
          </w:tcPr>
          <w:p>
            <w:pPr>
              <w:pStyle w:val="yTable"/>
            </w:pPr>
            <w:r>
              <w:t>65(1)</w:t>
            </w:r>
          </w:p>
        </w:tc>
        <w:tc>
          <w:tcPr>
            <w:tcW w:w="3720" w:type="dxa"/>
          </w:tcPr>
          <w:p>
            <w:pPr>
              <w:pStyle w:val="yTable"/>
            </w:pPr>
            <w:r>
              <w:t>Unlawful landing of aircraft etc.</w:t>
            </w:r>
          </w:p>
        </w:tc>
        <w:tc>
          <w:tcPr>
            <w:tcW w:w="1200" w:type="dxa"/>
            <w:vAlign w:val="bottom"/>
          </w:tcPr>
          <w:p>
            <w:pPr>
              <w:pStyle w:val="yTable"/>
              <w:tabs>
                <w:tab w:val="decimal" w:pos="766"/>
              </w:tabs>
            </w:pPr>
            <w:r>
              <w:t>100</w:t>
            </w:r>
          </w:p>
        </w:tc>
      </w:tr>
      <w:tr>
        <w:trPr>
          <w:cantSplit/>
        </w:trPr>
        <w:tc>
          <w:tcPr>
            <w:tcW w:w="840" w:type="dxa"/>
          </w:tcPr>
          <w:p>
            <w:pPr>
              <w:pStyle w:val="yTable"/>
            </w:pPr>
            <w:r>
              <w:t>55.</w:t>
            </w:r>
          </w:p>
        </w:tc>
        <w:tc>
          <w:tcPr>
            <w:tcW w:w="1320" w:type="dxa"/>
          </w:tcPr>
          <w:p>
            <w:pPr>
              <w:pStyle w:val="yTable"/>
            </w:pPr>
            <w:r>
              <w:t>66(1)</w:t>
            </w:r>
          </w:p>
        </w:tc>
        <w:tc>
          <w:tcPr>
            <w:tcW w:w="3720" w:type="dxa"/>
          </w:tcPr>
          <w:p>
            <w:pPr>
              <w:pStyle w:val="yTable"/>
            </w:pPr>
            <w:r>
              <w:t>Camping other than in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56.</w:t>
            </w:r>
          </w:p>
        </w:tc>
        <w:tc>
          <w:tcPr>
            <w:tcW w:w="1320" w:type="dxa"/>
          </w:tcPr>
          <w:p>
            <w:pPr>
              <w:pStyle w:val="yTable"/>
            </w:pPr>
            <w:r>
              <w:t>66(2)</w:t>
            </w:r>
          </w:p>
        </w:tc>
        <w:tc>
          <w:tcPr>
            <w:tcW w:w="3720" w:type="dxa"/>
          </w:tcPr>
          <w:p>
            <w:pPr>
              <w:pStyle w:val="yTable"/>
            </w:pPr>
            <w:r>
              <w:t>Failing to comply with condition of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57.</w:t>
            </w:r>
          </w:p>
        </w:tc>
        <w:tc>
          <w:tcPr>
            <w:tcW w:w="1320" w:type="dxa"/>
          </w:tcPr>
          <w:p>
            <w:pPr>
              <w:pStyle w:val="yTable"/>
            </w:pPr>
            <w:r>
              <w:t>67(2)</w:t>
            </w:r>
          </w:p>
        </w:tc>
        <w:tc>
          <w:tcPr>
            <w:tcW w:w="3720" w:type="dxa"/>
          </w:tcPr>
          <w:p>
            <w:pPr>
              <w:pStyle w:val="yTable"/>
            </w:pPr>
            <w:r>
              <w:t>Failing to comply with direction to vacate camp</w:t>
            </w:r>
            <w:r>
              <w:rPr>
                <w:szCs w:val="22"/>
              </w:rPr>
              <w:t xml:space="preserve"> or not camp</w:t>
            </w:r>
          </w:p>
        </w:tc>
        <w:tc>
          <w:tcPr>
            <w:tcW w:w="1200" w:type="dxa"/>
            <w:vAlign w:val="bottom"/>
          </w:tcPr>
          <w:p>
            <w:pPr>
              <w:pStyle w:val="yTable"/>
              <w:tabs>
                <w:tab w:val="decimal" w:pos="766"/>
              </w:tabs>
            </w:pPr>
            <w:r>
              <w:t>100</w:t>
            </w:r>
          </w:p>
        </w:tc>
      </w:tr>
      <w:tr>
        <w:trPr>
          <w:cantSplit/>
        </w:trPr>
        <w:tc>
          <w:tcPr>
            <w:tcW w:w="840" w:type="dxa"/>
          </w:tcPr>
          <w:p>
            <w:pPr>
              <w:pStyle w:val="yTable"/>
            </w:pPr>
            <w:r>
              <w:t>58.</w:t>
            </w:r>
          </w:p>
        </w:tc>
        <w:tc>
          <w:tcPr>
            <w:tcW w:w="1320" w:type="dxa"/>
          </w:tcPr>
          <w:p>
            <w:pPr>
              <w:pStyle w:val="yTable"/>
            </w:pPr>
            <w:r>
              <w:t>68</w:t>
            </w:r>
          </w:p>
        </w:tc>
        <w:tc>
          <w:tcPr>
            <w:tcW w:w="3720" w:type="dxa"/>
          </w:tcPr>
          <w:p>
            <w:pPr>
              <w:pStyle w:val="yTable"/>
            </w:pPr>
            <w:r>
              <w:t>Entering camping unit without authority</w:t>
            </w:r>
          </w:p>
        </w:tc>
        <w:tc>
          <w:tcPr>
            <w:tcW w:w="1200" w:type="dxa"/>
            <w:vAlign w:val="bottom"/>
          </w:tcPr>
          <w:p>
            <w:pPr>
              <w:pStyle w:val="yTable"/>
              <w:tabs>
                <w:tab w:val="decimal" w:pos="766"/>
              </w:tabs>
            </w:pPr>
            <w:r>
              <w:t>50</w:t>
            </w:r>
          </w:p>
        </w:tc>
      </w:tr>
      <w:tr>
        <w:trPr>
          <w:cantSplit/>
        </w:trPr>
        <w:tc>
          <w:tcPr>
            <w:tcW w:w="840" w:type="dxa"/>
          </w:tcPr>
          <w:p>
            <w:pPr>
              <w:pStyle w:val="yTable"/>
            </w:pPr>
            <w:r>
              <w:t>59.</w:t>
            </w:r>
          </w:p>
        </w:tc>
        <w:tc>
          <w:tcPr>
            <w:tcW w:w="1320" w:type="dxa"/>
          </w:tcPr>
          <w:p>
            <w:pPr>
              <w:pStyle w:val="yTable"/>
            </w:pPr>
            <w:r>
              <w:t>69(1)</w:t>
            </w:r>
          </w:p>
        </w:tc>
        <w:tc>
          <w:tcPr>
            <w:tcW w:w="3720" w:type="dxa"/>
          </w:tcPr>
          <w:p>
            <w:pPr>
              <w:pStyle w:val="yTable"/>
            </w:pPr>
            <w:r>
              <w:t>Unlawful construction of camping unit</w:t>
            </w:r>
          </w:p>
        </w:tc>
        <w:tc>
          <w:tcPr>
            <w:tcW w:w="1200" w:type="dxa"/>
            <w:vAlign w:val="bottom"/>
          </w:tcPr>
          <w:p>
            <w:pPr>
              <w:pStyle w:val="yTable"/>
              <w:tabs>
                <w:tab w:val="decimal" w:pos="766"/>
              </w:tabs>
            </w:pPr>
            <w:r>
              <w:t>100</w:t>
            </w:r>
          </w:p>
        </w:tc>
      </w:tr>
      <w:tr>
        <w:trPr>
          <w:cantSplit/>
        </w:trPr>
        <w:tc>
          <w:tcPr>
            <w:tcW w:w="840" w:type="dxa"/>
          </w:tcPr>
          <w:p>
            <w:pPr>
              <w:pStyle w:val="yTable"/>
            </w:pPr>
            <w:r>
              <w:t>60.</w:t>
            </w:r>
          </w:p>
        </w:tc>
        <w:tc>
          <w:tcPr>
            <w:tcW w:w="1320" w:type="dxa"/>
          </w:tcPr>
          <w:p>
            <w:pPr>
              <w:pStyle w:val="yTable"/>
            </w:pPr>
            <w:r>
              <w:t>69(2)</w:t>
            </w:r>
          </w:p>
        </w:tc>
        <w:tc>
          <w:tcPr>
            <w:tcW w:w="3720" w:type="dxa"/>
          </w:tcPr>
          <w:p>
            <w:pPr>
              <w:pStyle w:val="yTable"/>
            </w:pPr>
            <w:r>
              <w:t>Unlawful positioning of camping unit</w:t>
            </w:r>
          </w:p>
        </w:tc>
        <w:tc>
          <w:tcPr>
            <w:tcW w:w="1200" w:type="dxa"/>
            <w:vAlign w:val="bottom"/>
          </w:tcPr>
          <w:p>
            <w:pPr>
              <w:pStyle w:val="yTable"/>
              <w:tabs>
                <w:tab w:val="decimal" w:pos="766"/>
              </w:tabs>
            </w:pPr>
            <w:r>
              <w:t>50</w:t>
            </w:r>
          </w:p>
        </w:tc>
      </w:tr>
      <w:tr>
        <w:trPr>
          <w:cantSplit/>
        </w:trPr>
        <w:tc>
          <w:tcPr>
            <w:tcW w:w="840" w:type="dxa"/>
          </w:tcPr>
          <w:p>
            <w:pPr>
              <w:pStyle w:val="yTable"/>
            </w:pPr>
            <w:r>
              <w:t>61.</w:t>
            </w:r>
          </w:p>
        </w:tc>
        <w:tc>
          <w:tcPr>
            <w:tcW w:w="1320" w:type="dxa"/>
          </w:tcPr>
          <w:p>
            <w:pPr>
              <w:pStyle w:val="yTable"/>
            </w:pPr>
            <w:r>
              <w:t>69(3)</w:t>
            </w:r>
          </w:p>
        </w:tc>
        <w:tc>
          <w:tcPr>
            <w:tcW w:w="3720" w:type="dxa"/>
          </w:tcPr>
          <w:p>
            <w:pPr>
              <w:pStyle w:val="yTable"/>
            </w:pPr>
            <w:r>
              <w:t>Failing to maintain camping site in clean and sanitary condition</w:t>
            </w:r>
          </w:p>
        </w:tc>
        <w:tc>
          <w:tcPr>
            <w:tcW w:w="1200" w:type="dxa"/>
            <w:vAlign w:val="bottom"/>
          </w:tcPr>
          <w:p>
            <w:pPr>
              <w:pStyle w:val="yTable"/>
              <w:tabs>
                <w:tab w:val="decimal" w:pos="766"/>
              </w:tabs>
            </w:pPr>
            <w:r>
              <w:t>50</w:t>
            </w:r>
          </w:p>
        </w:tc>
      </w:tr>
      <w:tr>
        <w:trPr>
          <w:cantSplit/>
        </w:trPr>
        <w:tc>
          <w:tcPr>
            <w:tcW w:w="840" w:type="dxa"/>
          </w:tcPr>
          <w:p>
            <w:pPr>
              <w:pStyle w:val="yTable"/>
              <w:keepNext/>
            </w:pPr>
            <w:r>
              <w:t>62.</w:t>
            </w:r>
          </w:p>
        </w:tc>
        <w:tc>
          <w:tcPr>
            <w:tcW w:w="1320" w:type="dxa"/>
          </w:tcPr>
          <w:p>
            <w:pPr>
              <w:pStyle w:val="yTable"/>
              <w:keepNext/>
            </w:pPr>
            <w:r>
              <w:t>69(4)</w:t>
            </w:r>
          </w:p>
        </w:tc>
        <w:tc>
          <w:tcPr>
            <w:tcW w:w="3720" w:type="dxa"/>
          </w:tcPr>
          <w:p>
            <w:pPr>
              <w:pStyle w:val="yTable"/>
              <w:keepNext/>
            </w:pPr>
            <w:r>
              <w:t>Failing to confine camp to allotted or defined site</w:t>
            </w:r>
          </w:p>
        </w:tc>
        <w:tc>
          <w:tcPr>
            <w:tcW w:w="1200" w:type="dxa"/>
            <w:vAlign w:val="bottom"/>
          </w:tcPr>
          <w:p>
            <w:pPr>
              <w:pStyle w:val="yTable"/>
              <w:tabs>
                <w:tab w:val="decimal" w:pos="766"/>
              </w:tabs>
            </w:pPr>
            <w:r>
              <w:t>50</w:t>
            </w:r>
          </w:p>
        </w:tc>
      </w:tr>
      <w:tr>
        <w:trPr>
          <w:cantSplit/>
        </w:trPr>
        <w:tc>
          <w:tcPr>
            <w:tcW w:w="840" w:type="dxa"/>
          </w:tcPr>
          <w:p>
            <w:pPr>
              <w:pStyle w:val="yTable"/>
            </w:pPr>
            <w:r>
              <w:t>63.</w:t>
            </w:r>
          </w:p>
        </w:tc>
        <w:tc>
          <w:tcPr>
            <w:tcW w:w="1320" w:type="dxa"/>
          </w:tcPr>
          <w:p>
            <w:pPr>
              <w:pStyle w:val="yTable"/>
            </w:pPr>
            <w:r>
              <w:t>69(6)</w:t>
            </w:r>
          </w:p>
        </w:tc>
        <w:tc>
          <w:tcPr>
            <w:tcW w:w="3720" w:type="dxa"/>
          </w:tcPr>
          <w:p>
            <w:pPr>
              <w:pStyle w:val="yTable"/>
            </w:pPr>
            <w:r>
              <w:t>Failing to comply with direction to move site</w:t>
            </w:r>
          </w:p>
        </w:tc>
        <w:tc>
          <w:tcPr>
            <w:tcW w:w="1200" w:type="dxa"/>
            <w:vAlign w:val="bottom"/>
          </w:tcPr>
          <w:p>
            <w:pPr>
              <w:pStyle w:val="yTable"/>
              <w:tabs>
                <w:tab w:val="decimal" w:pos="766"/>
              </w:tabs>
            </w:pPr>
            <w:r>
              <w:t>100</w:t>
            </w:r>
          </w:p>
        </w:tc>
      </w:tr>
      <w:tr>
        <w:trPr>
          <w:cantSplit/>
        </w:trPr>
        <w:tc>
          <w:tcPr>
            <w:tcW w:w="840" w:type="dxa"/>
          </w:tcPr>
          <w:p>
            <w:pPr>
              <w:pStyle w:val="yTable"/>
            </w:pPr>
            <w:r>
              <w:t>64.</w:t>
            </w:r>
          </w:p>
        </w:tc>
        <w:tc>
          <w:tcPr>
            <w:tcW w:w="1320" w:type="dxa"/>
          </w:tcPr>
          <w:p>
            <w:pPr>
              <w:pStyle w:val="yTable"/>
            </w:pPr>
            <w:r>
              <w:t>70(2)</w:t>
            </w:r>
          </w:p>
        </w:tc>
        <w:tc>
          <w:tcPr>
            <w:tcW w:w="3720" w:type="dxa"/>
          </w:tcPr>
          <w:p>
            <w:pPr>
              <w:pStyle w:val="yTable"/>
            </w:pPr>
            <w:r>
              <w:t>Failing to comply with direction as to power generator</w:t>
            </w:r>
          </w:p>
        </w:tc>
        <w:tc>
          <w:tcPr>
            <w:tcW w:w="1200" w:type="dxa"/>
            <w:vAlign w:val="bottom"/>
          </w:tcPr>
          <w:p>
            <w:pPr>
              <w:pStyle w:val="yTable"/>
              <w:tabs>
                <w:tab w:val="decimal" w:pos="766"/>
              </w:tabs>
            </w:pPr>
            <w:r>
              <w:t>100</w:t>
            </w:r>
          </w:p>
        </w:tc>
      </w:tr>
      <w:tr>
        <w:trPr>
          <w:cantSplit/>
        </w:trPr>
        <w:tc>
          <w:tcPr>
            <w:tcW w:w="840" w:type="dxa"/>
          </w:tcPr>
          <w:p>
            <w:pPr>
              <w:pStyle w:val="yTable"/>
            </w:pPr>
            <w:r>
              <w:t>64a.</w:t>
            </w:r>
          </w:p>
        </w:tc>
        <w:tc>
          <w:tcPr>
            <w:tcW w:w="1320" w:type="dxa"/>
          </w:tcPr>
          <w:p>
            <w:pPr>
              <w:pStyle w:val="yTable"/>
            </w:pPr>
            <w:r>
              <w:t>71(2a)</w:t>
            </w:r>
          </w:p>
        </w:tc>
        <w:tc>
          <w:tcPr>
            <w:tcW w:w="3720" w:type="dxa"/>
          </w:tcPr>
          <w:p>
            <w:pPr>
              <w:pStyle w:val="yTable"/>
            </w:pPr>
            <w:r>
              <w:t>Unlawfully collecting firewood for campfire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64BA.</w:t>
            </w:r>
          </w:p>
        </w:tc>
        <w:tc>
          <w:tcPr>
            <w:tcW w:w="1320" w:type="dxa"/>
          </w:tcPr>
          <w:p>
            <w:pPr>
              <w:pStyle w:val="yTable"/>
            </w:pPr>
            <w:r>
              <w:t>72(2)</w:t>
            </w:r>
          </w:p>
        </w:tc>
        <w:tc>
          <w:tcPr>
            <w:tcW w:w="3720" w:type="dxa"/>
          </w:tcPr>
          <w:p>
            <w:pPr>
              <w:pStyle w:val="yTable"/>
            </w:pPr>
            <w:r>
              <w:t>Failing to comply with direction to cease behaviour</w:t>
            </w:r>
          </w:p>
        </w:tc>
        <w:tc>
          <w:tcPr>
            <w:tcW w:w="1200" w:type="dxa"/>
            <w:vAlign w:val="bottom"/>
          </w:tcPr>
          <w:p>
            <w:pPr>
              <w:pStyle w:val="yTable"/>
              <w:tabs>
                <w:tab w:val="decimal" w:pos="766"/>
              </w:tabs>
            </w:pPr>
            <w:r>
              <w:br/>
              <w:t>100</w:t>
            </w:r>
          </w:p>
        </w:tc>
      </w:tr>
      <w:tr>
        <w:trPr>
          <w:cantSplit/>
        </w:trPr>
        <w:tc>
          <w:tcPr>
            <w:tcW w:w="840" w:type="dxa"/>
          </w:tcPr>
          <w:p>
            <w:pPr>
              <w:pStyle w:val="yTable"/>
            </w:pPr>
            <w:r>
              <w:t>64BB.</w:t>
            </w:r>
          </w:p>
        </w:tc>
        <w:tc>
          <w:tcPr>
            <w:tcW w:w="1320" w:type="dxa"/>
          </w:tcPr>
          <w:p>
            <w:pPr>
              <w:pStyle w:val="yTable"/>
            </w:pPr>
            <w:r>
              <w:t>73(1)</w:t>
            </w:r>
          </w:p>
        </w:tc>
        <w:tc>
          <w:tcPr>
            <w:tcW w:w="3720" w:type="dxa"/>
          </w:tcPr>
          <w:p>
            <w:pPr>
              <w:pStyle w:val="yTable"/>
            </w:pPr>
            <w:r>
              <w:t>Behaving in a way that causes nuisance or offence etc.</w:t>
            </w:r>
          </w:p>
        </w:tc>
        <w:tc>
          <w:tcPr>
            <w:tcW w:w="1200" w:type="dxa"/>
            <w:vAlign w:val="bottom"/>
          </w:tcPr>
          <w:p>
            <w:pPr>
              <w:pStyle w:val="yTable"/>
              <w:tabs>
                <w:tab w:val="decimal" w:pos="766"/>
              </w:tabs>
            </w:pPr>
            <w:r>
              <w:br/>
              <w:t>100</w:t>
            </w:r>
          </w:p>
        </w:tc>
      </w:tr>
      <w:tr>
        <w:trPr>
          <w:cantSplit/>
        </w:trPr>
        <w:tc>
          <w:tcPr>
            <w:tcW w:w="840" w:type="dxa"/>
          </w:tcPr>
          <w:p>
            <w:pPr>
              <w:pStyle w:val="yTable"/>
            </w:pPr>
            <w:r>
              <w:t>64b.</w:t>
            </w:r>
          </w:p>
        </w:tc>
        <w:tc>
          <w:tcPr>
            <w:tcW w:w="1320" w:type="dxa"/>
          </w:tcPr>
          <w:p>
            <w:pPr>
              <w:pStyle w:val="yTable"/>
            </w:pPr>
            <w:r>
              <w:t>73(2)</w:t>
            </w:r>
          </w:p>
        </w:tc>
        <w:tc>
          <w:tcPr>
            <w:tcW w:w="3720" w:type="dxa"/>
          </w:tcPr>
          <w:p>
            <w:pPr>
              <w:pStyle w:val="yTable"/>
            </w:pPr>
            <w:r>
              <w:t>Failing to comply with signs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64C.</w:t>
            </w:r>
          </w:p>
        </w:tc>
        <w:tc>
          <w:tcPr>
            <w:tcW w:w="1320" w:type="dxa"/>
          </w:tcPr>
          <w:p>
            <w:pPr>
              <w:pStyle w:val="yTable"/>
            </w:pPr>
            <w:r>
              <w:t>75(1)</w:t>
            </w:r>
          </w:p>
        </w:tc>
        <w:tc>
          <w:tcPr>
            <w:tcW w:w="3720" w:type="dxa"/>
          </w:tcPr>
          <w:p>
            <w:pPr>
              <w:pStyle w:val="yTable"/>
            </w:pPr>
            <w:r>
              <w:t>Entering or remaining on CALM land when seriously affected by alcohol or drugs etc.</w:t>
            </w:r>
          </w:p>
        </w:tc>
        <w:tc>
          <w:tcPr>
            <w:tcW w:w="1200" w:type="dxa"/>
            <w:vAlign w:val="bottom"/>
          </w:tcPr>
          <w:p>
            <w:pPr>
              <w:pStyle w:val="yTable"/>
              <w:tabs>
                <w:tab w:val="decimal" w:pos="766"/>
              </w:tabs>
            </w:pPr>
            <w:r>
              <w:br/>
            </w:r>
            <w:r>
              <w:br/>
              <w:t>100</w:t>
            </w:r>
          </w:p>
        </w:tc>
      </w:tr>
      <w:tr>
        <w:trPr>
          <w:cantSplit/>
        </w:trPr>
        <w:tc>
          <w:tcPr>
            <w:tcW w:w="840" w:type="dxa"/>
          </w:tcPr>
          <w:p>
            <w:pPr>
              <w:pStyle w:val="yTable"/>
            </w:pPr>
            <w:r>
              <w:t>65.</w:t>
            </w:r>
          </w:p>
        </w:tc>
        <w:tc>
          <w:tcPr>
            <w:tcW w:w="1320" w:type="dxa"/>
          </w:tcPr>
          <w:p>
            <w:pPr>
              <w:pStyle w:val="yTable"/>
            </w:pPr>
            <w:r>
              <w:t>75(2)</w:t>
            </w:r>
          </w:p>
        </w:tc>
        <w:tc>
          <w:tcPr>
            <w:tcW w:w="3720" w:type="dxa"/>
          </w:tcPr>
          <w:p>
            <w:pPr>
              <w:pStyle w:val="yTable"/>
            </w:pPr>
            <w:r>
              <w:t>Taking intoxicating substance into cave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65A.</w:t>
            </w:r>
          </w:p>
        </w:tc>
        <w:tc>
          <w:tcPr>
            <w:tcW w:w="1320" w:type="dxa"/>
          </w:tcPr>
          <w:p>
            <w:pPr>
              <w:pStyle w:val="yTable"/>
            </w:pPr>
            <w:r>
              <w:t>75(4)</w:t>
            </w:r>
          </w:p>
        </w:tc>
        <w:tc>
          <w:tcPr>
            <w:tcW w:w="3720" w:type="dxa"/>
          </w:tcPr>
          <w:p>
            <w:pPr>
              <w:pStyle w:val="yTable"/>
            </w:pPr>
            <w:r>
              <w:t>Failing to comply with a direction not to bring alcohol or intoxicating substance onto CALM land</w:t>
            </w:r>
          </w:p>
        </w:tc>
        <w:tc>
          <w:tcPr>
            <w:tcW w:w="1200" w:type="dxa"/>
            <w:vAlign w:val="bottom"/>
          </w:tcPr>
          <w:p>
            <w:pPr>
              <w:pStyle w:val="yTable"/>
              <w:tabs>
                <w:tab w:val="decimal" w:pos="766"/>
              </w:tabs>
            </w:pPr>
            <w:r>
              <w:br/>
            </w:r>
            <w:r>
              <w:br/>
              <w:t>100</w:t>
            </w:r>
          </w:p>
        </w:tc>
      </w:tr>
      <w:tr>
        <w:trPr>
          <w:cantSplit/>
        </w:trPr>
        <w:tc>
          <w:tcPr>
            <w:tcW w:w="840" w:type="dxa"/>
          </w:tcPr>
          <w:p>
            <w:pPr>
              <w:pStyle w:val="yTable"/>
            </w:pPr>
            <w:r>
              <w:t>66.</w:t>
            </w:r>
          </w:p>
        </w:tc>
        <w:tc>
          <w:tcPr>
            <w:tcW w:w="1320" w:type="dxa"/>
          </w:tcPr>
          <w:p>
            <w:pPr>
              <w:pStyle w:val="yTable"/>
            </w:pPr>
            <w:r>
              <w:t>76(1)</w:t>
            </w:r>
          </w:p>
        </w:tc>
        <w:tc>
          <w:tcPr>
            <w:tcW w:w="3720" w:type="dxa"/>
          </w:tcPr>
          <w:p>
            <w:pPr>
              <w:pStyle w:val="yTable"/>
            </w:pPr>
            <w:r>
              <w:t>Removing CALM property</w:t>
            </w:r>
          </w:p>
        </w:tc>
        <w:tc>
          <w:tcPr>
            <w:tcW w:w="1200" w:type="dxa"/>
            <w:vAlign w:val="bottom"/>
          </w:tcPr>
          <w:p>
            <w:pPr>
              <w:pStyle w:val="yTable"/>
              <w:tabs>
                <w:tab w:val="decimal" w:pos="766"/>
              </w:tabs>
            </w:pPr>
            <w:r>
              <w:t>200</w:t>
            </w:r>
          </w:p>
        </w:tc>
      </w:tr>
      <w:tr>
        <w:trPr>
          <w:cantSplit/>
        </w:trPr>
        <w:tc>
          <w:tcPr>
            <w:tcW w:w="840" w:type="dxa"/>
          </w:tcPr>
          <w:p>
            <w:pPr>
              <w:pStyle w:val="yTable"/>
            </w:pPr>
            <w:r>
              <w:t>66AA.</w:t>
            </w:r>
          </w:p>
        </w:tc>
        <w:tc>
          <w:tcPr>
            <w:tcW w:w="1320" w:type="dxa"/>
          </w:tcPr>
          <w:p>
            <w:pPr>
              <w:pStyle w:val="yTable"/>
            </w:pPr>
            <w:r>
              <w:t>76(3)</w:t>
            </w:r>
          </w:p>
        </w:tc>
        <w:tc>
          <w:tcPr>
            <w:tcW w:w="3720" w:type="dxa"/>
          </w:tcPr>
          <w:p>
            <w:pPr>
              <w:pStyle w:val="yTable"/>
            </w:pPr>
            <w:r>
              <w:t>Failing to comply with a direction to leave object</w:t>
            </w:r>
          </w:p>
        </w:tc>
        <w:tc>
          <w:tcPr>
            <w:tcW w:w="1200" w:type="dxa"/>
            <w:vAlign w:val="bottom"/>
          </w:tcPr>
          <w:p>
            <w:pPr>
              <w:pStyle w:val="yTable"/>
              <w:tabs>
                <w:tab w:val="decimal" w:pos="766"/>
              </w:tabs>
            </w:pPr>
            <w:r>
              <w:br/>
              <w:t>200</w:t>
            </w:r>
          </w:p>
        </w:tc>
      </w:tr>
      <w:tr>
        <w:trPr>
          <w:cantSplit/>
        </w:trPr>
        <w:tc>
          <w:tcPr>
            <w:tcW w:w="840" w:type="dxa"/>
          </w:tcPr>
          <w:p>
            <w:pPr>
              <w:pStyle w:val="yTable"/>
            </w:pPr>
            <w:r>
              <w:t>66a.</w:t>
            </w:r>
          </w:p>
        </w:tc>
        <w:tc>
          <w:tcPr>
            <w:tcW w:w="1320" w:type="dxa"/>
          </w:tcPr>
          <w:p>
            <w:pPr>
              <w:pStyle w:val="yTable"/>
            </w:pPr>
            <w:r>
              <w:t>78(1a)</w:t>
            </w:r>
          </w:p>
        </w:tc>
        <w:tc>
          <w:tcPr>
            <w:tcW w:w="3720" w:type="dxa"/>
          </w:tcPr>
          <w:p>
            <w:pPr>
              <w:pStyle w:val="yTable"/>
            </w:pPr>
            <w:r>
              <w:t>Failing to comply with order to remove unauthorised property</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67.</w:t>
            </w:r>
          </w:p>
        </w:tc>
        <w:tc>
          <w:tcPr>
            <w:tcW w:w="1320" w:type="dxa"/>
          </w:tcPr>
          <w:p>
            <w:pPr>
              <w:pStyle w:val="yTable"/>
            </w:pPr>
            <w:r>
              <w:t>88(2)</w:t>
            </w:r>
          </w:p>
        </w:tc>
        <w:tc>
          <w:tcPr>
            <w:tcW w:w="3720" w:type="dxa"/>
          </w:tcPr>
          <w:p>
            <w:pPr>
              <w:pStyle w:val="yTable"/>
            </w:pPr>
            <w:r>
              <w:t>Failing to comply with requirement to return licence</w:t>
            </w:r>
          </w:p>
        </w:tc>
        <w:tc>
          <w:tcPr>
            <w:tcW w:w="1200" w:type="dxa"/>
            <w:vAlign w:val="bottom"/>
          </w:tcPr>
          <w:p>
            <w:pPr>
              <w:pStyle w:val="yTable"/>
              <w:tabs>
                <w:tab w:val="decimal" w:pos="766"/>
              </w:tabs>
            </w:pPr>
            <w:r>
              <w:t>50</w:t>
            </w:r>
          </w:p>
        </w:tc>
      </w:tr>
      <w:tr>
        <w:trPr>
          <w:cantSplit/>
        </w:trPr>
        <w:tc>
          <w:tcPr>
            <w:tcW w:w="840" w:type="dxa"/>
          </w:tcPr>
          <w:p>
            <w:pPr>
              <w:pStyle w:val="yTable"/>
            </w:pPr>
            <w:r>
              <w:t>68AA.</w:t>
            </w:r>
          </w:p>
        </w:tc>
        <w:tc>
          <w:tcPr>
            <w:tcW w:w="1320" w:type="dxa"/>
          </w:tcPr>
          <w:p>
            <w:pPr>
              <w:pStyle w:val="yTable"/>
            </w:pPr>
            <w:r>
              <w:t>93(5)</w:t>
            </w:r>
          </w:p>
        </w:tc>
        <w:tc>
          <w:tcPr>
            <w:tcW w:w="3720" w:type="dxa"/>
          </w:tcPr>
          <w:p>
            <w:pPr>
              <w:pStyle w:val="yTable"/>
            </w:pPr>
            <w:r>
              <w:t>Contravention of condition or restriction of scientific purposes licence</w:t>
            </w:r>
          </w:p>
        </w:tc>
        <w:tc>
          <w:tcPr>
            <w:tcW w:w="1200" w:type="dxa"/>
            <w:vAlign w:val="bottom"/>
          </w:tcPr>
          <w:p>
            <w:pPr>
              <w:pStyle w:val="yTable"/>
              <w:tabs>
                <w:tab w:val="decimal" w:pos="766"/>
              </w:tabs>
            </w:pPr>
            <w:r>
              <w:br/>
              <w:t>100</w:t>
            </w:r>
          </w:p>
        </w:tc>
      </w:tr>
      <w:tr>
        <w:trPr>
          <w:cantSplit/>
        </w:trPr>
        <w:tc>
          <w:tcPr>
            <w:tcW w:w="840" w:type="dxa"/>
          </w:tcPr>
          <w:p>
            <w:pPr>
              <w:pStyle w:val="yTable"/>
            </w:pPr>
            <w:r>
              <w:t>68.</w:t>
            </w:r>
          </w:p>
        </w:tc>
        <w:tc>
          <w:tcPr>
            <w:tcW w:w="1320" w:type="dxa"/>
          </w:tcPr>
          <w:p>
            <w:pPr>
              <w:pStyle w:val="yTable"/>
            </w:pPr>
            <w:r>
              <w:t>98(3)</w:t>
            </w:r>
          </w:p>
        </w:tc>
        <w:tc>
          <w:tcPr>
            <w:tcW w:w="3720" w:type="dxa"/>
          </w:tcPr>
          <w:p>
            <w:pPr>
              <w:pStyle w:val="yTable"/>
            </w:pPr>
            <w:r>
              <w:t>Contravention of condition of commercial operations licence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68A.</w:t>
            </w:r>
          </w:p>
        </w:tc>
        <w:tc>
          <w:tcPr>
            <w:tcW w:w="1320" w:type="dxa"/>
          </w:tcPr>
          <w:p>
            <w:pPr>
              <w:pStyle w:val="yTable"/>
            </w:pPr>
            <w:r>
              <w:t>98AF(3)</w:t>
            </w:r>
          </w:p>
        </w:tc>
        <w:tc>
          <w:tcPr>
            <w:tcW w:w="3720" w:type="dxa"/>
          </w:tcPr>
          <w:p>
            <w:pPr>
              <w:pStyle w:val="yTable"/>
            </w:pPr>
            <w:r>
              <w:t>Contravention of condition of rental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68B.</w:t>
            </w:r>
          </w:p>
        </w:tc>
        <w:tc>
          <w:tcPr>
            <w:tcW w:w="1320" w:type="dxa"/>
          </w:tcPr>
          <w:p>
            <w:pPr>
              <w:pStyle w:val="yTable"/>
            </w:pPr>
            <w:r>
              <w:t>98AL(4)</w:t>
            </w:r>
          </w:p>
        </w:tc>
        <w:tc>
          <w:tcPr>
            <w:tcW w:w="3720" w:type="dxa"/>
          </w:tcPr>
          <w:p>
            <w:pPr>
              <w:pStyle w:val="yTable"/>
            </w:pPr>
            <w:r>
              <w:t>Failing to have written consent of licence holder in possession</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68C.</w:t>
            </w:r>
          </w:p>
        </w:tc>
        <w:tc>
          <w:tcPr>
            <w:tcW w:w="1320" w:type="dxa"/>
          </w:tcPr>
          <w:p>
            <w:pPr>
              <w:pStyle w:val="yTable"/>
            </w:pPr>
            <w:r>
              <w:t>98AR(3)</w:t>
            </w:r>
          </w:p>
        </w:tc>
        <w:tc>
          <w:tcPr>
            <w:tcW w:w="3720" w:type="dxa"/>
          </w:tcPr>
          <w:p>
            <w:pPr>
              <w:pStyle w:val="yTable"/>
            </w:pPr>
            <w:r>
              <w:t>Contravention of condition of private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68D.</w:t>
            </w:r>
          </w:p>
        </w:tc>
        <w:tc>
          <w:tcPr>
            <w:tcW w:w="1320" w:type="dxa"/>
          </w:tcPr>
          <w:p>
            <w:pPr>
              <w:pStyle w:val="yTable"/>
            </w:pPr>
            <w:r>
              <w:t>98AT(3)</w:t>
            </w:r>
          </w:p>
        </w:tc>
        <w:tc>
          <w:tcPr>
            <w:tcW w:w="3720" w:type="dxa"/>
          </w:tcPr>
          <w:p>
            <w:pPr>
              <w:pStyle w:val="yTable"/>
            </w:pPr>
            <w:r>
              <w:t>Failing to provide inspection report for mooring</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68E.</w:t>
            </w:r>
          </w:p>
        </w:tc>
        <w:tc>
          <w:tcPr>
            <w:tcW w:w="1320" w:type="dxa"/>
          </w:tcPr>
          <w:p>
            <w:pPr>
              <w:pStyle w:val="yTable"/>
            </w:pPr>
            <w:r>
              <w:t>98AU(3)</w:t>
            </w:r>
          </w:p>
        </w:tc>
        <w:tc>
          <w:tcPr>
            <w:tcW w:w="3720" w:type="dxa"/>
          </w:tcPr>
          <w:p>
            <w:pPr>
              <w:pStyle w:val="yTable"/>
            </w:pPr>
            <w:r>
              <w:t>Failing to comply with a requirement to repair, relocate or remove a private mooring</w:t>
            </w:r>
          </w:p>
        </w:tc>
        <w:tc>
          <w:tcPr>
            <w:tcW w:w="1200" w:type="dxa"/>
            <w:vAlign w:val="bottom"/>
          </w:tcPr>
          <w:p>
            <w:pPr>
              <w:pStyle w:val="yTable"/>
              <w:tabs>
                <w:tab w:val="decimal" w:pos="766"/>
              </w:tabs>
              <w:rPr>
                <w:szCs w:val="22"/>
              </w:rPr>
            </w:pPr>
            <w:r>
              <w:t>200</w:t>
            </w:r>
          </w:p>
        </w:tc>
      </w:tr>
      <w:tr>
        <w:trPr>
          <w:cantSplit/>
        </w:trPr>
        <w:tc>
          <w:tcPr>
            <w:tcW w:w="840" w:type="dxa"/>
          </w:tcPr>
          <w:p>
            <w:pPr>
              <w:pStyle w:val="yTable"/>
            </w:pPr>
            <w:r>
              <w:t>68F.</w:t>
            </w:r>
          </w:p>
        </w:tc>
        <w:tc>
          <w:tcPr>
            <w:tcW w:w="1320" w:type="dxa"/>
          </w:tcPr>
          <w:p>
            <w:pPr>
              <w:pStyle w:val="yTable"/>
            </w:pPr>
            <w:r>
              <w:t>98AW</w:t>
            </w:r>
          </w:p>
        </w:tc>
        <w:tc>
          <w:tcPr>
            <w:tcW w:w="3720" w:type="dxa"/>
          </w:tcPr>
          <w:p>
            <w:pPr>
              <w:pStyle w:val="yTable"/>
            </w:pPr>
            <w:r>
              <w:t>Failing to notify change of particulars for private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69.</w:t>
            </w:r>
          </w:p>
        </w:tc>
        <w:tc>
          <w:tcPr>
            <w:tcW w:w="1320" w:type="dxa"/>
          </w:tcPr>
          <w:p>
            <w:pPr>
              <w:pStyle w:val="yTable"/>
            </w:pPr>
            <w:r>
              <w:t>99(5)</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69a.</w:t>
            </w:r>
          </w:p>
        </w:tc>
        <w:tc>
          <w:tcPr>
            <w:tcW w:w="1320" w:type="dxa"/>
          </w:tcPr>
          <w:p>
            <w:pPr>
              <w:pStyle w:val="yTable"/>
            </w:pPr>
            <w:r>
              <w:t>99A(4)</w:t>
            </w:r>
          </w:p>
        </w:tc>
        <w:tc>
          <w:tcPr>
            <w:tcW w:w="3720" w:type="dxa"/>
          </w:tcPr>
          <w:p>
            <w:pPr>
              <w:pStyle w:val="yTable"/>
            </w:pPr>
            <w:r>
              <w:t>Failing to pay landing fee for aircraft</w:t>
            </w:r>
          </w:p>
        </w:tc>
        <w:tc>
          <w:tcPr>
            <w:tcW w:w="1200" w:type="dxa"/>
            <w:vAlign w:val="bottom"/>
          </w:tcPr>
          <w:p>
            <w:pPr>
              <w:pStyle w:val="yTable"/>
              <w:tabs>
                <w:tab w:val="decimal" w:pos="766"/>
              </w:tabs>
            </w:pPr>
            <w:r>
              <w:t>100</w:t>
            </w:r>
          </w:p>
        </w:tc>
      </w:tr>
      <w:tr>
        <w:trPr>
          <w:cantSplit/>
        </w:trPr>
        <w:tc>
          <w:tcPr>
            <w:tcW w:w="840" w:type="dxa"/>
          </w:tcPr>
          <w:p>
            <w:pPr>
              <w:pStyle w:val="yTable"/>
            </w:pPr>
            <w:r>
              <w:t>69b.</w:t>
            </w:r>
          </w:p>
        </w:tc>
        <w:tc>
          <w:tcPr>
            <w:tcW w:w="1320" w:type="dxa"/>
          </w:tcPr>
          <w:p>
            <w:pPr>
              <w:pStyle w:val="yTable"/>
            </w:pPr>
            <w:r>
              <w:t>99C(4)</w:t>
            </w:r>
          </w:p>
        </w:tc>
        <w:tc>
          <w:tcPr>
            <w:tcW w:w="3720" w:type="dxa"/>
          </w:tcPr>
          <w:p>
            <w:pPr>
              <w:pStyle w:val="yTable"/>
            </w:pPr>
            <w:r>
              <w:t xml:space="preserve">Failing to pay entrance fee for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p>
        </w:tc>
        <w:tc>
          <w:tcPr>
            <w:tcW w:w="1200" w:type="dxa"/>
          </w:tcPr>
          <w:p>
            <w:pPr>
              <w:pStyle w:val="yTable"/>
              <w:tabs>
                <w:tab w:val="decimal" w:pos="766"/>
              </w:tabs>
            </w:pPr>
            <w:r>
              <w:br/>
              <w:t>35</w:t>
            </w:r>
          </w:p>
        </w:tc>
      </w:tr>
      <w:tr>
        <w:trPr>
          <w:cantSplit/>
        </w:trPr>
        <w:tc>
          <w:tcPr>
            <w:tcW w:w="840" w:type="dxa"/>
          </w:tcPr>
          <w:p>
            <w:pPr>
              <w:pStyle w:val="yTable"/>
            </w:pPr>
            <w:r>
              <w:t>70.</w:t>
            </w:r>
          </w:p>
        </w:tc>
        <w:tc>
          <w:tcPr>
            <w:tcW w:w="1320" w:type="dxa"/>
          </w:tcPr>
          <w:p>
            <w:pPr>
              <w:pStyle w:val="yTable"/>
              <w:ind w:left="-74" w:firstLine="45"/>
            </w:pPr>
            <w:r>
              <w:t>100(4)</w:t>
            </w:r>
          </w:p>
        </w:tc>
        <w:tc>
          <w:tcPr>
            <w:tcW w:w="3720" w:type="dxa"/>
          </w:tcPr>
          <w:p>
            <w:pPr>
              <w:pStyle w:val="yTable"/>
            </w:pPr>
            <w:r>
              <w:t>Failing to pay fee for Tree Top Walk</w:t>
            </w:r>
          </w:p>
        </w:tc>
        <w:tc>
          <w:tcPr>
            <w:tcW w:w="1200" w:type="dxa"/>
            <w:vAlign w:val="bottom"/>
          </w:tcPr>
          <w:p>
            <w:pPr>
              <w:pStyle w:val="yTable"/>
              <w:tabs>
                <w:tab w:val="decimal" w:pos="766"/>
              </w:tabs>
            </w:pPr>
            <w:r>
              <w:t>35</w:t>
            </w:r>
          </w:p>
        </w:tc>
      </w:tr>
      <w:tr>
        <w:trPr>
          <w:cantSplit/>
        </w:trPr>
        <w:tc>
          <w:tcPr>
            <w:tcW w:w="840" w:type="dxa"/>
          </w:tcPr>
          <w:p>
            <w:pPr>
              <w:pStyle w:val="yTable"/>
            </w:pPr>
            <w:r>
              <w:t>70a.</w:t>
            </w:r>
          </w:p>
        </w:tc>
        <w:tc>
          <w:tcPr>
            <w:tcW w:w="1320" w:type="dxa"/>
          </w:tcPr>
          <w:p>
            <w:pPr>
              <w:pStyle w:val="yTable"/>
              <w:ind w:left="-74" w:firstLine="45"/>
            </w:pPr>
            <w:r>
              <w:t>100A(4)</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71.</w:t>
            </w:r>
          </w:p>
        </w:tc>
        <w:tc>
          <w:tcPr>
            <w:tcW w:w="1320" w:type="dxa"/>
          </w:tcPr>
          <w:p>
            <w:pPr>
              <w:pStyle w:val="yTable"/>
              <w:ind w:left="-74" w:firstLine="45"/>
            </w:pPr>
            <w:r>
              <w:t>102</w:t>
            </w:r>
          </w:p>
        </w:tc>
        <w:tc>
          <w:tcPr>
            <w:tcW w:w="3720" w:type="dxa"/>
          </w:tcPr>
          <w:p>
            <w:pPr>
              <w:pStyle w:val="yTable"/>
            </w:pPr>
            <w:r>
              <w:t>Failing to pay entrance fee when entering on horseback</w:t>
            </w:r>
          </w:p>
        </w:tc>
        <w:tc>
          <w:tcPr>
            <w:tcW w:w="1200" w:type="dxa"/>
            <w:vAlign w:val="bottom"/>
          </w:tcPr>
          <w:p>
            <w:pPr>
              <w:pStyle w:val="yTable"/>
              <w:tabs>
                <w:tab w:val="decimal" w:pos="766"/>
              </w:tabs>
            </w:pPr>
            <w:r>
              <w:t>35</w:t>
            </w:r>
          </w:p>
        </w:tc>
      </w:tr>
      <w:tr>
        <w:trPr>
          <w:cantSplit/>
        </w:trPr>
        <w:tc>
          <w:tcPr>
            <w:tcW w:w="840" w:type="dxa"/>
          </w:tcPr>
          <w:p>
            <w:pPr>
              <w:pStyle w:val="yTable"/>
            </w:pPr>
            <w:r>
              <w:t>71a.</w:t>
            </w:r>
          </w:p>
        </w:tc>
        <w:tc>
          <w:tcPr>
            <w:tcW w:w="1320" w:type="dxa"/>
          </w:tcPr>
          <w:p>
            <w:pPr>
              <w:pStyle w:val="yTable"/>
              <w:ind w:left="-74" w:firstLine="45"/>
            </w:pPr>
            <w:r>
              <w:t>102A(3)</w:t>
            </w:r>
          </w:p>
        </w:tc>
        <w:tc>
          <w:tcPr>
            <w:tcW w:w="3720" w:type="dxa"/>
          </w:tcPr>
          <w:p>
            <w:pPr>
              <w:pStyle w:val="yTable"/>
            </w:pPr>
            <w:r>
              <w:t>Failing to pay abseiling fee</w:t>
            </w:r>
          </w:p>
        </w:tc>
        <w:tc>
          <w:tcPr>
            <w:tcW w:w="1200" w:type="dxa"/>
            <w:vAlign w:val="bottom"/>
          </w:tcPr>
          <w:p>
            <w:pPr>
              <w:pStyle w:val="yTable"/>
              <w:tabs>
                <w:tab w:val="decimal" w:pos="766"/>
              </w:tabs>
            </w:pPr>
            <w:r>
              <w:t>35</w:t>
            </w:r>
          </w:p>
        </w:tc>
      </w:tr>
      <w:tr>
        <w:trPr>
          <w:cantSplit/>
        </w:trPr>
        <w:tc>
          <w:tcPr>
            <w:tcW w:w="840" w:type="dxa"/>
          </w:tcPr>
          <w:p>
            <w:pPr>
              <w:pStyle w:val="yTable"/>
            </w:pPr>
            <w:r>
              <w:t>72.</w:t>
            </w:r>
          </w:p>
        </w:tc>
        <w:tc>
          <w:tcPr>
            <w:tcW w:w="1320" w:type="dxa"/>
          </w:tcPr>
          <w:p>
            <w:pPr>
              <w:pStyle w:val="yTable"/>
              <w:ind w:left="-74" w:firstLine="45"/>
            </w:pPr>
            <w:r>
              <w:t>103(4)</w:t>
            </w:r>
          </w:p>
        </w:tc>
        <w:tc>
          <w:tcPr>
            <w:tcW w:w="3720" w:type="dxa"/>
          </w:tcPr>
          <w:p>
            <w:pPr>
              <w:pStyle w:val="yTable"/>
            </w:pPr>
            <w:r>
              <w:t>Failing to pay camping fee</w:t>
            </w:r>
          </w:p>
        </w:tc>
        <w:tc>
          <w:tcPr>
            <w:tcW w:w="1200" w:type="dxa"/>
            <w:vAlign w:val="bottom"/>
          </w:tcPr>
          <w:p>
            <w:pPr>
              <w:pStyle w:val="yTable"/>
              <w:tabs>
                <w:tab w:val="decimal" w:pos="766"/>
              </w:tabs>
            </w:pPr>
            <w:r>
              <w:t>35</w:t>
            </w:r>
          </w:p>
        </w:tc>
      </w:tr>
      <w:tr>
        <w:trPr>
          <w:cantSplit/>
        </w:trPr>
        <w:tc>
          <w:tcPr>
            <w:tcW w:w="840" w:type="dxa"/>
          </w:tcPr>
          <w:p>
            <w:pPr>
              <w:pStyle w:val="yTable"/>
            </w:pPr>
            <w:r>
              <w:t>73.</w:t>
            </w:r>
          </w:p>
        </w:tc>
        <w:tc>
          <w:tcPr>
            <w:tcW w:w="1320" w:type="dxa"/>
          </w:tcPr>
          <w:p>
            <w:pPr>
              <w:pStyle w:val="yTable"/>
              <w:ind w:left="-74" w:firstLine="45"/>
            </w:pPr>
            <w:r>
              <w:t>105(1)</w:t>
            </w:r>
          </w:p>
        </w:tc>
        <w:tc>
          <w:tcPr>
            <w:tcW w:w="3720" w:type="dxa"/>
          </w:tcPr>
          <w:p>
            <w:pPr>
              <w:pStyle w:val="yTable"/>
            </w:pPr>
            <w:r>
              <w:t>Organising etc. meeting etc.</w:t>
            </w:r>
          </w:p>
        </w:tc>
        <w:tc>
          <w:tcPr>
            <w:tcW w:w="1200" w:type="dxa"/>
            <w:vAlign w:val="bottom"/>
          </w:tcPr>
          <w:p>
            <w:pPr>
              <w:pStyle w:val="yTable"/>
              <w:tabs>
                <w:tab w:val="decimal" w:pos="766"/>
              </w:tabs>
            </w:pPr>
            <w:r>
              <w:t>200</w:t>
            </w:r>
          </w:p>
        </w:tc>
      </w:tr>
      <w:tr>
        <w:trPr>
          <w:cantSplit/>
        </w:trPr>
        <w:tc>
          <w:tcPr>
            <w:tcW w:w="840" w:type="dxa"/>
          </w:tcPr>
          <w:p>
            <w:pPr>
              <w:pStyle w:val="yTable"/>
            </w:pPr>
            <w:r>
              <w:t>74.</w:t>
            </w:r>
          </w:p>
        </w:tc>
        <w:tc>
          <w:tcPr>
            <w:tcW w:w="1320" w:type="dxa"/>
          </w:tcPr>
          <w:p>
            <w:pPr>
              <w:pStyle w:val="yTable"/>
              <w:ind w:left="-74" w:firstLine="45"/>
            </w:pPr>
            <w:r>
              <w:t>106(1)</w:t>
            </w:r>
          </w:p>
        </w:tc>
        <w:tc>
          <w:tcPr>
            <w:tcW w:w="3720" w:type="dxa"/>
          </w:tcPr>
          <w:p>
            <w:pPr>
              <w:pStyle w:val="yTable"/>
            </w:pPr>
            <w:r>
              <w:t>Selling goods or services, or carrying on business</w:t>
            </w:r>
          </w:p>
        </w:tc>
        <w:tc>
          <w:tcPr>
            <w:tcW w:w="1200" w:type="dxa"/>
            <w:vAlign w:val="bottom"/>
          </w:tcPr>
          <w:p>
            <w:pPr>
              <w:pStyle w:val="yTable"/>
              <w:tabs>
                <w:tab w:val="decimal" w:pos="766"/>
              </w:tabs>
            </w:pPr>
            <w:r>
              <w:t>200</w:t>
            </w:r>
          </w:p>
        </w:tc>
      </w:tr>
      <w:tr>
        <w:trPr>
          <w:cantSplit/>
        </w:trPr>
        <w:tc>
          <w:tcPr>
            <w:tcW w:w="840" w:type="dxa"/>
          </w:tcPr>
          <w:p>
            <w:pPr>
              <w:pStyle w:val="yTable"/>
            </w:pPr>
            <w:r>
              <w:t>74a.</w:t>
            </w:r>
          </w:p>
        </w:tc>
        <w:tc>
          <w:tcPr>
            <w:tcW w:w="1320" w:type="dxa"/>
          </w:tcPr>
          <w:p>
            <w:pPr>
              <w:pStyle w:val="yTable"/>
              <w:ind w:left="-74" w:firstLine="45"/>
            </w:pPr>
            <w:r>
              <w:t>106(2)</w:t>
            </w:r>
          </w:p>
        </w:tc>
        <w:tc>
          <w:tcPr>
            <w:tcW w:w="3720" w:type="dxa"/>
          </w:tcPr>
          <w:p>
            <w:pPr>
              <w:pStyle w:val="yTable"/>
            </w:pPr>
            <w:r>
              <w:t>Advertising goods or services or a business</w:t>
            </w:r>
          </w:p>
        </w:tc>
        <w:tc>
          <w:tcPr>
            <w:tcW w:w="1200" w:type="dxa"/>
            <w:vAlign w:val="bottom"/>
          </w:tcPr>
          <w:p>
            <w:pPr>
              <w:pStyle w:val="yTable"/>
              <w:tabs>
                <w:tab w:val="decimal" w:pos="766"/>
              </w:tabs>
            </w:pPr>
            <w:r>
              <w:t>200</w:t>
            </w:r>
          </w:p>
        </w:tc>
      </w:tr>
      <w:tr>
        <w:trPr>
          <w:cantSplit/>
        </w:trPr>
        <w:tc>
          <w:tcPr>
            <w:tcW w:w="840" w:type="dxa"/>
          </w:tcPr>
          <w:p>
            <w:pPr>
              <w:pStyle w:val="yTable"/>
            </w:pPr>
            <w:r>
              <w:t>75.</w:t>
            </w:r>
          </w:p>
        </w:tc>
        <w:tc>
          <w:tcPr>
            <w:tcW w:w="1320" w:type="dxa"/>
          </w:tcPr>
          <w:p>
            <w:pPr>
              <w:pStyle w:val="yTable"/>
              <w:ind w:left="-74" w:firstLine="45"/>
            </w:pPr>
            <w:r>
              <w:t>107</w:t>
            </w:r>
          </w:p>
        </w:tc>
        <w:tc>
          <w:tcPr>
            <w:tcW w:w="3720" w:type="dxa"/>
          </w:tcPr>
          <w:p>
            <w:pPr>
              <w:pStyle w:val="yTable"/>
            </w:pPr>
            <w:r>
              <w:t>Distributing etc. printed matter etc.</w:t>
            </w:r>
          </w:p>
        </w:tc>
        <w:tc>
          <w:tcPr>
            <w:tcW w:w="1200" w:type="dxa"/>
            <w:vAlign w:val="bottom"/>
          </w:tcPr>
          <w:p>
            <w:pPr>
              <w:pStyle w:val="yTable"/>
              <w:tabs>
                <w:tab w:val="decimal" w:pos="766"/>
              </w:tabs>
            </w:pPr>
            <w:r>
              <w:t>50</w:t>
            </w:r>
          </w:p>
        </w:tc>
      </w:tr>
      <w:tr>
        <w:trPr>
          <w:cantSplit/>
        </w:trPr>
        <w:tc>
          <w:tcPr>
            <w:tcW w:w="840" w:type="dxa"/>
          </w:tcPr>
          <w:p>
            <w:pPr>
              <w:pStyle w:val="yTable"/>
              <w:widowControl w:val="0"/>
            </w:pPr>
            <w:r>
              <w:t>76.</w:t>
            </w:r>
          </w:p>
        </w:tc>
        <w:tc>
          <w:tcPr>
            <w:tcW w:w="1320" w:type="dxa"/>
          </w:tcPr>
          <w:p>
            <w:pPr>
              <w:pStyle w:val="yTable"/>
              <w:widowControl w:val="0"/>
              <w:ind w:left="-74" w:firstLine="45"/>
            </w:pPr>
            <w:r>
              <w:t>108</w:t>
            </w:r>
          </w:p>
        </w:tc>
        <w:tc>
          <w:tcPr>
            <w:tcW w:w="3720" w:type="dxa"/>
          </w:tcPr>
          <w:p>
            <w:pPr>
              <w:pStyle w:val="yTable"/>
              <w:widowControl w:val="0"/>
            </w:pPr>
            <w:r>
              <w:t>Unlawfully taking still or motion pictures</w:t>
            </w:r>
          </w:p>
        </w:tc>
        <w:tc>
          <w:tcPr>
            <w:tcW w:w="1200" w:type="dxa"/>
            <w:vAlign w:val="bottom"/>
          </w:tcPr>
          <w:p>
            <w:pPr>
              <w:pStyle w:val="yTable"/>
              <w:widowControl w:val="0"/>
              <w:tabs>
                <w:tab w:val="decimal" w:pos="766"/>
              </w:tabs>
            </w:pPr>
            <w:r>
              <w:t>50</w:t>
            </w:r>
          </w:p>
        </w:tc>
      </w:tr>
      <w:tr>
        <w:trPr>
          <w:cantSplit/>
        </w:trPr>
        <w:tc>
          <w:tcPr>
            <w:tcW w:w="840" w:type="dxa"/>
          </w:tcPr>
          <w:p>
            <w:pPr>
              <w:pStyle w:val="yTable"/>
              <w:pageBreakBefore/>
              <w:widowControl w:val="0"/>
            </w:pPr>
            <w:r>
              <w:t>77.</w:t>
            </w:r>
          </w:p>
        </w:tc>
        <w:tc>
          <w:tcPr>
            <w:tcW w:w="1320" w:type="dxa"/>
          </w:tcPr>
          <w:p>
            <w:pPr>
              <w:pStyle w:val="yTable"/>
              <w:keepNext/>
              <w:keepLines/>
              <w:widowControl w:val="0"/>
              <w:ind w:left="-74" w:firstLine="45"/>
            </w:pPr>
            <w:r>
              <w:t>109</w:t>
            </w:r>
          </w:p>
        </w:tc>
        <w:tc>
          <w:tcPr>
            <w:tcW w:w="3720" w:type="dxa"/>
          </w:tcPr>
          <w:p>
            <w:pPr>
              <w:pStyle w:val="yTable"/>
              <w:keepNext/>
              <w:keepLines/>
              <w:widowControl w:val="0"/>
            </w:pPr>
            <w:r>
              <w:t>Failing to produce licence etc.</w:t>
            </w:r>
          </w:p>
        </w:tc>
        <w:tc>
          <w:tcPr>
            <w:tcW w:w="1200" w:type="dxa"/>
            <w:vAlign w:val="bottom"/>
          </w:tcPr>
          <w:p>
            <w:pPr>
              <w:pStyle w:val="yTable"/>
              <w:keepNext/>
              <w:keepLines/>
              <w:widowControl w:val="0"/>
              <w:tabs>
                <w:tab w:val="decimal" w:pos="766"/>
              </w:tabs>
            </w:pPr>
            <w:r>
              <w:rPr>
                <w:szCs w:val="22"/>
              </w:rPr>
              <w:t>200</w:t>
            </w:r>
          </w:p>
        </w:tc>
      </w:tr>
      <w:tr>
        <w:trPr>
          <w:cantSplit/>
        </w:trPr>
        <w:tc>
          <w:tcPr>
            <w:tcW w:w="840" w:type="dxa"/>
          </w:tcPr>
          <w:p>
            <w:pPr>
              <w:pStyle w:val="yTable"/>
              <w:keepNext/>
              <w:widowControl w:val="0"/>
            </w:pPr>
            <w:r>
              <w:t>78.</w:t>
            </w:r>
          </w:p>
        </w:tc>
        <w:tc>
          <w:tcPr>
            <w:tcW w:w="1320" w:type="dxa"/>
          </w:tcPr>
          <w:p>
            <w:pPr>
              <w:pStyle w:val="yTable"/>
              <w:keepNext/>
              <w:widowControl w:val="0"/>
              <w:ind w:left="-74" w:firstLine="45"/>
            </w:pPr>
            <w:r>
              <w:t>110</w:t>
            </w:r>
          </w:p>
        </w:tc>
        <w:tc>
          <w:tcPr>
            <w:tcW w:w="3720" w:type="dxa"/>
          </w:tcPr>
          <w:p>
            <w:pPr>
              <w:pStyle w:val="yTable"/>
              <w:keepNext/>
              <w:widowControl w:val="0"/>
            </w:pPr>
            <w:r>
              <w:t>Giving false or misleading information</w:t>
            </w:r>
          </w:p>
        </w:tc>
        <w:tc>
          <w:tcPr>
            <w:tcW w:w="1200" w:type="dxa"/>
            <w:vAlign w:val="bottom"/>
          </w:tcPr>
          <w:p>
            <w:pPr>
              <w:pStyle w:val="yTable"/>
              <w:keepNext/>
              <w:keepLines/>
              <w:widowControl w:val="0"/>
              <w:tabs>
                <w:tab w:val="decimal" w:pos="766"/>
              </w:tabs>
            </w:pPr>
            <w:r>
              <w:rPr>
                <w:szCs w:val="22"/>
              </w:rPr>
              <w:t>200</w:t>
            </w:r>
          </w:p>
        </w:tc>
      </w:tr>
    </w:tbl>
    <w:p>
      <w:pPr>
        <w:pStyle w:val="yFootnotesection"/>
        <w:keepNext/>
      </w:pPr>
      <w:r>
        <w:tab/>
        <w:t>[Division 2 amended in Gazette 29 Sep 2006 p. 4331</w:t>
      </w:r>
      <w:r>
        <w:noBreakHyphen/>
        <w:t>3; 27 Feb 2007 p. 625</w:t>
      </w:r>
      <w:r>
        <w:noBreakHyphen/>
        <w:t>6; 3 Dec 2010 p. 6052; 19 Sep 2014 p. 3333</w:t>
      </w:r>
      <w:r>
        <w:noBreakHyphen/>
        <w:t>4 and 3336</w:t>
      </w:r>
      <w:r>
        <w:noBreakHyphen/>
        <w:t>7; 24 Mar 2015 p. 1043</w:t>
      </w:r>
      <w:r>
        <w:noBreakHyphen/>
        <w:t>4; 10 Nov 2015 p. 4606.]</w:t>
      </w:r>
    </w:p>
    <w:p>
      <w:pPr>
        <w:pStyle w:val="yHeading3"/>
        <w:spacing w:before="300" w:after="80"/>
        <w:rPr>
          <w:i/>
        </w:rPr>
      </w:pPr>
      <w:bookmarkStart w:id="631" w:name="_Toc491954742"/>
      <w:bookmarkStart w:id="632" w:name="_Toc491956896"/>
      <w:bookmarkStart w:id="633" w:name="_Toc473019341"/>
      <w:bookmarkStart w:id="634" w:name="_Toc473036079"/>
      <w:r>
        <w:rPr>
          <w:rStyle w:val="CharSDivNo"/>
        </w:rPr>
        <w:t>Division 3</w:t>
      </w:r>
      <w:r>
        <w:t xml:space="preserve"> — </w:t>
      </w:r>
      <w:r>
        <w:rPr>
          <w:rStyle w:val="CharSDivText"/>
        </w:rPr>
        <w:t xml:space="preserve">Offences under </w:t>
      </w:r>
      <w:r>
        <w:rPr>
          <w:rStyle w:val="CharSDivText"/>
          <w:i/>
        </w:rPr>
        <w:t>Forest Management Regulations 1993</w:t>
      </w:r>
      <w:bookmarkEnd w:id="631"/>
      <w:bookmarkEnd w:id="632"/>
      <w:bookmarkEnd w:id="633"/>
      <w:bookmarkEnd w:id="634"/>
    </w:p>
    <w:p>
      <w:pPr>
        <w:pStyle w:val="yFootnoteheading"/>
        <w:spacing w:after="60"/>
      </w:pPr>
      <w:r>
        <w:tab/>
        <w:t>[Heading inserted in Gazette 7 Dec 2012 p. 5972.]</w:t>
      </w:r>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keepNext/>
              <w:keepLines/>
              <w:jc w:val="center"/>
              <w:rPr>
                <w:b/>
              </w:rPr>
            </w:pPr>
          </w:p>
        </w:tc>
        <w:tc>
          <w:tcPr>
            <w:tcW w:w="1320" w:type="dxa"/>
            <w:vAlign w:val="center"/>
          </w:tcPr>
          <w:p>
            <w:pPr>
              <w:pStyle w:val="yTable"/>
              <w:keepNext/>
              <w:keepLines/>
              <w:rPr>
                <w:b/>
              </w:rPr>
            </w:pPr>
            <w:r>
              <w:rPr>
                <w:b/>
              </w:rPr>
              <w:t>Column 1</w:t>
            </w:r>
          </w:p>
        </w:tc>
        <w:tc>
          <w:tcPr>
            <w:tcW w:w="3720" w:type="dxa"/>
            <w:vAlign w:val="center"/>
          </w:tcPr>
          <w:p>
            <w:pPr>
              <w:pStyle w:val="yTable"/>
              <w:keepNext/>
              <w:keepLines/>
              <w:jc w:val="center"/>
              <w:rPr>
                <w:b/>
              </w:rPr>
            </w:pPr>
            <w:r>
              <w:rPr>
                <w:b/>
              </w:rPr>
              <w:t>Column 2</w:t>
            </w:r>
          </w:p>
        </w:tc>
        <w:tc>
          <w:tcPr>
            <w:tcW w:w="1200" w:type="dxa"/>
            <w:vAlign w:val="center"/>
          </w:tcPr>
          <w:p>
            <w:pPr>
              <w:pStyle w:val="yTable"/>
              <w:keepNext/>
              <w:keepLines/>
              <w:jc w:val="center"/>
              <w:rPr>
                <w:b/>
              </w:rPr>
            </w:pPr>
            <w:r>
              <w:rPr>
                <w:b/>
              </w:rPr>
              <w:t>Column 3</w:t>
            </w:r>
          </w:p>
        </w:tc>
      </w:tr>
      <w:tr>
        <w:trPr>
          <w:cantSplit/>
          <w:trHeight w:val="240"/>
          <w:tblHeader/>
        </w:trPr>
        <w:tc>
          <w:tcPr>
            <w:tcW w:w="840" w:type="dxa"/>
          </w:tcPr>
          <w:p>
            <w:pPr>
              <w:pStyle w:val="yTableNAm"/>
              <w:spacing w:before="60"/>
              <w:rPr>
                <w:b/>
              </w:rPr>
            </w:pPr>
            <w:r>
              <w:rPr>
                <w:b/>
              </w:rPr>
              <w:t>Item No.</w:t>
            </w:r>
          </w:p>
        </w:tc>
        <w:tc>
          <w:tcPr>
            <w:tcW w:w="1320" w:type="dxa"/>
          </w:tcPr>
          <w:p>
            <w:pPr>
              <w:pStyle w:val="yTableNAm"/>
              <w:spacing w:before="60"/>
            </w:pPr>
            <w:r>
              <w:rPr>
                <w:b/>
              </w:rPr>
              <w:t>Regulation creating offence</w:t>
            </w:r>
          </w:p>
        </w:tc>
        <w:tc>
          <w:tcPr>
            <w:tcW w:w="3720" w:type="dxa"/>
          </w:tcPr>
          <w:p>
            <w:pPr>
              <w:pStyle w:val="yTableNAm"/>
              <w:spacing w:before="60"/>
              <w:jc w:val="center"/>
            </w:pPr>
            <w:r>
              <w:rPr>
                <w:b/>
              </w:rPr>
              <w:t>Nature of offence</w:t>
            </w:r>
          </w:p>
        </w:tc>
        <w:tc>
          <w:tcPr>
            <w:tcW w:w="1200" w:type="dxa"/>
          </w:tcPr>
          <w:p>
            <w:pPr>
              <w:pStyle w:val="yTableNAm"/>
              <w:spacing w:before="60"/>
              <w:jc w:val="center"/>
            </w:pPr>
            <w:r>
              <w:rPr>
                <w:b/>
              </w:rPr>
              <w:t>Penalty</w:t>
            </w:r>
          </w:p>
          <w:p>
            <w:pPr>
              <w:pStyle w:val="yTableNAm"/>
              <w:spacing w:before="60"/>
              <w:jc w:val="center"/>
              <w:rPr>
                <w:b/>
              </w:rPr>
            </w:pPr>
            <w:r>
              <w:rPr>
                <w:b/>
              </w:rPr>
              <w:t>$</w:t>
            </w:r>
          </w:p>
        </w:tc>
      </w:tr>
      <w:tr>
        <w:trPr>
          <w:cantSplit/>
        </w:trPr>
        <w:tc>
          <w:tcPr>
            <w:tcW w:w="840" w:type="dxa"/>
          </w:tcPr>
          <w:p>
            <w:pPr>
              <w:pStyle w:val="yTableNAm"/>
              <w:spacing w:before="60"/>
            </w:pPr>
            <w:r>
              <w:t>1.</w:t>
            </w:r>
          </w:p>
        </w:tc>
        <w:tc>
          <w:tcPr>
            <w:tcW w:w="1320" w:type="dxa"/>
          </w:tcPr>
          <w:p>
            <w:pPr>
              <w:pStyle w:val="yTableNAm"/>
              <w:spacing w:before="60"/>
            </w:pPr>
            <w:r>
              <w:t>108</w:t>
            </w:r>
          </w:p>
        </w:tc>
        <w:tc>
          <w:tcPr>
            <w:tcW w:w="3720" w:type="dxa"/>
          </w:tcPr>
          <w:p>
            <w:pPr>
              <w:pStyle w:val="yTableNAm"/>
              <w:spacing w:before="60"/>
            </w:pPr>
            <w:r>
              <w:t>Entry, use, movement of potential carrier without authorisation or contrary to condition</w:t>
            </w:r>
          </w:p>
        </w:tc>
        <w:tc>
          <w:tcPr>
            <w:tcW w:w="1200" w:type="dxa"/>
            <w:vAlign w:val="bottom"/>
          </w:tcPr>
          <w:p>
            <w:pPr>
              <w:pStyle w:val="yTableNAm"/>
              <w:spacing w:before="60"/>
              <w:jc w:val="center"/>
            </w:pPr>
            <w:r>
              <w:t>200</w:t>
            </w:r>
          </w:p>
        </w:tc>
      </w:tr>
      <w:tr>
        <w:trPr>
          <w:cantSplit/>
          <w:trHeight w:val="360"/>
        </w:trPr>
        <w:tc>
          <w:tcPr>
            <w:tcW w:w="840" w:type="dxa"/>
          </w:tcPr>
          <w:p>
            <w:pPr>
              <w:pStyle w:val="yTableNAm"/>
              <w:spacing w:before="60"/>
            </w:pPr>
            <w:r>
              <w:t>2.</w:t>
            </w:r>
          </w:p>
        </w:tc>
        <w:tc>
          <w:tcPr>
            <w:tcW w:w="1320" w:type="dxa"/>
          </w:tcPr>
          <w:p>
            <w:pPr>
              <w:pStyle w:val="yTableNAm"/>
              <w:spacing w:before="60"/>
            </w:pPr>
            <w:r>
              <w:t>109</w:t>
            </w:r>
          </w:p>
        </w:tc>
        <w:tc>
          <w:tcPr>
            <w:tcW w:w="3720" w:type="dxa"/>
          </w:tcPr>
          <w:p>
            <w:pPr>
              <w:pStyle w:val="yTableNAm"/>
              <w:spacing w:before="60"/>
            </w:pPr>
            <w:r>
              <w:t>Entry, use, movement of potential carrier contrary to instruction or direction</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3.</w:t>
            </w:r>
          </w:p>
        </w:tc>
        <w:tc>
          <w:tcPr>
            <w:tcW w:w="1320" w:type="dxa"/>
          </w:tcPr>
          <w:p>
            <w:pPr>
              <w:pStyle w:val="yTableNAm"/>
              <w:spacing w:before="60"/>
            </w:pPr>
            <w:r>
              <w:t>111</w:t>
            </w:r>
          </w:p>
        </w:tc>
        <w:tc>
          <w:tcPr>
            <w:tcW w:w="3720" w:type="dxa"/>
          </w:tcPr>
          <w:p>
            <w:pPr>
              <w:pStyle w:val="yTableNAm"/>
              <w:spacing w:before="60"/>
            </w:pPr>
            <w:r>
              <w:t>Failure to carry or produce written authorisation in respect of potential carrier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4.</w:t>
            </w:r>
          </w:p>
        </w:tc>
        <w:tc>
          <w:tcPr>
            <w:tcW w:w="1320" w:type="dxa"/>
          </w:tcPr>
          <w:p>
            <w:pPr>
              <w:pStyle w:val="yTableNAm"/>
              <w:spacing w:before="60"/>
            </w:pPr>
            <w:r>
              <w:t>113</w:t>
            </w:r>
          </w:p>
        </w:tc>
        <w:tc>
          <w:tcPr>
            <w:tcW w:w="3720" w:type="dxa"/>
          </w:tcPr>
          <w:p>
            <w:pPr>
              <w:pStyle w:val="yTableNAm"/>
              <w:spacing w:before="60"/>
            </w:pPr>
            <w:r>
              <w:t>Failure to produce information relating to forest disease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5.</w:t>
            </w:r>
          </w:p>
        </w:tc>
        <w:tc>
          <w:tcPr>
            <w:tcW w:w="1320" w:type="dxa"/>
          </w:tcPr>
          <w:p>
            <w:pPr>
              <w:pStyle w:val="yTableNAm"/>
              <w:spacing w:before="60"/>
            </w:pPr>
            <w:r>
              <w:t>119</w:t>
            </w:r>
          </w:p>
        </w:tc>
        <w:tc>
          <w:tcPr>
            <w:tcW w:w="3720" w:type="dxa"/>
          </w:tcPr>
          <w:p>
            <w:pPr>
              <w:pStyle w:val="yTableNAm"/>
              <w:spacing w:before="60"/>
            </w:pPr>
            <w:r>
              <w:t>Failure to cleanse or disinfect infected carrier or potential carrier</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6.</w:t>
            </w:r>
          </w:p>
        </w:tc>
        <w:tc>
          <w:tcPr>
            <w:tcW w:w="1320" w:type="dxa"/>
          </w:tcPr>
          <w:p>
            <w:pPr>
              <w:pStyle w:val="yTableNAm"/>
              <w:spacing w:before="60"/>
            </w:pPr>
            <w:r>
              <w:t>123</w:t>
            </w:r>
          </w:p>
        </w:tc>
        <w:tc>
          <w:tcPr>
            <w:tcW w:w="3720" w:type="dxa"/>
          </w:tcPr>
          <w:p>
            <w:pPr>
              <w:pStyle w:val="yTableNAm"/>
              <w:spacing w:before="60"/>
            </w:pPr>
            <w:r>
              <w:t>Failure to give name and address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7.</w:t>
            </w:r>
          </w:p>
        </w:tc>
        <w:tc>
          <w:tcPr>
            <w:tcW w:w="1320" w:type="dxa"/>
          </w:tcPr>
          <w:p>
            <w:pPr>
              <w:pStyle w:val="yTableNAm"/>
              <w:spacing w:before="60"/>
            </w:pPr>
            <w:r>
              <w:t>124</w:t>
            </w:r>
          </w:p>
        </w:tc>
        <w:tc>
          <w:tcPr>
            <w:tcW w:w="3720" w:type="dxa"/>
          </w:tcPr>
          <w:p>
            <w:pPr>
              <w:pStyle w:val="yTableNAm"/>
              <w:spacing w:before="60"/>
            </w:pPr>
            <w:r>
              <w:t>Failure to comply with request to stop or with signpost, or avoiding or breaking through barrier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8.</w:t>
            </w:r>
          </w:p>
        </w:tc>
        <w:tc>
          <w:tcPr>
            <w:tcW w:w="1320" w:type="dxa"/>
          </w:tcPr>
          <w:p>
            <w:pPr>
              <w:pStyle w:val="yTableNAm"/>
              <w:spacing w:before="60"/>
            </w:pPr>
            <w:r>
              <w:t>125</w:t>
            </w:r>
          </w:p>
        </w:tc>
        <w:tc>
          <w:tcPr>
            <w:tcW w:w="3720" w:type="dxa"/>
          </w:tcPr>
          <w:p>
            <w:pPr>
              <w:pStyle w:val="yTableNAm"/>
              <w:spacing w:before="60"/>
            </w:pPr>
            <w:r>
              <w:t>Hindering, obstructing or failing to comply with direction of authorised person</w:t>
            </w:r>
          </w:p>
        </w:tc>
        <w:tc>
          <w:tcPr>
            <w:tcW w:w="1200" w:type="dxa"/>
            <w:vAlign w:val="bottom"/>
          </w:tcPr>
          <w:p>
            <w:pPr>
              <w:pStyle w:val="yTableNAm"/>
              <w:spacing w:before="60"/>
              <w:jc w:val="center"/>
            </w:pPr>
            <w:r>
              <w:t>150</w:t>
            </w:r>
          </w:p>
        </w:tc>
      </w:tr>
    </w:tbl>
    <w:p>
      <w:pPr>
        <w:pStyle w:val="yFootnotesection"/>
      </w:pPr>
      <w:r>
        <w:tab/>
        <w:t>[Division 3 inserted in Gazette 7 Dec 2012 p. 5972-3.]</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636" w:name="_Toc491954743"/>
      <w:bookmarkStart w:id="637" w:name="_Toc491956897"/>
      <w:bookmarkStart w:id="638" w:name="_Toc473019342"/>
      <w:bookmarkStart w:id="639" w:name="_Toc473036080"/>
      <w:r>
        <w:rPr>
          <w:rStyle w:val="CharSchNo"/>
        </w:rPr>
        <w:t>Schedule 3</w:t>
      </w:r>
      <w:r>
        <w:rPr>
          <w:rStyle w:val="CharSDivNo"/>
        </w:rPr>
        <w:t xml:space="preserve"> </w:t>
      </w:r>
      <w:r>
        <w:t>—</w:t>
      </w:r>
      <w:r>
        <w:rPr>
          <w:rStyle w:val="CharSDivText"/>
        </w:rPr>
        <w:t xml:space="preserve"> </w:t>
      </w:r>
      <w:r>
        <w:rPr>
          <w:rStyle w:val="CharSchText"/>
        </w:rPr>
        <w:t>Forms</w:t>
      </w:r>
      <w:bookmarkEnd w:id="636"/>
      <w:bookmarkEnd w:id="637"/>
      <w:bookmarkEnd w:id="638"/>
      <w:bookmarkEnd w:id="639"/>
    </w:p>
    <w:p>
      <w:pPr>
        <w:pStyle w:val="yShoulderClause"/>
      </w:pPr>
      <w:r>
        <w:t>[r. 112(3)]</w:t>
      </w:r>
    </w:p>
    <w:p>
      <w:pPr>
        <w:pStyle w:val="yTHeadingNAm"/>
        <w:spacing w:after="80"/>
      </w:pPr>
      <w:r>
        <w:rPr>
          <w:rStyle w:val="CharSClsNo"/>
          <w:bCs w:val="0"/>
        </w:rPr>
        <w:t>Form 1</w:t>
      </w:r>
      <w:r>
        <w:t> — Infringement notice [r. 112(3)]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1134"/>
        <w:gridCol w:w="425"/>
        <w:gridCol w:w="721"/>
        <w:gridCol w:w="130"/>
        <w:gridCol w:w="283"/>
        <w:gridCol w:w="851"/>
        <w:gridCol w:w="1599"/>
      </w:tblGrid>
      <w:tr>
        <w:trPr>
          <w:cantSplit/>
          <w:trHeight w:val="282"/>
        </w:trPr>
        <w:tc>
          <w:tcPr>
            <w:tcW w:w="5529" w:type="dxa"/>
            <w:gridSpan w:val="7"/>
          </w:tcPr>
          <w:p>
            <w:pPr>
              <w:pStyle w:val="yTableNAm"/>
            </w:pPr>
            <w:r>
              <w:rPr>
                <w:b/>
              </w:rPr>
              <w:br w:type="page"/>
            </w:r>
            <w:r>
              <w:rPr>
                <w:i/>
              </w:rPr>
              <w:t>Conservation and Land Management Act 1984</w:t>
            </w:r>
          </w:p>
          <w:p>
            <w:pPr>
              <w:pStyle w:val="yTableNAm"/>
            </w:pPr>
            <w:r>
              <w:rPr>
                <w:i/>
              </w:rPr>
              <w:t>Conservation and Land Management Regulations 2002</w:t>
            </w:r>
          </w:p>
          <w:p>
            <w:pPr>
              <w:pStyle w:val="yTableNAm"/>
            </w:pPr>
            <w:r>
              <w:rPr>
                <w:i/>
              </w:rPr>
              <w:t>Forest Management Regulations 1993</w:t>
            </w:r>
          </w:p>
          <w:p>
            <w:pPr>
              <w:pStyle w:val="yTableNAm"/>
              <w:jc w:val="center"/>
              <w:rPr>
                <w:b/>
                <w:sz w:val="28"/>
                <w:szCs w:val="28"/>
              </w:rPr>
            </w:pPr>
            <w:r>
              <w:rPr>
                <w:b/>
                <w:sz w:val="28"/>
                <w:szCs w:val="28"/>
              </w:rPr>
              <w:t>INFRINGEMENT NOTICE</w:t>
            </w:r>
          </w:p>
        </w:tc>
        <w:tc>
          <w:tcPr>
            <w:tcW w:w="1599" w:type="dxa"/>
          </w:tcPr>
          <w:p>
            <w:pPr>
              <w:pStyle w:val="yTableNAm"/>
            </w:pPr>
            <w:r>
              <w:t xml:space="preserve">Infringement </w:t>
            </w:r>
            <w:r>
              <w:br/>
              <w:t>notice no.</w:t>
            </w:r>
          </w:p>
        </w:tc>
      </w:tr>
      <w:tr>
        <w:trPr>
          <w:cantSplit/>
          <w:trHeight w:val="150"/>
        </w:trPr>
        <w:tc>
          <w:tcPr>
            <w:tcW w:w="1985" w:type="dxa"/>
            <w:vMerge w:val="restart"/>
          </w:tcPr>
          <w:p>
            <w:pPr>
              <w:pStyle w:val="yTableNAm"/>
            </w:pPr>
            <w:r>
              <w:rPr>
                <w:b/>
              </w:rPr>
              <w:t>Alleged offender</w:t>
            </w:r>
          </w:p>
          <w:p>
            <w:pPr>
              <w:pStyle w:val="yTableNAm"/>
            </w:pPr>
            <w:r>
              <w:t>(not required if notice served under s. 114B or 114D)</w:t>
            </w:r>
          </w:p>
        </w:tc>
        <w:tc>
          <w:tcPr>
            <w:tcW w:w="1559" w:type="dxa"/>
            <w:gridSpan w:val="2"/>
          </w:tcPr>
          <w:p>
            <w:pPr>
              <w:pStyle w:val="yTableNAm"/>
            </w:pPr>
            <w:r>
              <w:t>Family name</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Given names</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Company/</w:t>
            </w:r>
            <w:r>
              <w:br/>
              <w:t>business trading as</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 xml:space="preserve">ACN/ABN </w:t>
            </w:r>
            <w:r>
              <w:br/>
              <w:t>(if applicable)</w:t>
            </w:r>
          </w:p>
        </w:tc>
        <w:tc>
          <w:tcPr>
            <w:tcW w:w="3584" w:type="dxa"/>
            <w:gridSpan w:val="5"/>
          </w:tcPr>
          <w:p>
            <w:pPr>
              <w:pStyle w:val="yTableNAm"/>
            </w:pPr>
          </w:p>
        </w:tc>
      </w:tr>
      <w:tr>
        <w:trPr>
          <w:cantSplit/>
          <w:trHeight w:val="906"/>
        </w:trPr>
        <w:tc>
          <w:tcPr>
            <w:tcW w:w="1985" w:type="dxa"/>
            <w:vMerge/>
          </w:tcPr>
          <w:p>
            <w:pPr>
              <w:pStyle w:val="zyTableNAm"/>
            </w:pPr>
          </w:p>
        </w:tc>
        <w:tc>
          <w:tcPr>
            <w:tcW w:w="1559" w:type="dxa"/>
            <w:gridSpan w:val="2"/>
          </w:tcPr>
          <w:p>
            <w:pPr>
              <w:pStyle w:val="yTableNAm"/>
            </w:pPr>
            <w:r>
              <w:t xml:space="preserve">Address </w:t>
            </w:r>
          </w:p>
        </w:tc>
        <w:tc>
          <w:tcPr>
            <w:tcW w:w="3584" w:type="dxa"/>
            <w:gridSpan w:val="5"/>
          </w:tcPr>
          <w:p>
            <w:pPr>
              <w:pStyle w:val="yTableNAm"/>
            </w:pPr>
          </w:p>
        </w:tc>
      </w:tr>
      <w:tr>
        <w:trPr>
          <w:cantSplit/>
          <w:trHeight w:val="707"/>
        </w:trPr>
        <w:tc>
          <w:tcPr>
            <w:tcW w:w="1985" w:type="dxa"/>
          </w:tcPr>
          <w:p>
            <w:pPr>
              <w:pStyle w:val="zyTableNAm"/>
              <w:rPr>
                <w:b/>
              </w:rPr>
            </w:pPr>
          </w:p>
        </w:tc>
        <w:tc>
          <w:tcPr>
            <w:tcW w:w="5143" w:type="dxa"/>
            <w:gridSpan w:val="7"/>
          </w:tcPr>
          <w:p>
            <w:pPr>
              <w:pStyle w:val="yTableNAm"/>
              <w:ind w:left="581" w:hanging="581"/>
            </w:pPr>
            <w:r>
              <w:rPr>
                <w:rFonts w:eastAsia="MS Mincho"/>
              </w:rPr>
              <w:sym w:font="ZapfDingbats" w:char="F072"/>
            </w:r>
            <w:r>
              <w:tab/>
              <w:t>The responsible person for vehicle or owner of vessel in relation to which offence occurred</w:t>
            </w:r>
          </w:p>
        </w:tc>
      </w:tr>
      <w:tr>
        <w:trPr>
          <w:cantSplit/>
          <w:trHeight w:val="702"/>
        </w:trPr>
        <w:tc>
          <w:tcPr>
            <w:tcW w:w="1985" w:type="dxa"/>
          </w:tcPr>
          <w:p>
            <w:pPr>
              <w:pStyle w:val="yTableNAm"/>
            </w:pPr>
            <w:r>
              <w:rPr>
                <w:b/>
              </w:rPr>
              <w:t>Vehicle/vessel registration no.</w:t>
            </w:r>
          </w:p>
        </w:tc>
        <w:tc>
          <w:tcPr>
            <w:tcW w:w="5143" w:type="dxa"/>
            <w:gridSpan w:val="7"/>
          </w:tcPr>
          <w:p>
            <w:pPr>
              <w:pStyle w:val="yTableNAm"/>
            </w:pPr>
          </w:p>
        </w:tc>
      </w:tr>
      <w:tr>
        <w:trPr>
          <w:cantSplit/>
          <w:trHeight w:val="150"/>
        </w:trPr>
        <w:tc>
          <w:tcPr>
            <w:tcW w:w="1985" w:type="dxa"/>
            <w:vMerge w:val="restart"/>
          </w:tcPr>
          <w:p>
            <w:pPr>
              <w:pStyle w:val="yTableNAm"/>
            </w:pPr>
            <w:r>
              <w:rPr>
                <w:b/>
              </w:rPr>
              <w:t>Details of alleged offence</w:t>
            </w:r>
          </w:p>
        </w:tc>
        <w:tc>
          <w:tcPr>
            <w:tcW w:w="2280" w:type="dxa"/>
            <w:gridSpan w:val="3"/>
          </w:tcPr>
          <w:p>
            <w:pPr>
              <w:pStyle w:val="yTableNAm"/>
            </w:pPr>
            <w:r>
              <w:t>Date:</w:t>
            </w:r>
            <w:r>
              <w:tab/>
              <w:t>/</w:t>
            </w:r>
            <w:r>
              <w:tab/>
              <w:t>/20</w:t>
            </w:r>
          </w:p>
        </w:tc>
        <w:tc>
          <w:tcPr>
            <w:tcW w:w="2863" w:type="dxa"/>
            <w:gridSpan w:val="4"/>
          </w:tcPr>
          <w:p>
            <w:pPr>
              <w:pStyle w:val="yTableNAm"/>
            </w:pPr>
            <w:r>
              <w:t>Time:</w:t>
            </w:r>
            <w:r>
              <w:tab/>
              <w:t>am/pm</w:t>
            </w:r>
          </w:p>
        </w:tc>
      </w:tr>
      <w:tr>
        <w:trPr>
          <w:cantSplit/>
          <w:trHeight w:val="1139"/>
        </w:trPr>
        <w:tc>
          <w:tcPr>
            <w:tcW w:w="1985" w:type="dxa"/>
            <w:vMerge/>
          </w:tcPr>
          <w:p>
            <w:pPr>
              <w:pStyle w:val="zyTableNAm"/>
            </w:pPr>
          </w:p>
        </w:tc>
        <w:tc>
          <w:tcPr>
            <w:tcW w:w="5143" w:type="dxa"/>
            <w:gridSpan w:val="7"/>
          </w:tcPr>
          <w:p>
            <w:pPr>
              <w:pStyle w:val="yTableNAm"/>
            </w:pPr>
            <w:r>
              <w:t>Place</w:t>
            </w:r>
          </w:p>
          <w:p>
            <w:pPr>
              <w:pStyle w:val="yTableNAm"/>
            </w:pPr>
            <w:r>
              <w:t>Near</w:t>
            </w:r>
          </w:p>
          <w:p>
            <w:pPr>
              <w:pStyle w:val="yTableNAm"/>
            </w:pPr>
            <w:r>
              <w:t>Locality/tenure</w:t>
            </w:r>
          </w:p>
        </w:tc>
      </w:tr>
      <w:tr>
        <w:trPr>
          <w:cantSplit/>
          <w:trHeight w:val="150"/>
        </w:trPr>
        <w:tc>
          <w:tcPr>
            <w:tcW w:w="1985" w:type="dxa"/>
            <w:vMerge/>
          </w:tcPr>
          <w:p>
            <w:pPr>
              <w:pStyle w:val="zyTableNAm"/>
            </w:pPr>
          </w:p>
        </w:tc>
        <w:tc>
          <w:tcPr>
            <w:tcW w:w="2693" w:type="dxa"/>
            <w:gridSpan w:val="5"/>
          </w:tcPr>
          <w:p>
            <w:pPr>
              <w:pStyle w:val="yTableNAm"/>
            </w:pPr>
            <w:r>
              <w:t>Act/regulation contravened:</w:t>
            </w:r>
          </w:p>
        </w:tc>
        <w:tc>
          <w:tcPr>
            <w:tcW w:w="2450" w:type="dxa"/>
            <w:gridSpan w:val="2"/>
          </w:tcPr>
          <w:p>
            <w:pPr>
              <w:pStyle w:val="yTableNAm"/>
            </w:pPr>
            <w:r>
              <w:t>Section/</w:t>
            </w:r>
            <w:r>
              <w:br/>
              <w:t>regulation:</w:t>
            </w:r>
          </w:p>
        </w:tc>
      </w:tr>
      <w:tr>
        <w:trPr>
          <w:cantSplit/>
          <w:trHeight w:val="150"/>
        </w:trPr>
        <w:tc>
          <w:tcPr>
            <w:tcW w:w="1985" w:type="dxa"/>
            <w:vMerge/>
          </w:tcPr>
          <w:p>
            <w:pPr>
              <w:pStyle w:val="zyTableNAm"/>
            </w:pPr>
          </w:p>
        </w:tc>
        <w:tc>
          <w:tcPr>
            <w:tcW w:w="5143" w:type="dxa"/>
            <w:gridSpan w:val="7"/>
          </w:tcPr>
          <w:p>
            <w:pPr>
              <w:pStyle w:val="yTableNAm"/>
            </w:pPr>
            <w:r>
              <w:t>Details of offence:</w:t>
            </w:r>
          </w:p>
        </w:tc>
      </w:tr>
      <w:tr>
        <w:trPr>
          <w:cantSplit/>
        </w:trPr>
        <w:tc>
          <w:tcPr>
            <w:tcW w:w="1985" w:type="dxa"/>
          </w:tcPr>
          <w:p>
            <w:pPr>
              <w:pStyle w:val="yTableNAm"/>
              <w:keepNext/>
            </w:pPr>
            <w:r>
              <w:rPr>
                <w:b/>
              </w:rPr>
              <w:t>Date</w:t>
            </w:r>
          </w:p>
        </w:tc>
        <w:tc>
          <w:tcPr>
            <w:tcW w:w="2410" w:type="dxa"/>
            <w:gridSpan w:val="4"/>
          </w:tcPr>
          <w:p>
            <w:pPr>
              <w:pStyle w:val="yTableNAm"/>
              <w:keepNext/>
            </w:pPr>
            <w:r>
              <w:t>Date of notice:</w:t>
            </w:r>
          </w:p>
        </w:tc>
        <w:tc>
          <w:tcPr>
            <w:tcW w:w="2733" w:type="dxa"/>
            <w:gridSpan w:val="3"/>
          </w:tcPr>
          <w:p>
            <w:pPr>
              <w:pStyle w:val="yTableNAm"/>
              <w:keepNext/>
            </w:pPr>
            <w:r>
              <w:t>Time of notice:</w:t>
            </w:r>
          </w:p>
        </w:tc>
      </w:tr>
      <w:tr>
        <w:trPr>
          <w:cantSplit/>
        </w:trPr>
        <w:tc>
          <w:tcPr>
            <w:tcW w:w="1985" w:type="dxa"/>
            <w:vMerge w:val="restart"/>
          </w:tcPr>
          <w:p>
            <w:pPr>
              <w:pStyle w:val="yTableNAm"/>
            </w:pPr>
            <w:r>
              <w:rPr>
                <w:b/>
              </w:rPr>
              <w:t>Issuing officer</w:t>
            </w:r>
          </w:p>
        </w:tc>
        <w:tc>
          <w:tcPr>
            <w:tcW w:w="2410" w:type="dxa"/>
            <w:gridSpan w:val="4"/>
          </w:tcPr>
          <w:p>
            <w:pPr>
              <w:pStyle w:val="yTableNAm"/>
            </w:pPr>
            <w:r>
              <w:t>Surname:</w:t>
            </w:r>
          </w:p>
        </w:tc>
        <w:tc>
          <w:tcPr>
            <w:tcW w:w="2733" w:type="dxa"/>
            <w:gridSpan w:val="3"/>
          </w:tcPr>
          <w:p>
            <w:pPr>
              <w:pStyle w:val="yTableNAm"/>
            </w:pPr>
            <w:r>
              <w:t>Number:</w:t>
            </w:r>
          </w:p>
        </w:tc>
      </w:tr>
      <w:tr>
        <w:trPr>
          <w:cantSplit/>
        </w:trPr>
        <w:tc>
          <w:tcPr>
            <w:tcW w:w="1985" w:type="dxa"/>
            <w:vMerge/>
          </w:tcPr>
          <w:p>
            <w:pPr>
              <w:pStyle w:val="zyTableNAm"/>
            </w:pPr>
          </w:p>
        </w:tc>
        <w:tc>
          <w:tcPr>
            <w:tcW w:w="5143" w:type="dxa"/>
            <w:gridSpan w:val="7"/>
          </w:tcPr>
          <w:p>
            <w:pPr>
              <w:pStyle w:val="yTableNAm"/>
            </w:pPr>
            <w:r>
              <w:t>Signature:</w:t>
            </w:r>
          </w:p>
        </w:tc>
      </w:tr>
      <w:tr>
        <w:trPr>
          <w:cantSplit/>
          <w:trHeight w:val="604"/>
        </w:trPr>
        <w:tc>
          <w:tcPr>
            <w:tcW w:w="1985" w:type="dxa"/>
          </w:tcPr>
          <w:p>
            <w:pPr>
              <w:pStyle w:val="yTableNAm"/>
            </w:pPr>
            <w:r>
              <w:rPr>
                <w:b/>
              </w:rPr>
              <w:t>Modified penalty</w:t>
            </w:r>
          </w:p>
        </w:tc>
        <w:tc>
          <w:tcPr>
            <w:tcW w:w="5143" w:type="dxa"/>
            <w:gridSpan w:val="7"/>
          </w:tcPr>
          <w:p>
            <w:pPr>
              <w:pStyle w:val="yTableNAm"/>
            </w:pPr>
            <w:r>
              <w:t>$_____</w:t>
            </w:r>
          </w:p>
        </w:tc>
      </w:tr>
      <w:tr>
        <w:trPr>
          <w:cantSplit/>
          <w:trHeight w:val="604"/>
        </w:trPr>
        <w:tc>
          <w:tcPr>
            <w:tcW w:w="1985" w:type="dxa"/>
          </w:tcPr>
          <w:p>
            <w:pPr>
              <w:pStyle w:val="yTableNAm"/>
            </w:pPr>
            <w:r>
              <w:rPr>
                <w:b/>
              </w:rPr>
              <w:t>TAKE NOTICE</w:t>
            </w:r>
          </w:p>
        </w:tc>
        <w:tc>
          <w:tcPr>
            <w:tcW w:w="5143" w:type="dxa"/>
            <w:gridSpan w:val="7"/>
          </w:tcPr>
          <w:p>
            <w:pPr>
              <w:pStyle w:val="yTableNAm"/>
            </w:pPr>
            <w:r>
              <w:t>It is alleged that you have committed the above offence/that you are the responsible person for the vehicle/vessel in relation to which the above offence occurred.</w:t>
            </w:r>
          </w:p>
          <w:p>
            <w:pPr>
              <w:pStyle w:val="yTableNAm"/>
            </w:pPr>
            <w:r>
              <w:rPr>
                <w:b/>
              </w:rPr>
              <w:t>If you do not want to be prosecuted in court for the offence</w:t>
            </w:r>
            <w:r>
              <w:t>, the modified penalty must be paid to the CEO within 28 days after the date of this notice.</w:t>
            </w:r>
          </w:p>
          <w:p>
            <w:pPr>
              <w:pStyle w:val="yTableNAm"/>
            </w:pPr>
            <w:r>
              <w:t xml:space="preserve">If the modified penalty is not paid within 28 days, you may be prosecuted or enforcement action may be taken under the </w:t>
            </w:r>
            <w:r>
              <w:rPr>
                <w:i/>
              </w:rPr>
              <w:t>Fines, Penalties and Infringement Notices Enforcement Act 1994</w:t>
            </w:r>
            <w:r>
              <w:t>.  Under that Act, some or all of the following action may be taken:</w:t>
            </w:r>
          </w:p>
          <w:p>
            <w:pPr>
              <w:pStyle w:val="yTableNAm"/>
            </w:pPr>
            <w:r>
              <w:t>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r>
              <w:t>Paying the modified penalty will not be regarded as an admission for the purposes of any civil or criminal court case.</w:t>
            </w:r>
          </w:p>
          <w:p>
            <w:pPr>
              <w:pStyle w:val="yTableNAm"/>
              <w:rPr>
                <w:b/>
              </w:rPr>
            </w:pPr>
            <w:r>
              <w:rPr>
                <w:b/>
              </w:rPr>
              <w:t>If you want this matter to be dealt with by prosecution in court:</w:t>
            </w:r>
          </w:p>
          <w:p>
            <w:pPr>
              <w:pStyle w:val="yTableNAm"/>
            </w:pPr>
            <w:r>
              <w:t>Lodge a request online using the form provided at www.dpaw.wa.gov.au</w:t>
            </w:r>
          </w:p>
          <w:p>
            <w:pPr>
              <w:pStyle w:val="yTableNAm"/>
            </w:pPr>
            <w:r>
              <w:t>OR</w:t>
            </w:r>
          </w:p>
          <w:p>
            <w:pPr>
              <w:pStyle w:val="yTableNAm"/>
            </w:pPr>
            <w:r>
              <w:t xml:space="preserve">Sign and date here: </w:t>
            </w:r>
          </w:p>
          <w:p>
            <w:pPr>
              <w:pStyle w:val="yTableNAm"/>
            </w:pPr>
            <w:r>
              <w:t xml:space="preserve">__________________________________     /    /20   </w:t>
            </w:r>
            <w:r>
              <w:br/>
              <w:t xml:space="preserve">and post this notice to the CEO at the address below. </w:t>
            </w:r>
          </w:p>
        </w:tc>
      </w:tr>
      <w:tr>
        <w:trPr>
          <w:cantSplit/>
          <w:trHeight w:val="401"/>
        </w:trPr>
        <w:tc>
          <w:tcPr>
            <w:tcW w:w="1985" w:type="dxa"/>
          </w:tcPr>
          <w:p>
            <w:pPr>
              <w:pStyle w:val="yTableNAm"/>
            </w:pPr>
          </w:p>
        </w:tc>
        <w:tc>
          <w:tcPr>
            <w:tcW w:w="5143" w:type="dxa"/>
            <w:gridSpan w:val="7"/>
          </w:tcPr>
          <w:p>
            <w:pPr>
              <w:pStyle w:val="yTableNAm"/>
            </w:pPr>
            <w:r>
              <w:t>If you consider that you have good reason to have this notice withdrawn, you can write to the CEO at the address below requesting that this notice be withdrawn and setting out why you consider that this notice should be withdrawn. Your letter must be received not later than 28 days after the date of this notice.</w:t>
            </w:r>
          </w:p>
        </w:tc>
      </w:tr>
      <w:tr>
        <w:trPr>
          <w:cantSplit/>
          <w:trHeight w:val="401"/>
        </w:trPr>
        <w:tc>
          <w:tcPr>
            <w:tcW w:w="1985" w:type="dxa"/>
          </w:tcPr>
          <w:p>
            <w:pPr>
              <w:pStyle w:val="yTableNAm"/>
            </w:pPr>
            <w:r>
              <w:rPr>
                <w:b/>
              </w:rPr>
              <w:t>If infringement notice served on responsible person for a vehicle or owner of a vessel</w:t>
            </w:r>
          </w:p>
        </w:tc>
        <w:tc>
          <w:tcPr>
            <w:tcW w:w="5143" w:type="dxa"/>
            <w:gridSpan w:val="7"/>
          </w:tcPr>
          <w:p>
            <w:pPr>
              <w:pStyle w:val="yTableNAm"/>
            </w:pPr>
            <w:r>
              <w:t>As the responsible person/owner you will be presumed to have been the driver or person in charge of the vehicle/vessel unless within 28 days after the date of this notice:</w:t>
            </w:r>
          </w:p>
          <w:p>
            <w:pPr>
              <w:pStyle w:val="yTableNAm"/>
              <w:ind w:left="595" w:hanging="595"/>
            </w:pPr>
            <w:r>
              <w:t>(a)</w:t>
            </w:r>
            <w:r>
              <w:tab/>
              <w:t>the modified penalty is paid; or</w:t>
            </w:r>
          </w:p>
          <w:p>
            <w:pPr>
              <w:pStyle w:val="yTableNAm"/>
              <w:ind w:left="595" w:hanging="595"/>
            </w:pPr>
            <w:r>
              <w:t>(b)</w:t>
            </w:r>
            <w:r>
              <w:tab/>
              <w:t>you supply the CEO with the following information:</w:t>
            </w:r>
          </w:p>
          <w:p>
            <w:pPr>
              <w:pStyle w:val="yTableNAm"/>
            </w:pPr>
            <w:r>
              <w:t>the name and address of the driver or person in charge of the vehicle/vessel at the time of the alleged offence</w:t>
            </w:r>
          </w:p>
          <w:p>
            <w:pPr>
              <w:pStyle w:val="yTableNAm"/>
            </w:pPr>
            <w:r>
              <w:t>or</w:t>
            </w:r>
          </w:p>
          <w:p>
            <w:pPr>
              <w:pStyle w:val="yTableNAm"/>
            </w:pPr>
            <w:r>
              <w:t>information showing that at the time of the alleged offence the vehicle/vessel had been stolen or unlawfully taken or was being unlawfully used.</w:t>
            </w:r>
          </w:p>
          <w:p>
            <w:pPr>
              <w:pStyle w:val="yTableNAm"/>
            </w:pPr>
            <w:r>
              <w:t xml:space="preserve">For further information see the </w:t>
            </w:r>
            <w:r>
              <w:rPr>
                <w:i/>
              </w:rPr>
              <w:t>Conservation and Land Management Act 1984</w:t>
            </w:r>
            <w:r>
              <w:t xml:space="preserve"> sections 114A</w:t>
            </w:r>
            <w:r>
              <w:noBreakHyphen/>
              <w:t>114E (www.slp.wa.gov.au).</w:t>
            </w:r>
          </w:p>
        </w:tc>
      </w:tr>
      <w:tr>
        <w:trPr>
          <w:cantSplit/>
          <w:trHeight w:val="401"/>
        </w:trPr>
        <w:tc>
          <w:tcPr>
            <w:tcW w:w="1985" w:type="dxa"/>
            <w:vMerge w:val="restart"/>
          </w:tcPr>
          <w:p>
            <w:pPr>
              <w:pStyle w:val="yTableNAm"/>
              <w:pageBreakBefore/>
            </w:pPr>
            <w:r>
              <w:rPr>
                <w:b/>
                <w:spacing w:val="-6"/>
              </w:rPr>
              <w:t>How to pay</w:t>
            </w:r>
          </w:p>
          <w:p>
            <w:pPr>
              <w:pStyle w:val="yTableNAm"/>
              <w:rPr>
                <w:b/>
              </w:rPr>
            </w:pPr>
            <w:r>
              <w:rPr>
                <w:b/>
              </w:rPr>
              <w:t>Note: for payment in person you MUST ensure that you provide your INFRINGEMENT NOTICE NUMBER</w:t>
            </w:r>
          </w:p>
        </w:tc>
        <w:tc>
          <w:tcPr>
            <w:tcW w:w="1134" w:type="dxa"/>
          </w:tcPr>
          <w:p>
            <w:pPr>
              <w:pStyle w:val="yTableNAm"/>
            </w:pPr>
            <w:r>
              <w:t>By post</w:t>
            </w:r>
          </w:p>
        </w:tc>
        <w:tc>
          <w:tcPr>
            <w:tcW w:w="4009" w:type="dxa"/>
            <w:gridSpan w:val="6"/>
          </w:tcPr>
          <w:p>
            <w:pPr>
              <w:pStyle w:val="yTableNAm"/>
            </w:pPr>
            <w:r>
              <w:t>Tick the relevant box below and post payment to:</w:t>
            </w:r>
          </w:p>
          <w:p>
            <w:pPr>
              <w:pStyle w:val="yTableNAm"/>
            </w:pPr>
            <w:r>
              <w:t>Chief Executive Officer</w:t>
            </w:r>
            <w:r>
              <w:br/>
              <w:t>Department of Parks and Wildlife</w:t>
            </w:r>
            <w:r>
              <w:br/>
              <w:t>Locked Bag 104</w:t>
            </w:r>
            <w:r>
              <w:br/>
              <w:t>Bentley DC</w:t>
            </w:r>
          </w:p>
          <w:p>
            <w:pPr>
              <w:pStyle w:val="yTableNAm"/>
            </w:pPr>
            <w:r>
              <w:t>Bentley  WA  6983.</w:t>
            </w:r>
          </w:p>
          <w:p>
            <w:pPr>
              <w:pStyle w:val="yTableNAm"/>
              <w:tabs>
                <w:tab w:val="clear" w:pos="567"/>
                <w:tab w:val="left" w:pos="301"/>
              </w:tabs>
              <w:ind w:left="315" w:hanging="315"/>
            </w:pPr>
            <w:r>
              <w:rPr>
                <w:rFonts w:eastAsia="MS Mincho"/>
              </w:rPr>
              <w:sym w:font="ZapfDingbats" w:char="F072"/>
            </w:r>
            <w:r>
              <w:tab/>
              <w:t>A cheque or money order (payable to ‘Chief Executive Officer, Department of Parks and Wildlife’) for the modified penalty is enclosed.</w:t>
            </w:r>
          </w:p>
        </w:tc>
      </w:tr>
      <w:tr>
        <w:trPr>
          <w:cantSplit/>
          <w:trHeight w:val="401"/>
        </w:trPr>
        <w:tc>
          <w:tcPr>
            <w:tcW w:w="1985" w:type="dxa"/>
            <w:vMerge/>
          </w:tcPr>
          <w:p>
            <w:pPr>
              <w:pStyle w:val="zyTableNAm"/>
            </w:pPr>
          </w:p>
        </w:tc>
        <w:tc>
          <w:tcPr>
            <w:tcW w:w="1134" w:type="dxa"/>
          </w:tcPr>
          <w:p>
            <w:pPr>
              <w:pStyle w:val="yTableNAm"/>
            </w:pPr>
            <w:r>
              <w:t>In person</w:t>
            </w:r>
          </w:p>
        </w:tc>
        <w:tc>
          <w:tcPr>
            <w:tcW w:w="4009" w:type="dxa"/>
            <w:gridSpan w:val="6"/>
          </w:tcPr>
          <w:p>
            <w:pPr>
              <w:pStyle w:val="yTableNAm"/>
            </w:pPr>
            <w:r>
              <w:rPr>
                <w:rFonts w:eastAsia="MS Mincho"/>
              </w:rPr>
              <w:t>At any Commonwealth Bank</w:t>
            </w:r>
          </w:p>
        </w:tc>
      </w:tr>
    </w:tbl>
    <w:p>
      <w:pPr>
        <w:pStyle w:val="yFootnotesection"/>
      </w:pPr>
      <w:r>
        <w:tab/>
        <w:t>[Form 1 inserted in Gazette 11 Dec 2015 p. 4954</w:t>
      </w:r>
      <w:r>
        <w:noBreakHyphen/>
        <w:t>6.]</w:t>
      </w:r>
    </w:p>
    <w:p>
      <w:pPr>
        <w:pStyle w:val="yMiscellaneousBody"/>
        <w:pageBreakBefore/>
        <w:jc w:val="center"/>
      </w:pPr>
      <w:r>
        <w:rPr>
          <w:rStyle w:val="CharSClsNo"/>
          <w:b/>
        </w:rPr>
        <w:t>Form 2</w:t>
      </w:r>
    </w:p>
    <w:p>
      <w:pPr>
        <w:pStyle w:val="yMiscellaneousBody"/>
        <w:jc w:val="right"/>
        <w:rPr>
          <w:snapToGrid w:val="0"/>
        </w:rPr>
      </w:pPr>
      <w:r>
        <w:rPr>
          <w:snapToGrid w:val="0"/>
        </w:rPr>
        <w:t>[r.</w:t>
      </w:r>
      <w:r>
        <w:t xml:space="preserve"> 112(4)</w:t>
      </w:r>
      <w:r>
        <w:rPr>
          <w:snapToGrid w:val="0"/>
        </w:rPr>
        <w:t>]</w:t>
      </w:r>
    </w:p>
    <w:p>
      <w:pPr>
        <w:pStyle w:val="yMiscellaneousBody"/>
        <w:jc w:val="center"/>
        <w:rPr>
          <w:i/>
          <w:snapToGrid w:val="0"/>
        </w:rPr>
      </w:pPr>
      <w:r>
        <w:rPr>
          <w:i/>
          <w:snapToGrid w:val="0"/>
        </w:rPr>
        <w:t>Conservation and Land Management Regulations 2002</w:t>
      </w:r>
    </w:p>
    <w:p>
      <w:pPr>
        <w:pStyle w:val="yMiscellaneousBody"/>
        <w:jc w:val="center"/>
        <w:rPr>
          <w:snapToGrid w:val="0"/>
        </w:rPr>
      </w:pPr>
      <w:r>
        <w:rPr>
          <w:snapToGrid w:val="0"/>
        </w:rPr>
        <w:t>Withdrawal of Infringement Notice</w:t>
      </w:r>
    </w:p>
    <w:p>
      <w:pPr>
        <w:pStyle w:val="yMiscellaneousBody"/>
        <w:jc w:val="center"/>
        <w:rPr>
          <w:i/>
          <w:snapToGrid w:val="0"/>
        </w:rPr>
      </w:pPr>
      <w:r>
        <w:rPr>
          <w:i/>
          <w:snapToGrid w:val="0"/>
        </w:rPr>
        <w:t>Conservation and Land Management Act 1984</w:t>
      </w:r>
    </w:p>
    <w:p>
      <w:pPr>
        <w:pStyle w:val="yMiscellaneousBody"/>
        <w:rPr>
          <w:snapToGrid w:val="0"/>
        </w:rPr>
      </w:pPr>
      <w:r>
        <w:rPr>
          <w:snapToGrid w:val="0"/>
        </w:rPr>
        <w:t>(section 114A(6))                                                           No. ..................................</w:t>
      </w:r>
    </w:p>
    <w:p>
      <w:pPr>
        <w:pStyle w:val="yMiscellaneousBody"/>
        <w:rPr>
          <w:snapToGrid w:val="0"/>
        </w:rPr>
      </w:pPr>
      <w:r>
        <w:rPr>
          <w:snapToGrid w:val="0"/>
        </w:rPr>
        <w:t xml:space="preserve">                                                                                        Date ........./........./..........</w:t>
      </w:r>
    </w:p>
    <w:p>
      <w:pPr>
        <w:pStyle w:val="yMiscellaneousBody"/>
        <w:spacing w:before="0"/>
        <w:rPr>
          <w:snapToGrid w:val="0"/>
        </w:rPr>
      </w:pPr>
      <w:r>
        <w:rPr>
          <w:snapToGrid w:val="0"/>
        </w:rPr>
        <w:t>To ............................................................................................................... (name) of ............................................................................................................................ ................................................................................................................. (address)</w:t>
      </w:r>
    </w:p>
    <w:p>
      <w:pPr>
        <w:pStyle w:val="yMiscellaneousBody"/>
        <w:rPr>
          <w:snapToGrid w:val="0"/>
        </w:rPr>
      </w:pPr>
    </w:p>
    <w:p>
      <w:pPr>
        <w:pStyle w:val="yMiscellaneousBody"/>
        <w:rPr>
          <w:snapToGrid w:val="0"/>
        </w:rPr>
      </w:pPr>
      <w:r>
        <w:rPr>
          <w:snapToGrid w:val="0"/>
        </w:rPr>
        <w:t>1. Infringement Notice No. .......................... Date ......./......./....... for the alleged offence of .............................................................................................................. ......................................................................................................................... and specifying the modified penalty of $........................ is withdrawn.</w:t>
      </w:r>
    </w:p>
    <w:p>
      <w:pPr>
        <w:pStyle w:val="yMiscellaneousBody"/>
        <w:rPr>
          <w:snapToGrid w:val="0"/>
        </w:rPr>
      </w:pPr>
      <w:r>
        <w:rPr>
          <w:snapToGrid w:val="0"/>
        </w:rPr>
        <w:t>2. No further action will be taken against you. *</w:t>
      </w:r>
    </w:p>
    <w:p>
      <w:pPr>
        <w:pStyle w:val="yMiscellaneousBody"/>
        <w:rPr>
          <w:snapToGrid w:val="0"/>
        </w:rPr>
      </w:pPr>
      <w:r>
        <w:rPr>
          <w:snapToGrid w:val="0"/>
        </w:rPr>
        <w:t>OR</w:t>
      </w:r>
    </w:p>
    <w:p>
      <w:pPr>
        <w:pStyle w:val="yMiscellaneousBody"/>
        <w:rPr>
          <w:snapToGrid w:val="0"/>
        </w:rPr>
      </w:pPr>
      <w:r>
        <w:rPr>
          <w:snapToGrid w:val="0"/>
        </w:rPr>
        <w:t>It is proposed to commence court proceedings against you for the alleged offence. *</w:t>
      </w:r>
    </w:p>
    <w:p>
      <w:pPr>
        <w:pStyle w:val="yMiscellaneousBody"/>
        <w:rPr>
          <w:snapToGrid w:val="0"/>
        </w:rPr>
      </w:pPr>
      <w:r>
        <w:rPr>
          <w:snapToGrid w:val="0"/>
        </w:rPr>
        <w:t>(* Delete whichever does not apply.)</w:t>
      </w:r>
    </w:p>
    <w:p>
      <w:pPr>
        <w:pStyle w:val="yMiscellaneousBody"/>
        <w:jc w:val="right"/>
        <w:rPr>
          <w:snapToGrid w:val="0"/>
        </w:rPr>
      </w:pPr>
      <w:r>
        <w:rPr>
          <w:snapToGrid w:val="0"/>
        </w:rPr>
        <w:t>...........................................................</w:t>
      </w:r>
    </w:p>
    <w:p>
      <w:pPr>
        <w:pStyle w:val="yMiscellaneousBody"/>
        <w:spacing w:before="0"/>
        <w:jc w:val="right"/>
        <w:rPr>
          <w:snapToGrid w:val="0"/>
        </w:rPr>
      </w:pPr>
      <w:r>
        <w:t>Chief Executive Officer</w:t>
      </w:r>
      <w:r>
        <w:rPr>
          <w:snapToGrid w:val="0"/>
        </w:rPr>
        <w:t>,</w:t>
      </w:r>
    </w:p>
    <w:p>
      <w:pPr>
        <w:pStyle w:val="yMiscellaneousBody"/>
        <w:spacing w:before="0"/>
        <w:jc w:val="right"/>
        <w:rPr>
          <w:snapToGrid w:val="0"/>
          <w:vertAlign w:val="superscript"/>
        </w:rPr>
      </w:pPr>
      <w:r>
        <w:t>Department of Environment and Conservation</w:t>
      </w:r>
      <w:r>
        <w:rPr>
          <w:vertAlign w:val="superscript"/>
        </w:rPr>
        <w:t> 3</w:t>
      </w:r>
    </w:p>
    <w:p>
      <w:pPr>
        <w:pStyle w:val="yFootnotesection"/>
      </w:pPr>
      <w:r>
        <w:tab/>
        <w:t>[Form 2 amended in Gazette 29 Sep 2006 p. 4333.]</w:t>
      </w:r>
    </w:p>
    <w:p>
      <w:pPr>
        <w:pStyle w:val="yTHeadingNAm"/>
        <w:pageBreakBefore/>
        <w:spacing w:before="0" w:after="0"/>
      </w:pPr>
      <w:r>
        <w:rPr>
          <w:rStyle w:val="CharSClsNo"/>
        </w:rPr>
        <w:t>Form 3</w:t>
      </w:r>
      <w:r>
        <w:t xml:space="preserve"> — Apiary permit</w:t>
      </w:r>
    </w:p>
    <w:p>
      <w:pPr>
        <w:pStyle w:val="yTableNAm"/>
        <w:spacing w:before="0"/>
        <w:jc w:val="right"/>
        <w:rPr>
          <w:sz w:val="17"/>
          <w:szCs w:val="17"/>
        </w:rPr>
      </w:pPr>
      <w:r>
        <w:rPr>
          <w:sz w:val="17"/>
          <w:szCs w:val="17"/>
        </w:rPr>
        <w:t>Regulation 98D(1)</w:t>
      </w:r>
    </w:p>
    <w:p>
      <w:pPr>
        <w:pStyle w:val="yTableNAm"/>
        <w:spacing w:before="80"/>
        <w:jc w:val="center"/>
        <w:rPr>
          <w:i/>
          <w:sz w:val="17"/>
          <w:szCs w:val="17"/>
        </w:rPr>
      </w:pPr>
      <w:r>
        <w:rPr>
          <w:i/>
          <w:sz w:val="17"/>
          <w:szCs w:val="17"/>
        </w:rPr>
        <w:t>CONSERVATION AND LAND MANAGEMENT REGULATIONS 2002</w:t>
      </w:r>
    </w:p>
    <w:p>
      <w:pPr>
        <w:pStyle w:val="yTableNAm"/>
        <w:spacing w:before="80"/>
        <w:jc w:val="center"/>
        <w:rPr>
          <w:sz w:val="17"/>
          <w:szCs w:val="17"/>
        </w:rPr>
      </w:pPr>
      <w:r>
        <w:rPr>
          <w:sz w:val="17"/>
          <w:szCs w:val="17"/>
        </w:rPr>
        <w:t>APIARY PERMIT</w:t>
      </w:r>
    </w:p>
    <w:tbl>
      <w:tblPr>
        <w:tblStyle w:val="TableGrid"/>
        <w:tblW w:w="0" w:type="auto"/>
        <w:tblInd w:w="5188" w:type="dxa"/>
        <w:tblCellMar>
          <w:left w:w="28" w:type="dxa"/>
          <w:right w:w="28" w:type="dxa"/>
        </w:tblCellMar>
        <w:tblLook w:val="04A0" w:firstRow="1" w:lastRow="0" w:firstColumn="1" w:lastColumn="0" w:noHBand="0" w:noVBand="1"/>
      </w:tblPr>
      <w:tblGrid>
        <w:gridCol w:w="1888"/>
      </w:tblGrid>
      <w:tr>
        <w:tc>
          <w:tcPr>
            <w:tcW w:w="1888" w:type="dxa"/>
          </w:tcPr>
          <w:p>
            <w:pPr>
              <w:pStyle w:val="yTableNAm"/>
              <w:spacing w:before="60" w:after="40"/>
              <w:rPr>
                <w:sz w:val="17"/>
                <w:szCs w:val="17"/>
              </w:rPr>
            </w:pPr>
            <w:r>
              <w:rPr>
                <w:sz w:val="17"/>
                <w:szCs w:val="17"/>
              </w:rPr>
              <w:t>Permit No. ____________</w:t>
            </w:r>
          </w:p>
        </w:tc>
      </w:tr>
    </w:tbl>
    <w:p>
      <w:pPr>
        <w:rPr>
          <w:sz w:val="12"/>
          <w:szCs w:val="12"/>
        </w:rPr>
      </w:pPr>
    </w:p>
    <w:tbl>
      <w:tblPr>
        <w:tblStyle w:val="TableGrid"/>
        <w:tblW w:w="0" w:type="auto"/>
        <w:tblCellMar>
          <w:left w:w="28" w:type="dxa"/>
          <w:right w:w="28" w:type="dxa"/>
        </w:tblCellMar>
        <w:tblLook w:val="04A0" w:firstRow="1" w:lastRow="0" w:firstColumn="1" w:lastColumn="0" w:noHBand="0" w:noVBand="1"/>
      </w:tblPr>
      <w:tblGrid>
        <w:gridCol w:w="7083"/>
      </w:tblGrid>
      <w:tr>
        <w:tc>
          <w:tcPr>
            <w:tcW w:w="7047" w:type="dxa"/>
          </w:tcPr>
          <w:p>
            <w:pPr>
              <w:pStyle w:val="yTableNAm"/>
              <w:tabs>
                <w:tab w:val="clear" w:pos="567"/>
              </w:tabs>
              <w:spacing w:before="60"/>
              <w:rPr>
                <w:sz w:val="17"/>
                <w:szCs w:val="17"/>
              </w:rPr>
            </w:pPr>
            <w:r>
              <w:rPr>
                <w:sz w:val="17"/>
                <w:szCs w:val="17"/>
              </w:rPr>
              <w:t>I____________________________________________________________ Reg Brand____________</w:t>
            </w:r>
          </w:p>
          <w:p>
            <w:pPr>
              <w:pStyle w:val="yTableNAm"/>
              <w:tabs>
                <w:tab w:val="clear" w:pos="567"/>
              </w:tabs>
              <w:spacing w:before="60" w:after="40"/>
              <w:rPr>
                <w:sz w:val="17"/>
                <w:szCs w:val="17"/>
              </w:rPr>
            </w:pPr>
            <w:r>
              <w:rPr>
                <w:sz w:val="17"/>
                <w:szCs w:val="17"/>
              </w:rPr>
              <w:t>of_________________________________________________________________________________</w:t>
            </w:r>
          </w:p>
        </w:tc>
      </w:tr>
    </w:tbl>
    <w:p>
      <w:pPr>
        <w:pStyle w:val="yTableNAm"/>
        <w:spacing w:before="0"/>
        <w:rPr>
          <w:sz w:val="17"/>
          <w:szCs w:val="17"/>
        </w:rPr>
      </w:pPr>
      <w:r>
        <w:rPr>
          <w:sz w:val="17"/>
          <w:szCs w:val="17"/>
        </w:rPr>
        <w:t xml:space="preserve">is authorised, subject to the </w:t>
      </w:r>
      <w:r>
        <w:rPr>
          <w:i/>
          <w:sz w:val="17"/>
          <w:szCs w:val="17"/>
        </w:rPr>
        <w:t>Conservation and Land Management Regulations 2002</w:t>
      </w:r>
      <w:r>
        <w:rPr>
          <w:sz w:val="17"/>
          <w:szCs w:val="17"/>
        </w:rPr>
        <w:t xml:space="preserve"> —</w:t>
      </w:r>
    </w:p>
    <w:p>
      <w:pPr>
        <w:pStyle w:val="yTableNAm"/>
        <w:spacing w:before="60"/>
        <w:rPr>
          <w:sz w:val="17"/>
          <w:szCs w:val="17"/>
        </w:rPr>
      </w:pPr>
      <w:r>
        <w:rPr>
          <w:sz w:val="17"/>
          <w:szCs w:val="17"/>
        </w:rPr>
        <w:t>a) to occupy the land described below for the purpose of operating an apiary; and</w:t>
      </w:r>
      <w:r>
        <w:rPr>
          <w:sz w:val="17"/>
          <w:szCs w:val="17"/>
        </w:rPr>
        <w:br/>
        <w:t>b) to remove honey, bees-wax and pollen from that land</w:t>
      </w:r>
    </w:p>
    <w:p>
      <w:pPr>
        <w:pStyle w:val="yTableNAm"/>
        <w:spacing w:before="60"/>
        <w:rPr>
          <w:sz w:val="17"/>
          <w:szCs w:val="17"/>
        </w:rPr>
      </w:pPr>
      <w:r>
        <w:rPr>
          <w:sz w:val="17"/>
          <w:szCs w:val="17"/>
        </w:rPr>
        <w:t>In accordance with the terms and conditions and any limitations set out below, and not otherwise.</w:t>
      </w:r>
    </w:p>
    <w:p>
      <w:pPr>
        <w:pStyle w:val="yTableNAm"/>
        <w:spacing w:before="60" w:after="60"/>
        <w:rPr>
          <w:i/>
          <w:sz w:val="17"/>
          <w:szCs w:val="17"/>
        </w:rPr>
      </w:pPr>
      <w:r>
        <w:rPr>
          <w:i/>
          <w:sz w:val="17"/>
          <w:szCs w:val="17"/>
        </w:rPr>
        <w:t>Note: The authority conferred by this permit is of no effect at any time when a term, condition or limitation of the permit is not being complied with.</w:t>
      </w:r>
    </w:p>
    <w:tbl>
      <w:tblPr>
        <w:tblStyle w:val="TableGrid"/>
        <w:tblW w:w="7047" w:type="dxa"/>
        <w:tblLayout w:type="fixed"/>
        <w:tblCellMar>
          <w:left w:w="28" w:type="dxa"/>
          <w:right w:w="28" w:type="dxa"/>
        </w:tblCellMar>
        <w:tblLook w:val="04A0" w:firstRow="1" w:lastRow="0" w:firstColumn="1" w:lastColumn="0" w:noHBand="0" w:noVBand="1"/>
      </w:tblPr>
      <w:tblGrid>
        <w:gridCol w:w="76"/>
        <w:gridCol w:w="2440"/>
        <w:gridCol w:w="90"/>
        <w:gridCol w:w="964"/>
        <w:gridCol w:w="425"/>
        <w:gridCol w:w="142"/>
        <w:gridCol w:w="2834"/>
        <w:gridCol w:w="76"/>
      </w:tblGrid>
      <w:tr>
        <w:tc>
          <w:tcPr>
            <w:tcW w:w="7047" w:type="dxa"/>
            <w:gridSpan w:val="8"/>
            <w:tcBorders>
              <w:top w:val="single" w:sz="4" w:space="0" w:color="auto"/>
              <w:bottom w:val="nil"/>
            </w:tcBorders>
          </w:tcPr>
          <w:p>
            <w:pPr>
              <w:spacing w:before="40" w:after="20"/>
              <w:ind w:left="85"/>
              <w:rPr>
                <w:sz w:val="17"/>
                <w:szCs w:val="17"/>
              </w:rPr>
            </w:pPr>
            <w:r>
              <w:rPr>
                <w:sz w:val="17"/>
                <w:szCs w:val="17"/>
              </w:rPr>
              <w:t>Site that may be occupied</w:t>
            </w:r>
          </w:p>
        </w:tc>
      </w:tr>
      <w:tr>
        <w:tc>
          <w:tcPr>
            <w:tcW w:w="76" w:type="dxa"/>
            <w:tcBorders>
              <w:top w:val="nil"/>
              <w:bottom w:val="nil"/>
            </w:tcBorders>
          </w:tcPr>
          <w:p>
            <w:pPr>
              <w:rPr>
                <w:sz w:val="16"/>
                <w:szCs w:val="16"/>
              </w:rPr>
            </w:pPr>
          </w:p>
        </w:tc>
        <w:tc>
          <w:tcPr>
            <w:tcW w:w="2440" w:type="dxa"/>
            <w:tcBorders>
              <w:top w:val="single" w:sz="4" w:space="0" w:color="auto"/>
              <w:bottom w:val="single" w:sz="4" w:space="0" w:color="auto"/>
              <w:right w:val="nil"/>
            </w:tcBorders>
          </w:tcPr>
          <w:p>
            <w:pPr>
              <w:pStyle w:val="yTableNAm"/>
              <w:spacing w:before="40"/>
              <w:rPr>
                <w:sz w:val="17"/>
                <w:szCs w:val="17"/>
              </w:rPr>
            </w:pPr>
            <w:r>
              <w:rPr>
                <w:sz w:val="17"/>
                <w:szCs w:val="17"/>
              </w:rPr>
              <w:t>DEC REGION/DISTRICT</w:t>
            </w:r>
          </w:p>
          <w:p>
            <w:pPr>
              <w:pStyle w:val="yTableNAm"/>
              <w:spacing w:before="40"/>
              <w:rPr>
                <w:sz w:val="17"/>
                <w:szCs w:val="17"/>
              </w:rPr>
            </w:pPr>
            <w:r>
              <w:rPr>
                <w:sz w:val="17"/>
                <w:szCs w:val="17"/>
              </w:rPr>
              <w:t>_________________________</w:t>
            </w:r>
          </w:p>
          <w:p>
            <w:pPr>
              <w:pStyle w:val="yTableNAm"/>
              <w:spacing w:before="40"/>
              <w:rPr>
                <w:sz w:val="17"/>
                <w:szCs w:val="17"/>
              </w:rPr>
            </w:pPr>
            <w:r>
              <w:rPr>
                <w:sz w:val="17"/>
                <w:szCs w:val="17"/>
              </w:rPr>
              <w:t>Forest Block</w:t>
            </w:r>
          </w:p>
          <w:p>
            <w:pPr>
              <w:pStyle w:val="yTableNAm"/>
              <w:spacing w:before="40"/>
              <w:rPr>
                <w:sz w:val="17"/>
                <w:szCs w:val="17"/>
              </w:rPr>
            </w:pPr>
            <w:r>
              <w:rPr>
                <w:sz w:val="17"/>
                <w:szCs w:val="17"/>
              </w:rPr>
              <w:t>_________________________</w:t>
            </w:r>
          </w:p>
          <w:p>
            <w:pPr>
              <w:pStyle w:val="yTableNAm"/>
              <w:spacing w:before="40"/>
              <w:rPr>
                <w:sz w:val="17"/>
                <w:szCs w:val="17"/>
              </w:rPr>
            </w:pPr>
            <w:r>
              <w:rPr>
                <w:sz w:val="17"/>
                <w:szCs w:val="17"/>
              </w:rPr>
              <w:t>DEC Apiary Zone</w:t>
            </w:r>
          </w:p>
          <w:p>
            <w:pPr>
              <w:pStyle w:val="yTableNAm"/>
              <w:spacing w:before="40"/>
              <w:rPr>
                <w:sz w:val="17"/>
                <w:szCs w:val="17"/>
              </w:rPr>
            </w:pPr>
            <w:r>
              <w:rPr>
                <w:sz w:val="17"/>
                <w:szCs w:val="17"/>
              </w:rPr>
              <w:t>_________________________</w:t>
            </w:r>
          </w:p>
        </w:tc>
        <w:tc>
          <w:tcPr>
            <w:tcW w:w="1479" w:type="dxa"/>
            <w:gridSpan w:val="3"/>
            <w:tcBorders>
              <w:top w:val="single" w:sz="4" w:space="0" w:color="auto"/>
              <w:left w:val="nil"/>
              <w:bottom w:val="single" w:sz="4" w:space="0" w:color="auto"/>
              <w:right w:val="nil"/>
            </w:tcBorders>
          </w:tcPr>
          <w:p>
            <w:pPr>
              <w:pStyle w:val="yTableNAm"/>
              <w:spacing w:before="40"/>
              <w:rPr>
                <w:sz w:val="17"/>
                <w:szCs w:val="17"/>
              </w:rPr>
            </w:pPr>
            <w:r>
              <w:rPr>
                <w:sz w:val="17"/>
                <w:szCs w:val="17"/>
              </w:rPr>
              <w:t>DEC Plan &amp; Ref</w:t>
            </w:r>
          </w:p>
          <w:p>
            <w:pPr>
              <w:spacing w:before="40"/>
              <w:rPr>
                <w:sz w:val="17"/>
                <w:szCs w:val="17"/>
              </w:rPr>
            </w:pPr>
            <w:r>
              <w:rPr>
                <w:sz w:val="17"/>
                <w:szCs w:val="17"/>
              </w:rPr>
              <w:t>________________</w:t>
            </w:r>
          </w:p>
          <w:p>
            <w:pPr>
              <w:spacing w:before="40"/>
              <w:rPr>
                <w:sz w:val="17"/>
                <w:szCs w:val="17"/>
              </w:rPr>
            </w:pPr>
            <w:r>
              <w:rPr>
                <w:sz w:val="17"/>
                <w:szCs w:val="17"/>
              </w:rPr>
              <w:t>or COG Map Ref</w:t>
            </w:r>
          </w:p>
          <w:p>
            <w:pPr>
              <w:spacing w:before="40"/>
              <w:rPr>
                <w:sz w:val="17"/>
                <w:szCs w:val="17"/>
              </w:rPr>
            </w:pPr>
            <w:r>
              <w:rPr>
                <w:sz w:val="17"/>
                <w:szCs w:val="17"/>
              </w:rPr>
              <w:t>________________</w:t>
            </w:r>
          </w:p>
          <w:p>
            <w:pPr>
              <w:spacing w:before="40"/>
              <w:rPr>
                <w:sz w:val="17"/>
                <w:szCs w:val="17"/>
              </w:rPr>
            </w:pPr>
            <w:r>
              <w:rPr>
                <w:sz w:val="17"/>
                <w:szCs w:val="17"/>
              </w:rPr>
              <w:t>Nearest Road/Track</w:t>
            </w:r>
          </w:p>
          <w:p>
            <w:pPr>
              <w:spacing w:before="40" w:after="40"/>
              <w:rPr>
                <w:sz w:val="17"/>
                <w:szCs w:val="17"/>
              </w:rPr>
            </w:pPr>
            <w:r>
              <w:rPr>
                <w:sz w:val="17"/>
                <w:szCs w:val="17"/>
              </w:rPr>
              <w:t>________________</w:t>
            </w:r>
          </w:p>
        </w:tc>
        <w:tc>
          <w:tcPr>
            <w:tcW w:w="2976" w:type="dxa"/>
            <w:gridSpan w:val="2"/>
            <w:tcBorders>
              <w:top w:val="single" w:sz="4" w:space="0" w:color="auto"/>
              <w:left w:val="nil"/>
              <w:bottom w:val="single" w:sz="4" w:space="0" w:color="auto"/>
            </w:tcBorders>
          </w:tcPr>
          <w:p>
            <w:pPr>
              <w:pStyle w:val="yTableNAm"/>
              <w:spacing w:before="40"/>
              <w:jc w:val="center"/>
              <w:rPr>
                <w:sz w:val="17"/>
                <w:szCs w:val="17"/>
              </w:rPr>
            </w:pPr>
            <w:r>
              <w:rPr>
                <w:sz w:val="17"/>
                <w:szCs w:val="17"/>
              </w:rPr>
              <w:t>Land Tenure</w:t>
            </w:r>
          </w:p>
          <w:p>
            <w:pPr>
              <w:pStyle w:val="yTableNAm"/>
              <w:spacing w:before="40"/>
              <w:rPr>
                <w:sz w:val="17"/>
                <w:szCs w:val="17"/>
              </w:rPr>
            </w:pPr>
          </w:p>
          <w:p>
            <w:pPr>
              <w:pStyle w:val="yTableNAm"/>
              <w:spacing w:before="40"/>
              <w:ind w:right="57"/>
              <w:jc w:val="right"/>
              <w:rPr>
                <w:sz w:val="17"/>
                <w:szCs w:val="17"/>
              </w:rPr>
            </w:pPr>
            <w:r>
              <w:rPr>
                <w:sz w:val="17"/>
                <w:szCs w:val="17"/>
              </w:rPr>
              <w:t>________________________________</w:t>
            </w:r>
          </w:p>
          <w:p>
            <w:pPr>
              <w:pStyle w:val="yTableNAm"/>
              <w:spacing w:before="80"/>
              <w:ind w:right="57"/>
              <w:jc w:val="right"/>
              <w:rPr>
                <w:sz w:val="17"/>
                <w:szCs w:val="17"/>
              </w:rPr>
            </w:pPr>
            <w:r>
              <w:rPr>
                <w:sz w:val="17"/>
                <w:szCs w:val="17"/>
              </w:rPr>
              <w:t>GPS Reading — Map Location</w:t>
            </w:r>
            <w:r>
              <w:rPr>
                <w:sz w:val="17"/>
                <w:szCs w:val="17"/>
              </w:rPr>
              <w:br/>
              <w:t>Longitude__________________</w:t>
            </w:r>
            <w:r>
              <w:rPr>
                <w:sz w:val="17"/>
                <w:szCs w:val="17"/>
              </w:rPr>
              <w:br/>
              <w:t>Latitude__________________</w:t>
            </w:r>
          </w:p>
        </w:tc>
        <w:tc>
          <w:tcPr>
            <w:tcW w:w="76" w:type="dxa"/>
            <w:tcBorders>
              <w:top w:val="nil"/>
              <w:bottom w:val="nil"/>
            </w:tcBorders>
          </w:tcPr>
          <w:p>
            <w:pPr>
              <w:ind w:left="-170" w:right="-311"/>
              <w:rPr>
                <w:sz w:val="17"/>
                <w:szCs w:val="17"/>
              </w:rPr>
            </w:pPr>
          </w:p>
          <w:p>
            <w:pPr>
              <w:rPr>
                <w:sz w:val="17"/>
                <w:szCs w:val="17"/>
              </w:rPr>
            </w:pPr>
          </w:p>
          <w:p>
            <w:pPr>
              <w:rPr>
                <w:sz w:val="17"/>
                <w:szCs w:val="17"/>
              </w:rPr>
            </w:pPr>
          </w:p>
        </w:tc>
      </w:tr>
      <w:tr>
        <w:tc>
          <w:tcPr>
            <w:tcW w:w="76" w:type="dxa"/>
            <w:tcBorders>
              <w:top w:val="nil"/>
              <w:bottom w:val="nil"/>
              <w:right w:val="nil"/>
            </w:tcBorders>
          </w:tcPr>
          <w:p>
            <w:pPr>
              <w:rPr>
                <w:sz w:val="16"/>
                <w:szCs w:val="16"/>
              </w:rPr>
            </w:pPr>
          </w:p>
        </w:tc>
        <w:tc>
          <w:tcPr>
            <w:tcW w:w="2440" w:type="dxa"/>
            <w:tcBorders>
              <w:top w:val="single" w:sz="4" w:space="0" w:color="auto"/>
              <w:left w:val="nil"/>
              <w:bottom w:val="single" w:sz="4" w:space="0" w:color="auto"/>
              <w:right w:val="nil"/>
            </w:tcBorders>
          </w:tcPr>
          <w:p>
            <w:pPr>
              <w:rPr>
                <w:sz w:val="17"/>
                <w:szCs w:val="17"/>
              </w:rPr>
            </w:pPr>
            <w:r>
              <w:rPr>
                <w:sz w:val="17"/>
                <w:szCs w:val="17"/>
              </w:rPr>
              <w:t>Conditions to be followed</w:t>
            </w:r>
          </w:p>
        </w:tc>
        <w:tc>
          <w:tcPr>
            <w:tcW w:w="1479" w:type="dxa"/>
            <w:gridSpan w:val="3"/>
            <w:tcBorders>
              <w:top w:val="single" w:sz="4" w:space="0" w:color="auto"/>
              <w:left w:val="nil"/>
              <w:bottom w:val="single" w:sz="4" w:space="0" w:color="auto"/>
              <w:right w:val="nil"/>
            </w:tcBorders>
          </w:tcPr>
          <w:p>
            <w:pPr>
              <w:rPr>
                <w:sz w:val="17"/>
                <w:szCs w:val="17"/>
              </w:rPr>
            </w:pPr>
          </w:p>
        </w:tc>
        <w:tc>
          <w:tcPr>
            <w:tcW w:w="142" w:type="dxa"/>
            <w:tcBorders>
              <w:top w:val="single" w:sz="4" w:space="0" w:color="auto"/>
              <w:left w:val="nil"/>
              <w:bottom w:val="nil"/>
              <w:right w:val="nil"/>
            </w:tcBorders>
          </w:tcPr>
          <w:p>
            <w:pPr>
              <w:rPr>
                <w:sz w:val="17"/>
                <w:szCs w:val="17"/>
              </w:rPr>
            </w:pPr>
          </w:p>
        </w:tc>
        <w:tc>
          <w:tcPr>
            <w:tcW w:w="2834" w:type="dxa"/>
            <w:tcBorders>
              <w:top w:val="single" w:sz="4" w:space="0" w:color="auto"/>
              <w:left w:val="nil"/>
              <w:bottom w:val="single" w:sz="4" w:space="0" w:color="auto"/>
              <w:right w:val="nil"/>
            </w:tcBorders>
          </w:tcPr>
          <w:p>
            <w:pPr>
              <w:rPr>
                <w:sz w:val="17"/>
                <w:szCs w:val="17"/>
              </w:rPr>
            </w:pPr>
            <w:r>
              <w:rPr>
                <w:sz w:val="17"/>
                <w:szCs w:val="17"/>
              </w:rPr>
              <w:t>Authority to Issue Permit</w:t>
            </w:r>
          </w:p>
        </w:tc>
        <w:tc>
          <w:tcPr>
            <w:tcW w:w="76" w:type="dxa"/>
            <w:tcBorders>
              <w:top w:val="nil"/>
              <w:left w:val="nil"/>
              <w:bottom w:val="nil"/>
            </w:tcBorders>
          </w:tcPr>
          <w:p>
            <w:pPr>
              <w:ind w:left="-170" w:right="-311"/>
              <w:rPr>
                <w:sz w:val="17"/>
                <w:szCs w:val="17"/>
              </w:rPr>
            </w:pPr>
          </w:p>
        </w:tc>
      </w:tr>
      <w:tr>
        <w:trPr>
          <w:trHeight w:val="428"/>
        </w:trPr>
        <w:tc>
          <w:tcPr>
            <w:tcW w:w="76" w:type="dxa"/>
            <w:vMerge w:val="restart"/>
            <w:tcBorders>
              <w:top w:val="nil"/>
              <w:bottom w:val="nil"/>
            </w:tcBorders>
          </w:tcPr>
          <w:p>
            <w:pPr>
              <w:rPr>
                <w:sz w:val="16"/>
                <w:szCs w:val="16"/>
              </w:rPr>
            </w:pPr>
          </w:p>
        </w:tc>
        <w:tc>
          <w:tcPr>
            <w:tcW w:w="2440" w:type="dxa"/>
            <w:vMerge w:val="restart"/>
            <w:tcBorders>
              <w:top w:val="single" w:sz="4" w:space="0" w:color="auto"/>
              <w:right w:val="nil"/>
            </w:tcBorders>
          </w:tcPr>
          <w:p>
            <w:pPr>
              <w:spacing w:before="60"/>
              <w:rPr>
                <w:sz w:val="17"/>
                <w:szCs w:val="17"/>
              </w:rPr>
            </w:pPr>
            <w:r>
              <w:rPr>
                <w:sz w:val="17"/>
                <w:szCs w:val="17"/>
              </w:rPr>
              <w:t>DRA Permit</w:t>
            </w:r>
          </w:p>
          <w:p>
            <w:pPr>
              <w:spacing w:before="60"/>
              <w:ind w:left="256" w:hanging="256"/>
              <w:rPr>
                <w:sz w:val="17"/>
                <w:szCs w:val="17"/>
              </w:rPr>
            </w:pPr>
            <w:r>
              <w:rPr>
                <w:sz w:val="17"/>
                <w:szCs w:val="17"/>
              </w:rPr>
              <w:t>Water Catchment</w:t>
            </w:r>
            <w:r>
              <w:rPr>
                <w:sz w:val="17"/>
                <w:szCs w:val="17"/>
              </w:rPr>
              <w:br/>
              <w:t>Catchment Area</w:t>
            </w:r>
          </w:p>
          <w:p>
            <w:pPr>
              <w:spacing w:before="60"/>
              <w:rPr>
                <w:sz w:val="17"/>
                <w:szCs w:val="17"/>
              </w:rPr>
            </w:pPr>
            <w:r>
              <w:rPr>
                <w:sz w:val="17"/>
                <w:szCs w:val="17"/>
              </w:rPr>
              <w:t>Pastoral Lease</w:t>
            </w:r>
          </w:p>
          <w:p>
            <w:pPr>
              <w:spacing w:before="60"/>
              <w:rPr>
                <w:sz w:val="17"/>
                <w:szCs w:val="17"/>
              </w:rPr>
            </w:pPr>
            <w:r>
              <w:rPr>
                <w:sz w:val="17"/>
                <w:szCs w:val="17"/>
              </w:rPr>
              <w:t>Special Conditions</w:t>
            </w:r>
          </w:p>
          <w:p>
            <w:pPr>
              <w:spacing w:before="60"/>
              <w:rPr>
                <w:sz w:val="17"/>
                <w:szCs w:val="17"/>
              </w:rPr>
            </w:pPr>
            <w:r>
              <w:rPr>
                <w:sz w:val="17"/>
                <w:szCs w:val="17"/>
              </w:rPr>
              <w:t>Standard Apiary Site Conditions</w:t>
            </w:r>
          </w:p>
        </w:tc>
        <w:tc>
          <w:tcPr>
            <w:tcW w:w="1479" w:type="dxa"/>
            <w:gridSpan w:val="3"/>
            <w:vMerge w:val="restart"/>
            <w:tcBorders>
              <w:top w:val="single" w:sz="4" w:space="0" w:color="auto"/>
              <w:left w:val="nil"/>
            </w:tcBorders>
          </w:tcPr>
          <w:p>
            <w:pPr>
              <w:spacing w:before="60"/>
              <w:rPr>
                <w:sz w:val="17"/>
                <w:szCs w:val="17"/>
              </w:rPr>
            </w:pPr>
            <w:r>
              <w:rPr>
                <w:sz w:val="17"/>
                <w:szCs w:val="17"/>
              </w:rPr>
              <w:t>________________</w:t>
            </w:r>
          </w:p>
          <w:p>
            <w:pPr>
              <w:spacing w:before="60"/>
              <w:rPr>
                <w:sz w:val="17"/>
                <w:szCs w:val="17"/>
              </w:rPr>
            </w:pPr>
            <w:r>
              <w:rPr>
                <w:sz w:val="17"/>
                <w:szCs w:val="17"/>
              </w:rPr>
              <w:t>________________</w:t>
            </w:r>
          </w:p>
          <w:p>
            <w:pPr>
              <w:rPr>
                <w:sz w:val="17"/>
                <w:szCs w:val="17"/>
              </w:rPr>
            </w:pPr>
            <w:r>
              <w:rPr>
                <w:sz w:val="17"/>
                <w:szCs w:val="17"/>
              </w:rPr>
              <w:t>________________</w:t>
            </w:r>
          </w:p>
          <w:p>
            <w:pPr>
              <w:spacing w:before="60"/>
              <w:rPr>
                <w:sz w:val="17"/>
                <w:szCs w:val="17"/>
              </w:rPr>
            </w:pPr>
            <w:r>
              <w:rPr>
                <w:sz w:val="17"/>
                <w:szCs w:val="17"/>
              </w:rPr>
              <w:t>________________</w:t>
            </w:r>
          </w:p>
          <w:p>
            <w:pPr>
              <w:spacing w:before="60"/>
              <w:rPr>
                <w:sz w:val="17"/>
                <w:szCs w:val="17"/>
              </w:rPr>
            </w:pPr>
            <w:r>
              <w:rPr>
                <w:sz w:val="17"/>
                <w:szCs w:val="17"/>
              </w:rPr>
              <w:t>________________</w:t>
            </w:r>
          </w:p>
          <w:p>
            <w:pPr>
              <w:spacing w:before="60"/>
              <w:rPr>
                <w:sz w:val="17"/>
                <w:szCs w:val="17"/>
              </w:rPr>
            </w:pPr>
            <w:r>
              <w:rPr>
                <w:sz w:val="17"/>
                <w:szCs w:val="17"/>
              </w:rPr>
              <w:t>________________</w:t>
            </w:r>
          </w:p>
        </w:tc>
        <w:tc>
          <w:tcPr>
            <w:tcW w:w="142" w:type="dxa"/>
            <w:tcBorders>
              <w:top w:val="nil"/>
              <w:bottom w:val="nil"/>
            </w:tcBorders>
          </w:tcPr>
          <w:p>
            <w:pPr>
              <w:rPr>
                <w:sz w:val="17"/>
                <w:szCs w:val="17"/>
              </w:rPr>
            </w:pPr>
          </w:p>
        </w:tc>
        <w:tc>
          <w:tcPr>
            <w:tcW w:w="2834" w:type="dxa"/>
            <w:tcBorders>
              <w:top w:val="single" w:sz="4" w:space="0" w:color="auto"/>
              <w:bottom w:val="single" w:sz="4" w:space="0" w:color="auto"/>
            </w:tcBorders>
          </w:tcPr>
          <w:p>
            <w:pPr>
              <w:tabs>
                <w:tab w:val="left" w:pos="2240"/>
              </w:tabs>
              <w:spacing w:before="60"/>
              <w:rPr>
                <w:sz w:val="17"/>
                <w:szCs w:val="17"/>
              </w:rPr>
            </w:pPr>
            <w:r>
              <w:rPr>
                <w:sz w:val="17"/>
                <w:szCs w:val="17"/>
              </w:rPr>
              <w:t xml:space="preserve">Apiary Batch Number </w:t>
            </w:r>
            <w:r>
              <w:rPr>
                <w:sz w:val="17"/>
                <w:szCs w:val="17"/>
              </w:rPr>
              <w:tab/>
              <w:t>______</w:t>
            </w:r>
          </w:p>
          <w:p>
            <w:pPr>
              <w:tabs>
                <w:tab w:val="left" w:pos="2240"/>
              </w:tabs>
              <w:spacing w:before="60"/>
              <w:rPr>
                <w:sz w:val="17"/>
                <w:szCs w:val="17"/>
              </w:rPr>
            </w:pPr>
            <w:r>
              <w:rPr>
                <w:sz w:val="17"/>
                <w:szCs w:val="17"/>
              </w:rPr>
              <w:t>Commission</w:t>
            </w:r>
            <w:r>
              <w:rPr>
                <w:sz w:val="17"/>
                <w:szCs w:val="17"/>
              </w:rPr>
              <w:tab/>
              <w:t>______</w:t>
            </w:r>
          </w:p>
          <w:p>
            <w:pPr>
              <w:tabs>
                <w:tab w:val="left" w:pos="2240"/>
              </w:tabs>
              <w:spacing w:before="60" w:after="60"/>
              <w:rPr>
                <w:sz w:val="17"/>
                <w:szCs w:val="17"/>
              </w:rPr>
            </w:pPr>
            <w:r>
              <w:rPr>
                <w:sz w:val="17"/>
                <w:szCs w:val="17"/>
              </w:rPr>
              <w:t xml:space="preserve">Minister for the Environment </w:t>
            </w:r>
            <w:r>
              <w:rPr>
                <w:sz w:val="17"/>
                <w:szCs w:val="17"/>
              </w:rPr>
              <w:br/>
              <w:t>or his Delegate’s Approval</w:t>
            </w:r>
            <w:r>
              <w:rPr>
                <w:sz w:val="17"/>
                <w:szCs w:val="17"/>
              </w:rPr>
              <w:tab/>
              <w:t>______</w:t>
            </w:r>
          </w:p>
        </w:tc>
        <w:tc>
          <w:tcPr>
            <w:tcW w:w="76" w:type="dxa"/>
            <w:tcBorders>
              <w:top w:val="nil"/>
              <w:bottom w:val="nil"/>
            </w:tcBorders>
          </w:tcPr>
          <w:p>
            <w:pPr>
              <w:ind w:left="-170" w:right="-311"/>
              <w:rPr>
                <w:sz w:val="17"/>
                <w:szCs w:val="17"/>
              </w:rPr>
            </w:pPr>
          </w:p>
        </w:tc>
      </w:tr>
      <w:tr>
        <w:tc>
          <w:tcPr>
            <w:tcW w:w="76" w:type="dxa"/>
            <w:vMerge/>
            <w:tcBorders>
              <w:top w:val="nil"/>
              <w:bottom w:val="nil"/>
            </w:tcBorders>
          </w:tcPr>
          <w:p>
            <w:pPr>
              <w:rPr>
                <w:sz w:val="16"/>
                <w:szCs w:val="16"/>
              </w:rPr>
            </w:pPr>
          </w:p>
        </w:tc>
        <w:tc>
          <w:tcPr>
            <w:tcW w:w="2440" w:type="dxa"/>
            <w:vMerge/>
            <w:tcBorders>
              <w:right w:val="nil"/>
            </w:tcBorders>
          </w:tcPr>
          <w:p>
            <w:pPr>
              <w:rPr>
                <w:sz w:val="17"/>
                <w:szCs w:val="17"/>
              </w:rPr>
            </w:pPr>
          </w:p>
        </w:tc>
        <w:tc>
          <w:tcPr>
            <w:tcW w:w="1479" w:type="dxa"/>
            <w:gridSpan w:val="3"/>
            <w:vMerge/>
            <w:tcBorders>
              <w:left w:val="nil"/>
            </w:tcBorders>
          </w:tcPr>
          <w:p>
            <w:pPr>
              <w:rPr>
                <w:sz w:val="17"/>
                <w:szCs w:val="17"/>
              </w:rPr>
            </w:pPr>
          </w:p>
        </w:tc>
        <w:tc>
          <w:tcPr>
            <w:tcW w:w="142" w:type="dxa"/>
            <w:tcBorders>
              <w:top w:val="nil"/>
              <w:bottom w:val="nil"/>
              <w:right w:val="nil"/>
            </w:tcBorders>
          </w:tcPr>
          <w:p>
            <w:pPr>
              <w:rPr>
                <w:sz w:val="17"/>
                <w:szCs w:val="17"/>
              </w:rPr>
            </w:pPr>
          </w:p>
        </w:tc>
        <w:tc>
          <w:tcPr>
            <w:tcW w:w="2834" w:type="dxa"/>
            <w:tcBorders>
              <w:left w:val="nil"/>
              <w:right w:val="nil"/>
            </w:tcBorders>
          </w:tcPr>
          <w:p>
            <w:pPr>
              <w:rPr>
                <w:sz w:val="17"/>
                <w:szCs w:val="17"/>
              </w:rPr>
            </w:pPr>
            <w:r>
              <w:rPr>
                <w:sz w:val="17"/>
                <w:szCs w:val="17"/>
              </w:rPr>
              <w:t>Rental</w:t>
            </w:r>
          </w:p>
        </w:tc>
        <w:tc>
          <w:tcPr>
            <w:tcW w:w="76" w:type="dxa"/>
            <w:tcBorders>
              <w:top w:val="nil"/>
              <w:left w:val="nil"/>
              <w:bottom w:val="nil"/>
            </w:tcBorders>
          </w:tcPr>
          <w:p>
            <w:pPr>
              <w:ind w:left="-170" w:right="-311"/>
              <w:rPr>
                <w:sz w:val="17"/>
                <w:szCs w:val="17"/>
              </w:rPr>
            </w:pPr>
          </w:p>
        </w:tc>
      </w:tr>
      <w:tr>
        <w:tc>
          <w:tcPr>
            <w:tcW w:w="76" w:type="dxa"/>
            <w:vMerge/>
            <w:tcBorders>
              <w:top w:val="nil"/>
              <w:bottom w:val="nil"/>
            </w:tcBorders>
          </w:tcPr>
          <w:p>
            <w:pPr>
              <w:rPr>
                <w:sz w:val="16"/>
                <w:szCs w:val="16"/>
              </w:rPr>
            </w:pPr>
          </w:p>
        </w:tc>
        <w:tc>
          <w:tcPr>
            <w:tcW w:w="2440" w:type="dxa"/>
            <w:vMerge/>
            <w:tcBorders>
              <w:bottom w:val="single" w:sz="4" w:space="0" w:color="auto"/>
              <w:right w:val="nil"/>
            </w:tcBorders>
          </w:tcPr>
          <w:p>
            <w:pPr>
              <w:rPr>
                <w:sz w:val="17"/>
                <w:szCs w:val="17"/>
              </w:rPr>
            </w:pPr>
          </w:p>
        </w:tc>
        <w:tc>
          <w:tcPr>
            <w:tcW w:w="1479" w:type="dxa"/>
            <w:gridSpan w:val="3"/>
            <w:vMerge/>
            <w:tcBorders>
              <w:left w:val="nil"/>
              <w:bottom w:val="single" w:sz="4" w:space="0" w:color="auto"/>
            </w:tcBorders>
          </w:tcPr>
          <w:p>
            <w:pPr>
              <w:rPr>
                <w:sz w:val="17"/>
                <w:szCs w:val="17"/>
              </w:rPr>
            </w:pPr>
          </w:p>
        </w:tc>
        <w:tc>
          <w:tcPr>
            <w:tcW w:w="142" w:type="dxa"/>
            <w:tcBorders>
              <w:top w:val="nil"/>
              <w:bottom w:val="nil"/>
            </w:tcBorders>
          </w:tcPr>
          <w:p>
            <w:pPr>
              <w:rPr>
                <w:sz w:val="17"/>
                <w:szCs w:val="17"/>
              </w:rPr>
            </w:pPr>
          </w:p>
        </w:tc>
        <w:tc>
          <w:tcPr>
            <w:tcW w:w="2834" w:type="dxa"/>
            <w:tcBorders>
              <w:bottom w:val="single" w:sz="4" w:space="0" w:color="auto"/>
            </w:tcBorders>
          </w:tcPr>
          <w:p>
            <w:pPr>
              <w:tabs>
                <w:tab w:val="left" w:pos="2240"/>
              </w:tabs>
              <w:spacing w:before="40"/>
              <w:rPr>
                <w:sz w:val="17"/>
                <w:szCs w:val="17"/>
              </w:rPr>
            </w:pPr>
            <w:r>
              <w:rPr>
                <w:sz w:val="12"/>
                <w:szCs w:val="12"/>
              </w:rPr>
              <w:t xml:space="preserve">per annum, subject to review </w:t>
            </w:r>
            <w:r>
              <w:rPr>
                <w:sz w:val="17"/>
                <w:szCs w:val="17"/>
              </w:rPr>
              <w:tab/>
              <w:t>______</w:t>
            </w:r>
          </w:p>
          <w:p>
            <w:pPr>
              <w:rPr>
                <w:sz w:val="12"/>
                <w:szCs w:val="12"/>
              </w:rPr>
            </w:pPr>
            <w:r>
              <w:rPr>
                <w:sz w:val="12"/>
                <w:szCs w:val="12"/>
              </w:rPr>
              <w:t>from time to time</w:t>
            </w:r>
          </w:p>
        </w:tc>
        <w:tc>
          <w:tcPr>
            <w:tcW w:w="76" w:type="dxa"/>
            <w:tcBorders>
              <w:top w:val="nil"/>
              <w:bottom w:val="nil"/>
            </w:tcBorders>
          </w:tcPr>
          <w:p>
            <w:pPr>
              <w:ind w:left="-170" w:right="-311"/>
              <w:rPr>
                <w:sz w:val="17"/>
                <w:szCs w:val="17"/>
              </w:rPr>
            </w:pPr>
          </w:p>
        </w:tc>
      </w:tr>
      <w:tr>
        <w:tc>
          <w:tcPr>
            <w:tcW w:w="76" w:type="dxa"/>
            <w:tcBorders>
              <w:top w:val="nil"/>
              <w:bottom w:val="nil"/>
              <w:right w:val="nil"/>
            </w:tcBorders>
          </w:tcPr>
          <w:p>
            <w:pPr>
              <w:rPr>
                <w:sz w:val="12"/>
                <w:szCs w:val="12"/>
              </w:rPr>
            </w:pPr>
          </w:p>
        </w:tc>
        <w:tc>
          <w:tcPr>
            <w:tcW w:w="2440" w:type="dxa"/>
            <w:tcBorders>
              <w:left w:val="nil"/>
              <w:right w:val="nil"/>
            </w:tcBorders>
          </w:tcPr>
          <w:p>
            <w:pPr>
              <w:rPr>
                <w:sz w:val="12"/>
                <w:szCs w:val="12"/>
              </w:rPr>
            </w:pPr>
          </w:p>
        </w:tc>
        <w:tc>
          <w:tcPr>
            <w:tcW w:w="1479" w:type="dxa"/>
            <w:gridSpan w:val="3"/>
            <w:tcBorders>
              <w:left w:val="nil"/>
              <w:right w:val="nil"/>
            </w:tcBorders>
          </w:tcPr>
          <w:p>
            <w:pPr>
              <w:rPr>
                <w:sz w:val="12"/>
                <w:szCs w:val="12"/>
              </w:rPr>
            </w:pPr>
          </w:p>
        </w:tc>
        <w:tc>
          <w:tcPr>
            <w:tcW w:w="142" w:type="dxa"/>
            <w:tcBorders>
              <w:top w:val="nil"/>
              <w:left w:val="nil"/>
              <w:right w:val="nil"/>
            </w:tcBorders>
          </w:tcPr>
          <w:p>
            <w:pPr>
              <w:rPr>
                <w:sz w:val="12"/>
                <w:szCs w:val="12"/>
              </w:rPr>
            </w:pPr>
          </w:p>
        </w:tc>
        <w:tc>
          <w:tcPr>
            <w:tcW w:w="2834" w:type="dxa"/>
            <w:tcBorders>
              <w:left w:val="nil"/>
              <w:right w:val="nil"/>
            </w:tcBorders>
          </w:tcPr>
          <w:p>
            <w:pPr>
              <w:tabs>
                <w:tab w:val="left" w:pos="2240"/>
              </w:tabs>
              <w:rPr>
                <w:sz w:val="12"/>
                <w:szCs w:val="12"/>
              </w:rPr>
            </w:pPr>
          </w:p>
        </w:tc>
        <w:tc>
          <w:tcPr>
            <w:tcW w:w="76" w:type="dxa"/>
            <w:tcBorders>
              <w:top w:val="nil"/>
              <w:left w:val="nil"/>
              <w:bottom w:val="nil"/>
            </w:tcBorders>
          </w:tcPr>
          <w:p>
            <w:pPr>
              <w:ind w:left="-170" w:right="-311"/>
              <w:rPr>
                <w:sz w:val="12"/>
                <w:szCs w:val="12"/>
              </w:rPr>
            </w:pPr>
          </w:p>
        </w:tc>
      </w:tr>
      <w:tr>
        <w:tc>
          <w:tcPr>
            <w:tcW w:w="76" w:type="dxa"/>
            <w:tcBorders>
              <w:top w:val="nil"/>
              <w:bottom w:val="nil"/>
            </w:tcBorders>
          </w:tcPr>
          <w:p>
            <w:pPr>
              <w:rPr>
                <w:sz w:val="17"/>
                <w:szCs w:val="17"/>
              </w:rPr>
            </w:pPr>
          </w:p>
        </w:tc>
        <w:tc>
          <w:tcPr>
            <w:tcW w:w="6895" w:type="dxa"/>
            <w:gridSpan w:val="6"/>
          </w:tcPr>
          <w:p>
            <w:pPr>
              <w:rPr>
                <w:sz w:val="17"/>
                <w:szCs w:val="17"/>
              </w:rPr>
            </w:pPr>
            <w:r>
              <w:rPr>
                <w:sz w:val="17"/>
                <w:szCs w:val="17"/>
              </w:rPr>
              <w:t>Special Conditions</w:t>
            </w:r>
          </w:p>
          <w:p>
            <w:pPr>
              <w:spacing w:before="180"/>
              <w:rPr>
                <w:sz w:val="17"/>
                <w:szCs w:val="17"/>
              </w:rPr>
            </w:pPr>
          </w:p>
          <w:p>
            <w:pPr>
              <w:rPr>
                <w:sz w:val="17"/>
                <w:szCs w:val="17"/>
              </w:rPr>
            </w:pPr>
          </w:p>
        </w:tc>
        <w:tc>
          <w:tcPr>
            <w:tcW w:w="76" w:type="dxa"/>
            <w:tcBorders>
              <w:top w:val="nil"/>
              <w:bottom w:val="nil"/>
            </w:tcBorders>
          </w:tcPr>
          <w:p>
            <w:pPr>
              <w:ind w:left="-170" w:right="-311"/>
              <w:rPr>
                <w:sz w:val="17"/>
                <w:szCs w:val="17"/>
              </w:rPr>
            </w:pPr>
          </w:p>
        </w:tc>
      </w:tr>
      <w:tr>
        <w:tc>
          <w:tcPr>
            <w:tcW w:w="76" w:type="dxa"/>
            <w:tcBorders>
              <w:top w:val="nil"/>
              <w:bottom w:val="nil"/>
              <w:right w:val="nil"/>
            </w:tcBorders>
          </w:tcPr>
          <w:p>
            <w:pPr>
              <w:rPr>
                <w:sz w:val="17"/>
                <w:szCs w:val="17"/>
              </w:rPr>
            </w:pPr>
          </w:p>
        </w:tc>
        <w:tc>
          <w:tcPr>
            <w:tcW w:w="6895" w:type="dxa"/>
            <w:gridSpan w:val="6"/>
            <w:tcBorders>
              <w:left w:val="nil"/>
              <w:bottom w:val="single" w:sz="4" w:space="0" w:color="auto"/>
              <w:right w:val="nil"/>
            </w:tcBorders>
          </w:tcPr>
          <w:p>
            <w:pPr>
              <w:rPr>
                <w:sz w:val="17"/>
                <w:szCs w:val="17"/>
              </w:rPr>
            </w:pPr>
            <w:r>
              <w:rPr>
                <w:sz w:val="17"/>
                <w:szCs w:val="17"/>
              </w:rPr>
              <w:t>Period during which site may be occupied</w:t>
            </w:r>
          </w:p>
        </w:tc>
        <w:tc>
          <w:tcPr>
            <w:tcW w:w="76" w:type="dxa"/>
            <w:tcBorders>
              <w:top w:val="nil"/>
              <w:left w:val="nil"/>
              <w:bottom w:val="nil"/>
            </w:tcBorders>
          </w:tcPr>
          <w:p>
            <w:pPr>
              <w:ind w:left="-170" w:right="-311"/>
              <w:rPr>
                <w:sz w:val="17"/>
                <w:szCs w:val="17"/>
              </w:rPr>
            </w:pPr>
          </w:p>
        </w:tc>
      </w:tr>
      <w:tr>
        <w:tc>
          <w:tcPr>
            <w:tcW w:w="76" w:type="dxa"/>
            <w:tcBorders>
              <w:top w:val="nil"/>
              <w:bottom w:val="nil"/>
            </w:tcBorders>
          </w:tcPr>
          <w:p>
            <w:pPr>
              <w:rPr>
                <w:sz w:val="17"/>
                <w:szCs w:val="17"/>
              </w:rPr>
            </w:pPr>
          </w:p>
        </w:tc>
        <w:tc>
          <w:tcPr>
            <w:tcW w:w="3494" w:type="dxa"/>
            <w:gridSpan w:val="3"/>
            <w:tcBorders>
              <w:bottom w:val="single" w:sz="4" w:space="0" w:color="auto"/>
              <w:right w:val="nil"/>
            </w:tcBorders>
          </w:tcPr>
          <w:p>
            <w:pPr>
              <w:rPr>
                <w:sz w:val="17"/>
                <w:szCs w:val="17"/>
              </w:rPr>
            </w:pPr>
            <w:r>
              <w:rPr>
                <w:sz w:val="17"/>
                <w:szCs w:val="17"/>
              </w:rPr>
              <w:t>First day of Period: _______________________</w:t>
            </w:r>
          </w:p>
        </w:tc>
        <w:tc>
          <w:tcPr>
            <w:tcW w:w="3401" w:type="dxa"/>
            <w:gridSpan w:val="3"/>
            <w:tcBorders>
              <w:left w:val="nil"/>
              <w:bottom w:val="single" w:sz="4" w:space="0" w:color="auto"/>
            </w:tcBorders>
          </w:tcPr>
          <w:p>
            <w:pPr>
              <w:spacing w:after="40"/>
              <w:rPr>
                <w:sz w:val="17"/>
                <w:szCs w:val="17"/>
              </w:rPr>
            </w:pPr>
            <w:r>
              <w:rPr>
                <w:sz w:val="17"/>
                <w:szCs w:val="17"/>
              </w:rPr>
              <w:t>Last day of Period: _______________________</w:t>
            </w:r>
          </w:p>
        </w:tc>
        <w:tc>
          <w:tcPr>
            <w:tcW w:w="76" w:type="dxa"/>
            <w:tcBorders>
              <w:top w:val="nil"/>
              <w:bottom w:val="nil"/>
            </w:tcBorders>
          </w:tcPr>
          <w:p>
            <w:pPr>
              <w:ind w:left="-170" w:right="-311"/>
              <w:rPr>
                <w:sz w:val="17"/>
                <w:szCs w:val="17"/>
              </w:rPr>
            </w:pPr>
          </w:p>
        </w:tc>
      </w:tr>
      <w:tr>
        <w:tc>
          <w:tcPr>
            <w:tcW w:w="76" w:type="dxa"/>
            <w:tcBorders>
              <w:top w:val="nil"/>
              <w:bottom w:val="single" w:sz="4" w:space="0" w:color="auto"/>
              <w:right w:val="nil"/>
            </w:tcBorders>
          </w:tcPr>
          <w:p>
            <w:pPr>
              <w:rPr>
                <w:sz w:val="12"/>
                <w:szCs w:val="12"/>
              </w:rPr>
            </w:pPr>
          </w:p>
        </w:tc>
        <w:tc>
          <w:tcPr>
            <w:tcW w:w="2530" w:type="dxa"/>
            <w:gridSpan w:val="2"/>
            <w:tcBorders>
              <w:top w:val="single" w:sz="4" w:space="0" w:color="auto"/>
              <w:left w:val="nil"/>
              <w:bottom w:val="single" w:sz="4" w:space="0" w:color="auto"/>
              <w:right w:val="nil"/>
            </w:tcBorders>
          </w:tcPr>
          <w:p>
            <w:pPr>
              <w:rPr>
                <w:sz w:val="12"/>
                <w:szCs w:val="12"/>
              </w:rPr>
            </w:pPr>
          </w:p>
        </w:tc>
        <w:tc>
          <w:tcPr>
            <w:tcW w:w="964" w:type="dxa"/>
            <w:tcBorders>
              <w:top w:val="single" w:sz="4" w:space="0" w:color="auto"/>
              <w:left w:val="nil"/>
              <w:bottom w:val="single" w:sz="4" w:space="0" w:color="auto"/>
              <w:right w:val="nil"/>
            </w:tcBorders>
          </w:tcPr>
          <w:p>
            <w:pPr>
              <w:rPr>
                <w:sz w:val="12"/>
                <w:szCs w:val="12"/>
              </w:rPr>
            </w:pPr>
          </w:p>
        </w:tc>
        <w:tc>
          <w:tcPr>
            <w:tcW w:w="3401" w:type="dxa"/>
            <w:gridSpan w:val="3"/>
            <w:tcBorders>
              <w:top w:val="nil"/>
              <w:left w:val="nil"/>
              <w:bottom w:val="single" w:sz="4" w:space="0" w:color="auto"/>
              <w:right w:val="nil"/>
            </w:tcBorders>
          </w:tcPr>
          <w:p>
            <w:pPr>
              <w:rPr>
                <w:sz w:val="12"/>
                <w:szCs w:val="12"/>
              </w:rPr>
            </w:pPr>
          </w:p>
        </w:tc>
        <w:tc>
          <w:tcPr>
            <w:tcW w:w="76" w:type="dxa"/>
            <w:tcBorders>
              <w:top w:val="nil"/>
              <w:left w:val="nil"/>
              <w:bottom w:val="single" w:sz="4" w:space="0" w:color="auto"/>
            </w:tcBorders>
          </w:tcPr>
          <w:p>
            <w:pPr>
              <w:ind w:left="-170" w:right="-311"/>
              <w:rPr>
                <w:sz w:val="12"/>
                <w:szCs w:val="12"/>
              </w:rPr>
            </w:pPr>
          </w:p>
        </w:tc>
      </w:tr>
      <w:tr>
        <w:tc>
          <w:tcPr>
            <w:tcW w:w="7047" w:type="dxa"/>
            <w:gridSpan w:val="8"/>
            <w:tcBorders>
              <w:left w:val="nil"/>
              <w:bottom w:val="nil"/>
              <w:right w:val="nil"/>
            </w:tcBorders>
          </w:tcPr>
          <w:p>
            <w:pPr>
              <w:rPr>
                <w:sz w:val="12"/>
                <w:szCs w:val="12"/>
              </w:rPr>
            </w:pPr>
            <w:r>
              <w:rPr>
                <w:sz w:val="12"/>
                <w:szCs w:val="12"/>
              </w:rPr>
              <w:t>This permit is not valid without the signature of the Director General or his delegate.</w:t>
            </w:r>
          </w:p>
          <w:p>
            <w:pPr>
              <w:rPr>
                <w:sz w:val="17"/>
                <w:szCs w:val="17"/>
              </w:rPr>
            </w:pPr>
          </w:p>
          <w:p>
            <w:pPr>
              <w:tabs>
                <w:tab w:val="left" w:pos="5103"/>
              </w:tabs>
              <w:rPr>
                <w:sz w:val="17"/>
                <w:szCs w:val="17"/>
              </w:rPr>
            </w:pPr>
            <w:r>
              <w:rPr>
                <w:sz w:val="17"/>
                <w:szCs w:val="17"/>
              </w:rPr>
              <w:t>____________________________________________________</w:t>
            </w:r>
            <w:r>
              <w:rPr>
                <w:sz w:val="17"/>
                <w:szCs w:val="17"/>
              </w:rPr>
              <w:tab/>
              <w:t>______________________</w:t>
            </w:r>
          </w:p>
          <w:p>
            <w:pPr>
              <w:tabs>
                <w:tab w:val="left" w:pos="4820"/>
                <w:tab w:val="left" w:pos="5954"/>
              </w:tabs>
              <w:rPr>
                <w:sz w:val="17"/>
                <w:szCs w:val="17"/>
              </w:rPr>
            </w:pPr>
            <w:r>
              <w:rPr>
                <w:sz w:val="17"/>
                <w:szCs w:val="17"/>
              </w:rPr>
              <w:t>DIRECTOR GENERAL</w:t>
            </w:r>
            <w:r>
              <w:rPr>
                <w:sz w:val="17"/>
                <w:szCs w:val="17"/>
              </w:rPr>
              <w:tab/>
            </w:r>
            <w:r>
              <w:rPr>
                <w:sz w:val="17"/>
                <w:szCs w:val="17"/>
              </w:rPr>
              <w:tab/>
              <w:t>Date</w:t>
            </w:r>
          </w:p>
          <w:p>
            <w:pPr>
              <w:rPr>
                <w:sz w:val="17"/>
                <w:szCs w:val="17"/>
                <w:vertAlign w:val="superscript"/>
              </w:rPr>
            </w:pPr>
            <w:r>
              <w:rPr>
                <w:sz w:val="17"/>
                <w:szCs w:val="17"/>
              </w:rPr>
              <w:t>DEPARTMENT OF PARKS AND WILDLIFE</w:t>
            </w:r>
          </w:p>
        </w:tc>
      </w:tr>
    </w:tbl>
    <w:p>
      <w:pPr>
        <w:pStyle w:val="yFootnotesection"/>
        <w:spacing w:before="40"/>
      </w:pPr>
      <w:r>
        <w:tab/>
        <w:t>[Form 3 inserted in Gazette 3 Sep 2010 p. 4284; amended in Gazette 6 May 2016 p. 1382.]</w:t>
      </w:r>
    </w:p>
    <w:p>
      <w:pPr>
        <w:pStyle w:val="yFootnotesection"/>
        <w:spacing w:before="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decimal" w:pos="766"/>
        </w:tabs>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640" w:name="_Toc491954744"/>
      <w:bookmarkStart w:id="641" w:name="_Toc491956898"/>
      <w:bookmarkStart w:id="642" w:name="_Toc473019343"/>
      <w:bookmarkStart w:id="643" w:name="_Toc473036081"/>
      <w:r>
        <w:t>Notes</w:t>
      </w:r>
      <w:bookmarkEnd w:id="640"/>
      <w:bookmarkEnd w:id="641"/>
      <w:bookmarkEnd w:id="642"/>
      <w:bookmarkEnd w:id="643"/>
    </w:p>
    <w:p>
      <w:pPr>
        <w:pStyle w:val="nSubsection"/>
      </w:pPr>
      <w:r>
        <w:rPr>
          <w:vertAlign w:val="superscript"/>
        </w:rPr>
        <w:t>1</w:t>
      </w:r>
      <w:r>
        <w:tab/>
        <w:t xml:space="preserve">This is a compilation of the </w:t>
      </w:r>
      <w:r>
        <w:rPr>
          <w:i/>
          <w:noProof/>
        </w:rPr>
        <w:t>Conservation and Land Management Regulations 2002</w:t>
      </w:r>
      <w:r>
        <w:t xml:space="preserve"> and includes the amendments made by the other written laws referred to in the following table.  The table also contains information about any reprint.</w:t>
      </w:r>
    </w:p>
    <w:p>
      <w:pPr>
        <w:pStyle w:val="nHeading3"/>
      </w:pPr>
      <w:bookmarkStart w:id="644" w:name="_Toc491956899"/>
      <w:bookmarkStart w:id="645" w:name="_Toc473036082"/>
      <w:r>
        <w:t>Compilation table</w:t>
      </w:r>
      <w:bookmarkEnd w:id="644"/>
      <w:bookmarkEnd w:id="64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Conservation and Land Management Regulations 2002</w:t>
            </w:r>
          </w:p>
        </w:tc>
        <w:tc>
          <w:tcPr>
            <w:tcW w:w="1276" w:type="dxa"/>
            <w:tcBorders>
              <w:top w:val="single" w:sz="8" w:space="0" w:color="auto"/>
            </w:tcBorders>
          </w:tcPr>
          <w:p>
            <w:pPr>
              <w:pStyle w:val="nTable"/>
              <w:spacing w:after="40"/>
            </w:pPr>
            <w:r>
              <w:t>3 May 2002 p. 2233</w:t>
            </w:r>
            <w:r>
              <w:noBreakHyphen/>
              <w:t>308</w:t>
            </w:r>
          </w:p>
        </w:tc>
        <w:tc>
          <w:tcPr>
            <w:tcW w:w="2693" w:type="dxa"/>
            <w:tcBorders>
              <w:top w:val="single" w:sz="8" w:space="0" w:color="auto"/>
            </w:tcBorders>
          </w:tcPr>
          <w:p>
            <w:pPr>
              <w:pStyle w:val="nTable"/>
              <w:spacing w:after="40"/>
            </w:pPr>
            <w:r>
              <w:t>3 May 2002</w:t>
            </w:r>
          </w:p>
        </w:tc>
      </w:tr>
      <w:tr>
        <w:tc>
          <w:tcPr>
            <w:tcW w:w="3119" w:type="dxa"/>
          </w:tcPr>
          <w:p>
            <w:pPr>
              <w:pStyle w:val="nTable"/>
              <w:spacing w:after="40"/>
              <w:rPr>
                <w:i/>
              </w:rPr>
            </w:pPr>
            <w:r>
              <w:rPr>
                <w:i/>
              </w:rPr>
              <w:t>Conservation and Land Management Amendment Regulations 2002</w:t>
            </w:r>
          </w:p>
        </w:tc>
        <w:tc>
          <w:tcPr>
            <w:tcW w:w="1276" w:type="dxa"/>
          </w:tcPr>
          <w:p>
            <w:pPr>
              <w:pStyle w:val="nTable"/>
              <w:spacing w:after="40"/>
            </w:pPr>
            <w:r>
              <w:t>4 Oct 2002 p. 5065</w:t>
            </w:r>
            <w:r>
              <w:noBreakHyphen/>
              <w:t>6</w:t>
            </w:r>
          </w:p>
        </w:tc>
        <w:tc>
          <w:tcPr>
            <w:tcW w:w="2693" w:type="dxa"/>
          </w:tcPr>
          <w:p>
            <w:pPr>
              <w:pStyle w:val="nTable"/>
              <w:spacing w:after="40"/>
            </w:pPr>
            <w:r>
              <w:t>4 Oct 2002</w:t>
            </w:r>
          </w:p>
        </w:tc>
      </w:tr>
      <w:tr>
        <w:tc>
          <w:tcPr>
            <w:tcW w:w="3119" w:type="dxa"/>
          </w:tcPr>
          <w:p>
            <w:pPr>
              <w:pStyle w:val="nTable"/>
              <w:spacing w:after="40"/>
              <w:rPr>
                <w:i/>
              </w:rPr>
            </w:pPr>
            <w:r>
              <w:rPr>
                <w:i/>
              </w:rPr>
              <w:t>Conservation and Land Management Amendment Regulations 2004</w:t>
            </w:r>
          </w:p>
        </w:tc>
        <w:tc>
          <w:tcPr>
            <w:tcW w:w="1276" w:type="dxa"/>
          </w:tcPr>
          <w:p>
            <w:pPr>
              <w:pStyle w:val="nTable"/>
              <w:spacing w:after="40"/>
            </w:pPr>
            <w:r>
              <w:t>4 May 2004 p. 1383</w:t>
            </w:r>
          </w:p>
        </w:tc>
        <w:tc>
          <w:tcPr>
            <w:tcW w:w="2693" w:type="dxa"/>
          </w:tcPr>
          <w:p>
            <w:pPr>
              <w:pStyle w:val="nTable"/>
              <w:spacing w:after="40"/>
            </w:pPr>
            <w:r>
              <w:t>4 May 2004</w:t>
            </w:r>
          </w:p>
        </w:tc>
      </w:tr>
      <w:tr>
        <w:tc>
          <w:tcPr>
            <w:tcW w:w="3119" w:type="dxa"/>
          </w:tcPr>
          <w:p>
            <w:pPr>
              <w:pStyle w:val="nTable"/>
              <w:spacing w:after="40"/>
              <w:rPr>
                <w:i/>
              </w:rPr>
            </w:pPr>
            <w:r>
              <w:rPr>
                <w:i/>
              </w:rPr>
              <w:t>Conservation and Land Management Amendment Regulations (No. 2) 2004</w:t>
            </w:r>
          </w:p>
        </w:tc>
        <w:tc>
          <w:tcPr>
            <w:tcW w:w="1276" w:type="dxa"/>
          </w:tcPr>
          <w:p>
            <w:pPr>
              <w:pStyle w:val="nTable"/>
              <w:spacing w:after="40"/>
            </w:pPr>
            <w:r>
              <w:t>27 Jul 2004 p. 3077</w:t>
            </w:r>
            <w:r>
              <w:noBreakHyphen/>
              <w:t>8</w:t>
            </w:r>
          </w:p>
        </w:tc>
        <w:tc>
          <w:tcPr>
            <w:tcW w:w="2693" w:type="dxa"/>
          </w:tcPr>
          <w:p>
            <w:pPr>
              <w:pStyle w:val="nTable"/>
              <w:spacing w:after="40"/>
            </w:pPr>
            <w:r>
              <w:t>27 Jul 2004</w:t>
            </w:r>
          </w:p>
        </w:tc>
      </w:tr>
      <w:tr>
        <w:tc>
          <w:tcPr>
            <w:tcW w:w="3119" w:type="dxa"/>
          </w:tcPr>
          <w:p>
            <w:pPr>
              <w:pStyle w:val="nTable"/>
              <w:spacing w:after="40"/>
              <w:rPr>
                <w:i/>
              </w:rPr>
            </w:pPr>
            <w:r>
              <w:rPr>
                <w:i/>
              </w:rPr>
              <w:t>Conservation and Land Management Amendment Regulations 2006</w:t>
            </w:r>
          </w:p>
        </w:tc>
        <w:tc>
          <w:tcPr>
            <w:tcW w:w="1276" w:type="dxa"/>
          </w:tcPr>
          <w:p>
            <w:pPr>
              <w:pStyle w:val="nTable"/>
              <w:spacing w:after="40"/>
            </w:pPr>
            <w:r>
              <w:t>29 Sep 2006 p. 4297</w:t>
            </w:r>
            <w:r>
              <w:noBreakHyphen/>
              <w:t>334</w:t>
            </w:r>
          </w:p>
        </w:tc>
        <w:tc>
          <w:tcPr>
            <w:tcW w:w="2693" w:type="dxa"/>
          </w:tcPr>
          <w:p>
            <w:pPr>
              <w:pStyle w:val="nTable"/>
              <w:spacing w:after="40"/>
            </w:pPr>
            <w:r>
              <w:t>29 Sep 2006 (see r. 2)</w:t>
            </w:r>
          </w:p>
        </w:tc>
      </w:tr>
      <w:tr>
        <w:trPr>
          <w:cantSplit/>
        </w:trPr>
        <w:tc>
          <w:tcPr>
            <w:tcW w:w="7088" w:type="dxa"/>
            <w:gridSpan w:val="3"/>
          </w:tcPr>
          <w:p>
            <w:pPr>
              <w:pStyle w:val="nTable"/>
              <w:spacing w:after="40"/>
            </w:pPr>
            <w:r>
              <w:rPr>
                <w:b/>
                <w:bCs/>
              </w:rPr>
              <w:t xml:space="preserve">Reprint 1:  The </w:t>
            </w:r>
            <w:r>
              <w:rPr>
                <w:b/>
                <w:bCs/>
                <w:i/>
              </w:rPr>
              <w:t>Conservation and Land Management Regulations 2002</w:t>
            </w:r>
            <w:r>
              <w:rPr>
                <w:b/>
                <w:bCs/>
              </w:rPr>
              <w:t xml:space="preserve"> as at 3 Nov 2006</w:t>
            </w:r>
            <w:r>
              <w:t xml:space="preserve"> (includes amendments listed above)</w:t>
            </w:r>
          </w:p>
        </w:tc>
      </w:tr>
      <w:tr>
        <w:tc>
          <w:tcPr>
            <w:tcW w:w="3119" w:type="dxa"/>
          </w:tcPr>
          <w:p>
            <w:pPr>
              <w:pStyle w:val="nTable"/>
              <w:spacing w:after="40"/>
              <w:rPr>
                <w:i/>
              </w:rPr>
            </w:pPr>
            <w:r>
              <w:rPr>
                <w:i/>
              </w:rPr>
              <w:t>Conservation and Land Management Amendment Regulations 2007</w:t>
            </w:r>
          </w:p>
        </w:tc>
        <w:tc>
          <w:tcPr>
            <w:tcW w:w="1276" w:type="dxa"/>
          </w:tcPr>
          <w:p>
            <w:pPr>
              <w:pStyle w:val="nTable"/>
              <w:spacing w:after="40"/>
            </w:pPr>
            <w:r>
              <w:t>27 Feb 2007 p. 625</w:t>
            </w:r>
            <w:r>
              <w:noBreakHyphen/>
              <w:t>6</w:t>
            </w:r>
          </w:p>
        </w:tc>
        <w:tc>
          <w:tcPr>
            <w:tcW w:w="2693" w:type="dxa"/>
          </w:tcPr>
          <w:p>
            <w:pPr>
              <w:pStyle w:val="nTable"/>
              <w:spacing w:after="40"/>
            </w:pPr>
            <w:r>
              <w:t>27 Feb 2007</w:t>
            </w:r>
          </w:p>
        </w:tc>
      </w:tr>
      <w:tr>
        <w:tc>
          <w:tcPr>
            <w:tcW w:w="3119" w:type="dxa"/>
          </w:tcPr>
          <w:p>
            <w:pPr>
              <w:pStyle w:val="nTable"/>
              <w:spacing w:after="40"/>
              <w:rPr>
                <w:i/>
              </w:rPr>
            </w:pPr>
            <w:r>
              <w:rPr>
                <w:i/>
              </w:rPr>
              <w:t>Conservation and Land Management Amendment Regulations (No. 2) 2007</w:t>
            </w:r>
          </w:p>
        </w:tc>
        <w:tc>
          <w:tcPr>
            <w:tcW w:w="1276" w:type="dxa"/>
          </w:tcPr>
          <w:p>
            <w:pPr>
              <w:pStyle w:val="nTable"/>
              <w:spacing w:after="40"/>
            </w:pPr>
            <w:r>
              <w:t>29 Jan 2008 p. 241</w:t>
            </w:r>
            <w:r>
              <w:noBreakHyphen/>
              <w:t>2</w:t>
            </w:r>
          </w:p>
        </w:tc>
        <w:tc>
          <w:tcPr>
            <w:tcW w:w="2693" w:type="dxa"/>
          </w:tcPr>
          <w:p>
            <w:pPr>
              <w:pStyle w:val="nTable"/>
              <w:spacing w:after="40"/>
            </w:pPr>
            <w:r>
              <w:t>r. 1 and 2: 29 Jan 2008 (see r. 2(a));</w:t>
            </w:r>
            <w:r>
              <w:br/>
              <w:t>Regulations other than r. 1 and 2: 30 Jan 2008 (see r. 2(b))</w:t>
            </w:r>
          </w:p>
        </w:tc>
      </w:tr>
      <w:tr>
        <w:tc>
          <w:tcPr>
            <w:tcW w:w="3119" w:type="dxa"/>
          </w:tcPr>
          <w:p>
            <w:pPr>
              <w:pStyle w:val="nTable"/>
              <w:spacing w:after="40"/>
              <w:rPr>
                <w:i/>
              </w:rPr>
            </w:pPr>
            <w:r>
              <w:rPr>
                <w:i/>
              </w:rPr>
              <w:t xml:space="preserve">Financial Management (Transitional Provisions) Regulations 2009 </w:t>
            </w:r>
            <w:r>
              <w:rPr>
                <w:iCs/>
              </w:rPr>
              <w:t>r. 3</w:t>
            </w:r>
            <w:r>
              <w:rPr>
                <w:iCs/>
                <w:vertAlign w:val="superscript"/>
              </w:rPr>
              <w:t> 4</w:t>
            </w:r>
          </w:p>
        </w:tc>
        <w:tc>
          <w:tcPr>
            <w:tcW w:w="1276" w:type="dxa"/>
          </w:tcPr>
          <w:p>
            <w:pPr>
              <w:pStyle w:val="nTable"/>
              <w:spacing w:after="40"/>
            </w:pPr>
            <w:r>
              <w:t>27 Feb 2009 p. 529</w:t>
            </w:r>
            <w:r>
              <w:noBreakHyphen/>
              <w:t>30</w:t>
            </w:r>
          </w:p>
        </w:tc>
        <w:tc>
          <w:tcPr>
            <w:tcW w:w="2693" w:type="dxa"/>
          </w:tcPr>
          <w:p>
            <w:pPr>
              <w:pStyle w:val="nTable"/>
              <w:spacing w:after="40"/>
            </w:pPr>
            <w:r>
              <w:t>28 Feb 2009 (see r. 2(b))</w:t>
            </w:r>
          </w:p>
        </w:tc>
      </w:tr>
      <w:tr>
        <w:tc>
          <w:tcPr>
            <w:tcW w:w="3119" w:type="dxa"/>
          </w:tcPr>
          <w:p>
            <w:pPr>
              <w:pStyle w:val="nTable"/>
              <w:spacing w:after="40"/>
              <w:rPr>
                <w:i/>
              </w:rPr>
            </w:pPr>
            <w:r>
              <w:rPr>
                <w:i/>
              </w:rPr>
              <w:t>Conservation and Land Management Amendment Regulations 2009</w:t>
            </w:r>
          </w:p>
        </w:tc>
        <w:tc>
          <w:tcPr>
            <w:tcW w:w="1276" w:type="dxa"/>
          </w:tcPr>
          <w:p>
            <w:pPr>
              <w:pStyle w:val="nTable"/>
              <w:spacing w:after="40"/>
            </w:pPr>
            <w:r>
              <w:t>28 Aug 2009 p. 3354</w:t>
            </w:r>
            <w:r>
              <w:noBreakHyphen/>
              <w:t>7</w:t>
            </w:r>
          </w:p>
        </w:tc>
        <w:tc>
          <w:tcPr>
            <w:tcW w:w="2693" w:type="dxa"/>
          </w:tcPr>
          <w:p>
            <w:pPr>
              <w:pStyle w:val="nTable"/>
              <w:spacing w:after="40"/>
            </w:pPr>
            <w:r>
              <w:t>r. 1 and 2: 28 Aug 2009 (see r. 2(a));</w:t>
            </w:r>
            <w:r>
              <w:br/>
              <w:t>Regulations other than r. 1 and 2: 1 Sep 2009 (see r. 2(b))</w:t>
            </w:r>
          </w:p>
        </w:tc>
      </w:tr>
      <w:tr>
        <w:tc>
          <w:tcPr>
            <w:tcW w:w="3119" w:type="dxa"/>
          </w:tcPr>
          <w:p>
            <w:pPr>
              <w:pStyle w:val="nTable"/>
              <w:spacing w:after="40"/>
              <w:rPr>
                <w:i/>
              </w:rPr>
            </w:pPr>
            <w:r>
              <w:rPr>
                <w:i/>
              </w:rPr>
              <w:t>Conservation and Land Management Amendment Regulations (No. 2) 2010</w:t>
            </w:r>
          </w:p>
        </w:tc>
        <w:tc>
          <w:tcPr>
            <w:tcW w:w="1276" w:type="dxa"/>
          </w:tcPr>
          <w:p>
            <w:pPr>
              <w:pStyle w:val="nTable"/>
              <w:spacing w:after="40"/>
            </w:pPr>
            <w:r>
              <w:t>3 Sep 2010 p. 4278</w:t>
            </w:r>
            <w:r>
              <w:noBreakHyphen/>
              <w:t>84</w:t>
            </w:r>
          </w:p>
        </w:tc>
        <w:tc>
          <w:tcPr>
            <w:tcW w:w="2693" w:type="dxa"/>
          </w:tcPr>
          <w:p>
            <w:pPr>
              <w:pStyle w:val="nTable"/>
              <w:spacing w:after="40"/>
            </w:pPr>
            <w:r>
              <w:rPr>
                <w:snapToGrid w:val="0"/>
              </w:rPr>
              <w:t>r. 1 and 2: 3 Sep 2010 (see r. 2(a));</w:t>
            </w:r>
            <w:r>
              <w:rPr>
                <w:snapToGrid w:val="0"/>
              </w:rPr>
              <w:br/>
              <w:t xml:space="preserve">Regulations other than r. 1 and 2: 4 Sep 2010 (see r. 2(b) and </w:t>
            </w:r>
            <w:r>
              <w:rPr>
                <w:i/>
                <w:iCs/>
                <w:snapToGrid w:val="0"/>
              </w:rPr>
              <w:t>Gazette</w:t>
            </w:r>
            <w:r>
              <w:rPr>
                <w:snapToGrid w:val="0"/>
              </w:rPr>
              <w:t xml:space="preserve"> 3 Sep 2010 p. 4273)</w:t>
            </w:r>
          </w:p>
        </w:tc>
      </w:tr>
      <w:tr>
        <w:trPr>
          <w:cantSplit/>
        </w:trPr>
        <w:tc>
          <w:tcPr>
            <w:tcW w:w="7088" w:type="dxa"/>
            <w:gridSpan w:val="3"/>
          </w:tcPr>
          <w:p>
            <w:pPr>
              <w:pStyle w:val="nTable"/>
              <w:spacing w:after="40"/>
              <w:rPr>
                <w:snapToGrid w:val="0"/>
                <w:spacing w:val="-2"/>
              </w:rPr>
            </w:pPr>
            <w:r>
              <w:rPr>
                <w:b/>
                <w:bCs/>
              </w:rPr>
              <w:t xml:space="preserve">Reprint 2:  The </w:t>
            </w:r>
            <w:r>
              <w:rPr>
                <w:b/>
                <w:bCs/>
                <w:i/>
              </w:rPr>
              <w:t>Conservation and Land Management Regulations 2002</w:t>
            </w:r>
            <w:r>
              <w:rPr>
                <w:b/>
                <w:bCs/>
              </w:rPr>
              <w:t xml:space="preserve"> as at 5 Nov 2010</w:t>
            </w:r>
            <w:r>
              <w:t xml:space="preserve"> (includes amendments listed above)</w:t>
            </w:r>
          </w:p>
        </w:tc>
      </w:tr>
      <w:tr>
        <w:tc>
          <w:tcPr>
            <w:tcW w:w="3119" w:type="dxa"/>
          </w:tcPr>
          <w:p>
            <w:pPr>
              <w:pStyle w:val="nTable"/>
              <w:keepNext/>
              <w:spacing w:after="40"/>
              <w:rPr>
                <w:i/>
              </w:rPr>
            </w:pPr>
            <w:r>
              <w:rPr>
                <w:i/>
              </w:rPr>
              <w:t>Conservation and Land Management Amendment Regulations (No. 3) 2010</w:t>
            </w:r>
          </w:p>
        </w:tc>
        <w:tc>
          <w:tcPr>
            <w:tcW w:w="1276" w:type="dxa"/>
          </w:tcPr>
          <w:p>
            <w:pPr>
              <w:pStyle w:val="nTable"/>
              <w:keepNext/>
              <w:spacing w:after="40"/>
            </w:pPr>
            <w:r>
              <w:t>3 Dec 2010 p. 6045</w:t>
            </w:r>
            <w:r>
              <w:noBreakHyphen/>
              <w:t>54</w:t>
            </w:r>
          </w:p>
        </w:tc>
        <w:tc>
          <w:tcPr>
            <w:tcW w:w="2693" w:type="dxa"/>
          </w:tcPr>
          <w:p>
            <w:pPr>
              <w:pStyle w:val="nTable"/>
              <w:keepNext/>
              <w:spacing w:after="40"/>
            </w:pPr>
            <w:r>
              <w:rPr>
                <w:snapToGrid w:val="0"/>
              </w:rPr>
              <w:t>r. 1 and 2: 3 Dec 2010 (see r. 2(a));</w:t>
            </w:r>
            <w:r>
              <w:rPr>
                <w:snapToGrid w:val="0"/>
              </w:rPr>
              <w:br/>
              <w:t>Regulations other than r. 1 and 2: 4 Dec 2010 (see r. 2(b))</w:t>
            </w:r>
          </w:p>
        </w:tc>
      </w:tr>
      <w:tr>
        <w:tc>
          <w:tcPr>
            <w:tcW w:w="3119" w:type="dxa"/>
          </w:tcPr>
          <w:p>
            <w:pPr>
              <w:pStyle w:val="nTable"/>
              <w:spacing w:after="40"/>
              <w:rPr>
                <w:i/>
              </w:rPr>
            </w:pPr>
            <w:r>
              <w:rPr>
                <w:i/>
              </w:rPr>
              <w:t>Conservation and Land Management Amendment Regulations (No. 2) 2011</w:t>
            </w:r>
          </w:p>
        </w:tc>
        <w:tc>
          <w:tcPr>
            <w:tcW w:w="1276" w:type="dxa"/>
          </w:tcPr>
          <w:p>
            <w:pPr>
              <w:pStyle w:val="nTable"/>
              <w:spacing w:after="40"/>
            </w:pPr>
            <w:r>
              <w:t>30 Sep 2011 p. 3897-8</w:t>
            </w:r>
          </w:p>
        </w:tc>
        <w:tc>
          <w:tcPr>
            <w:tcW w:w="2693" w:type="dxa"/>
          </w:tcPr>
          <w:p>
            <w:pPr>
              <w:pStyle w:val="nTable"/>
              <w:spacing w:after="40"/>
              <w:rPr>
                <w:snapToGrid w:val="0"/>
              </w:rPr>
            </w:pPr>
            <w:r>
              <w:rPr>
                <w:snapToGrid w:val="0"/>
              </w:rPr>
              <w:t>r. 1 and 2: 30 Sep 2011 (see r. 2(a));</w:t>
            </w:r>
            <w:r>
              <w:rPr>
                <w:snapToGrid w:val="0"/>
              </w:rPr>
              <w:br/>
              <w:t>Regulations other than r. 1 and 2: 1 Oct 2011 (see r. 2(b))</w:t>
            </w:r>
          </w:p>
        </w:tc>
      </w:tr>
      <w:tr>
        <w:tc>
          <w:tcPr>
            <w:tcW w:w="3119" w:type="dxa"/>
          </w:tcPr>
          <w:p>
            <w:pPr>
              <w:pStyle w:val="nTable"/>
              <w:spacing w:after="40"/>
              <w:rPr>
                <w:i/>
              </w:rPr>
            </w:pPr>
            <w:r>
              <w:rPr>
                <w:i/>
              </w:rPr>
              <w:t>Conservation and Land Management Amendment Regulations 2012</w:t>
            </w:r>
          </w:p>
        </w:tc>
        <w:tc>
          <w:tcPr>
            <w:tcW w:w="1276" w:type="dxa"/>
          </w:tcPr>
          <w:p>
            <w:pPr>
              <w:pStyle w:val="nTable"/>
              <w:spacing w:after="40"/>
            </w:pPr>
            <w:r>
              <w:t>7 Dec 2012 p. 5964-74</w:t>
            </w:r>
          </w:p>
        </w:tc>
        <w:tc>
          <w:tcPr>
            <w:tcW w:w="2693" w:type="dxa"/>
          </w:tcPr>
          <w:p>
            <w:pPr>
              <w:pStyle w:val="nTable"/>
              <w:spacing w:after="40"/>
              <w:rPr>
                <w:snapToGrid w:val="0"/>
              </w:rPr>
            </w:pPr>
            <w:r>
              <w:rPr>
                <w:snapToGrid w:val="0"/>
              </w:rPr>
              <w:t>r. 1 and 2: 7 Dec 2012 (see r. 2(a));</w:t>
            </w:r>
            <w:r>
              <w:rPr>
                <w:snapToGrid w:val="0"/>
              </w:rPr>
              <w:br/>
              <w:t xml:space="preserve">Regulations other than r. 1 and 2: 8 Dec 2012 (see r. 2(b) and </w:t>
            </w:r>
            <w:r>
              <w:rPr>
                <w:i/>
                <w:snapToGrid w:val="0"/>
              </w:rPr>
              <w:t>Gazette</w:t>
            </w:r>
            <w:r>
              <w:rPr>
                <w:snapToGrid w:val="0"/>
              </w:rPr>
              <w:t xml:space="preserve"> 7 Dec 2012 p. 5963)</w:t>
            </w:r>
          </w:p>
        </w:tc>
      </w:tr>
      <w:tr>
        <w:tc>
          <w:tcPr>
            <w:tcW w:w="3119" w:type="dxa"/>
            <w:shd w:val="clear" w:color="auto" w:fill="auto"/>
          </w:tcPr>
          <w:p>
            <w:pPr>
              <w:pStyle w:val="nTable"/>
              <w:spacing w:after="40"/>
              <w:rPr>
                <w:i/>
              </w:rPr>
            </w:pPr>
            <w:r>
              <w:rPr>
                <w:i/>
              </w:rPr>
              <w:t>Conservation and Land Management Amendment Regulations 2013</w:t>
            </w:r>
          </w:p>
        </w:tc>
        <w:tc>
          <w:tcPr>
            <w:tcW w:w="1276" w:type="dxa"/>
            <w:shd w:val="clear" w:color="auto" w:fill="auto"/>
          </w:tcPr>
          <w:p>
            <w:pPr>
              <w:pStyle w:val="nTable"/>
              <w:spacing w:after="40"/>
            </w:pPr>
            <w:r>
              <w:t>5 Feb 2013 p. 833</w:t>
            </w:r>
            <w:r>
              <w:noBreakHyphen/>
              <w:t>4</w:t>
            </w:r>
          </w:p>
        </w:tc>
        <w:tc>
          <w:tcPr>
            <w:tcW w:w="2693" w:type="dxa"/>
            <w:shd w:val="clear" w:color="auto" w:fill="auto"/>
          </w:tcPr>
          <w:p>
            <w:pPr>
              <w:pStyle w:val="nTable"/>
              <w:spacing w:after="40"/>
              <w:rPr>
                <w:snapToGrid w:val="0"/>
              </w:rPr>
            </w:pPr>
            <w:r>
              <w:rPr>
                <w:snapToGrid w:val="0"/>
              </w:rPr>
              <w:t>r. 1 and 2: 5 Feb 2013 (see r. 2(a));</w:t>
            </w:r>
            <w:r>
              <w:rPr>
                <w:snapToGrid w:val="0"/>
              </w:rPr>
              <w:br/>
              <w:t xml:space="preserve">Regulations other than r. 1 and 2: </w:t>
            </w:r>
            <w:r>
              <w:t xml:space="preserve">1 May 2013 (see r. 2(b)(i) and </w:t>
            </w:r>
            <w:r>
              <w:rPr>
                <w:i/>
              </w:rPr>
              <w:t>Gazette</w:t>
            </w:r>
            <w:r>
              <w:t xml:space="preserve"> 5 Feb 2013 p. 823)</w:t>
            </w:r>
          </w:p>
        </w:tc>
      </w:tr>
      <w:tr>
        <w:tc>
          <w:tcPr>
            <w:tcW w:w="7088" w:type="dxa"/>
            <w:gridSpan w:val="3"/>
            <w:shd w:val="clear" w:color="auto" w:fill="auto"/>
          </w:tcPr>
          <w:p>
            <w:pPr>
              <w:pStyle w:val="nTable"/>
              <w:spacing w:after="40"/>
              <w:rPr>
                <w:snapToGrid w:val="0"/>
              </w:rPr>
            </w:pPr>
            <w:r>
              <w:rPr>
                <w:b/>
                <w:bCs/>
              </w:rPr>
              <w:t xml:space="preserve">Reprint 3:  The </w:t>
            </w:r>
            <w:r>
              <w:rPr>
                <w:b/>
                <w:bCs/>
                <w:i/>
              </w:rPr>
              <w:t>Conservation and Land Management Regulations 2002</w:t>
            </w:r>
            <w:r>
              <w:rPr>
                <w:b/>
                <w:bCs/>
              </w:rPr>
              <w:t xml:space="preserve"> as at 12 Jul 2013</w:t>
            </w:r>
            <w:r>
              <w:t xml:space="preserve"> (includes amendments listed above)</w:t>
            </w:r>
          </w:p>
        </w:tc>
      </w:tr>
      <w:tr>
        <w:tc>
          <w:tcPr>
            <w:tcW w:w="3119" w:type="dxa"/>
            <w:shd w:val="clear" w:color="auto" w:fill="auto"/>
          </w:tcPr>
          <w:p>
            <w:pPr>
              <w:pStyle w:val="nTable"/>
              <w:spacing w:after="40"/>
              <w:rPr>
                <w:i/>
              </w:rPr>
            </w:pPr>
            <w:r>
              <w:rPr>
                <w:i/>
              </w:rPr>
              <w:t>Conservation and Land Management Amendment Regulations (No. 3) 2013</w:t>
            </w:r>
          </w:p>
        </w:tc>
        <w:tc>
          <w:tcPr>
            <w:tcW w:w="1276" w:type="dxa"/>
            <w:shd w:val="clear" w:color="auto" w:fill="auto"/>
          </w:tcPr>
          <w:p>
            <w:pPr>
              <w:pStyle w:val="nTable"/>
              <w:spacing w:after="40"/>
            </w:pPr>
            <w:r>
              <w:t>27 Sep 2013 p. 4525-9</w:t>
            </w:r>
          </w:p>
        </w:tc>
        <w:tc>
          <w:tcPr>
            <w:tcW w:w="2693" w:type="dxa"/>
            <w:shd w:val="clear" w:color="auto" w:fill="auto"/>
          </w:tcPr>
          <w:p>
            <w:pPr>
              <w:pStyle w:val="nTable"/>
              <w:spacing w:after="40"/>
              <w:rPr>
                <w:snapToGrid w:val="0"/>
              </w:rPr>
            </w:pPr>
            <w:r>
              <w:rPr>
                <w:snapToGrid w:val="0"/>
              </w:rPr>
              <w:t>r. 1 and 2: 27 Sep 2013 (see r. 2(a));</w:t>
            </w:r>
            <w:r>
              <w:rPr>
                <w:snapToGrid w:val="0"/>
              </w:rPr>
              <w:br/>
              <w:t>Regulations other than r. 1 and 2: 1 Oct </w:t>
            </w:r>
            <w:r>
              <w:t>2013 (see r. 2(b))</w:t>
            </w:r>
          </w:p>
        </w:tc>
      </w:tr>
      <w:tr>
        <w:tc>
          <w:tcPr>
            <w:tcW w:w="3119" w:type="dxa"/>
            <w:shd w:val="clear" w:color="auto" w:fill="auto"/>
          </w:tcPr>
          <w:p>
            <w:pPr>
              <w:pStyle w:val="nTable"/>
              <w:spacing w:after="40"/>
              <w:rPr>
                <w:i/>
              </w:rPr>
            </w:pPr>
            <w:r>
              <w:rPr>
                <w:i/>
              </w:rPr>
              <w:t>Conservation and Land Management Amendment Regulations (No. 2) 2014</w:t>
            </w:r>
          </w:p>
        </w:tc>
        <w:tc>
          <w:tcPr>
            <w:tcW w:w="1276" w:type="dxa"/>
            <w:shd w:val="clear" w:color="auto" w:fill="auto"/>
          </w:tcPr>
          <w:p>
            <w:pPr>
              <w:pStyle w:val="nTable"/>
              <w:spacing w:after="40"/>
            </w:pPr>
            <w:r>
              <w:t>19 Sep 2014 p. 3330</w:t>
            </w:r>
            <w:r>
              <w:noBreakHyphen/>
              <w:t>7</w:t>
            </w:r>
          </w:p>
        </w:tc>
        <w:tc>
          <w:tcPr>
            <w:tcW w:w="2693" w:type="dxa"/>
            <w:shd w:val="clear" w:color="auto" w:fill="auto"/>
          </w:tcPr>
          <w:p>
            <w:pPr>
              <w:pStyle w:val="nTable"/>
              <w:spacing w:after="40"/>
              <w:rPr>
                <w:snapToGrid w:val="0"/>
              </w:rPr>
            </w:pPr>
            <w:r>
              <w:rPr>
                <w:snapToGrid w:val="0"/>
              </w:rPr>
              <w:t>r. 1 and 2: 19 Sep 2014 (see r. 2(a));</w:t>
            </w:r>
            <w:r>
              <w:rPr>
                <w:snapToGrid w:val="0"/>
              </w:rPr>
              <w:br/>
              <w:t>Regulations other than r. 1 and 2: 20 Sep </w:t>
            </w:r>
            <w:r>
              <w:t>2014 (see r. 2(b))</w:t>
            </w:r>
          </w:p>
        </w:tc>
      </w:tr>
      <w:tr>
        <w:tc>
          <w:tcPr>
            <w:tcW w:w="3119" w:type="dxa"/>
            <w:shd w:val="clear" w:color="auto" w:fill="auto"/>
          </w:tcPr>
          <w:p>
            <w:pPr>
              <w:pStyle w:val="nTable"/>
              <w:spacing w:after="40"/>
              <w:rPr>
                <w:i/>
              </w:rPr>
            </w:pPr>
            <w:r>
              <w:rPr>
                <w:i/>
              </w:rPr>
              <w:t>Conservation and Land Management Amendment Regulations 2014</w:t>
            </w:r>
          </w:p>
        </w:tc>
        <w:tc>
          <w:tcPr>
            <w:tcW w:w="1276" w:type="dxa"/>
            <w:shd w:val="clear" w:color="auto" w:fill="auto"/>
          </w:tcPr>
          <w:p>
            <w:pPr>
              <w:pStyle w:val="nTable"/>
              <w:spacing w:after="40"/>
            </w:pPr>
            <w:r>
              <w:t>8 Jan 2015 p. 135</w:t>
            </w:r>
            <w:r>
              <w:noBreakHyphen/>
              <w:t>6</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9" w:type="dxa"/>
            <w:shd w:val="clear" w:color="auto" w:fill="auto"/>
          </w:tcPr>
          <w:p>
            <w:pPr>
              <w:pStyle w:val="nTable"/>
              <w:spacing w:after="40"/>
              <w:rPr>
                <w:i/>
              </w:rPr>
            </w:pPr>
            <w:r>
              <w:rPr>
                <w:i/>
              </w:rPr>
              <w:t>Conservation and Land Management Amendment Regulations 2015</w:t>
            </w:r>
          </w:p>
        </w:tc>
        <w:tc>
          <w:tcPr>
            <w:tcW w:w="1276" w:type="dxa"/>
            <w:shd w:val="clear" w:color="auto" w:fill="auto"/>
          </w:tcPr>
          <w:p>
            <w:pPr>
              <w:pStyle w:val="nTable"/>
              <w:spacing w:after="40"/>
            </w:pPr>
            <w:r>
              <w:t>24 Mar 2015 p. 1033</w:t>
            </w:r>
            <w:r>
              <w:noBreakHyphen/>
              <w:t>44</w:t>
            </w:r>
          </w:p>
        </w:tc>
        <w:tc>
          <w:tcPr>
            <w:tcW w:w="2693" w:type="dxa"/>
            <w:shd w:val="clear" w:color="auto" w:fill="auto"/>
          </w:tcPr>
          <w:p>
            <w:pPr>
              <w:pStyle w:val="nTable"/>
              <w:spacing w:after="40"/>
              <w:rPr>
                <w:snapToGrid w:val="0"/>
              </w:rPr>
            </w:pPr>
            <w:r>
              <w:rPr>
                <w:snapToGrid w:val="0"/>
              </w:rPr>
              <w:t>r. 1 and 2: 24 Mar 2015 (see r. 2(a));</w:t>
            </w:r>
            <w:r>
              <w:rPr>
                <w:snapToGrid w:val="0"/>
              </w:rPr>
              <w:br/>
              <w:t>Regulations other than r. 1 and 2: 25 Mar 2015 (see r. 2(b))</w:t>
            </w:r>
          </w:p>
        </w:tc>
      </w:tr>
      <w:tr>
        <w:tc>
          <w:tcPr>
            <w:tcW w:w="3119" w:type="dxa"/>
            <w:shd w:val="clear" w:color="auto" w:fill="auto"/>
          </w:tcPr>
          <w:p>
            <w:pPr>
              <w:pStyle w:val="nTable"/>
              <w:spacing w:after="40"/>
              <w:rPr>
                <w:i/>
              </w:rPr>
            </w:pPr>
            <w:r>
              <w:rPr>
                <w:i/>
              </w:rPr>
              <w:t>Conservation and Land Management Amendment Regulations (No. 2) 2015</w:t>
            </w:r>
          </w:p>
        </w:tc>
        <w:tc>
          <w:tcPr>
            <w:tcW w:w="1276" w:type="dxa"/>
            <w:shd w:val="clear" w:color="auto" w:fill="auto"/>
          </w:tcPr>
          <w:p>
            <w:pPr>
              <w:pStyle w:val="nTable"/>
              <w:spacing w:after="40"/>
            </w:pPr>
            <w:r>
              <w:t>19 Jun 2015 p. 2095</w:t>
            </w:r>
            <w:r>
              <w:noBreakHyphen/>
              <w:t>6</w:t>
            </w:r>
          </w:p>
        </w:tc>
        <w:tc>
          <w:tcPr>
            <w:tcW w:w="2693" w:type="dxa"/>
            <w:shd w:val="clear" w:color="auto" w:fill="auto"/>
          </w:tcPr>
          <w:p>
            <w:pPr>
              <w:pStyle w:val="nTable"/>
              <w:spacing w:after="40"/>
              <w:rPr>
                <w:snapToGrid w:val="0"/>
              </w:rPr>
            </w:pPr>
            <w:r>
              <w:rPr>
                <w:snapToGrid w:val="0"/>
              </w:rPr>
              <w:t>r. 1 and 2: 19 Jun 2015 (see r. 2(a));</w:t>
            </w:r>
            <w:r>
              <w:rPr>
                <w:snapToGrid w:val="0"/>
              </w:rPr>
              <w:br/>
              <w:t>Regulations other than r. 1 and 2: 1 Jul 2015 (see r. 2(b))</w:t>
            </w:r>
          </w:p>
        </w:tc>
      </w:tr>
      <w:tr>
        <w:trPr>
          <w:cantSplit/>
        </w:trPr>
        <w:tc>
          <w:tcPr>
            <w:tcW w:w="3119" w:type="dxa"/>
            <w:shd w:val="clear" w:color="auto" w:fill="auto"/>
          </w:tcPr>
          <w:p>
            <w:pPr>
              <w:pStyle w:val="nTable"/>
              <w:spacing w:after="40"/>
              <w:rPr>
                <w:i/>
              </w:rPr>
            </w:pPr>
            <w:r>
              <w:rPr>
                <w:i/>
              </w:rPr>
              <w:t>Conservation and Land Management Amendment Regulations (No. 4) 2015</w:t>
            </w:r>
          </w:p>
        </w:tc>
        <w:tc>
          <w:tcPr>
            <w:tcW w:w="1276" w:type="dxa"/>
            <w:shd w:val="clear" w:color="auto" w:fill="auto"/>
          </w:tcPr>
          <w:p>
            <w:pPr>
              <w:pStyle w:val="nTable"/>
              <w:spacing w:after="40"/>
            </w:pPr>
            <w:r>
              <w:t>14 Jul 2015 p. 2787</w:t>
            </w:r>
            <w:r>
              <w:noBreakHyphen/>
              <w:t>9</w:t>
            </w:r>
          </w:p>
        </w:tc>
        <w:tc>
          <w:tcPr>
            <w:tcW w:w="2693" w:type="dxa"/>
            <w:shd w:val="clear" w:color="auto" w:fill="auto"/>
          </w:tcPr>
          <w:p>
            <w:pPr>
              <w:pStyle w:val="nTable"/>
              <w:spacing w:after="40"/>
              <w:rPr>
                <w:snapToGrid w:val="0"/>
              </w:rPr>
            </w:pPr>
            <w:r>
              <w:t>r. 1 and 2: 14 Jul 2015 (see r. 2(a));</w:t>
            </w:r>
            <w:r>
              <w:br/>
              <w:t>Regulations other than r. 1 and 2: 1 Sep 2015 (see r. 2(b))</w:t>
            </w:r>
          </w:p>
        </w:tc>
      </w:tr>
      <w:tr>
        <w:tc>
          <w:tcPr>
            <w:tcW w:w="3119" w:type="dxa"/>
            <w:shd w:val="clear" w:color="auto" w:fill="auto"/>
          </w:tcPr>
          <w:p>
            <w:pPr>
              <w:pStyle w:val="nTable"/>
              <w:spacing w:after="40"/>
              <w:rPr>
                <w:i/>
              </w:rPr>
            </w:pPr>
            <w:r>
              <w:rPr>
                <w:i/>
              </w:rPr>
              <w:t>Conservation and Land Management Amendment Regulations (No. 3) 2015</w:t>
            </w:r>
          </w:p>
        </w:tc>
        <w:tc>
          <w:tcPr>
            <w:tcW w:w="1276" w:type="dxa"/>
            <w:shd w:val="clear" w:color="auto" w:fill="auto"/>
          </w:tcPr>
          <w:p>
            <w:pPr>
              <w:pStyle w:val="nTable"/>
              <w:spacing w:after="40"/>
            </w:pPr>
            <w:r>
              <w:t>10 Nov 2015 p. 4605-6</w:t>
            </w:r>
          </w:p>
        </w:tc>
        <w:tc>
          <w:tcPr>
            <w:tcW w:w="2693" w:type="dxa"/>
            <w:shd w:val="clear" w:color="auto" w:fill="auto"/>
          </w:tcPr>
          <w:p>
            <w:pPr>
              <w:pStyle w:val="nTable"/>
              <w:spacing w:after="40"/>
            </w:pPr>
            <w:r>
              <w:rPr>
                <w:noProof/>
              </w:rPr>
              <w:t xml:space="preserve">r. 1 and 2: </w:t>
            </w:r>
            <w:r>
              <w:t>10 Nov 2015 (see r. 2(a));</w:t>
            </w:r>
            <w:r>
              <w:br/>
              <w:t xml:space="preserve">Regulations other than r. 1 and 2: </w:t>
            </w:r>
            <w:r>
              <w:rPr>
                <w:rFonts w:ascii="Times" w:hAnsi="Times"/>
                <w:bCs/>
                <w:snapToGrid w:val="0"/>
                <w:spacing w:val="-2"/>
              </w:rPr>
              <w:t>11 Nov 2015 (see r. 2(b))</w:t>
            </w:r>
          </w:p>
        </w:tc>
      </w:tr>
      <w:tr>
        <w:tc>
          <w:tcPr>
            <w:tcW w:w="3119" w:type="dxa"/>
            <w:shd w:val="clear" w:color="auto" w:fill="auto"/>
          </w:tcPr>
          <w:p>
            <w:pPr>
              <w:pStyle w:val="nTable"/>
              <w:spacing w:after="40"/>
              <w:rPr>
                <w:i/>
              </w:rPr>
            </w:pPr>
            <w:r>
              <w:rPr>
                <w:i/>
              </w:rPr>
              <w:t>Conservation and Land Management Amendment Regulations (No. 5) 2015</w:t>
            </w:r>
          </w:p>
        </w:tc>
        <w:tc>
          <w:tcPr>
            <w:tcW w:w="1276" w:type="dxa"/>
            <w:shd w:val="clear" w:color="auto" w:fill="auto"/>
          </w:tcPr>
          <w:p>
            <w:pPr>
              <w:pStyle w:val="nTable"/>
              <w:spacing w:after="40"/>
            </w:pPr>
            <w:r>
              <w:t>4 Dec 2015 p. 4841-2</w:t>
            </w:r>
          </w:p>
        </w:tc>
        <w:tc>
          <w:tcPr>
            <w:tcW w:w="2693" w:type="dxa"/>
            <w:shd w:val="clear" w:color="auto" w:fill="auto"/>
          </w:tcPr>
          <w:p>
            <w:pPr>
              <w:pStyle w:val="nTable"/>
              <w:spacing w:after="40"/>
              <w:rPr>
                <w:noProof/>
              </w:rPr>
            </w:pPr>
            <w:r>
              <w:rPr>
                <w:noProof/>
              </w:rPr>
              <w:t xml:space="preserve">r. 1 and 2: </w:t>
            </w:r>
            <w:r>
              <w:t>4 Dec 2015 (see r. 2(a));</w:t>
            </w:r>
            <w:r>
              <w:br/>
              <w:t xml:space="preserve">Regulations other than r. 1 and 2: </w:t>
            </w:r>
            <w:r>
              <w:rPr>
                <w:rFonts w:ascii="Times" w:hAnsi="Times"/>
                <w:bCs/>
                <w:snapToGrid w:val="0"/>
                <w:spacing w:val="-2"/>
              </w:rPr>
              <w:t>5 Dec 2015 (see r. 2(b))</w:t>
            </w:r>
          </w:p>
        </w:tc>
      </w:tr>
      <w:tr>
        <w:tc>
          <w:tcPr>
            <w:tcW w:w="3119" w:type="dxa"/>
            <w:shd w:val="clear" w:color="auto" w:fill="auto"/>
          </w:tcPr>
          <w:p>
            <w:pPr>
              <w:pStyle w:val="nTable"/>
              <w:spacing w:after="40"/>
              <w:rPr>
                <w:i/>
              </w:rPr>
            </w:pPr>
            <w:r>
              <w:rPr>
                <w:i/>
              </w:rPr>
              <w:t>Conservation and Land Management Amendment Regulations (No. 6) 2015</w:t>
            </w:r>
          </w:p>
        </w:tc>
        <w:tc>
          <w:tcPr>
            <w:tcW w:w="1276" w:type="dxa"/>
            <w:shd w:val="clear" w:color="auto" w:fill="auto"/>
          </w:tcPr>
          <w:p>
            <w:pPr>
              <w:pStyle w:val="nTable"/>
              <w:spacing w:after="40"/>
            </w:pPr>
            <w:r>
              <w:t>11 Dec 2015 p. 4954</w:t>
            </w:r>
            <w:r>
              <w:noBreakHyphen/>
              <w:t>6</w:t>
            </w:r>
          </w:p>
        </w:tc>
        <w:tc>
          <w:tcPr>
            <w:tcW w:w="2693" w:type="dxa"/>
            <w:shd w:val="clear" w:color="auto" w:fill="auto"/>
          </w:tcPr>
          <w:p>
            <w:pPr>
              <w:pStyle w:val="nTable"/>
              <w:spacing w:after="40"/>
              <w:rPr>
                <w:noProof/>
              </w:rPr>
            </w:pPr>
            <w:r>
              <w:t>12</w:t>
            </w:r>
            <w:r>
              <w:rPr>
                <w:rFonts w:ascii="Times" w:hAnsi="Times"/>
                <w:bCs/>
                <w:snapToGrid w:val="0"/>
                <w:spacing w:val="-2"/>
              </w:rPr>
              <w:t xml:space="preserve"> Dec 2015 (see r. 2 and </w:t>
            </w:r>
            <w:r>
              <w:rPr>
                <w:rFonts w:ascii="Times" w:hAnsi="Times"/>
                <w:bCs/>
                <w:i/>
                <w:snapToGrid w:val="0"/>
                <w:spacing w:val="-2"/>
              </w:rPr>
              <w:t>Gazette</w:t>
            </w:r>
            <w:r>
              <w:rPr>
                <w:rFonts w:ascii="Times" w:hAnsi="Times"/>
                <w:bCs/>
                <w:snapToGrid w:val="0"/>
                <w:spacing w:val="-2"/>
              </w:rPr>
              <w:t xml:space="preserve"> 11 Dec 2015 p. 4953)</w:t>
            </w:r>
          </w:p>
        </w:tc>
      </w:tr>
      <w:tr>
        <w:tc>
          <w:tcPr>
            <w:tcW w:w="3119" w:type="dxa"/>
            <w:shd w:val="clear" w:color="auto" w:fill="auto"/>
          </w:tcPr>
          <w:p>
            <w:pPr>
              <w:pStyle w:val="nTable"/>
              <w:spacing w:after="40"/>
              <w:rPr>
                <w:i/>
              </w:rPr>
            </w:pPr>
            <w:r>
              <w:rPr>
                <w:i/>
              </w:rPr>
              <w:t>Conservation and Land Management Amendment Regulations (No. 2) 2016</w:t>
            </w:r>
          </w:p>
        </w:tc>
        <w:tc>
          <w:tcPr>
            <w:tcW w:w="1276" w:type="dxa"/>
            <w:shd w:val="clear" w:color="auto" w:fill="auto"/>
          </w:tcPr>
          <w:p>
            <w:pPr>
              <w:pStyle w:val="nTable"/>
              <w:spacing w:after="40"/>
            </w:pPr>
            <w:r>
              <w:t>4 Apr 2016 p. 1011</w:t>
            </w:r>
            <w:r>
              <w:noBreakHyphen/>
              <w:t>12</w:t>
            </w:r>
          </w:p>
        </w:tc>
        <w:tc>
          <w:tcPr>
            <w:tcW w:w="2693" w:type="dxa"/>
            <w:shd w:val="clear" w:color="auto" w:fill="auto"/>
          </w:tcPr>
          <w:p>
            <w:pPr>
              <w:pStyle w:val="nTable"/>
              <w:spacing w:after="40"/>
            </w:pPr>
            <w:r>
              <w:rPr>
                <w:noProof/>
              </w:rPr>
              <w:t xml:space="preserve">r. 1 and 2: </w:t>
            </w:r>
            <w:r>
              <w:t>4 Apr 2016 (see r. 2(a));</w:t>
            </w:r>
            <w:r>
              <w:br/>
              <w:t>Regulations other than r. 1 and 2: 4</w:t>
            </w:r>
            <w:r>
              <w:rPr>
                <w:rFonts w:ascii="Times" w:hAnsi="Times"/>
                <w:bCs/>
                <w:snapToGrid w:val="0"/>
                <w:spacing w:val="-2"/>
              </w:rPr>
              <w:t> Apr 2016 (see r. 2(b))</w:t>
            </w:r>
          </w:p>
        </w:tc>
      </w:tr>
      <w:tr>
        <w:tc>
          <w:tcPr>
            <w:tcW w:w="3119" w:type="dxa"/>
            <w:shd w:val="clear" w:color="auto" w:fill="auto"/>
          </w:tcPr>
          <w:p>
            <w:pPr>
              <w:pStyle w:val="nTable"/>
              <w:spacing w:after="40"/>
              <w:rPr>
                <w:i/>
              </w:rPr>
            </w:pPr>
            <w:r>
              <w:rPr>
                <w:i/>
              </w:rPr>
              <w:t>Conservation and Land Management Amendment Regulations 2016</w:t>
            </w:r>
          </w:p>
        </w:tc>
        <w:tc>
          <w:tcPr>
            <w:tcW w:w="1276" w:type="dxa"/>
            <w:shd w:val="clear" w:color="auto" w:fill="auto"/>
          </w:tcPr>
          <w:p>
            <w:pPr>
              <w:pStyle w:val="nTable"/>
              <w:spacing w:after="40"/>
            </w:pPr>
            <w:r>
              <w:t>6 May 2016 p. 1381</w:t>
            </w:r>
            <w:r>
              <w:noBreakHyphen/>
              <w:t>2</w:t>
            </w:r>
          </w:p>
        </w:tc>
        <w:tc>
          <w:tcPr>
            <w:tcW w:w="2693" w:type="dxa"/>
            <w:shd w:val="clear" w:color="auto" w:fill="auto"/>
          </w:tcPr>
          <w:p>
            <w:pPr>
              <w:pStyle w:val="nTable"/>
              <w:spacing w:after="40"/>
              <w:rPr>
                <w:noProof/>
              </w:rPr>
            </w:pPr>
            <w:r>
              <w:rPr>
                <w:rFonts w:ascii="Times" w:hAnsi="Times"/>
                <w:bCs/>
                <w:snapToGrid w:val="0"/>
                <w:spacing w:val="-2"/>
              </w:rPr>
              <w:t xml:space="preserve">7 May 2016 (see r. 2 and </w:t>
            </w:r>
            <w:r>
              <w:rPr>
                <w:rFonts w:ascii="Times" w:hAnsi="Times"/>
                <w:bCs/>
                <w:i/>
                <w:snapToGrid w:val="0"/>
                <w:spacing w:val="-2"/>
              </w:rPr>
              <w:t>Gazette</w:t>
            </w:r>
            <w:r>
              <w:rPr>
                <w:rFonts w:ascii="Times" w:hAnsi="Times"/>
                <w:bCs/>
                <w:snapToGrid w:val="0"/>
                <w:spacing w:val="-2"/>
              </w:rPr>
              <w:t xml:space="preserve"> 6 May 2016 p. 1379</w:t>
            </w:r>
            <w:r>
              <w:rPr>
                <w:rFonts w:ascii="Times" w:hAnsi="Times"/>
                <w:bCs/>
                <w:snapToGrid w:val="0"/>
                <w:spacing w:val="-2"/>
              </w:rPr>
              <w:noBreakHyphen/>
              <w:t>80)</w:t>
            </w:r>
          </w:p>
        </w:tc>
      </w:tr>
      <w:tr>
        <w:tc>
          <w:tcPr>
            <w:tcW w:w="3119" w:type="dxa"/>
            <w:shd w:val="clear" w:color="auto" w:fill="auto"/>
          </w:tcPr>
          <w:p>
            <w:pPr>
              <w:pStyle w:val="nTable"/>
              <w:spacing w:before="30" w:after="30"/>
              <w:rPr>
                <w:i/>
              </w:rPr>
            </w:pPr>
            <w:r>
              <w:rPr>
                <w:i/>
              </w:rPr>
              <w:t>Conservation and Land Management Amendment Regulations (No. 3) 2016</w:t>
            </w:r>
          </w:p>
        </w:tc>
        <w:tc>
          <w:tcPr>
            <w:tcW w:w="1276" w:type="dxa"/>
            <w:shd w:val="clear" w:color="auto" w:fill="auto"/>
          </w:tcPr>
          <w:p>
            <w:pPr>
              <w:pStyle w:val="nTable"/>
              <w:spacing w:before="30" w:after="30"/>
            </w:pPr>
            <w:r>
              <w:t>5 Jul 2016 p. 2815</w:t>
            </w:r>
            <w:r>
              <w:noBreakHyphen/>
              <w:t>17</w:t>
            </w:r>
          </w:p>
        </w:tc>
        <w:tc>
          <w:tcPr>
            <w:tcW w:w="2693" w:type="dxa"/>
            <w:shd w:val="clear" w:color="auto" w:fill="auto"/>
          </w:tcPr>
          <w:p>
            <w:pPr>
              <w:pStyle w:val="nTable"/>
              <w:spacing w:before="30" w:after="30"/>
              <w:rPr>
                <w:rFonts w:ascii="Times" w:hAnsi="Times"/>
                <w:bCs/>
                <w:snapToGrid w:val="0"/>
                <w:spacing w:val="-2"/>
              </w:rPr>
            </w:pPr>
            <w:r>
              <w:rPr>
                <w:noProof/>
              </w:rPr>
              <w:t xml:space="preserve">r. 1 and 2: </w:t>
            </w:r>
            <w:r>
              <w:t>5 Jul 2016 (see r. 2(a));</w:t>
            </w:r>
            <w:r>
              <w:br/>
              <w:t xml:space="preserve">Regulations other than r. 1 and 2: </w:t>
            </w:r>
            <w:r>
              <w:rPr>
                <w:szCs w:val="19"/>
              </w:rPr>
              <w:t>1 Sep 2016 (see r. 2(b))</w:t>
            </w:r>
          </w:p>
        </w:tc>
      </w:tr>
      <w:tr>
        <w:tc>
          <w:tcPr>
            <w:tcW w:w="3119" w:type="dxa"/>
            <w:shd w:val="clear" w:color="auto" w:fill="auto"/>
          </w:tcPr>
          <w:p>
            <w:pPr>
              <w:pStyle w:val="nTable"/>
              <w:spacing w:before="30" w:after="30"/>
              <w:rPr>
                <w:i/>
              </w:rPr>
            </w:pPr>
            <w:r>
              <w:rPr>
                <w:i/>
              </w:rPr>
              <w:t>Conservation and Land Management Amendment Regulations (No. 4) 2016</w:t>
            </w:r>
          </w:p>
        </w:tc>
        <w:tc>
          <w:tcPr>
            <w:tcW w:w="1276" w:type="dxa"/>
            <w:shd w:val="clear" w:color="auto" w:fill="auto"/>
          </w:tcPr>
          <w:p>
            <w:pPr>
              <w:pStyle w:val="nTable"/>
              <w:spacing w:before="30" w:after="30"/>
            </w:pPr>
            <w:r>
              <w:t>30 Aug 2016 p. 3685</w:t>
            </w:r>
            <w:r>
              <w:noBreakHyphen/>
              <w:t>6</w:t>
            </w:r>
          </w:p>
        </w:tc>
        <w:tc>
          <w:tcPr>
            <w:tcW w:w="2693" w:type="dxa"/>
            <w:shd w:val="clear" w:color="auto" w:fill="auto"/>
          </w:tcPr>
          <w:p>
            <w:pPr>
              <w:pStyle w:val="nTable"/>
              <w:spacing w:before="30" w:after="30"/>
              <w:rPr>
                <w:rFonts w:ascii="Times" w:hAnsi="Times"/>
                <w:bCs/>
                <w:snapToGrid w:val="0"/>
                <w:spacing w:val="-2"/>
              </w:rPr>
            </w:pPr>
            <w:r>
              <w:rPr>
                <w:noProof/>
              </w:rPr>
              <w:t>r. 1 and 2: 30</w:t>
            </w:r>
            <w:r>
              <w:t> Aug 2016 (see r. 2(a));</w:t>
            </w:r>
            <w:r>
              <w:br/>
              <w:t>Regulations other than r. 1 and 2: 31</w:t>
            </w:r>
            <w:r>
              <w:rPr>
                <w:rFonts w:ascii="Times" w:hAnsi="Times"/>
                <w:bCs/>
                <w:snapToGrid w:val="0"/>
                <w:spacing w:val="-2"/>
              </w:rPr>
              <w:t> Aug 2016 (see r. 2(b))</w:t>
            </w:r>
          </w:p>
        </w:tc>
      </w:tr>
      <w:tr>
        <w:tc>
          <w:tcPr>
            <w:tcW w:w="7088" w:type="dxa"/>
            <w:gridSpan w:val="3"/>
            <w:shd w:val="clear" w:color="auto" w:fill="auto"/>
          </w:tcPr>
          <w:p>
            <w:pPr>
              <w:pStyle w:val="nTable"/>
              <w:spacing w:after="40"/>
              <w:rPr>
                <w:noProof/>
              </w:rPr>
            </w:pPr>
            <w:r>
              <w:rPr>
                <w:b/>
                <w:noProof/>
              </w:rPr>
              <w:t xml:space="preserve">Reprint 4: The </w:t>
            </w:r>
            <w:r>
              <w:rPr>
                <w:b/>
                <w:i/>
                <w:noProof/>
              </w:rPr>
              <w:t>Conservation and Land Management Regulations 2002</w:t>
            </w:r>
            <w:r>
              <w:rPr>
                <w:b/>
                <w:noProof/>
              </w:rPr>
              <w:t xml:space="preserve"> as at 21 Oct 2016</w:t>
            </w:r>
            <w:r>
              <w:rPr>
                <w:noProof/>
              </w:rPr>
              <w:t xml:space="preserve"> (includes amendments listed above)</w:t>
            </w:r>
          </w:p>
        </w:tc>
      </w:tr>
      <w:tr>
        <w:tc>
          <w:tcPr>
            <w:tcW w:w="3119" w:type="dxa"/>
            <w:shd w:val="clear" w:color="auto" w:fill="auto"/>
          </w:tcPr>
          <w:p>
            <w:pPr>
              <w:pStyle w:val="nTable"/>
              <w:spacing w:before="30" w:after="30"/>
              <w:rPr>
                <w:i/>
              </w:rPr>
            </w:pPr>
            <w:r>
              <w:rPr>
                <w:i/>
              </w:rPr>
              <w:t>Environment Regulations Amendment (Public Health) Regulations 2016</w:t>
            </w:r>
            <w:r>
              <w:t xml:space="preserve"> Pt. 2</w:t>
            </w:r>
          </w:p>
        </w:tc>
        <w:tc>
          <w:tcPr>
            <w:tcW w:w="1276" w:type="dxa"/>
            <w:shd w:val="clear" w:color="auto" w:fill="auto"/>
          </w:tcPr>
          <w:p>
            <w:pPr>
              <w:pStyle w:val="nTable"/>
              <w:spacing w:before="30" w:after="30"/>
            </w:pPr>
            <w:r>
              <w:t>10 Jan 2017 p. 191-7</w:t>
            </w:r>
          </w:p>
        </w:tc>
        <w:tc>
          <w:tcPr>
            <w:tcW w:w="2693" w:type="dxa"/>
            <w:shd w:val="clear" w:color="auto" w:fill="auto"/>
          </w:tcPr>
          <w:p>
            <w:pPr>
              <w:pStyle w:val="nTable"/>
              <w:spacing w:before="30" w:after="30"/>
              <w:rPr>
                <w:rFonts w:ascii="Times" w:hAnsi="Times"/>
                <w:bCs/>
                <w:snapToGrid w:val="0"/>
                <w:spacing w:val="-2"/>
              </w:rPr>
            </w:pPr>
            <w:r>
              <w:t xml:space="preserve">24 Jan 2017 (see r. 2(b) and </w:t>
            </w:r>
            <w:r>
              <w:rPr>
                <w:i/>
              </w:rPr>
              <w:t>Gazette</w:t>
            </w:r>
            <w:r>
              <w:t xml:space="preserve"> 10 Jan 2017 p. 165)</w:t>
            </w:r>
          </w:p>
        </w:tc>
      </w:tr>
      <w:tr>
        <w:trPr>
          <w:ins w:id="646" w:author="Master Repository Process" w:date="2021-07-31T20:58:00Z"/>
        </w:trPr>
        <w:tc>
          <w:tcPr>
            <w:tcW w:w="3119" w:type="dxa"/>
            <w:tcBorders>
              <w:bottom w:val="single" w:sz="2" w:space="0" w:color="auto"/>
            </w:tcBorders>
            <w:shd w:val="clear" w:color="auto" w:fill="auto"/>
          </w:tcPr>
          <w:p>
            <w:pPr>
              <w:pStyle w:val="nTable"/>
              <w:spacing w:before="30" w:after="30"/>
              <w:rPr>
                <w:ins w:id="647" w:author="Master Repository Process" w:date="2021-07-31T20:58:00Z"/>
                <w:i/>
              </w:rPr>
            </w:pPr>
            <w:ins w:id="648" w:author="Master Repository Process" w:date="2021-07-31T20:58:00Z">
              <w:r>
                <w:rPr>
                  <w:i/>
                </w:rPr>
                <w:t>Conservation and Land Management Amendment Regulations 2017</w:t>
              </w:r>
            </w:ins>
          </w:p>
        </w:tc>
        <w:tc>
          <w:tcPr>
            <w:tcW w:w="1276" w:type="dxa"/>
            <w:tcBorders>
              <w:bottom w:val="single" w:sz="2" w:space="0" w:color="auto"/>
            </w:tcBorders>
            <w:shd w:val="clear" w:color="auto" w:fill="auto"/>
          </w:tcPr>
          <w:p>
            <w:pPr>
              <w:pStyle w:val="nTable"/>
              <w:spacing w:before="30" w:after="30"/>
              <w:rPr>
                <w:ins w:id="649" w:author="Master Repository Process" w:date="2021-07-31T20:58:00Z"/>
              </w:rPr>
            </w:pPr>
            <w:ins w:id="650" w:author="Master Repository Process" w:date="2021-07-31T20:58:00Z">
              <w:r>
                <w:t>1 Sep 2017 p. 4649</w:t>
              </w:r>
              <w:r>
                <w:noBreakHyphen/>
                <w:t>51</w:t>
              </w:r>
            </w:ins>
          </w:p>
        </w:tc>
        <w:tc>
          <w:tcPr>
            <w:tcW w:w="2693" w:type="dxa"/>
            <w:tcBorders>
              <w:bottom w:val="single" w:sz="2" w:space="0" w:color="auto"/>
            </w:tcBorders>
            <w:shd w:val="clear" w:color="auto" w:fill="auto"/>
          </w:tcPr>
          <w:p>
            <w:pPr>
              <w:pStyle w:val="nTable"/>
              <w:spacing w:before="30" w:after="30"/>
              <w:rPr>
                <w:ins w:id="651" w:author="Master Repository Process" w:date="2021-07-31T20:58:00Z"/>
              </w:rPr>
            </w:pPr>
            <w:ins w:id="652" w:author="Master Repository Process" w:date="2021-07-31T20:58:00Z">
              <w:r>
                <w:rPr>
                  <w:bCs/>
                  <w:snapToGrid w:val="0"/>
                </w:rPr>
                <w:t>1 Sep 2017 (see r. 2(a) and (b))</w:t>
              </w:r>
            </w:ins>
          </w:p>
        </w:tc>
      </w:tr>
    </w:tbl>
    <w:p>
      <w:pPr>
        <w:pStyle w:val="nSubsection"/>
        <w:spacing w:before="160"/>
        <w:rPr>
          <w:i/>
        </w:rPr>
      </w:pPr>
      <w:r>
        <w:rPr>
          <w:vertAlign w:val="superscript"/>
        </w:rPr>
        <w:t>2</w:t>
      </w:r>
      <w:r>
        <w:tab/>
        <w:t xml:space="preserve">The </w:t>
      </w:r>
      <w:r>
        <w:rPr>
          <w:i/>
        </w:rPr>
        <w:t>Conservation and Land Management Regulations 1992</w:t>
      </w:r>
      <w:r>
        <w:t xml:space="preserve"> were repealed by the </w:t>
      </w:r>
      <w:r>
        <w:rPr>
          <w:i/>
        </w:rPr>
        <w:t xml:space="preserve">Conservation and Land Management Regulations 2002 </w:t>
      </w:r>
      <w:r>
        <w:t xml:space="preserve">(see r. 115 of those regulations as published in </w:t>
      </w:r>
      <w:r>
        <w:rPr>
          <w:i/>
        </w:rPr>
        <w:t>Gazette</w:t>
      </w:r>
      <w:r>
        <w:t xml:space="preserve"> 3 May 2002 p. 2295).</w:t>
      </w:r>
    </w:p>
    <w:p>
      <w:pPr>
        <w:pStyle w:val="nSubsection"/>
        <w:spacing w:before="90"/>
        <w:rPr>
          <w:snapToGrid w:val="0"/>
        </w:rPr>
      </w:pPr>
      <w:r>
        <w:rPr>
          <w:vertAlign w:val="superscript"/>
        </w:rPr>
        <w:t>3</w:t>
      </w:r>
      <w:r>
        <w:rPr>
          <w:vertAlign w:val="superscript"/>
        </w:rPr>
        <w:tab/>
      </w:r>
      <w:r>
        <w:t xml:space="preserve">Under the </w:t>
      </w:r>
      <w:r>
        <w:rPr>
          <w:i/>
        </w:rPr>
        <w:t xml:space="preserve">Alteration of Statutory Designations Order (No. 2) 2013 </w:t>
      </w:r>
      <w:r>
        <w:t>a reference in any law to the Department of Environment and Conservation is to be read and construed as a reference to the Department of Parks and Wildlife unless the context of the reference requires otherwise.</w:t>
      </w:r>
    </w:p>
    <w:p>
      <w:pPr>
        <w:pStyle w:val="nSubsection"/>
        <w:keepNext/>
        <w:rPr>
          <w:iCs/>
        </w:rPr>
      </w:pPr>
      <w:r>
        <w:rPr>
          <w:vertAlign w:val="superscript"/>
        </w:rPr>
        <w:t>4</w:t>
      </w:r>
      <w:r>
        <w:tab/>
        <w:t xml:space="preserve">The </w:t>
      </w:r>
      <w:r>
        <w:rPr>
          <w:i/>
        </w:rPr>
        <w:t>Financial Management (Transitional Provisions) Regulations 2009</w:t>
      </w:r>
      <w:r>
        <w:rPr>
          <w:iCs/>
        </w:rPr>
        <w:t xml:space="preserve"> r. 4 reads as follows:</w:t>
      </w:r>
    </w:p>
    <w:p>
      <w:pPr>
        <w:pStyle w:val="BlankOpen"/>
      </w:pPr>
    </w:p>
    <w:p>
      <w:pPr>
        <w:pStyle w:val="nzHeading5"/>
        <w:spacing w:before="0"/>
      </w:pPr>
      <w:r>
        <w:rPr>
          <w:rStyle w:val="CharSectno"/>
        </w:rPr>
        <w:t>4</w:t>
      </w:r>
      <w:r>
        <w:t>.</w:t>
      </w:r>
      <w:r>
        <w:tab/>
        <w:t xml:space="preserve">Transitional provision for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Trust Account</w:t>
      </w:r>
    </w:p>
    <w:p>
      <w:pPr>
        <w:pStyle w:val="nzSubsection"/>
        <w:keepNext/>
        <w:spacing w:before="50"/>
      </w:pPr>
      <w:r>
        <w:tab/>
        <w:t>(1)</w:t>
      </w:r>
      <w:r>
        <w:tab/>
        <w:t xml:space="preserve">In this regulation — </w:t>
      </w:r>
    </w:p>
    <w:p>
      <w:pPr>
        <w:pStyle w:val="nzDefstart"/>
      </w:pPr>
      <w:r>
        <w:tab/>
      </w:r>
      <w:r>
        <w:rPr>
          <w:rStyle w:val="CharDefText"/>
        </w:rPr>
        <w:t>Barrow Island Net Conservation Benefit Account</w:t>
      </w:r>
      <w:r>
        <w:t xml:space="preserve"> means the account of that name established as an agency special purpose account under the </w:t>
      </w:r>
      <w:r>
        <w:rPr>
          <w:i/>
        </w:rPr>
        <w:t>Financial Management Act 2006</w:t>
      </w:r>
      <w:r>
        <w:t xml:space="preserve"> section 16 in accordance with the </w:t>
      </w:r>
      <w:r>
        <w:rPr>
          <w:i/>
        </w:rPr>
        <w:t>Conservation and Land Management Act 1984</w:t>
      </w:r>
      <w:r>
        <w:t xml:space="preserve"> section 69(1);</w:t>
      </w:r>
    </w:p>
    <w:p>
      <w:pPr>
        <w:pStyle w:val="nzDefstart"/>
      </w:pPr>
      <w:r>
        <w:tab/>
      </w:r>
      <w:r>
        <w:rPr>
          <w:rStyle w:val="CharDefText"/>
        </w:rPr>
        <w:t>Barrow Island Trust Account</w:t>
      </w:r>
      <w:r>
        <w:t xml:space="preserve"> means the account referred to in the </w:t>
      </w:r>
      <w:r>
        <w:rPr>
          <w:i/>
        </w:rPr>
        <w:t>Conservation and Land Management Regulations </w:t>
      </w:r>
      <w:r>
        <w:rPr>
          <w:i/>
          <w:iCs/>
        </w:rPr>
        <w:t>2002</w:t>
      </w:r>
      <w:r>
        <w:t xml:space="preserve"> Part 7A immediately before the commencement of regulation 3.</w:t>
      </w:r>
    </w:p>
    <w:p>
      <w:pPr>
        <w:pStyle w:val="nzSubsection"/>
        <w:spacing w:before="50"/>
      </w:pPr>
      <w:r>
        <w:tab/>
        <w:t>(2)</w:t>
      </w:r>
      <w:r>
        <w:tab/>
        <w:t>Any money standing to the credit of the Barrow Island Trust Account immediately before the commencement of regulation 3 is to be transferred to the Barrow Island Net Conservation Benefit Account.</w:t>
      </w:r>
    </w:p>
    <w:p>
      <w:pPr>
        <w:pStyle w:val="BlankClose"/>
      </w:pPr>
    </w:p>
    <w:p>
      <w:pPr>
        <w:rPr>
          <w:del w:id="653" w:author="Master Repository Process" w:date="2021-07-31T20:58:00Z"/>
        </w:rPr>
      </w:pPr>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35" w:name="Schedule"/>
    <w:bookmarkEnd w:id="63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Offences to which modified penalties apply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Forest Management Regulations 1993</w:t>
          </w:r>
          <w:r>
            <w:fldChar w:fldCharType="end"/>
          </w:r>
        </w:p>
      </w:tc>
    </w:tr>
    <w:tr>
      <w:tc>
        <w:tcPr>
          <w:tcW w:w="1548" w:type="dxa"/>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Offences to which modified penalties apply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Offences under Forest Management Regulations 1993</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54" w:name="Compilation"/>
    <w:bookmarkEnd w:id="65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55" w:name="Coversheet"/>
    <w:bookmarkEnd w:id="65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28A83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19C75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D1C0FE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300E0C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5D482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C6893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32827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3E64BC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C436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76295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D522B3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831123229"/>
    <w:docVar w:name="WAFER_20140115141237" w:val="RemoveTocBookmarks,RemoveUnusedBookmarks,RemoveLanguageTags,UsedStyles,ResetPageSize,UpdateArrangement"/>
    <w:docVar w:name="WAFER_20140115141237_GUID" w:val="cfdced70-9e04-4561-a7de-1ac3a8ac76f6"/>
    <w:docVar w:name="WAFER_20140919100941" w:val="RemoveTocBookmarks,RunningHeaders"/>
    <w:docVar w:name="WAFER_20140919100941_GUID" w:val="f43aeac4-711b-4744-885e-d31246cbdb1c"/>
    <w:docVar w:name="WAFER_20140919101009" w:val="RemoveTocBookmarks,RunningHeaders"/>
    <w:docVar w:name="WAFER_20140919101009_GUID" w:val="1d2a74d2-e5a9-4ade-a5e4-5c02b5ab9ebb"/>
    <w:docVar w:name="WAFER_20150108164059" w:val="RemoveTocBookmarks,RunningHeaders"/>
    <w:docVar w:name="WAFER_20150108164059_GUID" w:val="be47908d-f08d-4404-a951-123f83c64947"/>
    <w:docVar w:name="WAFER_20150323155010" w:val="ResetPageSize,UpdateArrangement,UpdateNTable"/>
    <w:docVar w:name="WAFER_20150323155010_GUID" w:val="189d785f-6ef1-488b-8c00-d87ee536a6fd"/>
    <w:docVar w:name="WAFER_20151102161559" w:val="UpdateStyles,UsedStyles"/>
    <w:docVar w:name="WAFER_20151102161559_GUID" w:val="ad0c5fc1-8026-483b-a9ec-2c18f56af9df"/>
    <w:docVar w:name="WAFER_20151102161631" w:val="UpdateStyles,UsedStyles"/>
    <w:docVar w:name="WAFER_20151102161631_GUID" w:val="a4be736d-3977-43d9-9206-31eed6f7ea5a"/>
    <w:docVar w:name="WAFER_20151109144043" w:val="RemoveTocBookmarks,RemoveUnusedBookmarks,RemoveLanguageTags,UsedStyles,ResetPageSize"/>
    <w:docVar w:name="WAFER_20151109144043_GUID" w:val="9743634a-1174-4d2f-81d4-1c805374657b"/>
    <w:docVar w:name="WAFER_20170111144927" w:val="RemoveTocBookmarks,RemoveUnusedBookmarks,RemoveLanguageTags,UsedStyles,ResetPageSize"/>
    <w:docVar w:name="WAFER_20170111144927_GUID" w:val="00877eed-f127-4bf1-a5b2-69a1e6938e41"/>
    <w:docVar w:name="WAFER_20170124105607" w:val="RemoveTocBookmarks,RemoveUnusedBookmarks,RemoveLanguageTags,UsedStyles,ResetPageSize"/>
    <w:docVar w:name="WAFER_20170124105607_GUID" w:val="f5be27ab-f2cc-46e5-9d51-c9681680044a"/>
    <w:docVar w:name="WAFER_20170831123229" w:val="RemoveTocBookmarks,RemoveUnusedBookmarks,RemoveLanguageTags,UsedStyles,ResetPageSize"/>
    <w:docVar w:name="WAFER_20170831123229_GUID" w:val="c19fbb62-0ea7-49db-abf7-551b465e56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15:docId w15:val="{A3D362A2-DFF0-4977-A79B-957B6F4AD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0683722">
      <w:bodyDiv w:val="1"/>
      <w:marLeft w:val="0"/>
      <w:marRight w:val="0"/>
      <w:marTop w:val="0"/>
      <w:marBottom w:val="0"/>
      <w:divBdr>
        <w:top w:val="none" w:sz="0" w:space="0" w:color="auto"/>
        <w:left w:val="none" w:sz="0" w:space="0" w:color="auto"/>
        <w:bottom w:val="none" w:sz="0" w:space="0" w:color="auto"/>
        <w:right w:val="none" w:sz="0" w:space="0" w:color="auto"/>
      </w:divBdr>
    </w:div>
    <w:div w:id="1978295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63C93B-C5DC-4B25-8190-ACD516BF4F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28868</Words>
  <Characters>134238</Characters>
  <Application>Microsoft Office Word</Application>
  <DocSecurity>0</DocSecurity>
  <Lines>4628</Lines>
  <Paragraphs>3262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159844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Regulations 2002 04-c0-00 - 04-d0-00</dc:title>
  <dc:subject/>
  <dc:creator/>
  <cp:keywords/>
  <dc:description/>
  <cp:lastModifiedBy>Master Repository Process</cp:lastModifiedBy>
  <cp:revision>2</cp:revision>
  <cp:lastPrinted>2016-10-27T02:46:00Z</cp:lastPrinted>
  <dcterms:created xsi:type="dcterms:W3CDTF">2021-07-31T12:57:00Z</dcterms:created>
  <dcterms:modified xsi:type="dcterms:W3CDTF">2021-07-31T12:58:00Z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May 2002 p. 2233-308</vt:lpwstr>
  </property>
  <property fmtid="{D5CDD505-2E9C-101B-9397-08002B2CF9AE}" pid="3" name="DocumentType">
    <vt:lpwstr>Reg</vt:lpwstr>
  </property>
  <property fmtid="{D5CDD505-2E9C-101B-9397-08002B2CF9AE}" pid="4" name="OwlsUID">
    <vt:i4>609</vt:i4>
  </property>
  <property fmtid="{D5CDD505-2E9C-101B-9397-08002B2CF9AE}" pid="5" name="ReprintedAsAt">
    <vt:filetime>2016-10-20T16:00:00Z</vt:filetime>
  </property>
  <property fmtid="{D5CDD505-2E9C-101B-9397-08002B2CF9AE}" pid="6" name="ReprintNo">
    <vt:lpwstr>4</vt:lpwstr>
  </property>
  <property fmtid="{D5CDD505-2E9C-101B-9397-08002B2CF9AE}" pid="7" name="CommencementDate">
    <vt:lpwstr>20170901</vt:lpwstr>
  </property>
  <property fmtid="{D5CDD505-2E9C-101B-9397-08002B2CF9AE}" pid="8" name="FromSuffix">
    <vt:lpwstr>04-c0-00</vt:lpwstr>
  </property>
  <property fmtid="{D5CDD505-2E9C-101B-9397-08002B2CF9AE}" pid="9" name="FromAsAtDate">
    <vt:lpwstr>24 Jan 2017</vt:lpwstr>
  </property>
  <property fmtid="{D5CDD505-2E9C-101B-9397-08002B2CF9AE}" pid="10" name="ToSuffix">
    <vt:lpwstr>04-d0-00</vt:lpwstr>
  </property>
  <property fmtid="{D5CDD505-2E9C-101B-9397-08002B2CF9AE}" pid="11" name="ToAsAtDate">
    <vt:lpwstr>01 Sep 2017</vt:lpwstr>
  </property>
</Properties>
</file>