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Authorities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2016</w:t>
      </w:r>
      <w:r>
        <w:fldChar w:fldCharType="end"/>
      </w:r>
      <w:r>
        <w:t xml:space="preserve">, </w:t>
      </w:r>
      <w:r>
        <w:fldChar w:fldCharType="begin"/>
      </w:r>
      <w:r>
        <w:instrText xml:space="preserve"> DocProperty FromSuffix </w:instrText>
      </w:r>
      <w:r>
        <w:fldChar w:fldCharType="separate"/>
      </w:r>
      <w:r>
        <w:t>06-d0-03</w:t>
      </w:r>
      <w:r>
        <w:fldChar w:fldCharType="end"/>
      </w:r>
      <w:r>
        <w:t>] and [</w:t>
      </w:r>
      <w:r>
        <w:fldChar w:fldCharType="begin"/>
      </w:r>
      <w:r>
        <w:instrText xml:space="preserve"> DocProperty ToAsAtDate</w:instrText>
      </w:r>
      <w:r>
        <w:fldChar w:fldCharType="separate"/>
      </w:r>
      <w:r>
        <w:t>17 Sep 2017</w:t>
      </w:r>
      <w:r>
        <w:fldChar w:fldCharType="end"/>
      </w:r>
      <w:r>
        <w:t xml:space="preserve">, </w:t>
      </w:r>
      <w:r>
        <w:fldChar w:fldCharType="begin"/>
      </w:r>
      <w:r>
        <w:instrText xml:space="preserve"> DocProperty ToSuffix</w:instrText>
      </w:r>
      <w:r>
        <w:fldChar w:fldCharType="separate"/>
      </w:r>
      <w:r>
        <w:t>06-e0-00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after="360"/>
      </w:pPr>
      <w:r>
        <w:t>Port Authorities Act 1999</w:t>
      </w:r>
    </w:p>
    <w:p>
      <w:pPr>
        <w:pStyle w:val="NameofActReg"/>
      </w:pPr>
      <w:r>
        <w:t>Port Authorities Regulations 2001</w:t>
      </w:r>
    </w:p>
    <w:p>
      <w:pPr>
        <w:pStyle w:val="Heading2"/>
        <w:pageBreakBefore w:val="0"/>
        <w:spacing w:before="240"/>
      </w:pPr>
      <w:bookmarkStart w:id="1" w:name="_Toc408471745"/>
      <w:bookmarkStart w:id="2" w:name="_Toc416945390"/>
      <w:bookmarkStart w:id="3" w:name="_Toc416945729"/>
      <w:bookmarkStart w:id="4" w:name="_Toc416946013"/>
      <w:bookmarkStart w:id="5" w:name="_Toc417655582"/>
      <w:bookmarkStart w:id="6" w:name="_Toc461722009"/>
      <w:bookmarkStart w:id="7" w:name="_Toc461723656"/>
      <w:bookmarkStart w:id="8" w:name="_Toc493069408"/>
      <w:r>
        <w:rPr>
          <w:rStyle w:val="CharPartNo"/>
        </w:rPr>
        <w:t>P</w:t>
      </w:r>
      <w:bookmarkStart w:id="9" w:name="_GoBack"/>
      <w:bookmarkEnd w:id="9"/>
      <w:r>
        <w:rPr>
          <w:rStyle w:val="CharPartNo"/>
        </w:rPr>
        <w:t>art 1</w:t>
      </w:r>
      <w:r>
        <w:rPr>
          <w:rStyle w:val="CharDivNo"/>
        </w:rPr>
        <w:t xml:space="preserve"> </w:t>
      </w:r>
      <w:r>
        <w:t xml:space="preserve">— </w:t>
      </w:r>
      <w:r>
        <w:rPr>
          <w:rStyle w:val="CharPartText"/>
        </w:rPr>
        <w:t>Preliminary</w:t>
      </w:r>
      <w:bookmarkEnd w:id="1"/>
      <w:bookmarkEnd w:id="2"/>
      <w:bookmarkEnd w:id="3"/>
      <w:bookmarkEnd w:id="4"/>
      <w:bookmarkEnd w:id="5"/>
      <w:bookmarkEnd w:id="6"/>
      <w:bookmarkEnd w:id="7"/>
      <w:bookmarkEnd w:id="8"/>
    </w:p>
    <w:p>
      <w:pPr>
        <w:pStyle w:val="Heading5"/>
      </w:pPr>
      <w:bookmarkStart w:id="10" w:name="_Toc408471746"/>
      <w:bookmarkStart w:id="11" w:name="_Toc493069409"/>
      <w:bookmarkStart w:id="12" w:name="_Toc461723657"/>
      <w:r>
        <w:rPr>
          <w:rStyle w:val="CharSectno"/>
        </w:rPr>
        <w:t>1</w:t>
      </w:r>
      <w:r>
        <w:t>.</w:t>
      </w:r>
      <w:r>
        <w:tab/>
        <w:t>Citation</w:t>
      </w:r>
      <w:bookmarkEnd w:id="10"/>
      <w:bookmarkEnd w:id="11"/>
      <w:bookmarkEnd w:id="12"/>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13" w:name="_Toc408471747"/>
      <w:bookmarkStart w:id="14" w:name="_Toc493069410"/>
      <w:bookmarkStart w:id="15" w:name="_Toc461723658"/>
      <w:r>
        <w:rPr>
          <w:rStyle w:val="CharSectno"/>
        </w:rPr>
        <w:t>2</w:t>
      </w:r>
      <w:r>
        <w:t>.</w:t>
      </w:r>
      <w:r>
        <w:tab/>
        <w:t>Commencement</w:t>
      </w:r>
      <w:bookmarkEnd w:id="13"/>
      <w:bookmarkEnd w:id="14"/>
      <w:bookmarkEnd w:id="15"/>
    </w:p>
    <w:p>
      <w:pPr>
        <w:pStyle w:val="Subsection"/>
      </w:pPr>
      <w:r>
        <w:tab/>
      </w:r>
      <w:r>
        <w:tab/>
        <w:t>These regulations come into operation on 1 June 2001.</w:t>
      </w:r>
    </w:p>
    <w:p>
      <w:pPr>
        <w:pStyle w:val="Heading5"/>
      </w:pPr>
      <w:bookmarkStart w:id="16" w:name="_Toc408471748"/>
      <w:bookmarkStart w:id="17" w:name="_Toc493069411"/>
      <w:bookmarkStart w:id="18" w:name="_Toc461723659"/>
      <w:r>
        <w:rPr>
          <w:rStyle w:val="CharSectno"/>
        </w:rPr>
        <w:t>3</w:t>
      </w:r>
      <w:r>
        <w:t>.</w:t>
      </w:r>
      <w:r>
        <w:tab/>
        <w:t>Terms used</w:t>
      </w:r>
      <w:bookmarkEnd w:id="16"/>
      <w:bookmarkEnd w:id="17"/>
      <w:bookmarkEnd w:id="18"/>
    </w:p>
    <w:p>
      <w:pPr>
        <w:pStyle w:val="Subsection"/>
      </w:pPr>
      <w:r>
        <w:tab/>
      </w:r>
      <w:r>
        <w:tab/>
        <w:t xml:space="preserve">In these regulations, unless the contrary intention appears — </w:t>
      </w:r>
    </w:p>
    <w:p>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pPr>
        <w:pStyle w:val="Defstart"/>
      </w:pPr>
      <w:r>
        <w:tab/>
      </w:r>
      <w:r>
        <w:rPr>
          <w:rStyle w:val="CharDefText"/>
        </w:rPr>
        <w:t>motor vehicle</w:t>
      </w:r>
      <w:r>
        <w:t xml:space="preserve"> has the meaning given in the </w:t>
      </w:r>
      <w:r>
        <w:rPr>
          <w:i/>
        </w:rPr>
        <w:t>Road Traffic (Administration) Act 2008</w:t>
      </w:r>
      <w:r>
        <w:t xml:space="preserve"> section 4;</w:t>
      </w:r>
    </w:p>
    <w:p>
      <w:pPr>
        <w:pStyle w:val="Defstart"/>
      </w:pPr>
      <w:r>
        <w:tab/>
      </w:r>
      <w:r>
        <w:rPr>
          <w:rStyle w:val="CharDefText"/>
        </w:rPr>
        <w:t>Navigation Act</w:t>
      </w:r>
      <w:r>
        <w:t xml:space="preserve"> means the </w:t>
      </w:r>
      <w:r>
        <w:rPr>
          <w:i/>
        </w:rPr>
        <w:t>Navigation Act 2012</w:t>
      </w:r>
      <w:r>
        <w:t xml:space="preserve"> (Commonwealth);</w:t>
      </w:r>
    </w:p>
    <w:p>
      <w:pPr>
        <w:pStyle w:val="Defstart"/>
      </w:pPr>
      <w:r>
        <w:tab/>
      </w:r>
      <w:r>
        <w:rPr>
          <w:rStyle w:val="CharDefText"/>
        </w:rPr>
        <w:t>pilot</w:t>
      </w:r>
      <w:r>
        <w:t xml:space="preserve"> means a pilot approved by a port authority under section 96 of the Act;</w:t>
      </w:r>
    </w:p>
    <w:p>
      <w:pPr>
        <w:pStyle w:val="Defstart"/>
      </w:pPr>
      <w:r>
        <w:tab/>
      </w:r>
      <w:r>
        <w:rPr>
          <w:rStyle w:val="CharDefText"/>
        </w:rPr>
        <w:t>pilotage provider’s licence</w:t>
      </w:r>
      <w:r>
        <w:t xml:space="preserve"> means a licence issued under regulation 28 to provide pilotage services in a port;</w:t>
      </w:r>
    </w:p>
    <w:p>
      <w:pPr>
        <w:pStyle w:val="Defstart"/>
      </w:pPr>
      <w:r>
        <w:tab/>
      </w:r>
      <w:r>
        <w:rPr>
          <w:rStyle w:val="CharDefText"/>
        </w:rPr>
        <w:t>port authority</w:t>
      </w:r>
      <w:r>
        <w:t>,</w:t>
      </w:r>
      <w:r>
        <w:rPr>
          <w:b/>
        </w:rPr>
        <w:t xml:space="preserve"> </w:t>
      </w:r>
      <w:r>
        <w:t>in relation to a port, means the port authority that controls and manages the port;</w:t>
      </w:r>
    </w:p>
    <w:p>
      <w:pPr>
        <w:pStyle w:val="Defstart"/>
      </w:pPr>
      <w:r>
        <w:rPr>
          <w:b/>
          <w:bCs/>
        </w:rPr>
        <w:tab/>
      </w:r>
      <w:r>
        <w:rPr>
          <w:rStyle w:val="CharDefText"/>
        </w:rPr>
        <w:t>private vessel</w:t>
      </w:r>
      <w:r>
        <w:t xml:space="preserve"> means a vessel used solely for private purposes and not for hire or reward;</w:t>
      </w:r>
    </w:p>
    <w:p>
      <w:pPr>
        <w:pStyle w:val="Defstart"/>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Footnotesection"/>
        <w:spacing w:before="100"/>
        <w:ind w:left="890" w:hanging="890"/>
      </w:pPr>
      <w:r>
        <w:tab/>
        <w:t>[Regulation 3 amended in Gazette 20 Jun 2014 p. 2030; 5 Sep 2014 p. 3214; 8 Jan 2015 p. 61</w:t>
      </w:r>
      <w:r>
        <w:noBreakHyphen/>
        <w:t>2.]</w:t>
      </w:r>
    </w:p>
    <w:p>
      <w:pPr>
        <w:pStyle w:val="Heading5"/>
      </w:pPr>
      <w:bookmarkStart w:id="19" w:name="_Toc493069412"/>
      <w:bookmarkStart w:id="20" w:name="_Toc461723660"/>
      <w:bookmarkStart w:id="21" w:name="_Toc408471749"/>
      <w:bookmarkStart w:id="22" w:name="_Toc416945394"/>
      <w:bookmarkStart w:id="23" w:name="_Toc416945733"/>
      <w:bookmarkStart w:id="24" w:name="_Toc416946017"/>
      <w:r>
        <w:rPr>
          <w:rStyle w:val="CharSectno"/>
        </w:rPr>
        <w:t>4A</w:t>
      </w:r>
      <w:r>
        <w:t>.</w:t>
      </w:r>
      <w:r>
        <w:tab/>
        <w:t>Application as to assistance animals</w:t>
      </w:r>
      <w:bookmarkEnd w:id="19"/>
      <w:bookmarkEnd w:id="20"/>
    </w:p>
    <w:p>
      <w:pPr>
        <w:pStyle w:val="Subsection"/>
      </w:pPr>
      <w:r>
        <w:tab/>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spacing w:before="100"/>
        <w:ind w:left="890" w:hanging="890"/>
      </w:pPr>
      <w:r>
        <w:tab/>
        <w:t>[Regulation 4A inserted in Gazette 8 Jan 2015 p. 62.]</w:t>
      </w:r>
    </w:p>
    <w:p>
      <w:pPr>
        <w:pStyle w:val="Heading2"/>
      </w:pPr>
      <w:bookmarkStart w:id="25" w:name="_Toc417655587"/>
      <w:bookmarkStart w:id="26" w:name="_Toc461722014"/>
      <w:bookmarkStart w:id="27" w:name="_Toc461723661"/>
      <w:bookmarkStart w:id="28" w:name="_Toc493069413"/>
      <w:r>
        <w:rPr>
          <w:rStyle w:val="CharPartNo"/>
        </w:rPr>
        <w:t>Part 2</w:t>
      </w:r>
      <w:r>
        <w:t xml:space="preserve"> — </w:t>
      </w:r>
      <w:r>
        <w:rPr>
          <w:rStyle w:val="CharPartText"/>
        </w:rPr>
        <w:t>Vessels in ports</w:t>
      </w:r>
      <w:bookmarkEnd w:id="21"/>
      <w:bookmarkEnd w:id="22"/>
      <w:bookmarkEnd w:id="23"/>
      <w:bookmarkEnd w:id="24"/>
      <w:bookmarkEnd w:id="25"/>
      <w:bookmarkEnd w:id="26"/>
      <w:bookmarkEnd w:id="27"/>
      <w:bookmarkEnd w:id="28"/>
    </w:p>
    <w:p>
      <w:pPr>
        <w:pStyle w:val="Heading3"/>
      </w:pPr>
      <w:bookmarkStart w:id="29" w:name="_Toc408471750"/>
      <w:bookmarkStart w:id="30" w:name="_Toc416945395"/>
      <w:bookmarkStart w:id="31" w:name="_Toc416945734"/>
      <w:bookmarkStart w:id="32" w:name="_Toc416946018"/>
      <w:bookmarkStart w:id="33" w:name="_Toc417655588"/>
      <w:bookmarkStart w:id="34" w:name="_Toc461722015"/>
      <w:bookmarkStart w:id="35" w:name="_Toc461723662"/>
      <w:bookmarkStart w:id="36" w:name="_Toc493069414"/>
      <w:r>
        <w:rPr>
          <w:rStyle w:val="CharDivNo"/>
        </w:rPr>
        <w:t>Division 1</w:t>
      </w:r>
      <w:r>
        <w:t xml:space="preserve"> — </w:t>
      </w:r>
      <w:r>
        <w:rPr>
          <w:rStyle w:val="CharDivText"/>
        </w:rPr>
        <w:t>Vessels arriving at ports</w:t>
      </w:r>
      <w:bookmarkEnd w:id="29"/>
      <w:bookmarkEnd w:id="30"/>
      <w:bookmarkEnd w:id="31"/>
      <w:bookmarkEnd w:id="32"/>
      <w:bookmarkEnd w:id="33"/>
      <w:bookmarkEnd w:id="34"/>
      <w:bookmarkEnd w:id="35"/>
      <w:bookmarkEnd w:id="36"/>
    </w:p>
    <w:p>
      <w:pPr>
        <w:pStyle w:val="Heading5"/>
        <w:rPr>
          <w:b w:val="0"/>
        </w:rPr>
      </w:pPr>
      <w:bookmarkStart w:id="37" w:name="_Toc408471751"/>
      <w:bookmarkStart w:id="38" w:name="_Toc493069415"/>
      <w:bookmarkStart w:id="39" w:name="_Toc461723663"/>
      <w:r>
        <w:rPr>
          <w:rStyle w:val="CharSectno"/>
        </w:rPr>
        <w:t>4</w:t>
      </w:r>
      <w:r>
        <w:t>.</w:t>
      </w:r>
      <w:r>
        <w:tab/>
        <w:t>Notice of arrival at port</w:t>
      </w:r>
      <w:bookmarkEnd w:id="37"/>
      <w:bookmarkEnd w:id="38"/>
      <w:bookmarkEnd w:id="39"/>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40" w:name="_Toc408471752"/>
      <w:bookmarkStart w:id="41" w:name="_Toc493069416"/>
      <w:bookmarkStart w:id="42" w:name="_Toc461723664"/>
      <w:r>
        <w:rPr>
          <w:rStyle w:val="CharSectno"/>
        </w:rPr>
        <w:t>5</w:t>
      </w:r>
      <w:r>
        <w:t>.</w:t>
      </w:r>
      <w:r>
        <w:tab/>
        <w:t>Vessel to maintain contact with port authority</w:t>
      </w:r>
      <w:bookmarkEnd w:id="40"/>
      <w:bookmarkEnd w:id="41"/>
      <w:bookmarkEnd w:id="42"/>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43" w:name="_Toc408471753"/>
      <w:bookmarkStart w:id="44" w:name="_Toc416945398"/>
      <w:bookmarkStart w:id="45" w:name="_Toc416945737"/>
      <w:bookmarkStart w:id="46" w:name="_Toc416946021"/>
      <w:bookmarkStart w:id="47" w:name="_Toc417655591"/>
      <w:bookmarkStart w:id="48" w:name="_Toc461722018"/>
      <w:bookmarkStart w:id="49" w:name="_Toc461723665"/>
      <w:bookmarkStart w:id="50" w:name="_Toc493069417"/>
      <w:r>
        <w:rPr>
          <w:rStyle w:val="CharDivNo"/>
        </w:rPr>
        <w:t>Division 2</w:t>
      </w:r>
      <w:r>
        <w:t xml:space="preserve"> — </w:t>
      </w:r>
      <w:r>
        <w:rPr>
          <w:rStyle w:val="CharDivText"/>
        </w:rPr>
        <w:t>Matters relating to safety</w:t>
      </w:r>
      <w:bookmarkEnd w:id="43"/>
      <w:bookmarkEnd w:id="44"/>
      <w:bookmarkEnd w:id="45"/>
      <w:bookmarkEnd w:id="46"/>
      <w:bookmarkEnd w:id="47"/>
      <w:bookmarkEnd w:id="48"/>
      <w:bookmarkEnd w:id="49"/>
      <w:bookmarkEnd w:id="50"/>
    </w:p>
    <w:p>
      <w:pPr>
        <w:pStyle w:val="Heading5"/>
      </w:pPr>
      <w:bookmarkStart w:id="51" w:name="_Toc408471754"/>
      <w:bookmarkStart w:id="52" w:name="_Toc493069418"/>
      <w:bookmarkStart w:id="53" w:name="_Toc461723666"/>
      <w:r>
        <w:rPr>
          <w:rStyle w:val="CharSectno"/>
        </w:rPr>
        <w:t>6</w:t>
      </w:r>
      <w:r>
        <w:t>.</w:t>
      </w:r>
      <w:r>
        <w:tab/>
        <w:t>Vessel not to exceed maximum safe speed</w:t>
      </w:r>
      <w:bookmarkEnd w:id="51"/>
      <w:bookmarkEnd w:id="52"/>
      <w:bookmarkEnd w:id="53"/>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54" w:name="_Toc408471755"/>
      <w:bookmarkStart w:id="55" w:name="_Toc493069419"/>
      <w:bookmarkStart w:id="56" w:name="_Toc461723667"/>
      <w:r>
        <w:rPr>
          <w:rStyle w:val="CharSectno"/>
        </w:rPr>
        <w:t>7</w:t>
      </w:r>
      <w:r>
        <w:t>.</w:t>
      </w:r>
      <w:r>
        <w:tab/>
        <w:t>Fire on vessel, duties of people in case of</w:t>
      </w:r>
      <w:bookmarkEnd w:id="54"/>
      <w:bookmarkEnd w:id="55"/>
      <w:bookmarkEnd w:id="56"/>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keepNext/>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57" w:name="_Toc408471756"/>
      <w:bookmarkStart w:id="58" w:name="_Toc493069420"/>
      <w:bookmarkStart w:id="59" w:name="_Toc461723668"/>
      <w:r>
        <w:rPr>
          <w:rStyle w:val="CharSectno"/>
        </w:rPr>
        <w:t>8</w:t>
      </w:r>
      <w:r>
        <w:t>.</w:t>
      </w:r>
      <w:r>
        <w:tab/>
        <w:t>Propellers of moored vessel not to be operated</w:t>
      </w:r>
      <w:bookmarkEnd w:id="57"/>
      <w:bookmarkEnd w:id="58"/>
      <w:bookmarkEnd w:id="59"/>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60" w:name="_Toc408471757"/>
      <w:bookmarkStart w:id="61" w:name="_Toc493069421"/>
      <w:bookmarkStart w:id="62" w:name="_Toc461723669"/>
      <w:r>
        <w:rPr>
          <w:rStyle w:val="CharSectno"/>
        </w:rPr>
        <w:t>9</w:t>
      </w:r>
      <w:r>
        <w:t>.</w:t>
      </w:r>
      <w:r>
        <w:tab/>
        <w:t>Owners of dangerous things to notify harbour master</w:t>
      </w:r>
      <w:bookmarkEnd w:id="60"/>
      <w:bookmarkEnd w:id="61"/>
      <w:bookmarkEnd w:id="62"/>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rStyle w:val="CharDefText"/>
        </w:rPr>
        <w:t>owner</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t>has the meaning given in section 105(1) of the Act.</w:t>
      </w:r>
    </w:p>
    <w:p>
      <w:pPr>
        <w:pStyle w:val="Heading3"/>
      </w:pPr>
      <w:bookmarkStart w:id="63" w:name="_Toc408471758"/>
      <w:bookmarkStart w:id="64" w:name="_Toc416945403"/>
      <w:bookmarkStart w:id="65" w:name="_Toc416945742"/>
      <w:bookmarkStart w:id="66" w:name="_Toc416946026"/>
      <w:bookmarkStart w:id="67" w:name="_Toc417655596"/>
      <w:bookmarkStart w:id="68" w:name="_Toc461722023"/>
      <w:bookmarkStart w:id="69" w:name="_Toc461723670"/>
      <w:bookmarkStart w:id="70" w:name="_Toc493069422"/>
      <w:r>
        <w:rPr>
          <w:rStyle w:val="CharDivNo"/>
        </w:rPr>
        <w:t>Division 3</w:t>
      </w:r>
      <w:r>
        <w:t xml:space="preserve"> — </w:t>
      </w:r>
      <w:r>
        <w:rPr>
          <w:rStyle w:val="CharDivText"/>
        </w:rPr>
        <w:t>Matters relating to revenue</w:t>
      </w:r>
      <w:bookmarkEnd w:id="63"/>
      <w:bookmarkEnd w:id="64"/>
      <w:bookmarkEnd w:id="65"/>
      <w:bookmarkEnd w:id="66"/>
      <w:bookmarkEnd w:id="67"/>
      <w:bookmarkEnd w:id="68"/>
      <w:bookmarkEnd w:id="69"/>
      <w:bookmarkEnd w:id="70"/>
    </w:p>
    <w:p>
      <w:pPr>
        <w:pStyle w:val="Heading5"/>
      </w:pPr>
      <w:bookmarkStart w:id="71" w:name="_Toc408471759"/>
      <w:bookmarkStart w:id="72" w:name="_Toc493069423"/>
      <w:bookmarkStart w:id="73" w:name="_Toc461723671"/>
      <w:r>
        <w:rPr>
          <w:rStyle w:val="CharSectno"/>
        </w:rPr>
        <w:t>10</w:t>
      </w:r>
      <w:r>
        <w:t>.</w:t>
      </w:r>
      <w:r>
        <w:tab/>
        <w:t>Collector of port charges may enter vessel</w:t>
      </w:r>
      <w:bookmarkEnd w:id="71"/>
      <w:bookmarkEnd w:id="72"/>
      <w:bookmarkEnd w:id="73"/>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74" w:name="_Toc408471760"/>
      <w:bookmarkStart w:id="75" w:name="_Toc493069424"/>
      <w:bookmarkStart w:id="76" w:name="_Toc461723672"/>
      <w:r>
        <w:rPr>
          <w:rStyle w:val="CharSectno"/>
        </w:rPr>
        <w:t>11</w:t>
      </w:r>
      <w:r>
        <w:t>.</w:t>
      </w:r>
      <w:r>
        <w:tab/>
        <w:t>Port charges to be paid before vessel leaves port</w:t>
      </w:r>
      <w:bookmarkEnd w:id="74"/>
      <w:bookmarkEnd w:id="75"/>
      <w:bookmarkEnd w:id="76"/>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77" w:name="_Toc408471761"/>
      <w:bookmarkStart w:id="78" w:name="_Toc416945406"/>
      <w:bookmarkStart w:id="79" w:name="_Toc416945745"/>
      <w:bookmarkStart w:id="80" w:name="_Toc416946029"/>
      <w:bookmarkStart w:id="81" w:name="_Toc417655599"/>
      <w:bookmarkStart w:id="82" w:name="_Toc461722026"/>
      <w:bookmarkStart w:id="83" w:name="_Toc461723673"/>
      <w:bookmarkStart w:id="84" w:name="_Toc493069425"/>
      <w:r>
        <w:rPr>
          <w:rStyle w:val="CharDivNo"/>
        </w:rPr>
        <w:t>Division 4</w:t>
      </w:r>
      <w:r>
        <w:t xml:space="preserve"> — </w:t>
      </w:r>
      <w:r>
        <w:rPr>
          <w:rStyle w:val="CharDivText"/>
        </w:rPr>
        <w:t>General</w:t>
      </w:r>
      <w:bookmarkEnd w:id="77"/>
      <w:bookmarkEnd w:id="78"/>
      <w:bookmarkEnd w:id="79"/>
      <w:bookmarkEnd w:id="80"/>
      <w:bookmarkEnd w:id="81"/>
      <w:bookmarkEnd w:id="82"/>
      <w:bookmarkEnd w:id="83"/>
      <w:bookmarkEnd w:id="84"/>
    </w:p>
    <w:p>
      <w:pPr>
        <w:pStyle w:val="Heading5"/>
        <w:rPr>
          <w:b w:val="0"/>
        </w:rPr>
      </w:pPr>
      <w:bookmarkStart w:id="85" w:name="_Toc408471762"/>
      <w:bookmarkStart w:id="86" w:name="_Toc493069426"/>
      <w:bookmarkStart w:id="87" w:name="_Toc461723674"/>
      <w:r>
        <w:rPr>
          <w:rStyle w:val="CharSectno"/>
        </w:rPr>
        <w:t>12</w:t>
      </w:r>
      <w:r>
        <w:t>.</w:t>
      </w:r>
      <w:r>
        <w:tab/>
        <w:t>Berthing, general rules for</w:t>
      </w:r>
      <w:bookmarkEnd w:id="85"/>
      <w:bookmarkEnd w:id="86"/>
      <w:bookmarkEnd w:id="87"/>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spacing w:before="180"/>
      </w:pPr>
      <w:r>
        <w:tab/>
        <w:t>(4)</w:t>
      </w:r>
      <w:r>
        <w:tab/>
        <w:t>The master of a vessel in a port that is moored or secured to a wharf is to ensure that appropriate precautions (such as regular checks of mooring lines) are taken to prevent damage to the wharf.</w:t>
      </w:r>
    </w:p>
    <w:p>
      <w:pPr>
        <w:pStyle w:val="Subsection"/>
        <w:spacing w:before="180"/>
      </w:pPr>
      <w:r>
        <w:tab/>
        <w:t>(5)</w:t>
      </w:r>
      <w:r>
        <w:tab/>
        <w:t>Nothing in this regulation limits a direction given by the harbour master under section 104 of the Act.</w:t>
      </w:r>
    </w:p>
    <w:p>
      <w:pPr>
        <w:pStyle w:val="Heading5"/>
        <w:spacing w:before="240"/>
        <w:rPr>
          <w:b w:val="0"/>
        </w:rPr>
      </w:pPr>
      <w:bookmarkStart w:id="88" w:name="_Toc408471763"/>
      <w:bookmarkStart w:id="89" w:name="_Toc493069427"/>
      <w:bookmarkStart w:id="90" w:name="_Toc461723675"/>
      <w:r>
        <w:rPr>
          <w:rStyle w:val="CharSectno"/>
        </w:rPr>
        <w:t>13</w:t>
      </w:r>
      <w:r>
        <w:t>.</w:t>
      </w:r>
      <w:r>
        <w:tab/>
        <w:t>Port authority officer may give directions to keep wharf clear during berthing</w:t>
      </w:r>
      <w:bookmarkEnd w:id="88"/>
      <w:bookmarkEnd w:id="89"/>
      <w:bookmarkEnd w:id="90"/>
    </w:p>
    <w:p>
      <w:pPr>
        <w:pStyle w:val="Subsection"/>
        <w:spacing w:before="180"/>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spacing w:before="180"/>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76.</w:t>
      </w:r>
    </w:p>
    <w:p>
      <w:pPr>
        <w:pStyle w:val="Ednotesection"/>
        <w:spacing w:before="240"/>
        <w:ind w:left="890" w:hanging="890"/>
      </w:pPr>
      <w:r>
        <w:t>[</w:t>
      </w:r>
      <w:r>
        <w:rPr>
          <w:b/>
        </w:rPr>
        <w:t>14.</w:t>
      </w:r>
      <w:r>
        <w:tab/>
        <w:t>Deleted in Gazette 13 Feb 2004 p. 546.]</w:t>
      </w:r>
    </w:p>
    <w:p>
      <w:pPr>
        <w:pStyle w:val="Heading5"/>
        <w:spacing w:before="240"/>
        <w:rPr>
          <w:b w:val="0"/>
        </w:rPr>
      </w:pPr>
      <w:bookmarkStart w:id="91" w:name="_Toc408471764"/>
      <w:bookmarkStart w:id="92" w:name="_Toc493069428"/>
      <w:bookmarkStart w:id="93" w:name="_Toc461723676"/>
      <w:r>
        <w:rPr>
          <w:rStyle w:val="CharSectno"/>
        </w:rPr>
        <w:t>15</w:t>
      </w:r>
      <w:r>
        <w:t>.</w:t>
      </w:r>
      <w:r>
        <w:tab/>
        <w:t>Vessel moored to be kept clear of cranes etc. on wharves</w:t>
      </w:r>
      <w:bookmarkEnd w:id="91"/>
      <w:bookmarkEnd w:id="92"/>
      <w:bookmarkEnd w:id="93"/>
    </w:p>
    <w:p>
      <w:pPr>
        <w:pStyle w:val="Subsection"/>
        <w:spacing w:before="180"/>
      </w:pPr>
      <w:r>
        <w:tab/>
        <w:t>(1)</w:t>
      </w:r>
      <w:r>
        <w:tab/>
        <w:t xml:space="preserve">The master of a vessel that is moored in a port must ensure that at all times — </w:t>
      </w:r>
    </w:p>
    <w:p>
      <w:pPr>
        <w:pStyle w:val="Indenta"/>
      </w:pPr>
      <w:r>
        <w:tab/>
        <w:t>(a)</w:t>
      </w:r>
      <w:r>
        <w:tab/>
        <w:t>the vessel; and</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spacing w:before="180"/>
      </w:pPr>
      <w:r>
        <w:tab/>
      </w:r>
      <w:r>
        <w:tab/>
        <w:t>are kept clear of any crane, plant or other thing on a wharf in the port.</w:t>
      </w:r>
    </w:p>
    <w:p>
      <w:pPr>
        <w:pStyle w:val="Subsection"/>
        <w:keepNext/>
      </w:pPr>
      <w:r>
        <w:tab/>
        <w:t>(2)</w:t>
      </w:r>
      <w:r>
        <w:tab/>
        <w:t>A person who does not comply with subregulation (1) commits an offence.</w:t>
      </w:r>
    </w:p>
    <w:p>
      <w:pPr>
        <w:pStyle w:val="Penstart"/>
      </w:pPr>
      <w:r>
        <w:tab/>
        <w:t>Penalty: $5 000.</w:t>
      </w:r>
    </w:p>
    <w:p>
      <w:pPr>
        <w:pStyle w:val="Heading5"/>
      </w:pPr>
      <w:bookmarkStart w:id="94" w:name="_Toc408471765"/>
      <w:bookmarkStart w:id="95" w:name="_Toc493069429"/>
      <w:bookmarkStart w:id="96" w:name="_Toc461723677"/>
      <w:r>
        <w:rPr>
          <w:rStyle w:val="CharSectno"/>
        </w:rPr>
        <w:t>16</w:t>
      </w:r>
      <w:r>
        <w:t>.</w:t>
      </w:r>
      <w:r>
        <w:tab/>
        <w:t>Vessel moored to have at least one person on watch</w:t>
      </w:r>
      <w:bookmarkEnd w:id="94"/>
      <w:bookmarkEnd w:id="95"/>
      <w:bookmarkEnd w:id="96"/>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97" w:name="_Toc408471766"/>
      <w:bookmarkStart w:id="98" w:name="_Toc493069430"/>
      <w:bookmarkStart w:id="99" w:name="_Toc461723678"/>
      <w:r>
        <w:rPr>
          <w:rStyle w:val="CharSectno"/>
        </w:rPr>
        <w:t>17</w:t>
      </w:r>
      <w:r>
        <w:t>.</w:t>
      </w:r>
      <w:r>
        <w:tab/>
        <w:t>Waste water etc. not to be discharged on to wharf or into port waters without authority</w:t>
      </w:r>
      <w:bookmarkEnd w:id="97"/>
      <w:bookmarkEnd w:id="98"/>
      <w:bookmarkEnd w:id="99"/>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100" w:name="_Toc408471767"/>
      <w:bookmarkStart w:id="101" w:name="_Toc493069431"/>
      <w:bookmarkStart w:id="102" w:name="_Toc461723679"/>
      <w:r>
        <w:rPr>
          <w:rStyle w:val="CharSectno"/>
        </w:rPr>
        <w:t>18</w:t>
      </w:r>
      <w:r>
        <w:t>.</w:t>
      </w:r>
      <w:r>
        <w:tab/>
        <w:t>Ballast to be discharged in accordance with harbour master’s directions</w:t>
      </w:r>
      <w:bookmarkEnd w:id="100"/>
      <w:bookmarkEnd w:id="101"/>
      <w:bookmarkEnd w:id="102"/>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keepNext w:val="0"/>
        <w:keepLines w:val="0"/>
        <w:spacing w:before="180"/>
      </w:pPr>
      <w:bookmarkStart w:id="103" w:name="_Toc408471768"/>
      <w:bookmarkStart w:id="104" w:name="_Toc493069432"/>
      <w:bookmarkStart w:id="105" w:name="_Toc461723680"/>
      <w:r>
        <w:rPr>
          <w:rStyle w:val="CharSectno"/>
        </w:rPr>
        <w:t>19</w:t>
      </w:r>
      <w:r>
        <w:t>.</w:t>
      </w:r>
      <w:r>
        <w:tab/>
        <w:t>Livestock not to be loaded or unloaded without authority</w:t>
      </w:r>
      <w:bookmarkEnd w:id="103"/>
      <w:bookmarkEnd w:id="104"/>
      <w:bookmarkEnd w:id="105"/>
    </w:p>
    <w:p>
      <w:pPr>
        <w:pStyle w:val="Subsection"/>
        <w:spacing w:before="120"/>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r>
        <w:t>[</w:t>
      </w:r>
      <w:r>
        <w:rPr>
          <w:b/>
        </w:rPr>
        <w:t>20.</w:t>
      </w:r>
      <w:r>
        <w:tab/>
        <w:t>Deleted in Gazette 22 Mar 2002 p. 1655.]</w:t>
      </w:r>
    </w:p>
    <w:p>
      <w:pPr>
        <w:pStyle w:val="Heading5"/>
        <w:rPr>
          <w:b w:val="0"/>
        </w:rPr>
      </w:pPr>
      <w:bookmarkStart w:id="106" w:name="_Toc408471769"/>
      <w:bookmarkStart w:id="107" w:name="_Toc493069433"/>
      <w:bookmarkStart w:id="108" w:name="_Toc461723681"/>
      <w:r>
        <w:rPr>
          <w:rStyle w:val="CharSectno"/>
        </w:rPr>
        <w:t>21</w:t>
      </w:r>
      <w:r>
        <w:t>.</w:t>
      </w:r>
      <w:r>
        <w:tab/>
        <w:t>Harbour master’s powers to ensure compliance with regulations</w:t>
      </w:r>
      <w:bookmarkEnd w:id="106"/>
      <w:bookmarkEnd w:id="107"/>
      <w:bookmarkEnd w:id="108"/>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 or</w:t>
      </w:r>
    </w:p>
    <w:p>
      <w:pPr>
        <w:pStyle w:val="Indenta"/>
      </w:pPr>
      <w:r>
        <w:tab/>
        <w:t>(b)</w:t>
      </w:r>
      <w:r>
        <w:tab/>
        <w:t>cause any line or other tackle to be attached to, or detached or cast off from, the vessel; or</w:t>
      </w:r>
    </w:p>
    <w:p>
      <w:pPr>
        <w:pStyle w:val="Indenta"/>
      </w:pPr>
      <w:r>
        <w:tab/>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109" w:name="_Toc408471770"/>
      <w:bookmarkStart w:id="110" w:name="_Toc416945415"/>
      <w:bookmarkStart w:id="111" w:name="_Toc416945754"/>
      <w:bookmarkStart w:id="112" w:name="_Toc416946038"/>
      <w:bookmarkStart w:id="113" w:name="_Toc417655608"/>
      <w:bookmarkStart w:id="114" w:name="_Toc461722035"/>
      <w:bookmarkStart w:id="115" w:name="_Toc461723682"/>
      <w:bookmarkStart w:id="116" w:name="_Toc493069434"/>
      <w:r>
        <w:rPr>
          <w:rStyle w:val="CharPartNo"/>
        </w:rPr>
        <w:t>Part 3</w:t>
      </w:r>
      <w:r>
        <w:t xml:space="preserve"> — </w:t>
      </w:r>
      <w:r>
        <w:rPr>
          <w:rStyle w:val="CharPartText"/>
        </w:rPr>
        <w:t>Pilotage</w:t>
      </w:r>
      <w:bookmarkEnd w:id="109"/>
      <w:bookmarkEnd w:id="110"/>
      <w:bookmarkEnd w:id="111"/>
      <w:bookmarkEnd w:id="112"/>
      <w:bookmarkEnd w:id="113"/>
      <w:bookmarkEnd w:id="114"/>
      <w:bookmarkEnd w:id="115"/>
      <w:bookmarkEnd w:id="116"/>
    </w:p>
    <w:p>
      <w:pPr>
        <w:pStyle w:val="Heading3"/>
        <w:spacing w:before="160"/>
      </w:pPr>
      <w:bookmarkStart w:id="117" w:name="_Toc408471771"/>
      <w:bookmarkStart w:id="118" w:name="_Toc416945416"/>
      <w:bookmarkStart w:id="119" w:name="_Toc416945755"/>
      <w:bookmarkStart w:id="120" w:name="_Toc416946039"/>
      <w:bookmarkStart w:id="121" w:name="_Toc417655609"/>
      <w:bookmarkStart w:id="122" w:name="_Toc461722036"/>
      <w:bookmarkStart w:id="123" w:name="_Toc461723683"/>
      <w:bookmarkStart w:id="124" w:name="_Toc493069435"/>
      <w:r>
        <w:rPr>
          <w:rStyle w:val="CharDivNo"/>
        </w:rPr>
        <w:t>Division 1</w:t>
      </w:r>
      <w:r>
        <w:t xml:space="preserve"> — </w:t>
      </w:r>
      <w:r>
        <w:rPr>
          <w:rStyle w:val="CharDivText"/>
        </w:rPr>
        <w:t>Definitions</w:t>
      </w:r>
      <w:bookmarkEnd w:id="117"/>
      <w:bookmarkEnd w:id="118"/>
      <w:bookmarkEnd w:id="119"/>
      <w:bookmarkEnd w:id="120"/>
      <w:bookmarkEnd w:id="121"/>
      <w:bookmarkEnd w:id="122"/>
      <w:bookmarkEnd w:id="123"/>
      <w:bookmarkEnd w:id="124"/>
    </w:p>
    <w:p>
      <w:pPr>
        <w:pStyle w:val="Heading5"/>
        <w:spacing w:before="160"/>
      </w:pPr>
      <w:bookmarkStart w:id="125" w:name="_Toc408471772"/>
      <w:bookmarkStart w:id="126" w:name="_Toc493069436"/>
      <w:bookmarkStart w:id="127" w:name="_Toc461723684"/>
      <w:r>
        <w:rPr>
          <w:rStyle w:val="CharSectno"/>
        </w:rPr>
        <w:t>22</w:t>
      </w:r>
      <w:r>
        <w:t>.</w:t>
      </w:r>
      <w:r>
        <w:tab/>
        <w:t>Terms used</w:t>
      </w:r>
      <w:bookmarkEnd w:id="125"/>
      <w:bookmarkEnd w:id="126"/>
      <w:bookmarkEnd w:id="127"/>
    </w:p>
    <w:p>
      <w:pPr>
        <w:pStyle w:val="Subsection"/>
        <w:spacing w:before="120"/>
      </w:pPr>
      <w:r>
        <w:tab/>
      </w:r>
      <w:r>
        <w:tab/>
        <w:t xml:space="preserve">In this Part — </w:t>
      </w:r>
    </w:p>
    <w:p>
      <w:pPr>
        <w:pStyle w:val="Defstart"/>
      </w:pPr>
      <w:r>
        <w:rPr>
          <w:b/>
          <w:bCs/>
        </w:rPr>
        <w:tab/>
      </w:r>
      <w:r>
        <w:rPr>
          <w:rStyle w:val="CharDefText"/>
        </w:rPr>
        <w:t>cargo vessel</w:t>
      </w:r>
      <w:r>
        <w:t xml:space="preserve"> means a vessel which is not a passenger vessel or an exempt vessel;</w:t>
      </w:r>
    </w:p>
    <w:p>
      <w:pPr>
        <w:pStyle w:val="Defstart"/>
      </w:pPr>
      <w:r>
        <w:tab/>
      </w:r>
      <w:r>
        <w:rPr>
          <w:rStyle w:val="CharDefText"/>
        </w:rPr>
        <w:t>exempt master</w:t>
      </w:r>
      <w:r>
        <w:t xml:space="preserve"> means — </w:t>
      </w:r>
    </w:p>
    <w:p>
      <w:pPr>
        <w:pStyle w:val="Defpara"/>
      </w:pPr>
      <w:r>
        <w:tab/>
        <w:t>(a)</w:t>
      </w:r>
      <w:r>
        <w:tab/>
        <w:t>the master or first mate of a vessel;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the master of a vessel,</w:t>
      </w:r>
    </w:p>
    <w:p>
      <w:pPr>
        <w:pStyle w:val="Defstart"/>
      </w:pPr>
      <w:r>
        <w:tab/>
        <w:t>who holds a pilotage exemption certificate;</w:t>
      </w:r>
    </w:p>
    <w:p>
      <w:pPr>
        <w:pStyle w:val="Defstart"/>
      </w:pPr>
      <w:r>
        <w:tab/>
      </w:r>
      <w:r>
        <w:rPr>
          <w:rStyle w:val="CharDefText"/>
        </w:rPr>
        <w:t>exempt vessel</w:t>
      </w:r>
      <w:r>
        <w:t xml:space="preserve"> means — </w:t>
      </w:r>
    </w:p>
    <w:p>
      <w:pPr>
        <w:pStyle w:val="Defpara"/>
      </w:pPr>
      <w:r>
        <w:tab/>
        <w:t>(a)</w:t>
      </w:r>
      <w:r>
        <w:tab/>
        <w:t>a vessel belonging to the naval, military or air forces of the Commonwealth or of any other country, including a foreign country; or</w:t>
      </w:r>
    </w:p>
    <w:p>
      <w:pPr>
        <w:pStyle w:val="Defpara"/>
      </w:pPr>
      <w:r>
        <w:tab/>
        <w:t>(b)</w:t>
      </w:r>
      <w:r>
        <w:tab/>
        <w:t>a vessel which the harbour master considers to be a non</w:t>
      </w:r>
      <w:r>
        <w:noBreakHyphen/>
        <w:t>commercial vessel;</w:t>
      </w:r>
    </w:p>
    <w:p>
      <w:pPr>
        <w:pStyle w:val="Defstart"/>
      </w:pPr>
      <w:r>
        <w:tab/>
      </w:r>
      <w:r>
        <w:rPr>
          <w:rStyle w:val="CharDefText"/>
        </w:rPr>
        <w:t>normal working hours</w:t>
      </w:r>
      <w:r>
        <w:t xml:space="preserve"> means the hours between 7:30 a.m. and 3:30 p.m. each day, other than a Saturday, a Sunday or a public holiday;</w:t>
      </w:r>
    </w:p>
    <w:p>
      <w:pPr>
        <w:pStyle w:val="Defstart"/>
      </w:pPr>
      <w:r>
        <w:tab/>
      </w:r>
      <w:r>
        <w:rPr>
          <w:rStyle w:val="CharDefText"/>
        </w:rPr>
        <w:t>passenger vessel</w:t>
      </w:r>
      <w:r>
        <w:t xml:space="preserve"> has the meaning given in the Marine Act section 3(1);</w:t>
      </w:r>
    </w:p>
    <w:p>
      <w:pPr>
        <w:pStyle w:val="Defstart"/>
      </w:pPr>
      <w:r>
        <w:tab/>
      </w:r>
      <w:r>
        <w:rPr>
          <w:rStyle w:val="CharDefText"/>
        </w:rPr>
        <w:t>pilotage exemption certificate</w:t>
      </w:r>
      <w:r>
        <w:t xml:space="preserve"> means — </w:t>
      </w:r>
    </w:p>
    <w:p>
      <w:pPr>
        <w:pStyle w:val="Defpara"/>
      </w:pPr>
      <w:r>
        <w:tab/>
        <w:t>(a)</w:t>
      </w:r>
      <w:r>
        <w:tab/>
        <w:t>a pilotage exemption certificate issued under regulation 51;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a pilotage exemption certificate issued under Schedule 1 clause 76 or a certificate of local knowledge issued under Schedule 1 clause 89.</w:t>
      </w:r>
    </w:p>
    <w:p>
      <w:pPr>
        <w:pStyle w:val="Footnotesection"/>
      </w:pPr>
      <w:r>
        <w:tab/>
        <w:t>[Regulation 22 amended in Gazette 23 Jun 2009 p. 2486.]</w:t>
      </w:r>
    </w:p>
    <w:p>
      <w:pPr>
        <w:pStyle w:val="Heading3"/>
        <w:keepNext w:val="0"/>
      </w:pPr>
      <w:bookmarkStart w:id="128" w:name="_Toc408471773"/>
      <w:bookmarkStart w:id="129" w:name="_Toc416945418"/>
      <w:bookmarkStart w:id="130" w:name="_Toc416945757"/>
      <w:bookmarkStart w:id="131" w:name="_Toc416946041"/>
      <w:bookmarkStart w:id="132" w:name="_Toc417655611"/>
      <w:bookmarkStart w:id="133" w:name="_Toc461722038"/>
      <w:bookmarkStart w:id="134" w:name="_Toc461723685"/>
      <w:bookmarkStart w:id="135" w:name="_Toc493069437"/>
      <w:r>
        <w:rPr>
          <w:rStyle w:val="CharDivNo"/>
        </w:rPr>
        <w:t>Division 2</w:t>
      </w:r>
      <w:r>
        <w:t xml:space="preserve"> — </w:t>
      </w:r>
      <w:r>
        <w:rPr>
          <w:rStyle w:val="CharDivText"/>
        </w:rPr>
        <w:t>Approval of pilots</w:t>
      </w:r>
      <w:bookmarkEnd w:id="128"/>
      <w:bookmarkEnd w:id="129"/>
      <w:bookmarkEnd w:id="130"/>
      <w:bookmarkEnd w:id="131"/>
      <w:bookmarkEnd w:id="132"/>
      <w:bookmarkEnd w:id="133"/>
      <w:bookmarkEnd w:id="134"/>
      <w:bookmarkEnd w:id="135"/>
    </w:p>
    <w:p>
      <w:pPr>
        <w:pStyle w:val="Heading5"/>
        <w:spacing w:before="240"/>
      </w:pPr>
      <w:bookmarkStart w:id="136" w:name="_Toc408471774"/>
      <w:bookmarkStart w:id="137" w:name="_Toc493069438"/>
      <w:bookmarkStart w:id="138" w:name="_Toc461723686"/>
      <w:r>
        <w:rPr>
          <w:rStyle w:val="CharSectno"/>
        </w:rPr>
        <w:t>23</w:t>
      </w:r>
      <w:r>
        <w:t>.</w:t>
      </w:r>
      <w:r>
        <w:tab/>
        <w:t>Eligibility to be approved as pilot</w:t>
      </w:r>
      <w:bookmarkEnd w:id="136"/>
      <w:bookmarkEnd w:id="137"/>
      <w:bookmarkEnd w:id="138"/>
    </w:p>
    <w:p>
      <w:pPr>
        <w:pStyle w:val="Subsection"/>
      </w:pPr>
      <w:r>
        <w:tab/>
        <w:t>(1)</w:t>
      </w:r>
      <w:r>
        <w:tab/>
        <w:t xml:space="preserve">A port authority may approve a person under section 96 of the Act as a pilot for its port if the person — </w:t>
      </w:r>
    </w:p>
    <w:p>
      <w:pPr>
        <w:pStyle w:val="Indenta"/>
      </w:pPr>
      <w:r>
        <w:tab/>
        <w:t>(a)</w:t>
      </w:r>
      <w:r>
        <w:tab/>
        <w:t xml:space="preserve">produces evidence that satisfies the harbour master that the person meets the medical fitness requirements in </w:t>
      </w:r>
      <w:r>
        <w:rPr>
          <w:i/>
        </w:rPr>
        <w:t>Marine Order 9 (Health — medical fitness) 2010</w:t>
      </w:r>
      <w:r>
        <w:t>, given effect under the Navigation Act section 343(2); and</w:t>
      </w:r>
    </w:p>
    <w:p>
      <w:pPr>
        <w:pStyle w:val="Indenta"/>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pPr>
      <w:r>
        <w:tab/>
        <w:t>(2)</w:t>
      </w:r>
      <w:r>
        <w:tab/>
        <w:t>The harbour master is to make available to a person who requests it written information explaining what is required to satisfy the harbour master under subregulation (1).</w:t>
      </w:r>
    </w:p>
    <w:p>
      <w:pPr>
        <w:pStyle w:val="Footnotesection"/>
        <w:ind w:left="890" w:hanging="890"/>
      </w:pPr>
      <w:r>
        <w:tab/>
        <w:t>[Regulation 23 amended in Gazette 5 Sep 2014 p. 3214.]</w:t>
      </w:r>
    </w:p>
    <w:p>
      <w:pPr>
        <w:pStyle w:val="Heading5"/>
        <w:spacing w:before="240"/>
      </w:pPr>
      <w:bookmarkStart w:id="139" w:name="_Toc408471775"/>
      <w:bookmarkStart w:id="140" w:name="_Toc493069439"/>
      <w:bookmarkStart w:id="141" w:name="_Toc461723687"/>
      <w:r>
        <w:rPr>
          <w:rStyle w:val="CharSectno"/>
        </w:rPr>
        <w:t>24</w:t>
      </w:r>
      <w:r>
        <w:t>.</w:t>
      </w:r>
      <w:r>
        <w:tab/>
        <w:t>Approving pilots; retaining approval as pilot</w:t>
      </w:r>
      <w:bookmarkEnd w:id="139"/>
      <w:bookmarkEnd w:id="140"/>
      <w:bookmarkEnd w:id="141"/>
    </w:p>
    <w:p>
      <w:pPr>
        <w:pStyle w:val="Subsection"/>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spacing w:before="120"/>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 and</w:t>
      </w:r>
    </w:p>
    <w:p>
      <w:pPr>
        <w:pStyle w:val="Indenta"/>
      </w:pPr>
      <w:r>
        <w:tab/>
        <w:t>(b)</w:t>
      </w:r>
      <w:r>
        <w:tab/>
        <w:t>on the number of occasions; and</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spacing w:before="180"/>
      </w:pPr>
      <w:bookmarkStart w:id="142" w:name="_Toc408471776"/>
      <w:bookmarkStart w:id="143" w:name="_Toc493069440"/>
      <w:bookmarkStart w:id="144" w:name="_Toc461723688"/>
      <w:r>
        <w:rPr>
          <w:rStyle w:val="CharSectno"/>
        </w:rPr>
        <w:t>25</w:t>
      </w:r>
      <w:r>
        <w:t>.</w:t>
      </w:r>
      <w:r>
        <w:tab/>
        <w:t>Duties of approved pilots for r. 24(3)</w:t>
      </w:r>
      <w:bookmarkEnd w:id="142"/>
      <w:bookmarkEnd w:id="143"/>
      <w:bookmarkEnd w:id="144"/>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keepNext/>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145" w:name="_Toc408471777"/>
      <w:bookmarkStart w:id="146" w:name="_Toc416945422"/>
      <w:bookmarkStart w:id="147" w:name="_Toc416945761"/>
      <w:bookmarkStart w:id="148" w:name="_Toc416946045"/>
      <w:bookmarkStart w:id="149" w:name="_Toc417655615"/>
      <w:bookmarkStart w:id="150" w:name="_Toc461722042"/>
      <w:bookmarkStart w:id="151" w:name="_Toc461723689"/>
      <w:bookmarkStart w:id="152" w:name="_Toc493069441"/>
      <w:r>
        <w:rPr>
          <w:rStyle w:val="CharDivNo"/>
        </w:rPr>
        <w:t>Division 3</w:t>
      </w:r>
      <w:r>
        <w:t xml:space="preserve"> — </w:t>
      </w:r>
      <w:r>
        <w:rPr>
          <w:rStyle w:val="CharDivText"/>
        </w:rPr>
        <w:t>Providers of pilotage services to be licensed</w:t>
      </w:r>
      <w:bookmarkEnd w:id="145"/>
      <w:bookmarkEnd w:id="146"/>
      <w:bookmarkEnd w:id="147"/>
      <w:bookmarkEnd w:id="148"/>
      <w:bookmarkEnd w:id="149"/>
      <w:bookmarkEnd w:id="150"/>
      <w:bookmarkEnd w:id="151"/>
      <w:bookmarkEnd w:id="152"/>
    </w:p>
    <w:p>
      <w:pPr>
        <w:pStyle w:val="Heading5"/>
      </w:pPr>
      <w:bookmarkStart w:id="153" w:name="_Toc408471778"/>
      <w:bookmarkStart w:id="154" w:name="_Toc493069442"/>
      <w:bookmarkStart w:id="155" w:name="_Toc461723690"/>
      <w:r>
        <w:rPr>
          <w:rStyle w:val="CharSectno"/>
        </w:rPr>
        <w:t>26</w:t>
      </w:r>
      <w:r>
        <w:t>.</w:t>
      </w:r>
      <w:r>
        <w:tab/>
        <w:t>Division 2 not affected by this Division</w:t>
      </w:r>
      <w:bookmarkEnd w:id="153"/>
      <w:bookmarkEnd w:id="154"/>
      <w:bookmarkEnd w:id="155"/>
    </w:p>
    <w:p>
      <w:pPr>
        <w:pStyle w:val="Subsection"/>
      </w:pPr>
      <w:r>
        <w:tab/>
      </w:r>
      <w:r>
        <w:tab/>
        <w:t>Nothing in this Division limits the operation of Division 2.</w:t>
      </w:r>
    </w:p>
    <w:p>
      <w:pPr>
        <w:pStyle w:val="Heading5"/>
      </w:pPr>
      <w:bookmarkStart w:id="156" w:name="_Toc408471779"/>
      <w:bookmarkStart w:id="157" w:name="_Toc493069443"/>
      <w:bookmarkStart w:id="158" w:name="_Toc461723691"/>
      <w:r>
        <w:rPr>
          <w:rStyle w:val="CharSectno"/>
        </w:rPr>
        <w:t>27</w:t>
      </w:r>
      <w:r>
        <w:t>.</w:t>
      </w:r>
      <w:r>
        <w:tab/>
        <w:t>Unlicensed persons not to provide pilotage services in ports</w:t>
      </w:r>
      <w:bookmarkEnd w:id="156"/>
      <w:bookmarkEnd w:id="157"/>
      <w:bookmarkEnd w:id="158"/>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in relation to that port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Footnotesection"/>
        <w:spacing w:before="100"/>
        <w:ind w:left="890" w:hanging="890"/>
      </w:pPr>
      <w:r>
        <w:tab/>
        <w:t>[Regulation 27 amended in Gazette 20 Jun 2014 p. 2030.]</w:t>
      </w:r>
    </w:p>
    <w:p>
      <w:pPr>
        <w:pStyle w:val="Heading5"/>
      </w:pPr>
      <w:bookmarkStart w:id="159" w:name="_Toc408471780"/>
      <w:bookmarkStart w:id="160" w:name="_Toc493069444"/>
      <w:bookmarkStart w:id="161" w:name="_Toc461723692"/>
      <w:r>
        <w:rPr>
          <w:rStyle w:val="CharSectno"/>
        </w:rPr>
        <w:t>28</w:t>
      </w:r>
      <w:r>
        <w:t>.</w:t>
      </w:r>
      <w:r>
        <w:tab/>
        <w:t>Pilotage provider’s licence, application for and issue and effect of</w:t>
      </w:r>
      <w:bookmarkEnd w:id="159"/>
      <w:bookmarkEnd w:id="160"/>
      <w:bookmarkEnd w:id="161"/>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in relation to that port to the applicant.</w:t>
      </w:r>
    </w:p>
    <w:p>
      <w:pPr>
        <w:pStyle w:val="Subsection"/>
        <w:keepNext/>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pPr>
      <w:r>
        <w:tab/>
        <w:t>(4)</w:t>
      </w:r>
      <w:r>
        <w:tab/>
        <w:t xml:space="preserve">The fees referred to in subregulations (1) and (3)(a) are not payable by a person in relation to — </w:t>
      </w:r>
    </w:p>
    <w:p>
      <w:pPr>
        <w:pStyle w:val="Indenta"/>
      </w:pPr>
      <w:r>
        <w:tab/>
        <w:t>(a)</w:t>
      </w:r>
      <w:r>
        <w:tab/>
        <w:t>an application for a pilotage provider’s licence in relation to the Port of Ashburton or the Port of Dampier that is made to the Pilbara Ports Authority; or</w:t>
      </w:r>
    </w:p>
    <w:p>
      <w:pPr>
        <w:pStyle w:val="Indenta"/>
      </w:pPr>
      <w:r>
        <w:tab/>
        <w:t>(b)</w:t>
      </w:r>
      <w:r>
        <w:tab/>
        <w:t>a pilotage provider’s licence in relation to the Port of Ashburton or the Port of Dampier issued by the Pilbara Ports Authority.</w:t>
      </w:r>
    </w:p>
    <w:p>
      <w:pPr>
        <w:pStyle w:val="Footnotesection"/>
        <w:spacing w:before="100"/>
        <w:ind w:left="890" w:hanging="890"/>
      </w:pPr>
      <w:r>
        <w:tab/>
        <w:t>[Regulation 28 amended in Gazette 20 Jun 2014 p. 2030.]</w:t>
      </w:r>
    </w:p>
    <w:p>
      <w:pPr>
        <w:pStyle w:val="Heading5"/>
      </w:pPr>
      <w:bookmarkStart w:id="162" w:name="_Toc408471781"/>
      <w:bookmarkStart w:id="163" w:name="_Toc493069445"/>
      <w:bookmarkStart w:id="164" w:name="_Toc461723693"/>
      <w:r>
        <w:rPr>
          <w:rStyle w:val="CharSectno"/>
        </w:rPr>
        <w:t>29</w:t>
      </w:r>
      <w:r>
        <w:t>.</w:t>
      </w:r>
      <w:r>
        <w:tab/>
        <w:t>Cancelling and suspending pilotage provider’s licence</w:t>
      </w:r>
      <w:bookmarkEnd w:id="162"/>
      <w:bookmarkEnd w:id="163"/>
      <w:bookmarkEnd w:id="164"/>
    </w:p>
    <w:p>
      <w:pPr>
        <w:pStyle w:val="Subsection"/>
      </w:pPr>
      <w:r>
        <w:tab/>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pPr>
      <w:r>
        <w:tab/>
        <w:t>(2)</w:t>
      </w:r>
      <w:r>
        <w:tab/>
        <w:t>A pilotage provider’s licence is to set out procedures determined by the port authority that enable the person who holds the licence to appeal if the licence is suspended or cancelled under subregulation (1).</w:t>
      </w:r>
    </w:p>
    <w:p>
      <w:pPr>
        <w:pStyle w:val="Subsection"/>
      </w:pPr>
      <w:r>
        <w:tab/>
        <w:t>(3)</w:t>
      </w:r>
      <w:r>
        <w:tab/>
        <w:t>A notice under subregulation (1) has effect on the day on which the person who holds the pilotage provider’s licence is given the notice or on any later day specified in the notice.</w:t>
      </w:r>
    </w:p>
    <w:p>
      <w:pPr>
        <w:pStyle w:val="Subsection"/>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pPr>
      <w:r>
        <w:tab/>
        <w:t>(5)</w:t>
      </w:r>
      <w:r>
        <w:tab/>
        <w:t>A person who does not comply with subregulation (4) commits an offence.</w:t>
      </w:r>
    </w:p>
    <w:p>
      <w:pPr>
        <w:pStyle w:val="Penstart"/>
      </w:pPr>
      <w:r>
        <w:tab/>
        <w:t>Penalty: $2 000.</w:t>
      </w:r>
    </w:p>
    <w:p>
      <w:pPr>
        <w:pStyle w:val="Heading3"/>
        <w:spacing w:before="220"/>
      </w:pPr>
      <w:bookmarkStart w:id="165" w:name="_Toc408471782"/>
      <w:bookmarkStart w:id="166" w:name="_Toc416945427"/>
      <w:bookmarkStart w:id="167" w:name="_Toc416945766"/>
      <w:bookmarkStart w:id="168" w:name="_Toc416946050"/>
      <w:bookmarkStart w:id="169" w:name="_Toc417655620"/>
      <w:bookmarkStart w:id="170" w:name="_Toc461722047"/>
      <w:bookmarkStart w:id="171" w:name="_Toc461723694"/>
      <w:bookmarkStart w:id="172" w:name="_Toc493069446"/>
      <w:r>
        <w:rPr>
          <w:rStyle w:val="CharDivNo"/>
        </w:rPr>
        <w:t>Division 4</w:t>
      </w:r>
      <w:r>
        <w:t xml:space="preserve"> — </w:t>
      </w:r>
      <w:r>
        <w:rPr>
          <w:rStyle w:val="CharDivText"/>
        </w:rPr>
        <w:t>Pilots and pilotage</w:t>
      </w:r>
      <w:bookmarkEnd w:id="165"/>
      <w:bookmarkEnd w:id="166"/>
      <w:bookmarkEnd w:id="167"/>
      <w:bookmarkEnd w:id="168"/>
      <w:bookmarkEnd w:id="169"/>
      <w:bookmarkEnd w:id="170"/>
      <w:bookmarkEnd w:id="171"/>
      <w:bookmarkEnd w:id="172"/>
    </w:p>
    <w:p>
      <w:pPr>
        <w:pStyle w:val="Heading5"/>
        <w:rPr>
          <w:b w:val="0"/>
        </w:rPr>
      </w:pPr>
      <w:bookmarkStart w:id="173" w:name="_Toc408471783"/>
      <w:bookmarkStart w:id="174" w:name="_Toc493069447"/>
      <w:bookmarkStart w:id="175" w:name="_Toc461723695"/>
      <w:r>
        <w:rPr>
          <w:rStyle w:val="CharSectno"/>
        </w:rPr>
        <w:t>30</w:t>
      </w:r>
      <w:r>
        <w:t>.</w:t>
      </w:r>
      <w:r>
        <w:tab/>
        <w:t>When pilotage is not compulsory (Act s. 97(1))</w:t>
      </w:r>
      <w:bookmarkEnd w:id="173"/>
      <w:bookmarkEnd w:id="174"/>
      <w:bookmarkEnd w:id="175"/>
    </w:p>
    <w:p>
      <w:pPr>
        <w:pStyle w:val="Subsection"/>
      </w:pPr>
      <w:r>
        <w:tab/>
        <w:t>(1)</w:t>
      </w:r>
      <w:r>
        <w:tab/>
        <w:t xml:space="preserve">For the purposes of section 97(1) of the Act and subject to subregulations (2) and (3) and regulation 31,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 or</w:t>
      </w:r>
    </w:p>
    <w:p>
      <w:pPr>
        <w:pStyle w:val="Indenta"/>
      </w:pPr>
      <w:r>
        <w:tab/>
        <w:t>(b)</w:t>
      </w:r>
      <w:r>
        <w:tab/>
        <w:t>has a length overall of not more than 35 m; or</w:t>
      </w:r>
    </w:p>
    <w:p>
      <w:pPr>
        <w:pStyle w:val="Indenta"/>
        <w:rPr>
          <w:del w:id="176" w:author="Master Repository Process" w:date="2021-09-11T20:29:00Z"/>
        </w:rPr>
      </w:pPr>
      <w:del w:id="177" w:author="Master Repository Process" w:date="2021-09-11T20:29:00Z">
        <w:r>
          <w:tab/>
          <w:delText>(c)</w:delText>
        </w:r>
        <w:r>
          <w:tab/>
          <w:delText>is of not more than 150 gross registered tonnes; or</w:delText>
        </w:r>
      </w:del>
    </w:p>
    <w:p>
      <w:pPr>
        <w:pStyle w:val="Ednotepara"/>
        <w:rPr>
          <w:ins w:id="178" w:author="Master Repository Process" w:date="2021-09-11T20:29:00Z"/>
        </w:rPr>
      </w:pPr>
      <w:ins w:id="179" w:author="Master Repository Process" w:date="2021-09-11T20:29:00Z">
        <w:r>
          <w:tab/>
          <w:t>[(c)</w:t>
        </w:r>
        <w:r>
          <w:tab/>
          <w:t>deleted]</w:t>
        </w:r>
      </w:ins>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r>
      <w:r>
        <w:tab/>
        <w:t>or</w:t>
      </w:r>
    </w:p>
    <w:p>
      <w:pPr>
        <w:pStyle w:val="Indenta"/>
      </w:pPr>
      <w:r>
        <w:tab/>
        <w:t>(e)</w:t>
      </w:r>
      <w:r>
        <w:tab/>
        <w:t>is being led by another vessel that is under the control of a pilot in the circumstances described in regulation 40; or</w:t>
      </w:r>
    </w:p>
    <w:p>
      <w:pPr>
        <w:pStyle w:val="Indenta"/>
      </w:pPr>
      <w:r>
        <w:tab/>
        <w:t>(f)</w:t>
      </w:r>
      <w:r>
        <w:tab/>
        <w:t>is, for the convenience of shipping in the port or because the vessel is engaged in dredging operations, exempted by the harbour master from using pilotage services.</w:t>
      </w:r>
    </w:p>
    <w:p>
      <w:pPr>
        <w:pStyle w:val="Subsection"/>
      </w:pPr>
      <w:r>
        <w:tab/>
        <w:t>(2)</w:t>
      </w:r>
      <w:r>
        <w:tab/>
        <w:t xml:space="preserve">Subregulation (1)(d) applies to a vessel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xml:space="preserve"> only if it has a draught of less than 12.5 m.</w:t>
      </w:r>
    </w:p>
    <w:p>
      <w:pPr>
        <w:pStyle w:val="Subsection"/>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Footnotesection"/>
        <w:spacing w:before="100"/>
        <w:ind w:left="890" w:hanging="890"/>
      </w:pPr>
      <w:r>
        <w:tab/>
        <w:t>[Regulation 30 amended in Gazette 16 Sep 2016 p. 3944.]</w:t>
      </w:r>
    </w:p>
    <w:p>
      <w:pPr>
        <w:pStyle w:val="Heading5"/>
        <w:rPr>
          <w:b w:val="0"/>
        </w:rPr>
      </w:pPr>
      <w:bookmarkStart w:id="180" w:name="_Toc408471784"/>
      <w:bookmarkStart w:id="181" w:name="_Toc493069448"/>
      <w:bookmarkStart w:id="182" w:name="_Toc461723696"/>
      <w:r>
        <w:rPr>
          <w:rStyle w:val="CharSectno"/>
        </w:rPr>
        <w:t>31</w:t>
      </w:r>
      <w:r>
        <w:t>.</w:t>
      </w:r>
      <w:r>
        <w:tab/>
        <w:t>Harbour master may direct exempt master to ensure vessel uses pilotage services</w:t>
      </w:r>
      <w:bookmarkEnd w:id="180"/>
      <w:bookmarkEnd w:id="181"/>
      <w:bookmarkEnd w:id="182"/>
    </w:p>
    <w:p>
      <w:pPr>
        <w:pStyle w:val="Subsection"/>
      </w:pPr>
      <w:r>
        <w:tab/>
        <w:t>(1)</w:t>
      </w:r>
      <w:r>
        <w:tab/>
        <w:t xml:space="preserve">The harbour master may direct the master of a vessel that, under regulation 30 or Schedule 1 clause 5,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 or</w:t>
      </w:r>
    </w:p>
    <w:p>
      <w:pPr>
        <w:pStyle w:val="Indenta"/>
      </w:pPr>
      <w:r>
        <w:tab/>
        <w:t>(b)</w:t>
      </w:r>
      <w:r>
        <w:tab/>
        <w:t>because of major works being carried out in the port; or</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183" w:name="_Toc408471785"/>
      <w:bookmarkStart w:id="184" w:name="_Toc493069449"/>
      <w:bookmarkStart w:id="185" w:name="_Toc461723697"/>
      <w:r>
        <w:rPr>
          <w:rStyle w:val="CharSectno"/>
        </w:rPr>
        <w:t>32</w:t>
      </w:r>
      <w:r>
        <w:t>.</w:t>
      </w:r>
      <w:r>
        <w:tab/>
        <w:t>Notifying port authority when pilot is required</w:t>
      </w:r>
      <w:bookmarkEnd w:id="183"/>
      <w:bookmarkEnd w:id="184"/>
      <w:bookmarkEnd w:id="185"/>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keepNext/>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pPr>
      <w:bookmarkStart w:id="186" w:name="_Toc408471786"/>
      <w:bookmarkStart w:id="187" w:name="_Toc493069450"/>
      <w:bookmarkStart w:id="188" w:name="_Toc461723698"/>
      <w:r>
        <w:rPr>
          <w:rStyle w:val="CharSectno"/>
        </w:rPr>
        <w:t>33</w:t>
      </w:r>
      <w:r>
        <w:t>.</w:t>
      </w:r>
      <w:r>
        <w:tab/>
        <w:t>Vessel not ready for pilot at notified time, liability for port authority’s expenses</w:t>
      </w:r>
      <w:bookmarkEnd w:id="186"/>
      <w:bookmarkEnd w:id="187"/>
      <w:bookmarkEnd w:id="188"/>
    </w:p>
    <w:p>
      <w:pPr>
        <w:pStyle w:val="Subsection"/>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keepLines w:val="0"/>
        <w:spacing w:before="180"/>
        <w:rPr>
          <w:b w:val="0"/>
        </w:rPr>
      </w:pPr>
      <w:bookmarkStart w:id="189" w:name="_Toc408471787"/>
      <w:bookmarkStart w:id="190" w:name="_Toc493069451"/>
      <w:bookmarkStart w:id="191" w:name="_Toc461723699"/>
      <w:r>
        <w:rPr>
          <w:rStyle w:val="CharSectno"/>
        </w:rPr>
        <w:t>34</w:t>
      </w:r>
      <w:r>
        <w:t>.</w:t>
      </w:r>
      <w:r>
        <w:tab/>
        <w:t>Positioning of vessel when pilot boards or leaves vessel</w:t>
      </w:r>
      <w:bookmarkEnd w:id="189"/>
      <w:bookmarkEnd w:id="190"/>
      <w:bookmarkEnd w:id="191"/>
    </w:p>
    <w:p>
      <w:pPr>
        <w:pStyle w:val="Subsection"/>
      </w:pPr>
      <w:r>
        <w:tab/>
      </w:r>
      <w:r>
        <w:tab/>
        <w:t>The master of a vessel that is to be under the control of a pilot is to position the vessel so as to provide the best possible lee for the pilot when boarding or leaving the vessel.</w:t>
      </w:r>
    </w:p>
    <w:p>
      <w:pPr>
        <w:pStyle w:val="Heading5"/>
        <w:keepNext w:val="0"/>
        <w:keepLines w:val="0"/>
      </w:pPr>
      <w:bookmarkStart w:id="192" w:name="_Toc408471788"/>
      <w:bookmarkStart w:id="193" w:name="_Toc493069452"/>
      <w:bookmarkStart w:id="194" w:name="_Toc461723700"/>
      <w:r>
        <w:rPr>
          <w:rStyle w:val="CharSectno"/>
        </w:rPr>
        <w:t>35</w:t>
      </w:r>
      <w:r>
        <w:t>.</w:t>
      </w:r>
      <w:r>
        <w:tab/>
        <w:t>Facilities to be provided when pilot boards or leaves vessel</w:t>
      </w:r>
      <w:bookmarkEnd w:id="192"/>
      <w:bookmarkEnd w:id="193"/>
      <w:bookmarkEnd w:id="194"/>
    </w:p>
    <w:p>
      <w:pPr>
        <w:pStyle w:val="Subsection"/>
      </w:pPr>
      <w:r>
        <w:tab/>
      </w:r>
      <w:r>
        <w:tab/>
        <w:t>The master of a vessel is to ensure that appropriate facilities for boarding or leaving the vessel are provided for a pilot who is to board or leave it.</w:t>
      </w:r>
    </w:p>
    <w:p>
      <w:pPr>
        <w:pStyle w:val="Heading5"/>
      </w:pPr>
      <w:bookmarkStart w:id="195" w:name="_Toc408471789"/>
      <w:bookmarkStart w:id="196" w:name="_Toc493069453"/>
      <w:bookmarkStart w:id="197" w:name="_Toc461723701"/>
      <w:r>
        <w:rPr>
          <w:rStyle w:val="CharSectno"/>
        </w:rPr>
        <w:t>36</w:t>
      </w:r>
      <w:r>
        <w:t>.</w:t>
      </w:r>
      <w:r>
        <w:tab/>
        <w:t>Master’s duties when pilot has boarded vessel</w:t>
      </w:r>
      <w:bookmarkEnd w:id="195"/>
      <w:bookmarkEnd w:id="196"/>
      <w:bookmarkEnd w:id="197"/>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 and</w:t>
      </w:r>
    </w:p>
    <w:p>
      <w:pPr>
        <w:pStyle w:val="Indenta"/>
      </w:pPr>
      <w:r>
        <w:tab/>
        <w:t>(b)</w:t>
      </w:r>
      <w:r>
        <w:tab/>
        <w:t>must inform the pilot of the vessel’s draught, its manoeuvring characteristics and any defects in its equipment that could affect the safe movement of the vessel; and</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198" w:name="_Toc408471790"/>
      <w:bookmarkStart w:id="199" w:name="_Toc493069454"/>
      <w:bookmarkStart w:id="200" w:name="_Toc461723702"/>
      <w:r>
        <w:rPr>
          <w:rStyle w:val="CharSectno"/>
        </w:rPr>
        <w:t>37</w:t>
      </w:r>
      <w:r>
        <w:t>.</w:t>
      </w:r>
      <w:r>
        <w:tab/>
        <w:t>Tug master to comply with pilot’s directions</w:t>
      </w:r>
      <w:bookmarkEnd w:id="198"/>
      <w:bookmarkEnd w:id="199"/>
      <w:bookmarkEnd w:id="200"/>
      <w:r>
        <w:t xml:space="preserve"> </w:t>
      </w:r>
    </w:p>
    <w:p>
      <w:pPr>
        <w:pStyle w:val="Subsection"/>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201" w:name="_Toc408471791"/>
      <w:bookmarkStart w:id="202" w:name="_Toc493069455"/>
      <w:bookmarkStart w:id="203" w:name="_Toc461723703"/>
      <w:r>
        <w:rPr>
          <w:rStyle w:val="CharSectno"/>
        </w:rPr>
        <w:t>38</w:t>
      </w:r>
      <w:r>
        <w:t>.</w:t>
      </w:r>
      <w:r>
        <w:tab/>
        <w:t>Harbour master may require second pilot to be used</w:t>
      </w:r>
      <w:bookmarkEnd w:id="201"/>
      <w:bookmarkEnd w:id="202"/>
      <w:bookmarkEnd w:id="203"/>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pPr>
      <w:r>
        <w:tab/>
        <w:t>(2)</w:t>
      </w:r>
      <w:r>
        <w:tab/>
        <w:t>A person who does not comply with a direction under subregulation (1) commits an offence.</w:t>
      </w:r>
    </w:p>
    <w:p>
      <w:pPr>
        <w:pStyle w:val="Penstart"/>
      </w:pPr>
      <w:r>
        <w:tab/>
        <w:t>Penalty: $5 000.</w:t>
      </w:r>
    </w:p>
    <w:p>
      <w:pPr>
        <w:pStyle w:val="Heading5"/>
        <w:rPr>
          <w:b w:val="0"/>
        </w:rPr>
      </w:pPr>
      <w:bookmarkStart w:id="204" w:name="_Toc408471792"/>
      <w:bookmarkStart w:id="205" w:name="_Toc493069456"/>
      <w:bookmarkStart w:id="206" w:name="_Toc461723704"/>
      <w:r>
        <w:rPr>
          <w:rStyle w:val="CharSectno"/>
        </w:rPr>
        <w:t>39</w:t>
      </w:r>
      <w:r>
        <w:t>.</w:t>
      </w:r>
      <w:r>
        <w:tab/>
        <w:t>Pilots to carry and produce evidence of approval</w:t>
      </w:r>
      <w:bookmarkEnd w:id="204"/>
      <w:bookmarkEnd w:id="205"/>
      <w:bookmarkEnd w:id="206"/>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207" w:name="_Toc408471793"/>
      <w:bookmarkStart w:id="208" w:name="_Toc493069457"/>
      <w:bookmarkStart w:id="209" w:name="_Toc461723705"/>
      <w:r>
        <w:rPr>
          <w:rStyle w:val="CharSectno"/>
        </w:rPr>
        <w:t>40</w:t>
      </w:r>
      <w:r>
        <w:t>.</w:t>
      </w:r>
      <w:r>
        <w:tab/>
        <w:t>Vessel being led is under control of pilot and liable to pay for pilotage services</w:t>
      </w:r>
      <w:bookmarkEnd w:id="207"/>
      <w:bookmarkEnd w:id="208"/>
      <w:bookmarkEnd w:id="209"/>
    </w:p>
    <w:p>
      <w:pPr>
        <w:pStyle w:val="Subsection"/>
      </w:pPr>
      <w:r>
        <w:tab/>
        <w:t>(1)</w:t>
      </w:r>
      <w:r>
        <w:tab/>
        <w:t xml:space="preserve">If for any reason — </w:t>
      </w:r>
    </w:p>
    <w:p>
      <w:pPr>
        <w:pStyle w:val="Indenta"/>
      </w:pPr>
      <w:r>
        <w:tab/>
        <w:t>(a)</w:t>
      </w:r>
      <w:r>
        <w:tab/>
        <w:t>a vessel (the</w:t>
      </w:r>
      <w:r>
        <w:rPr>
          <w:rStyle w:val="CharDefText"/>
        </w:rPr>
        <w:t xml:space="preserve"> first vessel</w:t>
      </w:r>
      <w:r>
        <w:t>)</w:t>
      </w:r>
      <w:r>
        <w:rPr>
          <w:b/>
        </w:rPr>
        <w:t xml:space="preserve"> </w:t>
      </w:r>
      <w:r>
        <w:t>is unable to be boarded by a pilot for the purpose of being moved in a port; and</w:t>
      </w:r>
    </w:p>
    <w:p>
      <w:pPr>
        <w:pStyle w:val="Indenta"/>
        <w:keepNext/>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Ednotedivision"/>
      </w:pPr>
      <w:r>
        <w:t>[Division 5 (r. 41</w:t>
      </w:r>
      <w:r>
        <w:noBreakHyphen/>
        <w:t>48) deleted in Gazette 20 Jun 2014 p. 2030.]</w:t>
      </w:r>
    </w:p>
    <w:p>
      <w:pPr>
        <w:pStyle w:val="Heading3"/>
        <w:keepLines/>
        <w:tabs>
          <w:tab w:val="left" w:pos="1482"/>
        </w:tabs>
      </w:pPr>
      <w:bookmarkStart w:id="210" w:name="_Toc408471794"/>
      <w:bookmarkStart w:id="211" w:name="_Toc416945439"/>
      <w:bookmarkStart w:id="212" w:name="_Toc416945778"/>
      <w:bookmarkStart w:id="213" w:name="_Toc416946062"/>
      <w:bookmarkStart w:id="214" w:name="_Toc417655632"/>
      <w:bookmarkStart w:id="215" w:name="_Toc461722059"/>
      <w:bookmarkStart w:id="216" w:name="_Toc461723706"/>
      <w:bookmarkStart w:id="217" w:name="_Toc493069458"/>
      <w:r>
        <w:rPr>
          <w:rStyle w:val="CharDivNo"/>
        </w:rPr>
        <w:t>Division 6</w:t>
      </w:r>
      <w:r>
        <w:t xml:space="preserve"> — </w:t>
      </w:r>
      <w:r>
        <w:rPr>
          <w:rStyle w:val="CharDivText"/>
        </w:rPr>
        <w:t>Pilotage exemption certificates</w:t>
      </w:r>
      <w:bookmarkEnd w:id="210"/>
      <w:bookmarkEnd w:id="211"/>
      <w:bookmarkEnd w:id="212"/>
      <w:bookmarkEnd w:id="213"/>
      <w:bookmarkEnd w:id="214"/>
      <w:bookmarkEnd w:id="215"/>
      <w:bookmarkEnd w:id="216"/>
      <w:bookmarkEnd w:id="217"/>
    </w:p>
    <w:p>
      <w:pPr>
        <w:pStyle w:val="PermNoteHeading"/>
      </w:pPr>
      <w:r>
        <w:tab/>
        <w:t>Note for this Division:</w:t>
      </w:r>
    </w:p>
    <w:p>
      <w:pPr>
        <w:pStyle w:val="PermNoteText"/>
      </w:pPr>
      <w:r>
        <w:tab/>
      </w:r>
      <w:r>
        <w:tab/>
        <w:t xml:space="preserve">This Division is displaced by Schedule 1 Division 5 Subdivision 2 in relation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Heading5"/>
        <w:keepNext w:val="0"/>
        <w:keepLines w:val="0"/>
        <w:rPr>
          <w:b w:val="0"/>
        </w:rPr>
      </w:pPr>
      <w:bookmarkStart w:id="218" w:name="_Toc408471795"/>
      <w:bookmarkStart w:id="219" w:name="_Toc493069459"/>
      <w:bookmarkStart w:id="220" w:name="_Toc461723707"/>
      <w:r>
        <w:rPr>
          <w:rStyle w:val="CharSectno"/>
        </w:rPr>
        <w:t>49</w:t>
      </w:r>
      <w:r>
        <w:t>.</w:t>
      </w:r>
      <w:r>
        <w:tab/>
        <w:t>Eligibility for pilotage exemption certificates</w:t>
      </w:r>
      <w:bookmarkEnd w:id="218"/>
      <w:bookmarkEnd w:id="219"/>
      <w:bookmarkEnd w:id="220"/>
    </w:p>
    <w:p>
      <w:pPr>
        <w:pStyle w:val="Subsection"/>
      </w:pPr>
      <w:r>
        <w:tab/>
        <w:t>(1)</w:t>
      </w:r>
      <w:r>
        <w:tab/>
        <w:t xml:space="preserve">A person may apply to the harbour master for a pilotage exemption certificate in respect of a port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certificate of competency under the Navigation Act or the Marine Act that authorises the person to command a vessel of each kind for which the pilotage exemption certificate is sought; or</w:t>
      </w:r>
    </w:p>
    <w:p>
      <w:pPr>
        <w:pStyle w:val="Indenta"/>
      </w:pPr>
      <w:r>
        <w:tab/>
        <w:t>(b)</w:t>
      </w:r>
      <w:r>
        <w:tab/>
        <w:t>a certificate of competency or other qualification recognised by the port authority as equivalent to a certificate of competency described in paragraph (a).</w:t>
      </w:r>
    </w:p>
    <w:p>
      <w:pPr>
        <w:pStyle w:val="Subsection"/>
      </w:pPr>
      <w:r>
        <w:tab/>
        <w:t>(3)</w:t>
      </w:r>
      <w:r>
        <w:tab/>
        <w:t xml:space="preserve">A person complies with this subregulation if, within 12 months before the date of the application, the person — </w:t>
      </w:r>
    </w:p>
    <w:p>
      <w:pPr>
        <w:pStyle w:val="Indenta"/>
      </w:pPr>
      <w:r>
        <w:tab/>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keepLines/>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pPr>
      <w:r>
        <w:tab/>
        <w:t>(a)</w:t>
      </w:r>
      <w:r>
        <w:tab/>
        <w:t>the name of the vessel; and</w:t>
      </w:r>
    </w:p>
    <w:p>
      <w:pPr>
        <w:pStyle w:val="Indenta"/>
      </w:pPr>
      <w:r>
        <w:tab/>
        <w:t>(b)</w:t>
      </w:r>
      <w:r>
        <w:tab/>
        <w:t>the length overall and gross registered tonnage of the vessel; and</w:t>
      </w:r>
    </w:p>
    <w:p>
      <w:pPr>
        <w:pStyle w:val="Indenta"/>
      </w:pPr>
      <w:r>
        <w:tab/>
        <w:t>(c)</w:t>
      </w:r>
      <w:r>
        <w:tab/>
        <w:t>the time and date when the vessel was moved.</w:t>
      </w:r>
    </w:p>
    <w:p>
      <w:pPr>
        <w:pStyle w:val="Subsection"/>
      </w:pPr>
      <w:r>
        <w:tab/>
        <w:t>(5)</w:t>
      </w:r>
      <w:r>
        <w:tab/>
        <w:t xml:space="preserve">In this regulation — </w:t>
      </w:r>
    </w:p>
    <w:p>
      <w:pPr>
        <w:pStyle w:val="Defstart"/>
      </w:pPr>
      <w:r>
        <w:tab/>
      </w:r>
      <w:r>
        <w:rPr>
          <w:rStyle w:val="CharDefText"/>
        </w:rPr>
        <w:t>approved</w:t>
      </w:r>
      <w:r>
        <w:t xml:space="preserve"> means approved by the port authority.</w:t>
      </w:r>
    </w:p>
    <w:p>
      <w:pPr>
        <w:pStyle w:val="Footnotesection"/>
      </w:pPr>
      <w:r>
        <w:tab/>
        <w:t>[Regulation 49 amended in Gazette 5 Sep 2014 p. 3215.]</w:t>
      </w:r>
    </w:p>
    <w:p>
      <w:pPr>
        <w:pStyle w:val="Heading5"/>
        <w:rPr>
          <w:b w:val="0"/>
        </w:rPr>
      </w:pPr>
      <w:bookmarkStart w:id="221" w:name="_Toc408471796"/>
      <w:bookmarkStart w:id="222" w:name="_Toc493069460"/>
      <w:bookmarkStart w:id="223" w:name="_Toc461723708"/>
      <w:r>
        <w:rPr>
          <w:rStyle w:val="CharSectno"/>
        </w:rPr>
        <w:t>50</w:t>
      </w:r>
      <w:r>
        <w:t>.</w:t>
      </w:r>
      <w:r>
        <w:tab/>
        <w:t>Applications for pilotage exemption certificates</w:t>
      </w:r>
      <w:bookmarkEnd w:id="221"/>
      <w:bookmarkEnd w:id="222"/>
      <w:bookmarkEnd w:id="223"/>
    </w:p>
    <w:p>
      <w:pPr>
        <w:pStyle w:val="Subsection"/>
      </w:pPr>
      <w:r>
        <w:tab/>
      </w:r>
      <w:r>
        <w:tab/>
        <w:t xml:space="preserve">An application for a pilotage exemption certificate is to be in the form approved by the harbour master and is to be accompanied by — </w:t>
      </w:r>
    </w:p>
    <w:p>
      <w:pPr>
        <w:pStyle w:val="Indenta"/>
      </w:pPr>
      <w:r>
        <w:tab/>
        <w:t>(a)</w:t>
      </w:r>
      <w:r>
        <w:tab/>
        <w:t xml:space="preserve">a fee of — </w:t>
      </w:r>
    </w:p>
    <w:p>
      <w:pPr>
        <w:pStyle w:val="Indenti"/>
      </w:pPr>
      <w:r>
        <w:tab/>
        <w:t>(i)</w:t>
      </w:r>
      <w:r>
        <w:tab/>
        <w:t xml:space="preserve">for a pilotage exemption certificate in respect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xml:space="preserve">, $1 211.70; and </w:t>
      </w:r>
    </w:p>
    <w:p>
      <w:pPr>
        <w:pStyle w:val="Indenti"/>
      </w:pPr>
      <w:r>
        <w:tab/>
        <w:t>(ii)</w:t>
      </w:r>
      <w:r>
        <w:tab/>
        <w:t xml:space="preserve">for a pilotage exemption certificate in respect of any other port, $660.00; </w:t>
      </w:r>
    </w:p>
    <w:p>
      <w:pPr>
        <w:pStyle w:val="Indenta"/>
      </w:pPr>
      <w:r>
        <w:tab/>
      </w:r>
      <w:r>
        <w:tab/>
        <w:t>and</w:t>
      </w:r>
    </w:p>
    <w:p>
      <w:pPr>
        <w:pStyle w:val="Indenta"/>
      </w:pPr>
      <w:r>
        <w:tab/>
        <w:t>(b)</w:t>
      </w:r>
      <w:r>
        <w:tab/>
        <w:t xml:space="preserve">evidence that satisfies the harbour master that the applicant meets — </w:t>
      </w:r>
    </w:p>
    <w:p>
      <w:pPr>
        <w:pStyle w:val="Indenti"/>
      </w:pPr>
      <w:r>
        <w:tab/>
        <w:t>(i)</w:t>
      </w:r>
      <w:r>
        <w:tab/>
        <w:t>the requirements set out in regulation 49; and</w:t>
      </w:r>
    </w:p>
    <w:p>
      <w:pPr>
        <w:pStyle w:val="Indenti"/>
      </w:pPr>
      <w:r>
        <w:tab/>
        <w:t>(ii)</w:t>
      </w:r>
      <w:r>
        <w:tab/>
        <w:t xml:space="preserve">the medical fitness requirements in </w:t>
      </w:r>
      <w:r>
        <w:rPr>
          <w:i/>
        </w:rPr>
        <w:t>Marine Order 9 (Health — medical fitness) 2010</w:t>
      </w:r>
      <w:r>
        <w:t>, given effect under the Navigation Act section 343(2);</w:t>
      </w:r>
    </w:p>
    <w:p>
      <w:pPr>
        <w:pStyle w:val="Indenta"/>
      </w:pPr>
      <w:r>
        <w:tab/>
      </w:r>
      <w:r>
        <w:tab/>
        <w:t>and</w:t>
      </w:r>
    </w:p>
    <w:p>
      <w:pPr>
        <w:pStyle w:val="Indenta"/>
      </w:pPr>
      <w:r>
        <w:tab/>
        <w:t>(c)</w:t>
      </w:r>
      <w:r>
        <w:tab/>
        <w:t>the written record referred to in regulation 49(4).</w:t>
      </w:r>
    </w:p>
    <w:p>
      <w:pPr>
        <w:pStyle w:val="Footnotesection"/>
        <w:ind w:left="890" w:hanging="890"/>
      </w:pPr>
      <w:r>
        <w:tab/>
        <w:t>[Regulation 50 amended in Gazette 22 Jun 2007 p. 2850; 2 Oct 2007 p. 4971; 16 Oct 2009 p. 4068; 4 Jun 2010 p. 2482; 15 Jun 2012 p. 2520; 12 Jul 2013 p. 3225; 5 Sep 2014 p. 3215.]</w:t>
      </w:r>
    </w:p>
    <w:p>
      <w:pPr>
        <w:pStyle w:val="Heading5"/>
        <w:rPr>
          <w:b w:val="0"/>
        </w:rPr>
      </w:pPr>
      <w:bookmarkStart w:id="224" w:name="_Toc408471797"/>
      <w:bookmarkStart w:id="225" w:name="_Toc493069461"/>
      <w:bookmarkStart w:id="226" w:name="_Toc461723709"/>
      <w:r>
        <w:rPr>
          <w:rStyle w:val="CharSectno"/>
        </w:rPr>
        <w:t>51</w:t>
      </w:r>
      <w:r>
        <w:t>.</w:t>
      </w:r>
      <w:r>
        <w:tab/>
        <w:t>Issue of pilotage exemption certificates</w:t>
      </w:r>
      <w:bookmarkEnd w:id="224"/>
      <w:bookmarkEnd w:id="225"/>
      <w:bookmarkEnd w:id="226"/>
    </w:p>
    <w:p>
      <w:pPr>
        <w:pStyle w:val="Subsection"/>
      </w:pPr>
      <w:r>
        <w:tab/>
        <w:t>(1)</w:t>
      </w:r>
      <w:r>
        <w:tab/>
        <w:t xml:space="preserve">The harbour master is to issue a pilotage exemption certificate to an applicant who — </w:t>
      </w:r>
    </w:p>
    <w:p>
      <w:pPr>
        <w:pStyle w:val="Indenta"/>
      </w:pPr>
      <w:r>
        <w:tab/>
        <w:t>(a)</w:t>
      </w:r>
      <w:r>
        <w:tab/>
        <w:t>applies in accordance with regulation 50;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 and regulation 50(b).</w:t>
      </w:r>
    </w:p>
    <w:p>
      <w:pPr>
        <w:pStyle w:val="Heading5"/>
      </w:pPr>
      <w:bookmarkStart w:id="227" w:name="_Toc408471798"/>
      <w:bookmarkStart w:id="228" w:name="_Toc493069462"/>
      <w:bookmarkStart w:id="229" w:name="_Toc461723710"/>
      <w:r>
        <w:rPr>
          <w:rStyle w:val="CharSectno"/>
        </w:rPr>
        <w:t>52</w:t>
      </w:r>
      <w:r>
        <w:t>.</w:t>
      </w:r>
      <w:r>
        <w:tab/>
        <w:t>Conditions on pilotage exemption certificates</w:t>
      </w:r>
      <w:bookmarkEnd w:id="227"/>
      <w:bookmarkEnd w:id="228"/>
      <w:bookmarkEnd w:id="229"/>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spacing w:before="120"/>
      </w:pPr>
      <w:r>
        <w:tab/>
        <w:t>(5)</w:t>
      </w:r>
      <w:r>
        <w:tab/>
        <w:t xml:space="preserve">In subregulation (3) — </w:t>
      </w:r>
    </w:p>
    <w:p>
      <w:pPr>
        <w:pStyle w:val="Defstart"/>
      </w:pPr>
      <w:r>
        <w:tab/>
      </w:r>
      <w:r>
        <w:rPr>
          <w:rStyle w:val="CharDefText"/>
        </w:rPr>
        <w:t>prescribed condition</w:t>
      </w:r>
      <w:r>
        <w:t xml:space="preserve">, in relation to a pilotage exemption certificate, means — </w:t>
      </w:r>
    </w:p>
    <w:p>
      <w:pPr>
        <w:pStyle w:val="Defpara"/>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230" w:name="_Toc408471799"/>
      <w:bookmarkStart w:id="231" w:name="_Toc493069463"/>
      <w:bookmarkStart w:id="232" w:name="_Toc461723711"/>
      <w:r>
        <w:rPr>
          <w:rStyle w:val="CharSectno"/>
        </w:rPr>
        <w:t>53</w:t>
      </w:r>
      <w:r>
        <w:t>.</w:t>
      </w:r>
      <w:r>
        <w:tab/>
        <w:t>Applications to vary or delete conditions on pilotage exemption certificates</w:t>
      </w:r>
      <w:bookmarkEnd w:id="230"/>
      <w:bookmarkEnd w:id="231"/>
      <w:bookmarkEnd w:id="232"/>
    </w:p>
    <w:p>
      <w:pPr>
        <w:pStyle w:val="Subsection"/>
      </w:pPr>
      <w:r>
        <w:tab/>
        <w:t>(1)</w:t>
      </w:r>
      <w:r>
        <w:tab/>
        <w:t>An exempt master may apply to the harbour master for the variation or deletion of a condition endorsed on the exempt master’s pilotage exemption certificate.</w:t>
      </w:r>
    </w:p>
    <w:p>
      <w:pPr>
        <w:pStyle w:val="Subsection"/>
      </w:pPr>
      <w:r>
        <w:tab/>
        <w:t>(2)</w:t>
      </w:r>
      <w:r>
        <w:tab/>
        <w:t>An application under subregulation (1) is to be in the form approved by the harbour master.</w:t>
      </w:r>
    </w:p>
    <w:p>
      <w:pPr>
        <w:pStyle w:val="Subsection"/>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pPr>
      <w:r>
        <w:tab/>
      </w:r>
      <w:r>
        <w:tab/>
        <w:t>the application is also to be accompanied by a written record that complies with subregulation (4).</w:t>
      </w:r>
    </w:p>
    <w:p>
      <w:pPr>
        <w:pStyle w:val="Subsection"/>
      </w:pPr>
      <w:r>
        <w:tab/>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pPr>
      <w:r>
        <w:tab/>
      </w:r>
      <w:r>
        <w:tab/>
        <w:t>when the vessel was moved into or out of the port concerned.</w:t>
      </w:r>
    </w:p>
    <w:p>
      <w:pPr>
        <w:pStyle w:val="Subsection"/>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233" w:name="_Toc408471800"/>
      <w:bookmarkStart w:id="234" w:name="_Toc493069464"/>
      <w:bookmarkStart w:id="235" w:name="_Toc461723712"/>
      <w:r>
        <w:rPr>
          <w:rStyle w:val="CharSectno"/>
        </w:rPr>
        <w:t>54</w:t>
      </w:r>
      <w:r>
        <w:t>.</w:t>
      </w:r>
      <w:r>
        <w:tab/>
        <w:t>Validity and expiry of pilotage exemption certificates</w:t>
      </w:r>
      <w:bookmarkEnd w:id="233"/>
      <w:bookmarkEnd w:id="234"/>
      <w:bookmarkEnd w:id="235"/>
    </w:p>
    <w:p>
      <w:pPr>
        <w:pStyle w:val="Subsection"/>
      </w:pPr>
      <w:r>
        <w:tab/>
        <w:t>(1)</w:t>
      </w:r>
      <w:r>
        <w:tab/>
        <w:t>A pilotage exemption certificate, including a pilotage exemption certificate revalidated under regulation 56, is valid unless it expires under subregulation (2) or is revoked under regulation 57.</w:t>
      </w:r>
    </w:p>
    <w:p>
      <w:pPr>
        <w:pStyle w:val="Subsection"/>
      </w:pPr>
      <w:r>
        <w:tab/>
        <w:t>(2)</w:t>
      </w:r>
      <w:r>
        <w:tab/>
        <w:t>If an exempt master does not move a vessel under the authority of the master’s pilotage exemption certificate for a period of 6 months, the certificate expires at the end of that period.</w:t>
      </w:r>
    </w:p>
    <w:p>
      <w:pPr>
        <w:pStyle w:val="Heading5"/>
      </w:pPr>
      <w:bookmarkStart w:id="236" w:name="_Toc408471801"/>
      <w:bookmarkStart w:id="237" w:name="_Toc493069465"/>
      <w:bookmarkStart w:id="238" w:name="_Toc461723713"/>
      <w:r>
        <w:rPr>
          <w:rStyle w:val="CharSectno"/>
        </w:rPr>
        <w:t>55</w:t>
      </w:r>
      <w:r>
        <w:t>.</w:t>
      </w:r>
      <w:r>
        <w:tab/>
        <w:t>Applications for revalidation of pilotage exemption certificates</w:t>
      </w:r>
      <w:bookmarkEnd w:id="236"/>
      <w:bookmarkEnd w:id="237"/>
      <w:bookmarkEnd w:id="238"/>
    </w:p>
    <w:p>
      <w:pPr>
        <w:pStyle w:val="Subsection"/>
      </w:pPr>
      <w:r>
        <w:tab/>
        <w:t>(1)</w:t>
      </w:r>
      <w:r>
        <w:tab/>
        <w:t xml:space="preserve">A person whose pilotage exemption certificate expires under regulation 54(2)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(2).</w:t>
      </w:r>
    </w:p>
    <w:p>
      <w:pPr>
        <w:pStyle w:val="Heading5"/>
      </w:pPr>
      <w:bookmarkStart w:id="239" w:name="_Toc408471802"/>
      <w:bookmarkStart w:id="240" w:name="_Toc493069466"/>
      <w:bookmarkStart w:id="241" w:name="_Toc461723714"/>
      <w:r>
        <w:rPr>
          <w:rStyle w:val="CharSectno"/>
        </w:rPr>
        <w:t>56</w:t>
      </w:r>
      <w:r>
        <w:t>.</w:t>
      </w:r>
      <w:r>
        <w:tab/>
        <w:t>Revalidation of pilotage exemption certificates</w:t>
      </w:r>
      <w:bookmarkEnd w:id="239"/>
      <w:bookmarkEnd w:id="240"/>
      <w:bookmarkEnd w:id="241"/>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55;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54; and</w:t>
      </w:r>
    </w:p>
    <w:p>
      <w:pPr>
        <w:pStyle w:val="Indenta"/>
      </w:pPr>
      <w:r>
        <w:tab/>
        <w:t>(b)</w:t>
      </w:r>
      <w:r>
        <w:tab/>
        <w:t>is not revalidated within 6 months after that expiry,</w:t>
      </w:r>
    </w:p>
    <w:p>
      <w:pPr>
        <w:pStyle w:val="Subsection"/>
      </w:pPr>
      <w:r>
        <w:tab/>
      </w:r>
      <w:r>
        <w:tab/>
        <w:t>may apply for a new pilotage exemption certificate under regulation 50 if the person is eligible under regulation 49.</w:t>
      </w:r>
    </w:p>
    <w:p>
      <w:pPr>
        <w:pStyle w:val="Heading5"/>
      </w:pPr>
      <w:bookmarkStart w:id="242" w:name="_Toc408471803"/>
      <w:bookmarkStart w:id="243" w:name="_Toc493069467"/>
      <w:bookmarkStart w:id="244" w:name="_Toc461723715"/>
      <w:r>
        <w:rPr>
          <w:rStyle w:val="CharSectno"/>
        </w:rPr>
        <w:t>57</w:t>
      </w:r>
      <w:r>
        <w:t>.</w:t>
      </w:r>
      <w:r>
        <w:tab/>
        <w:t>Suspending and revoking pilotage exemption certificates</w:t>
      </w:r>
      <w:bookmarkEnd w:id="242"/>
      <w:bookmarkEnd w:id="243"/>
      <w:bookmarkEnd w:id="244"/>
    </w:p>
    <w:p>
      <w:pPr>
        <w:pStyle w:val="Subsection"/>
      </w:pPr>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A notice under subregulation (2) or (3)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245" w:name="_Toc408471804"/>
      <w:bookmarkStart w:id="246" w:name="_Toc493069468"/>
      <w:bookmarkStart w:id="247" w:name="_Toc461723716"/>
      <w:r>
        <w:rPr>
          <w:rStyle w:val="CharSectno"/>
        </w:rPr>
        <w:t>58</w:t>
      </w:r>
      <w:r>
        <w:t>.</w:t>
      </w:r>
      <w:r>
        <w:tab/>
        <w:t>Appeals against decision made under r. 57</w:t>
      </w:r>
      <w:bookmarkEnd w:id="245"/>
      <w:bookmarkEnd w:id="246"/>
      <w:bookmarkEnd w:id="247"/>
    </w:p>
    <w:p>
      <w:pPr>
        <w:pStyle w:val="Subsection"/>
      </w:pPr>
      <w:r>
        <w:tab/>
        <w:t>(1)</w:t>
      </w:r>
      <w:r>
        <w:tab/>
        <w:t>A person may appeal to the port authority against a decision of the harbour master to suspend or revoke the person’s pilotage exemption certificate under regulation 57.</w:t>
      </w:r>
    </w:p>
    <w:p>
      <w:pPr>
        <w:pStyle w:val="Subsection"/>
        <w:keepNext/>
      </w:pPr>
      <w:r>
        <w:tab/>
        <w:t>(2)</w:t>
      </w:r>
      <w:r>
        <w:tab/>
        <w:t xml:space="preserve">An appeal under subregulation (1) — </w:t>
      </w:r>
    </w:p>
    <w:p>
      <w:pPr>
        <w:pStyle w:val="Indenta"/>
      </w:pPr>
      <w:r>
        <w:tab/>
        <w:t>(a)</w:t>
      </w:r>
      <w:r>
        <w:tab/>
        <w:t>is to be in writing, signed by the appellant; and</w:t>
      </w:r>
    </w:p>
    <w:p>
      <w:pPr>
        <w:pStyle w:val="Indenta"/>
      </w:pPr>
      <w:r>
        <w:tab/>
        <w:t>(b)</w:t>
      </w:r>
      <w:r>
        <w:tab/>
        <w:t>is to set out fully and in detail the grounds of the appeal; and</w:t>
      </w:r>
    </w:p>
    <w:p>
      <w:pPr>
        <w:pStyle w:val="Indenta"/>
        <w:keepNext/>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pPr>
      <w:r>
        <w:tab/>
        <w:t>(3)</w:t>
      </w:r>
      <w:r>
        <w:tab/>
        <w:t>An appellant is to give to the port authority in writing any further information that the port authority reasonably requires from the appellant for the purposes of determining the appeal.</w:t>
      </w:r>
    </w:p>
    <w:p>
      <w:pPr>
        <w:pStyle w:val="Subsection"/>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pPr>
      <w:r>
        <w:tab/>
        <w:t>(5)</w:t>
      </w:r>
      <w:r>
        <w:tab/>
        <w:t>The port authority is to give written notice to the appellant and the harbour master of the port authority’s determination of the appeal under subregulation (4).</w:t>
      </w:r>
    </w:p>
    <w:p>
      <w:pPr>
        <w:pStyle w:val="Subsection"/>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248" w:name="_Toc408471805"/>
      <w:bookmarkStart w:id="249" w:name="_Toc493069469"/>
      <w:bookmarkStart w:id="250" w:name="_Toc461723717"/>
      <w:r>
        <w:rPr>
          <w:rStyle w:val="CharSectno"/>
        </w:rPr>
        <w:t>59</w:t>
      </w:r>
      <w:r>
        <w:t>.</w:t>
      </w:r>
      <w:r>
        <w:tab/>
        <w:t>Use of pilotage exemption certificates to be recorded</w:t>
      </w:r>
      <w:bookmarkEnd w:id="248"/>
      <w:bookmarkEnd w:id="249"/>
      <w:bookmarkEnd w:id="250"/>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 and</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251" w:name="_Toc408471806"/>
      <w:bookmarkStart w:id="252" w:name="_Toc416945451"/>
      <w:bookmarkStart w:id="253" w:name="_Toc416945790"/>
      <w:bookmarkStart w:id="254" w:name="_Toc416946074"/>
      <w:bookmarkStart w:id="255" w:name="_Toc417655644"/>
      <w:bookmarkStart w:id="256" w:name="_Toc461722071"/>
      <w:bookmarkStart w:id="257" w:name="_Toc461723718"/>
      <w:bookmarkStart w:id="258" w:name="_Toc493069470"/>
      <w:r>
        <w:rPr>
          <w:rStyle w:val="CharPartNo"/>
        </w:rPr>
        <w:t>Part 4</w:t>
      </w:r>
      <w:r>
        <w:rPr>
          <w:rStyle w:val="CharDivNo"/>
        </w:rPr>
        <w:t xml:space="preserve"> </w:t>
      </w:r>
      <w:r>
        <w:t>—</w:t>
      </w:r>
      <w:r>
        <w:rPr>
          <w:rStyle w:val="CharDivText"/>
        </w:rPr>
        <w:t xml:space="preserve"> </w:t>
      </w:r>
      <w:r>
        <w:rPr>
          <w:rStyle w:val="CharPartText"/>
        </w:rPr>
        <w:t>Goods and cargo</w:t>
      </w:r>
      <w:bookmarkEnd w:id="251"/>
      <w:bookmarkEnd w:id="252"/>
      <w:bookmarkEnd w:id="253"/>
      <w:bookmarkEnd w:id="254"/>
      <w:bookmarkEnd w:id="255"/>
      <w:bookmarkEnd w:id="256"/>
      <w:bookmarkEnd w:id="257"/>
      <w:bookmarkEnd w:id="258"/>
    </w:p>
    <w:p>
      <w:pPr>
        <w:pStyle w:val="Heading5"/>
      </w:pPr>
      <w:bookmarkStart w:id="259" w:name="_Toc408471807"/>
      <w:bookmarkStart w:id="260" w:name="_Toc493069471"/>
      <w:bookmarkStart w:id="261" w:name="_Toc461723719"/>
      <w:r>
        <w:rPr>
          <w:rStyle w:val="CharSectno"/>
        </w:rPr>
        <w:t>60</w:t>
      </w:r>
      <w:r>
        <w:t>.</w:t>
      </w:r>
      <w:r>
        <w:tab/>
        <w:t>Details of cargo on board vessel arriving at port to be given to port authority</w:t>
      </w:r>
      <w:bookmarkEnd w:id="259"/>
      <w:bookmarkEnd w:id="260"/>
      <w:bookmarkEnd w:id="261"/>
    </w:p>
    <w:p>
      <w:pPr>
        <w:pStyle w:val="Subsection"/>
      </w:pPr>
      <w:r>
        <w:tab/>
        <w:t>(1)</w:t>
      </w:r>
      <w:r>
        <w:tab/>
        <w:t xml:space="preserve">In this regulation and regulation 61 — </w:t>
      </w:r>
    </w:p>
    <w:p>
      <w:pPr>
        <w:pStyle w:val="Defstart"/>
      </w:pPr>
      <w:r>
        <w:tab/>
      </w:r>
      <w:r>
        <w:rPr>
          <w:rStyle w:val="CharDefText"/>
        </w:rPr>
        <w:t>documents or information</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262" w:name="_Toc408471808"/>
      <w:bookmarkStart w:id="263" w:name="_Toc493069472"/>
      <w:bookmarkStart w:id="264" w:name="_Toc461723720"/>
      <w:r>
        <w:rPr>
          <w:rStyle w:val="CharSectno"/>
        </w:rPr>
        <w:t>61</w:t>
      </w:r>
      <w:r>
        <w:t>.</w:t>
      </w:r>
      <w:r>
        <w:tab/>
        <w:t>Details of cargo and fuel on board vessel leaving port to be given to port authority</w:t>
      </w:r>
      <w:bookmarkEnd w:id="262"/>
      <w:bookmarkEnd w:id="263"/>
      <w:bookmarkEnd w:id="264"/>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265" w:name="_Toc408471809"/>
      <w:bookmarkStart w:id="266" w:name="_Toc493069473"/>
      <w:bookmarkStart w:id="267" w:name="_Toc461723721"/>
      <w:r>
        <w:rPr>
          <w:rStyle w:val="CharSectno"/>
        </w:rPr>
        <w:t>62</w:t>
      </w:r>
      <w:r>
        <w:t>.</w:t>
      </w:r>
      <w:r>
        <w:tab/>
        <w:t>Loading and unloading to be continuous</w:t>
      </w:r>
      <w:bookmarkEnd w:id="265"/>
      <w:bookmarkEnd w:id="266"/>
      <w:bookmarkEnd w:id="267"/>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r>
        <w:t>[</w:t>
      </w:r>
      <w:r>
        <w:rPr>
          <w:b/>
        </w:rPr>
        <w:t>63</w:t>
      </w:r>
      <w:r>
        <w:rPr>
          <w:b/>
        </w:rPr>
        <w:noBreakHyphen/>
        <w:t>65.</w:t>
      </w:r>
      <w:r>
        <w:tab/>
        <w:t>Deleted in Gazette 13 Feb 2004 p. 546.]</w:t>
      </w:r>
    </w:p>
    <w:p>
      <w:pPr>
        <w:pStyle w:val="Heading5"/>
      </w:pPr>
      <w:bookmarkStart w:id="268" w:name="_Toc408471810"/>
      <w:bookmarkStart w:id="269" w:name="_Toc493069474"/>
      <w:bookmarkStart w:id="270" w:name="_Toc461723722"/>
      <w:r>
        <w:rPr>
          <w:rStyle w:val="CharSectno"/>
        </w:rPr>
        <w:t>66</w:t>
      </w:r>
      <w:r>
        <w:t>.</w:t>
      </w:r>
      <w:r>
        <w:tab/>
        <w:t>Unclaimed goods, port authority’s powers as to</w:t>
      </w:r>
      <w:bookmarkEnd w:id="268"/>
      <w:bookmarkEnd w:id="269"/>
      <w:bookmarkEnd w:id="270"/>
    </w:p>
    <w:p>
      <w:pPr>
        <w:pStyle w:val="Subsection"/>
        <w:keepNext/>
        <w:keepLines/>
      </w:pPr>
      <w:r>
        <w:tab/>
        <w:t>(1)</w:t>
      </w:r>
      <w:r>
        <w:tab/>
        <w:t xml:space="preserve">In this regulation and regulation 67 — </w:t>
      </w:r>
    </w:p>
    <w:p>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271" w:name="_Toc408471811"/>
      <w:bookmarkStart w:id="272" w:name="_Toc493069475"/>
      <w:bookmarkStart w:id="273" w:name="_Toc461723723"/>
      <w:r>
        <w:rPr>
          <w:rStyle w:val="CharSectno"/>
        </w:rPr>
        <w:t>67</w:t>
      </w:r>
      <w:r>
        <w:t>.</w:t>
      </w:r>
      <w:r>
        <w:tab/>
        <w:t>Sale of unclaimed goods, application of proceeds of</w:t>
      </w:r>
      <w:bookmarkEnd w:id="271"/>
      <w:bookmarkEnd w:id="272"/>
      <w:bookmarkEnd w:id="273"/>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(2), is to pay any surplus amount of those proceeds on demand to the owner of the goods.</w:t>
      </w:r>
    </w:p>
    <w:p>
      <w:pPr>
        <w:pStyle w:val="Subsection"/>
      </w:pPr>
      <w:r>
        <w:tab/>
        <w:t>(2)</w:t>
      </w:r>
      <w:r>
        <w:tab/>
        <w:t>If no demand is made by the owner of the goods within 30 days after the sale of the goods, the surplus amount of those proceeds is to be paid to the Treasurer to be credited to the Consolidated Account</w:t>
      </w:r>
      <w:r>
        <w:rPr>
          <w:vertAlign w:val="superscript"/>
        </w:rPr>
        <w:t> 2</w:t>
      </w:r>
      <w:r>
        <w:t>, and any claim of the owner of the goods to that amount is extinguished.</w:t>
      </w:r>
    </w:p>
    <w:p>
      <w:pPr>
        <w:pStyle w:val="Heading5"/>
      </w:pPr>
      <w:bookmarkStart w:id="274" w:name="_Toc408471812"/>
      <w:bookmarkStart w:id="275" w:name="_Toc493069476"/>
      <w:bookmarkStart w:id="276" w:name="_Toc461723724"/>
      <w:r>
        <w:rPr>
          <w:rStyle w:val="CharSectno"/>
        </w:rPr>
        <w:t>68</w:t>
      </w:r>
      <w:r>
        <w:t>.</w:t>
      </w:r>
      <w:r>
        <w:tab/>
        <w:t>Goods falling from vessel in port</w:t>
      </w:r>
      <w:bookmarkEnd w:id="274"/>
      <w:bookmarkEnd w:id="275"/>
      <w:bookmarkEnd w:id="276"/>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277" w:name="_Toc408471813"/>
      <w:bookmarkStart w:id="278" w:name="_Toc416945458"/>
      <w:bookmarkStart w:id="279" w:name="_Toc416945797"/>
      <w:bookmarkStart w:id="280" w:name="_Toc416946081"/>
      <w:bookmarkStart w:id="281" w:name="_Toc417655651"/>
      <w:bookmarkStart w:id="282" w:name="_Toc461722078"/>
      <w:bookmarkStart w:id="283" w:name="_Toc461723725"/>
      <w:bookmarkStart w:id="284" w:name="_Toc493069477"/>
      <w:r>
        <w:rPr>
          <w:rStyle w:val="CharPartNo"/>
        </w:rPr>
        <w:t>Part 5</w:t>
      </w:r>
      <w:r>
        <w:t xml:space="preserve"> — </w:t>
      </w:r>
      <w:r>
        <w:rPr>
          <w:rStyle w:val="CharPartText"/>
        </w:rPr>
        <w:t>Conduct of persons in ports</w:t>
      </w:r>
      <w:bookmarkEnd w:id="277"/>
      <w:bookmarkEnd w:id="278"/>
      <w:bookmarkEnd w:id="279"/>
      <w:bookmarkEnd w:id="280"/>
      <w:bookmarkEnd w:id="281"/>
      <w:bookmarkEnd w:id="282"/>
      <w:bookmarkEnd w:id="283"/>
      <w:bookmarkEnd w:id="284"/>
    </w:p>
    <w:p>
      <w:pPr>
        <w:pStyle w:val="Heading5"/>
        <w:spacing w:before="180"/>
      </w:pPr>
      <w:bookmarkStart w:id="285" w:name="_Toc408471814"/>
      <w:bookmarkStart w:id="286" w:name="_Toc493069478"/>
      <w:bookmarkStart w:id="287" w:name="_Toc461723726"/>
      <w:r>
        <w:rPr>
          <w:rStyle w:val="CharSectno"/>
        </w:rPr>
        <w:t>69</w:t>
      </w:r>
      <w:r>
        <w:t>.</w:t>
      </w:r>
      <w:r>
        <w:tab/>
        <w:t>Term used: designated by notices or signs</w:t>
      </w:r>
      <w:bookmarkEnd w:id="285"/>
      <w:bookmarkEnd w:id="286"/>
      <w:bookmarkEnd w:id="287"/>
    </w:p>
    <w:p>
      <w:pPr>
        <w:pStyle w:val="Subsection"/>
        <w:spacing w:before="120"/>
      </w:pPr>
      <w:r>
        <w:tab/>
      </w:r>
      <w:r>
        <w:tab/>
        <w:t xml:space="preserve">In this Part — </w:t>
      </w:r>
    </w:p>
    <w:p>
      <w:pPr>
        <w:pStyle w:val="Defstart"/>
      </w:pPr>
      <w:r>
        <w:tab/>
      </w:r>
      <w:r>
        <w:rPr>
          <w:rStyle w:val="CharDefText"/>
        </w:rPr>
        <w:t>designated by notices or signs</w:t>
      </w:r>
      <w:r>
        <w:t>, in relation to a port, means designated by notices or signs erected at the port by the port authority.</w:t>
      </w:r>
    </w:p>
    <w:p>
      <w:pPr>
        <w:pStyle w:val="Heading5"/>
        <w:spacing w:before="180"/>
        <w:rPr>
          <w:b w:val="0"/>
          <w:i/>
        </w:rPr>
      </w:pPr>
      <w:bookmarkStart w:id="288" w:name="_Toc408471815"/>
      <w:bookmarkStart w:id="289" w:name="_Toc493069479"/>
      <w:bookmarkStart w:id="290" w:name="_Toc461723727"/>
      <w:r>
        <w:rPr>
          <w:rStyle w:val="CharSectno"/>
        </w:rPr>
        <w:t>70</w:t>
      </w:r>
      <w:r>
        <w:t>.</w:t>
      </w:r>
      <w:r>
        <w:tab/>
        <w:t>Social functions on board vessel prohibited in certain cases</w:t>
      </w:r>
      <w:bookmarkEnd w:id="288"/>
      <w:bookmarkEnd w:id="289"/>
      <w:bookmarkEnd w:id="290"/>
    </w:p>
    <w:p>
      <w:pPr>
        <w:pStyle w:val="Subsection"/>
        <w:spacing w:before="12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pPr>
      <w:r>
        <w:tab/>
        <w:t>Penalty: $5 000.</w:t>
      </w:r>
    </w:p>
    <w:p>
      <w:pPr>
        <w:pStyle w:val="Subsection"/>
        <w:spacing w:before="120"/>
      </w:pPr>
      <w:r>
        <w:tab/>
        <w:t>(2)</w:t>
      </w:r>
      <w:r>
        <w:tab/>
        <w:t xml:space="preserve">In subregulation (1) — </w:t>
      </w:r>
    </w:p>
    <w:p>
      <w:pPr>
        <w:pStyle w:val="Defstart"/>
      </w:pPr>
      <w:r>
        <w:tab/>
      </w:r>
      <w:r>
        <w:rPr>
          <w:rStyle w:val="CharDefText"/>
        </w:rPr>
        <w:t>port services</w:t>
      </w:r>
      <w:r>
        <w:t xml:space="preserve"> has the meaning given in section 35(9) of the Act.</w:t>
      </w:r>
    </w:p>
    <w:p>
      <w:pPr>
        <w:pStyle w:val="Heading5"/>
        <w:spacing w:before="180"/>
      </w:pPr>
      <w:bookmarkStart w:id="291" w:name="_Toc408471816"/>
      <w:bookmarkStart w:id="292" w:name="_Toc493069480"/>
      <w:bookmarkStart w:id="293" w:name="_Toc461723728"/>
      <w:r>
        <w:rPr>
          <w:rStyle w:val="CharSectno"/>
        </w:rPr>
        <w:t>71</w:t>
      </w:r>
      <w:r>
        <w:t>.</w:t>
      </w:r>
      <w:r>
        <w:tab/>
        <w:t>Dead animals, waste etc. not to be left in ports unless authorised</w:t>
      </w:r>
      <w:bookmarkEnd w:id="291"/>
      <w:bookmarkEnd w:id="292"/>
      <w:bookmarkEnd w:id="293"/>
    </w:p>
    <w:p>
      <w:pPr>
        <w:pStyle w:val="Subsection"/>
        <w:spacing w:before="120"/>
      </w:pPr>
      <w:r>
        <w:tab/>
      </w:r>
      <w:r>
        <w:tab/>
        <w:t xml:space="preserve">Unless authorised by the port authority, a person must not cause a dead animal or any litter, rubbish or waste substances of any kind to be placed or left — </w:t>
      </w:r>
    </w:p>
    <w:p>
      <w:pPr>
        <w:pStyle w:val="Indenta"/>
      </w:pPr>
      <w:r>
        <w:tab/>
        <w:t>(a)</w:t>
      </w:r>
      <w:r>
        <w:tab/>
        <w:t>in the waters of a port; or</w:t>
      </w:r>
    </w:p>
    <w:p>
      <w:pPr>
        <w:pStyle w:val="Indenta"/>
      </w:pPr>
      <w:r>
        <w:tab/>
        <w:t>(b)</w:t>
      </w:r>
      <w:r>
        <w:tab/>
        <w:t>on a wharf or jetty or in a building or other structure or any other place in a port.</w:t>
      </w:r>
    </w:p>
    <w:p>
      <w:pPr>
        <w:pStyle w:val="Penstart"/>
      </w:pPr>
      <w:r>
        <w:tab/>
        <w:t>Penalty: $5 000.</w:t>
      </w:r>
    </w:p>
    <w:p>
      <w:pPr>
        <w:pStyle w:val="Heading5"/>
        <w:keepNext w:val="0"/>
        <w:keepLines w:val="0"/>
      </w:pPr>
      <w:bookmarkStart w:id="294" w:name="_Toc408471817"/>
      <w:bookmarkStart w:id="295" w:name="_Toc493069481"/>
      <w:bookmarkStart w:id="296" w:name="_Toc461723729"/>
      <w:r>
        <w:rPr>
          <w:rStyle w:val="CharSectno"/>
        </w:rPr>
        <w:t>72</w:t>
      </w:r>
      <w:r>
        <w:t>.</w:t>
      </w:r>
      <w:r>
        <w:tab/>
        <w:t>Port authority notices etc., removal of etc. is offence</w:t>
      </w:r>
      <w:bookmarkEnd w:id="294"/>
      <w:bookmarkEnd w:id="295"/>
      <w:bookmarkEnd w:id="296"/>
      <w:r>
        <w:t xml:space="preserve"> </w:t>
      </w:r>
    </w:p>
    <w:p>
      <w:pPr>
        <w:pStyle w:val="Subsection"/>
        <w:spacing w:before="120"/>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297" w:name="_Toc408471818"/>
      <w:bookmarkStart w:id="298" w:name="_Toc493069482"/>
      <w:bookmarkStart w:id="299" w:name="_Toc461723730"/>
      <w:r>
        <w:rPr>
          <w:rStyle w:val="CharSectno"/>
        </w:rPr>
        <w:t>73</w:t>
      </w:r>
      <w:r>
        <w:t>.</w:t>
      </w:r>
      <w:r>
        <w:tab/>
        <w:t>Notices etc. not to be put on port authority property without authority</w:t>
      </w:r>
      <w:bookmarkEnd w:id="297"/>
      <w:bookmarkEnd w:id="298"/>
      <w:bookmarkEnd w:id="299"/>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spacing w:before="180"/>
      </w:pPr>
      <w:bookmarkStart w:id="300" w:name="_Toc408471819"/>
      <w:bookmarkStart w:id="301" w:name="_Toc493069483"/>
      <w:bookmarkStart w:id="302" w:name="_Toc461723731"/>
      <w:r>
        <w:rPr>
          <w:rStyle w:val="CharSectno"/>
        </w:rPr>
        <w:t>74</w:t>
      </w:r>
      <w:r>
        <w:t>.</w:t>
      </w:r>
      <w:r>
        <w:tab/>
        <w:t>Life saving equipment, interfering with</w:t>
      </w:r>
      <w:bookmarkEnd w:id="300"/>
      <w:bookmarkEnd w:id="301"/>
      <w:bookmarkEnd w:id="302"/>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spacing w:before="180"/>
      </w:pPr>
      <w:bookmarkStart w:id="303" w:name="_Toc408471820"/>
      <w:bookmarkStart w:id="304" w:name="_Toc493069484"/>
      <w:bookmarkStart w:id="305" w:name="_Toc461723732"/>
      <w:r>
        <w:rPr>
          <w:rStyle w:val="CharSectno"/>
        </w:rPr>
        <w:t>75</w:t>
      </w:r>
      <w:r>
        <w:t>.</w:t>
      </w:r>
      <w:r>
        <w:tab/>
        <w:t>Dredging etc. prohibited without authority</w:t>
      </w:r>
      <w:bookmarkEnd w:id="303"/>
      <w:bookmarkEnd w:id="304"/>
      <w:bookmarkEnd w:id="305"/>
    </w:p>
    <w:p>
      <w:pPr>
        <w:pStyle w:val="Subsection"/>
        <w:spacing w:before="120"/>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spacing w:before="180"/>
      </w:pPr>
      <w:bookmarkStart w:id="306" w:name="_Toc408471821"/>
      <w:bookmarkStart w:id="307" w:name="_Toc493069485"/>
      <w:bookmarkStart w:id="308" w:name="_Toc461723733"/>
      <w:r>
        <w:rPr>
          <w:rStyle w:val="CharSectno"/>
        </w:rPr>
        <w:t>76</w:t>
      </w:r>
      <w:r>
        <w:t>.</w:t>
      </w:r>
      <w:r>
        <w:tab/>
        <w:t>Persons to comply with reasonable directions of port authority staff</w:t>
      </w:r>
      <w:bookmarkEnd w:id="306"/>
      <w:bookmarkEnd w:id="307"/>
      <w:bookmarkEnd w:id="308"/>
    </w:p>
    <w:p>
      <w:pPr>
        <w:pStyle w:val="Subsection"/>
        <w:spacing w:before="120"/>
      </w:pPr>
      <w:r>
        <w:tab/>
        <w:t>(1)</w:t>
      </w:r>
      <w:r>
        <w:tab/>
        <w:t>An authorised member of staff of the port authority may give any reasonable direction to a person in a port.</w:t>
      </w:r>
    </w:p>
    <w:p>
      <w:pPr>
        <w:pStyle w:val="Subsection"/>
        <w:spacing w:before="120"/>
      </w:pPr>
      <w:r>
        <w:tab/>
        <w:t>(2)</w:t>
      </w:r>
      <w:r>
        <w:tab/>
        <w:t>A person who does not comply with a direction under subregulation (1) commits an offence.</w:t>
      </w:r>
    </w:p>
    <w:p>
      <w:pPr>
        <w:pStyle w:val="Penstart"/>
      </w:pPr>
      <w:r>
        <w:tab/>
        <w:t>Penalty: $2 000.</w:t>
      </w:r>
    </w:p>
    <w:p>
      <w:pPr>
        <w:pStyle w:val="Subsection"/>
        <w:spacing w:before="120"/>
      </w:pPr>
      <w:r>
        <w:tab/>
        <w:t>(3)</w:t>
      </w:r>
      <w:r>
        <w:tab/>
        <w:t>Subregulation (2) applies to a person whether or not the person is employed in the port.</w:t>
      </w:r>
    </w:p>
    <w:p>
      <w:pPr>
        <w:pStyle w:val="Heading5"/>
        <w:spacing w:before="180"/>
      </w:pPr>
      <w:bookmarkStart w:id="309" w:name="_Toc408471822"/>
      <w:bookmarkStart w:id="310" w:name="_Toc493069486"/>
      <w:bookmarkStart w:id="311" w:name="_Toc461723734"/>
      <w:r>
        <w:rPr>
          <w:rStyle w:val="CharSectno"/>
        </w:rPr>
        <w:t>77</w:t>
      </w:r>
      <w:r>
        <w:t>.</w:t>
      </w:r>
      <w:r>
        <w:tab/>
        <w:t>Animals prohibited in port without authority</w:t>
      </w:r>
      <w:bookmarkEnd w:id="309"/>
      <w:bookmarkEnd w:id="310"/>
      <w:bookmarkEnd w:id="311"/>
    </w:p>
    <w:p>
      <w:pPr>
        <w:pStyle w:val="Subsection"/>
        <w:spacing w:before="120"/>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Ednotesubsection"/>
      </w:pPr>
      <w:r>
        <w:tab/>
        <w:t>[(2)</w:t>
      </w:r>
      <w:r>
        <w:tab/>
        <w:t>deleted]</w:t>
      </w:r>
    </w:p>
    <w:p>
      <w:pPr>
        <w:pStyle w:val="Footnotesection"/>
        <w:spacing w:before="80"/>
        <w:ind w:left="890" w:hanging="890"/>
      </w:pPr>
      <w:bookmarkStart w:id="312" w:name="_Toc408471823"/>
      <w:r>
        <w:tab/>
        <w:t>[Regulation 77 amended in Gazette 8 Jan 2015 p. 62.]</w:t>
      </w:r>
    </w:p>
    <w:p>
      <w:pPr>
        <w:pStyle w:val="Heading5"/>
      </w:pPr>
      <w:bookmarkStart w:id="313" w:name="_Toc493069487"/>
      <w:bookmarkStart w:id="314" w:name="_Toc461723735"/>
      <w:r>
        <w:rPr>
          <w:rStyle w:val="CharSectno"/>
        </w:rPr>
        <w:t>78</w:t>
      </w:r>
      <w:r>
        <w:t>.</w:t>
      </w:r>
      <w:r>
        <w:tab/>
        <w:t>Disorderly conduct</w:t>
      </w:r>
      <w:bookmarkEnd w:id="312"/>
      <w:bookmarkEnd w:id="313"/>
      <w:bookmarkEnd w:id="314"/>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315" w:name="_Toc408471824"/>
      <w:bookmarkStart w:id="316" w:name="_Toc493069488"/>
      <w:bookmarkStart w:id="317" w:name="_Toc461723736"/>
      <w:r>
        <w:rPr>
          <w:rStyle w:val="CharSectno"/>
        </w:rPr>
        <w:t>79</w:t>
      </w:r>
      <w:r>
        <w:t>.</w:t>
      </w:r>
      <w:r>
        <w:tab/>
        <w:t>Certain persons may be prohibited from entering port</w:t>
      </w:r>
      <w:bookmarkEnd w:id="315"/>
      <w:bookmarkEnd w:id="316"/>
      <w:bookmarkEnd w:id="317"/>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keepNext/>
      </w:pPr>
      <w:r>
        <w:tab/>
        <w:t>(3)</w:t>
      </w:r>
      <w:r>
        <w:tab/>
        <w:t>The CEO may give a direction to a person under subregulation (1) only if —</w:t>
      </w:r>
    </w:p>
    <w:p>
      <w:pPr>
        <w:pStyle w:val="Indenta"/>
        <w:spacing w:before="60"/>
      </w:pPr>
      <w:r>
        <w:tab/>
        <w:t>(a)</w:t>
      </w:r>
      <w:r>
        <w:tab/>
        <w:t>the person has been convicted of 2 or more offences; or</w:t>
      </w:r>
    </w:p>
    <w:p>
      <w:pPr>
        <w:pStyle w:val="Indenta"/>
        <w:spacing w:before="60"/>
      </w:pPr>
      <w:r>
        <w:tab/>
        <w:t>(b)</w:t>
      </w:r>
      <w:r>
        <w:tab/>
        <w:t>the CEO has reasonable grounds for believing that the person may hinder the efficiency of the operations of the port if the person enters the port or a specified area of the port.</w:t>
      </w:r>
    </w:p>
    <w:p>
      <w:pPr>
        <w:pStyle w:val="Subsection"/>
        <w:spacing w:before="120"/>
      </w:pPr>
      <w:r>
        <w:tab/>
        <w:t>(4)</w:t>
      </w:r>
      <w:r>
        <w:tab/>
        <w:t>The CEO may, by written notice given to a person, revoke a direction given to the person under subregulation (1).</w:t>
      </w:r>
    </w:p>
    <w:p>
      <w:pPr>
        <w:pStyle w:val="Subsection"/>
        <w:spacing w:before="120"/>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spacing w:before="120"/>
      </w:pPr>
      <w:r>
        <w:tab/>
        <w:t>(6)</w:t>
      </w:r>
      <w:r>
        <w:tab/>
        <w:t>In this regulation —</w:t>
      </w:r>
    </w:p>
    <w:p>
      <w:pPr>
        <w:pStyle w:val="Defstart"/>
      </w:pPr>
      <w:r>
        <w:tab/>
      </w:r>
      <w:r>
        <w:rPr>
          <w:rStyle w:val="CharDefText"/>
        </w:rPr>
        <w:t>offence</w:t>
      </w:r>
      <w:r>
        <w:t xml:space="preserve"> means an offence under the Act or these regulations.</w:t>
      </w:r>
    </w:p>
    <w:p>
      <w:pPr>
        <w:pStyle w:val="Heading5"/>
        <w:spacing w:before="180"/>
      </w:pPr>
      <w:bookmarkStart w:id="318" w:name="_Toc408471825"/>
      <w:bookmarkStart w:id="319" w:name="_Toc493069489"/>
      <w:bookmarkStart w:id="320" w:name="_Toc461723737"/>
      <w:r>
        <w:rPr>
          <w:rStyle w:val="CharSectno"/>
        </w:rPr>
        <w:t>80</w:t>
      </w:r>
      <w:r>
        <w:t>.</w:t>
      </w:r>
      <w:r>
        <w:tab/>
        <w:t>Smoking in designated places prohibited</w:t>
      </w:r>
      <w:bookmarkEnd w:id="318"/>
      <w:bookmarkEnd w:id="319"/>
      <w:bookmarkEnd w:id="320"/>
    </w:p>
    <w:p>
      <w:pPr>
        <w:pStyle w:val="Subsection"/>
        <w:spacing w:before="120"/>
      </w:pPr>
      <w:r>
        <w:tab/>
        <w:t>(1)</w:t>
      </w:r>
      <w:r>
        <w:tab/>
        <w:t>A port authority may, by erecting signs or notices, designate areas of its port where smoking is not permitted.</w:t>
      </w:r>
    </w:p>
    <w:p>
      <w:pPr>
        <w:pStyle w:val="Subsection"/>
        <w:spacing w:before="120"/>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3</w:t>
      </w:r>
      <w:r>
        <w:t>.</w:t>
      </w:r>
    </w:p>
    <w:p>
      <w:pPr>
        <w:pStyle w:val="Footnotesection"/>
        <w:spacing w:before="80"/>
        <w:ind w:left="890" w:hanging="890"/>
      </w:pPr>
      <w:r>
        <w:tab/>
        <w:t>[Regulation 80 amended in Gazette 10 Dec 2004 p. 5916.]</w:t>
      </w:r>
    </w:p>
    <w:p>
      <w:pPr>
        <w:pStyle w:val="Ednotesection"/>
        <w:spacing w:before="200"/>
      </w:pPr>
      <w:r>
        <w:t>[</w:t>
      </w:r>
      <w:r>
        <w:rPr>
          <w:b/>
        </w:rPr>
        <w:t>81</w:t>
      </w:r>
      <w:r>
        <w:rPr>
          <w:b/>
        </w:rPr>
        <w:noBreakHyphen/>
        <w:t>82.</w:t>
      </w:r>
      <w:r>
        <w:tab/>
        <w:t>Deleted in Gazette 22 Mar 2002 p. 1655.]</w:t>
      </w:r>
    </w:p>
    <w:p>
      <w:pPr>
        <w:pStyle w:val="Heading5"/>
        <w:keepNext w:val="0"/>
        <w:keepLines w:val="0"/>
        <w:spacing w:before="200"/>
      </w:pPr>
      <w:bookmarkStart w:id="321" w:name="_Toc408471826"/>
      <w:bookmarkStart w:id="322" w:name="_Toc493069490"/>
      <w:bookmarkStart w:id="323" w:name="_Toc461723738"/>
      <w:r>
        <w:rPr>
          <w:rStyle w:val="CharSectno"/>
        </w:rPr>
        <w:t>83</w:t>
      </w:r>
      <w:r>
        <w:t>.</w:t>
      </w:r>
      <w:r>
        <w:tab/>
        <w:t>Selling or supplying things and soliciting business prohibited</w:t>
      </w:r>
      <w:bookmarkEnd w:id="321"/>
      <w:bookmarkEnd w:id="322"/>
      <w:bookmarkEnd w:id="323"/>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324" w:name="_Toc408471827"/>
      <w:bookmarkStart w:id="325" w:name="_Toc493069491"/>
      <w:bookmarkStart w:id="326" w:name="_Toc461723739"/>
      <w:r>
        <w:rPr>
          <w:rStyle w:val="CharSectno"/>
        </w:rPr>
        <w:t>84</w:t>
      </w:r>
      <w:r>
        <w:t>.</w:t>
      </w:r>
      <w:r>
        <w:tab/>
        <w:t>Wrecks not to be climbed on etc.</w:t>
      </w:r>
      <w:bookmarkEnd w:id="324"/>
      <w:bookmarkEnd w:id="325"/>
      <w:bookmarkEnd w:id="326"/>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327" w:name="_Toc408471828"/>
      <w:bookmarkStart w:id="328" w:name="_Toc493069492"/>
      <w:bookmarkStart w:id="329" w:name="_Toc461723740"/>
      <w:r>
        <w:rPr>
          <w:rStyle w:val="CharSectno"/>
        </w:rPr>
        <w:t>85</w:t>
      </w:r>
      <w:r>
        <w:t>.</w:t>
      </w:r>
      <w:r>
        <w:tab/>
        <w:t>Fire alarms, activating etc.</w:t>
      </w:r>
      <w:bookmarkEnd w:id="327"/>
      <w:bookmarkEnd w:id="328"/>
      <w:bookmarkEnd w:id="329"/>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keepNext/>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330" w:name="_Toc408471829"/>
      <w:bookmarkStart w:id="331" w:name="_Toc493069493"/>
      <w:bookmarkStart w:id="332" w:name="_Toc461723741"/>
      <w:r>
        <w:rPr>
          <w:rStyle w:val="CharSectno"/>
        </w:rPr>
        <w:t>86</w:t>
      </w:r>
      <w:r>
        <w:t>.</w:t>
      </w:r>
      <w:r>
        <w:tab/>
        <w:t>Valves, hydrants etc., unauthorised use of</w:t>
      </w:r>
      <w:bookmarkEnd w:id="330"/>
      <w:bookmarkEnd w:id="331"/>
      <w:bookmarkEnd w:id="332"/>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333" w:name="_Toc408471830"/>
      <w:bookmarkStart w:id="334" w:name="_Toc493069494"/>
      <w:bookmarkStart w:id="335" w:name="_Toc461723742"/>
      <w:r>
        <w:rPr>
          <w:rStyle w:val="CharSectno"/>
        </w:rPr>
        <w:t>87</w:t>
      </w:r>
      <w:r>
        <w:t>.</w:t>
      </w:r>
      <w:r>
        <w:tab/>
        <w:t>Electric lights etc., unauthorised interference with</w:t>
      </w:r>
      <w:bookmarkEnd w:id="333"/>
      <w:bookmarkEnd w:id="334"/>
      <w:bookmarkEnd w:id="335"/>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336" w:name="_Toc408471831"/>
      <w:bookmarkStart w:id="337" w:name="_Toc493069495"/>
      <w:bookmarkStart w:id="338" w:name="_Toc461723743"/>
      <w:r>
        <w:rPr>
          <w:rStyle w:val="CharSectno"/>
        </w:rPr>
        <w:t>88</w:t>
      </w:r>
      <w:r>
        <w:t>.</w:t>
      </w:r>
      <w:r>
        <w:tab/>
        <w:t>Stray boats and other abandoned or unattended property</w:t>
      </w:r>
      <w:bookmarkEnd w:id="336"/>
      <w:bookmarkEnd w:id="337"/>
      <w:bookmarkEnd w:id="338"/>
    </w:p>
    <w:p>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pPr>
      <w:r>
        <w:tab/>
        <w:t>(3)</w:t>
      </w:r>
      <w:r>
        <w:tab/>
        <w:t>The port authority may recover those expenses and charges in a court of competent jurisdiction as a debt due to the port authority.</w:t>
      </w:r>
    </w:p>
    <w:p>
      <w:pPr>
        <w:pStyle w:val="Subsection"/>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keepNext/>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pPr>
      <w:r>
        <w:tab/>
        <w:t>(6)</w:t>
      </w:r>
      <w:r>
        <w:tab/>
        <w:t>If no demand is made by the owner of the abandoned property within 30 days after the sale of the property, the surplus amount of those proceeds is to be paid to the Treasurer to be credited to the Consolidated Account</w:t>
      </w:r>
      <w:r>
        <w:rPr>
          <w:vertAlign w:val="superscript"/>
        </w:rPr>
        <w:t> 2</w:t>
      </w:r>
      <w:r>
        <w:t>, and any claim of the owner of the property to that amount is extinguished.</w:t>
      </w:r>
    </w:p>
    <w:p>
      <w:pPr>
        <w:pStyle w:val="Heading5"/>
        <w:rPr>
          <w:b w:val="0"/>
        </w:rPr>
      </w:pPr>
      <w:bookmarkStart w:id="339" w:name="_Toc408471832"/>
      <w:bookmarkStart w:id="340" w:name="_Toc493069496"/>
      <w:bookmarkStart w:id="341" w:name="_Toc461723744"/>
      <w:r>
        <w:rPr>
          <w:rStyle w:val="CharSectno"/>
        </w:rPr>
        <w:t>89</w:t>
      </w:r>
      <w:r>
        <w:t>.</w:t>
      </w:r>
      <w:r>
        <w:tab/>
        <w:t>Swimming in designated areas prohibited</w:t>
      </w:r>
      <w:bookmarkEnd w:id="339"/>
      <w:bookmarkEnd w:id="340"/>
      <w:bookmarkEnd w:id="341"/>
    </w:p>
    <w:p>
      <w:pPr>
        <w:pStyle w:val="Subsection"/>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spacing w:before="180"/>
      </w:pPr>
      <w:bookmarkStart w:id="342" w:name="_Toc408471833"/>
      <w:bookmarkStart w:id="343" w:name="_Toc493069497"/>
      <w:bookmarkStart w:id="344" w:name="_Toc461723745"/>
      <w:r>
        <w:rPr>
          <w:rStyle w:val="CharSectno"/>
        </w:rPr>
        <w:t>90</w:t>
      </w:r>
      <w:r>
        <w:t>.</w:t>
      </w:r>
      <w:r>
        <w:tab/>
        <w:t>Closed areas of ports etc., unauthorised entry of</w:t>
      </w:r>
      <w:bookmarkEnd w:id="342"/>
      <w:bookmarkEnd w:id="343"/>
      <w:bookmarkEnd w:id="344"/>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spacing w:before="180"/>
      </w:pPr>
      <w:bookmarkStart w:id="345" w:name="_Toc408471834"/>
      <w:bookmarkStart w:id="346" w:name="_Toc493069498"/>
      <w:bookmarkStart w:id="347" w:name="_Toc461723746"/>
      <w:r>
        <w:rPr>
          <w:rStyle w:val="CharSectno"/>
        </w:rPr>
        <w:t>91</w:t>
      </w:r>
      <w:r>
        <w:t>.</w:t>
      </w:r>
      <w:r>
        <w:tab/>
        <w:t>Fishing in designated areas of port prohibited</w:t>
      </w:r>
      <w:bookmarkEnd w:id="345"/>
      <w:bookmarkEnd w:id="346"/>
      <w:bookmarkEnd w:id="347"/>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348" w:name="_Toc408471835"/>
      <w:bookmarkStart w:id="349" w:name="_Toc493069499"/>
      <w:bookmarkStart w:id="350" w:name="_Toc461723747"/>
      <w:r>
        <w:rPr>
          <w:rStyle w:val="CharSectno"/>
        </w:rPr>
        <w:t>92</w:t>
      </w:r>
      <w:r>
        <w:t>.</w:t>
      </w:r>
      <w:r>
        <w:tab/>
        <w:t>Fishing nets etc., use of</w:t>
      </w:r>
      <w:bookmarkEnd w:id="348"/>
      <w:bookmarkEnd w:id="349"/>
      <w:bookmarkEnd w:id="350"/>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351" w:name="_Toc408471836"/>
      <w:bookmarkStart w:id="352" w:name="_Toc493069500"/>
      <w:bookmarkStart w:id="353" w:name="_Toc461723748"/>
      <w:r>
        <w:rPr>
          <w:rStyle w:val="CharSectno"/>
        </w:rPr>
        <w:t>93</w:t>
      </w:r>
      <w:r>
        <w:t>.</w:t>
      </w:r>
      <w:r>
        <w:tab/>
        <w:t>Launching etc. boats in unauthorised places etc. prohibited</w:t>
      </w:r>
      <w:bookmarkEnd w:id="351"/>
      <w:bookmarkEnd w:id="352"/>
      <w:bookmarkEnd w:id="353"/>
    </w:p>
    <w:p>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354" w:name="_Toc408471837"/>
      <w:bookmarkStart w:id="355" w:name="_Toc493069501"/>
      <w:bookmarkStart w:id="356" w:name="_Toc461723749"/>
      <w:r>
        <w:rPr>
          <w:rStyle w:val="CharSectno"/>
        </w:rPr>
        <w:t>94</w:t>
      </w:r>
      <w:r>
        <w:t>.</w:t>
      </w:r>
      <w:r>
        <w:tab/>
        <w:t>Camping etc. prohibited unless authorised</w:t>
      </w:r>
      <w:bookmarkEnd w:id="354"/>
      <w:bookmarkEnd w:id="355"/>
      <w:bookmarkEnd w:id="356"/>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357" w:name="_Toc408471838"/>
      <w:bookmarkStart w:id="358" w:name="_Toc493069502"/>
      <w:bookmarkStart w:id="359" w:name="_Toc461723750"/>
      <w:r>
        <w:rPr>
          <w:rStyle w:val="CharSectno"/>
        </w:rPr>
        <w:t>95</w:t>
      </w:r>
      <w:r>
        <w:t>.</w:t>
      </w:r>
      <w:r>
        <w:tab/>
        <w:t>Marine life not to be removed from wharf etc. unless authorised</w:t>
      </w:r>
      <w:bookmarkEnd w:id="357"/>
      <w:bookmarkEnd w:id="358"/>
      <w:bookmarkEnd w:id="359"/>
    </w:p>
    <w:p>
      <w:pPr>
        <w:pStyle w:val="Subsection"/>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pPr>
      <w:bookmarkStart w:id="360" w:name="_Toc408471839"/>
      <w:bookmarkStart w:id="361" w:name="_Toc493069503"/>
      <w:bookmarkStart w:id="362" w:name="_Toc461723751"/>
      <w:r>
        <w:rPr>
          <w:rStyle w:val="CharSectno"/>
        </w:rPr>
        <w:t>96</w:t>
      </w:r>
      <w:r>
        <w:t>.</w:t>
      </w:r>
      <w:r>
        <w:tab/>
        <w:t>Buildings etc. not to be erected without authority</w:t>
      </w:r>
      <w:bookmarkEnd w:id="360"/>
      <w:bookmarkEnd w:id="361"/>
      <w:bookmarkEnd w:id="362"/>
    </w:p>
    <w:p>
      <w:pPr>
        <w:pStyle w:val="Subsection"/>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363" w:name="_Toc408471840"/>
      <w:bookmarkStart w:id="364" w:name="_Toc493069504"/>
      <w:bookmarkStart w:id="365" w:name="_Toc461723752"/>
      <w:r>
        <w:rPr>
          <w:rStyle w:val="CharSectno"/>
        </w:rPr>
        <w:t>97</w:t>
      </w:r>
      <w:r>
        <w:t>.</w:t>
      </w:r>
      <w:r>
        <w:tab/>
        <w:t>Excavation work not to be done unless authorised</w:t>
      </w:r>
      <w:bookmarkEnd w:id="363"/>
      <w:bookmarkEnd w:id="364"/>
      <w:bookmarkEnd w:id="365"/>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rStyle w:val="CharDefText"/>
        </w:rPr>
        <w:t>excavation work</w:t>
      </w:r>
      <w:r>
        <w:t xml:space="preserve"> means any work that involves breaking or penetrating the ground surface.</w:t>
      </w:r>
    </w:p>
    <w:p>
      <w:pPr>
        <w:pStyle w:val="Heading5"/>
        <w:spacing w:before="160"/>
      </w:pPr>
      <w:bookmarkStart w:id="366" w:name="_Toc408471841"/>
      <w:bookmarkStart w:id="367" w:name="_Toc493069505"/>
      <w:bookmarkStart w:id="368" w:name="_Toc461723753"/>
      <w:r>
        <w:rPr>
          <w:rStyle w:val="CharSectno"/>
        </w:rPr>
        <w:t>98</w:t>
      </w:r>
      <w:r>
        <w:t>.</w:t>
      </w:r>
      <w:r>
        <w:tab/>
        <w:t>Motor boats and water skiing, restrictions on</w:t>
      </w:r>
      <w:bookmarkEnd w:id="366"/>
      <w:bookmarkEnd w:id="367"/>
      <w:bookmarkEnd w:id="368"/>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 xml:space="preserve">within 45 m of a river bank or low water mark; </w:t>
      </w:r>
    </w:p>
    <w:p>
      <w:pPr>
        <w:pStyle w:val="Indenta"/>
      </w:pPr>
      <w:r>
        <w:tab/>
      </w:r>
      <w:r>
        <w:tab/>
        <w:t>or</w:t>
      </w:r>
    </w:p>
    <w:p>
      <w:pPr>
        <w:pStyle w:val="Indenta"/>
      </w:pPr>
      <w:r>
        <w:tab/>
        <w:t>(b)</w:t>
      </w:r>
      <w:r>
        <w:tab/>
        <w:t>in or through an area set aside for vessels to be moored; or</w:t>
      </w:r>
    </w:p>
    <w:p>
      <w:pPr>
        <w:pStyle w:val="Indenta"/>
      </w:pPr>
      <w:r>
        <w:tab/>
        <w:t>(c)</w:t>
      </w:r>
      <w:r>
        <w:tab/>
        <w:t>within 15 m of a vessel that is under way; or</w:t>
      </w:r>
    </w:p>
    <w:p>
      <w:pPr>
        <w:pStyle w:val="Indenta"/>
      </w:pPr>
      <w:r>
        <w:tab/>
        <w:t>(d)</w:t>
      </w:r>
      <w:r>
        <w:tab/>
        <w:t xml:space="preserve">within 45 m of  — </w:t>
      </w:r>
    </w:p>
    <w:p>
      <w:pPr>
        <w:pStyle w:val="Indenti"/>
      </w:pPr>
      <w:r>
        <w:tab/>
        <w:t>(i)</w:t>
      </w:r>
      <w:r>
        <w:tab/>
        <w:t>a moored vessel; or</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Defstart"/>
      </w:pPr>
      <w:r>
        <w:tab/>
      </w:r>
      <w:r>
        <w:rPr>
          <w:rStyle w:val="CharDefText"/>
        </w:rPr>
        <w:t>water ski</w:t>
      </w:r>
      <w:r>
        <w:t xml:space="preserve"> includes water ski using only the feet for support on the water.</w:t>
      </w:r>
    </w:p>
    <w:p>
      <w:pPr>
        <w:pStyle w:val="Heading5"/>
      </w:pPr>
      <w:bookmarkStart w:id="369" w:name="_Toc408471842"/>
      <w:bookmarkStart w:id="370" w:name="_Toc493069506"/>
      <w:bookmarkStart w:id="371" w:name="_Toc461723754"/>
      <w:r>
        <w:rPr>
          <w:rStyle w:val="CharSectno"/>
        </w:rPr>
        <w:t>99</w:t>
      </w:r>
      <w:r>
        <w:t>.</w:t>
      </w:r>
      <w:r>
        <w:tab/>
        <w:t>Races, regattas etc. not to be held without authority</w:t>
      </w:r>
      <w:bookmarkEnd w:id="369"/>
      <w:bookmarkEnd w:id="370"/>
      <w:bookmarkEnd w:id="371"/>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372" w:name="_Toc408471843"/>
      <w:bookmarkStart w:id="373" w:name="_Toc416945488"/>
      <w:bookmarkStart w:id="374" w:name="_Toc416945827"/>
      <w:bookmarkStart w:id="375" w:name="_Toc416946111"/>
      <w:bookmarkStart w:id="376" w:name="_Toc417655681"/>
      <w:bookmarkStart w:id="377" w:name="_Toc461722108"/>
      <w:bookmarkStart w:id="378" w:name="_Toc461723755"/>
      <w:bookmarkStart w:id="379" w:name="_Toc493069507"/>
      <w:r>
        <w:rPr>
          <w:rStyle w:val="CharPartNo"/>
        </w:rPr>
        <w:t>Part 6</w:t>
      </w:r>
      <w:r>
        <w:rPr>
          <w:rStyle w:val="CharDivNo"/>
        </w:rPr>
        <w:t xml:space="preserve"> </w:t>
      </w:r>
      <w:r>
        <w:t>—</w:t>
      </w:r>
      <w:r>
        <w:rPr>
          <w:rStyle w:val="CharDivText"/>
        </w:rPr>
        <w:t xml:space="preserve"> </w:t>
      </w:r>
      <w:r>
        <w:rPr>
          <w:rStyle w:val="CharPartText"/>
        </w:rPr>
        <w:t>Vehicles in ports</w:t>
      </w:r>
      <w:bookmarkEnd w:id="372"/>
      <w:bookmarkEnd w:id="373"/>
      <w:bookmarkEnd w:id="374"/>
      <w:bookmarkEnd w:id="375"/>
      <w:bookmarkEnd w:id="376"/>
      <w:bookmarkEnd w:id="377"/>
      <w:bookmarkEnd w:id="378"/>
      <w:bookmarkEnd w:id="379"/>
    </w:p>
    <w:p>
      <w:pPr>
        <w:pStyle w:val="Heading5"/>
        <w:spacing w:before="180"/>
      </w:pPr>
      <w:bookmarkStart w:id="380" w:name="_Toc408471844"/>
      <w:bookmarkStart w:id="381" w:name="_Toc493069508"/>
      <w:bookmarkStart w:id="382" w:name="_Toc461723756"/>
      <w:r>
        <w:rPr>
          <w:rStyle w:val="CharSectno"/>
        </w:rPr>
        <w:t>100</w:t>
      </w:r>
      <w:r>
        <w:t>.</w:t>
      </w:r>
      <w:r>
        <w:tab/>
        <w:t>Terms used</w:t>
      </w:r>
      <w:bookmarkEnd w:id="380"/>
      <w:bookmarkEnd w:id="381"/>
      <w:bookmarkEnd w:id="382"/>
    </w:p>
    <w:p>
      <w:pPr>
        <w:pStyle w:val="Subsection"/>
      </w:pPr>
      <w:r>
        <w:tab/>
      </w:r>
      <w:r>
        <w:tab/>
        <w:t xml:space="preserve">In this Part — </w:t>
      </w:r>
    </w:p>
    <w:p>
      <w:pPr>
        <w:pStyle w:val="Defstart"/>
      </w:pPr>
      <w:r>
        <w:tab/>
      </w:r>
      <w:r>
        <w:rPr>
          <w:rStyle w:val="CharDefText"/>
        </w:rPr>
        <w:t>no</w:t>
      </w:r>
      <w:r>
        <w:rPr>
          <w:rStyle w:val="CharDefText"/>
        </w:rPr>
        <w:noBreakHyphen/>
        <w:t>parking area</w:t>
      </w:r>
      <w:r>
        <w:t xml:space="preserve"> means an area referred to in regulation 105(1)(b);</w:t>
      </w:r>
    </w:p>
    <w:p>
      <w:pPr>
        <w:pStyle w:val="Defstart"/>
      </w:pPr>
      <w:r>
        <w:tab/>
      </w:r>
      <w:r>
        <w:rPr>
          <w:rStyle w:val="CharDefText"/>
        </w:rPr>
        <w:t>no</w:t>
      </w:r>
      <w:r>
        <w:rPr>
          <w:rStyle w:val="CharDefText"/>
        </w:rPr>
        <w:noBreakHyphen/>
        <w:t>stopping area</w:t>
      </w:r>
      <w:r>
        <w:t xml:space="preserve"> means an area referred to in regulation 104(1);</w:t>
      </w:r>
    </w:p>
    <w:p>
      <w:pPr>
        <w:pStyle w:val="Defstart"/>
      </w:pPr>
      <w:r>
        <w:tab/>
      </w:r>
      <w:r>
        <w:rPr>
          <w:rStyle w:val="CharDefText"/>
        </w:rPr>
        <w:t>parking area</w:t>
      </w:r>
      <w:r>
        <w:t xml:space="preserve"> means an area referred to in subregulation 105(1)(a);</w:t>
      </w:r>
    </w:p>
    <w:p>
      <w:pPr>
        <w:pStyle w:val="Defstart"/>
      </w:pPr>
      <w:r>
        <w:tab/>
      </w:r>
      <w:r>
        <w:rPr>
          <w:rStyle w:val="CharDefText"/>
        </w:rPr>
        <w:t>traffic sign</w:t>
      </w:r>
      <w:r>
        <w:t xml:space="preserve"> means a notice or sign erected by the port authority to control traffic in its port.</w:t>
      </w:r>
    </w:p>
    <w:p>
      <w:pPr>
        <w:pStyle w:val="Heading5"/>
      </w:pPr>
      <w:bookmarkStart w:id="383" w:name="_Toc408471845"/>
      <w:bookmarkStart w:id="384" w:name="_Toc493069509"/>
      <w:bookmarkStart w:id="385" w:name="_Toc461723757"/>
      <w:r>
        <w:rPr>
          <w:rStyle w:val="CharSectno"/>
        </w:rPr>
        <w:t>101</w:t>
      </w:r>
      <w:r>
        <w:t>.</w:t>
      </w:r>
      <w:r>
        <w:tab/>
      </w:r>
      <w:r>
        <w:rPr>
          <w:i/>
        </w:rPr>
        <w:t>Application of road laws</w:t>
      </w:r>
      <w:bookmarkEnd w:id="383"/>
      <w:bookmarkEnd w:id="384"/>
      <w:bookmarkEnd w:id="385"/>
    </w:p>
    <w:p>
      <w:pPr>
        <w:pStyle w:val="Subsection"/>
      </w:pPr>
      <w:r>
        <w:tab/>
      </w:r>
      <w:r>
        <w:tab/>
        <w:t xml:space="preserve">The provisions of this Part are in addition to those of each road law, as defined in the </w:t>
      </w:r>
      <w:r>
        <w:rPr>
          <w:i/>
        </w:rPr>
        <w:t>Road Traffic (Administration) Act 2008</w:t>
      </w:r>
      <w:r>
        <w:t xml:space="preserve"> section 4, in relation to a port.</w:t>
      </w:r>
    </w:p>
    <w:p>
      <w:pPr>
        <w:pStyle w:val="Footnotesection"/>
        <w:spacing w:before="80"/>
        <w:ind w:left="890" w:hanging="890"/>
      </w:pPr>
      <w:bookmarkStart w:id="386" w:name="_Toc408471846"/>
      <w:r>
        <w:tab/>
        <w:t>[Regulation 101 amended in Gazette 8 Jan 2015 p. 63.]</w:t>
      </w:r>
    </w:p>
    <w:p>
      <w:pPr>
        <w:pStyle w:val="Heading5"/>
      </w:pPr>
      <w:bookmarkStart w:id="387" w:name="_Toc493069510"/>
      <w:bookmarkStart w:id="388" w:name="_Toc461723758"/>
      <w:r>
        <w:rPr>
          <w:rStyle w:val="CharSectno"/>
        </w:rPr>
        <w:t>102</w:t>
      </w:r>
      <w:r>
        <w:t>.</w:t>
      </w:r>
      <w:r>
        <w:tab/>
        <w:t>Careless driving</w:t>
      </w:r>
      <w:bookmarkEnd w:id="386"/>
      <w:bookmarkEnd w:id="387"/>
      <w:bookmarkEnd w:id="388"/>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389" w:name="_Toc408471847"/>
      <w:bookmarkStart w:id="390" w:name="_Toc493069511"/>
      <w:bookmarkStart w:id="391" w:name="_Toc461723759"/>
      <w:r>
        <w:rPr>
          <w:rStyle w:val="CharSectno"/>
        </w:rPr>
        <w:t>103</w:t>
      </w:r>
      <w:r>
        <w:t>.</w:t>
      </w:r>
      <w:r>
        <w:tab/>
        <w:t>Drivers to comply with traffic signs</w:t>
      </w:r>
      <w:bookmarkEnd w:id="389"/>
      <w:bookmarkEnd w:id="390"/>
      <w:bookmarkEnd w:id="391"/>
    </w:p>
    <w:p>
      <w:pPr>
        <w:pStyle w:val="Subsection"/>
      </w:pPr>
      <w:r>
        <w:tab/>
      </w:r>
      <w:r>
        <w:tab/>
        <w:t>Subject to this Part, a person driving a motor vehicle in a port who does not comply with a traffic sign commits an offence.</w:t>
      </w:r>
    </w:p>
    <w:p>
      <w:pPr>
        <w:pStyle w:val="Penstart"/>
      </w:pPr>
      <w:r>
        <w:tab/>
        <w:t>Penalty: $2 000.</w:t>
      </w:r>
    </w:p>
    <w:p>
      <w:pPr>
        <w:pStyle w:val="Heading5"/>
        <w:spacing w:before="180"/>
      </w:pPr>
      <w:bookmarkStart w:id="392" w:name="_Toc408471848"/>
      <w:bookmarkStart w:id="393" w:name="_Toc493069512"/>
      <w:bookmarkStart w:id="394" w:name="_Toc461723760"/>
      <w:r>
        <w:rPr>
          <w:rStyle w:val="CharSectno"/>
        </w:rPr>
        <w:t>104</w:t>
      </w:r>
      <w:r>
        <w:t>.</w:t>
      </w:r>
      <w:r>
        <w:tab/>
        <w:t>Stopping vehicles</w:t>
      </w:r>
      <w:bookmarkEnd w:id="392"/>
      <w:bookmarkEnd w:id="393"/>
      <w:bookmarkEnd w:id="394"/>
      <w:r>
        <w:t xml:space="preserve"> </w:t>
      </w:r>
    </w:p>
    <w:p>
      <w:pPr>
        <w:pStyle w:val="Subsection"/>
      </w:pPr>
      <w:r>
        <w:tab/>
        <w:t>(1)</w:t>
      </w:r>
      <w:r>
        <w:tab/>
        <w:t>A port authority may, by marking lines or by erecting notices or signs, designate the areas of the port where vehicles are not to be stopped.</w:t>
      </w:r>
    </w:p>
    <w:p>
      <w:pPr>
        <w:pStyle w:val="Subsection"/>
      </w:pPr>
      <w:r>
        <w:tab/>
        <w:t>(2)</w:t>
      </w:r>
      <w:r>
        <w:tab/>
        <w:t>Subject to subregulations (3) and (4) and regulation 106,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 or</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395" w:name="_Toc408471849"/>
      <w:bookmarkStart w:id="396" w:name="_Toc493069513"/>
      <w:bookmarkStart w:id="397" w:name="_Toc461723761"/>
      <w:r>
        <w:rPr>
          <w:rStyle w:val="CharSectno"/>
        </w:rPr>
        <w:t>105</w:t>
      </w:r>
      <w:r>
        <w:t>.</w:t>
      </w:r>
      <w:r>
        <w:tab/>
        <w:t>Parking vehicles</w:t>
      </w:r>
      <w:bookmarkEnd w:id="395"/>
      <w:bookmarkEnd w:id="396"/>
      <w:bookmarkEnd w:id="397"/>
      <w:r>
        <w:t xml:space="preserve"> </w:t>
      </w:r>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398" w:name="_Toc408471850"/>
      <w:bookmarkStart w:id="399" w:name="_Toc493069514"/>
      <w:bookmarkStart w:id="400" w:name="_Toc461723762"/>
      <w:r>
        <w:rPr>
          <w:rStyle w:val="CharSectno"/>
        </w:rPr>
        <w:t>106</w:t>
      </w:r>
      <w:r>
        <w:t>.</w:t>
      </w:r>
      <w:r>
        <w:tab/>
        <w:t>Emergency vehicles, exceptions for</w:t>
      </w:r>
      <w:bookmarkEnd w:id="398"/>
      <w:bookmarkEnd w:id="399"/>
      <w:bookmarkEnd w:id="400"/>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 or</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rStyle w:val="CharDefText"/>
        </w:rPr>
        <w:t>emergency vehicle</w:t>
      </w:r>
      <w:r>
        <w:t xml:space="preserve"> means a motor vehicle that has entered a port in connection with — </w:t>
      </w:r>
    </w:p>
    <w:p>
      <w:pPr>
        <w:pStyle w:val="Defpara"/>
      </w:pPr>
      <w:r>
        <w:tab/>
        <w:t>(a)</w:t>
      </w:r>
      <w:r>
        <w:tab/>
        <w:t>urgent police duties; or</w:t>
      </w:r>
    </w:p>
    <w:p>
      <w:pPr>
        <w:pStyle w:val="Defpara"/>
      </w:pPr>
      <w:r>
        <w:tab/>
        <w:t>(b)</w:t>
      </w:r>
      <w:r>
        <w:tab/>
        <w:t>the fighting of fire or the answering of a fire call; or</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401" w:name="_Toc408471851"/>
      <w:bookmarkStart w:id="402" w:name="_Toc493069515"/>
      <w:bookmarkStart w:id="403" w:name="_Toc461723763"/>
      <w:r>
        <w:rPr>
          <w:rStyle w:val="CharSectno"/>
        </w:rPr>
        <w:t>107</w:t>
      </w:r>
      <w:r>
        <w:t>.</w:t>
      </w:r>
      <w:r>
        <w:tab/>
        <w:t>Obstructing vehicles may be removed</w:t>
      </w:r>
      <w:bookmarkEnd w:id="401"/>
      <w:bookmarkEnd w:id="402"/>
      <w:bookmarkEnd w:id="403"/>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404" w:name="_Toc408471852"/>
      <w:bookmarkStart w:id="405" w:name="_Toc416945497"/>
      <w:bookmarkStart w:id="406" w:name="_Toc416945836"/>
      <w:bookmarkStart w:id="407" w:name="_Toc416946120"/>
      <w:bookmarkStart w:id="408" w:name="_Toc417655690"/>
      <w:bookmarkStart w:id="409" w:name="_Toc461722117"/>
      <w:bookmarkStart w:id="410" w:name="_Toc461723764"/>
      <w:bookmarkStart w:id="411" w:name="_Toc493069516"/>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404"/>
      <w:bookmarkEnd w:id="405"/>
      <w:bookmarkEnd w:id="406"/>
      <w:bookmarkEnd w:id="407"/>
      <w:bookmarkEnd w:id="408"/>
      <w:bookmarkEnd w:id="409"/>
      <w:bookmarkEnd w:id="410"/>
      <w:bookmarkEnd w:id="411"/>
    </w:p>
    <w:p>
      <w:pPr>
        <w:pStyle w:val="Heading5"/>
        <w:spacing w:before="240"/>
      </w:pPr>
      <w:bookmarkStart w:id="412" w:name="_Toc408471853"/>
      <w:bookmarkStart w:id="413" w:name="_Toc493069517"/>
      <w:bookmarkStart w:id="414" w:name="_Toc461723765"/>
      <w:r>
        <w:rPr>
          <w:rStyle w:val="CharSectno"/>
        </w:rPr>
        <w:t>108</w:t>
      </w:r>
      <w:r>
        <w:t>.</w:t>
      </w:r>
      <w:r>
        <w:tab/>
        <w:t>Prescribed offences (Act s. 124)</w:t>
      </w:r>
      <w:bookmarkEnd w:id="412"/>
      <w:bookmarkEnd w:id="413"/>
      <w:bookmarkEnd w:id="414"/>
    </w:p>
    <w:p>
      <w:pPr>
        <w:pStyle w:val="Subsection"/>
      </w:pPr>
      <w:r>
        <w:tab/>
      </w:r>
      <w:r>
        <w:tab/>
        <w:t>The offences mentioned in Schedule 3 are the offences for which an infringement notice may be given under section 124 of the Act.</w:t>
      </w:r>
    </w:p>
    <w:p>
      <w:pPr>
        <w:pStyle w:val="Heading5"/>
      </w:pPr>
      <w:bookmarkStart w:id="415" w:name="_Toc408471854"/>
      <w:bookmarkStart w:id="416" w:name="_Toc493069518"/>
      <w:bookmarkStart w:id="417" w:name="_Toc461723766"/>
      <w:r>
        <w:rPr>
          <w:rStyle w:val="CharSectno"/>
        </w:rPr>
        <w:t>109</w:t>
      </w:r>
      <w:r>
        <w:t>.</w:t>
      </w:r>
      <w:r>
        <w:tab/>
        <w:t>Prescribed modified penalties (Act s. 125(2))</w:t>
      </w:r>
      <w:bookmarkEnd w:id="415"/>
      <w:bookmarkEnd w:id="416"/>
      <w:bookmarkEnd w:id="417"/>
    </w:p>
    <w:p>
      <w:pPr>
        <w:pStyle w:val="Subsection"/>
      </w:pPr>
      <w:r>
        <w:tab/>
      </w:r>
      <w:r>
        <w:tab/>
        <w:t>The modified penalty mentioned opposite an offence in Schedule 3 is the modified penalty for that offence for the purposes of section 125(2) of the Act.</w:t>
      </w:r>
    </w:p>
    <w:p>
      <w:pPr>
        <w:pStyle w:val="Heading5"/>
      </w:pPr>
      <w:bookmarkStart w:id="418" w:name="_Toc408471855"/>
      <w:bookmarkStart w:id="419" w:name="_Toc493069519"/>
      <w:bookmarkStart w:id="420" w:name="_Toc461723767"/>
      <w:r>
        <w:rPr>
          <w:rStyle w:val="CharSectno"/>
        </w:rPr>
        <w:t>110</w:t>
      </w:r>
      <w:r>
        <w:t>.</w:t>
      </w:r>
      <w:r>
        <w:tab/>
        <w:t>Over</w:t>
      </w:r>
      <w:r>
        <w:noBreakHyphen/>
        <w:t>length vehicle, meaning of in Sch. 3</w:t>
      </w:r>
      <w:bookmarkEnd w:id="418"/>
      <w:bookmarkEnd w:id="419"/>
      <w:bookmarkEnd w:id="420"/>
    </w:p>
    <w:p>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pPr>
        <w:pStyle w:val="Heading5"/>
      </w:pPr>
      <w:bookmarkStart w:id="421" w:name="_Toc408471856"/>
      <w:bookmarkStart w:id="422" w:name="_Toc493069520"/>
      <w:bookmarkStart w:id="423" w:name="_Toc461723768"/>
      <w:r>
        <w:rPr>
          <w:rStyle w:val="CharSectno"/>
        </w:rPr>
        <w:t>111</w:t>
      </w:r>
      <w:r>
        <w:t>.</w:t>
      </w:r>
      <w:r>
        <w:tab/>
        <w:t>Infringement notice, prescribed form of (Act s. 125(1))</w:t>
      </w:r>
      <w:bookmarkEnd w:id="421"/>
      <w:bookmarkEnd w:id="422"/>
      <w:bookmarkEnd w:id="423"/>
    </w:p>
    <w:p>
      <w:pPr>
        <w:pStyle w:val="Subsection"/>
      </w:pPr>
      <w:r>
        <w:tab/>
      </w:r>
      <w:r>
        <w:tab/>
        <w:t>The form of an infringement notice is set out in Form 1 in Schedule 4 for the purposes of section 125(1) of the Act.</w:t>
      </w:r>
    </w:p>
    <w:p>
      <w:pPr>
        <w:pStyle w:val="Heading5"/>
      </w:pPr>
      <w:bookmarkStart w:id="424" w:name="_Toc408471857"/>
      <w:bookmarkStart w:id="425" w:name="_Toc493069521"/>
      <w:bookmarkStart w:id="426" w:name="_Toc461723769"/>
      <w:r>
        <w:rPr>
          <w:rStyle w:val="CharSectno"/>
        </w:rPr>
        <w:t>112</w:t>
      </w:r>
      <w:r>
        <w:t>.</w:t>
      </w:r>
      <w:r>
        <w:tab/>
        <w:t>Withdrawal of infringement notice, prescribed form of (Act s. 127(1))</w:t>
      </w:r>
      <w:bookmarkEnd w:id="424"/>
      <w:bookmarkEnd w:id="425"/>
      <w:bookmarkEnd w:id="426"/>
    </w:p>
    <w:p>
      <w:pPr>
        <w:pStyle w:val="Subsection"/>
      </w:pPr>
      <w:r>
        <w:tab/>
      </w:r>
      <w:r>
        <w:tab/>
        <w:t>The form of a notice to withdraw an infringement notice is set out in Form 2 in Schedule 4 for the purposes of section 127(1) of the Act.</w:t>
      </w:r>
    </w:p>
    <w:p>
      <w:pPr>
        <w:pStyle w:val="Heading2"/>
      </w:pPr>
      <w:bookmarkStart w:id="427" w:name="_Toc408471858"/>
      <w:bookmarkStart w:id="428" w:name="_Toc416945503"/>
      <w:bookmarkStart w:id="429" w:name="_Toc416945842"/>
      <w:bookmarkStart w:id="430" w:name="_Toc416946126"/>
      <w:bookmarkStart w:id="431" w:name="_Toc417655696"/>
      <w:bookmarkStart w:id="432" w:name="_Toc461722123"/>
      <w:bookmarkStart w:id="433" w:name="_Toc461723770"/>
      <w:bookmarkStart w:id="434" w:name="_Toc493069522"/>
      <w:r>
        <w:rPr>
          <w:rStyle w:val="CharPartNo"/>
        </w:rPr>
        <w:t>Part 8</w:t>
      </w:r>
      <w:r>
        <w:t xml:space="preserve"> — </w:t>
      </w:r>
      <w:r>
        <w:rPr>
          <w:rStyle w:val="CharPartText"/>
        </w:rPr>
        <w:t>Miscellaneous</w:t>
      </w:r>
      <w:bookmarkEnd w:id="427"/>
      <w:bookmarkEnd w:id="428"/>
      <w:bookmarkEnd w:id="429"/>
      <w:bookmarkEnd w:id="430"/>
      <w:bookmarkEnd w:id="431"/>
      <w:bookmarkEnd w:id="432"/>
      <w:bookmarkEnd w:id="433"/>
      <w:bookmarkEnd w:id="434"/>
    </w:p>
    <w:p>
      <w:pPr>
        <w:pStyle w:val="Heading5"/>
      </w:pPr>
      <w:bookmarkStart w:id="435" w:name="_Toc408471859"/>
      <w:bookmarkStart w:id="436" w:name="_Toc493069523"/>
      <w:bookmarkStart w:id="437" w:name="_Toc461723771"/>
      <w:r>
        <w:rPr>
          <w:rStyle w:val="CharSectno"/>
        </w:rPr>
        <w:t>113</w:t>
      </w:r>
      <w:r>
        <w:t>.</w:t>
      </w:r>
      <w:r>
        <w:tab/>
        <w:t>Effect of breach of condition to which authorisation is subject</w:t>
      </w:r>
      <w:bookmarkEnd w:id="435"/>
      <w:bookmarkEnd w:id="436"/>
      <w:bookmarkEnd w:id="437"/>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438" w:name="_Toc408471860"/>
      <w:bookmarkStart w:id="439" w:name="_Toc493069524"/>
      <w:bookmarkStart w:id="440" w:name="_Toc461723772"/>
      <w:r>
        <w:rPr>
          <w:rStyle w:val="CharSectno"/>
        </w:rPr>
        <w:t>114</w:t>
      </w:r>
      <w:r>
        <w:t>.</w:t>
      </w:r>
      <w:r>
        <w:tab/>
        <w:t>Master of vessel to produce certificates of tonnage and registry etc. on request by certain officers</w:t>
      </w:r>
      <w:bookmarkEnd w:id="438"/>
      <w:bookmarkEnd w:id="439"/>
      <w:bookmarkEnd w:id="440"/>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441" w:name="_Toc408471861"/>
      <w:bookmarkStart w:id="442" w:name="_Toc493069525"/>
      <w:bookmarkStart w:id="443" w:name="_Toc461723773"/>
      <w:r>
        <w:rPr>
          <w:rStyle w:val="CharSectno"/>
        </w:rPr>
        <w:t>115</w:t>
      </w:r>
      <w:r>
        <w:t>.</w:t>
      </w:r>
      <w:r>
        <w:tab/>
        <w:t>Powers of authorised officers in relation to offenders</w:t>
      </w:r>
      <w:bookmarkEnd w:id="441"/>
      <w:bookmarkEnd w:id="442"/>
      <w:bookmarkEnd w:id="443"/>
    </w:p>
    <w:p>
      <w:pPr>
        <w:pStyle w:val="Subsection"/>
      </w:pPr>
      <w:r>
        <w:tab/>
        <w:t>(1)</w:t>
      </w:r>
      <w:r>
        <w:tab/>
        <w:t xml:space="preserve">An authorised officer may direct a person (an </w:t>
      </w:r>
      <w:r>
        <w:rPr>
          <w:rStyle w:val="CharDefText"/>
        </w:rPr>
        <w:t>offender</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rStyle w:val="CharDefText"/>
        </w:rPr>
        <w:t>authorised officer</w:t>
      </w:r>
      <w:r>
        <w:t xml:space="preserve"> means a police officer or an authorised member of staff of the port authority.</w:t>
      </w:r>
    </w:p>
    <w:p>
      <w:pPr>
        <w:pStyle w:val="Ednotesection"/>
      </w:pPr>
      <w:r>
        <w:t>[</w:t>
      </w:r>
      <w:r>
        <w:rPr>
          <w:b/>
        </w:rPr>
        <w:t>116.</w:t>
      </w:r>
      <w:r>
        <w:tab/>
        <w:t>Deleted in Gazette 13 Feb 2004 p. 546.]</w:t>
      </w:r>
    </w:p>
    <w:p>
      <w:pPr>
        <w:pStyle w:val="Heading5"/>
      </w:pPr>
      <w:bookmarkStart w:id="444" w:name="_Toc408471862"/>
      <w:bookmarkStart w:id="445" w:name="_Toc493069526"/>
      <w:bookmarkStart w:id="446" w:name="_Toc461723774"/>
      <w:r>
        <w:rPr>
          <w:rStyle w:val="CharSectno"/>
        </w:rPr>
        <w:t>117</w:t>
      </w:r>
      <w:r>
        <w:t>.</w:t>
      </w:r>
      <w:r>
        <w:tab/>
        <w:t>Certain easements, leases and licences may be granted without Minister’s approval (Act s. 28(2))</w:t>
      </w:r>
      <w:bookmarkEnd w:id="444"/>
      <w:bookmarkEnd w:id="445"/>
      <w:bookmarkEnd w:id="446"/>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447" w:name="_Toc408471863"/>
      <w:bookmarkStart w:id="448" w:name="_Toc493069527"/>
      <w:bookmarkStart w:id="449" w:name="_Toc461723775"/>
      <w:r>
        <w:rPr>
          <w:rStyle w:val="CharSectno"/>
        </w:rPr>
        <w:t>118</w:t>
      </w:r>
      <w:r>
        <w:t>.</w:t>
      </w:r>
      <w:r>
        <w:tab/>
        <w:t>Amount of port authority’s liability prescribed (Act s. 40(3)(c))</w:t>
      </w:r>
      <w:bookmarkEnd w:id="447"/>
      <w:bookmarkEnd w:id="448"/>
      <w:bookmarkEnd w:id="449"/>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450" w:name="_Toc408471864"/>
      <w:bookmarkStart w:id="451" w:name="_Toc493069528"/>
      <w:bookmarkStart w:id="452" w:name="_Toc461723776"/>
      <w:r>
        <w:rPr>
          <w:rStyle w:val="CharSectno"/>
        </w:rPr>
        <w:t>118A</w:t>
      </w:r>
      <w:r>
        <w:t>.</w:t>
      </w:r>
      <w:r>
        <w:tab/>
        <w:t>Port services prescribed (Act s. 35(9))</w:t>
      </w:r>
      <w:bookmarkEnd w:id="450"/>
      <w:bookmarkEnd w:id="451"/>
      <w:bookmarkEnd w:id="452"/>
    </w:p>
    <w:p>
      <w:pPr>
        <w:pStyle w:val="Subsection"/>
      </w:pPr>
      <w:r>
        <w:tab/>
      </w:r>
      <w:r>
        <w:tab/>
        <w:t>Under section 35(9) of the Act, “</w:t>
      </w:r>
      <w:r>
        <w:rPr>
          <w:bCs/>
          <w:iCs/>
        </w:rPr>
        <w:t>quarantine services”</w:t>
      </w:r>
      <w:r>
        <w:t xml:space="preserve"> are prescribed for the purposes of the definition of </w:t>
      </w:r>
      <w:r>
        <w:rPr>
          <w:b/>
          <w:bCs/>
          <w:i/>
          <w:iCs/>
        </w:rPr>
        <w:t>port services</w:t>
      </w:r>
      <w:r>
        <w:t xml:space="preserve"> in that subsection.</w:t>
      </w:r>
    </w:p>
    <w:p>
      <w:pPr>
        <w:pStyle w:val="Footnotesection"/>
      </w:pPr>
      <w:r>
        <w:tab/>
        <w:t>[Regulation 118A inserted in Gazette 10 Dec 2004 p. 5916.]</w:t>
      </w:r>
    </w:p>
    <w:p>
      <w:pPr>
        <w:pStyle w:val="Heading5"/>
      </w:pPr>
      <w:bookmarkStart w:id="453" w:name="_Toc408471865"/>
      <w:bookmarkStart w:id="454" w:name="_Toc493069529"/>
      <w:bookmarkStart w:id="455" w:name="_Toc461723777"/>
      <w:r>
        <w:rPr>
          <w:rStyle w:val="CharSectno"/>
        </w:rPr>
        <w:t>119</w:t>
      </w:r>
      <w:r>
        <w:t>.</w:t>
      </w:r>
      <w:r>
        <w:tab/>
        <w:t>Rate of interest on overdue amounts (Act s. 136(1))</w:t>
      </w:r>
      <w:bookmarkEnd w:id="453"/>
      <w:bookmarkEnd w:id="454"/>
      <w:bookmarkEnd w:id="455"/>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rStyle w:val="CharDefText"/>
        </w:rPr>
        <w:t>overdraft reference rate</w:t>
      </w:r>
      <w:r>
        <w:t xml:space="preserve"> means the base rate of interest used by the Bank of Western Australia Ltd. to determine the rates of interest payable on overdraft loans.</w:t>
      </w:r>
    </w:p>
    <w:p>
      <w:pPr>
        <w:pStyle w:val="Heading5"/>
      </w:pPr>
      <w:bookmarkStart w:id="456" w:name="_Toc408471866"/>
      <w:bookmarkStart w:id="457" w:name="_Toc493069530"/>
      <w:bookmarkStart w:id="458" w:name="_Toc461723778"/>
      <w:r>
        <w:rPr>
          <w:rStyle w:val="CharSectno"/>
        </w:rPr>
        <w:t>120</w:t>
      </w:r>
      <w:r>
        <w:t>.</w:t>
      </w:r>
      <w:r>
        <w:tab/>
        <w:t>Rounding off amounts (Act Sch. 5 cl. 31)</w:t>
      </w:r>
      <w:bookmarkEnd w:id="456"/>
      <w:bookmarkEnd w:id="457"/>
      <w:bookmarkEnd w:id="458"/>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459" w:name="_Toc408471867"/>
      <w:bookmarkStart w:id="460" w:name="_Toc493069531"/>
      <w:bookmarkStart w:id="461" w:name="_Toc461723779"/>
      <w:r>
        <w:rPr>
          <w:rStyle w:val="CharSectno"/>
        </w:rPr>
        <w:t>121</w:t>
      </w:r>
      <w:r>
        <w:t>.</w:t>
      </w:r>
      <w:r>
        <w:tab/>
        <w:t>Provisions for particular ports and port authorities</w:t>
      </w:r>
      <w:bookmarkEnd w:id="459"/>
      <w:bookmarkEnd w:id="460"/>
      <w:bookmarkEnd w:id="461"/>
    </w:p>
    <w:p>
      <w:pPr>
        <w:pStyle w:val="Subsection"/>
        <w:rPr>
          <w:snapToGrid w:val="0"/>
        </w:rPr>
      </w:pPr>
      <w:r>
        <w:tab/>
        <w:t>(1)</w:t>
      </w:r>
      <w:r>
        <w:tab/>
      </w:r>
      <w:r>
        <w:rPr>
          <w:snapToGrid w:val="0"/>
        </w:rPr>
        <w:t xml:space="preserve">If a Division of Schedule 1 applies to a port and a port authority, the provisions of that Division have effect in relation to — </w:t>
      </w:r>
    </w:p>
    <w:p>
      <w:pPr>
        <w:pStyle w:val="Indenta"/>
        <w:rPr>
          <w:snapToGrid w:val="0"/>
        </w:rPr>
      </w:pPr>
      <w:r>
        <w:rPr>
          <w:snapToGrid w:val="0"/>
        </w:rPr>
        <w:tab/>
        <w:t>(a)</w:t>
      </w:r>
      <w:r>
        <w:rPr>
          <w:snapToGrid w:val="0"/>
        </w:rPr>
        <w:tab/>
        <w:t>that port; and</w:t>
      </w:r>
    </w:p>
    <w:p>
      <w:pPr>
        <w:pStyle w:val="Indenta"/>
        <w:rPr>
          <w:snapToGrid w:val="0"/>
        </w:rPr>
      </w:pPr>
      <w:r>
        <w:rPr>
          <w:snapToGrid w:val="0"/>
        </w:rPr>
        <w:tab/>
        <w:t>(b)</w:t>
      </w:r>
      <w:r>
        <w:rPr>
          <w:snapToGrid w:val="0"/>
        </w:rPr>
        <w:tab/>
      </w:r>
      <w:r>
        <w:t xml:space="preserve">that port </w:t>
      </w:r>
      <w:r>
        <w:rPr>
          <w:snapToGrid w:val="0"/>
        </w:rPr>
        <w:t>authority’s control and management of that port.</w:t>
      </w:r>
    </w:p>
    <w:p>
      <w:pPr>
        <w:pStyle w:val="Subsection"/>
        <w:rPr>
          <w:snapToGrid w:val="0"/>
        </w:rPr>
      </w:pPr>
      <w:r>
        <w:tab/>
        <w:t>(2)</w:t>
      </w:r>
      <w:r>
        <w:tab/>
      </w:r>
      <w:r>
        <w:rPr>
          <w:snapToGrid w:val="0"/>
        </w:rPr>
        <w:t>The provisions referred to in subregulation (1) have effect even though they override, are inconsistent with or are additional to other provisions of these regulations.</w:t>
      </w:r>
    </w:p>
    <w:p>
      <w:pPr>
        <w:pStyle w:val="Subsection"/>
        <w:rPr>
          <w:snapToGrid w:val="0"/>
        </w:rPr>
      </w:pPr>
      <w:r>
        <w:tab/>
        <w:t>(3)</w:t>
      </w:r>
      <w:r>
        <w:tab/>
      </w:r>
      <w:r>
        <w:rPr>
          <w:snapToGrid w:val="0"/>
        </w:rPr>
        <w:t xml:space="preserve">A provision of these regulations mentioned in the Table does not apply to — </w:t>
      </w:r>
    </w:p>
    <w:p>
      <w:pPr>
        <w:pStyle w:val="Indenta"/>
        <w:rPr>
          <w:snapToGrid w:val="0"/>
        </w:rPr>
      </w:pPr>
      <w:r>
        <w:rPr>
          <w:snapToGrid w:val="0"/>
        </w:rPr>
        <w:tab/>
        <w:t>(a)</w:t>
      </w:r>
      <w:r>
        <w:rPr>
          <w:snapToGrid w:val="0"/>
        </w:rPr>
        <w:tab/>
        <w:t>the Port of Ashburton; or</w:t>
      </w:r>
    </w:p>
    <w:p>
      <w:pPr>
        <w:pStyle w:val="Indenta"/>
        <w:rPr>
          <w:snapToGrid w:val="0"/>
        </w:rPr>
      </w:pPr>
      <w:r>
        <w:rPr>
          <w:snapToGrid w:val="0"/>
        </w:rPr>
        <w:tab/>
        <w:t>(b)</w:t>
      </w:r>
      <w:r>
        <w:rPr>
          <w:snapToGrid w:val="0"/>
        </w:rPr>
        <w:tab/>
        <w:t xml:space="preserve">the </w:t>
      </w:r>
      <w:smartTag w:uri="urn:schemas-microsoft-com:office:smarttags" w:element="PlaceType">
        <w:r>
          <w:rPr>
            <w:snapToGrid w:val="0"/>
          </w:rPr>
          <w:t>Port</w:t>
        </w:r>
      </w:smartTag>
      <w:r>
        <w:rPr>
          <w:snapToGrid w:val="0"/>
        </w:rPr>
        <w:t xml:space="preserve"> of Dampier; or</w:t>
      </w:r>
    </w:p>
    <w:p>
      <w:pPr>
        <w:pStyle w:val="Indenta"/>
      </w:pPr>
      <w:r>
        <w:tab/>
        <w:t>(c)</w:t>
      </w:r>
      <w:r>
        <w:tab/>
        <w:t xml:space="preserve">the Pilbara Ports Authority’s control and management of </w:t>
      </w:r>
      <w:r>
        <w:rPr>
          <w:snapToGrid w:val="0"/>
        </w:rPr>
        <w:t>the ports referred to in paragraphs (a) and (b)</w:t>
      </w:r>
      <w:r>
        <w:t>.</w:t>
      </w:r>
    </w:p>
    <w:p>
      <w:pPr>
        <w:pStyle w:val="THeadingNAm"/>
      </w:pPr>
      <w:r>
        <w:t>Table</w:t>
      </w:r>
    </w:p>
    <w:tbl>
      <w:tblPr>
        <w:tblW w:w="0" w:type="auto"/>
        <w:tblInd w:w="1526" w:type="dxa"/>
        <w:tblLayout w:type="fixed"/>
        <w:tblLook w:val="0000" w:firstRow="0" w:lastRow="0" w:firstColumn="0" w:lastColumn="0" w:noHBand="0" w:noVBand="0"/>
      </w:tblPr>
      <w:tblGrid>
        <w:gridCol w:w="2551"/>
        <w:gridCol w:w="2410"/>
      </w:tblGrid>
      <w:tr>
        <w:trPr>
          <w:cantSplit/>
        </w:trPr>
        <w:tc>
          <w:tcPr>
            <w:tcW w:w="2551" w:type="dxa"/>
          </w:tcPr>
          <w:p>
            <w:pPr>
              <w:pStyle w:val="TableNAm"/>
            </w:pPr>
            <w:r>
              <w:t>regulation 5</w:t>
            </w:r>
          </w:p>
        </w:tc>
        <w:tc>
          <w:tcPr>
            <w:tcW w:w="2410" w:type="dxa"/>
          </w:tcPr>
          <w:p>
            <w:pPr>
              <w:pStyle w:val="TableNAm"/>
            </w:pPr>
            <w:r>
              <w:t>regulation 7</w:t>
            </w:r>
          </w:p>
        </w:tc>
      </w:tr>
      <w:tr>
        <w:trPr>
          <w:cantSplit/>
        </w:trPr>
        <w:tc>
          <w:tcPr>
            <w:tcW w:w="2551" w:type="dxa"/>
          </w:tcPr>
          <w:p>
            <w:pPr>
              <w:pStyle w:val="TableNAm"/>
            </w:pPr>
            <w:r>
              <w:t>regulation 8</w:t>
            </w:r>
          </w:p>
        </w:tc>
        <w:tc>
          <w:tcPr>
            <w:tcW w:w="2410" w:type="dxa"/>
          </w:tcPr>
          <w:p>
            <w:pPr>
              <w:pStyle w:val="TableNAm"/>
            </w:pPr>
            <w:r>
              <w:t>regulation 10</w:t>
            </w:r>
          </w:p>
        </w:tc>
      </w:tr>
      <w:tr>
        <w:trPr>
          <w:cantSplit/>
        </w:trPr>
        <w:tc>
          <w:tcPr>
            <w:tcW w:w="2551" w:type="dxa"/>
          </w:tcPr>
          <w:p>
            <w:pPr>
              <w:pStyle w:val="TableNAm"/>
            </w:pPr>
            <w:r>
              <w:t>regulation 13</w:t>
            </w:r>
          </w:p>
        </w:tc>
        <w:tc>
          <w:tcPr>
            <w:tcW w:w="2410" w:type="dxa"/>
          </w:tcPr>
          <w:p>
            <w:pPr>
              <w:pStyle w:val="TableNAm"/>
            </w:pPr>
            <w:r>
              <w:t>regulation 15</w:t>
            </w:r>
          </w:p>
        </w:tc>
      </w:tr>
      <w:tr>
        <w:trPr>
          <w:cantSplit/>
        </w:trPr>
        <w:tc>
          <w:tcPr>
            <w:tcW w:w="2551" w:type="dxa"/>
          </w:tcPr>
          <w:p>
            <w:pPr>
              <w:pStyle w:val="TableNAm"/>
            </w:pPr>
            <w:r>
              <w:t>regulation 17</w:t>
            </w:r>
          </w:p>
        </w:tc>
        <w:tc>
          <w:tcPr>
            <w:tcW w:w="2410" w:type="dxa"/>
          </w:tcPr>
          <w:p>
            <w:pPr>
              <w:pStyle w:val="TableNAm"/>
            </w:pPr>
            <w:r>
              <w:t>regulation 18</w:t>
            </w:r>
          </w:p>
        </w:tc>
      </w:tr>
      <w:tr>
        <w:trPr>
          <w:cantSplit/>
        </w:trPr>
        <w:tc>
          <w:tcPr>
            <w:tcW w:w="2551" w:type="dxa"/>
          </w:tcPr>
          <w:p>
            <w:pPr>
              <w:pStyle w:val="TableNAm"/>
            </w:pPr>
            <w:r>
              <w:t>regulation 19</w:t>
            </w:r>
          </w:p>
        </w:tc>
        <w:tc>
          <w:tcPr>
            <w:tcW w:w="2410" w:type="dxa"/>
          </w:tcPr>
          <w:p>
            <w:pPr>
              <w:pStyle w:val="TableNAm"/>
            </w:pPr>
            <w:r>
              <w:t>regulation 32</w:t>
            </w:r>
          </w:p>
        </w:tc>
      </w:tr>
      <w:tr>
        <w:trPr>
          <w:cantSplit/>
        </w:trPr>
        <w:tc>
          <w:tcPr>
            <w:tcW w:w="2551" w:type="dxa"/>
          </w:tcPr>
          <w:p>
            <w:pPr>
              <w:pStyle w:val="TableNAm"/>
            </w:pPr>
            <w:r>
              <w:t>regulation 33</w:t>
            </w:r>
          </w:p>
        </w:tc>
        <w:tc>
          <w:tcPr>
            <w:tcW w:w="2410" w:type="dxa"/>
          </w:tcPr>
          <w:p>
            <w:pPr>
              <w:pStyle w:val="TableNAm"/>
            </w:pPr>
            <w:r>
              <w:t>regulation 60</w:t>
            </w:r>
          </w:p>
        </w:tc>
      </w:tr>
      <w:tr>
        <w:trPr>
          <w:cantSplit/>
        </w:trPr>
        <w:tc>
          <w:tcPr>
            <w:tcW w:w="2551" w:type="dxa"/>
          </w:tcPr>
          <w:p>
            <w:pPr>
              <w:pStyle w:val="TableNAm"/>
            </w:pPr>
            <w:r>
              <w:t>regulation 61</w:t>
            </w:r>
          </w:p>
        </w:tc>
        <w:tc>
          <w:tcPr>
            <w:tcW w:w="2410" w:type="dxa"/>
          </w:tcPr>
          <w:p>
            <w:pPr>
              <w:pStyle w:val="TableNAm"/>
            </w:pPr>
            <w:r>
              <w:t>regulation 62</w:t>
            </w:r>
          </w:p>
        </w:tc>
      </w:tr>
      <w:tr>
        <w:trPr>
          <w:cantSplit/>
        </w:trPr>
        <w:tc>
          <w:tcPr>
            <w:tcW w:w="2551" w:type="dxa"/>
          </w:tcPr>
          <w:p>
            <w:pPr>
              <w:pStyle w:val="TableNAm"/>
            </w:pPr>
            <w:r>
              <w:t>regulation 66</w:t>
            </w:r>
          </w:p>
        </w:tc>
        <w:tc>
          <w:tcPr>
            <w:tcW w:w="2410" w:type="dxa"/>
          </w:tcPr>
          <w:p>
            <w:pPr>
              <w:pStyle w:val="TableNAm"/>
            </w:pPr>
            <w:r>
              <w:t>regulation 67</w:t>
            </w:r>
          </w:p>
        </w:tc>
      </w:tr>
      <w:tr>
        <w:trPr>
          <w:cantSplit/>
        </w:trPr>
        <w:tc>
          <w:tcPr>
            <w:tcW w:w="2551" w:type="dxa"/>
          </w:tcPr>
          <w:p>
            <w:pPr>
              <w:pStyle w:val="TableNAm"/>
            </w:pPr>
            <w:r>
              <w:t>regulation 70</w:t>
            </w:r>
          </w:p>
        </w:tc>
        <w:tc>
          <w:tcPr>
            <w:tcW w:w="2410" w:type="dxa"/>
          </w:tcPr>
          <w:p>
            <w:pPr>
              <w:pStyle w:val="TableNAm"/>
            </w:pPr>
            <w:r>
              <w:t>regulation 72</w:t>
            </w:r>
          </w:p>
        </w:tc>
      </w:tr>
      <w:tr>
        <w:trPr>
          <w:cantSplit/>
        </w:trPr>
        <w:tc>
          <w:tcPr>
            <w:tcW w:w="2551" w:type="dxa"/>
          </w:tcPr>
          <w:p>
            <w:pPr>
              <w:pStyle w:val="TableNAm"/>
            </w:pPr>
            <w:r>
              <w:t>regulation 73</w:t>
            </w:r>
          </w:p>
        </w:tc>
        <w:tc>
          <w:tcPr>
            <w:tcW w:w="2410" w:type="dxa"/>
          </w:tcPr>
          <w:p>
            <w:pPr>
              <w:pStyle w:val="TableNAm"/>
            </w:pPr>
            <w:r>
              <w:t>regulation 74</w:t>
            </w:r>
          </w:p>
        </w:tc>
      </w:tr>
      <w:tr>
        <w:trPr>
          <w:cantSplit/>
        </w:trPr>
        <w:tc>
          <w:tcPr>
            <w:tcW w:w="2551" w:type="dxa"/>
          </w:tcPr>
          <w:p>
            <w:pPr>
              <w:pStyle w:val="TableNAm"/>
            </w:pPr>
            <w:r>
              <w:t>regulation 77</w:t>
            </w:r>
          </w:p>
        </w:tc>
        <w:tc>
          <w:tcPr>
            <w:tcW w:w="2410" w:type="dxa"/>
          </w:tcPr>
          <w:p>
            <w:pPr>
              <w:pStyle w:val="TableNAm"/>
            </w:pPr>
            <w:r>
              <w:t>regulation 78</w:t>
            </w:r>
          </w:p>
        </w:tc>
      </w:tr>
      <w:tr>
        <w:trPr>
          <w:cantSplit/>
        </w:trPr>
        <w:tc>
          <w:tcPr>
            <w:tcW w:w="2551" w:type="dxa"/>
          </w:tcPr>
          <w:p>
            <w:pPr>
              <w:pStyle w:val="TableNAm"/>
            </w:pPr>
            <w:r>
              <w:t>regulation 79</w:t>
            </w:r>
          </w:p>
        </w:tc>
        <w:tc>
          <w:tcPr>
            <w:tcW w:w="2410" w:type="dxa"/>
          </w:tcPr>
          <w:p>
            <w:pPr>
              <w:pStyle w:val="TableNAm"/>
            </w:pPr>
            <w:r>
              <w:t>regulation 83</w:t>
            </w:r>
          </w:p>
        </w:tc>
      </w:tr>
      <w:tr>
        <w:trPr>
          <w:cantSplit/>
        </w:trPr>
        <w:tc>
          <w:tcPr>
            <w:tcW w:w="2551" w:type="dxa"/>
          </w:tcPr>
          <w:p>
            <w:pPr>
              <w:pStyle w:val="TableNAm"/>
            </w:pPr>
            <w:r>
              <w:t>regulation 84</w:t>
            </w:r>
          </w:p>
        </w:tc>
        <w:tc>
          <w:tcPr>
            <w:tcW w:w="2410" w:type="dxa"/>
          </w:tcPr>
          <w:p>
            <w:pPr>
              <w:pStyle w:val="TableNAm"/>
            </w:pPr>
            <w:r>
              <w:t>regulation 85</w:t>
            </w:r>
          </w:p>
        </w:tc>
      </w:tr>
      <w:tr>
        <w:trPr>
          <w:cantSplit/>
        </w:trPr>
        <w:tc>
          <w:tcPr>
            <w:tcW w:w="2551" w:type="dxa"/>
          </w:tcPr>
          <w:p>
            <w:pPr>
              <w:pStyle w:val="TableNAm"/>
            </w:pPr>
            <w:r>
              <w:t>regulation 86</w:t>
            </w:r>
          </w:p>
        </w:tc>
        <w:tc>
          <w:tcPr>
            <w:tcW w:w="2410" w:type="dxa"/>
          </w:tcPr>
          <w:p>
            <w:pPr>
              <w:pStyle w:val="TableNAm"/>
            </w:pPr>
            <w:r>
              <w:t>regulation 87</w:t>
            </w:r>
          </w:p>
        </w:tc>
      </w:tr>
      <w:tr>
        <w:trPr>
          <w:cantSplit/>
        </w:trPr>
        <w:tc>
          <w:tcPr>
            <w:tcW w:w="2551" w:type="dxa"/>
          </w:tcPr>
          <w:p>
            <w:pPr>
              <w:pStyle w:val="TableNAm"/>
            </w:pPr>
            <w:r>
              <w:t>regulation 89</w:t>
            </w:r>
          </w:p>
        </w:tc>
        <w:tc>
          <w:tcPr>
            <w:tcW w:w="2410" w:type="dxa"/>
          </w:tcPr>
          <w:p>
            <w:pPr>
              <w:pStyle w:val="TableNAm"/>
            </w:pPr>
            <w:r>
              <w:t>regulation 90</w:t>
            </w:r>
          </w:p>
        </w:tc>
      </w:tr>
      <w:tr>
        <w:trPr>
          <w:cantSplit/>
        </w:trPr>
        <w:tc>
          <w:tcPr>
            <w:tcW w:w="2551" w:type="dxa"/>
          </w:tcPr>
          <w:p>
            <w:pPr>
              <w:pStyle w:val="TableNAm"/>
            </w:pPr>
            <w:r>
              <w:t>regulation 91</w:t>
            </w:r>
          </w:p>
        </w:tc>
        <w:tc>
          <w:tcPr>
            <w:tcW w:w="2410" w:type="dxa"/>
          </w:tcPr>
          <w:p>
            <w:pPr>
              <w:pStyle w:val="TableNAm"/>
            </w:pPr>
            <w:r>
              <w:t>regulation 93</w:t>
            </w:r>
          </w:p>
        </w:tc>
      </w:tr>
      <w:tr>
        <w:trPr>
          <w:cantSplit/>
        </w:trPr>
        <w:tc>
          <w:tcPr>
            <w:tcW w:w="2551" w:type="dxa"/>
          </w:tcPr>
          <w:p>
            <w:pPr>
              <w:pStyle w:val="TableNAm"/>
            </w:pPr>
            <w:r>
              <w:t>regulation 94</w:t>
            </w:r>
          </w:p>
        </w:tc>
        <w:tc>
          <w:tcPr>
            <w:tcW w:w="2410" w:type="dxa"/>
          </w:tcPr>
          <w:p>
            <w:pPr>
              <w:pStyle w:val="TableNAm"/>
            </w:pPr>
            <w:r>
              <w:t>regulation 95</w:t>
            </w:r>
          </w:p>
        </w:tc>
      </w:tr>
      <w:tr>
        <w:trPr>
          <w:cantSplit/>
        </w:trPr>
        <w:tc>
          <w:tcPr>
            <w:tcW w:w="2551" w:type="dxa"/>
          </w:tcPr>
          <w:p>
            <w:pPr>
              <w:pStyle w:val="TableNAm"/>
            </w:pPr>
            <w:r>
              <w:t>regulation 96</w:t>
            </w:r>
          </w:p>
        </w:tc>
        <w:tc>
          <w:tcPr>
            <w:tcW w:w="2410" w:type="dxa"/>
          </w:tcPr>
          <w:p>
            <w:pPr>
              <w:pStyle w:val="TableNAm"/>
            </w:pPr>
            <w:r>
              <w:t>regulation 97</w:t>
            </w:r>
          </w:p>
        </w:tc>
      </w:tr>
      <w:tr>
        <w:trPr>
          <w:cantSplit/>
        </w:trPr>
        <w:tc>
          <w:tcPr>
            <w:tcW w:w="2551" w:type="dxa"/>
          </w:tcPr>
          <w:p>
            <w:pPr>
              <w:pStyle w:val="TableNAm"/>
            </w:pPr>
            <w:r>
              <w:t>regulation 98</w:t>
            </w:r>
          </w:p>
        </w:tc>
        <w:tc>
          <w:tcPr>
            <w:tcW w:w="2410" w:type="dxa"/>
          </w:tcPr>
          <w:p>
            <w:pPr>
              <w:pStyle w:val="TableNAm"/>
            </w:pPr>
            <w:r>
              <w:t>regulation 103</w:t>
            </w:r>
          </w:p>
        </w:tc>
      </w:tr>
      <w:tr>
        <w:trPr>
          <w:cantSplit/>
        </w:trPr>
        <w:tc>
          <w:tcPr>
            <w:tcW w:w="2551" w:type="dxa"/>
          </w:tcPr>
          <w:p>
            <w:pPr>
              <w:pStyle w:val="TableNAm"/>
            </w:pPr>
            <w:r>
              <w:t>regulation 104</w:t>
            </w:r>
          </w:p>
        </w:tc>
        <w:tc>
          <w:tcPr>
            <w:tcW w:w="2410" w:type="dxa"/>
          </w:tcPr>
          <w:p>
            <w:pPr>
              <w:pStyle w:val="TableNAm"/>
            </w:pPr>
            <w:r>
              <w:t>regulation 105</w:t>
            </w:r>
          </w:p>
        </w:tc>
      </w:tr>
      <w:tr>
        <w:trPr>
          <w:cantSplit/>
        </w:trPr>
        <w:tc>
          <w:tcPr>
            <w:tcW w:w="2551" w:type="dxa"/>
          </w:tcPr>
          <w:p>
            <w:pPr>
              <w:pStyle w:val="TableNAm"/>
            </w:pPr>
            <w:r>
              <w:t>regulation 106</w:t>
            </w:r>
          </w:p>
        </w:tc>
        <w:tc>
          <w:tcPr>
            <w:tcW w:w="2410" w:type="dxa"/>
          </w:tcPr>
          <w:p>
            <w:pPr>
              <w:pStyle w:val="TableNAm"/>
            </w:pPr>
            <w:r>
              <w:t>regulation 114</w:t>
            </w:r>
          </w:p>
        </w:tc>
      </w:tr>
      <w:tr>
        <w:trPr>
          <w:cantSplit/>
        </w:trPr>
        <w:tc>
          <w:tcPr>
            <w:tcW w:w="2551" w:type="dxa"/>
          </w:tcPr>
          <w:p>
            <w:pPr>
              <w:pStyle w:val="TableNAm"/>
            </w:pPr>
            <w:r>
              <w:t>regulation 119</w:t>
            </w:r>
          </w:p>
        </w:tc>
        <w:tc>
          <w:tcPr>
            <w:tcW w:w="2410" w:type="dxa"/>
          </w:tcPr>
          <w:p>
            <w:pPr>
              <w:pStyle w:val="TableNAm"/>
            </w:pPr>
          </w:p>
        </w:tc>
      </w:tr>
    </w:tbl>
    <w:p>
      <w:pPr>
        <w:pStyle w:val="Subsection"/>
      </w:pPr>
      <w:r>
        <w:tab/>
        <w:t>(4)</w:t>
      </w:r>
      <w:r>
        <w:tab/>
        <w:t xml:space="preserve">Subregulation (3) does not limit </w:t>
      </w:r>
      <w:r>
        <w:rPr>
          <w:snapToGrid w:val="0"/>
        </w:rPr>
        <w:t>the application of subregulation (1) to Schedule 1 Division 4.</w:t>
      </w:r>
    </w:p>
    <w:p>
      <w:pPr>
        <w:pStyle w:val="Footnotesection"/>
        <w:spacing w:before="100"/>
        <w:ind w:left="890" w:hanging="890"/>
      </w:pPr>
      <w:r>
        <w:tab/>
        <w:t>[Regulation 121 inserted in Gazette 20 Jun 2014 p. 2030</w:t>
      </w:r>
      <w:r>
        <w:noBreakHyphen/>
        <w:t>1.]</w:t>
      </w:r>
    </w:p>
    <w:p>
      <w:pPr>
        <w:pStyle w:val="Ednotesection"/>
        <w:ind w:left="0" w:firstLine="0"/>
      </w:pPr>
      <w:r>
        <w:t>[</w:t>
      </w:r>
      <w:r>
        <w:rPr>
          <w:b/>
        </w:rPr>
        <w:t>122.</w:t>
      </w:r>
      <w:r>
        <w:rPr>
          <w:b/>
        </w:rPr>
        <w:tab/>
      </w:r>
      <w:r>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62" w:name="_Toc408471868"/>
      <w:bookmarkStart w:id="463" w:name="_Toc416945513"/>
      <w:bookmarkStart w:id="464" w:name="_Toc416945852"/>
      <w:bookmarkStart w:id="465" w:name="_Toc416946136"/>
      <w:bookmarkStart w:id="466" w:name="_Toc417655706"/>
      <w:bookmarkStart w:id="467" w:name="_Toc461722133"/>
      <w:bookmarkStart w:id="468" w:name="_Toc461723780"/>
      <w:bookmarkStart w:id="469" w:name="_Toc493069532"/>
      <w:bookmarkStart w:id="470" w:name="_Toc408472025"/>
      <w:bookmarkStart w:id="471" w:name="_Toc416945670"/>
      <w:bookmarkStart w:id="472" w:name="_Toc416946009"/>
      <w:bookmarkStart w:id="473" w:name="_Toc416946293"/>
      <w:bookmarkStart w:id="474" w:name="_Toc417655863"/>
      <w:bookmarkStart w:id="475" w:name="_Toc461722290"/>
      <w:bookmarkStart w:id="476" w:name="_Toc461723937"/>
      <w:r>
        <w:rPr>
          <w:rStyle w:val="CharSchNo"/>
        </w:rPr>
        <w:t>Schedule 1</w:t>
      </w:r>
      <w:r>
        <w:t xml:space="preserve"> — </w:t>
      </w:r>
      <w:r>
        <w:rPr>
          <w:rStyle w:val="CharSchText"/>
        </w:rPr>
        <w:t>Provisions for particular ports and port authorities</w:t>
      </w:r>
      <w:bookmarkEnd w:id="462"/>
      <w:bookmarkEnd w:id="463"/>
      <w:bookmarkEnd w:id="464"/>
      <w:bookmarkEnd w:id="465"/>
      <w:bookmarkEnd w:id="466"/>
      <w:bookmarkEnd w:id="467"/>
      <w:bookmarkEnd w:id="468"/>
      <w:bookmarkEnd w:id="469"/>
    </w:p>
    <w:p>
      <w:pPr>
        <w:pStyle w:val="yShoulderClause"/>
      </w:pPr>
      <w:r>
        <w:t>[r. 121]</w:t>
      </w:r>
    </w:p>
    <w:p>
      <w:pPr>
        <w:pStyle w:val="yFootnoteheading"/>
      </w:pPr>
      <w:r>
        <w:tab/>
        <w:t>[Heading inserted in Gazette 20 Jun 2014 p. 2032.]</w:t>
      </w:r>
    </w:p>
    <w:p>
      <w:pPr>
        <w:pStyle w:val="yHeading3"/>
      </w:pPr>
      <w:bookmarkStart w:id="477" w:name="_Toc408471869"/>
      <w:bookmarkStart w:id="478" w:name="_Toc416945514"/>
      <w:bookmarkStart w:id="479" w:name="_Toc416945853"/>
      <w:bookmarkStart w:id="480" w:name="_Toc416946137"/>
      <w:bookmarkStart w:id="481" w:name="_Toc417655707"/>
      <w:bookmarkStart w:id="482" w:name="_Toc461722134"/>
      <w:bookmarkStart w:id="483" w:name="_Toc461723781"/>
      <w:bookmarkStart w:id="484" w:name="_Toc493069533"/>
      <w:r>
        <w:rPr>
          <w:rStyle w:val="CharSDivNo"/>
        </w:rPr>
        <w:t>Division 1</w:t>
      </w:r>
      <w:r>
        <w:rPr>
          <w:b w:val="0"/>
        </w:rPr>
        <w:t> — </w:t>
      </w:r>
      <w:r>
        <w:rPr>
          <w:rStyle w:val="CharSDivText"/>
        </w:rPr>
        <w:t>Port of Albany</w:t>
      </w:r>
      <w:bookmarkEnd w:id="477"/>
      <w:bookmarkEnd w:id="478"/>
      <w:bookmarkEnd w:id="479"/>
      <w:bookmarkEnd w:id="480"/>
      <w:bookmarkEnd w:id="481"/>
      <w:bookmarkEnd w:id="482"/>
      <w:bookmarkEnd w:id="483"/>
      <w:bookmarkEnd w:id="484"/>
    </w:p>
    <w:p>
      <w:pPr>
        <w:pStyle w:val="yFootnoteheading"/>
      </w:pPr>
      <w:r>
        <w:tab/>
        <w:t>[Heading inserted in Gazette 20 Jun 2014 p. 2032.]</w:t>
      </w:r>
    </w:p>
    <w:p>
      <w:pPr>
        <w:pStyle w:val="yHeading5"/>
      </w:pPr>
      <w:bookmarkStart w:id="485" w:name="_Toc408471870"/>
      <w:bookmarkStart w:id="486" w:name="_Toc493069534"/>
      <w:bookmarkStart w:id="487" w:name="_Toc461723782"/>
      <w:r>
        <w:rPr>
          <w:rStyle w:val="CharSClsNo"/>
        </w:rPr>
        <w:t>1</w:t>
      </w:r>
      <w:r>
        <w:t>.</w:t>
      </w:r>
      <w:r>
        <w:tab/>
        <w:t>Application of this Division</w:t>
      </w:r>
      <w:bookmarkEnd w:id="485"/>
      <w:bookmarkEnd w:id="486"/>
      <w:bookmarkEnd w:id="487"/>
    </w:p>
    <w:p>
      <w:pPr>
        <w:pStyle w:val="ySubsection"/>
      </w:pPr>
      <w:r>
        <w:tab/>
      </w:r>
      <w:r>
        <w:tab/>
        <w:t>This Division applies to the Port of Albany and the Southern Ports Authority.</w:t>
      </w:r>
    </w:p>
    <w:p>
      <w:pPr>
        <w:pStyle w:val="yFootnotesection"/>
      </w:pPr>
      <w:r>
        <w:tab/>
        <w:t>[Clause 1 inserted in Gazette 19 Sep 2014 p. 3342.]</w:t>
      </w:r>
    </w:p>
    <w:p>
      <w:pPr>
        <w:pStyle w:val="yHeading5"/>
      </w:pPr>
      <w:bookmarkStart w:id="488" w:name="_Toc408471871"/>
      <w:bookmarkStart w:id="489" w:name="_Toc493069535"/>
      <w:bookmarkStart w:id="490" w:name="_Toc461723783"/>
      <w:r>
        <w:rPr>
          <w:rStyle w:val="CharSClsNo"/>
        </w:rPr>
        <w:t>2</w:t>
      </w:r>
      <w:r>
        <w:t>.</w:t>
      </w:r>
      <w:r>
        <w:tab/>
        <w:t>Terms used</w:t>
      </w:r>
      <w:bookmarkEnd w:id="488"/>
      <w:bookmarkEnd w:id="489"/>
      <w:bookmarkEnd w:id="490"/>
    </w:p>
    <w:p>
      <w:pPr>
        <w:pStyle w:val="ySubsection"/>
      </w:pPr>
      <w:r>
        <w:tab/>
      </w:r>
      <w:r>
        <w:tab/>
        <w:t xml:space="preserve">In this Division — </w:t>
      </w:r>
    </w:p>
    <w:p>
      <w:pPr>
        <w:pStyle w:val="yDefstart"/>
      </w:pPr>
      <w:r>
        <w:tab/>
      </w:r>
      <w:r>
        <w:rPr>
          <w:rStyle w:val="CharDefText"/>
        </w:rPr>
        <w:t>fishing vessel</w:t>
      </w:r>
      <w:r>
        <w:t xml:space="preserve"> means a vessel of less than 500 gross registered tonnes that is used for commercial fishing;</w:t>
      </w:r>
    </w:p>
    <w:p>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in Gazette 12 Jun 2007 p. 2681.]</w:t>
      </w:r>
    </w:p>
    <w:p>
      <w:pPr>
        <w:pStyle w:val="yHeading5"/>
      </w:pPr>
      <w:bookmarkStart w:id="491" w:name="_Toc408471872"/>
      <w:bookmarkStart w:id="492" w:name="_Toc493069536"/>
      <w:bookmarkStart w:id="493" w:name="_Toc461723784"/>
      <w:r>
        <w:rPr>
          <w:rStyle w:val="CharSClsNo"/>
        </w:rPr>
        <w:t>3</w:t>
      </w:r>
      <w:r>
        <w:t>.</w:t>
      </w:r>
      <w:r>
        <w:tab/>
        <w:t>Notice of arrival at port</w:t>
      </w:r>
      <w:bookmarkEnd w:id="491"/>
      <w:bookmarkEnd w:id="492"/>
      <w:bookmarkEnd w:id="493"/>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keepNext/>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spacing w:before="240"/>
      </w:pPr>
      <w:bookmarkStart w:id="494" w:name="_Toc408471873"/>
      <w:bookmarkStart w:id="495" w:name="_Toc493069537"/>
      <w:bookmarkStart w:id="496" w:name="_Toc461723785"/>
      <w:r>
        <w:rPr>
          <w:rStyle w:val="CharSClsNo"/>
        </w:rPr>
        <w:t>4</w:t>
      </w:r>
      <w:r>
        <w:t>.</w:t>
      </w:r>
      <w:r>
        <w:tab/>
        <w:t>Fishing vessels not to berth at berth 1, 2 or 3 without authority</w:t>
      </w:r>
      <w:bookmarkEnd w:id="494"/>
      <w:bookmarkEnd w:id="495"/>
      <w:bookmarkEnd w:id="496"/>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spacing w:before="240"/>
      </w:pPr>
      <w:bookmarkStart w:id="497" w:name="_Toc408471874"/>
      <w:bookmarkStart w:id="498" w:name="_Toc493069538"/>
      <w:bookmarkStart w:id="499" w:name="_Toc461723786"/>
      <w:r>
        <w:rPr>
          <w:rStyle w:val="CharSClsNo"/>
        </w:rPr>
        <w:t>5</w:t>
      </w:r>
      <w:r>
        <w:t>.</w:t>
      </w:r>
      <w:r>
        <w:tab/>
        <w:t>When pilotage is not compulsory</w:t>
      </w:r>
      <w:bookmarkEnd w:id="497"/>
      <w:bookmarkEnd w:id="498"/>
      <w:bookmarkEnd w:id="499"/>
    </w:p>
    <w:p>
      <w:pPr>
        <w:pStyle w:val="ySubsection"/>
      </w:pPr>
      <w:r>
        <w:tab/>
      </w:r>
      <w:r>
        <w:tab/>
        <w:t xml:space="preserve">For the purposes of section 97(1) of the Act and subject to regulation 31, a vessel moving in the port is not required to use pilotage services if the vessel is a fishing vessel that is registered in </w:t>
      </w:r>
      <w:smartTag w:uri="urn:schemas-microsoft-com:office:smarttags" w:element="place">
        <w:smartTag w:uri="urn:schemas-microsoft-com:office:smarttags" w:element="country-region">
          <w:r>
            <w:t>Australia</w:t>
          </w:r>
        </w:smartTag>
      </w:smartTag>
      <w:r>
        <w:t>.</w:t>
      </w:r>
    </w:p>
    <w:p>
      <w:pPr>
        <w:pStyle w:val="yHeading5"/>
        <w:spacing w:before="240"/>
      </w:pPr>
      <w:bookmarkStart w:id="500" w:name="_Toc408471875"/>
      <w:bookmarkStart w:id="501" w:name="_Toc493069539"/>
      <w:bookmarkStart w:id="502" w:name="_Toc461723787"/>
      <w:r>
        <w:rPr>
          <w:rStyle w:val="CharSClsNo"/>
        </w:rPr>
        <w:t>5A</w:t>
      </w:r>
      <w:r>
        <w:t>.</w:t>
      </w:r>
      <w:r>
        <w:tab/>
        <w:t>Unlicensed persons not to provide certain services</w:t>
      </w:r>
      <w:bookmarkEnd w:id="500"/>
      <w:bookmarkEnd w:id="501"/>
      <w:bookmarkEnd w:id="502"/>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r>
        <w:tab/>
        <w:t>[Clause 5A inserted in Gazette 12 Jun 2007 p. 2682.]</w:t>
      </w:r>
    </w:p>
    <w:p>
      <w:pPr>
        <w:pStyle w:val="yHeading5"/>
        <w:spacing w:before="240"/>
      </w:pPr>
      <w:bookmarkStart w:id="503" w:name="_Toc408471876"/>
      <w:bookmarkStart w:id="504" w:name="_Toc493069540"/>
      <w:bookmarkStart w:id="505" w:name="_Toc461723788"/>
      <w:r>
        <w:rPr>
          <w:rStyle w:val="CharSClsNo"/>
        </w:rPr>
        <w:t>5B</w:t>
      </w:r>
      <w:r>
        <w:t>.</w:t>
      </w:r>
      <w:r>
        <w:tab/>
        <w:t>Service providers’ licences</w:t>
      </w:r>
      <w:bookmarkEnd w:id="503"/>
      <w:bookmarkEnd w:id="504"/>
      <w:bookmarkEnd w:id="505"/>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80"/>
      </w:pPr>
      <w:r>
        <w:tab/>
        <w:t>(6)</w:t>
      </w:r>
      <w:r>
        <w:tab/>
        <w:t>A notice under subclause (4) has effect on the day on which the person who holds the service provider’s licence is given the notice or on any later day specified in the notice.</w:t>
      </w:r>
    </w:p>
    <w:p>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80"/>
      </w:pPr>
      <w:r>
        <w:tab/>
        <w:t>(8)</w:t>
      </w:r>
      <w:r>
        <w:tab/>
        <w:t>A person who does not comply with subclause (7) commits an offence.</w:t>
      </w:r>
    </w:p>
    <w:p>
      <w:pPr>
        <w:pStyle w:val="yPenstart"/>
      </w:pPr>
      <w:r>
        <w:tab/>
        <w:t>Penalty: $2 000.</w:t>
      </w:r>
    </w:p>
    <w:p>
      <w:pPr>
        <w:pStyle w:val="yFootnotesection"/>
      </w:pPr>
      <w:r>
        <w:tab/>
        <w:t>[Clause 5B inserted in Gazette 12 Jun 2007 p. 2682</w:t>
      </w:r>
      <w:r>
        <w:noBreakHyphen/>
        <w:t>3.]</w:t>
      </w:r>
    </w:p>
    <w:p>
      <w:pPr>
        <w:pStyle w:val="yHeading3"/>
        <w:keepNext w:val="0"/>
        <w:pageBreakBefore/>
        <w:widowControl w:val="0"/>
        <w:spacing w:before="0"/>
      </w:pPr>
      <w:bookmarkStart w:id="506" w:name="_Toc408471877"/>
      <w:bookmarkStart w:id="507" w:name="_Toc416945522"/>
      <w:bookmarkStart w:id="508" w:name="_Toc416945861"/>
      <w:bookmarkStart w:id="509" w:name="_Toc416946145"/>
      <w:bookmarkStart w:id="510" w:name="_Toc417655715"/>
      <w:bookmarkStart w:id="511" w:name="_Toc461722142"/>
      <w:bookmarkStart w:id="512" w:name="_Toc461723789"/>
      <w:bookmarkStart w:id="513" w:name="_Toc493069541"/>
      <w:r>
        <w:rPr>
          <w:rStyle w:val="CharSDivNo"/>
        </w:rPr>
        <w:t>Division 2</w:t>
      </w:r>
      <w:r>
        <w:t> — </w:t>
      </w:r>
      <w:r>
        <w:rPr>
          <w:rStyle w:val="CharSDivText"/>
        </w:rPr>
        <w:t>Port of Broome</w:t>
      </w:r>
      <w:bookmarkEnd w:id="506"/>
      <w:bookmarkEnd w:id="507"/>
      <w:bookmarkEnd w:id="508"/>
      <w:bookmarkEnd w:id="509"/>
      <w:bookmarkEnd w:id="510"/>
      <w:bookmarkEnd w:id="511"/>
      <w:bookmarkEnd w:id="512"/>
      <w:bookmarkEnd w:id="513"/>
    </w:p>
    <w:p>
      <w:pPr>
        <w:pStyle w:val="yFootnoteheading"/>
      </w:pPr>
      <w:r>
        <w:tab/>
        <w:t>[Heading inserted in Gazette 20 Jun 2014 p. 2032.]</w:t>
      </w:r>
    </w:p>
    <w:p>
      <w:pPr>
        <w:pStyle w:val="yHeading4"/>
        <w:spacing w:before="200"/>
      </w:pPr>
      <w:bookmarkStart w:id="514" w:name="_Toc408471878"/>
      <w:bookmarkStart w:id="515" w:name="_Toc416945523"/>
      <w:bookmarkStart w:id="516" w:name="_Toc416945862"/>
      <w:bookmarkStart w:id="517" w:name="_Toc416946146"/>
      <w:bookmarkStart w:id="518" w:name="_Toc417655716"/>
      <w:bookmarkStart w:id="519" w:name="_Toc461722143"/>
      <w:bookmarkStart w:id="520" w:name="_Toc461723790"/>
      <w:bookmarkStart w:id="521" w:name="_Toc493069542"/>
      <w:r>
        <w:t>Subdivision 1 — General matters</w:t>
      </w:r>
      <w:bookmarkEnd w:id="514"/>
      <w:bookmarkEnd w:id="515"/>
      <w:bookmarkEnd w:id="516"/>
      <w:bookmarkEnd w:id="517"/>
      <w:bookmarkEnd w:id="518"/>
      <w:bookmarkEnd w:id="519"/>
      <w:bookmarkEnd w:id="520"/>
      <w:bookmarkEnd w:id="521"/>
    </w:p>
    <w:p>
      <w:pPr>
        <w:pStyle w:val="yHeading5"/>
        <w:spacing w:before="180"/>
      </w:pPr>
      <w:bookmarkStart w:id="522" w:name="_Toc408471879"/>
      <w:bookmarkStart w:id="523" w:name="_Toc493069543"/>
      <w:bookmarkStart w:id="524" w:name="_Toc461723791"/>
      <w:r>
        <w:rPr>
          <w:rStyle w:val="CharSClsNo"/>
        </w:rPr>
        <w:t>6</w:t>
      </w:r>
      <w:r>
        <w:t>.</w:t>
      </w:r>
      <w:r>
        <w:tab/>
        <w:t>Application of this Division</w:t>
      </w:r>
      <w:bookmarkEnd w:id="522"/>
      <w:bookmarkEnd w:id="523"/>
      <w:bookmarkEnd w:id="524"/>
    </w:p>
    <w:p>
      <w:pPr>
        <w:pStyle w:val="ySubsection"/>
      </w:pPr>
      <w:r>
        <w:tab/>
      </w:r>
      <w:r>
        <w:tab/>
        <w:t>This Division applies to the Port of Broome and the Kimberley Ports Authority.</w:t>
      </w:r>
    </w:p>
    <w:p>
      <w:pPr>
        <w:pStyle w:val="yFootnotesection"/>
      </w:pPr>
      <w:r>
        <w:tab/>
        <w:t>[Clause 6 inserted in Gazette 20 Jun 2014 p. 2032.]</w:t>
      </w:r>
    </w:p>
    <w:p>
      <w:pPr>
        <w:pStyle w:val="yHeading5"/>
        <w:spacing w:before="180"/>
      </w:pPr>
      <w:bookmarkStart w:id="525" w:name="_Toc408471880"/>
      <w:bookmarkStart w:id="526" w:name="_Toc493069544"/>
      <w:bookmarkStart w:id="527" w:name="_Toc461723792"/>
      <w:r>
        <w:rPr>
          <w:rStyle w:val="CharSClsNo"/>
        </w:rPr>
        <w:t>7</w:t>
      </w:r>
      <w:r>
        <w:t>.</w:t>
      </w:r>
      <w:r>
        <w:tab/>
        <w:t>Notice of arrival at port</w:t>
      </w:r>
      <w:bookmarkEnd w:id="525"/>
      <w:bookmarkEnd w:id="526"/>
      <w:bookmarkEnd w:id="527"/>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spacing w:before="120"/>
      </w:pPr>
      <w:r>
        <w:tab/>
      </w:r>
      <w:r>
        <w:tab/>
        <w:t>before that time.</w:t>
      </w:r>
    </w:p>
    <w:p>
      <w:pPr>
        <w:pStyle w:val="ySubsection"/>
        <w:spacing w:before="120"/>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spacing w:before="180"/>
      </w:pPr>
      <w:bookmarkStart w:id="528" w:name="_Toc408471881"/>
      <w:bookmarkStart w:id="529" w:name="_Toc493069545"/>
      <w:bookmarkStart w:id="530" w:name="_Toc461723793"/>
      <w:r>
        <w:rPr>
          <w:rStyle w:val="CharSClsNo"/>
        </w:rPr>
        <w:t>8</w:t>
      </w:r>
      <w:r>
        <w:t>.</w:t>
      </w:r>
      <w:r>
        <w:tab/>
        <w:t>Notice of dangerous cargoes</w:t>
      </w:r>
      <w:bookmarkEnd w:id="528"/>
      <w:bookmarkEnd w:id="529"/>
      <w:bookmarkEnd w:id="530"/>
    </w:p>
    <w:p>
      <w:pPr>
        <w:pStyle w:val="ySubsection"/>
        <w:spacing w:before="120"/>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spacing w:before="120"/>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r>
        <w:rPr>
          <w:iCs/>
          <w:vertAlign w:val="superscript"/>
        </w:rPr>
        <w:t> 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iCs/>
          <w:vertAlign w:val="superscript"/>
        </w:rPr>
        <w:t> 5</w:t>
      </w:r>
      <w:r>
        <w:t>.</w:t>
      </w:r>
    </w:p>
    <w:p>
      <w:pPr>
        <w:pStyle w:val="yHeading5"/>
      </w:pPr>
      <w:bookmarkStart w:id="531" w:name="_Toc408471882"/>
      <w:bookmarkStart w:id="532" w:name="_Toc493069546"/>
      <w:bookmarkStart w:id="533" w:name="_Toc461723794"/>
      <w:r>
        <w:rPr>
          <w:rStyle w:val="CharSClsNo"/>
        </w:rPr>
        <w:t>9</w:t>
      </w:r>
      <w:r>
        <w:t>.</w:t>
      </w:r>
      <w:r>
        <w:tab/>
        <w:t>Moored vessel not to move unless harbour master notified</w:t>
      </w:r>
      <w:bookmarkEnd w:id="531"/>
      <w:bookmarkEnd w:id="532"/>
      <w:bookmarkEnd w:id="533"/>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534" w:name="_Toc408471883"/>
      <w:bookmarkStart w:id="535" w:name="_Toc493069547"/>
      <w:bookmarkStart w:id="536" w:name="_Toc461723795"/>
      <w:r>
        <w:rPr>
          <w:rStyle w:val="CharSClsNo"/>
        </w:rPr>
        <w:t>10</w:t>
      </w:r>
      <w:r>
        <w:t>.</w:t>
      </w:r>
      <w:r>
        <w:tab/>
        <w:t>Bunkering</w:t>
      </w:r>
      <w:bookmarkEnd w:id="534"/>
      <w:bookmarkEnd w:id="535"/>
      <w:bookmarkEnd w:id="536"/>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537" w:name="_Toc408471884"/>
      <w:bookmarkStart w:id="538" w:name="_Toc493069548"/>
      <w:bookmarkStart w:id="539" w:name="_Toc461723796"/>
      <w:r>
        <w:rPr>
          <w:rStyle w:val="CharSClsNo"/>
        </w:rPr>
        <w:t>11</w:t>
      </w:r>
      <w:r>
        <w:t>.</w:t>
      </w:r>
      <w:r>
        <w:tab/>
        <w:t>Navigation of private vessels</w:t>
      </w:r>
      <w:bookmarkEnd w:id="537"/>
      <w:bookmarkEnd w:id="538"/>
      <w:bookmarkEnd w:id="539"/>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(1)(a)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rStyle w:val="CharDefText"/>
        </w:rPr>
        <w:t>commercial vessel</w:t>
      </w:r>
      <w:r>
        <w:t xml:space="preserve"> means a vessel other than a private vessel.</w:t>
      </w:r>
    </w:p>
    <w:p>
      <w:pPr>
        <w:pStyle w:val="yHeading5"/>
      </w:pPr>
      <w:bookmarkStart w:id="540" w:name="_Toc408471885"/>
      <w:bookmarkStart w:id="541" w:name="_Toc493069549"/>
      <w:bookmarkStart w:id="542" w:name="_Toc461723797"/>
      <w:r>
        <w:rPr>
          <w:rStyle w:val="CharSClsNo"/>
        </w:rPr>
        <w:t>12</w:t>
      </w:r>
      <w:r>
        <w:t>.</w:t>
      </w:r>
      <w:r>
        <w:tab/>
        <w:t>Vessel moored in port to have at least one person on watch</w:t>
      </w:r>
      <w:bookmarkEnd w:id="540"/>
      <w:bookmarkEnd w:id="541"/>
      <w:bookmarkEnd w:id="542"/>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pPr>
      <w:bookmarkStart w:id="543" w:name="_Toc408471886"/>
      <w:bookmarkStart w:id="544" w:name="_Toc416945531"/>
      <w:bookmarkStart w:id="545" w:name="_Toc416945870"/>
      <w:bookmarkStart w:id="546" w:name="_Toc416946154"/>
      <w:bookmarkStart w:id="547" w:name="_Toc417655724"/>
      <w:bookmarkStart w:id="548" w:name="_Toc461722151"/>
      <w:bookmarkStart w:id="549" w:name="_Toc461723798"/>
      <w:bookmarkStart w:id="550" w:name="_Toc493069550"/>
      <w:r>
        <w:t>Subdivision 2 — Control of moorings</w:t>
      </w:r>
      <w:bookmarkEnd w:id="543"/>
      <w:bookmarkEnd w:id="544"/>
      <w:bookmarkEnd w:id="545"/>
      <w:bookmarkEnd w:id="546"/>
      <w:bookmarkEnd w:id="547"/>
      <w:bookmarkEnd w:id="548"/>
      <w:bookmarkEnd w:id="549"/>
      <w:bookmarkEnd w:id="550"/>
    </w:p>
    <w:p>
      <w:pPr>
        <w:pStyle w:val="yHeading5"/>
      </w:pPr>
      <w:bookmarkStart w:id="551" w:name="_Toc408471887"/>
      <w:bookmarkStart w:id="552" w:name="_Toc493069551"/>
      <w:bookmarkStart w:id="553" w:name="_Toc461723799"/>
      <w:r>
        <w:rPr>
          <w:rStyle w:val="CharSClsNo"/>
        </w:rPr>
        <w:t>13</w:t>
      </w:r>
      <w:r>
        <w:t>.</w:t>
      </w:r>
      <w:r>
        <w:tab/>
        <w:t>Terms used</w:t>
      </w:r>
      <w:bookmarkEnd w:id="551"/>
      <w:bookmarkEnd w:id="552"/>
      <w:bookmarkEnd w:id="553"/>
    </w:p>
    <w:p>
      <w:pPr>
        <w:pStyle w:val="ySubsection"/>
      </w:pPr>
      <w:r>
        <w:tab/>
      </w:r>
      <w:r>
        <w:tab/>
        <w:t xml:space="preserve">In this Subdivision — </w:t>
      </w:r>
    </w:p>
    <w:p>
      <w:pPr>
        <w:pStyle w:val="yDefstart"/>
        <w:spacing w:before="60"/>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16.</w:t>
      </w:r>
    </w:p>
    <w:p>
      <w:pPr>
        <w:pStyle w:val="yHeading5"/>
      </w:pPr>
      <w:bookmarkStart w:id="554" w:name="_Toc408471888"/>
      <w:bookmarkStart w:id="555" w:name="_Toc493069552"/>
      <w:bookmarkStart w:id="556" w:name="_Toc461723800"/>
      <w:r>
        <w:rPr>
          <w:rStyle w:val="CharSClsNo"/>
        </w:rPr>
        <w:t>14</w:t>
      </w:r>
      <w:r>
        <w:t>.</w:t>
      </w:r>
      <w:r>
        <w:tab/>
        <w:t>Moorings not to be installed or used without authority</w:t>
      </w:r>
      <w:bookmarkEnd w:id="554"/>
      <w:bookmarkEnd w:id="555"/>
      <w:bookmarkEnd w:id="556"/>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pPr>
      <w:bookmarkStart w:id="557" w:name="_Toc408471889"/>
      <w:bookmarkStart w:id="558" w:name="_Toc493069553"/>
      <w:bookmarkStart w:id="559" w:name="_Toc461723801"/>
      <w:r>
        <w:rPr>
          <w:rStyle w:val="CharSClsNo"/>
        </w:rPr>
        <w:t>15</w:t>
      </w:r>
      <w:r>
        <w:t>.</w:t>
      </w:r>
      <w:r>
        <w:tab/>
        <w:t>Application for authorisation to install or use mooring</w:t>
      </w:r>
      <w:bookmarkEnd w:id="557"/>
      <w:bookmarkEnd w:id="558"/>
      <w:bookmarkEnd w:id="559"/>
    </w:p>
    <w:p>
      <w:pPr>
        <w:pStyle w:val="ySubsection"/>
      </w:pPr>
      <w:r>
        <w:tab/>
        <w:t>(1)</w:t>
      </w:r>
      <w:r>
        <w:tab/>
        <w:t>A person may apply to the harbour master for authorisation to install or use a mooring.</w:t>
      </w:r>
    </w:p>
    <w:p>
      <w:pPr>
        <w:pStyle w:val="ySubsection"/>
        <w:keepNext/>
      </w:pPr>
      <w:r>
        <w:tab/>
        <w:t>(2)</w:t>
      </w:r>
      <w:r>
        <w:tab/>
        <w:t xml:space="preserve">An application is to be made in the form approved by the harbour master setting out — </w:t>
      </w:r>
    </w:p>
    <w:p>
      <w:pPr>
        <w:pStyle w:val="yIndenta"/>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pPr>
      <w:bookmarkStart w:id="560" w:name="_Toc408471890"/>
      <w:bookmarkStart w:id="561" w:name="_Toc493069554"/>
      <w:bookmarkStart w:id="562" w:name="_Toc461723802"/>
      <w:r>
        <w:rPr>
          <w:rStyle w:val="CharSClsNo"/>
        </w:rPr>
        <w:t>16</w:t>
      </w:r>
      <w:r>
        <w:t>.</w:t>
      </w:r>
      <w:r>
        <w:tab/>
        <w:t>Authorisation of mooring</w:t>
      </w:r>
      <w:bookmarkEnd w:id="560"/>
      <w:bookmarkEnd w:id="561"/>
      <w:bookmarkEnd w:id="562"/>
    </w:p>
    <w:p>
      <w:pPr>
        <w:pStyle w:val="ySubsection"/>
      </w:pPr>
      <w:r>
        <w:tab/>
        <w:t>(1)</w:t>
      </w:r>
      <w:r>
        <w:tab/>
        <w:t xml:space="preserve">On an application under clause 15,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563" w:name="_Toc408471891"/>
      <w:bookmarkStart w:id="564" w:name="_Toc493069555"/>
      <w:bookmarkStart w:id="565" w:name="_Toc461723803"/>
      <w:r>
        <w:rPr>
          <w:rStyle w:val="CharSClsNo"/>
        </w:rPr>
        <w:t>17</w:t>
      </w:r>
      <w:r>
        <w:t>.</w:t>
      </w:r>
      <w:r>
        <w:tab/>
        <w:t>Revoking authorisation of mooring</w:t>
      </w:r>
      <w:bookmarkEnd w:id="563"/>
      <w:bookmarkEnd w:id="564"/>
      <w:bookmarkEnd w:id="565"/>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r>
        <w:tab/>
        <w:t>[Clause 17 amended in Gazette 2 Oct 2007 p. 4972.]</w:t>
      </w:r>
    </w:p>
    <w:p>
      <w:pPr>
        <w:pStyle w:val="yHeading5"/>
      </w:pPr>
      <w:bookmarkStart w:id="566" w:name="_Toc408471892"/>
      <w:bookmarkStart w:id="567" w:name="_Toc493069556"/>
      <w:bookmarkStart w:id="568" w:name="_Toc461723804"/>
      <w:r>
        <w:rPr>
          <w:rStyle w:val="CharSClsNo"/>
        </w:rPr>
        <w:t>18</w:t>
      </w:r>
      <w:r>
        <w:t>.</w:t>
      </w:r>
      <w:r>
        <w:tab/>
        <w:t>Moorings to be maintained in good condition</w:t>
      </w:r>
      <w:bookmarkEnd w:id="566"/>
      <w:bookmarkEnd w:id="567"/>
      <w:bookmarkEnd w:id="568"/>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pPr>
      <w:bookmarkStart w:id="569" w:name="_Toc408471893"/>
      <w:bookmarkStart w:id="570" w:name="_Toc493069557"/>
      <w:bookmarkStart w:id="571" w:name="_Toc461723805"/>
      <w:r>
        <w:rPr>
          <w:rStyle w:val="CharSClsNo"/>
        </w:rPr>
        <w:t>19</w:t>
      </w:r>
      <w:r>
        <w:t>.</w:t>
      </w:r>
      <w:r>
        <w:tab/>
        <w:t>Floats on moorings</w:t>
      </w:r>
      <w:bookmarkEnd w:id="569"/>
      <w:bookmarkEnd w:id="570"/>
      <w:bookmarkEnd w:id="571"/>
    </w:p>
    <w:p>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pPr>
      <w:bookmarkStart w:id="572" w:name="_Toc408471894"/>
      <w:bookmarkStart w:id="573" w:name="_Toc493069558"/>
      <w:bookmarkStart w:id="574" w:name="_Toc461723806"/>
      <w:r>
        <w:rPr>
          <w:rStyle w:val="CharSClsNo"/>
        </w:rPr>
        <w:t>20</w:t>
      </w:r>
      <w:r>
        <w:t>.</w:t>
      </w:r>
      <w:r>
        <w:tab/>
        <w:t>Inspection reports for moorings</w:t>
      </w:r>
      <w:bookmarkEnd w:id="572"/>
      <w:bookmarkEnd w:id="573"/>
      <w:bookmarkEnd w:id="574"/>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spacing w:before="180"/>
      </w:pPr>
      <w:bookmarkStart w:id="575" w:name="_Toc408471895"/>
      <w:bookmarkStart w:id="576" w:name="_Toc493069559"/>
      <w:bookmarkStart w:id="577" w:name="_Toc461723807"/>
      <w:r>
        <w:rPr>
          <w:rStyle w:val="CharSClsNo"/>
        </w:rPr>
        <w:t>21</w:t>
      </w:r>
      <w:r>
        <w:t>.</w:t>
      </w:r>
      <w:r>
        <w:tab/>
      </w:r>
      <w:smartTag w:uri="urn:schemas-microsoft-com:office:smarttags" w:element="place">
        <w:smartTag w:uri="urn:schemas-microsoft-com:office:smarttags" w:element="City">
          <w:r>
            <w:t>Sale</w:t>
          </w:r>
        </w:smartTag>
      </w:smartTag>
      <w:r>
        <w:t xml:space="preserve"> or disposal of moorings</w:t>
      </w:r>
      <w:bookmarkEnd w:id="575"/>
      <w:bookmarkEnd w:id="576"/>
      <w:bookmarkEnd w:id="577"/>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spacing w:before="180"/>
      </w:pPr>
      <w:bookmarkStart w:id="578" w:name="_Toc408471896"/>
      <w:bookmarkStart w:id="579" w:name="_Toc493069560"/>
      <w:bookmarkStart w:id="580" w:name="_Toc461723808"/>
      <w:r>
        <w:t>22.</w:t>
      </w:r>
      <w:r>
        <w:tab/>
        <w:t>Removal of moorings</w:t>
      </w:r>
      <w:bookmarkEnd w:id="578"/>
      <w:bookmarkEnd w:id="579"/>
      <w:bookmarkEnd w:id="580"/>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581" w:name="_Toc408471897"/>
      <w:bookmarkStart w:id="582" w:name="_Toc416945542"/>
      <w:bookmarkStart w:id="583" w:name="_Toc416945881"/>
      <w:bookmarkStart w:id="584" w:name="_Toc416946165"/>
      <w:bookmarkStart w:id="585" w:name="_Toc417655735"/>
      <w:bookmarkStart w:id="586" w:name="_Toc461722162"/>
      <w:bookmarkStart w:id="587" w:name="_Toc461723809"/>
      <w:bookmarkStart w:id="588" w:name="_Toc493069561"/>
      <w:r>
        <w:t>Subdivision 3 — Service providers’ licences</w:t>
      </w:r>
      <w:bookmarkEnd w:id="581"/>
      <w:bookmarkEnd w:id="582"/>
      <w:bookmarkEnd w:id="583"/>
      <w:bookmarkEnd w:id="584"/>
      <w:bookmarkEnd w:id="585"/>
      <w:bookmarkEnd w:id="586"/>
      <w:bookmarkEnd w:id="587"/>
      <w:bookmarkEnd w:id="588"/>
    </w:p>
    <w:p>
      <w:pPr>
        <w:pStyle w:val="yHeading5"/>
        <w:spacing w:before="180"/>
      </w:pPr>
      <w:bookmarkStart w:id="589" w:name="_Toc408471898"/>
      <w:bookmarkStart w:id="590" w:name="_Toc493069562"/>
      <w:bookmarkStart w:id="591" w:name="_Toc461723810"/>
      <w:r>
        <w:rPr>
          <w:rStyle w:val="CharSClsNo"/>
        </w:rPr>
        <w:t>23</w:t>
      </w:r>
      <w:r>
        <w:t>.</w:t>
      </w:r>
      <w:r>
        <w:tab/>
        <w:t>Term used: service provider’s licence</w:t>
      </w:r>
      <w:bookmarkEnd w:id="589"/>
      <w:bookmarkEnd w:id="590"/>
      <w:bookmarkEnd w:id="591"/>
      <w:r>
        <w:t xml:space="preserve"> </w:t>
      </w:r>
    </w:p>
    <w:p>
      <w:pPr>
        <w:pStyle w:val="ySubsection"/>
        <w:spacing w:before="120"/>
      </w:pPr>
      <w:r>
        <w:tab/>
      </w:r>
      <w:r>
        <w:tab/>
        <w:t xml:space="preserve">In this Subdivision — </w:t>
      </w:r>
    </w:p>
    <w:p>
      <w:pPr>
        <w:pStyle w:val="yDefstart"/>
      </w:pPr>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pPr>
        <w:pStyle w:val="yFootnotesection"/>
        <w:spacing w:before="80"/>
      </w:pPr>
      <w:r>
        <w:tab/>
        <w:t>[Clause 23 amended in Gazette 12 Jun 2007 p. 2683.]</w:t>
      </w:r>
    </w:p>
    <w:p>
      <w:pPr>
        <w:pStyle w:val="yHeading5"/>
      </w:pPr>
      <w:bookmarkStart w:id="592" w:name="_Toc408471899"/>
      <w:bookmarkStart w:id="593" w:name="_Toc493069563"/>
      <w:bookmarkStart w:id="594" w:name="_Toc461723811"/>
      <w:r>
        <w:rPr>
          <w:rStyle w:val="CharSClsNo"/>
        </w:rPr>
        <w:t>24</w:t>
      </w:r>
      <w:r>
        <w:t>.</w:t>
      </w:r>
      <w:r>
        <w:tab/>
        <w:t>Unlicensed persons not to provide certain services</w:t>
      </w:r>
      <w:bookmarkEnd w:id="592"/>
      <w:bookmarkEnd w:id="593"/>
      <w:bookmarkEnd w:id="594"/>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 24 inserted in Gazette 12 Jun 2007 p. 2684.]</w:t>
      </w:r>
    </w:p>
    <w:p>
      <w:pPr>
        <w:pStyle w:val="yHeading5"/>
      </w:pPr>
      <w:bookmarkStart w:id="595" w:name="_Toc408471900"/>
      <w:bookmarkStart w:id="596" w:name="_Toc493069564"/>
      <w:bookmarkStart w:id="597" w:name="_Toc461723812"/>
      <w:r>
        <w:rPr>
          <w:rStyle w:val="CharSClsNo"/>
        </w:rPr>
        <w:t>25</w:t>
      </w:r>
      <w:r>
        <w:t>.</w:t>
      </w:r>
      <w:r>
        <w:tab/>
        <w:t>Service providers’ licences</w:t>
      </w:r>
      <w:bookmarkEnd w:id="595"/>
      <w:bookmarkEnd w:id="596"/>
      <w:bookmarkEnd w:id="597"/>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in Gazette 12 Jun 2007 p. 2684</w:t>
      </w:r>
      <w:r>
        <w:noBreakHyphen/>
        <w:t>5.]</w:t>
      </w:r>
    </w:p>
    <w:p>
      <w:pPr>
        <w:pStyle w:val="yHeading4"/>
      </w:pPr>
      <w:bookmarkStart w:id="598" w:name="_Toc408471901"/>
      <w:bookmarkStart w:id="599" w:name="_Toc416945546"/>
      <w:bookmarkStart w:id="600" w:name="_Toc416945885"/>
      <w:bookmarkStart w:id="601" w:name="_Toc416946169"/>
      <w:bookmarkStart w:id="602" w:name="_Toc417655739"/>
      <w:bookmarkStart w:id="603" w:name="_Toc461722166"/>
      <w:bookmarkStart w:id="604" w:name="_Toc461723813"/>
      <w:bookmarkStart w:id="605" w:name="_Toc493069565"/>
      <w:r>
        <w:t>Subdivision 4 — Goods</w:t>
      </w:r>
      <w:bookmarkEnd w:id="598"/>
      <w:bookmarkEnd w:id="599"/>
      <w:bookmarkEnd w:id="600"/>
      <w:bookmarkEnd w:id="601"/>
      <w:bookmarkEnd w:id="602"/>
      <w:bookmarkEnd w:id="603"/>
      <w:bookmarkEnd w:id="604"/>
      <w:bookmarkEnd w:id="605"/>
    </w:p>
    <w:p>
      <w:pPr>
        <w:pStyle w:val="yHeading5"/>
      </w:pPr>
      <w:bookmarkStart w:id="606" w:name="_Toc408471902"/>
      <w:bookmarkStart w:id="607" w:name="_Toc493069566"/>
      <w:bookmarkStart w:id="608" w:name="_Toc461723814"/>
      <w:r>
        <w:rPr>
          <w:rStyle w:val="CharSClsNo"/>
        </w:rPr>
        <w:t>26</w:t>
      </w:r>
      <w:r>
        <w:t>.</w:t>
      </w:r>
      <w:r>
        <w:tab/>
        <w:t>Goods not to be placed on port facility etc. without authority</w:t>
      </w:r>
      <w:bookmarkEnd w:id="606"/>
      <w:bookmarkEnd w:id="607"/>
      <w:bookmarkEnd w:id="608"/>
    </w:p>
    <w:p>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1 m from a mooring point, hose connection or electrical fixture.</w:t>
      </w:r>
    </w:p>
    <w:p>
      <w:pPr>
        <w:pStyle w:val="yPenstart"/>
      </w:pPr>
      <w:r>
        <w:tab/>
        <w:t>Penalty: $5 000.</w:t>
      </w:r>
    </w:p>
    <w:p>
      <w:pPr>
        <w:pStyle w:val="yFootnotesection"/>
        <w:spacing w:before="100"/>
      </w:pPr>
      <w:r>
        <w:tab/>
        <w:t>[Clause 26 amended in Gazette 20 Jun 2014 p. 2032.]</w:t>
      </w:r>
    </w:p>
    <w:p>
      <w:pPr>
        <w:pStyle w:val="yHeading4"/>
        <w:spacing w:before="200"/>
      </w:pPr>
      <w:bookmarkStart w:id="609" w:name="_Toc408471903"/>
      <w:bookmarkStart w:id="610" w:name="_Toc416945548"/>
      <w:bookmarkStart w:id="611" w:name="_Toc416945887"/>
      <w:bookmarkStart w:id="612" w:name="_Toc416946171"/>
      <w:bookmarkStart w:id="613" w:name="_Toc417655741"/>
      <w:bookmarkStart w:id="614" w:name="_Toc461722168"/>
      <w:bookmarkStart w:id="615" w:name="_Toc461723815"/>
      <w:bookmarkStart w:id="616" w:name="_Toc493069567"/>
      <w:r>
        <w:t>Subdivision 5 — Things obstructing or interfering with operations of port</w:t>
      </w:r>
      <w:bookmarkEnd w:id="609"/>
      <w:bookmarkEnd w:id="610"/>
      <w:bookmarkEnd w:id="611"/>
      <w:bookmarkEnd w:id="612"/>
      <w:bookmarkEnd w:id="613"/>
      <w:bookmarkEnd w:id="614"/>
      <w:bookmarkEnd w:id="615"/>
      <w:bookmarkEnd w:id="616"/>
    </w:p>
    <w:p>
      <w:pPr>
        <w:pStyle w:val="yHeading5"/>
      </w:pPr>
      <w:bookmarkStart w:id="617" w:name="_Toc408471904"/>
      <w:bookmarkStart w:id="618" w:name="_Toc493069568"/>
      <w:bookmarkStart w:id="619" w:name="_Toc461723816"/>
      <w:r>
        <w:rPr>
          <w:rStyle w:val="CharSClsNo"/>
        </w:rPr>
        <w:t>27</w:t>
      </w:r>
      <w:r>
        <w:t>.</w:t>
      </w:r>
      <w:r>
        <w:tab/>
        <w:t>Things obstructing port operations, powers as to</w:t>
      </w:r>
      <w:bookmarkEnd w:id="617"/>
      <w:bookmarkEnd w:id="618"/>
      <w:bookmarkEnd w:id="619"/>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keepNext w:val="0"/>
        <w:spacing w:before="180"/>
      </w:pPr>
      <w:bookmarkStart w:id="620" w:name="_Toc408471905"/>
      <w:bookmarkStart w:id="621" w:name="_Toc416945550"/>
      <w:bookmarkStart w:id="622" w:name="_Toc416945889"/>
      <w:bookmarkStart w:id="623" w:name="_Toc416946173"/>
      <w:bookmarkStart w:id="624" w:name="_Toc417655743"/>
      <w:bookmarkStart w:id="625" w:name="_Toc461722170"/>
      <w:bookmarkStart w:id="626" w:name="_Toc461723817"/>
      <w:bookmarkStart w:id="627" w:name="_Toc493069569"/>
      <w:r>
        <w:t>Subdivision 6 — Miscellaneous</w:t>
      </w:r>
      <w:bookmarkEnd w:id="620"/>
      <w:bookmarkEnd w:id="621"/>
      <w:bookmarkEnd w:id="622"/>
      <w:bookmarkEnd w:id="623"/>
      <w:bookmarkEnd w:id="624"/>
      <w:bookmarkEnd w:id="625"/>
      <w:bookmarkEnd w:id="626"/>
      <w:bookmarkEnd w:id="627"/>
    </w:p>
    <w:p>
      <w:pPr>
        <w:pStyle w:val="yHeading5"/>
        <w:keepNext w:val="0"/>
        <w:keepLines w:val="0"/>
        <w:spacing w:before="160"/>
      </w:pPr>
      <w:bookmarkStart w:id="628" w:name="_Toc408471906"/>
      <w:bookmarkStart w:id="629" w:name="_Toc493069570"/>
      <w:bookmarkStart w:id="630" w:name="_Toc461723818"/>
      <w:r>
        <w:rPr>
          <w:rStyle w:val="CharSClsNo"/>
        </w:rPr>
        <w:t>28</w:t>
      </w:r>
      <w:r>
        <w:t>.</w:t>
      </w:r>
      <w:r>
        <w:tab/>
        <w:t>Damage to property to be reported to harbour master</w:t>
      </w:r>
      <w:bookmarkEnd w:id="628"/>
      <w:bookmarkEnd w:id="629"/>
      <w:bookmarkEnd w:id="630"/>
    </w:p>
    <w:p>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pPr>
        <w:pStyle w:val="ySubsection"/>
        <w:keepNext/>
      </w:pPr>
      <w:r>
        <w:tab/>
        <w:t>(2)</w:t>
      </w:r>
      <w:r>
        <w:tab/>
        <w:t>A person who does not comply with subclause (1) commits an offence.</w:t>
      </w:r>
    </w:p>
    <w:p>
      <w:pPr>
        <w:pStyle w:val="yPenstart"/>
      </w:pPr>
      <w:r>
        <w:tab/>
        <w:t>Penalty: $12 000.</w:t>
      </w:r>
    </w:p>
    <w:p>
      <w:pPr>
        <w:pStyle w:val="yFootnotesection"/>
      </w:pPr>
      <w:r>
        <w:tab/>
        <w:t>[Clause 28 amended in Gazette 20 Jun 2014 p. 2032.]</w:t>
      </w:r>
    </w:p>
    <w:p>
      <w:pPr>
        <w:pStyle w:val="yHeading5"/>
        <w:spacing w:before="180"/>
      </w:pPr>
      <w:bookmarkStart w:id="631" w:name="_Toc408471907"/>
      <w:bookmarkStart w:id="632" w:name="_Toc493069571"/>
      <w:bookmarkStart w:id="633" w:name="_Toc461723819"/>
      <w:r>
        <w:rPr>
          <w:rStyle w:val="CharSClsNo"/>
        </w:rPr>
        <w:t>29</w:t>
      </w:r>
      <w:r>
        <w:t>.</w:t>
      </w:r>
      <w:r>
        <w:tab/>
        <w:t>Unauthorised entry of closed areas of port</w:t>
      </w:r>
      <w:bookmarkEnd w:id="631"/>
      <w:bookmarkEnd w:id="632"/>
      <w:bookmarkEnd w:id="633"/>
    </w:p>
    <w:p>
      <w:pPr>
        <w:pStyle w:val="ySubsection"/>
        <w:spacing w:before="120"/>
      </w:pPr>
      <w:r>
        <w:tab/>
      </w:r>
      <w:r>
        <w:tab/>
        <w:t>Unless authorised by the harbour master, a person must not enter any of the following in the port that is closed by the port authority and designated by notices or signs erected by the port authority as being closed —</w:t>
      </w:r>
    </w:p>
    <w:p>
      <w:pPr>
        <w:pStyle w:val="yIndenta"/>
      </w:pPr>
      <w:r>
        <w:tab/>
        <w:t>(a)</w:t>
      </w:r>
      <w:r>
        <w:tab/>
        <w:t>an area of the port;</w:t>
      </w:r>
    </w:p>
    <w:p>
      <w:pPr>
        <w:pStyle w:val="yIndenta"/>
      </w:pPr>
      <w:r>
        <w:tab/>
        <w:t>(b)</w:t>
      </w:r>
      <w:r>
        <w:tab/>
        <w:t>a port facility;</w:t>
      </w:r>
    </w:p>
    <w:p>
      <w:pPr>
        <w:pStyle w:val="yIndenta"/>
      </w:pPr>
      <w:r>
        <w:tab/>
        <w:t>(c)</w:t>
      </w:r>
      <w:r>
        <w:tab/>
        <w:t>a wharf, or an area of a wharf, operated by the port authority.</w:t>
      </w:r>
    </w:p>
    <w:p>
      <w:pPr>
        <w:pStyle w:val="yPenstart"/>
      </w:pPr>
      <w:r>
        <w:tab/>
        <w:t>Penalty: a fine of $2 000.</w:t>
      </w:r>
    </w:p>
    <w:p>
      <w:pPr>
        <w:pStyle w:val="yFootnotesection"/>
      </w:pPr>
      <w:r>
        <w:tab/>
        <w:t>[Clause 29 inserted in Gazette 20 Jun 2014 p. 2032.]</w:t>
      </w:r>
    </w:p>
    <w:p>
      <w:pPr>
        <w:pStyle w:val="yHeading3"/>
        <w:spacing w:before="200"/>
      </w:pPr>
      <w:bookmarkStart w:id="634" w:name="_Toc408471908"/>
      <w:bookmarkStart w:id="635" w:name="_Toc416945553"/>
      <w:bookmarkStart w:id="636" w:name="_Toc416945892"/>
      <w:bookmarkStart w:id="637" w:name="_Toc416946176"/>
      <w:bookmarkStart w:id="638" w:name="_Toc417655746"/>
      <w:bookmarkStart w:id="639" w:name="_Toc461722173"/>
      <w:bookmarkStart w:id="640" w:name="_Toc461723820"/>
      <w:bookmarkStart w:id="641" w:name="_Toc493069572"/>
      <w:r>
        <w:rPr>
          <w:rStyle w:val="CharSDivNo"/>
        </w:rPr>
        <w:t>Division 3</w:t>
      </w:r>
      <w:r>
        <w:t> — </w:t>
      </w:r>
      <w:r>
        <w:rPr>
          <w:rStyle w:val="CharSDivText"/>
        </w:rPr>
        <w:t>Port of Bunbury</w:t>
      </w:r>
      <w:bookmarkEnd w:id="634"/>
      <w:bookmarkEnd w:id="635"/>
      <w:bookmarkEnd w:id="636"/>
      <w:bookmarkEnd w:id="637"/>
      <w:bookmarkEnd w:id="638"/>
      <w:bookmarkEnd w:id="639"/>
      <w:bookmarkEnd w:id="640"/>
      <w:bookmarkEnd w:id="641"/>
    </w:p>
    <w:p>
      <w:pPr>
        <w:pStyle w:val="yFootnoteheading"/>
      </w:pPr>
      <w:r>
        <w:tab/>
        <w:t>[Heading inserted in Gazette 20 Jun 2014 p. 2033.]</w:t>
      </w:r>
    </w:p>
    <w:p>
      <w:pPr>
        <w:pStyle w:val="yHeading5"/>
      </w:pPr>
      <w:bookmarkStart w:id="642" w:name="_Toc408471909"/>
      <w:bookmarkStart w:id="643" w:name="_Toc493069573"/>
      <w:bookmarkStart w:id="644" w:name="_Toc461723821"/>
      <w:r>
        <w:rPr>
          <w:rStyle w:val="CharSClsNo"/>
        </w:rPr>
        <w:t>30</w:t>
      </w:r>
      <w:r>
        <w:t>.</w:t>
      </w:r>
      <w:r>
        <w:tab/>
        <w:t>Application of this Division</w:t>
      </w:r>
      <w:bookmarkEnd w:id="642"/>
      <w:bookmarkEnd w:id="643"/>
      <w:bookmarkEnd w:id="644"/>
    </w:p>
    <w:p>
      <w:pPr>
        <w:pStyle w:val="ySubsection"/>
      </w:pPr>
      <w:r>
        <w:tab/>
      </w:r>
      <w:r>
        <w:tab/>
        <w:t xml:space="preserve">This Division applies to the </w:t>
      </w:r>
      <w:smartTag w:uri="urn:schemas-microsoft-com:office:smarttags" w:element="PlaceType">
        <w:r>
          <w:t>Port</w:t>
        </w:r>
      </w:smartTag>
      <w:r>
        <w:t xml:space="preserve"> of Bunbury and the Southern Ports Authority.</w:t>
      </w:r>
    </w:p>
    <w:p>
      <w:pPr>
        <w:pStyle w:val="yFootnotesection"/>
      </w:pPr>
      <w:r>
        <w:tab/>
        <w:t>[Clause 30 inserted in Gazette 19 Sep 2014 p. 3342.]</w:t>
      </w:r>
    </w:p>
    <w:p>
      <w:pPr>
        <w:pStyle w:val="yHeading5"/>
        <w:spacing w:before="180"/>
      </w:pPr>
      <w:bookmarkStart w:id="645" w:name="_Toc408471910"/>
      <w:bookmarkStart w:id="646" w:name="_Toc493069574"/>
      <w:bookmarkStart w:id="647" w:name="_Toc461723822"/>
      <w:r>
        <w:rPr>
          <w:rStyle w:val="CharSClsNo"/>
        </w:rPr>
        <w:t>31</w:t>
      </w:r>
      <w:r>
        <w:t>.</w:t>
      </w:r>
      <w:r>
        <w:tab/>
        <w:t>Term used: service provider’s licence</w:t>
      </w:r>
      <w:bookmarkEnd w:id="645"/>
      <w:bookmarkEnd w:id="646"/>
      <w:bookmarkEnd w:id="647"/>
    </w:p>
    <w:p>
      <w:pPr>
        <w:pStyle w:val="ySubsection"/>
        <w:spacing w:before="120"/>
      </w:pPr>
      <w:r>
        <w:tab/>
      </w:r>
      <w:r>
        <w:tab/>
        <w:t xml:space="preserve">In this Division — </w:t>
      </w:r>
    </w:p>
    <w:p>
      <w:pPr>
        <w:pStyle w:val="yDefstart"/>
      </w:pPr>
      <w:r>
        <w:tab/>
      </w:r>
      <w:r>
        <w:rPr>
          <w:rStyle w:val="CharDefText"/>
        </w:rPr>
        <w:t>service provider’s licence</w:t>
      </w:r>
      <w:r>
        <w:t xml:space="preserve"> means a licence issued under clause 34(2) to provide a towage service, line boat service, bunkering service, stevedoring service or mooring service in the port.</w:t>
      </w:r>
    </w:p>
    <w:p>
      <w:pPr>
        <w:pStyle w:val="yHeading5"/>
      </w:pPr>
      <w:bookmarkStart w:id="648" w:name="_Toc408471911"/>
      <w:bookmarkStart w:id="649" w:name="_Toc493069575"/>
      <w:bookmarkStart w:id="650" w:name="_Toc461723823"/>
      <w:r>
        <w:rPr>
          <w:rStyle w:val="CharSClsNo"/>
        </w:rPr>
        <w:t>32</w:t>
      </w:r>
      <w:r>
        <w:t>.</w:t>
      </w:r>
      <w:r>
        <w:tab/>
        <w:t>Vessel in port to maintain contact with port authority</w:t>
      </w:r>
      <w:bookmarkEnd w:id="648"/>
      <w:bookmarkEnd w:id="649"/>
      <w:bookmarkEnd w:id="650"/>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pPr>
      <w:bookmarkStart w:id="651" w:name="_Toc408471912"/>
      <w:bookmarkStart w:id="652" w:name="_Toc493069576"/>
      <w:bookmarkStart w:id="653" w:name="_Toc461723824"/>
      <w:r>
        <w:rPr>
          <w:rStyle w:val="CharSClsNo"/>
        </w:rPr>
        <w:t>33</w:t>
      </w:r>
      <w:r>
        <w:t>.</w:t>
      </w:r>
      <w:r>
        <w:tab/>
        <w:t>Unlicensed persons not to provide certain services</w:t>
      </w:r>
      <w:bookmarkEnd w:id="651"/>
      <w:bookmarkEnd w:id="652"/>
      <w:bookmarkEnd w:id="653"/>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pPr>
      <w:bookmarkStart w:id="654" w:name="_Toc408471913"/>
      <w:bookmarkStart w:id="655" w:name="_Toc493069577"/>
      <w:bookmarkStart w:id="656" w:name="_Toc461723825"/>
      <w:r>
        <w:rPr>
          <w:rStyle w:val="CharSClsNo"/>
        </w:rPr>
        <w:t>34</w:t>
      </w:r>
      <w:r>
        <w:t>.</w:t>
      </w:r>
      <w:r>
        <w:tab/>
        <w:t>Service providers’ licences</w:t>
      </w:r>
      <w:bookmarkEnd w:id="654"/>
      <w:bookmarkEnd w:id="655"/>
      <w:bookmarkEnd w:id="656"/>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80"/>
      </w:pPr>
      <w:r>
        <w:tab/>
        <w:t>(6)</w:t>
      </w:r>
      <w:r>
        <w:tab/>
        <w:t>A notice under subclause (4) has effect on the day on which the person who holds the service provider’s licence is given the notice or on any later day specified in the notice.</w:t>
      </w:r>
    </w:p>
    <w:p>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8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in Gazette 12 Jun 2007 p. 2685</w:t>
      </w:r>
      <w:r>
        <w:noBreakHyphen/>
        <w:t>6.]</w:t>
      </w:r>
    </w:p>
    <w:p>
      <w:pPr>
        <w:pStyle w:val="yHeading3"/>
      </w:pPr>
      <w:bookmarkStart w:id="657" w:name="_Toc408471914"/>
      <w:bookmarkStart w:id="658" w:name="_Toc416945559"/>
      <w:bookmarkStart w:id="659" w:name="_Toc416945898"/>
      <w:bookmarkStart w:id="660" w:name="_Toc416946182"/>
      <w:bookmarkStart w:id="661" w:name="_Toc417655752"/>
      <w:bookmarkStart w:id="662" w:name="_Toc461722179"/>
      <w:bookmarkStart w:id="663" w:name="_Toc461723826"/>
      <w:bookmarkStart w:id="664" w:name="_Toc493069578"/>
      <w:r>
        <w:rPr>
          <w:rStyle w:val="CharSDivNo"/>
        </w:rPr>
        <w:t>Division 4</w:t>
      </w:r>
      <w:r>
        <w:t> — </w:t>
      </w:r>
      <w:r>
        <w:rPr>
          <w:rStyle w:val="CharSDivText"/>
        </w:rPr>
        <w:t>Port of Ashburton and Port of Dampier</w:t>
      </w:r>
      <w:bookmarkEnd w:id="657"/>
      <w:bookmarkEnd w:id="658"/>
      <w:bookmarkEnd w:id="659"/>
      <w:bookmarkEnd w:id="660"/>
      <w:bookmarkEnd w:id="661"/>
      <w:bookmarkEnd w:id="662"/>
      <w:bookmarkEnd w:id="663"/>
      <w:bookmarkEnd w:id="664"/>
    </w:p>
    <w:p>
      <w:pPr>
        <w:pStyle w:val="yFootnoteheading"/>
      </w:pPr>
      <w:r>
        <w:tab/>
        <w:t>[Heading inserted in Gazette 20 Jun 2014 p. 2033.]</w:t>
      </w:r>
    </w:p>
    <w:p>
      <w:pPr>
        <w:pStyle w:val="yHeading4"/>
      </w:pPr>
      <w:bookmarkStart w:id="665" w:name="_Toc408471915"/>
      <w:bookmarkStart w:id="666" w:name="_Toc416945560"/>
      <w:bookmarkStart w:id="667" w:name="_Toc416945899"/>
      <w:bookmarkStart w:id="668" w:name="_Toc416946183"/>
      <w:bookmarkStart w:id="669" w:name="_Toc417655753"/>
      <w:bookmarkStart w:id="670" w:name="_Toc461722180"/>
      <w:bookmarkStart w:id="671" w:name="_Toc461723827"/>
      <w:bookmarkStart w:id="672" w:name="_Toc493069579"/>
      <w:r>
        <w:t>Subdivision 1 — Preliminary</w:t>
      </w:r>
      <w:bookmarkEnd w:id="665"/>
      <w:bookmarkEnd w:id="666"/>
      <w:bookmarkEnd w:id="667"/>
      <w:bookmarkEnd w:id="668"/>
      <w:bookmarkEnd w:id="669"/>
      <w:bookmarkEnd w:id="670"/>
      <w:bookmarkEnd w:id="671"/>
      <w:bookmarkEnd w:id="672"/>
    </w:p>
    <w:p>
      <w:pPr>
        <w:pStyle w:val="yHeading5"/>
      </w:pPr>
      <w:bookmarkStart w:id="673" w:name="_Toc408471916"/>
      <w:bookmarkStart w:id="674" w:name="_Toc493069580"/>
      <w:bookmarkStart w:id="675" w:name="_Toc461723828"/>
      <w:r>
        <w:rPr>
          <w:rStyle w:val="CharSClsNo"/>
        </w:rPr>
        <w:t>35</w:t>
      </w:r>
      <w:r>
        <w:t>.</w:t>
      </w:r>
      <w:r>
        <w:tab/>
        <w:t>Application of this Division</w:t>
      </w:r>
      <w:bookmarkEnd w:id="673"/>
      <w:bookmarkEnd w:id="674"/>
      <w:bookmarkEnd w:id="675"/>
    </w:p>
    <w:p>
      <w:pPr>
        <w:pStyle w:val="ySubsection"/>
      </w:pPr>
      <w:r>
        <w:tab/>
      </w:r>
      <w:r>
        <w:tab/>
        <w:t>This Division applies to the Port of Ashburton, the Port of Dampier and the Pilbara Ports Authority.</w:t>
      </w:r>
    </w:p>
    <w:p>
      <w:pPr>
        <w:pStyle w:val="yFootnotesection"/>
      </w:pPr>
      <w:r>
        <w:tab/>
        <w:t>[Clause 35 inserted in Gazette 20 Jun 2014 p. 2033.]</w:t>
      </w:r>
    </w:p>
    <w:p>
      <w:pPr>
        <w:pStyle w:val="yHeading5"/>
        <w:spacing w:before="240"/>
      </w:pPr>
      <w:bookmarkStart w:id="676" w:name="_Toc408471917"/>
      <w:bookmarkStart w:id="677" w:name="_Toc493069581"/>
      <w:bookmarkStart w:id="678" w:name="_Toc461723829"/>
      <w:r>
        <w:rPr>
          <w:rStyle w:val="CharSClsNo"/>
        </w:rPr>
        <w:t>36</w:t>
      </w:r>
      <w:r>
        <w:t>.</w:t>
      </w:r>
      <w:r>
        <w:tab/>
        <w:t>Terms used</w:t>
      </w:r>
      <w:bookmarkEnd w:id="676"/>
      <w:bookmarkEnd w:id="677"/>
      <w:bookmarkEnd w:id="678"/>
    </w:p>
    <w:p>
      <w:pPr>
        <w:pStyle w:val="ySubsection"/>
      </w:pPr>
      <w:r>
        <w:tab/>
      </w:r>
      <w:r>
        <w:tab/>
        <w:t xml:space="preserve">In this Division — </w:t>
      </w:r>
    </w:p>
    <w:p>
      <w:pPr>
        <w:pStyle w:val="yDefstart"/>
      </w:pPr>
      <w:r>
        <w:tab/>
      </w:r>
      <w:r>
        <w:rPr>
          <w:rStyle w:val="CharDefText"/>
        </w:rPr>
        <w:t>commercial vessel</w:t>
      </w:r>
      <w:r>
        <w:t xml:space="preserve"> means a vessel other than a private vessel;</w:t>
      </w:r>
    </w:p>
    <w:p>
      <w:pPr>
        <w:pStyle w:val="yDefstart"/>
      </w:pPr>
      <w:r>
        <w:tab/>
      </w:r>
      <w:r>
        <w:rPr>
          <w:rStyle w:val="CharDefText"/>
        </w:rPr>
        <w:t>fishing vessel</w:t>
      </w:r>
      <w:r>
        <w:t xml:space="preserve"> means a vessel that is used for commercial fishing;</w:t>
      </w:r>
    </w:p>
    <w:p>
      <w:pPr>
        <w:pStyle w:val="yDefstart"/>
      </w:pPr>
      <w:r>
        <w:tab/>
      </w:r>
      <w:r>
        <w:rPr>
          <w:rStyle w:val="CharDefText"/>
        </w:rPr>
        <w:t>International Code</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keepNext/>
      </w:pPr>
      <w:r>
        <w:tab/>
      </w:r>
      <w:smartTag w:uri="urn:schemas-microsoft-com:office:smarttags" w:element="City">
        <w:r>
          <w:rPr>
            <w:rStyle w:val="CharDefText"/>
          </w:rPr>
          <w:t>Iron</w:t>
        </w:r>
      </w:smartTag>
      <w:r>
        <w:rPr>
          <w:rStyle w:val="CharDefText"/>
        </w:rPr>
        <w:t xml:space="preserve"> </w:t>
      </w:r>
      <w:smartTag w:uri="urn:schemas-microsoft-com:office:smarttags" w:element="State">
        <w:r>
          <w:rPr>
            <w:rStyle w:val="CharDefText"/>
          </w:rPr>
          <w:t>Ore</w:t>
        </w:r>
      </w:smartTag>
      <w:r>
        <w:rPr>
          <w:rStyle w:val="CharDefText"/>
        </w:rPr>
        <w:t xml:space="preserve"> (</w:t>
      </w:r>
      <w:smartTag w:uri="urn:schemas-microsoft-com:office:smarttags" w:element="place">
        <w:smartTag w:uri="urn:schemas-microsoft-com:office:smarttags" w:element="PlaceName">
          <w:r>
            <w:rPr>
              <w:rStyle w:val="CharDefText"/>
            </w:rPr>
            <w:t>Hamersley</w:t>
          </w:r>
        </w:smartTag>
        <w:r>
          <w:rPr>
            <w:rStyle w:val="CharDefText"/>
          </w:rPr>
          <w:t xml:space="preserve"> </w:t>
        </w:r>
        <w:smartTag w:uri="urn:schemas-microsoft-com:office:smarttags" w:element="PlaceType">
          <w:r>
            <w:rPr>
              <w:rStyle w:val="CharDefText"/>
            </w:rPr>
            <w:t>Range</w:t>
          </w:r>
        </w:smartTag>
      </w:smartTag>
      <w:r>
        <w:rPr>
          <w:rStyle w:val="CharDefText"/>
        </w:rPr>
        <w:t>) Agreement</w:t>
      </w:r>
      <w:r>
        <w:t xml:space="preserve"> has the same meaning as it has in Schedule 6 Division 1 to the Act;</w:t>
      </w:r>
    </w:p>
    <w:p>
      <w:pPr>
        <w:pStyle w:val="yDefstart"/>
      </w:pPr>
      <w:r>
        <w:tab/>
      </w:r>
      <w:r>
        <w:rPr>
          <w:rStyle w:val="CharDefText"/>
        </w:rPr>
        <w:t>pilotage exemption certificate</w:t>
      </w:r>
      <w:r>
        <w:t xml:space="preserve"> means a pilotage exemption certificate issued under regulation 51;</w:t>
      </w:r>
    </w:p>
    <w:p>
      <w:pPr>
        <w:pStyle w:val="yFootnotesection"/>
      </w:pPr>
      <w:r>
        <w:tab/>
        <w:t>[Clause 36 amended in Gazette 28 Jun 2013 p. 2765.]</w:t>
      </w:r>
    </w:p>
    <w:p>
      <w:pPr>
        <w:pStyle w:val="yHeading4"/>
      </w:pPr>
      <w:bookmarkStart w:id="679" w:name="_Toc408471918"/>
      <w:bookmarkStart w:id="680" w:name="_Toc416945563"/>
      <w:bookmarkStart w:id="681" w:name="_Toc416945902"/>
      <w:bookmarkStart w:id="682" w:name="_Toc416946186"/>
      <w:bookmarkStart w:id="683" w:name="_Toc417655756"/>
      <w:bookmarkStart w:id="684" w:name="_Toc461722183"/>
      <w:bookmarkStart w:id="685" w:name="_Toc461723830"/>
      <w:bookmarkStart w:id="686" w:name="_Toc493069582"/>
      <w:r>
        <w:t>Subdivision 2 — Vessels in the port</w:t>
      </w:r>
      <w:bookmarkEnd w:id="679"/>
      <w:bookmarkEnd w:id="680"/>
      <w:bookmarkEnd w:id="681"/>
      <w:bookmarkEnd w:id="682"/>
      <w:bookmarkEnd w:id="683"/>
      <w:bookmarkEnd w:id="684"/>
      <w:bookmarkEnd w:id="685"/>
      <w:bookmarkEnd w:id="686"/>
    </w:p>
    <w:p>
      <w:pPr>
        <w:pStyle w:val="yHeading5"/>
      </w:pPr>
      <w:bookmarkStart w:id="687" w:name="_Toc408471919"/>
      <w:bookmarkStart w:id="688" w:name="_Toc493069583"/>
      <w:bookmarkStart w:id="689" w:name="_Toc461723831"/>
      <w:r>
        <w:rPr>
          <w:rStyle w:val="CharSClsNo"/>
        </w:rPr>
        <w:t>37</w:t>
      </w:r>
      <w:r>
        <w:t>.</w:t>
      </w:r>
      <w:r>
        <w:tab/>
        <w:t>Radio watch to be kept by commercial vessels</w:t>
      </w:r>
      <w:bookmarkEnd w:id="687"/>
      <w:bookmarkEnd w:id="688"/>
      <w:bookmarkEnd w:id="689"/>
    </w:p>
    <w:p>
      <w:pPr>
        <w:pStyle w:val="ySubsection"/>
      </w:pPr>
      <w:r>
        <w:tab/>
        <w:t>(1)</w:t>
      </w:r>
      <w:r>
        <w:tab/>
        <w:t xml:space="preserve">For the purpose of receiving communications from the harbour master, the master of a commercial vessel must — </w:t>
      </w:r>
    </w:p>
    <w:p>
      <w:pPr>
        <w:pStyle w:val="yIndenta"/>
      </w:pPr>
      <w:r>
        <w:tab/>
        <w:t>(a)</w:t>
      </w:r>
      <w:r>
        <w:tab/>
        <w:t xml:space="preserve">when the vessel is approaching the port — maintain a listening watch on VHF Radio Channel 16 (156.8 kHz); or </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Footnotesection"/>
      </w:pPr>
      <w:r>
        <w:tab/>
        <w:t>[Clause 37 amended in Gazette 16 Sep </w:t>
      </w:r>
      <w:r>
        <w:rPr>
          <w:rStyle w:val="CharDivNo"/>
        </w:rPr>
        <w:t>2016 p. 3944</w:t>
      </w:r>
      <w:r>
        <w:t>.]</w:t>
      </w:r>
    </w:p>
    <w:p>
      <w:pPr>
        <w:pStyle w:val="yHeading5"/>
      </w:pPr>
      <w:bookmarkStart w:id="690" w:name="_Toc408471920"/>
      <w:bookmarkStart w:id="691" w:name="_Toc493069584"/>
      <w:bookmarkStart w:id="692" w:name="_Toc461723832"/>
      <w:r>
        <w:rPr>
          <w:rStyle w:val="CharSClsNo"/>
        </w:rPr>
        <w:t>38</w:t>
      </w:r>
      <w:r>
        <w:t>.</w:t>
      </w:r>
      <w:r>
        <w:tab/>
        <w:t>Boating safety exclusion zone not to be entered without authority</w:t>
      </w:r>
      <w:bookmarkEnd w:id="690"/>
      <w:bookmarkEnd w:id="691"/>
      <w:bookmarkEnd w:id="692"/>
    </w:p>
    <w:p>
      <w:pPr>
        <w:pStyle w:val="ySubsection"/>
      </w:pPr>
      <w:r>
        <w:tab/>
        <w:t>(1)</w:t>
      </w:r>
      <w:r>
        <w:tab/>
        <w:t>In this clause —</w:t>
      </w:r>
    </w:p>
    <w:p>
      <w:pPr>
        <w:pStyle w:val="yDefstart"/>
      </w:pPr>
      <w:r>
        <w:tab/>
      </w:r>
      <w:r>
        <w:rPr>
          <w:rStyle w:val="CharDefText"/>
          <w:szCs w:val="22"/>
        </w:rPr>
        <w:t>boating safety exclusion zone</w:t>
      </w:r>
      <w:r>
        <w:t xml:space="preserve"> means the areas shaded in red on the map bearing the logo of the Pilbara Ports Authority, or the Dampier Port Authority, and titled “Boating Safety Exclusion Zone” held at the offices of the Pilbara Ports Authority and accessible on the website of the Pilbara Ports Authority.</w:t>
      </w:r>
    </w:p>
    <w:p>
      <w:pPr>
        <w:pStyle w:val="ySubsection"/>
      </w:pPr>
      <w:r>
        <w:tab/>
        <w:t>(2)</w:t>
      </w:r>
      <w:r>
        <w:tab/>
        <w:t>Unless authorised by the harbour master, the master of a vessel must not cause or permit the vessel to enter a boa</w:t>
      </w:r>
      <w:r>
        <w:rPr>
          <w:szCs w:val="22"/>
        </w:rPr>
        <w:t>ting safety exclusion zone in the port</w:t>
      </w:r>
      <w:r>
        <w:t>.</w:t>
      </w:r>
    </w:p>
    <w:p>
      <w:pPr>
        <w:pStyle w:val="yPenstart"/>
      </w:pPr>
      <w:r>
        <w:tab/>
        <w:t>Penalty: a fine of $5 000.</w:t>
      </w:r>
    </w:p>
    <w:p>
      <w:pPr>
        <w:pStyle w:val="yFootnotesection"/>
      </w:pPr>
      <w:r>
        <w:tab/>
        <w:t xml:space="preserve">[Clause 38 inserted in Gazette 28 Jun 2013 p. 2765; amended in Gazette </w:t>
      </w:r>
      <w:r>
        <w:rPr>
          <w:rStyle w:val="CharDivNo"/>
        </w:rPr>
        <w:t>20 Jun 2014 p. </w:t>
      </w:r>
      <w:r>
        <w:t>2033.]</w:t>
      </w:r>
    </w:p>
    <w:p>
      <w:pPr>
        <w:pStyle w:val="yHeading5"/>
      </w:pPr>
      <w:bookmarkStart w:id="693" w:name="_Toc408471921"/>
      <w:bookmarkStart w:id="694" w:name="_Toc493069585"/>
      <w:bookmarkStart w:id="695" w:name="_Toc461723833"/>
      <w:r>
        <w:rPr>
          <w:rStyle w:val="CharSClsNo"/>
        </w:rPr>
        <w:t>39</w:t>
      </w:r>
      <w:r>
        <w:t>.</w:t>
      </w:r>
      <w:r>
        <w:tab/>
        <w:t>Master of vessel to produce certificates of tonnage and registry etc. on request by certain officers</w:t>
      </w:r>
      <w:bookmarkEnd w:id="693"/>
      <w:bookmarkEnd w:id="694"/>
      <w:bookmarkEnd w:id="695"/>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pPr>
      <w:bookmarkStart w:id="696" w:name="_Toc408471922"/>
      <w:bookmarkStart w:id="697" w:name="_Toc493069586"/>
      <w:bookmarkStart w:id="698" w:name="_Toc461723834"/>
      <w:r>
        <w:rPr>
          <w:rStyle w:val="CharSClsNo"/>
        </w:rPr>
        <w:t>40</w:t>
      </w:r>
      <w:r>
        <w:t>.</w:t>
      </w:r>
      <w:r>
        <w:tab/>
        <w:t>Vessel moored to wharf, anchors of to be stowed</w:t>
      </w:r>
      <w:bookmarkEnd w:id="696"/>
      <w:bookmarkEnd w:id="697"/>
      <w:bookmarkEnd w:id="698"/>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pPr>
      <w:bookmarkStart w:id="699" w:name="_Toc408471923"/>
      <w:bookmarkStart w:id="700" w:name="_Toc493069587"/>
      <w:bookmarkStart w:id="701" w:name="_Toc461723835"/>
      <w:r>
        <w:rPr>
          <w:rStyle w:val="CharSClsNo"/>
        </w:rPr>
        <w:t>41</w:t>
      </w:r>
      <w:r>
        <w:t>.</w:t>
      </w:r>
      <w:r>
        <w:tab/>
        <w:t>Propellers of moored vessel not to be operated</w:t>
      </w:r>
      <w:bookmarkEnd w:id="699"/>
      <w:bookmarkEnd w:id="700"/>
      <w:bookmarkEnd w:id="701"/>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keepNext w:val="0"/>
        <w:keepLines w:val="0"/>
        <w:spacing w:before="200"/>
      </w:pPr>
      <w:bookmarkStart w:id="702" w:name="_Toc408471924"/>
      <w:bookmarkStart w:id="703" w:name="_Toc493069588"/>
      <w:bookmarkStart w:id="704" w:name="_Toc461723836"/>
      <w:r>
        <w:rPr>
          <w:rStyle w:val="CharSClsNo"/>
        </w:rPr>
        <w:t>42</w:t>
      </w:r>
      <w:r>
        <w:t>.</w:t>
      </w:r>
      <w:r>
        <w:tab/>
        <w:t>Commercial vessels not to be beached in the port</w:t>
      </w:r>
      <w:bookmarkEnd w:id="702"/>
      <w:bookmarkEnd w:id="703"/>
      <w:bookmarkEnd w:id="704"/>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keepNext w:val="0"/>
        <w:keepLines w:val="0"/>
        <w:spacing w:before="200"/>
      </w:pPr>
      <w:bookmarkStart w:id="705" w:name="_Toc408471925"/>
      <w:bookmarkStart w:id="706" w:name="_Toc493069589"/>
      <w:bookmarkStart w:id="707" w:name="_Toc461723837"/>
      <w:r>
        <w:rPr>
          <w:rStyle w:val="CharSClsNo"/>
        </w:rPr>
        <w:t>43</w:t>
      </w:r>
      <w:r>
        <w:t>.</w:t>
      </w:r>
      <w:r>
        <w:tab/>
        <w:t>Moored vessel not to be moved unless harbour master notified</w:t>
      </w:r>
      <w:bookmarkEnd w:id="705"/>
      <w:bookmarkEnd w:id="706"/>
      <w:bookmarkEnd w:id="707"/>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708" w:name="_Toc408471926"/>
      <w:bookmarkStart w:id="709" w:name="_Toc493069590"/>
      <w:bookmarkStart w:id="710" w:name="_Toc461723838"/>
      <w:r>
        <w:rPr>
          <w:rStyle w:val="CharSClsNo"/>
        </w:rPr>
        <w:t>44</w:t>
      </w:r>
      <w:r>
        <w:t>.</w:t>
      </w:r>
      <w:r>
        <w:tab/>
        <w:t>Fire on vessel, duties of people on board</w:t>
      </w:r>
      <w:bookmarkEnd w:id="708"/>
      <w:bookmarkEnd w:id="709"/>
      <w:bookmarkEnd w:id="710"/>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pPr>
      <w:bookmarkStart w:id="711" w:name="_Toc408471927"/>
      <w:bookmarkStart w:id="712" w:name="_Toc493069591"/>
      <w:bookmarkStart w:id="713" w:name="_Toc461723839"/>
      <w:r>
        <w:rPr>
          <w:rStyle w:val="CharSClsNo"/>
        </w:rPr>
        <w:t>45</w:t>
      </w:r>
      <w:r>
        <w:t>.</w:t>
      </w:r>
      <w:r>
        <w:tab/>
        <w:t>Bunkering</w:t>
      </w:r>
      <w:bookmarkEnd w:id="711"/>
      <w:bookmarkEnd w:id="712"/>
      <w:bookmarkEnd w:id="713"/>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keepLines w:val="0"/>
        <w:spacing w:before="240"/>
      </w:pPr>
      <w:bookmarkStart w:id="714" w:name="_Toc408471928"/>
      <w:bookmarkStart w:id="715" w:name="_Toc493069592"/>
      <w:bookmarkStart w:id="716" w:name="_Toc461723840"/>
      <w:r>
        <w:rPr>
          <w:rStyle w:val="CharSClsNo"/>
        </w:rPr>
        <w:t>46</w:t>
      </w:r>
      <w:r>
        <w:t>.</w:t>
      </w:r>
      <w:r>
        <w:tab/>
        <w:t>Ballast to be sufficient</w:t>
      </w:r>
      <w:bookmarkEnd w:id="714"/>
      <w:bookmarkEnd w:id="715"/>
      <w:bookmarkEnd w:id="716"/>
    </w:p>
    <w:p>
      <w:pPr>
        <w:pStyle w:val="ySubsection"/>
        <w:keepLines/>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pPr>
      <w:bookmarkStart w:id="717" w:name="_Toc408471929"/>
      <w:bookmarkStart w:id="718" w:name="_Toc493069593"/>
      <w:bookmarkStart w:id="719" w:name="_Toc461723841"/>
      <w:r>
        <w:rPr>
          <w:rStyle w:val="CharSClsNo"/>
        </w:rPr>
        <w:t>47</w:t>
      </w:r>
      <w:r>
        <w:t>.</w:t>
      </w:r>
      <w:r>
        <w:tab/>
        <w:t>Navigation of private vessels</w:t>
      </w:r>
      <w:bookmarkEnd w:id="717"/>
      <w:bookmarkEnd w:id="718"/>
      <w:bookmarkEnd w:id="719"/>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pPr>
      <w:bookmarkStart w:id="720" w:name="_Toc408471930"/>
      <w:bookmarkStart w:id="721" w:name="_Toc493069594"/>
      <w:bookmarkStart w:id="722" w:name="_Toc461723842"/>
      <w:r>
        <w:rPr>
          <w:rStyle w:val="CharSClsNo"/>
        </w:rPr>
        <w:t>48</w:t>
      </w:r>
      <w:r>
        <w:t>.</w:t>
      </w:r>
      <w:r>
        <w:tab/>
        <w:t>Fishing vessels, duties of masters of</w:t>
      </w:r>
      <w:bookmarkEnd w:id="720"/>
      <w:bookmarkEnd w:id="721"/>
      <w:bookmarkEnd w:id="722"/>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prohibited anchorage area</w:t>
      </w:r>
      <w:r>
        <w:t xml:space="preserve"> means an area of the port designated by notices or signs erected by the port authority as an area where a vessel is prohibited from anchoring.</w:t>
      </w:r>
    </w:p>
    <w:p>
      <w:pPr>
        <w:pStyle w:val="yHeading4"/>
      </w:pPr>
      <w:bookmarkStart w:id="723" w:name="_Toc408471931"/>
      <w:bookmarkStart w:id="724" w:name="_Toc416945576"/>
      <w:bookmarkStart w:id="725" w:name="_Toc416945915"/>
      <w:bookmarkStart w:id="726" w:name="_Toc416946199"/>
      <w:bookmarkStart w:id="727" w:name="_Toc417655769"/>
      <w:bookmarkStart w:id="728" w:name="_Toc461722196"/>
      <w:bookmarkStart w:id="729" w:name="_Toc461723843"/>
      <w:bookmarkStart w:id="730" w:name="_Toc493069595"/>
      <w:r>
        <w:t>Subdivision 3 — Control of moorings</w:t>
      </w:r>
      <w:bookmarkEnd w:id="723"/>
      <w:bookmarkEnd w:id="724"/>
      <w:bookmarkEnd w:id="725"/>
      <w:bookmarkEnd w:id="726"/>
      <w:bookmarkEnd w:id="727"/>
      <w:bookmarkEnd w:id="728"/>
      <w:bookmarkEnd w:id="729"/>
      <w:bookmarkEnd w:id="730"/>
    </w:p>
    <w:p>
      <w:pPr>
        <w:pStyle w:val="yHeading5"/>
      </w:pPr>
      <w:bookmarkStart w:id="731" w:name="_Toc408471932"/>
      <w:bookmarkStart w:id="732" w:name="_Toc493069596"/>
      <w:bookmarkStart w:id="733" w:name="_Toc461723844"/>
      <w:r>
        <w:rPr>
          <w:rStyle w:val="CharSClsNo"/>
        </w:rPr>
        <w:t>49</w:t>
      </w:r>
      <w:r>
        <w:t>.</w:t>
      </w:r>
      <w:r>
        <w:tab/>
        <w:t>Terms used</w:t>
      </w:r>
      <w:bookmarkEnd w:id="731"/>
      <w:bookmarkEnd w:id="732"/>
      <w:bookmarkEnd w:id="733"/>
    </w:p>
    <w:p>
      <w:pPr>
        <w:pStyle w:val="ySubsection"/>
        <w:keepNext/>
        <w:keepLines/>
        <w:spacing w:before="180"/>
      </w:pPr>
      <w:r>
        <w:tab/>
      </w:r>
      <w:r>
        <w:tab/>
        <w:t xml:space="preserve">In this Subdivision — </w:t>
      </w:r>
    </w:p>
    <w:p>
      <w:pPr>
        <w:pStyle w:val="yDefstart"/>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52.</w:t>
      </w:r>
    </w:p>
    <w:p>
      <w:pPr>
        <w:pStyle w:val="yHeading5"/>
      </w:pPr>
      <w:bookmarkStart w:id="734" w:name="_Toc408471933"/>
      <w:bookmarkStart w:id="735" w:name="_Toc493069597"/>
      <w:bookmarkStart w:id="736" w:name="_Toc461723845"/>
      <w:r>
        <w:rPr>
          <w:rStyle w:val="CharSClsNo"/>
        </w:rPr>
        <w:t>50</w:t>
      </w:r>
      <w:r>
        <w:t>.</w:t>
      </w:r>
      <w:r>
        <w:tab/>
        <w:t>Moorings not to be installed or used without authority</w:t>
      </w:r>
      <w:bookmarkEnd w:id="734"/>
      <w:bookmarkEnd w:id="735"/>
      <w:bookmarkEnd w:id="736"/>
    </w:p>
    <w:p>
      <w:pPr>
        <w:pStyle w:val="ySubsection"/>
      </w:pPr>
      <w:r>
        <w:tab/>
      </w:r>
      <w:r>
        <w:tab/>
        <w:t>Unless authorised by the harbour master under clause 52, a person must not install or use a mooring.</w:t>
      </w:r>
    </w:p>
    <w:p>
      <w:pPr>
        <w:pStyle w:val="yPenstart"/>
      </w:pPr>
      <w:r>
        <w:tab/>
        <w:t>Penalty: $5 000.</w:t>
      </w:r>
    </w:p>
    <w:p>
      <w:pPr>
        <w:pStyle w:val="yHeading5"/>
      </w:pPr>
      <w:bookmarkStart w:id="737" w:name="_Toc408471934"/>
      <w:bookmarkStart w:id="738" w:name="_Toc493069598"/>
      <w:bookmarkStart w:id="739" w:name="_Toc461723846"/>
      <w:r>
        <w:rPr>
          <w:rStyle w:val="CharSClsNo"/>
        </w:rPr>
        <w:t>51</w:t>
      </w:r>
      <w:r>
        <w:t>.</w:t>
      </w:r>
      <w:r>
        <w:tab/>
        <w:t>Application for authorisation to install or use mooring</w:t>
      </w:r>
      <w:bookmarkEnd w:id="737"/>
      <w:bookmarkEnd w:id="738"/>
      <w:bookmarkEnd w:id="739"/>
    </w:p>
    <w:p>
      <w:pPr>
        <w:pStyle w:val="ySubsection"/>
      </w:pPr>
      <w:r>
        <w:tab/>
        <w:t>(1)</w:t>
      </w:r>
      <w:r>
        <w:tab/>
        <w:t>A person may apply to the harbour master for authorisation to install or use a mooring.</w:t>
      </w:r>
    </w:p>
    <w:p>
      <w:pPr>
        <w:pStyle w:val="ySubsection"/>
        <w:keepNext/>
        <w:keepLines/>
      </w:pPr>
      <w:r>
        <w:tab/>
        <w:t>(2)</w:t>
      </w:r>
      <w:r>
        <w:tab/>
        <w:t xml:space="preserve">An application is to be made in the form approved by the harbour master setting out — </w:t>
      </w:r>
    </w:p>
    <w:p>
      <w:pPr>
        <w:pStyle w:val="yIndenta"/>
        <w:keepNext/>
        <w:keepLines/>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pPr>
      <w:bookmarkStart w:id="740" w:name="_Toc408471935"/>
      <w:bookmarkStart w:id="741" w:name="_Toc493069599"/>
      <w:bookmarkStart w:id="742" w:name="_Toc461723847"/>
      <w:r>
        <w:rPr>
          <w:rStyle w:val="CharSClsNo"/>
        </w:rPr>
        <w:t>52</w:t>
      </w:r>
      <w:r>
        <w:t>.</w:t>
      </w:r>
      <w:r>
        <w:tab/>
        <w:t>Authorisation of mooring</w:t>
      </w:r>
      <w:bookmarkEnd w:id="740"/>
      <w:bookmarkEnd w:id="741"/>
      <w:bookmarkEnd w:id="742"/>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743" w:name="_Toc408471936"/>
      <w:bookmarkStart w:id="744" w:name="_Toc493069600"/>
      <w:bookmarkStart w:id="745" w:name="_Toc461723848"/>
      <w:r>
        <w:rPr>
          <w:rStyle w:val="CharSClsNo"/>
        </w:rPr>
        <w:t>53</w:t>
      </w:r>
      <w:r>
        <w:t>.</w:t>
      </w:r>
      <w:r>
        <w:tab/>
        <w:t>Revoking authorisation of mooring</w:t>
      </w:r>
      <w:bookmarkEnd w:id="743"/>
      <w:bookmarkEnd w:id="744"/>
      <w:bookmarkEnd w:id="745"/>
    </w:p>
    <w:p>
      <w:pPr>
        <w:pStyle w:val="ySubsection"/>
        <w:keepNext/>
        <w:keepLines/>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pPr>
      <w:r>
        <w:tab/>
        <w:t>(2)</w:t>
      </w:r>
      <w:r>
        <w:tab/>
        <w:t>The revocation has effect when written notice of it is given to the mooring owner.</w:t>
      </w:r>
    </w:p>
    <w:p>
      <w:pPr>
        <w:pStyle w:val="yFootnotesection"/>
      </w:pPr>
      <w:r>
        <w:tab/>
        <w:t>[Clause 53 amended in Gazette 2 Oct 2007 p. 4972.]</w:t>
      </w:r>
    </w:p>
    <w:p>
      <w:pPr>
        <w:pStyle w:val="yHeading5"/>
      </w:pPr>
      <w:bookmarkStart w:id="746" w:name="_Toc408471937"/>
      <w:bookmarkStart w:id="747" w:name="_Toc493069601"/>
      <w:bookmarkStart w:id="748" w:name="_Toc461723849"/>
      <w:r>
        <w:rPr>
          <w:rStyle w:val="CharSClsNo"/>
        </w:rPr>
        <w:t>54</w:t>
      </w:r>
      <w:r>
        <w:t>.</w:t>
      </w:r>
      <w:r>
        <w:tab/>
        <w:t>Moorings to be maintained in good condition</w:t>
      </w:r>
      <w:bookmarkEnd w:id="746"/>
      <w:bookmarkEnd w:id="747"/>
      <w:bookmarkEnd w:id="748"/>
    </w:p>
    <w:p>
      <w:pPr>
        <w:pStyle w:val="ySubsection"/>
      </w:pPr>
      <w:r>
        <w:tab/>
        <w:t>(1)</w:t>
      </w:r>
      <w:r>
        <w:tab/>
        <w:t>A mooring owner must ensure that the mooring is maintained in good condition.</w:t>
      </w:r>
    </w:p>
    <w:p>
      <w:pPr>
        <w:pStyle w:val="ySubsection"/>
        <w:keepNext/>
        <w:keepLines/>
      </w:pPr>
      <w:r>
        <w:tab/>
        <w:t>(2)</w:t>
      </w:r>
      <w:r>
        <w:tab/>
        <w:t>A person who does not comply with subclause (1) commits an offence.</w:t>
      </w:r>
    </w:p>
    <w:p>
      <w:pPr>
        <w:pStyle w:val="yPenstart"/>
      </w:pPr>
      <w:r>
        <w:tab/>
        <w:t>Penalty: $2 000.</w:t>
      </w:r>
    </w:p>
    <w:p>
      <w:pPr>
        <w:pStyle w:val="yHeading5"/>
      </w:pPr>
      <w:bookmarkStart w:id="749" w:name="_Toc408471938"/>
      <w:bookmarkStart w:id="750" w:name="_Toc493069602"/>
      <w:bookmarkStart w:id="751" w:name="_Toc461723850"/>
      <w:r>
        <w:rPr>
          <w:rStyle w:val="CharSClsNo"/>
        </w:rPr>
        <w:t>55</w:t>
      </w:r>
      <w:r>
        <w:t>.</w:t>
      </w:r>
      <w:r>
        <w:tab/>
        <w:t>Floats on moorings</w:t>
      </w:r>
      <w:bookmarkEnd w:id="749"/>
      <w:bookmarkEnd w:id="750"/>
      <w:bookmarkEnd w:id="751"/>
    </w:p>
    <w:p>
      <w:pPr>
        <w:pStyle w:val="ySubsection"/>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pPr>
      <w:bookmarkStart w:id="752" w:name="_Toc408471939"/>
      <w:bookmarkStart w:id="753" w:name="_Toc493069603"/>
      <w:bookmarkStart w:id="754" w:name="_Toc461723851"/>
      <w:r>
        <w:rPr>
          <w:rStyle w:val="CharSClsNo"/>
        </w:rPr>
        <w:t>56</w:t>
      </w:r>
      <w:r>
        <w:t>.</w:t>
      </w:r>
      <w:r>
        <w:tab/>
        <w:t>Inspection reports for moorings</w:t>
      </w:r>
      <w:bookmarkEnd w:id="752"/>
      <w:bookmarkEnd w:id="753"/>
      <w:bookmarkEnd w:id="754"/>
    </w:p>
    <w:p>
      <w:pPr>
        <w:pStyle w:val="ySubsection"/>
      </w:pPr>
      <w:r>
        <w:tab/>
        <w:t>(1)</w:t>
      </w:r>
      <w:r>
        <w:tab/>
        <w:t>A person who is authorised to install a mooring under clause 52 is to obtain a written report on the condition of the mooring after it is installed.</w:t>
      </w:r>
    </w:p>
    <w:p>
      <w:pPr>
        <w:pStyle w:val="ySubsection"/>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pPr>
      <w:r>
        <w:tab/>
        <w:t>(5)</w:t>
      </w:r>
      <w:r>
        <w:tab/>
        <w:t>A mooring owner is liable for the costs of an inspection made or a report prepared under this clause.</w:t>
      </w:r>
    </w:p>
    <w:p>
      <w:pPr>
        <w:pStyle w:val="yHeading5"/>
        <w:spacing w:before="180"/>
      </w:pPr>
      <w:bookmarkStart w:id="755" w:name="_Toc408471940"/>
      <w:bookmarkStart w:id="756" w:name="_Toc493069604"/>
      <w:bookmarkStart w:id="757" w:name="_Toc461723852"/>
      <w:r>
        <w:rPr>
          <w:rStyle w:val="CharSClsNo"/>
        </w:rPr>
        <w:t>57</w:t>
      </w:r>
      <w:r>
        <w:t>.</w:t>
      </w:r>
      <w:r>
        <w:tab/>
      </w:r>
      <w:smartTag w:uri="urn:schemas-microsoft-com:office:smarttags" w:element="place">
        <w:smartTag w:uri="urn:schemas-microsoft-com:office:smarttags" w:element="City">
          <w:r>
            <w:t>Sale</w:t>
          </w:r>
        </w:smartTag>
      </w:smartTag>
      <w:r>
        <w:t xml:space="preserve"> or disposal of moorings</w:t>
      </w:r>
      <w:bookmarkEnd w:id="755"/>
      <w:bookmarkEnd w:id="756"/>
      <w:bookmarkEnd w:id="757"/>
    </w:p>
    <w:p>
      <w:pPr>
        <w:pStyle w:val="ySubsection"/>
      </w:pPr>
      <w:r>
        <w:tab/>
        <w:t>(1)</w:t>
      </w:r>
      <w:r>
        <w:tab/>
        <w:t>A mooring owner must notify the harbour master if the mooring is sold or otherwise disposed of.</w:t>
      </w:r>
    </w:p>
    <w:p>
      <w:pPr>
        <w:pStyle w:val="ySubsection"/>
      </w:pPr>
      <w:r>
        <w:tab/>
        <w:t>(2)</w:t>
      </w:r>
      <w:r>
        <w:tab/>
        <w:t>A person who does not comply with subclause (1) commits an offence.</w:t>
      </w:r>
    </w:p>
    <w:p>
      <w:pPr>
        <w:pStyle w:val="yPenstart"/>
      </w:pPr>
      <w:r>
        <w:tab/>
        <w:t>Penalty: $2 000.</w:t>
      </w:r>
    </w:p>
    <w:p>
      <w:pPr>
        <w:pStyle w:val="yHeading5"/>
        <w:spacing w:before="180"/>
      </w:pPr>
      <w:bookmarkStart w:id="758" w:name="_Toc408471941"/>
      <w:bookmarkStart w:id="759" w:name="_Toc493069605"/>
      <w:bookmarkStart w:id="760" w:name="_Toc461723853"/>
      <w:r>
        <w:rPr>
          <w:rStyle w:val="CharSClsNo"/>
        </w:rPr>
        <w:t>58</w:t>
      </w:r>
      <w:r>
        <w:t>.</w:t>
      </w:r>
      <w:r>
        <w:tab/>
        <w:t>Removal of moorings</w:t>
      </w:r>
      <w:bookmarkEnd w:id="758"/>
      <w:bookmarkEnd w:id="759"/>
      <w:bookmarkEnd w:id="760"/>
    </w:p>
    <w:p>
      <w:pPr>
        <w:pStyle w:val="ySubsection"/>
      </w:pPr>
      <w:r>
        <w:tab/>
      </w:r>
      <w:r>
        <w:tab/>
        <w:t>The harbour master may remove a mooring from the waters of the port if the harbour master is unable, after reasonable enquiries, to identify or find the mooring owner.</w:t>
      </w:r>
    </w:p>
    <w:p>
      <w:pPr>
        <w:pStyle w:val="yHeading4"/>
      </w:pPr>
      <w:bookmarkStart w:id="761" w:name="_Toc408471942"/>
      <w:bookmarkStart w:id="762" w:name="_Toc416945587"/>
      <w:bookmarkStart w:id="763" w:name="_Toc416945926"/>
      <w:bookmarkStart w:id="764" w:name="_Toc416946210"/>
      <w:bookmarkStart w:id="765" w:name="_Toc417655780"/>
      <w:bookmarkStart w:id="766" w:name="_Toc461722207"/>
      <w:bookmarkStart w:id="767" w:name="_Toc461723854"/>
      <w:bookmarkStart w:id="768" w:name="_Toc493069606"/>
      <w:r>
        <w:t>Subdivision 4 — Service providers’ licences</w:t>
      </w:r>
      <w:bookmarkEnd w:id="761"/>
      <w:bookmarkEnd w:id="762"/>
      <w:bookmarkEnd w:id="763"/>
      <w:bookmarkEnd w:id="764"/>
      <w:bookmarkEnd w:id="765"/>
      <w:bookmarkEnd w:id="766"/>
      <w:bookmarkEnd w:id="767"/>
      <w:bookmarkEnd w:id="768"/>
    </w:p>
    <w:p>
      <w:pPr>
        <w:pStyle w:val="yHeading5"/>
        <w:spacing w:before="180"/>
      </w:pPr>
      <w:bookmarkStart w:id="769" w:name="_Toc408471943"/>
      <w:bookmarkStart w:id="770" w:name="_Toc493069607"/>
      <w:bookmarkStart w:id="771" w:name="_Toc461723855"/>
      <w:r>
        <w:rPr>
          <w:rStyle w:val="CharSClsNo"/>
        </w:rPr>
        <w:t>59</w:t>
      </w:r>
      <w:r>
        <w:t>.</w:t>
      </w:r>
      <w:r>
        <w:tab/>
        <w:t>Term used: service provider’s licence</w:t>
      </w:r>
      <w:bookmarkEnd w:id="769"/>
      <w:bookmarkEnd w:id="770"/>
      <w:bookmarkEnd w:id="771"/>
    </w:p>
    <w:p>
      <w:pPr>
        <w:pStyle w:val="ySubsection"/>
        <w:spacing w:before="120"/>
      </w:pPr>
      <w:r>
        <w:tab/>
      </w:r>
      <w:r>
        <w:tab/>
        <w:t xml:space="preserve">In this Subdivision — </w:t>
      </w:r>
    </w:p>
    <w:p>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pPr>
        <w:pStyle w:val="yFootnotesection"/>
      </w:pPr>
      <w:r>
        <w:tab/>
        <w:t>[Clause 59 amended in Gazette 12 Jun 2007 p. 2686.]</w:t>
      </w:r>
    </w:p>
    <w:p>
      <w:pPr>
        <w:pStyle w:val="yHeading5"/>
        <w:spacing w:before="180"/>
      </w:pPr>
      <w:bookmarkStart w:id="772" w:name="_Toc408471944"/>
      <w:bookmarkStart w:id="773" w:name="_Toc493069608"/>
      <w:bookmarkStart w:id="774" w:name="_Toc461723856"/>
      <w:r>
        <w:rPr>
          <w:rStyle w:val="CharSClsNo"/>
        </w:rPr>
        <w:t>60</w:t>
      </w:r>
      <w:r>
        <w:t>.</w:t>
      </w:r>
      <w:r>
        <w:tab/>
        <w:t>Unlicensed persons not to provide certain services</w:t>
      </w:r>
      <w:bookmarkEnd w:id="772"/>
      <w:bookmarkEnd w:id="773"/>
      <w:bookmarkEnd w:id="774"/>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spacing w:before="80"/>
      </w:pPr>
      <w:r>
        <w:tab/>
        <w:t>[Clause 60 amended in Gazette 12 Jun 2007 p. 2686.]</w:t>
      </w:r>
    </w:p>
    <w:p>
      <w:pPr>
        <w:pStyle w:val="yHeading5"/>
      </w:pPr>
      <w:bookmarkStart w:id="775" w:name="_Toc408471945"/>
      <w:bookmarkStart w:id="776" w:name="_Toc493069609"/>
      <w:bookmarkStart w:id="777" w:name="_Toc461723857"/>
      <w:r>
        <w:rPr>
          <w:rStyle w:val="CharSClsNo"/>
        </w:rPr>
        <w:t>61</w:t>
      </w:r>
      <w:r>
        <w:t>.</w:t>
      </w:r>
      <w:r>
        <w:tab/>
        <w:t>Service providers’ licences</w:t>
      </w:r>
      <w:bookmarkEnd w:id="775"/>
      <w:bookmarkEnd w:id="776"/>
      <w:bookmarkEnd w:id="777"/>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61 amended in Gazette 12 Jun 2007 p. 2686</w:t>
      </w:r>
      <w:r>
        <w:noBreakHyphen/>
        <w:t>7.]</w:t>
      </w:r>
    </w:p>
    <w:p>
      <w:pPr>
        <w:pStyle w:val="yHeading4"/>
        <w:spacing w:before="180"/>
      </w:pPr>
      <w:bookmarkStart w:id="778" w:name="_Toc408471946"/>
      <w:bookmarkStart w:id="779" w:name="_Toc416945591"/>
      <w:bookmarkStart w:id="780" w:name="_Toc416945930"/>
      <w:bookmarkStart w:id="781" w:name="_Toc416946214"/>
      <w:bookmarkStart w:id="782" w:name="_Toc417655784"/>
      <w:bookmarkStart w:id="783" w:name="_Toc461722211"/>
      <w:bookmarkStart w:id="784" w:name="_Toc461723858"/>
      <w:bookmarkStart w:id="785" w:name="_Toc493069610"/>
      <w:r>
        <w:t>Subdivision 5 — Goods</w:t>
      </w:r>
      <w:bookmarkEnd w:id="778"/>
      <w:bookmarkEnd w:id="779"/>
      <w:bookmarkEnd w:id="780"/>
      <w:bookmarkEnd w:id="781"/>
      <w:bookmarkEnd w:id="782"/>
      <w:bookmarkEnd w:id="783"/>
      <w:bookmarkEnd w:id="784"/>
      <w:bookmarkEnd w:id="785"/>
    </w:p>
    <w:p>
      <w:pPr>
        <w:pStyle w:val="yHeading5"/>
        <w:rPr>
          <w:rStyle w:val="CharSClsNo"/>
        </w:rPr>
      </w:pPr>
      <w:bookmarkStart w:id="786" w:name="_Toc408471947"/>
      <w:bookmarkStart w:id="787" w:name="_Toc493069611"/>
      <w:bookmarkStart w:id="788" w:name="_Toc461723859"/>
      <w:r>
        <w:rPr>
          <w:rStyle w:val="CharSClsNo"/>
        </w:rPr>
        <w:t>62</w:t>
      </w:r>
      <w:r>
        <w:t>.</w:t>
      </w:r>
      <w:r>
        <w:rPr>
          <w:rStyle w:val="CharSClsNo"/>
        </w:rPr>
        <w:tab/>
      </w:r>
      <w:r>
        <w:t>Goods not to be placed on port facility etc. without authority</w:t>
      </w:r>
      <w:bookmarkEnd w:id="786"/>
      <w:bookmarkEnd w:id="787"/>
      <w:bookmarkEnd w:id="788"/>
    </w:p>
    <w:p>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1 m from a mooring point, hose connection or electrical fixture.</w:t>
      </w:r>
    </w:p>
    <w:p>
      <w:pPr>
        <w:pStyle w:val="yPenstart"/>
      </w:pPr>
      <w:r>
        <w:tab/>
        <w:t>Penalty: $5 000.</w:t>
      </w:r>
    </w:p>
    <w:p>
      <w:pPr>
        <w:pStyle w:val="yFootnotesection"/>
      </w:pPr>
      <w:r>
        <w:tab/>
        <w:t>[Clause 62 amended in Gazette 20 Jun 2014 p. 2033.]</w:t>
      </w:r>
    </w:p>
    <w:p>
      <w:pPr>
        <w:pStyle w:val="yHeading4"/>
        <w:spacing w:before="180"/>
      </w:pPr>
      <w:bookmarkStart w:id="789" w:name="_Toc408471948"/>
      <w:bookmarkStart w:id="790" w:name="_Toc416945593"/>
      <w:bookmarkStart w:id="791" w:name="_Toc416945932"/>
      <w:bookmarkStart w:id="792" w:name="_Toc416946216"/>
      <w:bookmarkStart w:id="793" w:name="_Toc417655786"/>
      <w:bookmarkStart w:id="794" w:name="_Toc461722213"/>
      <w:bookmarkStart w:id="795" w:name="_Toc461723860"/>
      <w:bookmarkStart w:id="796" w:name="_Toc493069612"/>
      <w:r>
        <w:t>Subdivision 6 — Miscellaneous</w:t>
      </w:r>
      <w:bookmarkEnd w:id="789"/>
      <w:bookmarkEnd w:id="790"/>
      <w:bookmarkEnd w:id="791"/>
      <w:bookmarkEnd w:id="792"/>
      <w:bookmarkEnd w:id="793"/>
      <w:bookmarkEnd w:id="794"/>
      <w:bookmarkEnd w:id="795"/>
      <w:bookmarkEnd w:id="796"/>
    </w:p>
    <w:p>
      <w:pPr>
        <w:pStyle w:val="yHeading5"/>
      </w:pPr>
      <w:bookmarkStart w:id="797" w:name="_Toc408471949"/>
      <w:bookmarkStart w:id="798" w:name="_Toc493069613"/>
      <w:bookmarkStart w:id="799" w:name="_Toc461723861"/>
      <w:r>
        <w:rPr>
          <w:rStyle w:val="CharSClsNo"/>
        </w:rPr>
        <w:t>63</w:t>
      </w:r>
      <w:r>
        <w:t>.</w:t>
      </w:r>
      <w:r>
        <w:tab/>
        <w:t>Damage to property to be reported to harbour master</w:t>
      </w:r>
      <w:bookmarkEnd w:id="797"/>
      <w:bookmarkEnd w:id="798"/>
      <w:bookmarkEnd w:id="799"/>
    </w:p>
    <w:p>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Footnotesection"/>
      </w:pPr>
      <w:r>
        <w:tab/>
        <w:t>[Clause 63 amended in Gazette 20 Jun 2014 p. 2033.]</w:t>
      </w:r>
    </w:p>
    <w:p>
      <w:pPr>
        <w:pStyle w:val="yHeading5"/>
      </w:pPr>
      <w:bookmarkStart w:id="800" w:name="_Toc408471950"/>
      <w:bookmarkStart w:id="801" w:name="_Toc493069614"/>
      <w:bookmarkStart w:id="802" w:name="_Toc461723862"/>
      <w:r>
        <w:rPr>
          <w:rStyle w:val="CharSClsNo"/>
        </w:rPr>
        <w:t>64</w:t>
      </w:r>
      <w:r>
        <w:t>.</w:t>
      </w:r>
      <w:r>
        <w:tab/>
        <w:t>Unauthorised entry of closed areas of port</w:t>
      </w:r>
      <w:bookmarkEnd w:id="800"/>
      <w:bookmarkEnd w:id="801"/>
      <w:bookmarkEnd w:id="802"/>
    </w:p>
    <w:p>
      <w:pPr>
        <w:pStyle w:val="ySubsection"/>
      </w:pPr>
      <w:r>
        <w:tab/>
      </w:r>
      <w:r>
        <w:tab/>
        <w:t>Unless authorised by the harbour master, a person must not enter any of the following in the port that is closed by the port authority and designated by notices or signs erected by the port authority as being closed —</w:t>
      </w:r>
    </w:p>
    <w:p>
      <w:pPr>
        <w:pStyle w:val="yIndenta"/>
      </w:pPr>
      <w:r>
        <w:tab/>
        <w:t>(a)</w:t>
      </w:r>
      <w:r>
        <w:tab/>
        <w:t>an area of the port;</w:t>
      </w:r>
    </w:p>
    <w:p>
      <w:pPr>
        <w:pStyle w:val="yIndenta"/>
      </w:pPr>
      <w:r>
        <w:tab/>
        <w:t>(b)</w:t>
      </w:r>
      <w:r>
        <w:tab/>
        <w:t>a port facility;</w:t>
      </w:r>
    </w:p>
    <w:p>
      <w:pPr>
        <w:pStyle w:val="yIndenta"/>
      </w:pPr>
      <w:r>
        <w:tab/>
        <w:t>(c)</w:t>
      </w:r>
      <w:r>
        <w:tab/>
        <w:t>a wharf, or an area of a wharf, operated by the port authority.</w:t>
      </w:r>
    </w:p>
    <w:p>
      <w:pPr>
        <w:pStyle w:val="yPenstart"/>
      </w:pPr>
      <w:r>
        <w:tab/>
        <w:t>Penalty: a fine of $2 000.</w:t>
      </w:r>
    </w:p>
    <w:p>
      <w:pPr>
        <w:pStyle w:val="yFootnotesection"/>
      </w:pPr>
      <w:r>
        <w:tab/>
        <w:t>[Clause 64 inserted in Gazette 20 Jun 2014 p. 2033</w:t>
      </w:r>
      <w:r>
        <w:noBreakHyphen/>
        <w:t>4.]</w:t>
      </w:r>
    </w:p>
    <w:p>
      <w:pPr>
        <w:pStyle w:val="yHeading3"/>
        <w:rPr>
          <w:rStyle w:val="CharSDivText"/>
        </w:rPr>
      </w:pPr>
      <w:bookmarkStart w:id="803" w:name="_Toc408471951"/>
      <w:bookmarkStart w:id="804" w:name="_Toc416945596"/>
      <w:bookmarkStart w:id="805" w:name="_Toc416945935"/>
      <w:bookmarkStart w:id="806" w:name="_Toc416946219"/>
      <w:bookmarkStart w:id="807" w:name="_Toc417655789"/>
      <w:bookmarkStart w:id="808" w:name="_Toc461722216"/>
      <w:bookmarkStart w:id="809" w:name="_Toc461723863"/>
      <w:bookmarkStart w:id="810" w:name="_Toc493069615"/>
      <w:r>
        <w:rPr>
          <w:rStyle w:val="CharSDivNo"/>
        </w:rPr>
        <w:t>Division 4A</w:t>
      </w:r>
      <w:r>
        <w:t> — </w:t>
      </w:r>
      <w:r>
        <w:rPr>
          <w:rStyle w:val="CharSDivText"/>
        </w:rPr>
        <w:t>Port of Esperance</w:t>
      </w:r>
      <w:bookmarkEnd w:id="803"/>
      <w:bookmarkEnd w:id="804"/>
      <w:bookmarkEnd w:id="805"/>
      <w:bookmarkEnd w:id="806"/>
      <w:bookmarkEnd w:id="807"/>
      <w:bookmarkEnd w:id="808"/>
      <w:bookmarkEnd w:id="809"/>
      <w:bookmarkEnd w:id="810"/>
    </w:p>
    <w:p>
      <w:pPr>
        <w:pStyle w:val="yFootnoteheading"/>
      </w:pPr>
      <w:r>
        <w:tab/>
        <w:t>[Heading inserted in Gazette 20 Jun 2014 p. 2034.]</w:t>
      </w:r>
    </w:p>
    <w:p>
      <w:pPr>
        <w:pStyle w:val="yHeading5"/>
      </w:pPr>
      <w:bookmarkStart w:id="811" w:name="_Toc408471952"/>
      <w:bookmarkStart w:id="812" w:name="_Toc493069616"/>
      <w:bookmarkStart w:id="813" w:name="_Toc461723864"/>
      <w:r>
        <w:rPr>
          <w:rStyle w:val="CharSClsNo"/>
        </w:rPr>
        <w:t>64A</w:t>
      </w:r>
      <w:r>
        <w:t>.</w:t>
      </w:r>
      <w:r>
        <w:tab/>
        <w:t>Application of this Division</w:t>
      </w:r>
      <w:bookmarkEnd w:id="811"/>
      <w:bookmarkEnd w:id="812"/>
      <w:bookmarkEnd w:id="813"/>
    </w:p>
    <w:p>
      <w:pPr>
        <w:pStyle w:val="ySubsection"/>
      </w:pPr>
      <w:r>
        <w:tab/>
      </w:r>
      <w:r>
        <w:tab/>
        <w:t xml:space="preserve">This Division applies to the </w:t>
      </w:r>
      <w:smartTag w:uri="urn:schemas-microsoft-com:office:smarttags" w:element="PlaceType">
        <w:r>
          <w:t>Port</w:t>
        </w:r>
      </w:smartTag>
      <w:r>
        <w:t xml:space="preserve"> of Esperance and the Southern Ports Authority.</w:t>
      </w:r>
    </w:p>
    <w:p>
      <w:pPr>
        <w:pStyle w:val="yFootnotesection"/>
      </w:pPr>
      <w:r>
        <w:tab/>
        <w:t>[Clause 64A inserted in Gazette 19 Sep 2014 p. 3343.]</w:t>
      </w:r>
    </w:p>
    <w:p>
      <w:pPr>
        <w:pStyle w:val="yHeading5"/>
      </w:pPr>
      <w:bookmarkStart w:id="814" w:name="_Toc408471953"/>
      <w:bookmarkStart w:id="815" w:name="_Toc493069617"/>
      <w:bookmarkStart w:id="816" w:name="_Toc461723865"/>
      <w:r>
        <w:rPr>
          <w:rStyle w:val="CharSClsNo"/>
        </w:rPr>
        <w:t>64AA</w:t>
      </w:r>
      <w:r>
        <w:t>.</w:t>
      </w:r>
      <w:r>
        <w:tab/>
        <w:t>Term used: service provider’s licence</w:t>
      </w:r>
      <w:bookmarkEnd w:id="814"/>
      <w:bookmarkEnd w:id="815"/>
      <w:bookmarkEnd w:id="816"/>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pPr>
        <w:pStyle w:val="yFootnotesection"/>
      </w:pPr>
      <w:r>
        <w:tab/>
        <w:t>[Clause 64AA inserted in Gazette 12 Jun 2007 p. 2687.]</w:t>
      </w:r>
    </w:p>
    <w:p>
      <w:pPr>
        <w:pStyle w:val="yHeading5"/>
      </w:pPr>
      <w:bookmarkStart w:id="817" w:name="_Toc408471954"/>
      <w:bookmarkStart w:id="818" w:name="_Toc493069618"/>
      <w:bookmarkStart w:id="819" w:name="_Toc461723866"/>
      <w:r>
        <w:rPr>
          <w:rStyle w:val="CharSClsNo"/>
        </w:rPr>
        <w:t>64B</w:t>
      </w:r>
      <w:r>
        <w:t>.</w:t>
      </w:r>
      <w:r>
        <w:tab/>
        <w:t>Fishing vessels not to berth at berth 1, 2 or 3 without authority</w:t>
      </w:r>
      <w:bookmarkEnd w:id="817"/>
      <w:bookmarkEnd w:id="818"/>
      <w:bookmarkEnd w:id="819"/>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pPr>
      <w:bookmarkStart w:id="820" w:name="_Toc408471955"/>
      <w:bookmarkStart w:id="821" w:name="_Toc493069619"/>
      <w:bookmarkStart w:id="822" w:name="_Toc461723867"/>
      <w:r>
        <w:rPr>
          <w:rStyle w:val="CharSClsNo"/>
        </w:rPr>
        <w:t>64C</w:t>
      </w:r>
      <w:r>
        <w:t>.</w:t>
      </w:r>
      <w:r>
        <w:tab/>
        <w:t>Vessel not to be moored etc. without authority</w:t>
      </w:r>
      <w:bookmarkEnd w:id="820"/>
      <w:bookmarkEnd w:id="821"/>
      <w:bookmarkEnd w:id="822"/>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pPr>
      <w:bookmarkStart w:id="823" w:name="_Toc408471956"/>
      <w:bookmarkStart w:id="824" w:name="_Toc493069620"/>
      <w:bookmarkStart w:id="825" w:name="_Toc461723868"/>
      <w:r>
        <w:rPr>
          <w:rStyle w:val="CharSClsNo"/>
        </w:rPr>
        <w:t>64D</w:t>
      </w:r>
      <w:r>
        <w:t>.</w:t>
      </w:r>
      <w:r>
        <w:tab/>
        <w:t>Fishing gear not to be put in port waters without authority</w:t>
      </w:r>
      <w:bookmarkEnd w:id="823"/>
      <w:bookmarkEnd w:id="824"/>
      <w:bookmarkEnd w:id="825"/>
      <w:r>
        <w:t xml:space="preserve"> </w:t>
      </w:r>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5"/>
      </w:pPr>
      <w:bookmarkStart w:id="826" w:name="_Toc408471957"/>
      <w:bookmarkStart w:id="827" w:name="_Toc493069621"/>
      <w:bookmarkStart w:id="828" w:name="_Toc461723869"/>
      <w:r>
        <w:rPr>
          <w:rStyle w:val="CharSClsNo"/>
        </w:rPr>
        <w:t>64E</w:t>
      </w:r>
      <w:r>
        <w:t>.</w:t>
      </w:r>
      <w:r>
        <w:tab/>
        <w:t>Unlicensed persons not to provide certain services</w:t>
      </w:r>
      <w:bookmarkEnd w:id="826"/>
      <w:bookmarkEnd w:id="827"/>
      <w:bookmarkEnd w:id="828"/>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in Gazette 12 Jun 2007 p. 2687</w:t>
      </w:r>
      <w:r>
        <w:noBreakHyphen/>
        <w:t>8.]</w:t>
      </w:r>
    </w:p>
    <w:p>
      <w:pPr>
        <w:pStyle w:val="yHeading5"/>
      </w:pPr>
      <w:bookmarkStart w:id="829" w:name="_Toc408471958"/>
      <w:bookmarkStart w:id="830" w:name="_Toc493069622"/>
      <w:bookmarkStart w:id="831" w:name="_Toc461723870"/>
      <w:r>
        <w:rPr>
          <w:rStyle w:val="CharSClsNo"/>
        </w:rPr>
        <w:t>64F</w:t>
      </w:r>
      <w:r>
        <w:t>.</w:t>
      </w:r>
      <w:r>
        <w:tab/>
        <w:t>Service providers’ licences</w:t>
      </w:r>
      <w:bookmarkEnd w:id="829"/>
      <w:bookmarkEnd w:id="830"/>
      <w:bookmarkEnd w:id="831"/>
    </w:p>
    <w:p>
      <w:pPr>
        <w:pStyle w:val="ySubsection"/>
        <w:spacing w:before="180"/>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spacing w:before="180"/>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spacing w:before="120"/>
      </w:pPr>
      <w:r>
        <w:tab/>
        <w:t>(3)</w:t>
      </w:r>
      <w:r>
        <w:tab/>
        <w:t xml:space="preserve">A service provider’s licence has effect in relation to the provision of the service, and for the period, set out in the licence subject to — </w:t>
      </w:r>
    </w:p>
    <w:p>
      <w:pPr>
        <w:pStyle w:val="yIndenta"/>
        <w:spacing w:before="100"/>
      </w:pPr>
      <w:r>
        <w:tab/>
        <w:t>(a)</w:t>
      </w:r>
      <w:r>
        <w:tab/>
        <w:t>annual payment to the port authority, by the person who is granted or holds the licence, of an amount determined by the port authority that is not more than $10 000 per annum; and</w:t>
      </w:r>
    </w:p>
    <w:p>
      <w:pPr>
        <w:pStyle w:val="yIndenta"/>
        <w:spacing w:before="100"/>
      </w:pPr>
      <w:r>
        <w:tab/>
        <w:t>(b)</w:t>
      </w:r>
      <w:r>
        <w:tab/>
        <w:t>any conditions or restrictions that the port authority imposes and sets out in the licence.</w:t>
      </w:r>
    </w:p>
    <w:p>
      <w:pPr>
        <w:pStyle w:val="ySubsection"/>
        <w:spacing w:before="180"/>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spacing w:before="100"/>
      </w:pPr>
      <w:r>
        <w:tab/>
        <w:t>(a)</w:t>
      </w:r>
      <w:r>
        <w:tab/>
        <w:t>suspend the operation of the licence for any period that the port authority considers appropriate; or</w:t>
      </w:r>
    </w:p>
    <w:p>
      <w:pPr>
        <w:pStyle w:val="yIndenta"/>
        <w:spacing w:before="100"/>
      </w:pPr>
      <w:r>
        <w:tab/>
        <w:t>(b)</w:t>
      </w:r>
      <w:r>
        <w:tab/>
        <w:t>cancel the licence.</w:t>
      </w:r>
    </w:p>
    <w:p>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80"/>
      </w:pPr>
      <w:r>
        <w:tab/>
        <w:t>(6)</w:t>
      </w:r>
      <w:r>
        <w:tab/>
        <w:t>A notice under subclause (4) has effect on the day on which the person who holds the service provider’s licence is given the notice or on any later day specified in the notice.</w:t>
      </w:r>
    </w:p>
    <w:p>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80"/>
      </w:pPr>
      <w:r>
        <w:tab/>
        <w:t>(8)</w:t>
      </w:r>
      <w:r>
        <w:tab/>
        <w:t>A person who does not comply with subclause (7) commits an offence.</w:t>
      </w:r>
    </w:p>
    <w:p>
      <w:pPr>
        <w:pStyle w:val="yPenstart"/>
      </w:pPr>
      <w:r>
        <w:tab/>
        <w:t>Penalty: $2 000.</w:t>
      </w:r>
    </w:p>
    <w:p>
      <w:pPr>
        <w:pStyle w:val="yFootnotesection"/>
      </w:pPr>
      <w:r>
        <w:tab/>
        <w:t>[Clause 64F inserted in Gazette 12 Jun 2007 p. 2688</w:t>
      </w:r>
      <w:r>
        <w:noBreakHyphen/>
        <w:t>9.]</w:t>
      </w:r>
    </w:p>
    <w:p>
      <w:pPr>
        <w:pStyle w:val="yHeading3"/>
        <w:pageBreakBefore/>
        <w:spacing w:before="0"/>
        <w:rPr>
          <w:rStyle w:val="CharSDivText"/>
        </w:rPr>
      </w:pPr>
      <w:bookmarkStart w:id="832" w:name="_Toc408471959"/>
      <w:bookmarkStart w:id="833" w:name="_Toc416945604"/>
      <w:bookmarkStart w:id="834" w:name="_Toc416945943"/>
      <w:bookmarkStart w:id="835" w:name="_Toc416946227"/>
      <w:bookmarkStart w:id="836" w:name="_Toc417655797"/>
      <w:bookmarkStart w:id="837" w:name="_Toc461722224"/>
      <w:bookmarkStart w:id="838" w:name="_Toc461723871"/>
      <w:bookmarkStart w:id="839" w:name="_Toc493069623"/>
      <w:r>
        <w:rPr>
          <w:rStyle w:val="CharSDivNo"/>
        </w:rPr>
        <w:t>Division 5</w:t>
      </w:r>
      <w:r>
        <w:t> — </w:t>
      </w:r>
      <w:r>
        <w:rPr>
          <w:rStyle w:val="CharSDivText"/>
        </w:rPr>
        <w:t>Port of Fremantle</w:t>
      </w:r>
      <w:bookmarkEnd w:id="832"/>
      <w:bookmarkEnd w:id="833"/>
      <w:bookmarkEnd w:id="834"/>
      <w:bookmarkEnd w:id="835"/>
      <w:bookmarkEnd w:id="836"/>
      <w:bookmarkEnd w:id="837"/>
      <w:bookmarkEnd w:id="838"/>
      <w:bookmarkEnd w:id="839"/>
    </w:p>
    <w:p>
      <w:pPr>
        <w:pStyle w:val="yFootnoteheading"/>
      </w:pPr>
      <w:r>
        <w:tab/>
        <w:t>[Heading inserted in Gazette 20 Jun 2014 p. 2034.]</w:t>
      </w:r>
    </w:p>
    <w:p>
      <w:pPr>
        <w:pStyle w:val="yHeading4"/>
        <w:keepNext w:val="0"/>
        <w:spacing w:before="200"/>
      </w:pPr>
      <w:bookmarkStart w:id="840" w:name="_Toc408471960"/>
      <w:bookmarkStart w:id="841" w:name="_Toc416945605"/>
      <w:bookmarkStart w:id="842" w:name="_Toc416945944"/>
      <w:bookmarkStart w:id="843" w:name="_Toc416946228"/>
      <w:bookmarkStart w:id="844" w:name="_Toc417655798"/>
      <w:bookmarkStart w:id="845" w:name="_Toc461722225"/>
      <w:bookmarkStart w:id="846" w:name="_Toc461723872"/>
      <w:bookmarkStart w:id="847" w:name="_Toc493069624"/>
      <w:r>
        <w:t>Subdivision 1 — General matters</w:t>
      </w:r>
      <w:bookmarkEnd w:id="840"/>
      <w:bookmarkEnd w:id="841"/>
      <w:bookmarkEnd w:id="842"/>
      <w:bookmarkEnd w:id="843"/>
      <w:bookmarkEnd w:id="844"/>
      <w:bookmarkEnd w:id="845"/>
      <w:bookmarkEnd w:id="846"/>
      <w:bookmarkEnd w:id="847"/>
    </w:p>
    <w:p>
      <w:pPr>
        <w:pStyle w:val="yHeading5"/>
        <w:keepNext w:val="0"/>
        <w:keepLines w:val="0"/>
      </w:pPr>
      <w:bookmarkStart w:id="848" w:name="_Toc408471961"/>
      <w:bookmarkStart w:id="849" w:name="_Toc493069625"/>
      <w:bookmarkStart w:id="850" w:name="_Toc461723873"/>
      <w:r>
        <w:rPr>
          <w:rStyle w:val="CharSClsNo"/>
        </w:rPr>
        <w:t>65</w:t>
      </w:r>
      <w:r>
        <w:t>.</w:t>
      </w:r>
      <w:r>
        <w:tab/>
        <w:t>Application of this Division</w:t>
      </w:r>
      <w:bookmarkEnd w:id="848"/>
      <w:bookmarkEnd w:id="849"/>
      <w:bookmarkEnd w:id="850"/>
    </w:p>
    <w:p>
      <w:pPr>
        <w:pStyle w:val="ySubsection"/>
      </w:pPr>
      <w:r>
        <w:tab/>
      </w:r>
      <w:r>
        <w:tab/>
        <w:t xml:space="preserve">This Division applies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yHeading5"/>
      </w:pPr>
      <w:bookmarkStart w:id="851" w:name="_Toc408471962"/>
      <w:bookmarkStart w:id="852" w:name="_Toc493069626"/>
      <w:bookmarkStart w:id="853" w:name="_Toc461723874"/>
      <w:r>
        <w:rPr>
          <w:rStyle w:val="CharSClsNo"/>
        </w:rPr>
        <w:t>66</w:t>
      </w:r>
      <w:r>
        <w:t>.</w:t>
      </w:r>
      <w:r>
        <w:tab/>
        <w:t>Terms used</w:t>
      </w:r>
      <w:bookmarkEnd w:id="851"/>
      <w:bookmarkEnd w:id="852"/>
      <w:bookmarkEnd w:id="853"/>
    </w:p>
    <w:p>
      <w:pPr>
        <w:pStyle w:val="ySubsection"/>
      </w:pPr>
      <w:r>
        <w:tab/>
      </w:r>
      <w:r>
        <w:tab/>
        <w:t xml:space="preserve">In this </w:t>
      </w:r>
      <w:r>
        <w:rPr>
          <w:szCs w:val="22"/>
        </w:rPr>
        <w:t>Division —</w:t>
      </w:r>
    </w:p>
    <w:p>
      <w:pPr>
        <w:pStyle w:val="yDefstart"/>
      </w:pPr>
      <w:r>
        <w:tab/>
      </w:r>
      <w:r>
        <w:rPr>
          <w:rStyle w:val="CharDefText"/>
        </w:rPr>
        <w:t>department</w:t>
      </w:r>
      <w:r>
        <w:t xml:space="preserve"> means the department of the Public Service principally assisting the Minister in the administration of the Marine Act;</w:t>
      </w:r>
    </w:p>
    <w:p>
      <w:pPr>
        <w:pStyle w:val="yDefstart"/>
      </w:pPr>
      <w:r>
        <w:tab/>
      </w:r>
      <w:r>
        <w:rPr>
          <w:rStyle w:val="CharDefText"/>
        </w:rPr>
        <w:t>Inner Harbour</w:t>
      </w:r>
      <w:r>
        <w:t xml:space="preserve"> means the area of the port the boundaries of which are delineated on Plan 19473, deposited with the Western Australian Land Information Authority established by the </w:t>
      </w:r>
      <w:r>
        <w:rPr>
          <w:i/>
          <w:iCs/>
        </w:rPr>
        <w:t>Land Information Authority Act 2006</w:t>
      </w:r>
      <w:r>
        <w:t xml:space="preserve"> section 5;</w:t>
      </w:r>
    </w:p>
    <w:p>
      <w:pPr>
        <w:pStyle w:val="yDefstart"/>
      </w:pPr>
      <w:r>
        <w:tab/>
      </w:r>
      <w:smartTag w:uri="urn:schemas-microsoft-com:office:smarttags" w:element="place">
        <w:smartTag w:uri="urn:schemas-microsoft-com:office:smarttags" w:element="PlaceName">
          <w:r>
            <w:rPr>
              <w:rStyle w:val="CharDefText"/>
            </w:rPr>
            <w:t>Outer</w:t>
          </w:r>
        </w:smartTag>
        <w:r>
          <w:rPr>
            <w:rStyle w:val="CharDefText"/>
          </w:rPr>
          <w:t xml:space="preserve"> </w:t>
        </w:r>
        <w:smartTag w:uri="urn:schemas-microsoft-com:office:smarttags" w:element="PlaceType">
          <w:r>
            <w:rPr>
              <w:rStyle w:val="CharDefText"/>
            </w:rPr>
            <w:t>Harbour</w:t>
          </w:r>
        </w:smartTag>
      </w:smartTag>
      <w:r>
        <w:t xml:space="preserve"> means the area of the port described in clause 72(4).</w:t>
      </w:r>
    </w:p>
    <w:p>
      <w:pPr>
        <w:pStyle w:val="yFootnotesection"/>
      </w:pPr>
      <w:r>
        <w:tab/>
        <w:t xml:space="preserve">[Clause 66 amended in Gazette 4 Jun 2010 p. 2480; </w:t>
      </w:r>
      <w:r>
        <w:rPr>
          <w:rStyle w:val="CharDivNo"/>
        </w:rPr>
        <w:t>20 Jun 2014 p. </w:t>
      </w:r>
      <w:r>
        <w:t>2034.]</w:t>
      </w:r>
    </w:p>
    <w:p>
      <w:pPr>
        <w:pStyle w:val="yHeading5"/>
      </w:pPr>
      <w:bookmarkStart w:id="854" w:name="_Toc408471963"/>
      <w:bookmarkStart w:id="855" w:name="_Toc493069627"/>
      <w:bookmarkStart w:id="856" w:name="_Toc461723875"/>
      <w:r>
        <w:rPr>
          <w:rStyle w:val="CharSClsNo"/>
        </w:rPr>
        <w:t>67</w:t>
      </w:r>
      <w:r>
        <w:t>.</w:t>
      </w:r>
      <w:r>
        <w:tab/>
        <w:t>Signal station, position of</w:t>
      </w:r>
      <w:bookmarkEnd w:id="854"/>
      <w:bookmarkEnd w:id="855"/>
      <w:bookmarkEnd w:id="856"/>
    </w:p>
    <w:p>
      <w:pPr>
        <w:pStyle w:val="ySubsection"/>
      </w:pPr>
      <w:r>
        <w:tab/>
      </w:r>
      <w:r>
        <w:tab/>
        <w:t>The signal station for the port is on the port authority’s building located at latitude 32° 3′ 20″ south and longitude 115° 44′ 23″ east.</w:t>
      </w:r>
    </w:p>
    <w:p>
      <w:pPr>
        <w:pStyle w:val="yHeading5"/>
      </w:pPr>
      <w:bookmarkStart w:id="857" w:name="_Toc408471964"/>
      <w:bookmarkStart w:id="858" w:name="_Toc493069628"/>
      <w:bookmarkStart w:id="859" w:name="_Toc461723876"/>
      <w:r>
        <w:rPr>
          <w:rStyle w:val="CharSClsNo"/>
        </w:rPr>
        <w:t>68</w:t>
      </w:r>
      <w:r>
        <w:t>.</w:t>
      </w:r>
      <w:r>
        <w:tab/>
        <w:t>Inner Harbour Entrance Channel, duties of masters of small vessels entering</w:t>
      </w:r>
      <w:bookmarkEnd w:id="857"/>
      <w:bookmarkEnd w:id="858"/>
      <w:bookmarkEnd w:id="859"/>
    </w:p>
    <w:p>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 and</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rStyle w:val="CharDefText"/>
        </w:rPr>
        <w:t>small vessel</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pPr>
      <w:bookmarkStart w:id="860" w:name="_Toc408471965"/>
      <w:bookmarkStart w:id="861" w:name="_Toc493069629"/>
      <w:bookmarkStart w:id="862" w:name="_Toc461723877"/>
      <w:r>
        <w:rPr>
          <w:rStyle w:val="CharSClsNo"/>
        </w:rPr>
        <w:t>69</w:t>
      </w:r>
      <w:r>
        <w:t>.</w:t>
      </w:r>
      <w:r>
        <w:tab/>
        <w:t>Notice of arrival at port</w:t>
      </w:r>
      <w:bookmarkEnd w:id="860"/>
      <w:bookmarkEnd w:id="861"/>
      <w:bookmarkEnd w:id="862"/>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 and</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 xml:space="preserve">of 11 m or more is 3 nautical miles </w:t>
      </w:r>
      <w:smartTag w:uri="urn:schemas-microsoft-com:office:smarttags" w:element="place">
        <w:smartTag w:uri="urn:schemas-microsoft-com:office:smarttags" w:element="State">
          <w:r>
            <w:t>north west</w:t>
          </w:r>
        </w:smartTag>
      </w:smartTag>
      <w:r>
        <w:t xml:space="preserve">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spacing w:before="180"/>
      </w:pPr>
      <w:bookmarkStart w:id="863" w:name="_Toc408471966"/>
      <w:bookmarkStart w:id="864" w:name="_Toc493069630"/>
      <w:bookmarkStart w:id="865" w:name="_Toc461723878"/>
      <w:r>
        <w:rPr>
          <w:rStyle w:val="CharSClsNo"/>
        </w:rPr>
        <w:t>70</w:t>
      </w:r>
      <w:r>
        <w:t>.</w:t>
      </w:r>
      <w:r>
        <w:tab/>
        <w:t>Notice of dangerous cargoes</w:t>
      </w:r>
      <w:bookmarkEnd w:id="863"/>
      <w:bookmarkEnd w:id="864"/>
      <w:bookmarkEnd w:id="865"/>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 </w:t>
      </w:r>
      <w:r>
        <w:rPr>
          <w:vertAlign w:val="superscript"/>
        </w:rPr>
        <w:t>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vertAlign w:val="superscript"/>
        </w:rPr>
        <w:t> 5</w:t>
      </w:r>
      <w:r>
        <w:t>.</w:t>
      </w:r>
    </w:p>
    <w:p>
      <w:pPr>
        <w:pStyle w:val="yHeading5"/>
        <w:spacing w:before="180"/>
      </w:pPr>
      <w:bookmarkStart w:id="866" w:name="_Toc408471967"/>
      <w:bookmarkStart w:id="867" w:name="_Toc493069631"/>
      <w:bookmarkStart w:id="868" w:name="_Toc461723879"/>
      <w:r>
        <w:rPr>
          <w:rStyle w:val="CharSClsNo"/>
        </w:rPr>
        <w:t>71</w:t>
      </w:r>
      <w:r>
        <w:t>.</w:t>
      </w:r>
      <w:r>
        <w:tab/>
        <w:t>Where vessel is to be anchored on entering port</w:t>
      </w:r>
      <w:bookmarkEnd w:id="866"/>
      <w:bookmarkEnd w:id="867"/>
      <w:bookmarkEnd w:id="868"/>
    </w:p>
    <w:p>
      <w:pPr>
        <w:pStyle w:val="ySubsection"/>
      </w:pPr>
      <w:r>
        <w:tab/>
        <w:t>(1)</w:t>
      </w:r>
      <w:r>
        <w:tab/>
        <w:t>Subject to subclauses (2) and (3) and clause 72, the master of a vessel that enters the port is to anchor the vessel in Gage Roads, south of latitude 32° 01′ south.</w:t>
      </w:r>
    </w:p>
    <w:p>
      <w:pPr>
        <w:pStyle w:val="ySubsection"/>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pPr>
      <w:bookmarkStart w:id="869" w:name="_Toc408471968"/>
      <w:bookmarkStart w:id="870" w:name="_Toc493069632"/>
      <w:bookmarkStart w:id="871" w:name="_Toc461723880"/>
      <w:r>
        <w:rPr>
          <w:rStyle w:val="CharSClsNo"/>
        </w:rPr>
        <w:t>72</w:t>
      </w:r>
      <w:r>
        <w:t>.</w:t>
      </w:r>
      <w:r>
        <w:tab/>
        <w:t>Vessels not to enter certain areas of port</w:t>
      </w:r>
      <w:bookmarkEnd w:id="869"/>
      <w:bookmarkEnd w:id="870"/>
      <w:bookmarkEnd w:id="871"/>
    </w:p>
    <w:p>
      <w:pPr>
        <w:pStyle w:val="ySubsection"/>
      </w:pPr>
      <w:r>
        <w:tab/>
        <w:t>(1)</w:t>
      </w:r>
      <w:r>
        <w:tab/>
        <w:t xml:space="preserve">Unless the vessel is being moved into or out of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the master of a vessel must not cause or permit the vessel to enter the area of the port to which subclause (2) applies.</w:t>
      </w:r>
    </w:p>
    <w:p>
      <w:pPr>
        <w:pStyle w:val="yPenstart"/>
      </w:pPr>
      <w:r>
        <w:tab/>
        <w:t>Penalty: $5 000.</w:t>
      </w:r>
    </w:p>
    <w:p>
      <w:pPr>
        <w:pStyle w:val="ySubsection"/>
      </w:pPr>
      <w:r>
        <w:tab/>
        <w:t>(2)</w:t>
      </w:r>
      <w:r>
        <w:tab/>
        <w:t>This subclause applies to the area of the port bounded by lines starting from the light tower on the North Mole and extending on a bearing of 286½° for 2.3 nautical miles; then on a bearing of 180° for 1.2 nautical miles; then on a bearing of 80½° for 2.65 nautical miles to the light tower on the South Mole.</w:t>
      </w:r>
    </w:p>
    <w:p>
      <w:pPr>
        <w:pStyle w:val="ySubsection"/>
      </w:pPr>
      <w:r>
        <w:tab/>
        <w:t>(3)</w:t>
      </w:r>
      <w:r>
        <w:tab/>
        <w:t xml:space="preserve">Unless authorised by the port authority, the master of a vessel must not cause or permit the vessel to enter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to which subclause (4) applies.</w:t>
      </w:r>
    </w:p>
    <w:p>
      <w:pPr>
        <w:pStyle w:val="yPenstart"/>
      </w:pPr>
      <w:r>
        <w:tab/>
        <w:t>Penalty: $5 000.</w:t>
      </w:r>
    </w:p>
    <w:p>
      <w:pPr>
        <w:pStyle w:val="ySubsection"/>
      </w:pPr>
      <w:r>
        <w:tab/>
        <w:t>(4)</w:t>
      </w:r>
      <w:r>
        <w:tab/>
        <w:t xml:space="preserve">This subclause applies to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pPr>
      <w:bookmarkStart w:id="872" w:name="_Toc408471969"/>
      <w:bookmarkStart w:id="873" w:name="_Toc416945614"/>
      <w:bookmarkStart w:id="874" w:name="_Toc416945953"/>
      <w:bookmarkStart w:id="875" w:name="_Toc416946237"/>
      <w:bookmarkStart w:id="876" w:name="_Toc417655807"/>
      <w:bookmarkStart w:id="877" w:name="_Toc461722234"/>
      <w:bookmarkStart w:id="878" w:name="_Toc461723881"/>
      <w:bookmarkStart w:id="879" w:name="_Toc493069633"/>
      <w:r>
        <w:t>Subdivision 2 — Pilotage exemption certificates</w:t>
      </w:r>
      <w:bookmarkEnd w:id="872"/>
      <w:bookmarkEnd w:id="873"/>
      <w:bookmarkEnd w:id="874"/>
      <w:bookmarkEnd w:id="875"/>
      <w:bookmarkEnd w:id="876"/>
      <w:bookmarkEnd w:id="877"/>
      <w:bookmarkEnd w:id="878"/>
      <w:bookmarkEnd w:id="879"/>
    </w:p>
    <w:p>
      <w:pPr>
        <w:pStyle w:val="yHeading5"/>
      </w:pPr>
      <w:bookmarkStart w:id="880" w:name="_Toc408471970"/>
      <w:bookmarkStart w:id="881" w:name="_Toc493069634"/>
      <w:bookmarkStart w:id="882" w:name="_Toc461723882"/>
      <w:r>
        <w:rPr>
          <w:rStyle w:val="CharSClsNo"/>
        </w:rPr>
        <w:t>73</w:t>
      </w:r>
      <w:r>
        <w:t>.</w:t>
      </w:r>
      <w:r>
        <w:tab/>
        <w:t>Terms used</w:t>
      </w:r>
      <w:bookmarkEnd w:id="880"/>
      <w:bookmarkEnd w:id="881"/>
      <w:bookmarkEnd w:id="882"/>
    </w:p>
    <w:p>
      <w:pPr>
        <w:pStyle w:val="ySubsection"/>
        <w:keepNext/>
        <w:keepLines/>
      </w:pPr>
      <w:r>
        <w:tab/>
      </w:r>
      <w:r>
        <w:tab/>
        <w:t xml:space="preserve">In this Subdivision — </w:t>
      </w:r>
    </w:p>
    <w:p>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pPr>
        <w:pStyle w:val="yDefstart"/>
      </w:pPr>
      <w:r>
        <w:tab/>
      </w:r>
      <w:r>
        <w:rPr>
          <w:rStyle w:val="CharDefText"/>
        </w:rPr>
        <w:t>in charge of a vessel</w:t>
      </w:r>
      <w:r>
        <w:t xml:space="preserve"> means in charge of a vessel as the master or first mate.</w:t>
      </w:r>
    </w:p>
    <w:p>
      <w:pPr>
        <w:pStyle w:val="yHeading5"/>
      </w:pPr>
      <w:bookmarkStart w:id="883" w:name="_Toc408471971"/>
      <w:bookmarkStart w:id="884" w:name="_Toc493069635"/>
      <w:bookmarkStart w:id="885" w:name="_Toc461723883"/>
      <w:r>
        <w:rPr>
          <w:rStyle w:val="CharSClsNo"/>
        </w:rPr>
        <w:t>74</w:t>
      </w:r>
      <w:r>
        <w:t>.</w:t>
      </w:r>
      <w:r>
        <w:tab/>
        <w:t>Eligibility for pilotage exemption certificates</w:t>
      </w:r>
      <w:bookmarkEnd w:id="883"/>
      <w:bookmarkEnd w:id="884"/>
      <w:bookmarkEnd w:id="885"/>
    </w:p>
    <w:p>
      <w:pPr>
        <w:pStyle w:val="ySubsection"/>
        <w:spacing w:before="120"/>
      </w:pPr>
      <w:r>
        <w:tab/>
        <w:t>(1)</w:t>
      </w:r>
      <w:r>
        <w:tab/>
        <w:t xml:space="preserve">A person may apply to the harbour master for a pilotage exemption certificate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certificate of competency under the Navigation Act or the Marine Act that authorises the person to command a vessel of each kind for which the pilotage exemption certificate is sought; or</w:t>
      </w:r>
    </w:p>
    <w:p>
      <w:pPr>
        <w:pStyle w:val="yEdnotepara"/>
        <w:ind w:hanging="617"/>
      </w:pPr>
      <w:r>
        <w:tab/>
        <w:t>[(b), (c)</w:t>
      </w:r>
      <w:r>
        <w:tab/>
        <w:t xml:space="preserve"> deleted]</w:t>
      </w:r>
    </w:p>
    <w:p>
      <w:pPr>
        <w:pStyle w:val="yIndenta"/>
      </w:pPr>
      <w:r>
        <w:tab/>
        <w:t>(d)</w:t>
      </w:r>
      <w:r>
        <w:tab/>
        <w:t>a certificate of competency or other qualification recognised by AMSA as equivalent to a certificate of competency mentioned in paragraph (a).</w:t>
      </w:r>
    </w:p>
    <w:p>
      <w:pPr>
        <w:pStyle w:val="ySubsection"/>
        <w:spacing w:before="120"/>
      </w:pPr>
      <w:r>
        <w:tab/>
        <w:t>(3)</w:t>
      </w:r>
      <w:r>
        <w:tab/>
        <w:t xml:space="preserve">A person complies with this subclause if, subject to clause 75(2),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Footnotesection"/>
      </w:pPr>
      <w:r>
        <w:tab/>
        <w:t>[Clause 74 amended in Gazette 18 Sep 2009 p. 3623; 5 Sep 2014 p. 3215.]</w:t>
      </w:r>
    </w:p>
    <w:p>
      <w:pPr>
        <w:pStyle w:val="yHeading5"/>
        <w:spacing w:before="180"/>
      </w:pPr>
      <w:bookmarkStart w:id="886" w:name="_Toc408471972"/>
      <w:bookmarkStart w:id="887" w:name="_Toc493069636"/>
      <w:bookmarkStart w:id="888" w:name="_Toc461723884"/>
      <w:r>
        <w:rPr>
          <w:rStyle w:val="CharSClsNo"/>
        </w:rPr>
        <w:t>75</w:t>
      </w:r>
      <w:r>
        <w:t>.</w:t>
      </w:r>
      <w:r>
        <w:tab/>
        <w:t>Applications for pilotage exemption certificates</w:t>
      </w:r>
      <w:bookmarkEnd w:id="886"/>
      <w:bookmarkEnd w:id="887"/>
      <w:bookmarkEnd w:id="888"/>
    </w:p>
    <w:p>
      <w:pPr>
        <w:pStyle w:val="ySubsection"/>
        <w:spacing w:before="120"/>
      </w:pPr>
      <w:r>
        <w:tab/>
        <w:t>(1)</w:t>
      </w:r>
      <w:r>
        <w:tab/>
        <w:t xml:space="preserve">An application for a pilotage exemption certificate is to be in the form approved by the harbour master and is to be accompanied by — </w:t>
      </w:r>
    </w:p>
    <w:p>
      <w:pPr>
        <w:pStyle w:val="yIndenta"/>
      </w:pPr>
      <w:r>
        <w:tab/>
        <w:t>(a)</w:t>
      </w:r>
      <w:r>
        <w:tab/>
        <w:t>the fee set out in item 1 of the Table to clause 93; and</w:t>
      </w:r>
    </w:p>
    <w:p>
      <w:pPr>
        <w:pStyle w:val="yIndenta"/>
      </w:pPr>
      <w:r>
        <w:tab/>
        <w:t>(b)</w:t>
      </w:r>
      <w:r>
        <w:tab/>
        <w:t xml:space="preserve">evidence that satisfies the harbour master that — </w:t>
      </w:r>
    </w:p>
    <w:p>
      <w:pPr>
        <w:pStyle w:val="yIndenti0"/>
      </w:pPr>
      <w:r>
        <w:tab/>
        <w:t>(i)</w:t>
      </w:r>
      <w:r>
        <w:tab/>
        <w:t>the application is valid under subclause (2); and</w:t>
      </w:r>
    </w:p>
    <w:p>
      <w:pPr>
        <w:pStyle w:val="yIndenti0"/>
      </w:pPr>
      <w:r>
        <w:tab/>
        <w:t>(ii)</w:t>
      </w:r>
      <w:r>
        <w:tab/>
        <w:t>the applicant has complied with the provisions of clause 74 that apply to the applicant; and</w:t>
      </w:r>
    </w:p>
    <w:p>
      <w:pPr>
        <w:pStyle w:val="yIndenti0"/>
      </w:pPr>
      <w:r>
        <w:tab/>
        <w:t>(iii)</w:t>
      </w:r>
      <w:r>
        <w:tab/>
        <w:t xml:space="preserve">the applicant meets the medical fitness requirements in </w:t>
      </w:r>
      <w:r>
        <w:rPr>
          <w:i/>
        </w:rPr>
        <w:t>Marine Order 9 (Health — medical fitness) 2010</w:t>
      </w:r>
      <w:r>
        <w:t>, given effect under the Navigation Act section 343(2); and</w:t>
      </w:r>
    </w:p>
    <w:p>
      <w:pPr>
        <w:pStyle w:val="yIndenti0"/>
      </w:pPr>
      <w:r>
        <w:tab/>
        <w:t>(iv)</w:t>
      </w:r>
      <w:r>
        <w:tab/>
        <w:t>the applicant has complied with clause 76(3), if that provision applies to the applicant.</w:t>
      </w:r>
    </w:p>
    <w:p>
      <w:pPr>
        <w:pStyle w:val="ySubsection"/>
        <w:spacing w:before="120"/>
      </w:pPr>
      <w:r>
        <w:tab/>
        <w:t>(2)</w:t>
      </w:r>
      <w:r>
        <w:tab/>
        <w:t xml:space="preserve">An application is valid under this subclause if at least one of the occasions referred to in clause 74(3) or 74(4)(a), as the case requires, was — </w:t>
      </w:r>
    </w:p>
    <w:p>
      <w:pPr>
        <w:pStyle w:val="yIndenta"/>
        <w:spacing w:before="60"/>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Footnotesection"/>
      </w:pPr>
      <w:r>
        <w:tab/>
        <w:t>[Clause 75 amended in Gazette 5 Sep 2014 p. 3215.]</w:t>
      </w:r>
    </w:p>
    <w:p>
      <w:pPr>
        <w:pStyle w:val="yHeading5"/>
      </w:pPr>
      <w:bookmarkStart w:id="889" w:name="_Toc408471973"/>
      <w:bookmarkStart w:id="890" w:name="_Toc493069637"/>
      <w:bookmarkStart w:id="891" w:name="_Toc461723885"/>
      <w:r>
        <w:rPr>
          <w:rStyle w:val="CharSClsNo"/>
        </w:rPr>
        <w:t>76</w:t>
      </w:r>
      <w:r>
        <w:t>.</w:t>
      </w:r>
      <w:r>
        <w:tab/>
        <w:t>Issue of pilotage exemption certificates</w:t>
      </w:r>
      <w:bookmarkEnd w:id="889"/>
      <w:bookmarkEnd w:id="890"/>
      <w:bookmarkEnd w:id="891"/>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pPr>
      <w:r>
        <w:tab/>
        <w:t>(b)</w:t>
      </w:r>
      <w:r>
        <w:tab/>
        <w:t xml:space="preserve">satisfies the harbour master — </w:t>
      </w:r>
    </w:p>
    <w:p>
      <w:pPr>
        <w:pStyle w:val="yIndenti0"/>
      </w:pPr>
      <w:r>
        <w:tab/>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t>(3)</w:t>
      </w:r>
      <w:r>
        <w:tab/>
        <w:t xml:space="preserve">A person who fails the examination referred to in subclause (1)(b)(i) is not eligible to apply again under clause 75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spacing w:before="120"/>
      </w:pPr>
      <w:r>
        <w:tab/>
      </w:r>
      <w:r>
        <w:tab/>
        <w:t>as determined by the harbour master.</w:t>
      </w:r>
    </w:p>
    <w:p>
      <w:pPr>
        <w:pStyle w:val="yHeading5"/>
      </w:pPr>
      <w:bookmarkStart w:id="892" w:name="_Toc408471974"/>
      <w:bookmarkStart w:id="893" w:name="_Toc493069638"/>
      <w:bookmarkStart w:id="894" w:name="_Toc461723886"/>
      <w:r>
        <w:rPr>
          <w:rStyle w:val="CharSClsNo"/>
        </w:rPr>
        <w:t>77</w:t>
      </w:r>
      <w:r>
        <w:t>.</w:t>
      </w:r>
      <w:r>
        <w:tab/>
        <w:t>Vessels to which pilotage exemption certificates apply</w:t>
      </w:r>
      <w:bookmarkEnd w:id="892"/>
      <w:bookmarkEnd w:id="893"/>
      <w:bookmarkEnd w:id="894"/>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79,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t>(a)</w:t>
      </w:r>
      <w:r>
        <w:tab/>
        <w:t>vessels with a length overall of less than 80 m; and</w:t>
      </w:r>
    </w:p>
    <w:p>
      <w:pPr>
        <w:pStyle w:val="yIndenta"/>
      </w:pPr>
      <w:r>
        <w:tab/>
        <w:t>(b)</w:t>
      </w:r>
      <w:r>
        <w:tab/>
        <w:t>vessels with a length overall of 80 m or more but less than 155 m; and</w:t>
      </w:r>
    </w:p>
    <w:p>
      <w:pPr>
        <w:pStyle w:val="yIndenta"/>
      </w:pPr>
      <w:r>
        <w:tab/>
        <w:t>(c)</w:t>
      </w:r>
      <w:r>
        <w:tab/>
        <w:t>vessels with a length overall of 155 m or more but less than 215 m; and</w:t>
      </w:r>
    </w:p>
    <w:p>
      <w:pPr>
        <w:pStyle w:val="yIndenta"/>
      </w:pPr>
      <w:r>
        <w:tab/>
        <w:t>(d)</w:t>
      </w:r>
      <w:r>
        <w:tab/>
        <w:t>vessels with a length overall of 215 m or more.</w:t>
      </w:r>
    </w:p>
    <w:p>
      <w:pPr>
        <w:pStyle w:val="yHeading5"/>
      </w:pPr>
      <w:bookmarkStart w:id="895" w:name="_Toc408471975"/>
      <w:bookmarkStart w:id="896" w:name="_Toc493069639"/>
      <w:bookmarkStart w:id="897" w:name="_Toc461723887"/>
      <w:r>
        <w:rPr>
          <w:rStyle w:val="CharSClsNo"/>
        </w:rPr>
        <w:t>78</w:t>
      </w:r>
      <w:r>
        <w:t>.</w:t>
      </w:r>
      <w:r>
        <w:tab/>
        <w:t>Pilotage exemption certificates have effect only during daylight hours unless otherwise endorsed</w:t>
      </w:r>
      <w:bookmarkEnd w:id="895"/>
      <w:bookmarkEnd w:id="896"/>
      <w:bookmarkEnd w:id="897"/>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pPr>
      <w:bookmarkStart w:id="898" w:name="_Toc408471976"/>
      <w:bookmarkStart w:id="899" w:name="_Toc493069640"/>
      <w:bookmarkStart w:id="900" w:name="_Toc461723888"/>
      <w:r>
        <w:rPr>
          <w:rStyle w:val="CharSClsNo"/>
        </w:rPr>
        <w:t>79</w:t>
      </w:r>
      <w:r>
        <w:t>.</w:t>
      </w:r>
      <w:r>
        <w:tab/>
        <w:t>Endorsement of pilotage exemption certificates for longer vessels than certificate applies to</w:t>
      </w:r>
      <w:bookmarkEnd w:id="898"/>
      <w:bookmarkEnd w:id="899"/>
      <w:bookmarkEnd w:id="900"/>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(the</w:t>
      </w:r>
      <w:r>
        <w:rPr>
          <w:b/>
          <w:i/>
        </w:rPr>
        <w:t xml:space="preserve"> </w:t>
      </w:r>
      <w:r>
        <w:rPr>
          <w:rStyle w:val="CharDefText"/>
        </w:rPr>
        <w:t>application category</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pPr>
      <w:bookmarkStart w:id="901" w:name="_Toc408471977"/>
      <w:bookmarkStart w:id="902" w:name="_Toc493069641"/>
      <w:bookmarkStart w:id="903" w:name="_Toc461723889"/>
      <w:r>
        <w:rPr>
          <w:rStyle w:val="CharSClsNo"/>
        </w:rPr>
        <w:t>80</w:t>
      </w:r>
      <w:r>
        <w:t>.</w:t>
      </w:r>
      <w:r>
        <w:tab/>
        <w:t>Validity and renewal of pilotage exemption certificates</w:t>
      </w:r>
      <w:bookmarkEnd w:id="901"/>
      <w:bookmarkEnd w:id="902"/>
      <w:bookmarkEnd w:id="903"/>
    </w:p>
    <w:p>
      <w:pPr>
        <w:pStyle w:val="ySubsection"/>
      </w:pPr>
      <w:r>
        <w:tab/>
        <w:t>(1)</w:t>
      </w:r>
      <w:r>
        <w:tab/>
        <w:t xml:space="preserve">A pilotage exemption certificate is valid for 2 years and expires at the end of that period unless it sooner — </w:t>
      </w:r>
    </w:p>
    <w:p>
      <w:pPr>
        <w:pStyle w:val="yIndenta"/>
      </w:pPr>
      <w:r>
        <w:tab/>
        <w:t>(a)</w:t>
      </w:r>
      <w:r>
        <w:tab/>
        <w:t>expires under clause 81; or</w:t>
      </w:r>
    </w:p>
    <w:p>
      <w:pPr>
        <w:pStyle w:val="yIndenta"/>
      </w:pPr>
      <w:r>
        <w:tab/>
        <w:t>(b)</w:t>
      </w:r>
      <w:r>
        <w:tab/>
        <w:t>is revoked under clause 84.</w:t>
      </w:r>
    </w:p>
    <w:p>
      <w:pPr>
        <w:pStyle w:val="ySubsection"/>
      </w:pPr>
      <w:r>
        <w:tab/>
        <w:t>(2)</w:t>
      </w:r>
      <w:r>
        <w:tab/>
        <w:t xml:space="preserve">If a person who holds a pilotage exemption certificate (including a pilotage exemption certificate previously renewed under this subclause or revalidated under clause 82)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medical fitness,</w:t>
      </w:r>
    </w:p>
    <w:p>
      <w:pPr>
        <w:pStyle w:val="ySubsection"/>
      </w:pPr>
      <w:r>
        <w:tab/>
      </w:r>
      <w:r>
        <w:tab/>
        <w:t>the harbour master may renew the certificate for a period that, in the discretion of the harbour master, does not exceed 2 years.</w:t>
      </w:r>
    </w:p>
    <w:p>
      <w:pPr>
        <w:pStyle w:val="yFootnotesection"/>
      </w:pPr>
      <w:r>
        <w:tab/>
        <w:t>[Clause 80 amended in Gazette 5 Sep 2014 p. 3216.]</w:t>
      </w:r>
    </w:p>
    <w:p>
      <w:pPr>
        <w:pStyle w:val="yHeading5"/>
      </w:pPr>
      <w:bookmarkStart w:id="904" w:name="_Toc408471978"/>
      <w:bookmarkStart w:id="905" w:name="_Toc493069642"/>
      <w:bookmarkStart w:id="906" w:name="_Toc461723890"/>
      <w:r>
        <w:rPr>
          <w:rStyle w:val="CharSClsNo"/>
        </w:rPr>
        <w:t>81</w:t>
      </w:r>
      <w:r>
        <w:t>.</w:t>
      </w:r>
      <w:r>
        <w:tab/>
        <w:t>Expiry of pilotage exemption certificates</w:t>
      </w:r>
      <w:bookmarkEnd w:id="904"/>
      <w:bookmarkEnd w:id="905"/>
      <w:bookmarkEnd w:id="906"/>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pPr>
      <w:bookmarkStart w:id="907" w:name="_Toc408471979"/>
      <w:bookmarkStart w:id="908" w:name="_Toc493069643"/>
      <w:bookmarkStart w:id="909" w:name="_Toc461723891"/>
      <w:r>
        <w:rPr>
          <w:rStyle w:val="CharSClsNo"/>
        </w:rPr>
        <w:t>82</w:t>
      </w:r>
      <w:r>
        <w:t>.</w:t>
      </w:r>
      <w:r>
        <w:tab/>
        <w:t>Revalidation of expired pilotage exemption certificates</w:t>
      </w:r>
      <w:bookmarkEnd w:id="907"/>
      <w:bookmarkEnd w:id="908"/>
      <w:bookmarkEnd w:id="909"/>
    </w:p>
    <w:p>
      <w:pPr>
        <w:pStyle w:val="ySubsection"/>
      </w:pPr>
      <w:r>
        <w:tab/>
        <w:t>(1)</w:t>
      </w:r>
      <w:r>
        <w:tab/>
        <w:t>A person whose pilotage exemption certificate expires under clause 80(1) or 81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75 if the person is eligible under clause 74.</w:t>
      </w:r>
    </w:p>
    <w:p>
      <w:pPr>
        <w:pStyle w:val="yHeading5"/>
      </w:pPr>
      <w:bookmarkStart w:id="910" w:name="_Toc408471980"/>
      <w:bookmarkStart w:id="911" w:name="_Toc493069644"/>
      <w:bookmarkStart w:id="912" w:name="_Toc461723892"/>
      <w:r>
        <w:rPr>
          <w:rStyle w:val="CharSClsNo"/>
        </w:rPr>
        <w:t>83</w:t>
      </w:r>
      <w:r>
        <w:t>.</w:t>
      </w:r>
      <w:r>
        <w:tab/>
        <w:t>Restrictions on pilotage exemption certificates</w:t>
      </w:r>
      <w:bookmarkEnd w:id="910"/>
      <w:bookmarkEnd w:id="911"/>
      <w:bookmarkEnd w:id="912"/>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pPr>
      <w:bookmarkStart w:id="913" w:name="_Toc408471981"/>
      <w:bookmarkStart w:id="914" w:name="_Toc493069645"/>
      <w:bookmarkStart w:id="915" w:name="_Toc461723893"/>
      <w:r>
        <w:rPr>
          <w:rStyle w:val="CharSClsNo"/>
        </w:rPr>
        <w:t>84</w:t>
      </w:r>
      <w:r>
        <w:t>.</w:t>
      </w:r>
      <w:r>
        <w:tab/>
        <w:t>Revoking pilotage exemption certificates</w:t>
      </w:r>
      <w:bookmarkEnd w:id="913"/>
      <w:bookmarkEnd w:id="914"/>
      <w:bookmarkEnd w:id="915"/>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pPr>
      <w:bookmarkStart w:id="916" w:name="_Toc408471982"/>
      <w:bookmarkStart w:id="917" w:name="_Toc493069646"/>
      <w:bookmarkStart w:id="918" w:name="_Toc461723894"/>
      <w:r>
        <w:rPr>
          <w:rStyle w:val="CharSClsNo"/>
        </w:rPr>
        <w:t>85</w:t>
      </w:r>
      <w:r>
        <w:t>.</w:t>
      </w:r>
      <w:r>
        <w:tab/>
        <w:t>Use of pilotage exemption certificates to be recorded</w:t>
      </w:r>
      <w:bookmarkEnd w:id="916"/>
      <w:bookmarkEnd w:id="917"/>
      <w:bookmarkEnd w:id="918"/>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pPr>
      <w:bookmarkStart w:id="919" w:name="_Toc408471983"/>
      <w:bookmarkStart w:id="920" w:name="_Toc493069647"/>
      <w:bookmarkStart w:id="921" w:name="_Toc461723895"/>
      <w:r>
        <w:rPr>
          <w:rStyle w:val="CharSClsNo"/>
        </w:rPr>
        <w:t>86</w:t>
      </w:r>
      <w:r>
        <w:t>.</w:t>
      </w:r>
      <w:r>
        <w:tab/>
        <w:t>Compulsory pilotage areas, declaration of</w:t>
      </w:r>
      <w:bookmarkEnd w:id="919"/>
      <w:bookmarkEnd w:id="920"/>
      <w:bookmarkEnd w:id="921"/>
    </w:p>
    <w:p>
      <w:pPr>
        <w:pStyle w:val="ySubsection"/>
      </w:pPr>
      <w:r>
        <w:tab/>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pPr>
      <w:bookmarkStart w:id="922" w:name="_Toc408471984"/>
      <w:bookmarkStart w:id="923" w:name="_Toc416945629"/>
      <w:bookmarkStart w:id="924" w:name="_Toc416945968"/>
      <w:bookmarkStart w:id="925" w:name="_Toc416946252"/>
      <w:bookmarkStart w:id="926" w:name="_Toc417655822"/>
      <w:bookmarkStart w:id="927" w:name="_Toc461722249"/>
      <w:bookmarkStart w:id="928" w:name="_Toc461723896"/>
      <w:bookmarkStart w:id="929" w:name="_Toc493069648"/>
      <w:r>
        <w:t>Subdivision 3 — Certificates of local knowledge</w:t>
      </w:r>
      <w:bookmarkEnd w:id="922"/>
      <w:bookmarkEnd w:id="923"/>
      <w:bookmarkEnd w:id="924"/>
      <w:bookmarkEnd w:id="925"/>
      <w:bookmarkEnd w:id="926"/>
      <w:bookmarkEnd w:id="927"/>
      <w:bookmarkEnd w:id="928"/>
      <w:bookmarkEnd w:id="929"/>
    </w:p>
    <w:p>
      <w:pPr>
        <w:pStyle w:val="yHeading5"/>
      </w:pPr>
      <w:bookmarkStart w:id="930" w:name="_Toc408471985"/>
      <w:bookmarkStart w:id="931" w:name="_Toc493069649"/>
      <w:bookmarkStart w:id="932" w:name="_Toc461723897"/>
      <w:r>
        <w:rPr>
          <w:rStyle w:val="CharSClsNo"/>
        </w:rPr>
        <w:t>87</w:t>
      </w:r>
      <w:r>
        <w:t>.</w:t>
      </w:r>
      <w:r>
        <w:tab/>
        <w:t>Eligibility for certificates of local knowledge</w:t>
      </w:r>
      <w:bookmarkEnd w:id="930"/>
      <w:bookmarkEnd w:id="931"/>
      <w:bookmarkEnd w:id="932"/>
    </w:p>
    <w:p>
      <w:pPr>
        <w:pStyle w:val="ySubsection"/>
        <w:spacing w:before="100"/>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pPr>
      <w:bookmarkStart w:id="933" w:name="_Toc408471986"/>
      <w:bookmarkStart w:id="934" w:name="_Toc493069650"/>
      <w:bookmarkStart w:id="935" w:name="_Toc461723898"/>
      <w:r>
        <w:rPr>
          <w:rStyle w:val="CharSClsNo"/>
        </w:rPr>
        <w:t>88</w:t>
      </w:r>
      <w:r>
        <w:t>.</w:t>
      </w:r>
      <w:r>
        <w:tab/>
        <w:t>Application for certificates of local knowledge</w:t>
      </w:r>
      <w:bookmarkEnd w:id="933"/>
      <w:bookmarkEnd w:id="934"/>
      <w:bookmarkEnd w:id="935"/>
    </w:p>
    <w:p>
      <w:pPr>
        <w:pStyle w:val="ySubsection"/>
      </w:pPr>
      <w:r>
        <w:tab/>
      </w:r>
      <w:r>
        <w:tab/>
        <w:t>An application for a certificate of local knowledge is to be made to the harbour master, in a form approved by the harbour master, and is to be accompanied by —</w:t>
      </w:r>
    </w:p>
    <w:p>
      <w:pPr>
        <w:pStyle w:val="yIndenta"/>
      </w:pPr>
      <w:r>
        <w:tab/>
        <w:t>(a)</w:t>
      </w:r>
      <w:r>
        <w:tab/>
        <w:t>the fee set out in item 2 of the Table to clause 93; and</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pPr>
      <w:bookmarkStart w:id="936" w:name="_Toc408471987"/>
      <w:bookmarkStart w:id="937" w:name="_Toc493069651"/>
      <w:bookmarkStart w:id="938" w:name="_Toc461723899"/>
      <w:r>
        <w:rPr>
          <w:rStyle w:val="CharSClsNo"/>
        </w:rPr>
        <w:t>89</w:t>
      </w:r>
      <w:r>
        <w:t>.</w:t>
      </w:r>
      <w:r>
        <w:tab/>
        <w:t>Issue of certificates of local knowledge</w:t>
      </w:r>
      <w:bookmarkEnd w:id="936"/>
      <w:bookmarkEnd w:id="937"/>
      <w:bookmarkEnd w:id="938"/>
    </w:p>
    <w:p>
      <w:pPr>
        <w:pStyle w:val="ySubsection"/>
      </w:pPr>
      <w:r>
        <w:tab/>
        <w:t>(1)</w:t>
      </w:r>
      <w:r>
        <w:tab/>
        <w:t xml:space="preserve">The harbour master may issue a certificate of local knowledge to an applicant who — </w:t>
      </w:r>
    </w:p>
    <w:p>
      <w:pPr>
        <w:pStyle w:val="yIndenta"/>
      </w:pPr>
      <w:r>
        <w:tab/>
        <w:t>(a)</w:t>
      </w:r>
      <w:r>
        <w:tab/>
        <w:t>applies in accordance with clause 88;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(2)</w:t>
      </w:r>
      <w:r>
        <w:tab/>
        <w:t>The harbour master is to make available to a person who requests it written information explaining what is required to satisfy the harbour master under subclause (1)(b) and clause 88(c).</w:t>
      </w:r>
    </w:p>
    <w:p>
      <w:pPr>
        <w:pStyle w:val="ySubsection"/>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pPr>
      <w:r>
        <w:tab/>
        <w:t>(4)</w:t>
      </w:r>
      <w:r>
        <w:tab/>
        <w:t>A certificate of local knowledge that is endorsed under subclause (3)(a) has effect in accordance with that endorsement.</w:t>
      </w:r>
    </w:p>
    <w:p>
      <w:pPr>
        <w:pStyle w:val="yHeading5"/>
      </w:pPr>
      <w:bookmarkStart w:id="939" w:name="_Toc408471988"/>
      <w:bookmarkStart w:id="940" w:name="_Toc493069652"/>
      <w:bookmarkStart w:id="941" w:name="_Toc461723900"/>
      <w:r>
        <w:rPr>
          <w:rStyle w:val="CharSClsNo"/>
        </w:rPr>
        <w:t>90</w:t>
      </w:r>
      <w:r>
        <w:t>.</w:t>
      </w:r>
      <w:r>
        <w:tab/>
        <w:t>Validity and renewal of certificates of local knowledge</w:t>
      </w:r>
      <w:bookmarkEnd w:id="939"/>
      <w:bookmarkEnd w:id="940"/>
      <w:bookmarkEnd w:id="941"/>
    </w:p>
    <w:p>
      <w:pPr>
        <w:pStyle w:val="ySubsection"/>
      </w:pPr>
      <w:r>
        <w:tab/>
        <w:t>(1)</w:t>
      </w:r>
      <w:r>
        <w:tab/>
        <w:t>A certificate of local knowledge is valid for 2 years and expires at the end of that period unless it is sooner revoked under clause 91B.</w:t>
      </w:r>
    </w:p>
    <w:p>
      <w:pPr>
        <w:pStyle w:val="ySubsection"/>
      </w:pPr>
      <w:r>
        <w:tab/>
        <w:t>(2)</w:t>
      </w:r>
      <w:r>
        <w:tab/>
        <w:t xml:space="preserve">If a person who holds a certificate of local knowledge (including a certificate of local knowledge previously renewed under this subclause or revalidated under clause 91A)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that the person has moved a vessel under the authority of the certificate within 2 years before the application,</w:t>
      </w:r>
    </w:p>
    <w:p>
      <w:pPr>
        <w:pStyle w:val="ySubsection"/>
      </w:pPr>
      <w:r>
        <w:tab/>
      </w:r>
      <w:r>
        <w:tab/>
        <w:t>the harbour master may renew the certificate for a period that, in the discretion of the harbour master, does not exceed 2 years.</w:t>
      </w:r>
    </w:p>
    <w:p>
      <w:pPr>
        <w:pStyle w:val="yFootnotesection"/>
      </w:pPr>
      <w:r>
        <w:tab/>
        <w:t>[Clause 90 inserted in Gazette 18 Sep 2009 p. 3623</w:t>
      </w:r>
      <w:r>
        <w:noBreakHyphen/>
        <w:t>4.]</w:t>
      </w:r>
    </w:p>
    <w:p>
      <w:pPr>
        <w:pStyle w:val="yHeading5"/>
      </w:pPr>
      <w:bookmarkStart w:id="942" w:name="_Toc408471989"/>
      <w:bookmarkStart w:id="943" w:name="_Toc493069653"/>
      <w:bookmarkStart w:id="944" w:name="_Toc461723901"/>
      <w:r>
        <w:rPr>
          <w:rStyle w:val="CharSClsNo"/>
        </w:rPr>
        <w:t>91A</w:t>
      </w:r>
      <w:r>
        <w:t>.</w:t>
      </w:r>
      <w:r>
        <w:tab/>
        <w:t>Revalidation of expired certificate of local knowledge</w:t>
      </w:r>
      <w:bookmarkEnd w:id="942"/>
      <w:bookmarkEnd w:id="943"/>
      <w:bookmarkEnd w:id="944"/>
    </w:p>
    <w:p>
      <w:pPr>
        <w:pStyle w:val="ySubsection"/>
        <w:spacing w:before="100"/>
      </w:pPr>
      <w:r>
        <w:tab/>
        <w:t>(1)</w:t>
      </w:r>
      <w:r>
        <w:tab/>
        <w:t>A person whose certificate of local knowledge expires under clause 90 may apply to the harbour master, in a form approved by the harbour master, to have the certificate revalidated if the application is made within 2 years of the expiry.</w:t>
      </w:r>
    </w:p>
    <w:p>
      <w:pPr>
        <w:pStyle w:val="ySubsection"/>
      </w:pPr>
      <w:r>
        <w:tab/>
        <w:t>(2)</w:t>
      </w:r>
      <w:r>
        <w:tab/>
        <w:t>The harbour master is to revalidate the certificate of local knowledge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 </w:t>
      </w:r>
    </w:p>
    <w:p>
      <w:pPr>
        <w:pStyle w:val="yIndenta"/>
      </w:pPr>
      <w:r>
        <w:tab/>
        <w:t>(a)</w:t>
      </w:r>
      <w:r>
        <w:tab/>
        <w:t>the applicant has moved a vessel under the authority of a licence within 2 years of the application; or</w:t>
      </w:r>
    </w:p>
    <w:p>
      <w:pPr>
        <w:pStyle w:val="yIndenta"/>
      </w:pPr>
      <w:r>
        <w:tab/>
        <w:t>(b)</w:t>
      </w:r>
      <w:r>
        <w:tab/>
        <w:t xml:space="preserve">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(5)</w:t>
      </w:r>
      <w:r>
        <w:tab/>
        <w:t>A certificate of local knowledge that is revalidated under this clause has the same effect as it did immediately before it expired.</w:t>
      </w:r>
    </w:p>
    <w:p>
      <w:pPr>
        <w:pStyle w:val="ySubsection"/>
      </w:pPr>
      <w:r>
        <w:tab/>
        <w:t>(6)</w:t>
      </w:r>
      <w:r>
        <w:tab/>
        <w:t>A person whose certificate of local knowledge expires and is not revalidated within the period referred to in subclause (1) may apply for a new certificate of local knowledge under clause 88 if the person is eligible under clause 87.</w:t>
      </w:r>
    </w:p>
    <w:p>
      <w:pPr>
        <w:pStyle w:val="yFootnotesection"/>
      </w:pPr>
      <w:r>
        <w:tab/>
        <w:t>[Clause 91A inserted in Gazette 18 Sep 2009 p. 3624.]</w:t>
      </w:r>
    </w:p>
    <w:p>
      <w:pPr>
        <w:pStyle w:val="yHeading5"/>
      </w:pPr>
      <w:bookmarkStart w:id="945" w:name="_Toc408471990"/>
      <w:bookmarkStart w:id="946" w:name="_Toc493069654"/>
      <w:bookmarkStart w:id="947" w:name="_Toc461723902"/>
      <w:r>
        <w:rPr>
          <w:rStyle w:val="CharSClsNo"/>
        </w:rPr>
        <w:t>91B</w:t>
      </w:r>
      <w:r>
        <w:t>.</w:t>
      </w:r>
      <w:r>
        <w:tab/>
        <w:t>Revoking certificate of local knowledge</w:t>
      </w:r>
      <w:bookmarkEnd w:id="945"/>
      <w:bookmarkEnd w:id="946"/>
      <w:bookmarkEnd w:id="947"/>
    </w:p>
    <w:p>
      <w:pPr>
        <w:pStyle w:val="ySubsection"/>
      </w:pPr>
      <w:r>
        <w:tab/>
        <w:t>(1)</w:t>
      </w:r>
      <w:r>
        <w:tab/>
        <w:t>The harbour master may, in the discretion of the harbour master, revoke a certificate of local knowledge by written notice given to the person who holds the certificate.</w:t>
      </w:r>
    </w:p>
    <w:p>
      <w:pPr>
        <w:pStyle w:val="ySubsection"/>
      </w:pPr>
      <w:r>
        <w:tab/>
        <w:t>(2)</w:t>
      </w:r>
      <w:r>
        <w:tab/>
        <w:t>A notice under subclause (1) has effect on the day on which the person who holds the certificate of local knowledge is given the notice or on any later day specified in the notice.</w:t>
      </w:r>
    </w:p>
    <w:p>
      <w:pPr>
        <w:pStyle w:val="yFootnotesection"/>
      </w:pPr>
      <w:r>
        <w:tab/>
        <w:t>[Clause 91B inserted in Gazette 18 Sep 2009 p. 3624</w:t>
      </w:r>
      <w:r>
        <w:noBreakHyphen/>
        <w:t>5.]</w:t>
      </w:r>
    </w:p>
    <w:p>
      <w:pPr>
        <w:pStyle w:val="yHeading5"/>
      </w:pPr>
      <w:bookmarkStart w:id="948" w:name="_Toc408471991"/>
      <w:bookmarkStart w:id="949" w:name="_Toc493069655"/>
      <w:bookmarkStart w:id="950" w:name="_Toc461723903"/>
      <w:r>
        <w:rPr>
          <w:rStyle w:val="CharSClsNo"/>
        </w:rPr>
        <w:t>91</w:t>
      </w:r>
      <w:r>
        <w:t>.</w:t>
      </w:r>
      <w:r>
        <w:tab/>
        <w:t>Effect of certificates of local knowledge</w:t>
      </w:r>
      <w:bookmarkEnd w:id="948"/>
      <w:bookmarkEnd w:id="949"/>
      <w:bookmarkEnd w:id="950"/>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 xml:space="preserve">plies between the port and </w:t>
      </w:r>
      <w:smartTag w:uri="urn:schemas-microsoft-com:office:smarttags" w:element="PlaceName">
        <w:r>
          <w:t>Rottnest</w:t>
        </w:r>
      </w:smartTag>
      <w:r>
        <w:t xml:space="preserve"> </w:t>
      </w:r>
      <w:smartTag w:uri="urn:schemas-microsoft-com:office:smarttags" w:element="PlaceType">
        <w:r>
          <w:t>Island</w:t>
        </w:r>
      </w:smartTag>
      <w:r>
        <w:t xml:space="preserve"> or between the port and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or</w:t>
      </w:r>
    </w:p>
    <w:p>
      <w:pPr>
        <w:pStyle w:val="yIndenti0"/>
      </w:pPr>
      <w:r>
        <w:tab/>
        <w:t>(ii)</w:t>
      </w:r>
      <w:r>
        <w:tab/>
        <w:t xml:space="preserve">has entered the port from, or is leaving the port to move into,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pPr>
      <w:r>
        <w:tab/>
        <w:t>(2)</w:t>
      </w:r>
      <w:r>
        <w:tab/>
        <w:t>A certificate of local knowledge does not have effect in a compulsory pilotage area declared under clause 86(1).</w:t>
      </w:r>
    </w:p>
    <w:p>
      <w:pPr>
        <w:pStyle w:val="yHeading4"/>
      </w:pPr>
      <w:bookmarkStart w:id="951" w:name="_Toc408471992"/>
      <w:bookmarkStart w:id="952" w:name="_Toc416945637"/>
      <w:bookmarkStart w:id="953" w:name="_Toc416945976"/>
      <w:bookmarkStart w:id="954" w:name="_Toc416946260"/>
      <w:bookmarkStart w:id="955" w:name="_Toc417655830"/>
      <w:bookmarkStart w:id="956" w:name="_Toc461722257"/>
      <w:bookmarkStart w:id="957" w:name="_Toc461723904"/>
      <w:bookmarkStart w:id="958" w:name="_Toc493069656"/>
      <w:r>
        <w:t>Subdivision 4 — Things obstructing or interfering with operations of port</w:t>
      </w:r>
      <w:bookmarkEnd w:id="951"/>
      <w:bookmarkEnd w:id="952"/>
      <w:bookmarkEnd w:id="953"/>
      <w:bookmarkEnd w:id="954"/>
      <w:bookmarkEnd w:id="955"/>
      <w:bookmarkEnd w:id="956"/>
      <w:bookmarkEnd w:id="957"/>
      <w:bookmarkEnd w:id="958"/>
      <w:r>
        <w:t xml:space="preserve"> </w:t>
      </w:r>
    </w:p>
    <w:p>
      <w:pPr>
        <w:pStyle w:val="yHeading5"/>
      </w:pPr>
      <w:bookmarkStart w:id="959" w:name="_Toc408471993"/>
      <w:bookmarkStart w:id="960" w:name="_Toc493069657"/>
      <w:bookmarkStart w:id="961" w:name="_Toc461723905"/>
      <w:r>
        <w:rPr>
          <w:rStyle w:val="CharSClsNo"/>
        </w:rPr>
        <w:t>92</w:t>
      </w:r>
      <w:r>
        <w:t>.</w:t>
      </w:r>
      <w:r>
        <w:tab/>
        <w:t>Things obstructing etc. port operations, powers as to</w:t>
      </w:r>
      <w:bookmarkEnd w:id="959"/>
      <w:bookmarkEnd w:id="960"/>
      <w:bookmarkEnd w:id="961"/>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962" w:name="_Toc408471994"/>
      <w:bookmarkStart w:id="963" w:name="_Toc416945639"/>
      <w:bookmarkStart w:id="964" w:name="_Toc416945978"/>
      <w:bookmarkStart w:id="965" w:name="_Toc416946262"/>
      <w:bookmarkStart w:id="966" w:name="_Toc417655832"/>
      <w:bookmarkStart w:id="967" w:name="_Toc461722259"/>
      <w:bookmarkStart w:id="968" w:name="_Toc461723906"/>
      <w:bookmarkStart w:id="969" w:name="_Toc493069658"/>
      <w:r>
        <w:t>Subdivision 5 — Fees and charges</w:t>
      </w:r>
      <w:bookmarkEnd w:id="962"/>
      <w:bookmarkEnd w:id="963"/>
      <w:bookmarkEnd w:id="964"/>
      <w:bookmarkEnd w:id="965"/>
      <w:bookmarkEnd w:id="966"/>
      <w:bookmarkEnd w:id="967"/>
      <w:bookmarkEnd w:id="968"/>
      <w:bookmarkEnd w:id="969"/>
    </w:p>
    <w:p>
      <w:pPr>
        <w:pStyle w:val="yHeading5"/>
      </w:pPr>
      <w:bookmarkStart w:id="970" w:name="_Toc408471995"/>
      <w:bookmarkStart w:id="971" w:name="_Toc493069659"/>
      <w:bookmarkStart w:id="972" w:name="_Toc461723907"/>
      <w:r>
        <w:rPr>
          <w:rStyle w:val="CharSClsNo"/>
        </w:rPr>
        <w:t>93</w:t>
      </w:r>
      <w:r>
        <w:t>.</w:t>
      </w:r>
      <w:r>
        <w:tab/>
        <w:t>Fees for pilotage exemption certificates and certificates of local knowledge</w:t>
      </w:r>
      <w:bookmarkEnd w:id="970"/>
      <w:bookmarkEnd w:id="971"/>
      <w:bookmarkEnd w:id="972"/>
    </w:p>
    <w:p>
      <w:pPr>
        <w:pStyle w:val="ySubsection"/>
        <w:keepNext/>
        <w:keepLines/>
      </w:pPr>
      <w:r>
        <w:tab/>
      </w:r>
      <w:r>
        <w:tab/>
        <w:t>The application fees referred to in clauses 75(1)(a) and 88(a) are set out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NAm"/>
            </w:pPr>
            <w:r>
              <w:t>1.</w:t>
            </w:r>
          </w:p>
        </w:tc>
        <w:tc>
          <w:tcPr>
            <w:tcW w:w="4536" w:type="dxa"/>
          </w:tcPr>
          <w:p>
            <w:pPr>
              <w:pStyle w:val="yTableNAm"/>
            </w:pPr>
            <w:r>
              <w:t>Application for pilotage exemption certificate (clause 75(1)(a))</w:t>
            </w:r>
          </w:p>
        </w:tc>
        <w:tc>
          <w:tcPr>
            <w:tcW w:w="850" w:type="dxa"/>
          </w:tcPr>
          <w:p>
            <w:pPr>
              <w:pStyle w:val="yTableNAm"/>
            </w:pPr>
            <w:r>
              <w:br/>
              <w:t>$660</w:t>
            </w:r>
          </w:p>
        </w:tc>
      </w:tr>
      <w:tr>
        <w:tc>
          <w:tcPr>
            <w:tcW w:w="425" w:type="dxa"/>
          </w:tcPr>
          <w:p>
            <w:pPr>
              <w:pStyle w:val="yTableNAm"/>
            </w:pPr>
            <w:r>
              <w:t>2.</w:t>
            </w:r>
          </w:p>
        </w:tc>
        <w:tc>
          <w:tcPr>
            <w:tcW w:w="4536" w:type="dxa"/>
          </w:tcPr>
          <w:p>
            <w:pPr>
              <w:pStyle w:val="yTableNAm"/>
            </w:pPr>
            <w:r>
              <w:t>Application for certificate of local knowledge (clause 88(a))</w:t>
            </w:r>
          </w:p>
        </w:tc>
        <w:tc>
          <w:tcPr>
            <w:tcW w:w="850" w:type="dxa"/>
          </w:tcPr>
          <w:p>
            <w:pPr>
              <w:pStyle w:val="yTableNAm"/>
            </w:pPr>
            <w:r>
              <w:br/>
              <w:t>$55</w:t>
            </w:r>
          </w:p>
        </w:tc>
      </w:tr>
    </w:tbl>
    <w:p>
      <w:pPr>
        <w:pStyle w:val="yHeading4"/>
      </w:pPr>
      <w:bookmarkStart w:id="973" w:name="_Toc408471996"/>
      <w:bookmarkStart w:id="974" w:name="_Toc416945641"/>
      <w:bookmarkStart w:id="975" w:name="_Toc416945980"/>
      <w:bookmarkStart w:id="976" w:name="_Toc416946264"/>
      <w:bookmarkStart w:id="977" w:name="_Toc417655834"/>
      <w:bookmarkStart w:id="978" w:name="_Toc461722261"/>
      <w:bookmarkStart w:id="979" w:name="_Toc461723908"/>
      <w:bookmarkStart w:id="980" w:name="_Toc493069660"/>
      <w:r>
        <w:t>Subdivision 6 — Licences</w:t>
      </w:r>
      <w:bookmarkEnd w:id="973"/>
      <w:bookmarkEnd w:id="974"/>
      <w:bookmarkEnd w:id="975"/>
      <w:bookmarkEnd w:id="976"/>
      <w:bookmarkEnd w:id="977"/>
      <w:bookmarkEnd w:id="978"/>
      <w:bookmarkEnd w:id="979"/>
      <w:bookmarkEnd w:id="980"/>
    </w:p>
    <w:p>
      <w:pPr>
        <w:pStyle w:val="yHeading5"/>
        <w:spacing w:before="180"/>
      </w:pPr>
      <w:bookmarkStart w:id="981" w:name="_Toc408471997"/>
      <w:bookmarkStart w:id="982" w:name="_Toc493069661"/>
      <w:bookmarkStart w:id="983" w:name="_Toc461723909"/>
      <w:r>
        <w:rPr>
          <w:rStyle w:val="CharSClsNo"/>
        </w:rPr>
        <w:t>94</w:t>
      </w:r>
      <w:r>
        <w:t>.</w:t>
      </w:r>
      <w:r>
        <w:tab/>
        <w:t>Terms used</w:t>
      </w:r>
      <w:bookmarkEnd w:id="981"/>
      <w:bookmarkEnd w:id="982"/>
      <w:bookmarkEnd w:id="983"/>
    </w:p>
    <w:p>
      <w:pPr>
        <w:pStyle w:val="ySubsection"/>
      </w:pPr>
      <w:r>
        <w:tab/>
      </w:r>
      <w:r>
        <w:tab/>
        <w:t xml:space="preserve">In this Subdivision — </w:t>
      </w:r>
    </w:p>
    <w:p>
      <w:pPr>
        <w:pStyle w:val="yDefstart"/>
      </w:pPr>
      <w:r>
        <w:tab/>
      </w:r>
      <w:r>
        <w:rPr>
          <w:rStyle w:val="CharDefText"/>
        </w:rPr>
        <w:t>excavation licence</w:t>
      </w:r>
      <w:r>
        <w:t xml:space="preserve"> means a licence to carry out excavation work on port land issued under clause 98;</w:t>
      </w:r>
    </w:p>
    <w:p>
      <w:pPr>
        <w:pStyle w:val="yDefstart"/>
      </w:pPr>
      <w:r>
        <w:tab/>
      </w:r>
      <w:r>
        <w:rPr>
          <w:rStyle w:val="CharDefText"/>
        </w:rPr>
        <w:t>excavation work</w:t>
      </w:r>
      <w:r>
        <w:t xml:space="preserve"> means work that involves breaking or penetrating the ground surface;</w:t>
      </w:r>
    </w:p>
    <w:p>
      <w:pPr>
        <w:pStyle w:val="yDefstart"/>
        <w:rPr>
          <w:szCs w:val="22"/>
        </w:rPr>
      </w:pPr>
      <w:r>
        <w:rPr>
          <w:szCs w:val="22"/>
        </w:rPr>
        <w:tab/>
      </w:r>
      <w:r>
        <w:rPr>
          <w:rStyle w:val="CharDefText"/>
          <w:szCs w:val="22"/>
        </w:rPr>
        <w:t>service provider’s licence</w:t>
      </w:r>
      <w:r>
        <w:rPr>
          <w:szCs w:val="22"/>
        </w:rPr>
        <w:t xml:space="preserve"> means a licence issued under clause 96 to provide a service listed in clause 95(2) in the port.</w:t>
      </w:r>
    </w:p>
    <w:p>
      <w:pPr>
        <w:pStyle w:val="yFootnotesection"/>
      </w:pPr>
      <w:r>
        <w:tab/>
        <w:t>[Clause 94 amended in Gazette 29 Jan 2013 p. 337.]</w:t>
      </w:r>
    </w:p>
    <w:p>
      <w:pPr>
        <w:pStyle w:val="yHeading5"/>
      </w:pPr>
      <w:bookmarkStart w:id="984" w:name="_Toc408471998"/>
      <w:bookmarkStart w:id="985" w:name="_Toc493069662"/>
      <w:bookmarkStart w:id="986" w:name="_Toc461723910"/>
      <w:r>
        <w:rPr>
          <w:rStyle w:val="CharSClsNo"/>
        </w:rPr>
        <w:t>95</w:t>
      </w:r>
      <w:r>
        <w:rPr>
          <w:szCs w:val="22"/>
        </w:rPr>
        <w:t>.</w:t>
      </w:r>
      <w:r>
        <w:rPr>
          <w:szCs w:val="22"/>
        </w:rPr>
        <w:tab/>
        <w:t>Unlicensed persons not to provide certain services</w:t>
      </w:r>
      <w:bookmarkEnd w:id="984"/>
      <w:bookmarkEnd w:id="985"/>
      <w:bookmarkEnd w:id="986"/>
    </w:p>
    <w:p>
      <w:pPr>
        <w:pStyle w:val="ySubsection"/>
      </w:pPr>
      <w:r>
        <w:rPr>
          <w:szCs w:val="22"/>
        </w:rPr>
        <w:tab/>
        <w:t>(1)</w:t>
      </w:r>
      <w:r>
        <w:rPr>
          <w:szCs w:val="22"/>
        </w:rPr>
        <w:tab/>
        <w:t xml:space="preserve">Subject to section 143(3) of the Act, a person must not provide in the port a service listed in subclause (2) except — </w:t>
      </w:r>
    </w:p>
    <w:p>
      <w:pPr>
        <w:pStyle w:val="yIndenta"/>
      </w:pPr>
      <w:r>
        <w:rPr>
          <w:szCs w:val="22"/>
        </w:rPr>
        <w:tab/>
        <w:t>(a)</w:t>
      </w:r>
      <w:r>
        <w:rPr>
          <w:szCs w:val="22"/>
        </w:rPr>
        <w:tab/>
        <w:t xml:space="preserve">under the authority of a service provider’s licence issued by the port authority; and </w:t>
      </w:r>
    </w:p>
    <w:p>
      <w:pPr>
        <w:pStyle w:val="yIndenta"/>
      </w:pPr>
      <w:r>
        <w:tab/>
        <w:t>(b)</w:t>
      </w:r>
      <w:r>
        <w:tab/>
        <w:t>in accordance with any conditions or restrictions to which the licence is subject under clause 96(3).</w:t>
      </w:r>
    </w:p>
    <w:p>
      <w:pPr>
        <w:pStyle w:val="yPenstart"/>
      </w:pPr>
      <w:r>
        <w:rPr>
          <w:szCs w:val="22"/>
        </w:rPr>
        <w:tab/>
        <w:t>Penalty: a fine of $12 000.</w:t>
      </w:r>
    </w:p>
    <w:p>
      <w:pPr>
        <w:pStyle w:val="ySubsection"/>
      </w:pPr>
      <w:r>
        <w:rPr>
          <w:szCs w:val="22"/>
        </w:rPr>
        <w:tab/>
        <w:t>(2)</w:t>
      </w:r>
      <w:r>
        <w:rPr>
          <w:szCs w:val="22"/>
        </w:rPr>
        <w:tab/>
        <w:t xml:space="preserve">For subclause (1), each of these services is listed — </w:t>
      </w:r>
    </w:p>
    <w:p>
      <w:pPr>
        <w:pStyle w:val="yIndenta"/>
      </w:pPr>
      <w:r>
        <w:rPr>
          <w:szCs w:val="22"/>
        </w:rPr>
        <w:tab/>
        <w:t>(a)</w:t>
      </w:r>
      <w:r>
        <w:rPr>
          <w:szCs w:val="22"/>
        </w:rPr>
        <w:tab/>
        <w:t>a towage service;</w:t>
      </w:r>
    </w:p>
    <w:p>
      <w:pPr>
        <w:pStyle w:val="yIndenta"/>
      </w:pPr>
      <w:r>
        <w:tab/>
        <w:t>(b)</w:t>
      </w:r>
      <w:r>
        <w:tab/>
        <w:t>a line boat service;</w:t>
      </w:r>
    </w:p>
    <w:p>
      <w:pPr>
        <w:pStyle w:val="yIndenta"/>
      </w:pPr>
      <w:r>
        <w:tab/>
        <w:t>(c)</w:t>
      </w:r>
      <w:r>
        <w:tab/>
        <w:t>a bunkering service;</w:t>
      </w:r>
    </w:p>
    <w:p>
      <w:pPr>
        <w:pStyle w:val="yIndenta"/>
      </w:pPr>
      <w:r>
        <w:tab/>
        <w:t>(d)</w:t>
      </w:r>
      <w:r>
        <w:tab/>
        <w:t>a stevedoring service;</w:t>
      </w:r>
    </w:p>
    <w:p>
      <w:pPr>
        <w:pStyle w:val="yIndenta"/>
      </w:pPr>
      <w:r>
        <w:tab/>
        <w:t>(e)</w:t>
      </w:r>
      <w:r>
        <w:tab/>
        <w:t>a mooring service.</w:t>
      </w:r>
    </w:p>
    <w:p>
      <w:pPr>
        <w:pStyle w:val="yFootnotesection"/>
      </w:pPr>
      <w:r>
        <w:tab/>
        <w:t>[Clause 95 inserted in Gazette 29 Jan 2013 p. 337.]</w:t>
      </w:r>
    </w:p>
    <w:p>
      <w:pPr>
        <w:pStyle w:val="yHeading5"/>
      </w:pPr>
      <w:bookmarkStart w:id="987" w:name="_Toc408471999"/>
      <w:bookmarkStart w:id="988" w:name="_Toc493069663"/>
      <w:bookmarkStart w:id="989" w:name="_Toc461723911"/>
      <w:r>
        <w:rPr>
          <w:rStyle w:val="CharSClsNo"/>
        </w:rPr>
        <w:t>96</w:t>
      </w:r>
      <w:r>
        <w:rPr>
          <w:szCs w:val="22"/>
        </w:rPr>
        <w:t>.</w:t>
      </w:r>
      <w:r>
        <w:rPr>
          <w:szCs w:val="22"/>
        </w:rPr>
        <w:tab/>
        <w:t>Service provider’s licence</w:t>
      </w:r>
      <w:bookmarkEnd w:id="987"/>
      <w:bookmarkEnd w:id="988"/>
      <w:bookmarkEnd w:id="989"/>
    </w:p>
    <w:p>
      <w:pPr>
        <w:pStyle w:val="ySubsection"/>
      </w:pPr>
      <w:r>
        <w:rPr>
          <w:szCs w:val="22"/>
        </w:rPr>
        <w:tab/>
        <w:t>(1)</w:t>
      </w:r>
      <w:r>
        <w:rPr>
          <w:szCs w:val="22"/>
        </w:rPr>
        <w:tab/>
        <w:t xml:space="preserve">An application for a service provider’s licence — </w:t>
      </w:r>
    </w:p>
    <w:p>
      <w:pPr>
        <w:pStyle w:val="yIndenta"/>
      </w:pPr>
      <w:r>
        <w:rPr>
          <w:szCs w:val="22"/>
        </w:rPr>
        <w:tab/>
        <w:t>(a)</w:t>
      </w:r>
      <w:r>
        <w:rPr>
          <w:szCs w:val="22"/>
        </w:rPr>
        <w:tab/>
        <w:t>must be made to, and in the form approved by, the port authority; and</w:t>
      </w:r>
    </w:p>
    <w:p>
      <w:pPr>
        <w:pStyle w:val="yIndenta"/>
      </w:pPr>
      <w:r>
        <w:tab/>
        <w:t>(b)</w:t>
      </w:r>
      <w:r>
        <w:tab/>
        <w:t>must be accompanied by a fee of an amount determined by the port authority that is not more than $1 000.</w:t>
      </w:r>
    </w:p>
    <w:p>
      <w:pPr>
        <w:pStyle w:val="ySubsection"/>
      </w:pPr>
      <w:r>
        <w:rPr>
          <w:szCs w:val="22"/>
        </w:rPr>
        <w:tab/>
        <w:t>(2)</w:t>
      </w:r>
      <w:r>
        <w:rPr>
          <w:szCs w:val="22"/>
        </w:rPr>
        <w:tab/>
        <w:t>If satisfied that an applicant has appropriate qualifications and experience to provide a service listed in clause 95(2)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rPr>
          <w:szCs w:val="22"/>
        </w:rPr>
        <w:tab/>
        <w:t>(a)</w:t>
      </w:r>
      <w:r>
        <w:rPr>
          <w:szCs w:val="22"/>
        </w:rP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rPr>
          <w:szCs w:val="22"/>
        </w:rPr>
        <w:tab/>
        <w:t>(4)</w:t>
      </w:r>
      <w:r>
        <w:rPr>
          <w:szCs w:val="22"/>
        </w:rP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rPr>
          <w:szCs w:val="22"/>
        </w:rPr>
        <w:tab/>
        <w:t>(a)</w:t>
      </w:r>
      <w:r>
        <w:rPr>
          <w:szCs w:val="22"/>
        </w:rPr>
        <w:tab/>
        <w:t>suspend the operation of the licence for any period that the port authority considers appropriate; or</w:t>
      </w:r>
    </w:p>
    <w:p>
      <w:pPr>
        <w:pStyle w:val="yIndenta"/>
      </w:pPr>
      <w:r>
        <w:tab/>
        <w:t>(b)</w:t>
      </w:r>
      <w:r>
        <w:tab/>
        <w:t>cancel the licence.</w:t>
      </w:r>
    </w:p>
    <w:p>
      <w:pPr>
        <w:pStyle w:val="ySubsection"/>
      </w:pPr>
      <w:r>
        <w:rPr>
          <w:szCs w:val="22"/>
        </w:rPr>
        <w:tab/>
        <w:t>(5)</w:t>
      </w:r>
      <w:r>
        <w:rPr>
          <w:szCs w:val="22"/>
        </w:rPr>
        <w:tab/>
        <w:t>A service provider’s licence must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Penstart"/>
      </w:pPr>
      <w:r>
        <w:tab/>
        <w:t>Penalty for an offence under subclause (7): a fine of $2 000.</w:t>
      </w:r>
    </w:p>
    <w:p>
      <w:pPr>
        <w:pStyle w:val="yFootnotesection"/>
      </w:pPr>
      <w:r>
        <w:tab/>
        <w:t>[Clause 96 inserted in Gazette 29 Jan 2013 p. 337-8.]</w:t>
      </w:r>
    </w:p>
    <w:p>
      <w:pPr>
        <w:pStyle w:val="yHeading5"/>
      </w:pPr>
      <w:bookmarkStart w:id="990" w:name="_Toc408472000"/>
      <w:bookmarkStart w:id="991" w:name="_Toc493069664"/>
      <w:bookmarkStart w:id="992" w:name="_Toc461723912"/>
      <w:r>
        <w:rPr>
          <w:rStyle w:val="CharSClsNo"/>
        </w:rPr>
        <w:t>97</w:t>
      </w:r>
      <w:r>
        <w:t>.</w:t>
      </w:r>
      <w:r>
        <w:tab/>
        <w:t>Excavation work, excavation licence needed to provide</w:t>
      </w:r>
      <w:bookmarkEnd w:id="990"/>
      <w:bookmarkEnd w:id="991"/>
      <w:bookmarkEnd w:id="992"/>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pPr>
      <w:bookmarkStart w:id="993" w:name="_Toc408472001"/>
      <w:bookmarkStart w:id="994" w:name="_Toc493069665"/>
      <w:bookmarkStart w:id="995" w:name="_Toc461723913"/>
      <w:r>
        <w:rPr>
          <w:rStyle w:val="CharSClsNo"/>
        </w:rPr>
        <w:t>98</w:t>
      </w:r>
      <w:r>
        <w:t>.</w:t>
      </w:r>
      <w:r>
        <w:tab/>
        <w:t>Excavation licences</w:t>
      </w:r>
      <w:bookmarkEnd w:id="993"/>
      <w:bookmarkEnd w:id="994"/>
      <w:bookmarkEnd w:id="995"/>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pPr>
      <w:bookmarkStart w:id="996" w:name="_Toc408472002"/>
      <w:bookmarkStart w:id="997" w:name="_Toc493069666"/>
      <w:bookmarkStart w:id="998" w:name="_Toc461723914"/>
      <w:r>
        <w:rPr>
          <w:rStyle w:val="CharSClsNo"/>
        </w:rPr>
        <w:t>99</w:t>
      </w:r>
      <w:r>
        <w:t>.</w:t>
      </w:r>
      <w:r>
        <w:tab/>
        <w:t>Protection from liability for port authority for licensed excavation work</w:t>
      </w:r>
      <w:bookmarkEnd w:id="996"/>
      <w:bookmarkEnd w:id="997"/>
      <w:bookmarkEnd w:id="998"/>
    </w:p>
    <w:p>
      <w:pPr>
        <w:pStyle w:val="ySubsection"/>
      </w:pPr>
      <w:r>
        <w:tab/>
      </w:r>
      <w:r>
        <w:tab/>
        <w:t>The port authority is not liable for any damage or loss resulting from excavation work carried out under the authority of an excavation licence.</w:t>
      </w:r>
    </w:p>
    <w:p>
      <w:pPr>
        <w:pStyle w:val="yHeading4"/>
      </w:pPr>
      <w:bookmarkStart w:id="999" w:name="_Toc408472003"/>
      <w:bookmarkStart w:id="1000" w:name="_Toc416945648"/>
      <w:bookmarkStart w:id="1001" w:name="_Toc416945987"/>
      <w:bookmarkStart w:id="1002" w:name="_Toc416946271"/>
      <w:bookmarkStart w:id="1003" w:name="_Toc417655841"/>
      <w:bookmarkStart w:id="1004" w:name="_Toc461722268"/>
      <w:bookmarkStart w:id="1005" w:name="_Toc461723915"/>
      <w:bookmarkStart w:id="1006" w:name="_Toc493069667"/>
      <w:r>
        <w:t>Subdivision 7 — Miscellaneous</w:t>
      </w:r>
      <w:bookmarkEnd w:id="999"/>
      <w:bookmarkEnd w:id="1000"/>
      <w:bookmarkEnd w:id="1001"/>
      <w:bookmarkEnd w:id="1002"/>
      <w:bookmarkEnd w:id="1003"/>
      <w:bookmarkEnd w:id="1004"/>
      <w:bookmarkEnd w:id="1005"/>
      <w:bookmarkEnd w:id="1006"/>
    </w:p>
    <w:p>
      <w:pPr>
        <w:pStyle w:val="yHeading5"/>
      </w:pPr>
      <w:bookmarkStart w:id="1007" w:name="_Toc408472004"/>
      <w:bookmarkStart w:id="1008" w:name="_Toc493069668"/>
      <w:bookmarkStart w:id="1009" w:name="_Toc461723916"/>
      <w:r>
        <w:rPr>
          <w:rStyle w:val="CharSClsNo"/>
        </w:rPr>
        <w:t>100</w:t>
      </w:r>
      <w:r>
        <w:t>.</w:t>
      </w:r>
      <w:r>
        <w:tab/>
        <w:t>No swimming outside designated areas without authority</w:t>
      </w:r>
      <w:bookmarkEnd w:id="1007"/>
      <w:bookmarkEnd w:id="1008"/>
      <w:bookmarkEnd w:id="1009"/>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pPr>
      <w:bookmarkStart w:id="1010" w:name="_Toc408472005"/>
      <w:bookmarkStart w:id="1011" w:name="_Toc493069669"/>
      <w:bookmarkStart w:id="1012" w:name="_Toc461723917"/>
      <w:r>
        <w:rPr>
          <w:rStyle w:val="CharSClsNo"/>
        </w:rPr>
        <w:t>101</w:t>
      </w:r>
      <w:r>
        <w:t>.</w:t>
      </w:r>
      <w:r>
        <w:tab/>
        <w:t>Motor boats and water skiing in Inner Harbour, restrictions on</w:t>
      </w:r>
      <w:bookmarkEnd w:id="1010"/>
      <w:bookmarkEnd w:id="1011"/>
      <w:bookmarkEnd w:id="1012"/>
    </w:p>
    <w:p>
      <w:pPr>
        <w:pStyle w:val="ySubsection"/>
      </w:pPr>
      <w:r>
        <w:tab/>
        <w:t>(1)</w:t>
      </w:r>
      <w:r>
        <w:tab/>
        <w:t xml:space="preserve">Unless authorised by the port authority, a person must not drive a motor boat at more than 8 knots or water ski in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w:t>
      </w:r>
    </w:p>
    <w:p>
      <w:pPr>
        <w:pStyle w:val="yPenstart"/>
      </w:pPr>
      <w:r>
        <w:tab/>
        <w:t>Penalty: $2 000.</w:t>
      </w:r>
    </w:p>
    <w:p>
      <w:pPr>
        <w:pStyle w:val="ySubsection"/>
        <w:keepNext/>
      </w:pPr>
      <w:r>
        <w:tab/>
        <w:t>(2)</w:t>
      </w:r>
      <w:r>
        <w:tab/>
        <w:t xml:space="preserve">In subclause (1)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w:t>
      </w:r>
    </w:p>
    <w:p>
      <w:pPr>
        <w:pStyle w:val="yHeading3"/>
        <w:rPr>
          <w:rStyle w:val="CharSDivText"/>
        </w:rPr>
      </w:pPr>
      <w:bookmarkStart w:id="1013" w:name="_Toc408472006"/>
      <w:bookmarkStart w:id="1014" w:name="_Toc416945651"/>
      <w:bookmarkStart w:id="1015" w:name="_Toc416945990"/>
      <w:bookmarkStart w:id="1016" w:name="_Toc416946274"/>
      <w:bookmarkStart w:id="1017" w:name="_Toc417655844"/>
      <w:bookmarkStart w:id="1018" w:name="_Toc461722271"/>
      <w:bookmarkStart w:id="1019" w:name="_Toc461723918"/>
      <w:bookmarkStart w:id="1020" w:name="_Toc493069670"/>
      <w:r>
        <w:rPr>
          <w:rStyle w:val="CharSDivNo"/>
        </w:rPr>
        <w:t>Division 6</w:t>
      </w:r>
      <w:r>
        <w:t> — </w:t>
      </w:r>
      <w:r>
        <w:rPr>
          <w:rStyle w:val="CharSDivText"/>
        </w:rPr>
        <w:t>Port of Geraldton</w:t>
      </w:r>
      <w:bookmarkEnd w:id="1013"/>
      <w:bookmarkEnd w:id="1014"/>
      <w:bookmarkEnd w:id="1015"/>
      <w:bookmarkEnd w:id="1016"/>
      <w:bookmarkEnd w:id="1017"/>
      <w:bookmarkEnd w:id="1018"/>
      <w:bookmarkEnd w:id="1019"/>
      <w:bookmarkEnd w:id="1020"/>
    </w:p>
    <w:p>
      <w:pPr>
        <w:pStyle w:val="yFootnoteheading"/>
      </w:pPr>
      <w:r>
        <w:tab/>
        <w:t>[Heading inserted in Gazette 20 Jun 2014 p. 2034.]</w:t>
      </w:r>
    </w:p>
    <w:p>
      <w:pPr>
        <w:pStyle w:val="yHeading5"/>
      </w:pPr>
      <w:bookmarkStart w:id="1021" w:name="_Toc408472007"/>
      <w:bookmarkStart w:id="1022" w:name="_Toc493069671"/>
      <w:bookmarkStart w:id="1023" w:name="_Toc461723919"/>
      <w:r>
        <w:rPr>
          <w:rStyle w:val="CharSClsNo"/>
        </w:rPr>
        <w:t>102</w:t>
      </w:r>
      <w:r>
        <w:t>.</w:t>
      </w:r>
      <w:r>
        <w:tab/>
        <w:t>Application of this Division</w:t>
      </w:r>
      <w:bookmarkEnd w:id="1021"/>
      <w:bookmarkEnd w:id="1022"/>
      <w:bookmarkEnd w:id="1023"/>
    </w:p>
    <w:p>
      <w:pPr>
        <w:pStyle w:val="ySubsection"/>
      </w:pPr>
      <w:r>
        <w:tab/>
      </w:r>
      <w:r>
        <w:tab/>
        <w:t>This Division applies to the Port of Geraldton and the Mid West Ports Authority.</w:t>
      </w:r>
    </w:p>
    <w:p>
      <w:pPr>
        <w:pStyle w:val="yFootnotesection"/>
      </w:pPr>
      <w:r>
        <w:tab/>
        <w:t>[Clause 102 inserted in Gazette 20 Jun 2014 p. 2034.]</w:t>
      </w:r>
    </w:p>
    <w:p>
      <w:pPr>
        <w:pStyle w:val="yHeading5"/>
      </w:pPr>
      <w:bookmarkStart w:id="1024" w:name="_Toc408472008"/>
      <w:bookmarkStart w:id="1025" w:name="_Toc493069672"/>
      <w:bookmarkStart w:id="1026" w:name="_Toc461723920"/>
      <w:r>
        <w:rPr>
          <w:rStyle w:val="CharSClsNo"/>
        </w:rPr>
        <w:t>102A</w:t>
      </w:r>
      <w:r>
        <w:t>.</w:t>
      </w:r>
      <w:r>
        <w:tab/>
        <w:t>Term used: service provider’s licence</w:t>
      </w:r>
      <w:bookmarkEnd w:id="1024"/>
      <w:bookmarkEnd w:id="1025"/>
      <w:bookmarkEnd w:id="1026"/>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pPr>
        <w:pStyle w:val="yFootnotesection"/>
      </w:pPr>
      <w:r>
        <w:tab/>
        <w:t>[Clause 102A inserted in Gazette 12 Jun 2007 p. 2690.]</w:t>
      </w:r>
    </w:p>
    <w:p>
      <w:pPr>
        <w:pStyle w:val="yHeading5"/>
      </w:pPr>
      <w:bookmarkStart w:id="1027" w:name="_Toc408472009"/>
      <w:bookmarkStart w:id="1028" w:name="_Toc493069673"/>
      <w:bookmarkStart w:id="1029" w:name="_Toc461723921"/>
      <w:r>
        <w:rPr>
          <w:rStyle w:val="CharSClsNo"/>
        </w:rPr>
        <w:t>103</w:t>
      </w:r>
      <w:r>
        <w:t>.</w:t>
      </w:r>
      <w:r>
        <w:tab/>
        <w:t xml:space="preserve">Fishing vessels berthing at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to maintain contact with port authority</w:t>
      </w:r>
      <w:bookmarkEnd w:id="1027"/>
      <w:bookmarkEnd w:id="1028"/>
      <w:bookmarkEnd w:id="1029"/>
    </w:p>
    <w:p>
      <w:pPr>
        <w:pStyle w:val="ySubsection"/>
      </w:pPr>
      <w:r>
        <w:tab/>
        <w:t>(1)</w:t>
      </w:r>
      <w:r>
        <w:tab/>
        <w:t xml:space="preserve">The master of an Australian fishing vessel that enters the port to berth at the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 xml:space="preserve">Subclause (1) does not limit the operation of regulation 5 in relation to the </w:t>
      </w:r>
      <w:r>
        <w:rPr>
          <w:szCs w:val="22"/>
        </w:rPr>
        <w:t>Mid West Ports Authority</w:t>
      </w:r>
      <w:r>
        <w:t xml:space="preserve">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ySubsection"/>
      </w:pPr>
      <w:r>
        <w:tab/>
        <w:t>(3)</w:t>
      </w:r>
      <w:r>
        <w:tab/>
        <w:t xml:space="preserve">In this clause — </w:t>
      </w:r>
    </w:p>
    <w:p>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pPr>
        <w:pStyle w:val="yFootnotesection"/>
      </w:pPr>
      <w:r>
        <w:tab/>
        <w:t>[Clause 103 amended in Gazette 20 Jun 2014 p. 2034.]</w:t>
      </w:r>
    </w:p>
    <w:p>
      <w:pPr>
        <w:pStyle w:val="yHeading5"/>
      </w:pPr>
      <w:bookmarkStart w:id="1030" w:name="_Toc408472010"/>
      <w:bookmarkStart w:id="1031" w:name="_Toc493069674"/>
      <w:bookmarkStart w:id="1032" w:name="_Toc461723922"/>
      <w:r>
        <w:rPr>
          <w:rStyle w:val="CharSClsNo"/>
        </w:rPr>
        <w:t>104</w:t>
      </w:r>
      <w:r>
        <w:t>.</w:t>
      </w:r>
      <w:r>
        <w:tab/>
        <w:t>Vessel moored to have at least one person on watch</w:t>
      </w:r>
      <w:bookmarkEnd w:id="1030"/>
      <w:bookmarkEnd w:id="1031"/>
      <w:bookmarkEnd w:id="1032"/>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pPr>
      <w:bookmarkStart w:id="1033" w:name="_Toc408472011"/>
      <w:bookmarkStart w:id="1034" w:name="_Toc493069675"/>
      <w:bookmarkStart w:id="1035" w:name="_Toc461723923"/>
      <w:r>
        <w:rPr>
          <w:rStyle w:val="CharSClsNo"/>
        </w:rPr>
        <w:t>105</w:t>
      </w:r>
      <w:r>
        <w:t>.</w:t>
      </w:r>
      <w:r>
        <w:tab/>
        <w:t>Motor boats and water skiing, restrictions on</w:t>
      </w:r>
      <w:bookmarkEnd w:id="1033"/>
      <w:bookmarkEnd w:id="1034"/>
      <w:bookmarkEnd w:id="1035"/>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r>
      <w:r>
        <w:tab/>
        <w:t>or</w:t>
      </w:r>
    </w:p>
    <w:p>
      <w:pPr>
        <w:pStyle w:val="yIndenta"/>
      </w:pPr>
      <w:r>
        <w:tab/>
        <w:t>(b)</w:t>
      </w:r>
      <w:r>
        <w:tab/>
        <w:t>in or through an area set aside for vessels to be moored; or</w:t>
      </w:r>
    </w:p>
    <w:p>
      <w:pPr>
        <w:pStyle w:val="yIndenta"/>
      </w:pPr>
      <w:r>
        <w:tab/>
        <w:t>(c)</w:t>
      </w:r>
      <w:r>
        <w:tab/>
        <w:t>within 45 m of a vessel that is under way; or</w:t>
      </w:r>
    </w:p>
    <w:p>
      <w:pPr>
        <w:pStyle w:val="yIndenta"/>
        <w:keepNext/>
      </w:pPr>
      <w:r>
        <w:tab/>
        <w:t>(d)</w:t>
      </w:r>
      <w:r>
        <w:tab/>
        <w:t xml:space="preserve">within 45 m of  — </w:t>
      </w:r>
    </w:p>
    <w:p>
      <w:pPr>
        <w:pStyle w:val="yIndenti0"/>
      </w:pPr>
      <w:r>
        <w:tab/>
        <w:t>(i)</w:t>
      </w:r>
      <w:r>
        <w:tab/>
        <w:t>a moored vessel; or</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 on the water.</w:t>
      </w:r>
    </w:p>
    <w:p>
      <w:pPr>
        <w:pStyle w:val="yHeading5"/>
      </w:pPr>
      <w:bookmarkStart w:id="1036" w:name="_Toc408472012"/>
      <w:bookmarkStart w:id="1037" w:name="_Toc493069676"/>
      <w:bookmarkStart w:id="1038" w:name="_Toc461723924"/>
      <w:r>
        <w:rPr>
          <w:rStyle w:val="CharSClsNo"/>
        </w:rPr>
        <w:t>106</w:t>
      </w:r>
      <w:r>
        <w:t>.</w:t>
      </w:r>
      <w:r>
        <w:tab/>
        <w:t>Small vessels to leave channel and water ski area if other vessel sounds warning</w:t>
      </w:r>
      <w:bookmarkEnd w:id="1036"/>
      <w:bookmarkEnd w:id="1037"/>
      <w:bookmarkEnd w:id="1038"/>
    </w:p>
    <w:p>
      <w:pPr>
        <w:pStyle w:val="ySubsection"/>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 xml:space="preserve">if the small vessel is in the channel or water ski area of </w:t>
      </w:r>
      <w:smartTag w:uri="urn:schemas-microsoft-com:office:smarttags" w:element="place">
        <w:smartTag w:uri="urn:schemas-microsoft-com:office:smarttags" w:element="PlaceName">
          <w:r>
            <w:t>Geraldton</w:t>
          </w:r>
        </w:smartTag>
        <w:r>
          <w:t xml:space="preserve"> </w:t>
        </w:r>
        <w:smartTag w:uri="urn:schemas-microsoft-com:office:smarttags" w:element="PlaceType">
          <w:r>
            <w:t>Harbour</w:t>
          </w:r>
        </w:smartTag>
      </w:smartTag>
      <w:r>
        <w:t xml:space="preserve"> when the warning is given — it leaves the channel or water ski area immediately.</w:t>
      </w:r>
    </w:p>
    <w:p>
      <w:pPr>
        <w:pStyle w:val="ySubsection"/>
      </w:pPr>
      <w:r>
        <w:tab/>
        <w:t>(2)</w:t>
      </w:r>
      <w:r>
        <w:tab/>
        <w:t>A person who does not comply with subclause (1)(a) or (b) commits an offence.</w:t>
      </w:r>
    </w:p>
    <w:p>
      <w:pPr>
        <w:pStyle w:val="yPenstart"/>
      </w:pPr>
      <w:r>
        <w:tab/>
        <w:t>Penalty: $2 000.</w:t>
      </w:r>
    </w:p>
    <w:p>
      <w:pPr>
        <w:pStyle w:val="ySubsection"/>
      </w:pPr>
      <w:r>
        <w:tab/>
        <w:t>(3)</w:t>
      </w:r>
      <w:r>
        <w:tab/>
        <w:t>This subclause applies if the master of a small vessel has been authorised by the harbour master for the purposes of this clause.</w:t>
      </w:r>
    </w:p>
    <w:p>
      <w:pPr>
        <w:pStyle w:val="ySubsection"/>
      </w:pPr>
      <w:r>
        <w:tab/>
        <w:t>(4)</w:t>
      </w:r>
      <w:r>
        <w:tab/>
        <w:t xml:space="preserve">In this clause — </w:t>
      </w:r>
    </w:p>
    <w:p>
      <w:pPr>
        <w:pStyle w:val="yDefstart"/>
      </w:pPr>
      <w:r>
        <w:tab/>
      </w:r>
      <w:r>
        <w:rPr>
          <w:rStyle w:val="CharDefText"/>
        </w:rPr>
        <w:t>channel</w:t>
      </w:r>
      <w:r>
        <w:t xml:space="preserve">, </w:t>
      </w:r>
      <w:smartTag w:uri="urn:schemas-microsoft-com:office:smarttags" w:element="place">
        <w:smartTag w:uri="urn:schemas-microsoft-com:office:smarttags" w:element="PlaceName">
          <w:r>
            <w:rPr>
              <w:rStyle w:val="CharDefText"/>
            </w:rPr>
            <w:t>Geraldton</w:t>
          </w:r>
        </w:smartTag>
        <w:r>
          <w:rPr>
            <w:rStyle w:val="CharDefText"/>
          </w:rPr>
          <w:t xml:space="preserve"> </w:t>
        </w:r>
        <w:smartTag w:uri="urn:schemas-microsoft-com:office:smarttags" w:element="PlaceType">
          <w:r>
            <w:rPr>
              <w:rStyle w:val="CharDefText"/>
            </w:rPr>
            <w:t>Harbour</w:t>
          </w:r>
        </w:smartTag>
      </w:smartTag>
      <w:r>
        <w:t xml:space="preserve"> and </w:t>
      </w:r>
      <w:r>
        <w:rPr>
          <w:rStyle w:val="CharDefText"/>
        </w:rPr>
        <w:t>water ski area</w:t>
      </w:r>
      <w:r>
        <w:t xml:space="preserve"> are as indicated on Department of Transport Chart WA 939.</w:t>
      </w:r>
    </w:p>
    <w:p>
      <w:pPr>
        <w:pStyle w:val="yHeading5"/>
      </w:pPr>
      <w:bookmarkStart w:id="1039" w:name="_Toc408472013"/>
      <w:bookmarkStart w:id="1040" w:name="_Toc493069677"/>
      <w:bookmarkStart w:id="1041" w:name="_Toc461723925"/>
      <w:r>
        <w:rPr>
          <w:rStyle w:val="CharSClsNo"/>
        </w:rPr>
        <w:t>106A</w:t>
      </w:r>
      <w:r>
        <w:t>.</w:t>
      </w:r>
      <w:r>
        <w:tab/>
        <w:t>Unlicensed persons not to provide certain services</w:t>
      </w:r>
      <w:bookmarkEnd w:id="1039"/>
      <w:bookmarkEnd w:id="1040"/>
      <w:bookmarkEnd w:id="1041"/>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in Gazette 12 Jun 2007 p. 2690.]</w:t>
      </w:r>
    </w:p>
    <w:p>
      <w:pPr>
        <w:pStyle w:val="yHeading5"/>
      </w:pPr>
      <w:bookmarkStart w:id="1042" w:name="_Toc408472014"/>
      <w:bookmarkStart w:id="1043" w:name="_Toc493069678"/>
      <w:bookmarkStart w:id="1044" w:name="_Toc461723926"/>
      <w:r>
        <w:rPr>
          <w:rStyle w:val="CharSClsNo"/>
        </w:rPr>
        <w:t>106B</w:t>
      </w:r>
      <w:r>
        <w:t>.</w:t>
      </w:r>
      <w:r>
        <w:tab/>
        <w:t>Service provider’s licences</w:t>
      </w:r>
      <w:bookmarkEnd w:id="1042"/>
      <w:bookmarkEnd w:id="1043"/>
      <w:bookmarkEnd w:id="1044"/>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106B inserted in Gazette 12 Jun 2007 p. 2690</w:t>
      </w:r>
      <w:r>
        <w:noBreakHyphen/>
        <w:t>1.]</w:t>
      </w:r>
    </w:p>
    <w:p>
      <w:pPr>
        <w:pStyle w:val="yHeading3"/>
        <w:rPr>
          <w:rStyle w:val="CharSDivText"/>
        </w:rPr>
      </w:pPr>
      <w:bookmarkStart w:id="1045" w:name="_Toc408472015"/>
      <w:bookmarkStart w:id="1046" w:name="_Toc416945660"/>
      <w:bookmarkStart w:id="1047" w:name="_Toc416945999"/>
      <w:bookmarkStart w:id="1048" w:name="_Toc416946283"/>
      <w:bookmarkStart w:id="1049" w:name="_Toc417655853"/>
      <w:bookmarkStart w:id="1050" w:name="_Toc461722280"/>
      <w:bookmarkStart w:id="1051" w:name="_Toc461723927"/>
      <w:bookmarkStart w:id="1052" w:name="_Toc493069679"/>
      <w:r>
        <w:rPr>
          <w:rStyle w:val="CharSDivNo"/>
        </w:rPr>
        <w:t>Division 7</w:t>
      </w:r>
      <w:r>
        <w:t> — </w:t>
      </w:r>
      <w:r>
        <w:rPr>
          <w:rStyle w:val="CharSDivText"/>
        </w:rPr>
        <w:t>Port of Port Hedland</w:t>
      </w:r>
      <w:bookmarkEnd w:id="1045"/>
      <w:bookmarkEnd w:id="1046"/>
      <w:bookmarkEnd w:id="1047"/>
      <w:bookmarkEnd w:id="1048"/>
      <w:bookmarkEnd w:id="1049"/>
      <w:bookmarkEnd w:id="1050"/>
      <w:bookmarkEnd w:id="1051"/>
      <w:bookmarkEnd w:id="1052"/>
    </w:p>
    <w:p>
      <w:pPr>
        <w:pStyle w:val="yFootnoteheading"/>
      </w:pPr>
      <w:r>
        <w:tab/>
        <w:t>[Heading inserted in Gazette 20 Jun 2014 p. 2034.]</w:t>
      </w:r>
    </w:p>
    <w:p>
      <w:pPr>
        <w:pStyle w:val="yHeading5"/>
      </w:pPr>
      <w:bookmarkStart w:id="1053" w:name="_Toc408472016"/>
      <w:bookmarkStart w:id="1054" w:name="_Toc493069680"/>
      <w:bookmarkStart w:id="1055" w:name="_Toc461723928"/>
      <w:r>
        <w:rPr>
          <w:rStyle w:val="CharSClsNo"/>
        </w:rPr>
        <w:t>107</w:t>
      </w:r>
      <w:r>
        <w:t>.</w:t>
      </w:r>
      <w:r>
        <w:tab/>
        <w:t>Application of this Division</w:t>
      </w:r>
      <w:bookmarkEnd w:id="1053"/>
      <w:bookmarkEnd w:id="1054"/>
      <w:bookmarkEnd w:id="1055"/>
    </w:p>
    <w:p>
      <w:pPr>
        <w:pStyle w:val="ySubsection"/>
      </w:pPr>
      <w:r>
        <w:tab/>
      </w:r>
      <w:r>
        <w:tab/>
        <w:t>This Division applies to the Port of Port Hedland and the Pilbara Ports Authority.</w:t>
      </w:r>
    </w:p>
    <w:p>
      <w:pPr>
        <w:pStyle w:val="yFootnotesection"/>
      </w:pPr>
      <w:r>
        <w:tab/>
        <w:t>[Clause 107 inserted in Gazette 20 Jun 2014 p. 2034.]</w:t>
      </w:r>
    </w:p>
    <w:p>
      <w:pPr>
        <w:pStyle w:val="yHeading5"/>
      </w:pPr>
      <w:bookmarkStart w:id="1056" w:name="_Toc408472017"/>
      <w:bookmarkStart w:id="1057" w:name="_Toc493069681"/>
      <w:bookmarkStart w:id="1058" w:name="_Toc461723929"/>
      <w:r>
        <w:rPr>
          <w:rStyle w:val="CharSClsNo"/>
        </w:rPr>
        <w:t>107A</w:t>
      </w:r>
      <w:r>
        <w:t>.</w:t>
      </w:r>
      <w:r>
        <w:tab/>
        <w:t>Term used: service provider’s licence</w:t>
      </w:r>
      <w:bookmarkEnd w:id="1056"/>
      <w:bookmarkEnd w:id="1057"/>
      <w:bookmarkEnd w:id="1058"/>
    </w:p>
    <w:p>
      <w:pPr>
        <w:pStyle w:val="ySubsection"/>
        <w:spacing w:before="100"/>
      </w:pPr>
      <w:r>
        <w:tab/>
      </w:r>
      <w:r>
        <w:tab/>
        <w:t xml:space="preserve">In this Division — </w:t>
      </w:r>
    </w:p>
    <w:p>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pPr>
        <w:pStyle w:val="yFootnotesection"/>
      </w:pPr>
      <w:r>
        <w:tab/>
        <w:t>[Clause 107A inserted in Gazette 12 Jun 2007 p. 2692.]</w:t>
      </w:r>
    </w:p>
    <w:p>
      <w:pPr>
        <w:pStyle w:val="yHeading5"/>
      </w:pPr>
      <w:bookmarkStart w:id="1059" w:name="_Toc408472018"/>
      <w:bookmarkStart w:id="1060" w:name="_Toc493069682"/>
      <w:bookmarkStart w:id="1061" w:name="_Toc461723930"/>
      <w:r>
        <w:rPr>
          <w:rStyle w:val="CharSClsNo"/>
        </w:rPr>
        <w:t>108</w:t>
      </w:r>
      <w:r>
        <w:t>.</w:t>
      </w:r>
      <w:r>
        <w:tab/>
        <w:t>Riding animals and driving etc. vehicles on wharves, restrictions on</w:t>
      </w:r>
      <w:bookmarkEnd w:id="1059"/>
      <w:bookmarkEnd w:id="1060"/>
      <w:bookmarkEnd w:id="1061"/>
    </w:p>
    <w:p>
      <w:pPr>
        <w:pStyle w:val="ySubsection"/>
        <w:spacing w:before="100"/>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spacing w:before="240"/>
      </w:pPr>
      <w:bookmarkStart w:id="1062" w:name="_Toc408472019"/>
      <w:bookmarkStart w:id="1063" w:name="_Toc493069683"/>
      <w:bookmarkStart w:id="1064" w:name="_Toc461723931"/>
      <w:r>
        <w:rPr>
          <w:rStyle w:val="CharSClsNo"/>
        </w:rPr>
        <w:t>109</w:t>
      </w:r>
      <w:r>
        <w:t>.</w:t>
      </w:r>
      <w:r>
        <w:tab/>
        <w:t>Horse riding etc. prohibited in designated areas</w:t>
      </w:r>
      <w:bookmarkEnd w:id="1062"/>
      <w:bookmarkEnd w:id="1063"/>
      <w:bookmarkEnd w:id="1064"/>
      <w:r>
        <w:t xml:space="preserve"> </w:t>
      </w:r>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spacing w:before="240"/>
      </w:pPr>
      <w:bookmarkStart w:id="1065" w:name="_Toc408472020"/>
      <w:bookmarkStart w:id="1066" w:name="_Toc493069684"/>
      <w:bookmarkStart w:id="1067" w:name="_Toc461723932"/>
      <w:r>
        <w:rPr>
          <w:rStyle w:val="CharSClsNo"/>
        </w:rPr>
        <w:t>110</w:t>
      </w:r>
      <w:r>
        <w:t>.</w:t>
      </w:r>
      <w:r>
        <w:tab/>
        <w:t>Mooring and fishing in restricted area not permitted without authority</w:t>
      </w:r>
      <w:bookmarkEnd w:id="1065"/>
      <w:bookmarkEnd w:id="1066"/>
      <w:bookmarkEnd w:id="1067"/>
    </w:p>
    <w:p>
      <w:pPr>
        <w:pStyle w:val="ySubsection"/>
      </w:pPr>
      <w:r>
        <w:tab/>
        <w:t>(1)</w:t>
      </w:r>
      <w:r>
        <w:tab/>
        <w:t xml:space="preserve">Unless authorised in writing by the harbour master, a person must not — </w:t>
      </w:r>
    </w:p>
    <w:p>
      <w:pPr>
        <w:pStyle w:val="yIndenta"/>
      </w:pPr>
      <w:r>
        <w:tab/>
        <w:t>(a)</w:t>
      </w:r>
      <w:r>
        <w:tab/>
        <w:t>moor or anchor a vessel; or</w:t>
      </w:r>
    </w:p>
    <w:p>
      <w:pPr>
        <w:pStyle w:val="yIndenta"/>
        <w:keepNext/>
      </w:pPr>
      <w:r>
        <w:tab/>
        <w:t>(b)</w:t>
      </w:r>
      <w:r>
        <w:tab/>
        <w:t>fish,</w:t>
      </w:r>
    </w:p>
    <w:p>
      <w:pPr>
        <w:pStyle w:val="ySubsection"/>
      </w:pPr>
      <w:r>
        <w:tab/>
      </w:r>
      <w:r>
        <w:tab/>
        <w:t>in the restricted area.</w:t>
      </w:r>
    </w:p>
    <w:p>
      <w:pPr>
        <w:pStyle w:val="yPenstart"/>
      </w:pPr>
      <w:r>
        <w:tab/>
        <w:t>Penalty: $2 000.</w:t>
      </w:r>
    </w:p>
    <w:p>
      <w:pPr>
        <w:pStyle w:val="ySubsection"/>
        <w:spacing w:before="180"/>
      </w:pPr>
      <w:r>
        <w:tab/>
        <w:t>(2)</w:t>
      </w:r>
      <w:r>
        <w:tab/>
        <w:t xml:space="preserve">In subclause (1) — </w:t>
      </w:r>
    </w:p>
    <w:p>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Heading5"/>
        <w:spacing w:before="240"/>
      </w:pPr>
      <w:bookmarkStart w:id="1068" w:name="_Toc408472021"/>
      <w:bookmarkStart w:id="1069" w:name="_Toc493069685"/>
      <w:bookmarkStart w:id="1070" w:name="_Toc461723933"/>
      <w:r>
        <w:rPr>
          <w:rStyle w:val="CharSClsNo"/>
        </w:rPr>
        <w:t>110A</w:t>
      </w:r>
      <w:r>
        <w:t>.</w:t>
      </w:r>
      <w:r>
        <w:tab/>
        <w:t>Unlicensed persons not to provide certain services</w:t>
      </w:r>
      <w:bookmarkEnd w:id="1068"/>
      <w:bookmarkEnd w:id="1069"/>
      <w:bookmarkEnd w:id="1070"/>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in Gazette 12 Jun 2007 p. 2692.]</w:t>
      </w:r>
    </w:p>
    <w:p>
      <w:pPr>
        <w:pStyle w:val="yHeading5"/>
        <w:spacing w:before="240"/>
      </w:pPr>
      <w:bookmarkStart w:id="1071" w:name="_Toc408472022"/>
      <w:bookmarkStart w:id="1072" w:name="_Toc493069686"/>
      <w:bookmarkStart w:id="1073" w:name="_Toc461723934"/>
      <w:r>
        <w:rPr>
          <w:rStyle w:val="CharSClsNo"/>
        </w:rPr>
        <w:t>110B</w:t>
      </w:r>
      <w:r>
        <w:t>.</w:t>
      </w:r>
      <w:r>
        <w:tab/>
        <w:t>Service provider’s licences</w:t>
      </w:r>
      <w:bookmarkEnd w:id="1071"/>
      <w:bookmarkEnd w:id="1072"/>
      <w:bookmarkEnd w:id="1073"/>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in Gazette 12 Jun 2007 p. 2692</w:t>
      </w:r>
      <w:r>
        <w:noBreakHyphen/>
        <w:t>4.]</w:t>
      </w:r>
    </w:p>
    <w:p>
      <w:pPr>
        <w:pStyle w:val="yEdnoteschedule"/>
      </w:pPr>
      <w:r>
        <w:t xml:space="preserve">[Schedule 2 deleted in Gazette </w:t>
      </w:r>
      <w:r>
        <w:rPr>
          <w:rStyle w:val="CharDivNo"/>
        </w:rPr>
        <w:t>20 Jun 2014 p. </w:t>
      </w:r>
      <w:r>
        <w:t>2035.]</w:t>
      </w:r>
    </w:p>
    <w:p>
      <w:pPr>
        <w:sectPr>
          <w:headerReference w:type="even" r:id="rId21"/>
          <w:headerReference w:type="default" r:id="rId22"/>
          <w:pgSz w:w="11907" w:h="16840" w:code="9"/>
          <w:pgMar w:top="2381" w:right="2410" w:bottom="3544" w:left="2410" w:header="720" w:footer="3544" w:gutter="0"/>
          <w:cols w:space="720"/>
        </w:sectPr>
      </w:pPr>
      <w:bookmarkStart w:id="1075" w:name="_Toc408472023"/>
      <w:bookmarkStart w:id="1076" w:name="_Toc416945668"/>
      <w:bookmarkStart w:id="1077" w:name="_Toc416946007"/>
      <w:bookmarkStart w:id="1078" w:name="_Toc416946291"/>
      <w:bookmarkStart w:id="1079" w:name="_Toc417655861"/>
      <w:bookmarkStart w:id="1080" w:name="_Toc461722288"/>
      <w:bookmarkStart w:id="1081" w:name="_Toc461723935"/>
    </w:p>
    <w:p>
      <w:pPr>
        <w:pStyle w:val="yScheduleHeading"/>
      </w:pPr>
      <w:bookmarkStart w:id="1082" w:name="_Toc493069687"/>
      <w:r>
        <w:rPr>
          <w:rStyle w:val="CharSchNo"/>
        </w:rPr>
        <w:t>Schedule 3</w:t>
      </w:r>
      <w:r>
        <w:rPr>
          <w:rStyle w:val="CharSDivNo"/>
        </w:rPr>
        <w:t> </w:t>
      </w:r>
      <w:r>
        <w:t>—</w:t>
      </w:r>
      <w:r>
        <w:rPr>
          <w:rStyle w:val="CharSDivText"/>
        </w:rPr>
        <w:t> </w:t>
      </w:r>
      <w:r>
        <w:rPr>
          <w:rStyle w:val="CharSchText"/>
        </w:rPr>
        <w:t>Prescribed offences and modified penalties</w:t>
      </w:r>
      <w:bookmarkEnd w:id="1075"/>
      <w:bookmarkEnd w:id="1076"/>
      <w:bookmarkEnd w:id="1077"/>
      <w:bookmarkEnd w:id="1078"/>
      <w:bookmarkEnd w:id="1079"/>
      <w:bookmarkEnd w:id="1080"/>
      <w:bookmarkEnd w:id="1081"/>
      <w:bookmarkEnd w:id="1082"/>
    </w:p>
    <w:p>
      <w:pPr>
        <w:pStyle w:val="yShoulderClause"/>
        <w:spacing w:after="80"/>
      </w:pPr>
      <w:r>
        <w:t>[r. 108 &amp; 109]</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NAm"/>
              <w:spacing w:before="100"/>
            </w:pPr>
          </w:p>
        </w:tc>
        <w:tc>
          <w:tcPr>
            <w:tcW w:w="5387" w:type="dxa"/>
          </w:tcPr>
          <w:p>
            <w:pPr>
              <w:pStyle w:val="yTableNAm"/>
              <w:spacing w:before="100"/>
              <w:rPr>
                <w:b/>
              </w:rPr>
            </w:pPr>
            <w:r>
              <w:rPr>
                <w:b/>
              </w:rPr>
              <w:t>Prescribed offence</w:t>
            </w:r>
          </w:p>
        </w:tc>
        <w:tc>
          <w:tcPr>
            <w:tcW w:w="1134" w:type="dxa"/>
          </w:tcPr>
          <w:p>
            <w:pPr>
              <w:pStyle w:val="yTableNAm"/>
              <w:spacing w:before="100"/>
              <w:rPr>
                <w:b/>
              </w:rPr>
            </w:pPr>
            <w:r>
              <w:rPr>
                <w:b/>
              </w:rPr>
              <w:t>Modified penalty</w:t>
            </w:r>
          </w:p>
        </w:tc>
      </w:tr>
      <w:tr>
        <w:trPr>
          <w:cantSplit/>
        </w:trPr>
        <w:tc>
          <w:tcPr>
            <w:tcW w:w="709" w:type="dxa"/>
          </w:tcPr>
          <w:p>
            <w:pPr>
              <w:pStyle w:val="yTableNAm"/>
              <w:spacing w:before="100"/>
            </w:pPr>
          </w:p>
        </w:tc>
        <w:tc>
          <w:tcPr>
            <w:tcW w:w="5387" w:type="dxa"/>
          </w:tcPr>
          <w:p>
            <w:pPr>
              <w:pStyle w:val="yTableNAm"/>
              <w:spacing w:before="100"/>
              <w:rPr>
                <w:b/>
              </w:rPr>
            </w:pPr>
            <w:r>
              <w:rPr>
                <w:b/>
              </w:rPr>
              <w:t>General</w:t>
            </w:r>
          </w:p>
        </w:tc>
        <w:tc>
          <w:tcPr>
            <w:tcW w:w="1134" w:type="dxa"/>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rPr>
                <w:i/>
              </w:rPr>
            </w:pPr>
            <w:r>
              <w:rPr>
                <w:i/>
              </w:rPr>
              <w:t>[1.</w:t>
            </w:r>
          </w:p>
        </w:tc>
        <w:tc>
          <w:tcPr>
            <w:tcW w:w="5387" w:type="dxa"/>
            <w:tcBorders>
              <w:top w:val="nil"/>
              <w:left w:val="nil"/>
              <w:bottom w:val="nil"/>
              <w:right w:val="nil"/>
            </w:tcBorders>
          </w:tcPr>
          <w:p>
            <w:pPr>
              <w:pStyle w:val="yTableNAm"/>
              <w:spacing w:before="100"/>
            </w:pPr>
            <w:r>
              <w:rPr>
                <w:i/>
              </w:rPr>
              <w:t>deleted]</w:t>
            </w:r>
          </w:p>
        </w:tc>
        <w:tc>
          <w:tcPr>
            <w:tcW w:w="1134" w:type="dxa"/>
            <w:tcBorders>
              <w:top w:val="nil"/>
              <w:left w:val="nil"/>
              <w:bottom w:val="nil"/>
              <w:right w:val="nil"/>
            </w:tcBorders>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1A.</w:t>
            </w:r>
          </w:p>
        </w:tc>
        <w:tc>
          <w:tcPr>
            <w:tcW w:w="5387" w:type="dxa"/>
            <w:tcBorders>
              <w:top w:val="nil"/>
              <w:left w:val="nil"/>
              <w:bottom w:val="nil"/>
              <w:right w:val="nil"/>
            </w:tcBorders>
          </w:tcPr>
          <w:p>
            <w:pPr>
              <w:pStyle w:val="yTableNAm"/>
              <w:tabs>
                <w:tab w:val="clear" w:pos="567"/>
                <w:tab w:val="right" w:leader="dot" w:pos="5137"/>
              </w:tabs>
              <w:spacing w:before="100"/>
            </w:pPr>
            <w:r>
              <w:t>Regulation 13(2): failing to comply with a direction of an authorised member of staff to leave or keep off wharf</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1AA.</w:t>
            </w:r>
          </w:p>
        </w:tc>
        <w:tc>
          <w:tcPr>
            <w:tcW w:w="5387" w:type="dxa"/>
            <w:tcBorders>
              <w:top w:val="nil"/>
              <w:left w:val="nil"/>
              <w:bottom w:val="nil"/>
              <w:right w:val="nil"/>
            </w:tcBorders>
          </w:tcPr>
          <w:p>
            <w:pPr>
              <w:pStyle w:val="yTableNAm"/>
              <w:tabs>
                <w:tab w:val="clear" w:pos="567"/>
                <w:tab w:val="right" w:leader="dot" w:pos="5137"/>
              </w:tabs>
              <w:spacing w:before="100"/>
            </w:pPr>
            <w:r>
              <w:t>Regulation 71: placing or leaving dead animals or waste substances in a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1B.</w:t>
            </w:r>
          </w:p>
        </w:tc>
        <w:tc>
          <w:tcPr>
            <w:tcW w:w="5387" w:type="dxa"/>
            <w:tcBorders>
              <w:top w:val="nil"/>
              <w:left w:val="nil"/>
              <w:bottom w:val="nil"/>
              <w:right w:val="nil"/>
            </w:tcBorders>
          </w:tcPr>
          <w:p>
            <w:pPr>
              <w:pStyle w:val="yTableNAm"/>
              <w:tabs>
                <w:tab w:val="clear" w:pos="567"/>
                <w:tab w:val="right" w:leader="dot" w:pos="5137"/>
              </w:tabs>
              <w:spacing w:before="100"/>
            </w:pPr>
            <w:r>
              <w:t>Regulation 72: interfering with port authority notice, sign or notice board</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1C.</w:t>
            </w:r>
          </w:p>
        </w:tc>
        <w:tc>
          <w:tcPr>
            <w:tcW w:w="5387" w:type="dxa"/>
            <w:tcBorders>
              <w:top w:val="nil"/>
              <w:left w:val="nil"/>
              <w:bottom w:val="nil"/>
              <w:right w:val="nil"/>
            </w:tcBorders>
          </w:tcPr>
          <w:p>
            <w:pPr>
              <w:pStyle w:val="yTableNAm"/>
              <w:tabs>
                <w:tab w:val="clear" w:pos="567"/>
                <w:tab w:val="right" w:leader="dot" w:pos="5137"/>
              </w:tabs>
              <w:spacing w:before="100"/>
            </w:pPr>
            <w:r>
              <w:t>Regulation 73: unauthorised writing, painting or placing notices on port property</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1D.</w:t>
            </w:r>
          </w:p>
        </w:tc>
        <w:tc>
          <w:tcPr>
            <w:tcW w:w="5387" w:type="dxa"/>
            <w:tcBorders>
              <w:top w:val="nil"/>
              <w:left w:val="nil"/>
              <w:bottom w:val="nil"/>
              <w:right w:val="nil"/>
            </w:tcBorders>
          </w:tcPr>
          <w:p>
            <w:pPr>
              <w:pStyle w:val="yTableNAm"/>
              <w:tabs>
                <w:tab w:val="clear" w:pos="567"/>
                <w:tab w:val="right" w:leader="dot" w:pos="5137"/>
              </w:tabs>
              <w:spacing w:before="100"/>
            </w:pPr>
            <w:r>
              <w:t>Regulation 76(2): failing to comply with reasonable direction of authorised member of staff</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1E.</w:t>
            </w:r>
          </w:p>
        </w:tc>
        <w:tc>
          <w:tcPr>
            <w:tcW w:w="5387" w:type="dxa"/>
            <w:tcBorders>
              <w:top w:val="nil"/>
              <w:left w:val="nil"/>
              <w:bottom w:val="nil"/>
              <w:right w:val="nil"/>
            </w:tcBorders>
          </w:tcPr>
          <w:p>
            <w:pPr>
              <w:pStyle w:val="yTableNAm"/>
              <w:tabs>
                <w:tab w:val="clear" w:pos="567"/>
                <w:tab w:val="right" w:leader="dot" w:pos="5137"/>
              </w:tabs>
              <w:spacing w:before="100"/>
            </w:pPr>
            <w:r>
              <w:t>Regulation 77(1): unauthorised causing or permitting animal to enter, or remain in, a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1F.</w:t>
            </w:r>
          </w:p>
        </w:tc>
        <w:tc>
          <w:tcPr>
            <w:tcW w:w="5387" w:type="dxa"/>
            <w:tcBorders>
              <w:top w:val="nil"/>
              <w:left w:val="nil"/>
              <w:bottom w:val="nil"/>
              <w:right w:val="nil"/>
            </w:tcBorders>
          </w:tcPr>
          <w:p>
            <w:pPr>
              <w:pStyle w:val="yTableNAm"/>
              <w:tabs>
                <w:tab w:val="clear" w:pos="567"/>
                <w:tab w:val="right" w:leader="dot" w:pos="5137"/>
              </w:tabs>
              <w:spacing w:before="100"/>
            </w:pPr>
            <w:r>
              <w:t>Regulation 78(1): being drunk or behaving in a disorderly manner</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1G.</w:t>
            </w:r>
          </w:p>
        </w:tc>
        <w:tc>
          <w:tcPr>
            <w:tcW w:w="5387" w:type="dxa"/>
            <w:tcBorders>
              <w:top w:val="nil"/>
              <w:left w:val="nil"/>
              <w:bottom w:val="nil"/>
              <w:right w:val="nil"/>
            </w:tcBorders>
          </w:tcPr>
          <w:p>
            <w:pPr>
              <w:pStyle w:val="yTableNAm"/>
              <w:tabs>
                <w:tab w:val="clear" w:pos="567"/>
                <w:tab w:val="right" w:leader="dot" w:pos="5137"/>
              </w:tabs>
              <w:spacing w:before="100"/>
            </w:pPr>
            <w:r>
              <w:t>Regulation 83(1): unauthorised selling or supplying in a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1H.</w:t>
            </w:r>
          </w:p>
        </w:tc>
        <w:tc>
          <w:tcPr>
            <w:tcW w:w="5387" w:type="dxa"/>
            <w:tcBorders>
              <w:top w:val="nil"/>
              <w:left w:val="nil"/>
              <w:bottom w:val="nil"/>
              <w:right w:val="nil"/>
            </w:tcBorders>
          </w:tcPr>
          <w:p>
            <w:pPr>
              <w:pStyle w:val="yTableNAm"/>
              <w:tabs>
                <w:tab w:val="clear" w:pos="567"/>
                <w:tab w:val="right" w:leader="dot" w:pos="5137"/>
              </w:tabs>
              <w:spacing w:before="100"/>
            </w:pPr>
            <w:r>
              <w:t>Regulation 83(2): unauthorised soliciting of business in a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1I.</w:t>
            </w:r>
          </w:p>
        </w:tc>
        <w:tc>
          <w:tcPr>
            <w:tcW w:w="5387" w:type="dxa"/>
            <w:tcBorders>
              <w:top w:val="nil"/>
              <w:left w:val="nil"/>
              <w:bottom w:val="nil"/>
              <w:right w:val="nil"/>
            </w:tcBorders>
          </w:tcPr>
          <w:p>
            <w:pPr>
              <w:pStyle w:val="yTableNAm"/>
              <w:tabs>
                <w:tab w:val="clear" w:pos="567"/>
                <w:tab w:val="right" w:leader="dot" w:pos="5137"/>
              </w:tabs>
              <w:spacing w:before="100"/>
            </w:pPr>
            <w:r>
              <w:t>Regulation 90: unauthorised entry to closed area of port or closed port facility</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1J.</w:t>
            </w:r>
          </w:p>
        </w:tc>
        <w:tc>
          <w:tcPr>
            <w:tcW w:w="5387" w:type="dxa"/>
            <w:tcBorders>
              <w:top w:val="nil"/>
              <w:left w:val="nil"/>
              <w:bottom w:val="nil"/>
              <w:right w:val="nil"/>
            </w:tcBorders>
          </w:tcPr>
          <w:p>
            <w:pPr>
              <w:pStyle w:val="yTableNAm"/>
              <w:tabs>
                <w:tab w:val="clear" w:pos="567"/>
                <w:tab w:val="right" w:leader="dot" w:pos="5137"/>
              </w:tabs>
              <w:spacing w:before="100"/>
            </w:pPr>
            <w:r>
              <w:t>Regulation 91(1): unauthorised fishing in designated area of a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1JA.</w:t>
            </w:r>
          </w:p>
        </w:tc>
        <w:tc>
          <w:tcPr>
            <w:tcW w:w="5387" w:type="dxa"/>
            <w:tcBorders>
              <w:top w:val="nil"/>
              <w:left w:val="nil"/>
              <w:bottom w:val="nil"/>
              <w:right w:val="nil"/>
            </w:tcBorders>
          </w:tcPr>
          <w:p>
            <w:pPr>
              <w:pStyle w:val="yTableNAm"/>
              <w:tabs>
                <w:tab w:val="clear" w:pos="567"/>
                <w:tab w:val="right" w:leader="dot" w:pos="5137"/>
              </w:tabs>
              <w:spacing w:before="100"/>
            </w:pPr>
            <w:r>
              <w:t>Regulation 92(1): obstruction of navigable waters by fishing gear</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1K.</w:t>
            </w:r>
          </w:p>
        </w:tc>
        <w:tc>
          <w:tcPr>
            <w:tcW w:w="5387" w:type="dxa"/>
            <w:tcBorders>
              <w:top w:val="nil"/>
              <w:left w:val="nil"/>
              <w:bottom w:val="nil"/>
              <w:right w:val="nil"/>
            </w:tcBorders>
          </w:tcPr>
          <w:p>
            <w:pPr>
              <w:pStyle w:val="yTableNAm"/>
              <w:tabs>
                <w:tab w:val="clear" w:pos="567"/>
                <w:tab w:val="right" w:leader="dot" w:pos="5137"/>
              </w:tabs>
              <w:spacing w:before="100"/>
            </w:pPr>
            <w:r>
              <w:t>Regulation 94(1): unauthorised camping in a port</w:t>
            </w:r>
            <w:r>
              <w:tab/>
            </w:r>
          </w:p>
        </w:tc>
        <w:tc>
          <w:tcPr>
            <w:tcW w:w="1134" w:type="dxa"/>
            <w:tcBorders>
              <w:top w:val="nil"/>
              <w:left w:val="nil"/>
              <w:bottom w:val="nil"/>
              <w:right w:val="nil"/>
            </w:tcBorders>
          </w:tcPr>
          <w:p>
            <w:pPr>
              <w:pStyle w:val="yTableNAm"/>
              <w:spacing w:before="100"/>
            </w:pPr>
            <w:r>
              <w:t>$200.00</w:t>
            </w:r>
          </w:p>
        </w:tc>
      </w:tr>
      <w:tr>
        <w:trPr>
          <w:cantSplit/>
        </w:trPr>
        <w:tc>
          <w:tcPr>
            <w:tcW w:w="709" w:type="dxa"/>
          </w:tcPr>
          <w:p>
            <w:pPr>
              <w:pStyle w:val="yTableNAm"/>
              <w:spacing w:before="100"/>
            </w:pPr>
            <w:r>
              <w:t>2.</w:t>
            </w:r>
          </w:p>
        </w:tc>
        <w:tc>
          <w:tcPr>
            <w:tcW w:w="5387" w:type="dxa"/>
          </w:tcPr>
          <w:p>
            <w:pPr>
              <w:pStyle w:val="yTableNAm"/>
              <w:tabs>
                <w:tab w:val="clear" w:pos="567"/>
                <w:tab w:val="right" w:leader="dot" w:pos="5137"/>
              </w:tabs>
              <w:spacing w:before="100"/>
            </w:pPr>
            <w:r>
              <w:t>Regulation 103: failing to comply with a traffic sign</w:t>
            </w:r>
            <w:r>
              <w:tab/>
            </w:r>
          </w:p>
        </w:tc>
        <w:tc>
          <w:tcPr>
            <w:tcW w:w="1134" w:type="dxa"/>
          </w:tcPr>
          <w:p>
            <w:pPr>
              <w:pStyle w:val="yTableNAm"/>
              <w:spacing w:before="100"/>
            </w:pPr>
            <w:r>
              <w:t>$80.00</w:t>
            </w:r>
          </w:p>
        </w:tc>
      </w:tr>
      <w:tr>
        <w:trPr>
          <w:cantSplit/>
        </w:trPr>
        <w:tc>
          <w:tcPr>
            <w:tcW w:w="709" w:type="dxa"/>
          </w:tcPr>
          <w:p>
            <w:pPr>
              <w:pStyle w:val="yTableNAm"/>
              <w:spacing w:before="100"/>
            </w:pPr>
            <w:r>
              <w:t>3.</w:t>
            </w:r>
          </w:p>
        </w:tc>
        <w:tc>
          <w:tcPr>
            <w:tcW w:w="5387" w:type="dxa"/>
          </w:tcPr>
          <w:p>
            <w:pPr>
              <w:pStyle w:val="yTableNAm"/>
              <w:tabs>
                <w:tab w:val="clear" w:pos="567"/>
                <w:tab w:val="right" w:leader="dot" w:pos="5137"/>
              </w:tabs>
              <w:spacing w:before="100"/>
            </w:pPr>
            <w:r>
              <w:t>Regulation 104(2): stopping a vehicle (other than an over</w:t>
            </w:r>
            <w:r>
              <w:noBreakHyphen/>
              <w:t>length vehicle) in a no</w:t>
            </w:r>
            <w:r>
              <w:noBreakHyphen/>
              <w:t>stopping area</w:t>
            </w:r>
            <w:r>
              <w:tab/>
            </w:r>
          </w:p>
        </w:tc>
        <w:tc>
          <w:tcPr>
            <w:tcW w:w="1134" w:type="dxa"/>
          </w:tcPr>
          <w:p>
            <w:pPr>
              <w:pStyle w:val="yTableNAm"/>
              <w:spacing w:before="100"/>
            </w:pPr>
            <w:r>
              <w:br/>
              <w:t>$40.00</w:t>
            </w:r>
          </w:p>
        </w:tc>
      </w:tr>
      <w:tr>
        <w:trPr>
          <w:cantSplit/>
        </w:trPr>
        <w:tc>
          <w:tcPr>
            <w:tcW w:w="709" w:type="dxa"/>
          </w:tcPr>
          <w:p>
            <w:pPr>
              <w:pStyle w:val="yTableNAm"/>
              <w:spacing w:before="100"/>
            </w:pPr>
            <w:r>
              <w:t>4.</w:t>
            </w:r>
          </w:p>
        </w:tc>
        <w:tc>
          <w:tcPr>
            <w:tcW w:w="5387" w:type="dxa"/>
          </w:tcPr>
          <w:p>
            <w:pPr>
              <w:pStyle w:val="yTableNAm"/>
              <w:tabs>
                <w:tab w:val="clear" w:pos="567"/>
                <w:tab w:val="right" w:leader="dot" w:pos="5137"/>
              </w:tabs>
              <w:spacing w:before="100"/>
            </w:pPr>
            <w:r>
              <w:t>Regulation 104(2): stopping an over</w:t>
            </w:r>
            <w:r>
              <w:noBreakHyphen/>
              <w:t>length vehicle in a no</w:t>
            </w:r>
            <w:r>
              <w:noBreakHyphen/>
              <w:t>stopping area</w:t>
            </w:r>
            <w:r>
              <w:tab/>
            </w:r>
          </w:p>
        </w:tc>
        <w:tc>
          <w:tcPr>
            <w:tcW w:w="1134" w:type="dxa"/>
          </w:tcPr>
          <w:p>
            <w:pPr>
              <w:pStyle w:val="yTableNAm"/>
              <w:spacing w:before="100"/>
            </w:pPr>
            <w:r>
              <w:br/>
              <w:t>$80.00</w:t>
            </w:r>
          </w:p>
        </w:tc>
      </w:tr>
      <w:tr>
        <w:trPr>
          <w:cantSplit/>
        </w:trPr>
        <w:tc>
          <w:tcPr>
            <w:tcW w:w="709" w:type="dxa"/>
          </w:tcPr>
          <w:p>
            <w:pPr>
              <w:pStyle w:val="yTableNAm"/>
              <w:spacing w:before="100"/>
            </w:pPr>
            <w:r>
              <w:t>5.</w:t>
            </w:r>
          </w:p>
        </w:tc>
        <w:tc>
          <w:tcPr>
            <w:tcW w:w="5387" w:type="dxa"/>
          </w:tcPr>
          <w:p>
            <w:pPr>
              <w:pStyle w:val="yTableNAm"/>
              <w:tabs>
                <w:tab w:val="clear" w:pos="567"/>
                <w:tab w:val="right" w:leader="dot" w:pos="5137"/>
              </w:tabs>
              <w:spacing w:before="100"/>
            </w:pPr>
            <w:r>
              <w:t>Regulation 105(3)(a): parking a vehicle (other than an over</w:t>
            </w:r>
            <w:r>
              <w:noBreakHyphen/>
              <w:t>length vehicle) in a parking area otherwise than in accordance with a notice, sign, etc.</w:t>
            </w:r>
            <w:r>
              <w:tab/>
            </w:r>
          </w:p>
        </w:tc>
        <w:tc>
          <w:tcPr>
            <w:tcW w:w="1134" w:type="dxa"/>
          </w:tcPr>
          <w:p>
            <w:pPr>
              <w:pStyle w:val="yTableNAm"/>
              <w:spacing w:before="100"/>
            </w:pPr>
            <w:r>
              <w:br/>
            </w:r>
            <w:r>
              <w:br/>
              <w:t>$40.00</w:t>
            </w:r>
          </w:p>
        </w:tc>
      </w:tr>
      <w:tr>
        <w:trPr>
          <w:cantSplit/>
        </w:trPr>
        <w:tc>
          <w:tcPr>
            <w:tcW w:w="709" w:type="dxa"/>
          </w:tcPr>
          <w:p>
            <w:pPr>
              <w:pStyle w:val="yTableNAm"/>
              <w:spacing w:before="100"/>
            </w:pPr>
            <w:r>
              <w:t>6.</w:t>
            </w:r>
          </w:p>
        </w:tc>
        <w:tc>
          <w:tcPr>
            <w:tcW w:w="5387" w:type="dxa"/>
          </w:tcPr>
          <w:p>
            <w:pPr>
              <w:pStyle w:val="yTableNAm"/>
              <w:tabs>
                <w:tab w:val="clear" w:pos="567"/>
                <w:tab w:val="right" w:leader="dot" w:pos="5137"/>
              </w:tabs>
              <w:spacing w:before="100"/>
            </w:pPr>
            <w:r>
              <w:t>Regulation 105(3)(a): parking an over</w:t>
            </w:r>
            <w:r>
              <w:noBreakHyphen/>
              <w:t>length vehicle in a parking area otherwise than in accordance with a notice, sign, etc.</w:t>
            </w:r>
            <w:r>
              <w:tab/>
            </w:r>
          </w:p>
        </w:tc>
        <w:tc>
          <w:tcPr>
            <w:tcW w:w="1134" w:type="dxa"/>
          </w:tcPr>
          <w:p>
            <w:pPr>
              <w:pStyle w:val="yTableNAm"/>
              <w:spacing w:before="100"/>
            </w:pPr>
            <w:r>
              <w:br/>
            </w:r>
            <w:r>
              <w:br/>
              <w:t>$80.00</w:t>
            </w:r>
          </w:p>
        </w:tc>
      </w:tr>
      <w:tr>
        <w:trPr>
          <w:cantSplit/>
        </w:trPr>
        <w:tc>
          <w:tcPr>
            <w:tcW w:w="709" w:type="dxa"/>
          </w:tcPr>
          <w:p>
            <w:pPr>
              <w:pStyle w:val="yTableNAm"/>
              <w:spacing w:before="100"/>
            </w:pPr>
            <w:r>
              <w:t>7.</w:t>
            </w:r>
          </w:p>
        </w:tc>
        <w:tc>
          <w:tcPr>
            <w:tcW w:w="5387" w:type="dxa"/>
          </w:tcPr>
          <w:p>
            <w:pPr>
              <w:pStyle w:val="yTableNAm"/>
              <w:spacing w:before="100"/>
            </w:pPr>
            <w:r>
              <w:t>Regulation 105(3)(b): parking a vehicle (other than an over</w:t>
            </w:r>
            <w:r>
              <w:noBreakHyphen/>
              <w:t>length vehicle) in a no</w:t>
            </w:r>
            <w:r>
              <w:noBreakHyphen/>
              <w:t>parking area ...........................</w:t>
            </w:r>
          </w:p>
        </w:tc>
        <w:tc>
          <w:tcPr>
            <w:tcW w:w="1134" w:type="dxa"/>
          </w:tcPr>
          <w:p>
            <w:pPr>
              <w:pStyle w:val="yTableNAm"/>
              <w:spacing w:before="100"/>
            </w:pPr>
            <w:r>
              <w:br/>
              <w:t>$40.00</w:t>
            </w:r>
          </w:p>
        </w:tc>
      </w:tr>
      <w:tr>
        <w:trPr>
          <w:cantSplit/>
        </w:trPr>
        <w:tc>
          <w:tcPr>
            <w:tcW w:w="709" w:type="dxa"/>
          </w:tcPr>
          <w:p>
            <w:pPr>
              <w:pStyle w:val="yTableNAm"/>
              <w:spacing w:before="100"/>
            </w:pPr>
            <w:r>
              <w:t>8.</w:t>
            </w:r>
          </w:p>
        </w:tc>
        <w:tc>
          <w:tcPr>
            <w:tcW w:w="5387" w:type="dxa"/>
          </w:tcPr>
          <w:p>
            <w:pPr>
              <w:pStyle w:val="yTableNAm"/>
              <w:spacing w:before="100"/>
            </w:pPr>
            <w:r>
              <w:t>Regulation 105(3)(b): parking an over</w:t>
            </w:r>
            <w:r>
              <w:noBreakHyphen/>
              <w:t>length vehicle in a no</w:t>
            </w:r>
            <w:r>
              <w:noBreakHyphen/>
              <w:t>parking area ...................................................................</w:t>
            </w:r>
          </w:p>
        </w:tc>
        <w:tc>
          <w:tcPr>
            <w:tcW w:w="1134" w:type="dxa"/>
          </w:tcPr>
          <w:p>
            <w:pPr>
              <w:pStyle w:val="yTableNAm"/>
              <w:spacing w:before="100"/>
            </w:pPr>
            <w:r>
              <w:br/>
              <w:t>$80.00</w:t>
            </w:r>
          </w:p>
        </w:tc>
      </w:tr>
      <w:tr>
        <w:trPr>
          <w:cantSplit/>
        </w:trPr>
        <w:tc>
          <w:tcPr>
            <w:tcW w:w="709" w:type="dxa"/>
          </w:tcPr>
          <w:p>
            <w:pPr>
              <w:pStyle w:val="yTableNAm"/>
              <w:spacing w:before="100"/>
            </w:pPr>
            <w:r>
              <w:t>8A.</w:t>
            </w:r>
          </w:p>
        </w:tc>
        <w:tc>
          <w:tcPr>
            <w:tcW w:w="5387" w:type="dxa"/>
          </w:tcPr>
          <w:p>
            <w:pPr>
              <w:pStyle w:val="yTableNAm"/>
              <w:spacing w:before="100"/>
            </w:pPr>
            <w:r>
              <w:t>Regulation 115(2): giving false name or address to, or failing to comply with direction of, an authorised officer ..</w:t>
            </w:r>
          </w:p>
        </w:tc>
        <w:tc>
          <w:tcPr>
            <w:tcW w:w="1134" w:type="dxa"/>
          </w:tcPr>
          <w:p>
            <w:pPr>
              <w:pStyle w:val="yTableNAm"/>
              <w:spacing w:before="100"/>
            </w:pPr>
            <w:r>
              <w:br/>
              <w:t>$200.00</w:t>
            </w:r>
          </w:p>
        </w:tc>
      </w:tr>
      <w:tr>
        <w:trPr>
          <w:cantSplit/>
        </w:trPr>
        <w:tc>
          <w:tcPr>
            <w:tcW w:w="709" w:type="dxa"/>
          </w:tcPr>
          <w:p>
            <w:pPr>
              <w:pStyle w:val="yTableNAm"/>
              <w:spacing w:before="100"/>
            </w:pPr>
          </w:p>
        </w:tc>
        <w:tc>
          <w:tcPr>
            <w:tcW w:w="5387" w:type="dxa"/>
          </w:tcPr>
          <w:p>
            <w:pPr>
              <w:pStyle w:val="yTableNAm"/>
              <w:spacing w:before="100"/>
              <w:rPr>
                <w:b/>
              </w:rPr>
            </w:pPr>
            <w:r>
              <w:rPr>
                <w:b/>
              </w:rPr>
              <w:t>Port of Ashburton and Port of Dampier</w:t>
            </w:r>
          </w:p>
        </w:tc>
        <w:tc>
          <w:tcPr>
            <w:tcW w:w="1134" w:type="dxa"/>
          </w:tcPr>
          <w:p>
            <w:pPr>
              <w:pStyle w:val="yTableNAm"/>
              <w:spacing w:before="100"/>
            </w:pPr>
          </w:p>
        </w:tc>
      </w:tr>
      <w:tr>
        <w:trPr>
          <w:cantSplit/>
        </w:trPr>
        <w:tc>
          <w:tcPr>
            <w:tcW w:w="709" w:type="dxa"/>
          </w:tcPr>
          <w:p>
            <w:pPr>
              <w:pStyle w:val="yTableNAm"/>
              <w:spacing w:before="100"/>
            </w:pPr>
            <w:r>
              <w:t>9.</w:t>
            </w:r>
          </w:p>
        </w:tc>
        <w:tc>
          <w:tcPr>
            <w:tcW w:w="5387" w:type="dxa"/>
          </w:tcPr>
          <w:p>
            <w:pPr>
              <w:pStyle w:val="yTableNAm"/>
              <w:tabs>
                <w:tab w:val="clear" w:pos="567"/>
                <w:tab w:val="right" w:leader="dot" w:pos="5137"/>
              </w:tabs>
              <w:spacing w:before="100"/>
            </w:pPr>
            <w:r>
              <w:t>Schedule </w:t>
            </w:r>
            <w:r>
              <w:rPr>
                <w:snapToGrid w:val="0"/>
              </w:rPr>
              <w:t>1</w:t>
            </w:r>
            <w:r>
              <w:t xml:space="preserve"> </w:t>
            </w:r>
            <w:r>
              <w:rPr>
                <w:szCs w:val="22"/>
              </w:rPr>
              <w:t>clause 38(2): vessel entering boating safety exclusion zone</w:t>
            </w:r>
            <w:r>
              <w:tab/>
            </w:r>
          </w:p>
        </w:tc>
        <w:tc>
          <w:tcPr>
            <w:tcW w:w="1134" w:type="dxa"/>
          </w:tcPr>
          <w:p>
            <w:pPr>
              <w:pStyle w:val="yTableNAm"/>
              <w:spacing w:before="100"/>
            </w:pPr>
            <w:r>
              <w:br/>
              <w:t>$200.00</w:t>
            </w:r>
          </w:p>
        </w:tc>
      </w:tr>
      <w:tr>
        <w:trPr>
          <w:cantSplit/>
        </w:trPr>
        <w:tc>
          <w:tcPr>
            <w:tcW w:w="709" w:type="dxa"/>
          </w:tcPr>
          <w:p>
            <w:pPr>
              <w:pStyle w:val="yTableNAm"/>
              <w:spacing w:before="100"/>
            </w:pPr>
            <w:r>
              <w:t>10.</w:t>
            </w:r>
          </w:p>
        </w:tc>
        <w:tc>
          <w:tcPr>
            <w:tcW w:w="5387" w:type="dxa"/>
          </w:tcPr>
          <w:p>
            <w:pPr>
              <w:pStyle w:val="yTableNAm"/>
              <w:tabs>
                <w:tab w:val="clear" w:pos="567"/>
                <w:tab w:val="right" w:leader="dot" w:pos="5137"/>
              </w:tabs>
              <w:spacing w:before="100"/>
            </w:pPr>
            <w:r>
              <w:t>Schedule </w:t>
            </w:r>
            <w:r>
              <w:rPr>
                <w:snapToGrid w:val="0"/>
              </w:rPr>
              <w:t>1</w:t>
            </w:r>
            <w:r>
              <w:t xml:space="preserve"> clause 39(2): failing to produce on demand certificate of tonnage and certificate of registry etc.</w:t>
            </w:r>
            <w:r>
              <w:tab/>
            </w:r>
          </w:p>
        </w:tc>
        <w:tc>
          <w:tcPr>
            <w:tcW w:w="1134" w:type="dxa"/>
          </w:tcPr>
          <w:p>
            <w:pPr>
              <w:pStyle w:val="yTableNAm"/>
              <w:spacing w:before="100"/>
            </w:pPr>
            <w:r>
              <w:br/>
              <w:t>$200.00</w:t>
            </w:r>
          </w:p>
        </w:tc>
      </w:tr>
      <w:tr>
        <w:trPr>
          <w:cantSplit/>
        </w:trPr>
        <w:tc>
          <w:tcPr>
            <w:tcW w:w="709" w:type="dxa"/>
          </w:tcPr>
          <w:p>
            <w:pPr>
              <w:pStyle w:val="yTableNAm"/>
              <w:spacing w:before="100"/>
            </w:pPr>
            <w:r>
              <w:t>11.</w:t>
            </w:r>
          </w:p>
        </w:tc>
        <w:tc>
          <w:tcPr>
            <w:tcW w:w="5387" w:type="dxa"/>
          </w:tcPr>
          <w:p>
            <w:pPr>
              <w:pStyle w:val="yTableNAm"/>
              <w:tabs>
                <w:tab w:val="clear" w:pos="567"/>
                <w:tab w:val="right" w:leader="dot" w:pos="5137"/>
              </w:tabs>
              <w:spacing w:before="100"/>
            </w:pPr>
            <w:r>
              <w:t>Schedule </w:t>
            </w:r>
            <w:r>
              <w:rPr>
                <w:snapToGrid w:val="0"/>
              </w:rPr>
              <w:t>1</w:t>
            </w:r>
            <w:r>
              <w:t xml:space="preserve"> clause 41(1): operating propeller of a vessel moored to a wharf</w:t>
            </w:r>
            <w:r>
              <w:tab/>
            </w:r>
          </w:p>
        </w:tc>
        <w:tc>
          <w:tcPr>
            <w:tcW w:w="1134" w:type="dxa"/>
          </w:tcPr>
          <w:p>
            <w:pPr>
              <w:pStyle w:val="yTableNAm"/>
              <w:spacing w:before="100"/>
            </w:pPr>
            <w:r>
              <w:br/>
              <w:t>$200.00</w:t>
            </w:r>
          </w:p>
        </w:tc>
      </w:tr>
      <w:tr>
        <w:trPr>
          <w:cantSplit/>
        </w:trPr>
        <w:tc>
          <w:tcPr>
            <w:tcW w:w="709" w:type="dxa"/>
          </w:tcPr>
          <w:p>
            <w:pPr>
              <w:pStyle w:val="yTableNAm"/>
              <w:spacing w:before="100"/>
            </w:pPr>
            <w:r>
              <w:t>12.</w:t>
            </w:r>
          </w:p>
        </w:tc>
        <w:tc>
          <w:tcPr>
            <w:tcW w:w="5387" w:type="dxa"/>
          </w:tcPr>
          <w:p>
            <w:pPr>
              <w:pStyle w:val="yTableNAm"/>
              <w:tabs>
                <w:tab w:val="clear" w:pos="567"/>
                <w:tab w:val="right" w:leader="dot" w:pos="5137"/>
              </w:tabs>
              <w:spacing w:before="100"/>
            </w:pPr>
            <w:r>
              <w:t>Schedule </w:t>
            </w:r>
            <w:r>
              <w:rPr>
                <w:snapToGrid w:val="0"/>
              </w:rPr>
              <w:t>1</w:t>
            </w:r>
            <w:r>
              <w:t xml:space="preserve"> clause 45(1): unauthorised bunkering of a vessel</w:t>
            </w:r>
            <w:r>
              <w:tab/>
            </w:r>
          </w:p>
        </w:tc>
        <w:tc>
          <w:tcPr>
            <w:tcW w:w="1134" w:type="dxa"/>
          </w:tcPr>
          <w:p>
            <w:pPr>
              <w:pStyle w:val="yTableNAm"/>
              <w:spacing w:before="100"/>
            </w:pPr>
            <w:r>
              <w:br/>
              <w:t>$200.00</w:t>
            </w:r>
          </w:p>
        </w:tc>
      </w:tr>
      <w:tr>
        <w:trPr>
          <w:cantSplit/>
        </w:trPr>
        <w:tc>
          <w:tcPr>
            <w:tcW w:w="709" w:type="dxa"/>
          </w:tcPr>
          <w:p>
            <w:pPr>
              <w:pStyle w:val="yTableNAm"/>
              <w:spacing w:before="100"/>
            </w:pPr>
            <w:r>
              <w:t>13.</w:t>
            </w:r>
          </w:p>
        </w:tc>
        <w:tc>
          <w:tcPr>
            <w:tcW w:w="5387" w:type="dxa"/>
          </w:tcPr>
          <w:p>
            <w:pPr>
              <w:pStyle w:val="yTableNAm"/>
              <w:tabs>
                <w:tab w:val="clear" w:pos="567"/>
                <w:tab w:val="right" w:leader="dot" w:pos="5137"/>
              </w:tabs>
              <w:spacing w:before="100"/>
            </w:pPr>
            <w:r>
              <w:t>Schedule </w:t>
            </w:r>
            <w:r>
              <w:rPr>
                <w:snapToGrid w:val="0"/>
              </w:rPr>
              <w:t>1</w:t>
            </w:r>
            <w:r>
              <w:t xml:space="preserve"> clause 45(3): failing to notify harbour master of beginning and end of bunkering</w:t>
            </w:r>
            <w:r>
              <w:tab/>
            </w:r>
          </w:p>
        </w:tc>
        <w:tc>
          <w:tcPr>
            <w:tcW w:w="1134" w:type="dxa"/>
          </w:tcPr>
          <w:p>
            <w:pPr>
              <w:pStyle w:val="yTableNAm"/>
              <w:spacing w:before="100"/>
            </w:pPr>
            <w:r>
              <w:br/>
              <w:t>$200.00</w:t>
            </w:r>
          </w:p>
        </w:tc>
      </w:tr>
      <w:tr>
        <w:trPr>
          <w:cantSplit/>
        </w:trPr>
        <w:tc>
          <w:tcPr>
            <w:tcW w:w="709" w:type="dxa"/>
          </w:tcPr>
          <w:p>
            <w:pPr>
              <w:pStyle w:val="yTableNAm"/>
              <w:spacing w:before="100"/>
            </w:pPr>
            <w:r>
              <w:t>14.</w:t>
            </w:r>
          </w:p>
        </w:tc>
        <w:tc>
          <w:tcPr>
            <w:tcW w:w="5387" w:type="dxa"/>
          </w:tcPr>
          <w:p>
            <w:pPr>
              <w:pStyle w:val="yTableNAm"/>
              <w:tabs>
                <w:tab w:val="clear" w:pos="567"/>
                <w:tab w:val="right" w:leader="dot" w:pos="5137"/>
              </w:tabs>
              <w:spacing w:before="100"/>
            </w:pPr>
            <w:r>
              <w:t>Schedule </w:t>
            </w:r>
            <w:r>
              <w:rPr>
                <w:snapToGrid w:val="0"/>
              </w:rPr>
              <w:t>1</w:t>
            </w:r>
            <w:r>
              <w:t xml:space="preserve"> clause 47(2): failing to ensure a private vessel does not impede passage of commercial vessel or keeps safe distance from commercial vessel</w:t>
            </w:r>
            <w:r>
              <w:tab/>
            </w:r>
          </w:p>
        </w:tc>
        <w:tc>
          <w:tcPr>
            <w:tcW w:w="1134" w:type="dxa"/>
          </w:tcPr>
          <w:p>
            <w:pPr>
              <w:pStyle w:val="yTableNAm"/>
              <w:spacing w:before="100"/>
            </w:pPr>
            <w:r>
              <w:br/>
            </w:r>
            <w:r>
              <w:br/>
              <w:t>$200.00</w:t>
            </w:r>
          </w:p>
        </w:tc>
      </w:tr>
      <w:tr>
        <w:trPr>
          <w:cantSplit/>
        </w:trPr>
        <w:tc>
          <w:tcPr>
            <w:tcW w:w="709" w:type="dxa"/>
          </w:tcPr>
          <w:p>
            <w:pPr>
              <w:pStyle w:val="yTableNAm"/>
              <w:spacing w:before="100"/>
            </w:pPr>
            <w:r>
              <w:t>15.</w:t>
            </w:r>
          </w:p>
        </w:tc>
        <w:tc>
          <w:tcPr>
            <w:tcW w:w="5387" w:type="dxa"/>
          </w:tcPr>
          <w:p>
            <w:pPr>
              <w:pStyle w:val="yTableNAm"/>
              <w:tabs>
                <w:tab w:val="clear" w:pos="567"/>
                <w:tab w:val="right" w:leader="dot" w:pos="5137"/>
              </w:tabs>
              <w:spacing w:before="100"/>
            </w:pPr>
            <w:r>
              <w:t>Schedule </w:t>
            </w:r>
            <w:r>
              <w:rPr>
                <w:snapToGrid w:val="0"/>
              </w:rPr>
              <w:t>1</w:t>
            </w:r>
            <w:r>
              <w:t xml:space="preserve"> clause 48(1): failing to ensure no fishing from a fishing vessel in a channel, fairway, etc.</w:t>
            </w:r>
            <w:r>
              <w:tab/>
            </w:r>
          </w:p>
        </w:tc>
        <w:tc>
          <w:tcPr>
            <w:tcW w:w="1134" w:type="dxa"/>
          </w:tcPr>
          <w:p>
            <w:pPr>
              <w:pStyle w:val="yTableNAm"/>
              <w:spacing w:before="100"/>
            </w:pPr>
            <w:r>
              <w:br/>
              <w:t>$500.00</w:t>
            </w:r>
          </w:p>
        </w:tc>
      </w:tr>
      <w:tr>
        <w:trPr>
          <w:cantSplit/>
        </w:trPr>
        <w:tc>
          <w:tcPr>
            <w:tcW w:w="709" w:type="dxa"/>
          </w:tcPr>
          <w:p>
            <w:pPr>
              <w:pStyle w:val="yTableNAm"/>
              <w:spacing w:before="100"/>
            </w:pPr>
            <w:r>
              <w:t>16.</w:t>
            </w:r>
          </w:p>
        </w:tc>
        <w:tc>
          <w:tcPr>
            <w:tcW w:w="5387" w:type="dxa"/>
          </w:tcPr>
          <w:p>
            <w:pPr>
              <w:pStyle w:val="yTableNAm"/>
              <w:tabs>
                <w:tab w:val="clear" w:pos="567"/>
                <w:tab w:val="right" w:leader="dot" w:pos="5137"/>
              </w:tabs>
              <w:spacing w:before="100"/>
            </w:pPr>
            <w:r>
              <w:t>Schedule </w:t>
            </w:r>
            <w:r>
              <w:rPr>
                <w:snapToGrid w:val="0"/>
              </w:rPr>
              <w:t>1</w:t>
            </w:r>
            <w:r>
              <w:t xml:space="preserve"> clause 48(3): failing to ensure a fishing vessel does not impede passage of commercial vessel or keeps safe distance from commercial vessel</w:t>
            </w:r>
            <w:r>
              <w:tab/>
            </w:r>
          </w:p>
        </w:tc>
        <w:tc>
          <w:tcPr>
            <w:tcW w:w="1134" w:type="dxa"/>
          </w:tcPr>
          <w:p>
            <w:pPr>
              <w:pStyle w:val="yTableNAm"/>
              <w:spacing w:before="100"/>
            </w:pPr>
            <w:r>
              <w:br/>
            </w:r>
            <w:r>
              <w:br/>
              <w:t>$200.00</w:t>
            </w:r>
          </w:p>
        </w:tc>
      </w:tr>
      <w:tr>
        <w:trPr>
          <w:cantSplit/>
        </w:trPr>
        <w:tc>
          <w:tcPr>
            <w:tcW w:w="709" w:type="dxa"/>
          </w:tcPr>
          <w:p>
            <w:pPr>
              <w:pStyle w:val="yTableNAm"/>
              <w:spacing w:before="100"/>
            </w:pPr>
            <w:r>
              <w:t>17.</w:t>
            </w:r>
          </w:p>
        </w:tc>
        <w:tc>
          <w:tcPr>
            <w:tcW w:w="5387" w:type="dxa"/>
          </w:tcPr>
          <w:p>
            <w:pPr>
              <w:pStyle w:val="yTableNAm"/>
              <w:tabs>
                <w:tab w:val="clear" w:pos="567"/>
                <w:tab w:val="right" w:leader="dot" w:pos="5137"/>
              </w:tabs>
              <w:spacing w:before="100"/>
            </w:pPr>
            <w:r>
              <w:t>Schedule </w:t>
            </w:r>
            <w:r>
              <w:rPr>
                <w:snapToGrid w:val="0"/>
              </w:rPr>
              <w:t>1</w:t>
            </w:r>
            <w:r>
              <w:t xml:space="preserve"> clause 50: unauthorised installation or use of mooring</w:t>
            </w:r>
            <w:r>
              <w:tab/>
            </w:r>
          </w:p>
        </w:tc>
        <w:tc>
          <w:tcPr>
            <w:tcW w:w="1134" w:type="dxa"/>
          </w:tcPr>
          <w:p>
            <w:pPr>
              <w:pStyle w:val="yTableNAm"/>
              <w:spacing w:before="100"/>
            </w:pPr>
            <w:r>
              <w:br/>
              <w:t>$200.00</w:t>
            </w:r>
          </w:p>
        </w:tc>
      </w:tr>
      <w:tr>
        <w:trPr>
          <w:cantSplit/>
        </w:trPr>
        <w:tc>
          <w:tcPr>
            <w:tcW w:w="709" w:type="dxa"/>
          </w:tcPr>
          <w:p>
            <w:pPr>
              <w:pStyle w:val="yTableNAm"/>
              <w:spacing w:before="100"/>
            </w:pPr>
            <w:r>
              <w:t>18.</w:t>
            </w:r>
          </w:p>
        </w:tc>
        <w:tc>
          <w:tcPr>
            <w:tcW w:w="5387" w:type="dxa"/>
          </w:tcPr>
          <w:p>
            <w:pPr>
              <w:pStyle w:val="yTableNAm"/>
              <w:tabs>
                <w:tab w:val="clear" w:pos="567"/>
                <w:tab w:val="right" w:leader="dot" w:pos="5137"/>
              </w:tabs>
              <w:spacing w:before="100"/>
            </w:pPr>
            <w:r>
              <w:t>Schedule </w:t>
            </w:r>
            <w:r>
              <w:rPr>
                <w:snapToGrid w:val="0"/>
              </w:rPr>
              <w:t>1</w:t>
            </w:r>
            <w:r>
              <w:t xml:space="preserve"> clause 62(1): unauthorised placing of goods on port facility, port land, etc.</w:t>
            </w:r>
            <w:r>
              <w:tab/>
            </w:r>
          </w:p>
        </w:tc>
        <w:tc>
          <w:tcPr>
            <w:tcW w:w="1134" w:type="dxa"/>
          </w:tcPr>
          <w:p>
            <w:pPr>
              <w:pStyle w:val="yTableNAm"/>
              <w:spacing w:before="100"/>
            </w:pPr>
            <w:r>
              <w:br/>
              <w:t>$200.00</w:t>
            </w:r>
          </w:p>
        </w:tc>
      </w:tr>
      <w:tr>
        <w:trPr>
          <w:cantSplit/>
        </w:trPr>
        <w:tc>
          <w:tcPr>
            <w:tcW w:w="709" w:type="dxa"/>
          </w:tcPr>
          <w:p>
            <w:pPr>
              <w:pStyle w:val="yTableNAm"/>
              <w:spacing w:before="100"/>
            </w:pPr>
            <w:r>
              <w:t>19.</w:t>
            </w:r>
          </w:p>
        </w:tc>
        <w:tc>
          <w:tcPr>
            <w:tcW w:w="5387" w:type="dxa"/>
          </w:tcPr>
          <w:p>
            <w:pPr>
              <w:pStyle w:val="yTableNAm"/>
              <w:tabs>
                <w:tab w:val="clear" w:pos="567"/>
                <w:tab w:val="right" w:leader="dot" w:pos="5137"/>
              </w:tabs>
              <w:spacing w:before="100"/>
            </w:pPr>
            <w:r>
              <w:t>Schedule </w:t>
            </w:r>
            <w:r>
              <w:rPr>
                <w:snapToGrid w:val="0"/>
              </w:rPr>
              <w:t>1</w:t>
            </w:r>
            <w:r>
              <w:t xml:space="preserve"> clause 62(2): unloading goods on to wharf, or placing goods on wharf, otherwise than where directed by harbour master</w:t>
            </w:r>
            <w:r>
              <w:tab/>
            </w:r>
          </w:p>
        </w:tc>
        <w:tc>
          <w:tcPr>
            <w:tcW w:w="1134" w:type="dxa"/>
          </w:tcPr>
          <w:p>
            <w:pPr>
              <w:pStyle w:val="yTableNAm"/>
              <w:spacing w:before="100"/>
            </w:pPr>
            <w:r>
              <w:br/>
            </w:r>
            <w:r>
              <w:br/>
              <w:t>$200.00</w:t>
            </w:r>
          </w:p>
        </w:tc>
      </w:tr>
      <w:tr>
        <w:trPr>
          <w:cantSplit/>
        </w:trPr>
        <w:tc>
          <w:tcPr>
            <w:tcW w:w="709" w:type="dxa"/>
          </w:tcPr>
          <w:p>
            <w:pPr>
              <w:pStyle w:val="yTableNAm"/>
              <w:spacing w:before="100"/>
            </w:pPr>
            <w:r>
              <w:t>20.</w:t>
            </w:r>
          </w:p>
        </w:tc>
        <w:tc>
          <w:tcPr>
            <w:tcW w:w="5387" w:type="dxa"/>
          </w:tcPr>
          <w:p>
            <w:pPr>
              <w:pStyle w:val="yTableNAm"/>
              <w:tabs>
                <w:tab w:val="clear" w:pos="567"/>
                <w:tab w:val="right" w:leader="dot" w:pos="5137"/>
              </w:tabs>
              <w:spacing w:before="100"/>
            </w:pPr>
            <w:r>
              <w:t>Schedule </w:t>
            </w:r>
            <w:r>
              <w:rPr>
                <w:snapToGrid w:val="0"/>
              </w:rPr>
              <w:t>1</w:t>
            </w:r>
            <w:r>
              <w:t xml:space="preserve"> clause 62(3): unloading goods on to wharf, or placing goods on wharf, less than 1 m from mooring point, hose connection, etc.</w:t>
            </w:r>
            <w:r>
              <w:tab/>
            </w:r>
          </w:p>
        </w:tc>
        <w:tc>
          <w:tcPr>
            <w:tcW w:w="1134" w:type="dxa"/>
          </w:tcPr>
          <w:p>
            <w:pPr>
              <w:pStyle w:val="yTableNAm"/>
              <w:spacing w:before="100"/>
            </w:pPr>
            <w:r>
              <w:br/>
            </w:r>
            <w:r>
              <w:br/>
              <w:t>$200.00</w:t>
            </w:r>
          </w:p>
        </w:tc>
      </w:tr>
      <w:tr>
        <w:trPr>
          <w:cantSplit/>
        </w:trPr>
        <w:tc>
          <w:tcPr>
            <w:tcW w:w="709" w:type="dxa"/>
          </w:tcPr>
          <w:p>
            <w:pPr>
              <w:pStyle w:val="yTableNAm"/>
              <w:spacing w:before="100"/>
            </w:pPr>
            <w:r>
              <w:t>21.</w:t>
            </w:r>
          </w:p>
        </w:tc>
        <w:tc>
          <w:tcPr>
            <w:tcW w:w="5387" w:type="dxa"/>
          </w:tcPr>
          <w:p>
            <w:pPr>
              <w:pStyle w:val="yTableNAm"/>
              <w:tabs>
                <w:tab w:val="clear" w:pos="567"/>
                <w:tab w:val="right" w:leader="dot" w:pos="5137"/>
              </w:tabs>
              <w:spacing w:before="100"/>
            </w:pPr>
            <w:r>
              <w:t>Schedule </w:t>
            </w:r>
            <w:r>
              <w:rPr>
                <w:snapToGrid w:val="0"/>
              </w:rPr>
              <w:t>1</w:t>
            </w:r>
            <w:r>
              <w:t xml:space="preserve"> clause 63(2): failing to report incident resulting in damage to port facility, vessel, navigational aid, etc.</w:t>
            </w:r>
            <w:r>
              <w:tab/>
            </w:r>
          </w:p>
        </w:tc>
        <w:tc>
          <w:tcPr>
            <w:tcW w:w="1134" w:type="dxa"/>
          </w:tcPr>
          <w:p>
            <w:pPr>
              <w:pStyle w:val="yTableNAm"/>
              <w:spacing w:before="100"/>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p>
        </w:tc>
        <w:tc>
          <w:tcPr>
            <w:tcW w:w="5387" w:type="dxa"/>
            <w:tcBorders>
              <w:top w:val="nil"/>
              <w:left w:val="nil"/>
              <w:bottom w:val="nil"/>
              <w:right w:val="nil"/>
            </w:tcBorders>
          </w:tcPr>
          <w:p>
            <w:pPr>
              <w:pStyle w:val="yTableNAm"/>
              <w:spacing w:before="100"/>
              <w:rPr>
                <w:b/>
              </w:rPr>
            </w:pPr>
            <w:r>
              <w:rPr>
                <w:b/>
              </w:rPr>
              <w:t>Port of Esperance</w:t>
            </w:r>
          </w:p>
        </w:tc>
        <w:tc>
          <w:tcPr>
            <w:tcW w:w="1134" w:type="dxa"/>
            <w:tcBorders>
              <w:top w:val="nil"/>
              <w:left w:val="nil"/>
              <w:bottom w:val="nil"/>
              <w:right w:val="nil"/>
            </w:tcBorders>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r>
              <w:t>22.</w:t>
            </w:r>
          </w:p>
        </w:tc>
        <w:tc>
          <w:tcPr>
            <w:tcW w:w="5387" w:type="dxa"/>
            <w:tcBorders>
              <w:top w:val="nil"/>
              <w:left w:val="nil"/>
              <w:bottom w:val="nil"/>
              <w:right w:val="nil"/>
            </w:tcBorders>
          </w:tcPr>
          <w:p>
            <w:pPr>
              <w:pStyle w:val="yTableNAm"/>
              <w:tabs>
                <w:tab w:val="clear" w:pos="567"/>
                <w:tab w:val="right" w:leader="dot" w:pos="5137"/>
              </w:tabs>
              <w:spacing w:before="100"/>
            </w:pPr>
            <w:r>
              <w:t>Schedule 1 clause 64B: unauthorised berthing of fishing vessel at main wharf berth 1, 2 or 3</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r>
              <w:t>23.</w:t>
            </w:r>
          </w:p>
        </w:tc>
        <w:tc>
          <w:tcPr>
            <w:tcW w:w="5387" w:type="dxa"/>
            <w:tcBorders>
              <w:top w:val="nil"/>
              <w:left w:val="nil"/>
              <w:bottom w:val="nil"/>
              <w:right w:val="nil"/>
            </w:tcBorders>
          </w:tcPr>
          <w:p>
            <w:pPr>
              <w:pStyle w:val="yTableNAm"/>
              <w:tabs>
                <w:tab w:val="clear" w:pos="567"/>
                <w:tab w:val="right" w:leader="dot" w:pos="5137"/>
              </w:tabs>
              <w:spacing w:before="100"/>
            </w:pPr>
            <w:r>
              <w:t>Schedule 1 clause 64C: unauthorised mooring, anchoring, landing or beaching of vessel in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r>
              <w:t>24.</w:t>
            </w:r>
          </w:p>
        </w:tc>
        <w:tc>
          <w:tcPr>
            <w:tcW w:w="5387" w:type="dxa"/>
            <w:tcBorders>
              <w:top w:val="nil"/>
              <w:left w:val="nil"/>
              <w:bottom w:val="nil"/>
              <w:right w:val="nil"/>
            </w:tcBorders>
          </w:tcPr>
          <w:p>
            <w:pPr>
              <w:pStyle w:val="yTableNAm"/>
              <w:tabs>
                <w:tab w:val="clear" w:pos="567"/>
                <w:tab w:val="right" w:leader="dot" w:pos="5137"/>
              </w:tabs>
              <w:spacing w:before="100"/>
            </w:pPr>
            <w:r>
              <w:t>Schedule 1 clause 64D: unauthorised placing of fishing gear in waters of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p>
        </w:tc>
        <w:tc>
          <w:tcPr>
            <w:tcW w:w="5387" w:type="dxa"/>
            <w:tcBorders>
              <w:top w:val="nil"/>
              <w:left w:val="nil"/>
              <w:bottom w:val="nil"/>
              <w:right w:val="nil"/>
            </w:tcBorders>
          </w:tcPr>
          <w:p>
            <w:pPr>
              <w:pStyle w:val="yTableNAm"/>
              <w:spacing w:before="100"/>
              <w:rPr>
                <w:b/>
              </w:rPr>
            </w:pPr>
            <w:r>
              <w:rPr>
                <w:b/>
              </w:rPr>
              <w:t>Port of Fremantle</w:t>
            </w:r>
          </w:p>
        </w:tc>
        <w:tc>
          <w:tcPr>
            <w:tcW w:w="1134" w:type="dxa"/>
            <w:tcBorders>
              <w:top w:val="nil"/>
              <w:left w:val="nil"/>
              <w:bottom w:val="nil"/>
              <w:right w:val="nil"/>
            </w:tcBorders>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r>
              <w:t>25.</w:t>
            </w:r>
          </w:p>
        </w:tc>
        <w:tc>
          <w:tcPr>
            <w:tcW w:w="5387" w:type="dxa"/>
            <w:tcBorders>
              <w:top w:val="nil"/>
              <w:left w:val="nil"/>
              <w:bottom w:val="nil"/>
              <w:right w:val="nil"/>
            </w:tcBorders>
          </w:tcPr>
          <w:p>
            <w:pPr>
              <w:pStyle w:val="yTableNAm"/>
              <w:tabs>
                <w:tab w:val="clear" w:pos="567"/>
                <w:tab w:val="right" w:leader="dot" w:pos="5137"/>
              </w:tabs>
              <w:spacing w:before="100"/>
            </w:pPr>
            <w:r>
              <w:t>Schedule 1 clause 100: unauthorised swimming in waters of port outside designated area</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r>
              <w:t>26.</w:t>
            </w:r>
          </w:p>
        </w:tc>
        <w:tc>
          <w:tcPr>
            <w:tcW w:w="5387" w:type="dxa"/>
            <w:tcBorders>
              <w:top w:val="nil"/>
              <w:left w:val="nil"/>
              <w:bottom w:val="nil"/>
              <w:right w:val="nil"/>
            </w:tcBorders>
          </w:tcPr>
          <w:p>
            <w:pPr>
              <w:pStyle w:val="yTableNAm"/>
              <w:tabs>
                <w:tab w:val="clear" w:pos="567"/>
                <w:tab w:val="right" w:leader="dot" w:pos="5137"/>
              </w:tabs>
              <w:spacing w:before="100"/>
            </w:pPr>
            <w:r>
              <w:t xml:space="preserve">Schedule 1 clause 101(1): unauthorised use of motor boats, or water skiing, in </w:t>
            </w:r>
            <w:smartTag w:uri="urn:schemas-microsoft-com:office:smarttags" w:element="PlaceName">
              <w:r>
                <w:t>Inner</w:t>
              </w:r>
            </w:smartTag>
            <w:r>
              <w:t xml:space="preserve"> Harbour</w:t>
            </w:r>
            <w:r>
              <w:tab/>
            </w:r>
          </w:p>
        </w:tc>
        <w:tc>
          <w:tcPr>
            <w:tcW w:w="1134" w:type="dxa"/>
            <w:tcBorders>
              <w:top w:val="nil"/>
              <w:left w:val="nil"/>
              <w:bottom w:val="nil"/>
              <w:right w:val="nil"/>
            </w:tcBorders>
          </w:tcPr>
          <w:p>
            <w:pPr>
              <w:pStyle w:val="yTableNAm"/>
              <w:spacing w:before="100"/>
            </w:pPr>
            <w:r>
              <w:br/>
              <w:t>$200.00</w:t>
            </w:r>
          </w:p>
        </w:tc>
      </w:tr>
    </w:tbl>
    <w:p>
      <w:pPr>
        <w:pStyle w:val="yFootnotesection"/>
      </w:pPr>
      <w:r>
        <w:tab/>
        <w:t>[Schedule 3 amended in Gazette 31 Jan 2003 p. 298</w:t>
      </w:r>
      <w:r>
        <w:noBreakHyphen/>
        <w:t xml:space="preserve">9; 10 Dec 2004 p. 5916; 28 Jun 2013 p. 2766; </w:t>
      </w:r>
      <w:r>
        <w:rPr>
          <w:rStyle w:val="CharDivNo"/>
        </w:rPr>
        <w:t>20 Jun 2014 p. </w:t>
      </w:r>
      <w:r>
        <w:t>2035.]</w:t>
      </w:r>
    </w:p>
    <w:p>
      <w:pPr>
        <w:pStyle w:val="yScheduleHeading"/>
      </w:pPr>
      <w:bookmarkStart w:id="1083" w:name="_Toc408472024"/>
      <w:bookmarkStart w:id="1084" w:name="_Toc416945669"/>
      <w:bookmarkStart w:id="1085" w:name="_Toc416946008"/>
      <w:bookmarkStart w:id="1086" w:name="_Toc416946292"/>
      <w:bookmarkStart w:id="1087" w:name="_Toc417655862"/>
      <w:bookmarkStart w:id="1088" w:name="_Toc461722289"/>
      <w:bookmarkStart w:id="1089" w:name="_Toc461723936"/>
      <w:bookmarkStart w:id="1090" w:name="_Toc493069688"/>
      <w:r>
        <w:rPr>
          <w:rStyle w:val="CharSchNo"/>
        </w:rPr>
        <w:t>Schedule 4</w:t>
      </w:r>
      <w:r>
        <w:t xml:space="preserve"> — </w:t>
      </w:r>
      <w:r>
        <w:rPr>
          <w:rStyle w:val="CharSchText"/>
        </w:rPr>
        <w:t>Forms</w:t>
      </w:r>
      <w:bookmarkEnd w:id="1083"/>
      <w:bookmarkEnd w:id="1084"/>
      <w:bookmarkEnd w:id="1085"/>
      <w:bookmarkEnd w:id="1086"/>
      <w:bookmarkEnd w:id="1087"/>
      <w:bookmarkEnd w:id="1088"/>
      <w:bookmarkEnd w:id="1089"/>
      <w:bookmarkEnd w:id="1090"/>
    </w:p>
    <w:p>
      <w:pPr>
        <w:pStyle w:val="yShoulderClause"/>
      </w:pPr>
      <w:r>
        <w:t>[r. 111, 112]</w:t>
      </w:r>
    </w:p>
    <w:p>
      <w:pPr>
        <w:pStyle w:val="yMiscellaneousHeading"/>
      </w:pPr>
      <w:r>
        <w:rPr>
          <w:rStyle w:val="CharSClsNo"/>
        </w:rPr>
        <w:t>Form 1</w:t>
      </w:r>
    </w:p>
    <w:p>
      <w:pPr>
        <w:pStyle w:val="yMiscellaneousHeading"/>
        <w:rPr>
          <w:i/>
        </w:rPr>
      </w:pPr>
      <w:r>
        <w:rPr>
          <w:i/>
        </w:rPr>
        <w:t>Port Authorities Act 1999</w:t>
      </w:r>
    </w:p>
    <w:p>
      <w:pPr>
        <w:pStyle w:val="yMiscellaneousHeading"/>
        <w:rPr>
          <w:b/>
        </w:rPr>
      </w:pPr>
      <w:r>
        <w:rPr>
          <w:b/>
        </w:rPr>
        <w:t>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 xml:space="preserve">It is alleged that on ......./......./....... at </w:t>
      </w:r>
      <w:r>
        <w:rPr>
          <w:snapToGrid w:val="0"/>
          <w:vertAlign w:val="superscript"/>
        </w:rPr>
        <w:t>(3)</w:t>
      </w:r>
      <w:r>
        <w:rPr>
          <w:snapToGrid w:val="0"/>
        </w:rPr>
        <w:t xml:space="preserve"> .................................................................</w:t>
      </w:r>
    </w:p>
    <w:p>
      <w:pPr>
        <w:pStyle w:val="yMiscellaneousBody"/>
        <w:rPr>
          <w:snapToGrid w:val="0"/>
        </w:rPr>
      </w:pPr>
      <w:r>
        <w:rPr>
          <w:snapToGrid w:val="0"/>
        </w:rPr>
        <w:t xml:space="preserve">at </w:t>
      </w:r>
      <w:r>
        <w:rPr>
          <w:snapToGrid w:val="0"/>
          <w:vertAlign w:val="superscript"/>
        </w:rPr>
        <w:t>(4)</w:t>
      </w:r>
      <w:r>
        <w:rPr>
          <w:snapToGrid w:val="0"/>
        </w:rPr>
        <w:t xml:space="preserve"> .........................................................................................................................</w:t>
      </w:r>
    </w:p>
    <w:p>
      <w:pPr>
        <w:pStyle w:val="yMiscellaneousBody"/>
        <w:rPr>
          <w:snapToGrid w:val="0"/>
        </w:rPr>
      </w:pPr>
      <w:r>
        <w:rPr>
          <w:snapToGrid w:val="0"/>
        </w:rPr>
        <w:t>you committed the following offence — </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MiscellaneousBody"/>
        <w:rPr>
          <w:snapToGrid w:val="0"/>
        </w:rPr>
      </w:pPr>
      <w:r>
        <w:rPr>
          <w:snapToGrid w:val="0"/>
        </w:rPr>
        <w:t>The modified penalty for the offence is $ .....................</w:t>
      </w:r>
    </w:p>
    <w:p>
      <w:pPr>
        <w:pStyle w:val="yMiscellaneousBody"/>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MiscellaneousBody"/>
        <w:rPr>
          <w:snapToGrid w:val="0"/>
        </w:rPr>
      </w:pPr>
      <w:r>
        <w:rPr>
          <w:snapToGrid w:val="0"/>
        </w:rPr>
        <w:t xml:space="preserve">at </w:t>
      </w:r>
      <w:r>
        <w:rPr>
          <w:snapToGrid w:val="0"/>
          <w:vertAlign w:val="superscript"/>
        </w:rPr>
        <w:t>(7)</w:t>
      </w:r>
      <w:r>
        <w:rPr>
          <w:snapToGrid w:val="0"/>
        </w:rPr>
        <w:t xml:space="preserve"> ..........................................................</w:t>
      </w:r>
      <w:r>
        <w:t>.............................................................</w:t>
      </w:r>
    </w:p>
    <w:p>
      <w:pPr>
        <w:pStyle w:val="yMiscellaneousBody"/>
        <w:rPr>
          <w:snapToGrid w:val="0"/>
        </w:rPr>
      </w:pPr>
      <w:r>
        <w:rPr>
          <w:snapToGrid w:val="0"/>
        </w:rPr>
        <w:t>within a period of 28 days after the giving of this notice.</w:t>
      </w:r>
    </w:p>
    <w:p>
      <w:pPr>
        <w:pStyle w:val="yMiscellaneousBody"/>
        <w:rPr>
          <w:snapToGrid w:val="0"/>
        </w:rPr>
      </w:pPr>
      <w:r>
        <w:rPr>
          <w:snapToGrid w:val="0"/>
        </w:rPr>
        <w:t>Name of authorised person giving the notice .......................................................</w:t>
      </w:r>
    </w:p>
    <w:p>
      <w:pPr>
        <w:pStyle w:val="yMiscellaneousBody"/>
        <w:rPr>
          <w:snapToGrid w:val="0"/>
        </w:rPr>
      </w:pPr>
      <w:r>
        <w:rPr>
          <w:snapToGrid w:val="0"/>
        </w:rPr>
        <w:t>Signature ...................................................</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rPr>
          <w:snapToGrid w:val="0"/>
          <w:sz w:val="16"/>
        </w:rPr>
      </w:pPr>
      <w:r>
        <w:rPr>
          <w:snapToGrid w:val="0"/>
          <w:sz w:val="16"/>
        </w:rPr>
        <w:t>(4)</w:t>
      </w:r>
      <w:r>
        <w:rPr>
          <w:snapToGrid w:val="0"/>
          <w:sz w:val="16"/>
        </w:rPr>
        <w:tab/>
        <w:t>Place at which offence allegedly committed</w:t>
      </w:r>
    </w:p>
    <w:p>
      <w:pPr>
        <w:pStyle w:val="yMiscellaneousBody"/>
        <w:spacing w:before="0"/>
        <w:rPr>
          <w:snapToGrid w:val="0"/>
          <w:sz w:val="16"/>
        </w:rPr>
      </w:pPr>
      <w:r>
        <w:rPr>
          <w:snapToGrid w:val="0"/>
          <w:sz w:val="16"/>
        </w:rPr>
        <w:t>(5)</w:t>
      </w:r>
      <w:r>
        <w:rPr>
          <w:snapToGrid w:val="0"/>
          <w:sz w:val="16"/>
        </w:rPr>
        <w:tab/>
        <w:t>Regulation or clause designation</w:t>
      </w:r>
    </w:p>
    <w:p>
      <w:pPr>
        <w:pStyle w:val="yMiscellaneousBody"/>
        <w:spacing w:before="0"/>
        <w:rPr>
          <w:snapToGrid w:val="0"/>
          <w:sz w:val="16"/>
        </w:rPr>
      </w:pPr>
      <w:r>
        <w:rPr>
          <w:snapToGrid w:val="0"/>
          <w:sz w:val="16"/>
        </w:rPr>
        <w:t>(6)</w:t>
      </w:r>
      <w:r>
        <w:rPr>
          <w:snapToGrid w:val="0"/>
          <w:sz w:val="16"/>
        </w:rPr>
        <w:tab/>
        <w:t>Description of authorised persons</w:t>
      </w:r>
    </w:p>
    <w:p>
      <w:pPr>
        <w:pStyle w:val="yMiscellaneousBody"/>
        <w:spacing w:before="0"/>
        <w:rPr>
          <w:snapToGrid w:val="0"/>
          <w:sz w:val="16"/>
        </w:rPr>
      </w:pPr>
      <w:r>
        <w:rPr>
          <w:snapToGrid w:val="0"/>
          <w:sz w:val="16"/>
        </w:rPr>
        <w:t>(7)</w:t>
      </w:r>
      <w:r>
        <w:rPr>
          <w:snapToGrid w:val="0"/>
          <w:sz w:val="16"/>
        </w:rPr>
        <w:tab/>
        <w:t>Place where modified penalty may be paid</w:t>
      </w:r>
    </w:p>
    <w:p>
      <w:pPr>
        <w:pStyle w:val="yMiscellaneousHeading"/>
        <w:pageBreakBefore/>
      </w:pPr>
      <w:r>
        <w:rPr>
          <w:rStyle w:val="CharSClsNo"/>
        </w:rPr>
        <w:t>Form 2</w:t>
      </w:r>
    </w:p>
    <w:p>
      <w:pPr>
        <w:pStyle w:val="yMiscellaneousHeading"/>
        <w:rPr>
          <w:i/>
        </w:rPr>
      </w:pPr>
      <w:r>
        <w:rPr>
          <w:i/>
        </w:rPr>
        <w:t>Port Authorities Act 1999</w:t>
      </w:r>
    </w:p>
    <w:p>
      <w:pPr>
        <w:pStyle w:val="yMiscellaneousHeading"/>
        <w:rPr>
          <w:b/>
        </w:rPr>
      </w:pPr>
      <w:r>
        <w:rPr>
          <w:b/>
        </w:rPr>
        <w:t>Withdrawal of 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Infringement notice No. ............................... dated ......./......./....... for the alleged offence of ...............................................................................................................</w:t>
      </w:r>
    </w:p>
    <w:p>
      <w:pPr>
        <w:pStyle w:val="yMiscellaneousBody"/>
        <w:rPr>
          <w:snapToGrid w:val="0"/>
        </w:rPr>
      </w:pPr>
      <w:r>
        <w:rPr>
          <w:snapToGrid w:val="0"/>
        </w:rPr>
        <w:t>................................................................................................................................</w:t>
      </w:r>
    </w:p>
    <w:p>
      <w:pPr>
        <w:pStyle w:val="yMiscellaneousBody"/>
        <w:rPr>
          <w:snapToGrid w:val="0"/>
        </w:rPr>
      </w:pPr>
      <w:r>
        <w:rPr>
          <w:snapToGrid w:val="0"/>
        </w:rPr>
        <w:t>................................................................................................................................</w:t>
      </w:r>
    </w:p>
    <w:p>
      <w:pPr>
        <w:pStyle w:val="yMiscellaneousBody"/>
        <w:spacing w:before="120"/>
        <w:rPr>
          <w:snapToGrid w:val="0"/>
        </w:rPr>
      </w:pPr>
      <w:r>
        <w:rPr>
          <w:snapToGrid w:val="0"/>
        </w:rPr>
        <w:t>has been withdrawn.</w:t>
      </w:r>
    </w:p>
    <w:p>
      <w:pPr>
        <w:pStyle w:val="yMiscellaneousBody"/>
        <w:rPr>
          <w:snapToGrid w:val="0"/>
        </w:rPr>
      </w:pPr>
      <w:r>
        <w:rPr>
          <w:snapToGrid w:val="0"/>
        </w:rPr>
        <w:t>The modified penalty of $ ........................</w:t>
      </w:r>
    </w:p>
    <w:p>
      <w:pPr>
        <w:pStyle w:val="yMiscellaneousBody"/>
        <w:tabs>
          <w:tab w:val="left" w:pos="600"/>
          <w:tab w:val="left" w:pos="1080"/>
        </w:tabs>
        <w:spacing w:before="120"/>
        <w:rPr>
          <w:snapToGrid w:val="0"/>
        </w:rPr>
      </w:pPr>
      <w:r>
        <w:rPr>
          <w:snapToGrid w:val="0"/>
        </w:rPr>
        <w:tab/>
        <w:t xml:space="preserve">* </w:t>
      </w:r>
      <w:r>
        <w:rPr>
          <w:snapToGrid w:val="0"/>
        </w:rPr>
        <w:tab/>
        <w:t>has been paid and a refund is enclosed.</w:t>
      </w:r>
    </w:p>
    <w:p>
      <w:pPr>
        <w:pStyle w:val="yMiscellaneousBody"/>
        <w:tabs>
          <w:tab w:val="left" w:pos="600"/>
          <w:tab w:val="left" w:pos="1080"/>
        </w:tabs>
        <w:spacing w:before="120"/>
        <w:rPr>
          <w:snapToGrid w:val="0"/>
        </w:rPr>
      </w:pPr>
      <w:r>
        <w:rPr>
          <w:snapToGrid w:val="0"/>
        </w:rPr>
        <w:tab/>
        <w:t xml:space="preserve">* </w:t>
      </w:r>
      <w:r>
        <w:rPr>
          <w:snapToGrid w:val="0"/>
        </w:rPr>
        <w:tab/>
        <w:t>has not been paid and should not be paid.</w:t>
      </w:r>
    </w:p>
    <w:p>
      <w:pPr>
        <w:pStyle w:val="yMiscellaneousBody"/>
        <w:tabs>
          <w:tab w:val="left" w:pos="600"/>
          <w:tab w:val="left" w:pos="1080"/>
        </w:tabs>
        <w:spacing w:before="120"/>
        <w:rPr>
          <w:snapToGrid w:val="0"/>
          <w:sz w:val="16"/>
        </w:rPr>
      </w:pPr>
      <w:r>
        <w:rPr>
          <w:snapToGrid w:val="0"/>
          <w:sz w:val="16"/>
        </w:rPr>
        <w:tab/>
        <w:t xml:space="preserve">* </w:t>
      </w:r>
      <w:r>
        <w:rPr>
          <w:snapToGrid w:val="0"/>
          <w:sz w:val="16"/>
        </w:rPr>
        <w:tab/>
        <w:t>Delete as appropriate</w:t>
      </w:r>
    </w:p>
    <w:p>
      <w:pPr>
        <w:pStyle w:val="yMiscellaneousBody"/>
        <w:rPr>
          <w:snapToGrid w:val="0"/>
        </w:rPr>
      </w:pPr>
      <w:r>
        <w:rPr>
          <w:snapToGrid w:val="0"/>
        </w:rPr>
        <w:t>Name and title of authorised person giving this notice ........................................</w:t>
      </w:r>
    </w:p>
    <w:p>
      <w:pPr>
        <w:pStyle w:val="yMiscellaneousBody"/>
        <w:rPr>
          <w:snapToGrid w:val="0"/>
        </w:rPr>
      </w:pPr>
      <w:r>
        <w:rPr>
          <w:snapToGrid w:val="0"/>
        </w:rPr>
        <w:t>Signature ...................................................</w:t>
      </w:r>
    </w:p>
    <w:p>
      <w:pPr>
        <w:pStyle w:val="yMiscellaneousBody"/>
        <w:tabs>
          <w:tab w:val="left" w:pos="600"/>
        </w:tabs>
        <w:rPr>
          <w:snapToGrid w:val="0"/>
          <w:sz w:val="16"/>
        </w:rPr>
      </w:pPr>
      <w:r>
        <w:rPr>
          <w:snapToGrid w:val="0"/>
          <w:sz w:val="16"/>
        </w:rPr>
        <w:t>(1)</w:t>
      </w:r>
      <w:r>
        <w:rPr>
          <w:snapToGrid w:val="0"/>
          <w:sz w:val="16"/>
        </w:rPr>
        <w:tab/>
        <w:t>Name of alleged offender given the infringement notice</w:t>
      </w:r>
    </w:p>
    <w:p>
      <w:pPr>
        <w:pStyle w:val="yMiscellaneousBody"/>
        <w:tabs>
          <w:tab w:val="left" w:pos="600"/>
        </w:tabs>
        <w:rPr>
          <w:snapToGrid w:val="0"/>
          <w:sz w:val="16"/>
        </w:rPr>
      </w:pPr>
      <w:r>
        <w:rPr>
          <w:snapToGrid w:val="0"/>
          <w:sz w:val="16"/>
        </w:rPr>
        <w:t>(2)</w:t>
      </w:r>
      <w:r>
        <w:rPr>
          <w:snapToGrid w:val="0"/>
          <w:sz w:val="16"/>
        </w:rPr>
        <w:tab/>
        <w:t>Address of alleged offender</w:t>
      </w:r>
    </w:p>
    <w:p/>
    <w:p/>
    <w:p>
      <w:pPr>
        <w:pStyle w:val="CentredBaseLine"/>
        <w:jc w:val="center"/>
      </w:pPr>
      <w:r>
        <w:rPr>
          <w:noProof/>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pStyle w:val="CentredBaseLine"/>
        <w:jc w:val="center"/>
      </w:pPr>
    </w:p>
    <w:p>
      <w:pPr>
        <w:sectPr>
          <w:headerReference w:type="even" r:id="rId24"/>
          <w:headerReference w:type="default" r:id="rId25"/>
          <w:pgSz w:w="11907" w:h="16840" w:code="9"/>
          <w:pgMar w:top="2381" w:right="2410" w:bottom="3544" w:left="2410" w:header="720" w:footer="3544" w:gutter="0"/>
          <w:cols w:space="720"/>
        </w:sectPr>
      </w:pPr>
    </w:p>
    <w:p>
      <w:pPr>
        <w:pStyle w:val="nHeading2"/>
      </w:pPr>
      <w:bookmarkStart w:id="1091" w:name="_Toc493069689"/>
      <w:r>
        <w:t>Notes</w:t>
      </w:r>
      <w:bookmarkEnd w:id="470"/>
      <w:bookmarkEnd w:id="471"/>
      <w:bookmarkEnd w:id="472"/>
      <w:bookmarkEnd w:id="473"/>
      <w:bookmarkEnd w:id="474"/>
      <w:bookmarkEnd w:id="475"/>
      <w:bookmarkEnd w:id="476"/>
      <w:bookmarkEnd w:id="1091"/>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Regulations 2001</w:t>
      </w:r>
      <w:r>
        <w:rPr>
          <w:snapToGrid w:val="0"/>
        </w:rPr>
        <w:t xml:space="preserve"> and includes the amendments made by the other written laws referred to in the following </w:t>
      </w:r>
      <w:del w:id="1092" w:author="Master Repository Process" w:date="2021-09-11T20:29:00Z">
        <w:r>
          <w:rPr>
            <w:snapToGrid w:val="0"/>
          </w:rPr>
          <w:delText>table</w:delText>
        </w:r>
        <w:r>
          <w:rPr>
            <w:vertAlign w:val="superscript"/>
          </w:rPr>
          <w:delText>1a</w:delText>
        </w:r>
      </w:del>
      <w:ins w:id="1093" w:author="Master Repository Process" w:date="2021-09-11T20:29:00Z">
        <w:r>
          <w:rPr>
            <w:snapToGrid w:val="0"/>
          </w:rPr>
          <w:t>table</w:t>
        </w:r>
      </w:ins>
      <w:r>
        <w:rPr>
          <w:snapToGrid w:val="0"/>
        </w:rPr>
        <w:t>.  The table also contains information about any reprint.</w:t>
      </w:r>
    </w:p>
    <w:p>
      <w:pPr>
        <w:pStyle w:val="nHeading3"/>
      </w:pPr>
      <w:bookmarkStart w:id="1094" w:name="_Toc408472026"/>
      <w:bookmarkStart w:id="1095" w:name="_Toc493069690"/>
      <w:bookmarkStart w:id="1096" w:name="_Toc461723938"/>
      <w:r>
        <w:t>Compilation table</w:t>
      </w:r>
      <w:bookmarkEnd w:id="1094"/>
      <w:bookmarkEnd w:id="1095"/>
      <w:bookmarkEnd w:id="109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Port Authorities Regulations 2001</w:t>
            </w:r>
          </w:p>
        </w:tc>
        <w:tc>
          <w:tcPr>
            <w:tcW w:w="1276" w:type="dxa"/>
            <w:tcBorders>
              <w:top w:val="single" w:sz="8" w:space="0" w:color="auto"/>
            </w:tcBorders>
          </w:tcPr>
          <w:p>
            <w:pPr>
              <w:pStyle w:val="nTable"/>
              <w:spacing w:after="40"/>
            </w:pPr>
            <w:r>
              <w:t>18 May 2001 p. 2417</w:t>
            </w:r>
            <w:r>
              <w:noBreakHyphen/>
              <w:t>545</w:t>
            </w:r>
          </w:p>
        </w:tc>
        <w:tc>
          <w:tcPr>
            <w:tcW w:w="2693" w:type="dxa"/>
            <w:tcBorders>
              <w:top w:val="single" w:sz="8" w:space="0" w:color="auto"/>
            </w:tcBorders>
          </w:tcPr>
          <w:p>
            <w:pPr>
              <w:pStyle w:val="nTable"/>
              <w:spacing w:after="40"/>
            </w:pPr>
            <w:r>
              <w:t>1 Jun 2001 (see r. 2)</w:t>
            </w:r>
          </w:p>
        </w:tc>
      </w:tr>
      <w:tr>
        <w:tc>
          <w:tcPr>
            <w:tcW w:w="3119" w:type="dxa"/>
          </w:tcPr>
          <w:p>
            <w:pPr>
              <w:pStyle w:val="nTable"/>
              <w:spacing w:after="40"/>
              <w:rPr>
                <w:i/>
              </w:rPr>
            </w:pPr>
            <w:r>
              <w:rPr>
                <w:i/>
              </w:rPr>
              <w:t>Port Authorities Amendment Regulations 2002</w:t>
            </w:r>
          </w:p>
        </w:tc>
        <w:tc>
          <w:tcPr>
            <w:tcW w:w="1276" w:type="dxa"/>
          </w:tcPr>
          <w:p>
            <w:pPr>
              <w:pStyle w:val="nTable"/>
              <w:spacing w:after="40"/>
            </w:pPr>
            <w:r>
              <w:t>22 Mar 2002 p. 1655</w:t>
            </w:r>
          </w:p>
        </w:tc>
        <w:tc>
          <w:tcPr>
            <w:tcW w:w="2693" w:type="dxa"/>
          </w:tcPr>
          <w:p>
            <w:pPr>
              <w:pStyle w:val="nTable"/>
              <w:spacing w:after="40"/>
            </w:pPr>
            <w:r>
              <w:t>22 Mar 2002</w:t>
            </w:r>
          </w:p>
        </w:tc>
      </w:tr>
      <w:tr>
        <w:tc>
          <w:tcPr>
            <w:tcW w:w="3119" w:type="dxa"/>
          </w:tcPr>
          <w:p>
            <w:pPr>
              <w:pStyle w:val="nTable"/>
              <w:spacing w:after="40"/>
              <w:rPr>
                <w:i/>
              </w:rPr>
            </w:pPr>
            <w:r>
              <w:rPr>
                <w:i/>
              </w:rPr>
              <w:t>Port Authorities Amendment Regulations 2003</w:t>
            </w:r>
          </w:p>
        </w:tc>
        <w:tc>
          <w:tcPr>
            <w:tcW w:w="1276" w:type="dxa"/>
          </w:tcPr>
          <w:p>
            <w:pPr>
              <w:pStyle w:val="nTable"/>
              <w:spacing w:after="40"/>
            </w:pPr>
            <w:r>
              <w:t>31 Jan 2003 p. 293</w:t>
            </w:r>
            <w:r>
              <w:noBreakHyphen/>
              <w:t>9</w:t>
            </w:r>
          </w:p>
        </w:tc>
        <w:tc>
          <w:tcPr>
            <w:tcW w:w="2693" w:type="dxa"/>
          </w:tcPr>
          <w:p>
            <w:pPr>
              <w:pStyle w:val="nTable"/>
              <w:spacing w:after="40"/>
            </w:pPr>
            <w:r>
              <w:t>31 Jan 2003</w:t>
            </w:r>
          </w:p>
        </w:tc>
      </w:tr>
      <w:tr>
        <w:tc>
          <w:tcPr>
            <w:tcW w:w="3119" w:type="dxa"/>
          </w:tcPr>
          <w:p>
            <w:pPr>
              <w:pStyle w:val="nTable"/>
              <w:spacing w:after="40"/>
              <w:rPr>
                <w:i/>
              </w:rPr>
            </w:pPr>
            <w:r>
              <w:rPr>
                <w:i/>
              </w:rPr>
              <w:t>Port Authorities Amendment Regulations (No. 2) 2003</w:t>
            </w:r>
          </w:p>
        </w:tc>
        <w:tc>
          <w:tcPr>
            <w:tcW w:w="1276" w:type="dxa"/>
          </w:tcPr>
          <w:p>
            <w:pPr>
              <w:pStyle w:val="nTable"/>
              <w:spacing w:after="40"/>
            </w:pPr>
            <w:r>
              <w:t>27 Jun 2003 p. 2501</w:t>
            </w:r>
          </w:p>
        </w:tc>
        <w:tc>
          <w:tcPr>
            <w:tcW w:w="2693" w:type="dxa"/>
          </w:tcPr>
          <w:p>
            <w:pPr>
              <w:pStyle w:val="nTable"/>
              <w:spacing w:after="40"/>
            </w:pPr>
            <w:r>
              <w:t>1 Jul 2003 (see r. 2)</w:t>
            </w:r>
          </w:p>
        </w:tc>
      </w:tr>
      <w:tr>
        <w:tc>
          <w:tcPr>
            <w:tcW w:w="3119" w:type="dxa"/>
          </w:tcPr>
          <w:p>
            <w:pPr>
              <w:pStyle w:val="nTable"/>
              <w:spacing w:after="40"/>
              <w:rPr>
                <w:i/>
              </w:rPr>
            </w:pPr>
            <w:r>
              <w:rPr>
                <w:i/>
              </w:rPr>
              <w:t>Port Authorities Amendment Regulations 2004</w:t>
            </w:r>
          </w:p>
        </w:tc>
        <w:tc>
          <w:tcPr>
            <w:tcW w:w="1276" w:type="dxa"/>
          </w:tcPr>
          <w:p>
            <w:pPr>
              <w:pStyle w:val="nTable"/>
              <w:spacing w:after="40"/>
            </w:pPr>
            <w:r>
              <w:t>13 Feb 2004 p. 545</w:t>
            </w:r>
            <w:r>
              <w:noBreakHyphen/>
              <w:t>6</w:t>
            </w:r>
          </w:p>
        </w:tc>
        <w:tc>
          <w:tcPr>
            <w:tcW w:w="2693" w:type="dxa"/>
          </w:tcPr>
          <w:p>
            <w:pPr>
              <w:pStyle w:val="nTable"/>
              <w:spacing w:after="40"/>
            </w:pPr>
            <w:r>
              <w:t xml:space="preserve">14 Feb 2004 (see r. 2 and </w:t>
            </w:r>
            <w:r>
              <w:rPr>
                <w:i/>
              </w:rPr>
              <w:t>Gazette</w:t>
            </w:r>
            <w:r>
              <w:t xml:space="preserve"> 13 Feb 2004 p. 537)</w:t>
            </w:r>
          </w:p>
        </w:tc>
      </w:tr>
      <w:tr>
        <w:tc>
          <w:tcPr>
            <w:tcW w:w="3119" w:type="dxa"/>
          </w:tcPr>
          <w:p>
            <w:pPr>
              <w:pStyle w:val="nTable"/>
              <w:spacing w:after="40"/>
              <w:rPr>
                <w:i/>
              </w:rPr>
            </w:pPr>
            <w:r>
              <w:rPr>
                <w:i/>
              </w:rPr>
              <w:t>Port Authorities Amendment Regulations (No. 2) 2004</w:t>
            </w:r>
          </w:p>
        </w:tc>
        <w:tc>
          <w:tcPr>
            <w:tcW w:w="1276" w:type="dxa"/>
          </w:tcPr>
          <w:p>
            <w:pPr>
              <w:pStyle w:val="nTable"/>
              <w:spacing w:after="40"/>
            </w:pPr>
            <w:r>
              <w:t>10 Dec 2004 p. 5915</w:t>
            </w:r>
            <w:r>
              <w:noBreakHyphen/>
              <w:t>16</w:t>
            </w:r>
          </w:p>
        </w:tc>
        <w:tc>
          <w:tcPr>
            <w:tcW w:w="2693" w:type="dxa"/>
          </w:tcPr>
          <w:p>
            <w:pPr>
              <w:pStyle w:val="nTable"/>
              <w:spacing w:after="40"/>
            </w:pPr>
            <w:r>
              <w:t>10 Dec 2004</w:t>
            </w:r>
          </w:p>
        </w:tc>
      </w:tr>
      <w:tr>
        <w:trPr>
          <w:cantSplit/>
        </w:trPr>
        <w:tc>
          <w:tcPr>
            <w:tcW w:w="7088" w:type="dxa"/>
            <w:gridSpan w:val="3"/>
          </w:tcPr>
          <w:p>
            <w:pPr>
              <w:pStyle w:val="nTable"/>
              <w:spacing w:after="40"/>
            </w:pPr>
            <w:r>
              <w:rPr>
                <w:b/>
              </w:rPr>
              <w:t xml:space="preserve">Reprint 1: The </w:t>
            </w:r>
            <w:r>
              <w:rPr>
                <w:b/>
                <w:i/>
              </w:rPr>
              <w:t>Port Authorities Regulations 2001</w:t>
            </w:r>
            <w:r>
              <w:rPr>
                <w:b/>
              </w:rPr>
              <w:t xml:space="preserve"> as at 20 May 2005</w:t>
            </w:r>
            <w:r>
              <w:t xml:space="preserve"> (includes amendments listed above)</w:t>
            </w:r>
          </w:p>
        </w:tc>
      </w:tr>
      <w:tr>
        <w:tc>
          <w:tcPr>
            <w:tcW w:w="3119" w:type="dxa"/>
          </w:tcPr>
          <w:p>
            <w:pPr>
              <w:pStyle w:val="nTable"/>
              <w:spacing w:after="40"/>
              <w:rPr>
                <w:i/>
              </w:rPr>
            </w:pPr>
            <w:r>
              <w:rPr>
                <w:i/>
              </w:rPr>
              <w:t>Port Authorities Amendment Regulations 2005</w:t>
            </w:r>
          </w:p>
        </w:tc>
        <w:tc>
          <w:tcPr>
            <w:tcW w:w="1276" w:type="dxa"/>
          </w:tcPr>
          <w:p>
            <w:pPr>
              <w:pStyle w:val="nTable"/>
              <w:spacing w:after="40"/>
            </w:pPr>
            <w:r>
              <w:t>26 Jul 2005 p. 3401</w:t>
            </w:r>
            <w:r>
              <w:noBreakHyphen/>
              <w:t>2</w:t>
            </w:r>
          </w:p>
        </w:tc>
        <w:tc>
          <w:tcPr>
            <w:tcW w:w="2693" w:type="dxa"/>
          </w:tcPr>
          <w:p>
            <w:pPr>
              <w:pStyle w:val="nTable"/>
              <w:spacing w:after="40"/>
            </w:pPr>
            <w:r>
              <w:t>26 Jul 2005</w:t>
            </w:r>
          </w:p>
        </w:tc>
      </w:tr>
      <w:tr>
        <w:tc>
          <w:tcPr>
            <w:tcW w:w="3119" w:type="dxa"/>
          </w:tcPr>
          <w:p>
            <w:pPr>
              <w:pStyle w:val="nTable"/>
              <w:spacing w:after="40"/>
              <w:rPr>
                <w:i/>
              </w:rPr>
            </w:pPr>
            <w:r>
              <w:rPr>
                <w:i/>
              </w:rPr>
              <w:t>Port Authorities Amendment Regulations (No. 2) 2005</w:t>
            </w:r>
          </w:p>
        </w:tc>
        <w:tc>
          <w:tcPr>
            <w:tcW w:w="1276" w:type="dxa"/>
          </w:tcPr>
          <w:p>
            <w:pPr>
              <w:pStyle w:val="nTable"/>
              <w:spacing w:after="40"/>
            </w:pPr>
            <w:r>
              <w:t>30 Aug 2005 p. 4057</w:t>
            </w:r>
            <w:r>
              <w:noBreakHyphen/>
              <w:t>8</w:t>
            </w:r>
          </w:p>
        </w:tc>
        <w:tc>
          <w:tcPr>
            <w:tcW w:w="2693" w:type="dxa"/>
          </w:tcPr>
          <w:p>
            <w:pPr>
              <w:pStyle w:val="nTable"/>
              <w:spacing w:after="40"/>
            </w:pPr>
            <w:r>
              <w:t>30 Aug 2005</w:t>
            </w:r>
          </w:p>
        </w:tc>
      </w:tr>
      <w:tr>
        <w:tc>
          <w:tcPr>
            <w:tcW w:w="3119" w:type="dxa"/>
          </w:tcPr>
          <w:p>
            <w:pPr>
              <w:pStyle w:val="nTable"/>
              <w:spacing w:after="40"/>
              <w:rPr>
                <w:i/>
              </w:rPr>
            </w:pPr>
            <w:r>
              <w:rPr>
                <w:i/>
              </w:rPr>
              <w:t>Port Authorities Amendment Regulations (No. 4) 2005</w:t>
            </w:r>
          </w:p>
        </w:tc>
        <w:tc>
          <w:tcPr>
            <w:tcW w:w="1276" w:type="dxa"/>
          </w:tcPr>
          <w:p>
            <w:pPr>
              <w:pStyle w:val="nTable"/>
              <w:spacing w:after="40"/>
            </w:pPr>
            <w:r>
              <w:t>16 Sep 2005 p. 4327</w:t>
            </w:r>
            <w:r>
              <w:noBreakHyphen/>
              <w:t>8</w:t>
            </w:r>
          </w:p>
        </w:tc>
        <w:tc>
          <w:tcPr>
            <w:tcW w:w="2693" w:type="dxa"/>
          </w:tcPr>
          <w:p>
            <w:pPr>
              <w:pStyle w:val="nTable"/>
              <w:spacing w:after="40"/>
            </w:pPr>
            <w:r>
              <w:t>16 Sep 2005</w:t>
            </w:r>
          </w:p>
        </w:tc>
      </w:tr>
      <w:tr>
        <w:tc>
          <w:tcPr>
            <w:tcW w:w="3119" w:type="dxa"/>
          </w:tcPr>
          <w:p>
            <w:pPr>
              <w:pStyle w:val="nTable"/>
              <w:spacing w:after="40"/>
              <w:rPr>
                <w:i/>
              </w:rPr>
            </w:pPr>
            <w:r>
              <w:rPr>
                <w:i/>
              </w:rPr>
              <w:t>Port Authorities Amendment Regulations (No. 2) 2006</w:t>
            </w:r>
          </w:p>
        </w:tc>
        <w:tc>
          <w:tcPr>
            <w:tcW w:w="1276" w:type="dxa"/>
          </w:tcPr>
          <w:p>
            <w:pPr>
              <w:pStyle w:val="nTable"/>
              <w:spacing w:after="40"/>
            </w:pPr>
            <w:r>
              <w:t>29 Aug 2006 p. 3579</w:t>
            </w:r>
            <w:r>
              <w:noBreakHyphen/>
              <w:t>81</w:t>
            </w:r>
          </w:p>
        </w:tc>
        <w:tc>
          <w:tcPr>
            <w:tcW w:w="2693" w:type="dxa"/>
          </w:tcPr>
          <w:p>
            <w:pPr>
              <w:pStyle w:val="nTable"/>
              <w:spacing w:after="40"/>
            </w:pPr>
            <w:r>
              <w:t>29 Aug 2006</w:t>
            </w:r>
          </w:p>
        </w:tc>
      </w:tr>
      <w:tr>
        <w:tc>
          <w:tcPr>
            <w:tcW w:w="3119" w:type="dxa"/>
          </w:tcPr>
          <w:p>
            <w:pPr>
              <w:pStyle w:val="nTable"/>
              <w:spacing w:after="40"/>
              <w:rPr>
                <w:i/>
              </w:rPr>
            </w:pPr>
            <w:r>
              <w:rPr>
                <w:i/>
              </w:rPr>
              <w:t>Port Authorities Amendment Regulations (No. 3) 2006</w:t>
            </w:r>
          </w:p>
        </w:tc>
        <w:tc>
          <w:tcPr>
            <w:tcW w:w="1276" w:type="dxa"/>
          </w:tcPr>
          <w:p>
            <w:pPr>
              <w:pStyle w:val="nTable"/>
              <w:spacing w:after="40"/>
            </w:pPr>
            <w:r>
              <w:t>29 Aug 2006 p. 3581</w:t>
            </w:r>
            <w:r>
              <w:noBreakHyphen/>
              <w:t>2</w:t>
            </w:r>
          </w:p>
        </w:tc>
        <w:tc>
          <w:tcPr>
            <w:tcW w:w="2693" w:type="dxa"/>
          </w:tcPr>
          <w:p>
            <w:pPr>
              <w:pStyle w:val="nTable"/>
              <w:spacing w:after="40"/>
            </w:pPr>
            <w:r>
              <w:t>29 Aug 2006</w:t>
            </w:r>
          </w:p>
        </w:tc>
      </w:tr>
      <w:tr>
        <w:trPr>
          <w:cantSplit/>
        </w:trPr>
        <w:tc>
          <w:tcPr>
            <w:tcW w:w="7088" w:type="dxa"/>
            <w:gridSpan w:val="3"/>
          </w:tcPr>
          <w:p>
            <w:pPr>
              <w:pStyle w:val="nTable"/>
              <w:spacing w:after="40"/>
            </w:pPr>
            <w:r>
              <w:rPr>
                <w:b/>
              </w:rPr>
              <w:t xml:space="preserve">Reprint 2: The </w:t>
            </w:r>
            <w:r>
              <w:rPr>
                <w:b/>
                <w:i/>
              </w:rPr>
              <w:t>Port Authorities Regulations 2001</w:t>
            </w:r>
            <w:r>
              <w:rPr>
                <w:b/>
              </w:rPr>
              <w:t xml:space="preserve"> as at 10 Nov 2006</w:t>
            </w:r>
            <w:r>
              <w:t xml:space="preserve"> (includes amendments listed above)</w:t>
            </w:r>
          </w:p>
        </w:tc>
      </w:tr>
      <w:tr>
        <w:tc>
          <w:tcPr>
            <w:tcW w:w="3119" w:type="dxa"/>
          </w:tcPr>
          <w:p>
            <w:pPr>
              <w:pStyle w:val="nTable"/>
              <w:spacing w:after="40"/>
              <w:rPr>
                <w:i/>
              </w:rPr>
            </w:pPr>
            <w:r>
              <w:rPr>
                <w:i/>
              </w:rPr>
              <w:t>Port Authorities Amendment Regulations 2007</w:t>
            </w:r>
          </w:p>
        </w:tc>
        <w:tc>
          <w:tcPr>
            <w:tcW w:w="1276" w:type="dxa"/>
          </w:tcPr>
          <w:p>
            <w:pPr>
              <w:pStyle w:val="nTable"/>
              <w:spacing w:after="40"/>
            </w:pPr>
            <w:r>
              <w:t>12 Jun 2007 p. 2679</w:t>
            </w:r>
            <w:r>
              <w:noBreakHyphen/>
              <w:t>94</w:t>
            </w:r>
          </w:p>
        </w:tc>
        <w:tc>
          <w:tcPr>
            <w:tcW w:w="2693" w:type="dxa"/>
          </w:tcPr>
          <w:p>
            <w:pPr>
              <w:pStyle w:val="nTable"/>
              <w:spacing w:after="40"/>
            </w:pPr>
            <w:r>
              <w:t>12 Jun 2007</w:t>
            </w:r>
          </w:p>
        </w:tc>
      </w:tr>
      <w:tr>
        <w:trPr>
          <w:cantSplit/>
        </w:trPr>
        <w:tc>
          <w:tcPr>
            <w:tcW w:w="3119" w:type="dxa"/>
          </w:tcPr>
          <w:p>
            <w:pPr>
              <w:pStyle w:val="nTable"/>
              <w:spacing w:after="40"/>
              <w:rPr>
                <w:i/>
              </w:rPr>
            </w:pPr>
            <w:r>
              <w:rPr>
                <w:i/>
              </w:rPr>
              <w:t>Port Authorities Amendment Regulations (No. 4) 2007</w:t>
            </w:r>
          </w:p>
        </w:tc>
        <w:tc>
          <w:tcPr>
            <w:tcW w:w="1276" w:type="dxa"/>
          </w:tcPr>
          <w:p>
            <w:pPr>
              <w:pStyle w:val="nTable"/>
              <w:spacing w:after="40"/>
            </w:pPr>
            <w:r>
              <w:t>22 Jun 2007 p. 2849</w:t>
            </w:r>
            <w:r>
              <w:noBreakHyphen/>
              <w:t>50</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c>
          <w:tcPr>
            <w:tcW w:w="3119" w:type="dxa"/>
          </w:tcPr>
          <w:p>
            <w:pPr>
              <w:pStyle w:val="nTable"/>
              <w:spacing w:after="40"/>
              <w:rPr>
                <w:i/>
              </w:rPr>
            </w:pPr>
            <w:r>
              <w:rPr>
                <w:i/>
              </w:rPr>
              <w:t>Port Authorities Amendment Regulations (No. 3) 2007</w:t>
            </w:r>
          </w:p>
        </w:tc>
        <w:tc>
          <w:tcPr>
            <w:tcW w:w="1276" w:type="dxa"/>
          </w:tcPr>
          <w:p>
            <w:pPr>
              <w:pStyle w:val="nTable"/>
              <w:spacing w:after="40"/>
            </w:pPr>
            <w:r>
              <w:t>22 Jun 2007 p. 2850</w:t>
            </w:r>
            <w:r>
              <w:noBreakHyphen/>
              <w:t>1</w:t>
            </w:r>
          </w:p>
        </w:tc>
        <w:tc>
          <w:tcPr>
            <w:tcW w:w="2693" w:type="dxa"/>
          </w:tcPr>
          <w:p>
            <w:pPr>
              <w:pStyle w:val="nTable"/>
              <w:spacing w:after="40"/>
              <w:rPr>
                <w:snapToGrid w:val="0"/>
              </w:rPr>
            </w:pPr>
            <w:r>
              <w:rPr>
                <w:snapToGrid w:val="0"/>
              </w:rPr>
              <w:t>r. 1 and 2: 22 Jun 2007 (see r. 2(a));</w:t>
            </w:r>
            <w:r>
              <w:rPr>
                <w:snapToGrid w:val="0"/>
              </w:rPr>
              <w:br/>
              <w:t>Regulations other than r. 1 and 2: 1 Jul 2007 (see r. 2(b))</w:t>
            </w:r>
          </w:p>
        </w:tc>
      </w:tr>
      <w:tr>
        <w:tc>
          <w:tcPr>
            <w:tcW w:w="3119" w:type="dxa"/>
          </w:tcPr>
          <w:p>
            <w:pPr>
              <w:pStyle w:val="nTable"/>
              <w:spacing w:after="40"/>
              <w:rPr>
                <w:i/>
              </w:rPr>
            </w:pPr>
            <w:r>
              <w:rPr>
                <w:i/>
              </w:rPr>
              <w:t>Port Authorities Amendment Regulations (No. 2) 2007</w:t>
            </w:r>
          </w:p>
        </w:tc>
        <w:tc>
          <w:tcPr>
            <w:tcW w:w="1276" w:type="dxa"/>
          </w:tcPr>
          <w:p>
            <w:pPr>
              <w:pStyle w:val="nTable"/>
              <w:spacing w:after="40"/>
            </w:pPr>
            <w:r>
              <w:t>22 Jun 2007 p. 2852</w:t>
            </w:r>
          </w:p>
        </w:tc>
        <w:tc>
          <w:tcPr>
            <w:tcW w:w="2693" w:type="dxa"/>
          </w:tcPr>
          <w:p>
            <w:pPr>
              <w:pStyle w:val="nTable"/>
              <w:spacing w:after="40"/>
              <w:rPr>
                <w:snapToGrid w:val="0"/>
              </w:rPr>
            </w:pPr>
            <w:r>
              <w:rPr>
                <w:snapToGrid w:val="0"/>
              </w:rPr>
              <w:t>r. 1 and 2: 22 Jun 2007 (see r. 2(a));</w:t>
            </w:r>
            <w:r>
              <w:rPr>
                <w:snapToGrid w:val="0"/>
              </w:rPr>
              <w:br/>
              <w:t>Regulations other than r. 1 and 2: 1 Jul 2007 (see r. 2(b))</w:t>
            </w:r>
          </w:p>
        </w:tc>
      </w:tr>
      <w:tr>
        <w:tc>
          <w:tcPr>
            <w:tcW w:w="3119" w:type="dxa"/>
          </w:tcPr>
          <w:p>
            <w:pPr>
              <w:pStyle w:val="nTable"/>
              <w:spacing w:after="40"/>
              <w:rPr>
                <w:i/>
              </w:rPr>
            </w:pPr>
            <w:r>
              <w:rPr>
                <w:i/>
              </w:rPr>
              <w:t>Port Authorities Amendment Regulations (No. 5) 2007</w:t>
            </w:r>
          </w:p>
        </w:tc>
        <w:tc>
          <w:tcPr>
            <w:tcW w:w="1276" w:type="dxa"/>
          </w:tcPr>
          <w:p>
            <w:pPr>
              <w:pStyle w:val="nTable"/>
              <w:spacing w:after="40"/>
            </w:pPr>
            <w:r>
              <w:t>2 Oct 2007 p. 4970</w:t>
            </w:r>
            <w:r>
              <w:noBreakHyphen/>
              <w:t>2</w:t>
            </w:r>
          </w:p>
        </w:tc>
        <w:tc>
          <w:tcPr>
            <w:tcW w:w="2693" w:type="dxa"/>
          </w:tcPr>
          <w:p>
            <w:pPr>
              <w:pStyle w:val="nTable"/>
              <w:spacing w:after="40"/>
              <w:rPr>
                <w:snapToGrid w:val="0"/>
              </w:rPr>
            </w:pPr>
            <w:r>
              <w:rPr>
                <w:spacing w:val="-2"/>
              </w:rPr>
              <w:t>r. 1 and 2: 2 Oct 2007 (see r. 2(a));</w:t>
            </w:r>
            <w:r>
              <w:rPr>
                <w:spacing w:val="-2"/>
              </w:rPr>
              <w:br/>
              <w:t>Regulations other than r. 1 and 2: 3 Oct 2007 (see r. 2(b))</w:t>
            </w:r>
          </w:p>
        </w:tc>
      </w:tr>
      <w:tr>
        <w:trPr>
          <w:cantSplit/>
        </w:trPr>
        <w:tc>
          <w:tcPr>
            <w:tcW w:w="7088" w:type="dxa"/>
            <w:gridSpan w:val="3"/>
          </w:tcPr>
          <w:p>
            <w:pPr>
              <w:pStyle w:val="nTable"/>
              <w:spacing w:after="40"/>
              <w:rPr>
                <w:snapToGrid w:val="0"/>
              </w:rPr>
            </w:pPr>
            <w:r>
              <w:rPr>
                <w:b/>
              </w:rPr>
              <w:t xml:space="preserve">Reprint 3: The </w:t>
            </w:r>
            <w:r>
              <w:rPr>
                <w:b/>
                <w:i/>
              </w:rPr>
              <w:t>Port Authorities Regulations 2001</w:t>
            </w:r>
            <w:r>
              <w:rPr>
                <w:b/>
              </w:rPr>
              <w:t xml:space="preserve"> as at 12 Oct 2007</w:t>
            </w:r>
            <w:r>
              <w:t xml:space="preserve"> (includes amendments listed above)</w:t>
            </w:r>
          </w:p>
        </w:tc>
      </w:tr>
      <w:tr>
        <w:tc>
          <w:tcPr>
            <w:tcW w:w="3119" w:type="dxa"/>
          </w:tcPr>
          <w:p>
            <w:pPr>
              <w:pStyle w:val="nTable"/>
              <w:spacing w:after="40"/>
              <w:rPr>
                <w:i/>
              </w:rPr>
            </w:pPr>
            <w:r>
              <w:rPr>
                <w:i/>
              </w:rPr>
              <w:t>Port Authorities Amendment Regulations (No. 6) 2007</w:t>
            </w:r>
          </w:p>
        </w:tc>
        <w:tc>
          <w:tcPr>
            <w:tcW w:w="1276" w:type="dxa"/>
          </w:tcPr>
          <w:p>
            <w:pPr>
              <w:pStyle w:val="nTable"/>
              <w:spacing w:after="40"/>
            </w:pPr>
            <w:r>
              <w:t>30 Nov 2007 p. 5939</w:t>
            </w:r>
            <w:r>
              <w:noBreakHyphen/>
              <w:t>40</w:t>
            </w:r>
          </w:p>
        </w:tc>
        <w:tc>
          <w:tcPr>
            <w:tcW w:w="2693" w:type="dxa"/>
          </w:tcPr>
          <w:p>
            <w:pPr>
              <w:pStyle w:val="nTable"/>
              <w:spacing w:after="40"/>
              <w:rPr>
                <w:snapToGrid w:val="0"/>
              </w:rPr>
            </w:pPr>
            <w:r>
              <w:t>r. 1 and 2: 30 Nov 2007 (see r. 2(a));</w:t>
            </w:r>
            <w:r>
              <w:br/>
              <w:t>Regulations other than r. 1 and 2: 1 Dec 2007 (see r. 2(b))</w:t>
            </w:r>
          </w:p>
        </w:tc>
      </w:tr>
      <w:tr>
        <w:tc>
          <w:tcPr>
            <w:tcW w:w="3119" w:type="dxa"/>
          </w:tcPr>
          <w:p>
            <w:pPr>
              <w:pStyle w:val="nTable"/>
              <w:spacing w:after="40"/>
              <w:rPr>
                <w:i/>
              </w:rPr>
            </w:pPr>
            <w:r>
              <w:rPr>
                <w:i/>
              </w:rPr>
              <w:t>Port Authorities Amendment Regulations 2008</w:t>
            </w:r>
          </w:p>
        </w:tc>
        <w:tc>
          <w:tcPr>
            <w:tcW w:w="1276" w:type="dxa"/>
          </w:tcPr>
          <w:p>
            <w:pPr>
              <w:pStyle w:val="nTable"/>
              <w:spacing w:after="40"/>
            </w:pPr>
            <w:r>
              <w:t>5 Sep 2008 p. 4139</w:t>
            </w:r>
            <w:r>
              <w:noBreakHyphen/>
              <w:t>40</w:t>
            </w:r>
          </w:p>
        </w:tc>
        <w:tc>
          <w:tcPr>
            <w:tcW w:w="2693" w:type="dxa"/>
          </w:tcPr>
          <w:p>
            <w:pPr>
              <w:pStyle w:val="nTable"/>
              <w:spacing w:after="40"/>
            </w:pPr>
            <w:r>
              <w:t>r. 1 and 2: 5 Sep 2008 (see r. 2(a));</w:t>
            </w:r>
            <w:r>
              <w:br/>
              <w:t>Regulations other than r. 1 and 2: 6 Sep 2008 (see r. 2(b))</w:t>
            </w:r>
          </w:p>
        </w:tc>
      </w:tr>
      <w:tr>
        <w:tc>
          <w:tcPr>
            <w:tcW w:w="3119" w:type="dxa"/>
          </w:tcPr>
          <w:p>
            <w:pPr>
              <w:pStyle w:val="nTable"/>
              <w:spacing w:after="40"/>
              <w:rPr>
                <w:i/>
              </w:rPr>
            </w:pPr>
            <w:r>
              <w:rPr>
                <w:i/>
              </w:rPr>
              <w:t>Port Authorities Amendment Regulations (No. 2) 2008</w:t>
            </w:r>
          </w:p>
        </w:tc>
        <w:tc>
          <w:tcPr>
            <w:tcW w:w="1276" w:type="dxa"/>
          </w:tcPr>
          <w:p>
            <w:pPr>
              <w:pStyle w:val="nTable"/>
              <w:spacing w:after="40"/>
            </w:pPr>
            <w:r>
              <w:t>31 Oct 2008 p. 4775</w:t>
            </w:r>
          </w:p>
        </w:tc>
        <w:tc>
          <w:tcPr>
            <w:tcW w:w="2693" w:type="dxa"/>
          </w:tcPr>
          <w:p>
            <w:pPr>
              <w:pStyle w:val="nTable"/>
              <w:spacing w:after="40"/>
            </w:pPr>
            <w:r>
              <w:t>r. 1 and 2: 31 Oct 2008 (see r. 2(a));</w:t>
            </w:r>
            <w:r>
              <w:br/>
              <w:t>Regulations other than r. 1 and 2: 1 Nov 2008 (see r. 2(b))</w:t>
            </w:r>
          </w:p>
        </w:tc>
      </w:tr>
      <w:tr>
        <w:tc>
          <w:tcPr>
            <w:tcW w:w="3119" w:type="dxa"/>
          </w:tcPr>
          <w:p>
            <w:pPr>
              <w:pStyle w:val="nTable"/>
              <w:spacing w:after="40"/>
              <w:rPr>
                <w:i/>
              </w:rPr>
            </w:pPr>
            <w:r>
              <w:rPr>
                <w:i/>
              </w:rPr>
              <w:t>Port Authorities Amendment Regulations 2009</w:t>
            </w:r>
          </w:p>
        </w:tc>
        <w:tc>
          <w:tcPr>
            <w:tcW w:w="1276" w:type="dxa"/>
          </w:tcPr>
          <w:p>
            <w:pPr>
              <w:pStyle w:val="nTable"/>
              <w:spacing w:after="40"/>
            </w:pPr>
            <w:r>
              <w:t>23 Jun 2009 p. 2485</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c>
          <w:tcPr>
            <w:tcW w:w="3119" w:type="dxa"/>
          </w:tcPr>
          <w:p>
            <w:pPr>
              <w:pStyle w:val="nTable"/>
              <w:spacing w:after="40"/>
              <w:rPr>
                <w:i/>
              </w:rPr>
            </w:pPr>
            <w:r>
              <w:rPr>
                <w:i/>
              </w:rPr>
              <w:t>Port Authorities Amendment Regulations (No. 2) 2009</w:t>
            </w:r>
          </w:p>
        </w:tc>
        <w:tc>
          <w:tcPr>
            <w:tcW w:w="1276" w:type="dxa"/>
          </w:tcPr>
          <w:p>
            <w:pPr>
              <w:pStyle w:val="nTable"/>
              <w:spacing w:after="40"/>
            </w:pPr>
            <w:r>
              <w:t>18 Sep 2009 p. 3623</w:t>
            </w:r>
            <w:r>
              <w:noBreakHyphen/>
              <w:t>5</w:t>
            </w:r>
          </w:p>
        </w:tc>
        <w:tc>
          <w:tcPr>
            <w:tcW w:w="2693" w:type="dxa"/>
          </w:tcPr>
          <w:p>
            <w:pPr>
              <w:pStyle w:val="nTable"/>
              <w:spacing w:after="40"/>
              <w:rPr>
                <w:snapToGrid w:val="0"/>
              </w:rPr>
            </w:pPr>
            <w:r>
              <w:rPr>
                <w:snapToGrid w:val="0"/>
              </w:rPr>
              <w:t>r. 1 and 2: 18 Sep 2009 (see r. 2(a));</w:t>
            </w:r>
            <w:r>
              <w:rPr>
                <w:snapToGrid w:val="0"/>
              </w:rPr>
              <w:br/>
              <w:t>Regulations other than r. 1 and 2: 19 Sep 2009 (see r. 2(b))</w:t>
            </w:r>
          </w:p>
        </w:tc>
      </w:tr>
      <w:tr>
        <w:trPr>
          <w:cantSplit/>
        </w:trPr>
        <w:tc>
          <w:tcPr>
            <w:tcW w:w="7088" w:type="dxa"/>
            <w:gridSpan w:val="3"/>
          </w:tcPr>
          <w:p>
            <w:pPr>
              <w:pStyle w:val="nTable"/>
              <w:spacing w:after="40"/>
              <w:rPr>
                <w:snapToGrid w:val="0"/>
              </w:rPr>
            </w:pPr>
            <w:r>
              <w:rPr>
                <w:b/>
              </w:rPr>
              <w:t xml:space="preserve">Reprint 4: The </w:t>
            </w:r>
            <w:r>
              <w:rPr>
                <w:b/>
                <w:i/>
              </w:rPr>
              <w:t>Port Authorities Regulations 2001</w:t>
            </w:r>
            <w:r>
              <w:rPr>
                <w:b/>
              </w:rPr>
              <w:t xml:space="preserve"> as at 25 Sep 2009</w:t>
            </w:r>
            <w:r>
              <w:t xml:space="preserve"> (includes amendments listed above)</w:t>
            </w:r>
          </w:p>
        </w:tc>
      </w:tr>
      <w:tr>
        <w:trPr>
          <w:cantSplit/>
        </w:trPr>
        <w:tc>
          <w:tcPr>
            <w:tcW w:w="3119" w:type="dxa"/>
          </w:tcPr>
          <w:p>
            <w:pPr>
              <w:pStyle w:val="nTable"/>
              <w:spacing w:after="40"/>
              <w:rPr>
                <w:i/>
              </w:rPr>
            </w:pPr>
            <w:r>
              <w:rPr>
                <w:i/>
              </w:rPr>
              <w:t>Port Authorities Amendment Regulations (No. 4) 2009</w:t>
            </w:r>
          </w:p>
        </w:tc>
        <w:tc>
          <w:tcPr>
            <w:tcW w:w="1276" w:type="dxa"/>
          </w:tcPr>
          <w:p>
            <w:pPr>
              <w:pStyle w:val="nTable"/>
              <w:spacing w:after="40"/>
            </w:pPr>
            <w:r>
              <w:t>16 Oct 2009 p. 4068</w:t>
            </w:r>
          </w:p>
        </w:tc>
        <w:tc>
          <w:tcPr>
            <w:tcW w:w="2693" w:type="dxa"/>
          </w:tcPr>
          <w:p>
            <w:pPr>
              <w:pStyle w:val="nTable"/>
              <w:spacing w:after="40"/>
              <w:rPr>
                <w:snapToGrid w:val="0"/>
              </w:rPr>
            </w:pPr>
            <w:r>
              <w:rPr>
                <w:snapToGrid w:val="0"/>
              </w:rPr>
              <w:t>r. 1 and 2: 16 Oct 2009 (see r. 2(a));</w:t>
            </w:r>
            <w:r>
              <w:rPr>
                <w:snapToGrid w:val="0"/>
              </w:rPr>
              <w:br/>
              <w:t>Regulations other than r. 1 and 2: 17 Oct 2009 (see r. 2(b))</w:t>
            </w:r>
          </w:p>
        </w:tc>
      </w:tr>
      <w:tr>
        <w:tc>
          <w:tcPr>
            <w:tcW w:w="3119" w:type="dxa"/>
          </w:tcPr>
          <w:p>
            <w:pPr>
              <w:pStyle w:val="nTable"/>
              <w:spacing w:after="40"/>
              <w:rPr>
                <w:i/>
              </w:rPr>
            </w:pPr>
            <w:r>
              <w:rPr>
                <w:i/>
              </w:rPr>
              <w:t>Port Authorities Amendment Regulations 2010</w:t>
            </w:r>
          </w:p>
        </w:tc>
        <w:tc>
          <w:tcPr>
            <w:tcW w:w="1276" w:type="dxa"/>
          </w:tcPr>
          <w:p>
            <w:pPr>
              <w:pStyle w:val="nTable"/>
              <w:keepNext/>
              <w:keepLines/>
              <w:spacing w:after="40"/>
            </w:pPr>
            <w:r>
              <w:t>4 Jun 2010 p. 2475</w:t>
            </w:r>
          </w:p>
        </w:tc>
        <w:tc>
          <w:tcPr>
            <w:tcW w:w="2693" w:type="dxa"/>
          </w:tcPr>
          <w:p>
            <w:pPr>
              <w:pStyle w:val="nTable"/>
              <w:keepNext/>
              <w:keepLines/>
              <w:spacing w:after="40"/>
              <w:rPr>
                <w:snapToGrid w:val="0"/>
              </w:rPr>
            </w:pPr>
            <w:r>
              <w:rPr>
                <w:snapToGrid w:val="0"/>
              </w:rPr>
              <w:t>r. 1 and 2: 4 Jun 2010 (see r. 2(a));</w:t>
            </w:r>
            <w:r>
              <w:rPr>
                <w:snapToGrid w:val="0"/>
              </w:rPr>
              <w:br/>
              <w:t>Regulations other than r. 1 and 2: 5 Jun 2010 (see r. 2(b))</w:t>
            </w:r>
          </w:p>
        </w:tc>
      </w:tr>
      <w:tr>
        <w:tc>
          <w:tcPr>
            <w:tcW w:w="3119" w:type="dxa"/>
          </w:tcPr>
          <w:p>
            <w:pPr>
              <w:pStyle w:val="nTable"/>
              <w:spacing w:after="40"/>
              <w:rPr>
                <w:i/>
              </w:rPr>
            </w:pPr>
            <w:r>
              <w:rPr>
                <w:i/>
              </w:rPr>
              <w:t>Port Authorities Amendment Regulations (No. 2) 2010</w:t>
            </w:r>
          </w:p>
        </w:tc>
        <w:tc>
          <w:tcPr>
            <w:tcW w:w="1276" w:type="dxa"/>
          </w:tcPr>
          <w:p>
            <w:pPr>
              <w:pStyle w:val="nTable"/>
              <w:spacing w:after="40"/>
            </w:pPr>
            <w:r>
              <w:t>4 Jun 2010 p. 2476</w:t>
            </w:r>
            <w:r>
              <w:noBreakHyphen/>
              <w:t>7</w:t>
            </w:r>
          </w:p>
        </w:tc>
        <w:tc>
          <w:tcPr>
            <w:tcW w:w="2693" w:type="dxa"/>
          </w:tcPr>
          <w:p>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tc>
          <w:tcPr>
            <w:tcW w:w="3119" w:type="dxa"/>
          </w:tcPr>
          <w:p>
            <w:pPr>
              <w:pStyle w:val="nTable"/>
              <w:spacing w:after="40"/>
              <w:rPr>
                <w:i/>
              </w:rPr>
            </w:pPr>
            <w:r>
              <w:rPr>
                <w:i/>
              </w:rPr>
              <w:t>Port Authorities Amendment Regulations (No. 4) 2010</w:t>
            </w:r>
          </w:p>
        </w:tc>
        <w:tc>
          <w:tcPr>
            <w:tcW w:w="1276" w:type="dxa"/>
          </w:tcPr>
          <w:p>
            <w:pPr>
              <w:pStyle w:val="nTable"/>
              <w:spacing w:after="40"/>
            </w:pPr>
            <w:r>
              <w:t>4 Jun 2010 p. 2478</w:t>
            </w:r>
            <w:r>
              <w:noBreakHyphen/>
              <w:t>9</w:t>
            </w:r>
          </w:p>
        </w:tc>
        <w:tc>
          <w:tcPr>
            <w:tcW w:w="2693" w:type="dxa"/>
          </w:tcPr>
          <w:p>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tc>
          <w:tcPr>
            <w:tcW w:w="3119" w:type="dxa"/>
          </w:tcPr>
          <w:p>
            <w:pPr>
              <w:pStyle w:val="nTable"/>
              <w:spacing w:after="40"/>
              <w:rPr>
                <w:i/>
              </w:rPr>
            </w:pPr>
            <w:r>
              <w:rPr>
                <w:i/>
              </w:rPr>
              <w:t>Port Authorities Amendment Regulations (No. 3) 2010</w:t>
            </w:r>
            <w:r>
              <w:rPr>
                <w:iCs/>
              </w:rPr>
              <w:t> </w:t>
            </w:r>
          </w:p>
        </w:tc>
        <w:tc>
          <w:tcPr>
            <w:tcW w:w="1276" w:type="dxa"/>
          </w:tcPr>
          <w:p>
            <w:pPr>
              <w:pStyle w:val="nTable"/>
              <w:spacing w:after="40"/>
            </w:pPr>
            <w:r>
              <w:t>4 Jun 2010 p. 2479</w:t>
            </w:r>
            <w:r>
              <w:noBreakHyphen/>
              <w:t>81</w:t>
            </w:r>
          </w:p>
        </w:tc>
        <w:tc>
          <w:tcPr>
            <w:tcW w:w="2693" w:type="dxa"/>
          </w:tcPr>
          <w:p>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tc>
          <w:tcPr>
            <w:tcW w:w="3119" w:type="dxa"/>
          </w:tcPr>
          <w:p>
            <w:pPr>
              <w:pStyle w:val="nTable"/>
              <w:spacing w:after="40"/>
              <w:rPr>
                <w:i/>
              </w:rPr>
            </w:pPr>
            <w:r>
              <w:rPr>
                <w:i/>
              </w:rPr>
              <w:t>Port Authorities Amendment Regulations (No. 5) 2010</w:t>
            </w:r>
            <w:r>
              <w:rPr>
                <w:iCs/>
              </w:rPr>
              <w:t> </w:t>
            </w:r>
          </w:p>
        </w:tc>
        <w:tc>
          <w:tcPr>
            <w:tcW w:w="1276" w:type="dxa"/>
          </w:tcPr>
          <w:p>
            <w:pPr>
              <w:pStyle w:val="nTable"/>
              <w:spacing w:after="40"/>
            </w:pPr>
            <w:r>
              <w:t>4 Jun 2010 p. 2481</w:t>
            </w:r>
            <w:r>
              <w:noBreakHyphen/>
              <w:t>2</w:t>
            </w:r>
          </w:p>
        </w:tc>
        <w:tc>
          <w:tcPr>
            <w:tcW w:w="2693" w:type="dxa"/>
          </w:tcPr>
          <w:p>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tc>
          <w:tcPr>
            <w:tcW w:w="3119" w:type="dxa"/>
          </w:tcPr>
          <w:p>
            <w:pPr>
              <w:pStyle w:val="nTable"/>
              <w:spacing w:after="40"/>
              <w:rPr>
                <w:i/>
              </w:rPr>
            </w:pPr>
            <w:r>
              <w:rPr>
                <w:i/>
              </w:rPr>
              <w:t>Port Authorities Amendment Regulations 2011</w:t>
            </w:r>
          </w:p>
        </w:tc>
        <w:tc>
          <w:tcPr>
            <w:tcW w:w="1276" w:type="dxa"/>
          </w:tcPr>
          <w:p>
            <w:pPr>
              <w:pStyle w:val="nTable"/>
              <w:spacing w:after="40"/>
            </w:pPr>
            <w:r>
              <w:t>30 Jun 2011 p. 2623</w:t>
            </w:r>
            <w:r>
              <w:noBreakHyphen/>
              <w:t>6</w:t>
            </w:r>
          </w:p>
        </w:tc>
        <w:tc>
          <w:tcPr>
            <w:tcW w:w="2693" w:type="dxa"/>
          </w:tcPr>
          <w:p>
            <w:pPr>
              <w:pStyle w:val="nTable"/>
              <w:spacing w:after="40"/>
              <w:rPr>
                <w:snapToGrid w:val="0"/>
              </w:rPr>
            </w:pPr>
            <w:r>
              <w:rPr>
                <w:snapToGrid w:val="0"/>
              </w:rPr>
              <w:t>r. 1 and 2: 30 Jun 2011 (see r. 2(a));</w:t>
            </w:r>
            <w:r>
              <w:rPr>
                <w:snapToGrid w:val="0"/>
              </w:rPr>
              <w:br/>
              <w:t xml:space="preserve">Regulations other than r. 1 and 2: </w:t>
            </w:r>
            <w:r>
              <w:t>1 Jul 2011 (see r. 2(b))</w:t>
            </w:r>
          </w:p>
        </w:tc>
      </w:tr>
      <w:tr>
        <w:tc>
          <w:tcPr>
            <w:tcW w:w="3119" w:type="dxa"/>
          </w:tcPr>
          <w:p>
            <w:pPr>
              <w:pStyle w:val="nTable"/>
              <w:spacing w:after="40"/>
              <w:rPr>
                <w:i/>
              </w:rPr>
            </w:pPr>
            <w:r>
              <w:rPr>
                <w:i/>
              </w:rPr>
              <w:t>Port Authorities Amendment Regulations (No. 2) 2011</w:t>
            </w:r>
          </w:p>
        </w:tc>
        <w:tc>
          <w:tcPr>
            <w:tcW w:w="1276" w:type="dxa"/>
          </w:tcPr>
          <w:p>
            <w:pPr>
              <w:pStyle w:val="nTable"/>
              <w:spacing w:after="40"/>
            </w:pPr>
            <w:r>
              <w:t>30 Jun 2011 p. 2627</w:t>
            </w:r>
            <w:r>
              <w:noBreakHyphen/>
              <w:t>8</w:t>
            </w:r>
          </w:p>
        </w:tc>
        <w:tc>
          <w:tcPr>
            <w:tcW w:w="2693" w:type="dxa"/>
          </w:tcPr>
          <w:p>
            <w:pPr>
              <w:pStyle w:val="nTable"/>
              <w:spacing w:after="40"/>
              <w:rPr>
                <w:snapToGrid w:val="0"/>
              </w:rPr>
            </w:pPr>
            <w:r>
              <w:rPr>
                <w:snapToGrid w:val="0"/>
              </w:rPr>
              <w:t>r. 1 and 2: 30 Jun 2011 (see r. 2(a));</w:t>
            </w:r>
            <w:r>
              <w:rPr>
                <w:snapToGrid w:val="0"/>
              </w:rPr>
              <w:br/>
              <w:t xml:space="preserve">Regulations other than r. 1 and 2: </w:t>
            </w:r>
            <w:r>
              <w:t>1 Jul 2011 (see r. 2(b))</w:t>
            </w:r>
          </w:p>
        </w:tc>
      </w:tr>
      <w:tr>
        <w:tc>
          <w:tcPr>
            <w:tcW w:w="3119" w:type="dxa"/>
          </w:tcPr>
          <w:p>
            <w:pPr>
              <w:pStyle w:val="nTable"/>
              <w:spacing w:after="40"/>
              <w:rPr>
                <w:i/>
              </w:rPr>
            </w:pPr>
            <w:r>
              <w:rPr>
                <w:i/>
              </w:rPr>
              <w:t>Port Authorities Amendment Regulations (No. 4) 2011</w:t>
            </w:r>
          </w:p>
        </w:tc>
        <w:tc>
          <w:tcPr>
            <w:tcW w:w="1276" w:type="dxa"/>
          </w:tcPr>
          <w:p>
            <w:pPr>
              <w:pStyle w:val="nTable"/>
              <w:spacing w:after="40"/>
            </w:pPr>
            <w:r>
              <w:t>12 Aug 2011 p. 3244</w:t>
            </w:r>
            <w:r>
              <w:noBreakHyphen/>
              <w:t>5</w:t>
            </w:r>
          </w:p>
        </w:tc>
        <w:tc>
          <w:tcPr>
            <w:tcW w:w="2693" w:type="dxa"/>
          </w:tcPr>
          <w:p>
            <w:pPr>
              <w:pStyle w:val="nTable"/>
              <w:spacing w:after="40"/>
              <w:rPr>
                <w:snapToGrid w:val="0"/>
              </w:rPr>
            </w:pPr>
            <w:r>
              <w:rPr>
                <w:snapToGrid w:val="0"/>
              </w:rPr>
              <w:t>r. 1 and 2: 12 Aug 2011 (see r. 2(a));</w:t>
            </w:r>
            <w:r>
              <w:rPr>
                <w:snapToGrid w:val="0"/>
              </w:rPr>
              <w:br/>
              <w:t xml:space="preserve">Regulations other than r. 1 and 2: </w:t>
            </w:r>
            <w:r>
              <w:t>13 Aug 2011 (see r. 2(b))</w:t>
            </w:r>
          </w:p>
        </w:tc>
      </w:tr>
      <w:tr>
        <w:tc>
          <w:tcPr>
            <w:tcW w:w="3119" w:type="dxa"/>
          </w:tcPr>
          <w:p>
            <w:pPr>
              <w:pStyle w:val="nTable"/>
              <w:spacing w:after="40"/>
              <w:rPr>
                <w:i/>
              </w:rPr>
            </w:pPr>
            <w:r>
              <w:rPr>
                <w:i/>
              </w:rPr>
              <w:t>Port Authorities Amendment Regulations (No. 5) 2011</w:t>
            </w:r>
          </w:p>
        </w:tc>
        <w:tc>
          <w:tcPr>
            <w:tcW w:w="1276" w:type="dxa"/>
          </w:tcPr>
          <w:p>
            <w:pPr>
              <w:pStyle w:val="nTable"/>
              <w:spacing w:after="40"/>
            </w:pPr>
            <w:r>
              <w:t>20 Dec 2011 p. 5401</w:t>
            </w:r>
          </w:p>
        </w:tc>
        <w:tc>
          <w:tcPr>
            <w:tcW w:w="2693" w:type="dxa"/>
          </w:tcPr>
          <w:p>
            <w:pPr>
              <w:pStyle w:val="nTable"/>
              <w:spacing w:after="40"/>
              <w:rPr>
                <w:snapToGrid w:val="0"/>
              </w:rPr>
            </w:pPr>
            <w:r>
              <w:rPr>
                <w:snapToGrid w:val="0"/>
              </w:rPr>
              <w:t>r. 1 and 2: 20 Dec 2011 (see r. 2(a));</w:t>
            </w:r>
            <w:r>
              <w:rPr>
                <w:snapToGrid w:val="0"/>
              </w:rPr>
              <w:br/>
              <w:t>Regulations other than r. 1 and 2: 2</w:t>
            </w:r>
            <w:r>
              <w:t>1 Dec 2011 (see r. 2(b))</w:t>
            </w:r>
          </w:p>
        </w:tc>
      </w:tr>
      <w:tr>
        <w:trPr>
          <w:cantSplit/>
        </w:trPr>
        <w:tc>
          <w:tcPr>
            <w:tcW w:w="7088" w:type="dxa"/>
            <w:gridSpan w:val="3"/>
            <w:shd w:val="clear" w:color="auto" w:fill="auto"/>
          </w:tcPr>
          <w:p>
            <w:pPr>
              <w:pStyle w:val="nTable"/>
              <w:spacing w:after="40"/>
              <w:rPr>
                <w:snapToGrid w:val="0"/>
              </w:rPr>
            </w:pPr>
            <w:r>
              <w:rPr>
                <w:b/>
              </w:rPr>
              <w:t xml:space="preserve">Reprint 5: The </w:t>
            </w:r>
            <w:r>
              <w:rPr>
                <w:b/>
                <w:i/>
              </w:rPr>
              <w:t>Port Authorities Regulations 2001</w:t>
            </w:r>
            <w:r>
              <w:rPr>
                <w:b/>
              </w:rPr>
              <w:t xml:space="preserve"> as at 6 Jan 2012</w:t>
            </w:r>
            <w:r>
              <w:t xml:space="preserve"> (includes amendments listed above)</w:t>
            </w:r>
          </w:p>
        </w:tc>
      </w:tr>
      <w:tr>
        <w:tc>
          <w:tcPr>
            <w:tcW w:w="3119" w:type="dxa"/>
          </w:tcPr>
          <w:p>
            <w:pPr>
              <w:pStyle w:val="nTable"/>
              <w:spacing w:after="40"/>
              <w:rPr>
                <w:i/>
              </w:rPr>
            </w:pPr>
            <w:r>
              <w:rPr>
                <w:i/>
              </w:rPr>
              <w:t>Port Authorities Amendment Regulations 2012</w:t>
            </w:r>
          </w:p>
        </w:tc>
        <w:tc>
          <w:tcPr>
            <w:tcW w:w="1276" w:type="dxa"/>
          </w:tcPr>
          <w:p>
            <w:pPr>
              <w:pStyle w:val="nTable"/>
              <w:spacing w:after="40"/>
            </w:pPr>
            <w:r>
              <w:t>25 May 2012 p. 2209</w:t>
            </w:r>
          </w:p>
        </w:tc>
        <w:tc>
          <w:tcPr>
            <w:tcW w:w="2693" w:type="dxa"/>
          </w:tcPr>
          <w:p>
            <w:pPr>
              <w:pStyle w:val="nTable"/>
              <w:spacing w:after="40"/>
              <w:rPr>
                <w:snapToGrid w:val="0"/>
              </w:rPr>
            </w:pPr>
            <w:r>
              <w:rPr>
                <w:snapToGrid w:val="0"/>
              </w:rPr>
              <w:t>r. 1 and 2: 25 May 2012 (see r. 2(a));</w:t>
            </w:r>
            <w:r>
              <w:rPr>
                <w:snapToGrid w:val="0"/>
              </w:rPr>
              <w:br/>
              <w:t xml:space="preserve">Regulations other than r. 1 and 2: </w:t>
            </w:r>
            <w:r>
              <w:t>1 Jul 2012 (see r. 2(b))</w:t>
            </w:r>
          </w:p>
        </w:tc>
      </w:tr>
      <w:tr>
        <w:tc>
          <w:tcPr>
            <w:tcW w:w="3119" w:type="dxa"/>
          </w:tcPr>
          <w:p>
            <w:pPr>
              <w:pStyle w:val="nTable"/>
              <w:spacing w:after="40"/>
              <w:rPr>
                <w:i/>
              </w:rPr>
            </w:pPr>
            <w:r>
              <w:rPr>
                <w:i/>
              </w:rPr>
              <w:t>Port Authorities Amendment Regulations (No. 2) 2012</w:t>
            </w:r>
          </w:p>
        </w:tc>
        <w:tc>
          <w:tcPr>
            <w:tcW w:w="1276" w:type="dxa"/>
          </w:tcPr>
          <w:p>
            <w:pPr>
              <w:pStyle w:val="nTable"/>
              <w:spacing w:after="40"/>
            </w:pPr>
            <w:r>
              <w:t>15 Jun 2012 p. 2520</w:t>
            </w:r>
          </w:p>
        </w:tc>
        <w:tc>
          <w:tcPr>
            <w:tcW w:w="2693" w:type="dxa"/>
          </w:tcPr>
          <w:p>
            <w:pPr>
              <w:pStyle w:val="nTable"/>
              <w:spacing w:after="40"/>
              <w:rPr>
                <w:snapToGrid w:val="0"/>
              </w:rPr>
            </w:pPr>
            <w:r>
              <w:rPr>
                <w:snapToGrid w:val="0"/>
              </w:rPr>
              <w:t>r. 1 and 2: 15 Jun 2012 (see r. 2(a));</w:t>
            </w:r>
            <w:r>
              <w:rPr>
                <w:snapToGrid w:val="0"/>
              </w:rPr>
              <w:br/>
              <w:t xml:space="preserve">Regulations other than r. 1 and 2: </w:t>
            </w:r>
            <w:r>
              <w:t>1 Jul 2012 (see r. 2(b))</w:t>
            </w:r>
          </w:p>
        </w:tc>
      </w:tr>
      <w:tr>
        <w:tc>
          <w:tcPr>
            <w:tcW w:w="3119" w:type="dxa"/>
          </w:tcPr>
          <w:p>
            <w:pPr>
              <w:pStyle w:val="nTable"/>
              <w:spacing w:after="40"/>
              <w:rPr>
                <w:i/>
              </w:rPr>
            </w:pPr>
            <w:r>
              <w:rPr>
                <w:i/>
              </w:rPr>
              <w:t>Port Authorities Amendment Regulations (No. 3) 2012</w:t>
            </w:r>
          </w:p>
        </w:tc>
        <w:tc>
          <w:tcPr>
            <w:tcW w:w="1276" w:type="dxa"/>
          </w:tcPr>
          <w:p>
            <w:pPr>
              <w:pStyle w:val="nTable"/>
              <w:spacing w:after="40"/>
            </w:pPr>
            <w:r>
              <w:t>24 Aug 2012 p. 3959</w:t>
            </w:r>
            <w:r>
              <w:noBreakHyphen/>
              <w:t>60</w:t>
            </w:r>
          </w:p>
        </w:tc>
        <w:tc>
          <w:tcPr>
            <w:tcW w:w="2693" w:type="dxa"/>
          </w:tcPr>
          <w:p>
            <w:pPr>
              <w:pStyle w:val="nTable"/>
              <w:spacing w:after="40"/>
              <w:rPr>
                <w:snapToGrid w:val="0"/>
              </w:rPr>
            </w:pPr>
            <w:r>
              <w:rPr>
                <w:snapToGrid w:val="0"/>
              </w:rPr>
              <w:t>r. 1 and 2: 24 Aug 2012 (see r. 2(a));</w:t>
            </w:r>
            <w:r>
              <w:rPr>
                <w:snapToGrid w:val="0"/>
              </w:rPr>
              <w:br/>
              <w:t>Regulations other than r. 1 and 2: 25 Aug 2012 (see r. 2(b))</w:t>
            </w:r>
          </w:p>
        </w:tc>
      </w:tr>
      <w:tr>
        <w:tc>
          <w:tcPr>
            <w:tcW w:w="3119" w:type="dxa"/>
          </w:tcPr>
          <w:p>
            <w:pPr>
              <w:pStyle w:val="nTable"/>
              <w:spacing w:after="40"/>
              <w:rPr>
                <w:i/>
              </w:rPr>
            </w:pPr>
            <w:r>
              <w:rPr>
                <w:i/>
              </w:rPr>
              <w:t>Port Authorities Amendment (Fremantle) Regulations 2013</w:t>
            </w:r>
          </w:p>
        </w:tc>
        <w:tc>
          <w:tcPr>
            <w:tcW w:w="1276" w:type="dxa"/>
          </w:tcPr>
          <w:p>
            <w:pPr>
              <w:pStyle w:val="nTable"/>
              <w:spacing w:after="40"/>
            </w:pPr>
            <w:r>
              <w:t>29 Jan 2013 p. 336-8</w:t>
            </w:r>
          </w:p>
        </w:tc>
        <w:tc>
          <w:tcPr>
            <w:tcW w:w="2693" w:type="dxa"/>
          </w:tcPr>
          <w:p>
            <w:pPr>
              <w:pStyle w:val="nTable"/>
              <w:spacing w:after="40"/>
              <w:rPr>
                <w:snapToGrid w:val="0"/>
              </w:rPr>
            </w:pPr>
            <w:r>
              <w:rPr>
                <w:snapToGrid w:val="0"/>
              </w:rPr>
              <w:t>r. 1 and 2: 29 Jan 2013 (see r. 2(a));</w:t>
            </w:r>
            <w:r>
              <w:rPr>
                <w:snapToGrid w:val="0"/>
              </w:rPr>
              <w:br/>
              <w:t>Regulations other than r. 1 and 2: 30 Jan 2013 (see r. 2(b))</w:t>
            </w:r>
          </w:p>
        </w:tc>
      </w:tr>
      <w:tr>
        <w:tc>
          <w:tcPr>
            <w:tcW w:w="3119" w:type="dxa"/>
          </w:tcPr>
          <w:p>
            <w:pPr>
              <w:pStyle w:val="nTable"/>
              <w:spacing w:after="40"/>
              <w:rPr>
                <w:i/>
              </w:rPr>
            </w:pPr>
            <w:r>
              <w:rPr>
                <w:i/>
              </w:rPr>
              <w:t>Port Authorities Amendment (Esperance Pilotage Fees) Regulations 2013</w:t>
            </w:r>
          </w:p>
        </w:tc>
        <w:tc>
          <w:tcPr>
            <w:tcW w:w="1276" w:type="dxa"/>
          </w:tcPr>
          <w:p>
            <w:pPr>
              <w:pStyle w:val="nTable"/>
              <w:spacing w:after="40"/>
            </w:pPr>
            <w:r>
              <w:t>29 Jan 2013 p. 338-40</w:t>
            </w:r>
          </w:p>
        </w:tc>
        <w:tc>
          <w:tcPr>
            <w:tcW w:w="2693" w:type="dxa"/>
          </w:tcPr>
          <w:p>
            <w:pPr>
              <w:pStyle w:val="nTable"/>
              <w:spacing w:after="40"/>
              <w:rPr>
                <w:snapToGrid w:val="0"/>
              </w:rPr>
            </w:pPr>
            <w:r>
              <w:rPr>
                <w:snapToGrid w:val="0"/>
              </w:rPr>
              <w:t>r. 1 and 2: 29 Jan 2013 (see r. 2(a));</w:t>
            </w:r>
            <w:r>
              <w:rPr>
                <w:snapToGrid w:val="0"/>
              </w:rPr>
              <w:br/>
              <w:t>Regulations other than r. 1 and 2: 30 Jan 2013 (see r. 2(b))</w:t>
            </w:r>
          </w:p>
        </w:tc>
      </w:tr>
      <w:tr>
        <w:tc>
          <w:tcPr>
            <w:tcW w:w="3119" w:type="dxa"/>
          </w:tcPr>
          <w:p>
            <w:pPr>
              <w:pStyle w:val="nTable"/>
              <w:spacing w:after="40"/>
              <w:rPr>
                <w:i/>
              </w:rPr>
            </w:pPr>
            <w:r>
              <w:rPr>
                <w:i/>
              </w:rPr>
              <w:t>Port Authorities Amendment Regulations (No. 2) 2013</w:t>
            </w:r>
          </w:p>
        </w:tc>
        <w:tc>
          <w:tcPr>
            <w:tcW w:w="1276" w:type="dxa"/>
          </w:tcPr>
          <w:p>
            <w:pPr>
              <w:pStyle w:val="nTable"/>
              <w:spacing w:after="40"/>
            </w:pPr>
            <w:r>
              <w:t>28 Jun 2013 p. 2765-6</w:t>
            </w:r>
          </w:p>
        </w:tc>
        <w:tc>
          <w:tcPr>
            <w:tcW w:w="2693" w:type="dxa"/>
          </w:tcPr>
          <w:p>
            <w:pPr>
              <w:pStyle w:val="nTable"/>
              <w:spacing w:after="40"/>
              <w:rPr>
                <w:snapToGrid w:val="0"/>
              </w:rPr>
            </w:pPr>
            <w:r>
              <w:rPr>
                <w:snapToGrid w:val="0"/>
              </w:rPr>
              <w:t>r. 1 and 2: 28 Jun 2013 (see r. 2(a));</w:t>
            </w:r>
            <w:r>
              <w:rPr>
                <w:snapToGrid w:val="0"/>
              </w:rPr>
              <w:br/>
              <w:t>Regulations other than r. 1 and 2: 29 Jun 2013 (see r. 2(b))</w:t>
            </w:r>
          </w:p>
        </w:tc>
      </w:tr>
      <w:tr>
        <w:tc>
          <w:tcPr>
            <w:tcW w:w="3119" w:type="dxa"/>
          </w:tcPr>
          <w:p>
            <w:pPr>
              <w:pStyle w:val="nTable"/>
              <w:spacing w:after="40"/>
              <w:rPr>
                <w:i/>
              </w:rPr>
            </w:pPr>
            <w:r>
              <w:rPr>
                <w:i/>
              </w:rPr>
              <w:t>Port Authorities Amendment Regulations (No. 4) 2013</w:t>
            </w:r>
          </w:p>
        </w:tc>
        <w:tc>
          <w:tcPr>
            <w:tcW w:w="1276" w:type="dxa"/>
          </w:tcPr>
          <w:p>
            <w:pPr>
              <w:pStyle w:val="nTable"/>
              <w:spacing w:after="40"/>
            </w:pPr>
            <w:r>
              <w:t>12 Jul 2013 p. 3224</w:t>
            </w:r>
            <w:r>
              <w:noBreakHyphen/>
              <w:t>5</w:t>
            </w:r>
          </w:p>
        </w:tc>
        <w:tc>
          <w:tcPr>
            <w:tcW w:w="2693" w:type="dxa"/>
          </w:tcPr>
          <w:p>
            <w:pPr>
              <w:pStyle w:val="nTable"/>
              <w:spacing w:after="40"/>
              <w:rPr>
                <w:snapToGrid w:val="0"/>
              </w:rPr>
            </w:pPr>
            <w:r>
              <w:rPr>
                <w:snapToGrid w:val="0"/>
              </w:rPr>
              <w:t>r. 1 and 2: 12 Jul 2013 (see r. 2(a));</w:t>
            </w:r>
            <w:r>
              <w:rPr>
                <w:snapToGrid w:val="0"/>
              </w:rPr>
              <w:br/>
              <w:t>Regulations other than r. 1 and 2: 13 Jul 2013 (see r. 2(b))</w:t>
            </w:r>
          </w:p>
        </w:tc>
      </w:tr>
      <w:tr>
        <w:tc>
          <w:tcPr>
            <w:tcW w:w="3119" w:type="dxa"/>
          </w:tcPr>
          <w:p>
            <w:pPr>
              <w:pStyle w:val="nTable"/>
              <w:spacing w:after="40"/>
              <w:rPr>
                <w:i/>
              </w:rPr>
            </w:pPr>
            <w:r>
              <w:rPr>
                <w:i/>
              </w:rPr>
              <w:t>Port Authorities Amendment Regulations 2013</w:t>
            </w:r>
          </w:p>
        </w:tc>
        <w:tc>
          <w:tcPr>
            <w:tcW w:w="1276" w:type="dxa"/>
          </w:tcPr>
          <w:p>
            <w:pPr>
              <w:pStyle w:val="nTable"/>
              <w:spacing w:after="40"/>
            </w:pPr>
            <w:r>
              <w:t>13 Aug 2013 p. 3737-8</w:t>
            </w:r>
          </w:p>
        </w:tc>
        <w:tc>
          <w:tcPr>
            <w:tcW w:w="2693" w:type="dxa"/>
          </w:tcPr>
          <w:p>
            <w:pPr>
              <w:pStyle w:val="nTable"/>
              <w:spacing w:after="40"/>
              <w:rPr>
                <w:snapToGrid w:val="0"/>
              </w:rPr>
            </w:pPr>
            <w:r>
              <w:rPr>
                <w:snapToGrid w:val="0"/>
              </w:rPr>
              <w:t>r. 1 and 2: 13 Aug 2013 (see r. 2(a));</w:t>
            </w:r>
            <w:r>
              <w:rPr>
                <w:snapToGrid w:val="0"/>
              </w:rPr>
              <w:br/>
              <w:t>Regulations other than r. 1 and 2: 14 Aug 2013 (see r. 2(b))</w:t>
            </w:r>
          </w:p>
        </w:tc>
      </w:tr>
      <w:tr>
        <w:tc>
          <w:tcPr>
            <w:tcW w:w="3119" w:type="dxa"/>
          </w:tcPr>
          <w:p>
            <w:pPr>
              <w:pStyle w:val="nTable"/>
              <w:spacing w:after="40"/>
              <w:rPr>
                <w:i/>
              </w:rPr>
            </w:pPr>
            <w:r>
              <w:rPr>
                <w:i/>
              </w:rPr>
              <w:t>Port Authorities Amendment Regulations (No. 2) 2014</w:t>
            </w:r>
          </w:p>
        </w:tc>
        <w:tc>
          <w:tcPr>
            <w:tcW w:w="1276" w:type="dxa"/>
          </w:tcPr>
          <w:p>
            <w:pPr>
              <w:pStyle w:val="nTable"/>
              <w:spacing w:after="40"/>
            </w:pPr>
            <w:r>
              <w:rPr>
                <w:rStyle w:val="CharDivNo"/>
              </w:rPr>
              <w:t>20 Jun 2014 p. </w:t>
            </w:r>
            <w:r>
              <w:t>2029</w:t>
            </w:r>
            <w:r>
              <w:noBreakHyphen/>
              <w:t>35</w:t>
            </w:r>
          </w:p>
        </w:tc>
        <w:tc>
          <w:tcPr>
            <w:tcW w:w="2693" w:type="dxa"/>
          </w:tcPr>
          <w:p>
            <w:pPr>
              <w:pStyle w:val="nTable"/>
              <w:spacing w:after="40"/>
              <w:rPr>
                <w:snapToGrid w:val="0"/>
              </w:rPr>
            </w:pPr>
            <w:r>
              <w:rPr>
                <w:rFonts w:ascii="Times" w:hAnsi="Times"/>
                <w:bCs/>
                <w:snapToGrid w:val="0"/>
              </w:rPr>
              <w:t>r. 1 and 2: 20 Jun 2014 (see r. 2(a));</w:t>
            </w:r>
            <w:r>
              <w:rPr>
                <w:rFonts w:ascii="Times" w:hAnsi="Times"/>
                <w:bCs/>
                <w:snapToGrid w:val="0"/>
              </w:rPr>
              <w:br/>
              <w:t>Regulations other than r. 1 and 2: 1 Jul 2014 (see r. 2(b)(i))</w:t>
            </w:r>
          </w:p>
        </w:tc>
      </w:tr>
      <w:tr>
        <w:trPr>
          <w:cantSplit/>
        </w:trPr>
        <w:tc>
          <w:tcPr>
            <w:tcW w:w="3119" w:type="dxa"/>
            <w:shd w:val="clear" w:color="auto" w:fill="auto"/>
          </w:tcPr>
          <w:p>
            <w:pPr>
              <w:pStyle w:val="nTable"/>
              <w:tabs>
                <w:tab w:val="left" w:pos="879"/>
              </w:tabs>
              <w:spacing w:after="40"/>
              <w:rPr>
                <w:i/>
              </w:rPr>
            </w:pPr>
            <w:r>
              <w:rPr>
                <w:i/>
              </w:rPr>
              <w:t>Port Authorities Amendment Regulations (No. 4) 2014</w:t>
            </w:r>
          </w:p>
        </w:tc>
        <w:tc>
          <w:tcPr>
            <w:tcW w:w="1276" w:type="dxa"/>
            <w:shd w:val="clear" w:color="auto" w:fill="auto"/>
          </w:tcPr>
          <w:p>
            <w:pPr>
              <w:pStyle w:val="nTable"/>
              <w:tabs>
                <w:tab w:val="left" w:pos="879"/>
              </w:tabs>
              <w:spacing w:after="40"/>
              <w:rPr>
                <w:rStyle w:val="CharDivNo"/>
              </w:rPr>
            </w:pPr>
            <w:r>
              <w:rPr>
                <w:rStyle w:val="CharDivNo"/>
              </w:rPr>
              <w:t>5 Sep 2014 p. 3214</w:t>
            </w:r>
            <w:r>
              <w:rPr>
                <w:rStyle w:val="CharDivNo"/>
              </w:rPr>
              <w:noBreakHyphen/>
              <w:t>16</w:t>
            </w:r>
          </w:p>
        </w:tc>
        <w:tc>
          <w:tcPr>
            <w:tcW w:w="2693" w:type="dxa"/>
            <w:shd w:val="clear" w:color="auto" w:fill="auto"/>
          </w:tcPr>
          <w:p>
            <w:pPr>
              <w:pStyle w:val="nTable"/>
              <w:tabs>
                <w:tab w:val="left" w:pos="879"/>
              </w:tabs>
              <w:spacing w:after="40"/>
              <w:rPr>
                <w:rFonts w:ascii="Times" w:hAnsi="Times"/>
                <w:bCs/>
                <w:snapToGrid w:val="0"/>
              </w:rPr>
            </w:pPr>
            <w:r>
              <w:rPr>
                <w:rFonts w:ascii="Times" w:hAnsi="Times"/>
                <w:bCs/>
                <w:snapToGrid w:val="0"/>
              </w:rPr>
              <w:t>r. 1 and 2: 5 Sep 2014 (see r. 2(a));</w:t>
            </w:r>
            <w:r>
              <w:rPr>
                <w:rFonts w:ascii="Times" w:hAnsi="Times"/>
                <w:bCs/>
                <w:snapToGrid w:val="0"/>
              </w:rPr>
              <w:br/>
              <w:t>Regulations other than r. 1 and 2: 6 Sep 2014 (see r. 2(b))</w:t>
            </w:r>
          </w:p>
        </w:tc>
      </w:tr>
      <w:tr>
        <w:trPr>
          <w:cantSplit/>
        </w:trPr>
        <w:tc>
          <w:tcPr>
            <w:tcW w:w="3119" w:type="dxa"/>
            <w:shd w:val="clear" w:color="auto" w:fill="auto"/>
          </w:tcPr>
          <w:p>
            <w:pPr>
              <w:pStyle w:val="nTable"/>
              <w:tabs>
                <w:tab w:val="left" w:pos="879"/>
              </w:tabs>
              <w:spacing w:after="40"/>
              <w:rPr>
                <w:i/>
              </w:rPr>
            </w:pPr>
            <w:r>
              <w:rPr>
                <w:i/>
              </w:rPr>
              <w:t>Port Authorities Amendment Regulations (No. 5) 2014</w:t>
            </w:r>
          </w:p>
        </w:tc>
        <w:tc>
          <w:tcPr>
            <w:tcW w:w="1276" w:type="dxa"/>
            <w:shd w:val="clear" w:color="auto" w:fill="auto"/>
          </w:tcPr>
          <w:p>
            <w:pPr>
              <w:pStyle w:val="nTable"/>
              <w:tabs>
                <w:tab w:val="left" w:pos="879"/>
              </w:tabs>
              <w:spacing w:after="40"/>
              <w:rPr>
                <w:rStyle w:val="CharDivNo"/>
              </w:rPr>
            </w:pPr>
            <w:r>
              <w:rPr>
                <w:rStyle w:val="CharDivNo"/>
              </w:rPr>
              <w:t>19 Sep 2014 p. 3342-3</w:t>
            </w:r>
          </w:p>
        </w:tc>
        <w:tc>
          <w:tcPr>
            <w:tcW w:w="2693" w:type="dxa"/>
            <w:shd w:val="clear" w:color="auto" w:fill="auto"/>
          </w:tcPr>
          <w:p>
            <w:pPr>
              <w:pStyle w:val="nTable"/>
              <w:tabs>
                <w:tab w:val="left" w:pos="879"/>
              </w:tabs>
              <w:spacing w:after="40"/>
              <w:rPr>
                <w:rFonts w:ascii="Times" w:hAnsi="Times"/>
                <w:bCs/>
                <w:snapToGrid w:val="0"/>
              </w:rPr>
            </w:pPr>
            <w:r>
              <w:rPr>
                <w:rFonts w:ascii="Times" w:hAnsi="Times"/>
                <w:bCs/>
                <w:snapToGrid w:val="0"/>
              </w:rPr>
              <w:t>r. 1 and 2: 19 Sep 2014 (see r. 2(a));</w:t>
            </w:r>
            <w:r>
              <w:rPr>
                <w:rFonts w:ascii="Times" w:hAnsi="Times"/>
                <w:bCs/>
                <w:snapToGrid w:val="0"/>
              </w:rPr>
              <w:br/>
              <w:t>Regulations other than r. 1 and 2: 1 Oct 2014 (see r. 2(b)(i))</w:t>
            </w:r>
          </w:p>
        </w:tc>
      </w:tr>
      <w:tr>
        <w:tc>
          <w:tcPr>
            <w:tcW w:w="7088" w:type="dxa"/>
            <w:gridSpan w:val="3"/>
            <w:shd w:val="clear" w:color="auto" w:fill="auto"/>
          </w:tcPr>
          <w:p>
            <w:pPr>
              <w:pStyle w:val="nTable"/>
              <w:tabs>
                <w:tab w:val="left" w:pos="879"/>
              </w:tabs>
              <w:spacing w:after="40"/>
              <w:rPr>
                <w:rFonts w:ascii="Times" w:hAnsi="Times"/>
                <w:bCs/>
                <w:snapToGrid w:val="0"/>
                <w:spacing w:val="-2"/>
              </w:rPr>
            </w:pPr>
            <w:r>
              <w:rPr>
                <w:b/>
              </w:rPr>
              <w:t xml:space="preserve">Reprint 6: The </w:t>
            </w:r>
            <w:r>
              <w:rPr>
                <w:b/>
                <w:i/>
              </w:rPr>
              <w:t>Port Authorities Regulations 2001</w:t>
            </w:r>
            <w:r>
              <w:rPr>
                <w:b/>
              </w:rPr>
              <w:t xml:space="preserve"> as at 21 Nov 2014</w:t>
            </w:r>
            <w:r>
              <w:t xml:space="preserve"> (includes amendments listed above)</w:t>
            </w:r>
          </w:p>
        </w:tc>
      </w:tr>
      <w:tr>
        <w:trPr>
          <w:cantSplit/>
        </w:trPr>
        <w:tc>
          <w:tcPr>
            <w:tcW w:w="3119" w:type="dxa"/>
            <w:shd w:val="clear" w:color="auto" w:fill="auto"/>
          </w:tcPr>
          <w:p>
            <w:pPr>
              <w:pStyle w:val="nTable"/>
              <w:tabs>
                <w:tab w:val="left" w:pos="879"/>
              </w:tabs>
              <w:spacing w:after="40"/>
              <w:rPr>
                <w:i/>
              </w:rPr>
            </w:pPr>
            <w:r>
              <w:rPr>
                <w:i/>
              </w:rPr>
              <w:t>Port Authorities Amendment Regulations 2014</w:t>
            </w:r>
          </w:p>
        </w:tc>
        <w:tc>
          <w:tcPr>
            <w:tcW w:w="1276" w:type="dxa"/>
            <w:shd w:val="clear" w:color="auto" w:fill="auto"/>
          </w:tcPr>
          <w:p>
            <w:pPr>
              <w:pStyle w:val="nTable"/>
              <w:tabs>
                <w:tab w:val="left" w:pos="879"/>
              </w:tabs>
              <w:spacing w:after="40"/>
              <w:rPr>
                <w:rStyle w:val="CharDivNo"/>
              </w:rPr>
            </w:pPr>
            <w:r>
              <w:t>8 Jan 2015 p. 61</w:t>
            </w:r>
            <w:r>
              <w:noBreakHyphen/>
              <w:t>3</w:t>
            </w:r>
          </w:p>
        </w:tc>
        <w:tc>
          <w:tcPr>
            <w:tcW w:w="2693" w:type="dxa"/>
            <w:shd w:val="clear" w:color="auto" w:fill="auto"/>
          </w:tcPr>
          <w:p>
            <w:pPr>
              <w:pStyle w:val="nTable"/>
              <w:tabs>
                <w:tab w:val="left" w:pos="879"/>
              </w:tabs>
              <w:spacing w:after="40"/>
              <w:rPr>
                <w:rFonts w:ascii="Times" w:hAnsi="Times"/>
                <w:bCs/>
                <w:snapToGrid w:val="0"/>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rPr>
          <w:cantSplit/>
        </w:trPr>
        <w:tc>
          <w:tcPr>
            <w:tcW w:w="3119" w:type="dxa"/>
            <w:tcBorders>
              <w:bottom w:val="single" w:sz="4" w:space="0" w:color="auto"/>
            </w:tcBorders>
            <w:shd w:val="clear" w:color="auto" w:fill="auto"/>
          </w:tcPr>
          <w:p>
            <w:pPr>
              <w:pStyle w:val="nTable"/>
              <w:tabs>
                <w:tab w:val="left" w:pos="879"/>
              </w:tabs>
              <w:spacing w:after="40"/>
            </w:pPr>
            <w:r>
              <w:rPr>
                <w:i/>
              </w:rPr>
              <w:t>Transport Regulations Amendment (Vessel Pilotage) Regulations 2016</w:t>
            </w:r>
            <w:r>
              <w:t xml:space="preserve"> Pt. </w:t>
            </w:r>
            <w:del w:id="1097" w:author="Master Repository Process" w:date="2021-09-11T20:29:00Z">
              <w:r>
                <w:delText>2 (other than r. 4(2))</w:delText>
              </w:r>
            </w:del>
            <w:ins w:id="1098" w:author="Master Repository Process" w:date="2021-09-11T20:29:00Z">
              <w:r>
                <w:t>2</w:t>
              </w:r>
            </w:ins>
          </w:p>
        </w:tc>
        <w:tc>
          <w:tcPr>
            <w:tcW w:w="1276" w:type="dxa"/>
            <w:tcBorders>
              <w:bottom w:val="single" w:sz="4" w:space="0" w:color="auto"/>
            </w:tcBorders>
            <w:shd w:val="clear" w:color="auto" w:fill="auto"/>
          </w:tcPr>
          <w:p>
            <w:pPr>
              <w:pStyle w:val="nTable"/>
              <w:tabs>
                <w:tab w:val="left" w:pos="879"/>
              </w:tabs>
              <w:spacing w:after="40"/>
            </w:pPr>
            <w:r>
              <w:t>16 Sep 2016 p. 3943</w:t>
            </w:r>
            <w:r>
              <w:noBreakHyphen/>
              <w:t>5</w:t>
            </w:r>
          </w:p>
        </w:tc>
        <w:tc>
          <w:tcPr>
            <w:tcW w:w="2693" w:type="dxa"/>
            <w:tcBorders>
              <w:bottom w:val="single" w:sz="4" w:space="0" w:color="auto"/>
            </w:tcBorders>
            <w:shd w:val="clear" w:color="auto" w:fill="auto"/>
          </w:tcPr>
          <w:p>
            <w:pPr>
              <w:pStyle w:val="nTable"/>
              <w:tabs>
                <w:tab w:val="left" w:pos="879"/>
              </w:tabs>
              <w:spacing w:after="40"/>
              <w:rPr>
                <w:rFonts w:ascii="Times" w:hAnsi="Times"/>
                <w:bCs/>
                <w:snapToGrid w:val="0"/>
                <w:spacing w:val="-2"/>
              </w:rPr>
            </w:pPr>
            <w:ins w:id="1099" w:author="Master Repository Process" w:date="2021-09-11T20:29:00Z">
              <w:r>
                <w:t xml:space="preserve">Pt. 2 (other than r. 4(2)): </w:t>
              </w:r>
            </w:ins>
            <w:r>
              <w:t>17 Sep 2016</w:t>
            </w:r>
            <w:r>
              <w:rPr>
                <w:rFonts w:ascii="Times" w:hAnsi="Times"/>
                <w:bCs/>
                <w:snapToGrid w:val="0"/>
                <w:spacing w:val="-2"/>
              </w:rPr>
              <w:t xml:space="preserve"> (see r. 2(c</w:t>
            </w:r>
            <w:ins w:id="1100" w:author="Master Repository Process" w:date="2021-09-11T20:29:00Z">
              <w:r>
                <w:rPr>
                  <w:rFonts w:ascii="Times" w:hAnsi="Times"/>
                  <w:bCs/>
                  <w:snapToGrid w:val="0"/>
                  <w:spacing w:val="-2"/>
                </w:rPr>
                <w:t>));</w:t>
              </w:r>
              <w:r>
                <w:rPr>
                  <w:rFonts w:ascii="Times" w:hAnsi="Times"/>
                  <w:bCs/>
                  <w:snapToGrid w:val="0"/>
                  <w:spacing w:val="-2"/>
                </w:rPr>
                <w:br/>
                <w:t>r. 4(2): 17 Sep 2017 (see r. 2(b</w:t>
              </w:r>
            </w:ins>
            <w:r>
              <w:rPr>
                <w:rFonts w:ascii="Times" w:hAnsi="Times"/>
                <w:bCs/>
                <w:snapToGrid w:val="0"/>
                <w:spacing w:val="-2"/>
              </w:rPr>
              <w:t>))</w:t>
            </w:r>
          </w:p>
        </w:tc>
      </w:tr>
    </w:tbl>
    <w:p>
      <w:pPr>
        <w:pStyle w:val="nSubsection"/>
        <w:spacing w:before="360"/>
        <w:rPr>
          <w:del w:id="1101" w:author="Master Repository Process" w:date="2021-09-11T20:29:00Z"/>
        </w:rPr>
      </w:pPr>
      <w:del w:id="1102" w:author="Master Repository Process" w:date="2021-09-11T20:29: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103" w:author="Master Repository Process" w:date="2021-09-11T20:29:00Z"/>
        </w:rPr>
      </w:pPr>
      <w:bookmarkStart w:id="1104" w:name="_Toc461723939"/>
      <w:del w:id="1105" w:author="Master Repository Process" w:date="2021-09-11T20:29:00Z">
        <w:r>
          <w:delText>Provisions that have not come into operation</w:delText>
        </w:r>
        <w:bookmarkEnd w:id="1104"/>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106" w:author="Master Repository Process" w:date="2021-09-11T20:29:00Z"/>
        </w:trPr>
        <w:tc>
          <w:tcPr>
            <w:tcW w:w="3118" w:type="dxa"/>
          </w:tcPr>
          <w:p>
            <w:pPr>
              <w:pStyle w:val="nTable"/>
              <w:spacing w:after="40"/>
              <w:rPr>
                <w:del w:id="1107" w:author="Master Repository Process" w:date="2021-09-11T20:29:00Z"/>
                <w:b/>
              </w:rPr>
            </w:pPr>
            <w:del w:id="1108" w:author="Master Repository Process" w:date="2021-09-11T20:29:00Z">
              <w:r>
                <w:rPr>
                  <w:b/>
                </w:rPr>
                <w:delText>Citation</w:delText>
              </w:r>
            </w:del>
          </w:p>
        </w:tc>
        <w:tc>
          <w:tcPr>
            <w:tcW w:w="1276" w:type="dxa"/>
          </w:tcPr>
          <w:p>
            <w:pPr>
              <w:pStyle w:val="nTable"/>
              <w:spacing w:after="40"/>
              <w:rPr>
                <w:del w:id="1109" w:author="Master Repository Process" w:date="2021-09-11T20:29:00Z"/>
                <w:b/>
              </w:rPr>
            </w:pPr>
            <w:del w:id="1110" w:author="Master Repository Process" w:date="2021-09-11T20:29:00Z">
              <w:r>
                <w:rPr>
                  <w:b/>
                </w:rPr>
                <w:delText>Gazettal</w:delText>
              </w:r>
            </w:del>
          </w:p>
        </w:tc>
        <w:tc>
          <w:tcPr>
            <w:tcW w:w="2693" w:type="dxa"/>
          </w:tcPr>
          <w:p>
            <w:pPr>
              <w:pStyle w:val="nTable"/>
              <w:spacing w:after="40"/>
              <w:rPr>
                <w:del w:id="1111" w:author="Master Repository Process" w:date="2021-09-11T20:29:00Z"/>
                <w:b/>
              </w:rPr>
            </w:pPr>
            <w:del w:id="1112" w:author="Master Repository Process" w:date="2021-09-11T20:29:00Z">
              <w:r>
                <w:rPr>
                  <w:b/>
                </w:rPr>
                <w:delText>Commencement</w:delText>
              </w:r>
            </w:del>
          </w:p>
        </w:tc>
      </w:tr>
      <w:tr>
        <w:trPr>
          <w:del w:id="1113" w:author="Master Repository Process" w:date="2021-09-11T20:29:00Z"/>
        </w:trPr>
        <w:tc>
          <w:tcPr>
            <w:tcW w:w="3118" w:type="dxa"/>
          </w:tcPr>
          <w:p>
            <w:pPr>
              <w:pStyle w:val="nTable"/>
              <w:spacing w:after="40"/>
              <w:rPr>
                <w:del w:id="1114" w:author="Master Repository Process" w:date="2021-09-11T20:29:00Z"/>
              </w:rPr>
            </w:pPr>
            <w:del w:id="1115" w:author="Master Repository Process" w:date="2021-09-11T20:29:00Z">
              <w:r>
                <w:rPr>
                  <w:i/>
                </w:rPr>
                <w:delText>Transport Regulations Amendment (Vessel Pilotage) Regulations 2016</w:delText>
              </w:r>
              <w:r>
                <w:delText xml:space="preserve"> r. 4(2) </w:delText>
              </w:r>
              <w:r>
                <w:rPr>
                  <w:vertAlign w:val="superscript"/>
                </w:rPr>
                <w:delText>6</w:delText>
              </w:r>
            </w:del>
          </w:p>
        </w:tc>
        <w:tc>
          <w:tcPr>
            <w:tcW w:w="1276" w:type="dxa"/>
          </w:tcPr>
          <w:p>
            <w:pPr>
              <w:pStyle w:val="nTable"/>
              <w:spacing w:after="40"/>
              <w:rPr>
                <w:del w:id="1116" w:author="Master Repository Process" w:date="2021-09-11T20:29:00Z"/>
              </w:rPr>
            </w:pPr>
            <w:del w:id="1117" w:author="Master Repository Process" w:date="2021-09-11T20:29:00Z">
              <w:r>
                <w:delText>16 Sep 2016 p. 3943</w:delText>
              </w:r>
              <w:r>
                <w:noBreakHyphen/>
                <w:delText>5</w:delText>
              </w:r>
            </w:del>
          </w:p>
        </w:tc>
        <w:tc>
          <w:tcPr>
            <w:tcW w:w="2693" w:type="dxa"/>
          </w:tcPr>
          <w:p>
            <w:pPr>
              <w:pStyle w:val="nTable"/>
              <w:spacing w:after="40"/>
              <w:rPr>
                <w:del w:id="1118" w:author="Master Repository Process" w:date="2021-09-11T20:29:00Z"/>
              </w:rPr>
            </w:pPr>
            <w:del w:id="1119" w:author="Master Repository Process" w:date="2021-09-11T20:29:00Z">
              <w:r>
                <w:delText>17 Sep 2017</w:delText>
              </w:r>
              <w:r>
                <w:rPr>
                  <w:rFonts w:ascii="Times" w:hAnsi="Times"/>
                  <w:bCs/>
                  <w:snapToGrid w:val="0"/>
                  <w:spacing w:val="-2"/>
                </w:rPr>
                <w:delText xml:space="preserve"> (see r. 2(b))</w:delText>
              </w:r>
            </w:del>
          </w:p>
        </w:tc>
      </w:tr>
    </w:tbl>
    <w:p>
      <w:pPr>
        <w:pStyle w:val="nSubsection"/>
        <w:keepLines/>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3</w:t>
      </w:r>
      <w:r>
        <w:tab/>
        <w:t xml:space="preserve">Repealed by the </w:t>
      </w:r>
      <w:r>
        <w:rPr>
          <w:i/>
        </w:rPr>
        <w:t>Tobacco Products Control Act 2006</w:t>
      </w:r>
      <w:r>
        <w:t>.</w:t>
      </w:r>
    </w:p>
    <w:p>
      <w:pPr>
        <w:pStyle w:val="nSubsection"/>
      </w:pPr>
      <w:r>
        <w:rPr>
          <w:vertAlign w:val="superscript"/>
        </w:rPr>
        <w:t>4</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rPr>
        <w:t>Navigable Waters Amendment Regulations (No. 2) 2005</w:t>
      </w:r>
      <w:r>
        <w:t xml:space="preserve"> r. 3. The reference was changed under the </w:t>
      </w:r>
      <w:r>
        <w:rPr>
          <w:i/>
        </w:rPr>
        <w:t>Reprints Act 1984</w:t>
      </w:r>
      <w:r>
        <w:t xml:space="preserve"> s. 7(3)(gb).</w:t>
      </w:r>
    </w:p>
    <w:p>
      <w:pPr>
        <w:pStyle w:val="nSubsection"/>
      </w:pPr>
      <w:r>
        <w:rPr>
          <w:vertAlign w:val="superscript"/>
        </w:rPr>
        <w:t>5</w:t>
      </w:r>
      <w:r>
        <w:tab/>
        <w:t>R</w:t>
      </w:r>
      <w:r>
        <w:rPr>
          <w:snapToGrid w:val="0"/>
        </w:rPr>
        <w:t xml:space="preserve">epealed by the </w:t>
      </w:r>
      <w:r>
        <w:rPr>
          <w:i/>
        </w:rPr>
        <w:t>Dangerous Goods Safety Act 2004</w:t>
      </w:r>
      <w:r>
        <w:t>.</w:t>
      </w:r>
    </w:p>
    <w:p>
      <w:pPr>
        <w:pStyle w:val="nSubsection"/>
        <w:rPr>
          <w:del w:id="1120" w:author="Master Repository Process" w:date="2021-09-11T20:29:00Z"/>
        </w:rPr>
      </w:pPr>
      <w:del w:id="1121" w:author="Master Repository Process" w:date="2021-09-11T20:29:00Z">
        <w:r>
          <w:rPr>
            <w:vertAlign w:val="superscript"/>
          </w:rPr>
          <w:delText>6</w:delText>
        </w:r>
        <w:r>
          <w:rPr>
            <w:vertAlign w:val="superscript"/>
          </w:rPr>
          <w:tab/>
        </w:r>
        <w:r>
          <w:delText xml:space="preserve">On the date as at which this compilation was prepared, the </w:delText>
        </w:r>
        <w:r>
          <w:rPr>
            <w:i/>
          </w:rPr>
          <w:delText>Transport Regulations Amendment (Vessel Pilotage) Regulations 2016</w:delText>
        </w:r>
        <w:r>
          <w:delText xml:space="preserve"> r. 4(2) had not come into operation.  It reads as follows:</w:delText>
        </w:r>
      </w:del>
    </w:p>
    <w:p>
      <w:pPr>
        <w:pStyle w:val="BlankOpen"/>
        <w:rPr>
          <w:del w:id="1122" w:author="Master Repository Process" w:date="2021-09-11T20:29:00Z"/>
        </w:rPr>
      </w:pPr>
    </w:p>
    <w:p>
      <w:pPr>
        <w:pStyle w:val="nzSubsection"/>
        <w:rPr>
          <w:del w:id="1123" w:author="Master Repository Process" w:date="2021-09-11T20:29:00Z"/>
        </w:rPr>
      </w:pPr>
      <w:del w:id="1124" w:author="Master Repository Process" w:date="2021-09-11T20:29:00Z">
        <w:r>
          <w:tab/>
          <w:delText>(2)</w:delText>
        </w:r>
        <w:r>
          <w:tab/>
          <w:delText>Delete regulation 30(1)(c).</w:delText>
        </w:r>
      </w:del>
    </w:p>
    <w:p>
      <w:pPr>
        <w:pStyle w:val="BlankClose"/>
        <w:rPr>
          <w:del w:id="1125" w:author="Master Repository Process" w:date="2021-09-11T20:29:00Z"/>
        </w:rPr>
      </w:pPr>
    </w:p>
    <w:p>
      <w:pPr>
        <w:rPr>
          <w:sz w:val="20"/>
        </w:rPr>
      </w:pPr>
    </w:p>
    <w:p>
      <w:pPr>
        <w:rPr>
          <w:sz w:val="20"/>
        </w:r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rPr>
          <w:sz w:val="20"/>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STYLEREF CharPartText</w:instrTex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074" w:name="Schedule"/>
    <w:bookmarkEnd w:id="107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for particular ports and port authorities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7</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7</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Port of Port Hedland</w:t>
          </w:r>
          <w:r>
            <w:cr/>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Provisions for particular ports and port authorities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Port of Port Hedland</w:t>
          </w:r>
          <w:r>
            <w:cr/>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7</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7</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126" w:name="Compilation"/>
    <w:bookmarkEnd w:id="1126"/>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27" w:name="Coversheet"/>
    <w:bookmarkEnd w:id="11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 w:numId="27">
    <w:abstractNumId w:val="22"/>
  </w:num>
  <w:num w:numId="28">
    <w:abstractNumId w:val="19"/>
  </w:num>
  <w:num w:numId="29">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851"/>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6114518"/>
    <w:docVar w:name="WAFER_20140109165318" w:val="RemoveTocBookmarks,RemoveUnusedBookmarks,RemoveLanguageTags,UsedStyles,ResetPageSize,UpdateArrangement"/>
    <w:docVar w:name="WAFER_20140109165318_GUID" w:val="c69aa3d0-a6c9-44d0-9eda-1373a4fb98e3"/>
    <w:docVar w:name="WAFER_20140908111040" w:val="RemoveTocBookmarks,RemoveUnusedBookmarks,RemoveLanguageTags,UsedStyles,ResetPageSize,RemoveBadVanishTags,ResetStyles,RemoveDocumentProtection,RemoveTrackChanges,RemoveCustomizations"/>
    <w:docVar w:name="WAFER_20140908111040_GUID" w:val="4ad4c896-66b6-45cd-9bdf-2309928d49ab"/>
    <w:docVar w:name="WAFER_20150107135521" w:val="RemoveTocBookmarks,RemoveUnusedBookmarks,RemoveLanguageTags,UsedStyles,ResetPageSize,UpdateArrangement"/>
    <w:docVar w:name="WAFER_20150107135521_GUID" w:val="fd05310c-74c7-496f-8b63-83a7f22edc57"/>
    <w:docVar w:name="WAFER_20150416103153" w:val="ResetPageSize,UpdateArrangement,UpdateNTable"/>
    <w:docVar w:name="WAFER_20150416103153_GUID" w:val="6e545dde-a07e-4480-b350-2c0dc6923c08"/>
    <w:docVar w:name="WAFER_20151126104749" w:val="UpdateStyles"/>
    <w:docVar w:name="WAFER_20151126104749_GUID" w:val="b8730dfa-9cf2-423f-bfe3-dd0e7719628f"/>
    <w:docVar w:name="WAFER_20151126114518" w:val="UsedStyles"/>
    <w:docVar w:name="WAFER_20151126114518_GUID" w:val="acac5929-c996-4e50-b02f-f108fb58d0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15:docId w15:val="{69E57800-8856-4F4C-9BDF-8952EACED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FF2B93-5A69-4CF1-AABB-53D978D03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31090</Words>
  <Characters>147681</Characters>
  <Application>Microsoft Office Word</Application>
  <DocSecurity>0</DocSecurity>
  <Lines>3991</Lines>
  <Paragraphs>2482</Paragraphs>
  <ScaleCrop>false</ScaleCrop>
  <HeadingPairs>
    <vt:vector size="2" baseType="variant">
      <vt:variant>
        <vt:lpstr>Title</vt:lpstr>
      </vt:variant>
      <vt:variant>
        <vt:i4>1</vt:i4>
      </vt:variant>
    </vt:vector>
  </HeadingPairs>
  <TitlesOfParts>
    <vt:vector size="1" baseType="lpstr">
      <vt:lpstr>Port Authorities Regulations 2001</vt:lpstr>
    </vt:vector>
  </TitlesOfParts>
  <Manager/>
  <Company/>
  <LinksUpToDate>false</LinksUpToDate>
  <CharactersWithSpaces>176289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06-d0-03 - 06-e0-00</dc:title>
  <dc:subject/>
  <dc:creator/>
  <cp:keywords/>
  <dc:description/>
  <cp:lastModifiedBy>Master Repository Process</cp:lastModifiedBy>
  <cp:revision>2</cp:revision>
  <cp:lastPrinted>2017-09-13T04:46:00Z</cp:lastPrinted>
  <dcterms:created xsi:type="dcterms:W3CDTF">2021-09-11T12:28:00Z</dcterms:created>
  <dcterms:modified xsi:type="dcterms:W3CDTF">2021-09-11T12:29:00Z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DocumentType">
    <vt:lpwstr>Reg</vt:lpwstr>
  </property>
  <property fmtid="{D5CDD505-2E9C-101B-9397-08002B2CF9AE}" pid="4" name="OwlsUID">
    <vt:i4>611</vt:i4>
  </property>
  <property fmtid="{D5CDD505-2E9C-101B-9397-08002B2CF9AE}" pid="5" name="ReprintNo">
    <vt:lpwstr>6</vt:lpwstr>
  </property>
  <property fmtid="{D5CDD505-2E9C-101B-9397-08002B2CF9AE}" pid="6" name="ReprintedAsAt">
    <vt:filetime>2014-11-20T16:00:00Z</vt:filetime>
  </property>
  <property fmtid="{D5CDD505-2E9C-101B-9397-08002B2CF9AE}" pid="7" name="CommencementDate">
    <vt:lpwstr>20170917</vt:lpwstr>
  </property>
  <property fmtid="{D5CDD505-2E9C-101B-9397-08002B2CF9AE}" pid="8" name="FromSuffix">
    <vt:lpwstr>06-d0-03</vt:lpwstr>
  </property>
  <property fmtid="{D5CDD505-2E9C-101B-9397-08002B2CF9AE}" pid="9" name="FromAsAtDate">
    <vt:lpwstr>17 Sep 2016</vt:lpwstr>
  </property>
  <property fmtid="{D5CDD505-2E9C-101B-9397-08002B2CF9AE}" pid="10" name="ToSuffix">
    <vt:lpwstr>06-e0-00</vt:lpwstr>
  </property>
  <property fmtid="{D5CDD505-2E9C-101B-9397-08002B2CF9AE}" pid="11" name="ToAsAtDate">
    <vt:lpwstr>17 Sep 2017</vt:lpwstr>
  </property>
</Properties>
</file>