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2005</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17 Nov 2006</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0:50:00Z"/>
        </w:trPr>
        <w:tc>
          <w:tcPr>
            <w:tcW w:w="2434" w:type="dxa"/>
            <w:vMerge w:val="restart"/>
          </w:tcPr>
          <w:p>
            <w:pPr>
              <w:rPr>
                <w:ins w:id="1" w:author="Master Repository Process" w:date="2021-08-29T00:50:00Z"/>
              </w:rPr>
            </w:pPr>
          </w:p>
        </w:tc>
        <w:tc>
          <w:tcPr>
            <w:tcW w:w="2434" w:type="dxa"/>
            <w:vMerge w:val="restart"/>
          </w:tcPr>
          <w:p>
            <w:pPr>
              <w:jc w:val="center"/>
              <w:rPr>
                <w:ins w:id="2" w:author="Master Repository Process" w:date="2021-08-29T00:50:00Z"/>
              </w:rPr>
            </w:pPr>
            <w:ins w:id="3" w:author="Master Repository Process" w:date="2021-08-29T00:5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0:50:00Z"/>
              </w:rPr>
            </w:pPr>
          </w:p>
        </w:tc>
      </w:tr>
      <w:tr>
        <w:trPr>
          <w:cantSplit/>
          <w:ins w:id="5" w:author="Master Repository Process" w:date="2021-08-29T00:50:00Z"/>
        </w:trPr>
        <w:tc>
          <w:tcPr>
            <w:tcW w:w="2434" w:type="dxa"/>
            <w:vMerge/>
          </w:tcPr>
          <w:p>
            <w:pPr>
              <w:rPr>
                <w:ins w:id="6" w:author="Master Repository Process" w:date="2021-08-29T00:50:00Z"/>
              </w:rPr>
            </w:pPr>
          </w:p>
        </w:tc>
        <w:tc>
          <w:tcPr>
            <w:tcW w:w="2434" w:type="dxa"/>
            <w:vMerge/>
          </w:tcPr>
          <w:p>
            <w:pPr>
              <w:jc w:val="center"/>
              <w:rPr>
                <w:ins w:id="7" w:author="Master Repository Process" w:date="2021-08-29T00:50:00Z"/>
              </w:rPr>
            </w:pPr>
          </w:p>
        </w:tc>
        <w:tc>
          <w:tcPr>
            <w:tcW w:w="2434" w:type="dxa"/>
          </w:tcPr>
          <w:p>
            <w:pPr>
              <w:keepNext/>
              <w:rPr>
                <w:ins w:id="8" w:author="Master Repository Process" w:date="2021-08-29T00:50:00Z"/>
                <w:b/>
                <w:sz w:val="22"/>
              </w:rPr>
            </w:pPr>
            <w:ins w:id="9" w:author="Master Repository Process" w:date="2021-08-29T00:50:00Z">
              <w:r>
                <w:rPr>
                  <w:b/>
                  <w:sz w:val="22"/>
                </w:rPr>
                <w:t xml:space="preserve">Reprinted under the </w:t>
              </w:r>
              <w:r>
                <w:rPr>
                  <w:b/>
                  <w:i/>
                  <w:sz w:val="22"/>
                </w:rPr>
                <w:t>Reprints Act 1984</w:t>
              </w:r>
              <w:r>
                <w:rPr>
                  <w:b/>
                  <w:sz w:val="22"/>
                </w:rPr>
                <w:t xml:space="preserve"> as at 17</w:t>
              </w:r>
              <w:r>
                <w:rPr>
                  <w:b/>
                  <w:snapToGrid w:val="0"/>
                  <w:sz w:val="22"/>
                </w:rPr>
                <w:t xml:space="preserve"> November 2006</w:t>
              </w:r>
            </w:ins>
          </w:p>
        </w:tc>
      </w:tr>
    </w:tbl>
    <w:p>
      <w:pPr>
        <w:pStyle w:val="WA"/>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5"/>
        <w:rPr>
          <w:snapToGrid w:val="0"/>
        </w:rPr>
      </w:pPr>
      <w:bookmarkStart w:id="10" w:name="_Toc12955287"/>
      <w:bookmarkStart w:id="11" w:name="_Toc12955574"/>
      <w:bookmarkStart w:id="12" w:name="_Toc112152175"/>
      <w:bookmarkStart w:id="13" w:name="_Toc153784521"/>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15" w:name="_Toc12955288"/>
      <w:bookmarkStart w:id="16" w:name="_Toc12955575"/>
      <w:bookmarkStart w:id="17" w:name="_Toc112152176"/>
      <w:bookmarkStart w:id="18" w:name="_Toc153784522"/>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9" w:name="_Toc12955289"/>
      <w:bookmarkStart w:id="20" w:name="_Toc12955576"/>
      <w:bookmarkStart w:id="21" w:name="_Toc112152177"/>
      <w:bookmarkStart w:id="22" w:name="_Toc153784523"/>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code of conduct</w:t>
      </w:r>
      <w:r>
        <w:rPr>
          <w:b/>
        </w:rPr>
        <w:t>”</w:t>
      </w:r>
      <w:r>
        <w:t xml:space="preserve"> means a code of conduct prepared or adopted under section 5.103(1);</w:t>
      </w:r>
    </w:p>
    <w:p>
      <w:pPr>
        <w:pStyle w:val="Defstart"/>
      </w:pPr>
      <w:r>
        <w:rPr>
          <w:b/>
        </w:rPr>
        <w:tab/>
        <w:t>“</w:t>
      </w:r>
      <w:r>
        <w:rPr>
          <w:rStyle w:val="CharDefText"/>
        </w:rPr>
        <w:t>committee</w:t>
      </w:r>
      <w:r>
        <w:rPr>
          <w:b/>
        </w:rPr>
        <w:t>”</w:t>
      </w:r>
      <w:r>
        <w:t xml:space="preserve"> means a committee of a council;</w:t>
      </w:r>
    </w:p>
    <w:p>
      <w:pPr>
        <w:pStyle w:val="Defstart"/>
      </w:pPr>
      <w:r>
        <w:tab/>
      </w:r>
      <w:r>
        <w:rPr>
          <w:b/>
        </w:rPr>
        <w:t>“</w:t>
      </w:r>
      <w:r>
        <w:rPr>
          <w:rStyle w:val="CharDefText"/>
        </w:rPr>
        <w:t>relevant person</w:t>
      </w:r>
      <w:r>
        <w:rPr>
          <w:b/>
        </w:rPr>
        <w:t>”</w:t>
      </w:r>
      <w:r>
        <w:t xml:space="preserve"> has the meaning that it has in section 5.59;</w:t>
      </w:r>
    </w:p>
    <w:p>
      <w:pPr>
        <w:pStyle w:val="Defstart"/>
      </w:pPr>
      <w:r>
        <w:rPr>
          <w:b/>
        </w:rPr>
        <w:tab/>
        <w:t>“</w:t>
      </w:r>
      <w:r>
        <w:rPr>
          <w:rStyle w:val="CharDefText"/>
        </w:rPr>
        <w:t>Schedule</w:t>
      </w:r>
      <w:r>
        <w:rPr>
          <w:b/>
        </w:rPr>
        <w:t>”</w:t>
      </w:r>
      <w:r>
        <w:t xml:space="preserve"> means Schedule to the Act;</w:t>
      </w:r>
    </w:p>
    <w:p>
      <w:pPr>
        <w:pStyle w:val="Defstart"/>
      </w:pPr>
      <w:r>
        <w:rPr>
          <w:b/>
        </w:rPr>
        <w:tab/>
        <w:t>“</w:t>
      </w:r>
      <w:r>
        <w:rPr>
          <w:rStyle w:val="CharDefText"/>
        </w:rPr>
        <w:t>section</w:t>
      </w:r>
      <w:r>
        <w:rPr>
          <w:b/>
        </w:rPr>
        <w:t>”</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5"/>
        <w:spacing w:before="180"/>
        <w:rPr>
          <w:snapToGrid w:val="0"/>
        </w:rPr>
      </w:pPr>
      <w:bookmarkStart w:id="23" w:name="_Toc12955290"/>
      <w:bookmarkStart w:id="24" w:name="_Toc12955577"/>
      <w:bookmarkStart w:id="25" w:name="_Toc112152178"/>
      <w:bookmarkStart w:id="26" w:name="_Toc153784524"/>
      <w:r>
        <w:rPr>
          <w:rStyle w:val="CharSectno"/>
        </w:rPr>
        <w:t>4</w:t>
      </w:r>
      <w:r>
        <w:rPr>
          <w:snapToGrid w:val="0"/>
        </w:rPr>
        <w:t>.</w:t>
      </w:r>
      <w:r>
        <w:rPr>
          <w:snapToGrid w:val="0"/>
        </w:rPr>
        <w:tab/>
        <w:t>Resignation of committee members</w:t>
      </w:r>
      <w:bookmarkEnd w:id="23"/>
      <w:bookmarkEnd w:id="24"/>
      <w:bookmarkEnd w:id="25"/>
      <w:bookmarkEnd w:id="26"/>
      <w:r>
        <w:rPr>
          <w:snapToGrid w:val="0"/>
        </w:rPr>
        <w:t xml:space="preserve"> </w:t>
      </w:r>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7" w:name="_Toc112152179"/>
      <w:bookmarkStart w:id="28" w:name="_Toc153784525"/>
      <w:bookmarkStart w:id="29" w:name="_Toc12955291"/>
      <w:bookmarkStart w:id="30" w:name="_Toc12955578"/>
      <w:r>
        <w:rPr>
          <w:rStyle w:val="CharSectno"/>
        </w:rPr>
        <w:t>4A</w:t>
      </w:r>
      <w:r>
        <w:t>.</w:t>
      </w:r>
      <w:r>
        <w:tab/>
        <w:t>Meeting, or part of meeting, may be closed to public — s. 5.23(2)(h)</w:t>
      </w:r>
      <w:bookmarkEnd w:id="27"/>
      <w:bookmarkEnd w:id="28"/>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31" w:name="_Toc112152180"/>
      <w:bookmarkStart w:id="32" w:name="_Toc153784526"/>
      <w:r>
        <w:rPr>
          <w:rStyle w:val="CharSectno"/>
        </w:rPr>
        <w:t>5</w:t>
      </w:r>
      <w:r>
        <w:rPr>
          <w:snapToGrid w:val="0"/>
        </w:rPr>
        <w:t>.</w:t>
      </w:r>
      <w:r>
        <w:rPr>
          <w:snapToGrid w:val="0"/>
        </w:rPr>
        <w:tab/>
        <w:t>Question time for the public at certain meetings — s. 5.24(1)(b)</w:t>
      </w:r>
      <w:bookmarkEnd w:id="29"/>
      <w:bookmarkEnd w:id="30"/>
      <w:bookmarkEnd w:id="31"/>
      <w:bookmarkEnd w:id="32"/>
      <w:r>
        <w:rPr>
          <w:snapToGrid w:val="0"/>
        </w:rPr>
        <w:t xml:space="preserve"> </w:t>
      </w:r>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 </w:t>
      </w:r>
    </w:p>
    <w:p>
      <w:pPr>
        <w:pStyle w:val="Indenta"/>
        <w:spacing w:before="60"/>
        <w:rPr>
          <w:snapToGrid w:val="0"/>
        </w:rPr>
      </w:pPr>
      <w:r>
        <w:rPr>
          <w:snapToGrid w:val="0"/>
        </w:rPr>
        <w:tab/>
        <w:t>(a)</w:t>
      </w:r>
      <w:r>
        <w:rPr>
          <w:snapToGrid w:val="0"/>
        </w:rPr>
        <w:tab/>
        <w:t xml:space="preserve">every special meeting of a council; </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33" w:name="_Toc12955292"/>
      <w:bookmarkStart w:id="34" w:name="_Toc12955579"/>
      <w:bookmarkStart w:id="35" w:name="_Toc112152181"/>
      <w:bookmarkStart w:id="36" w:name="_Toc153784527"/>
      <w:r>
        <w:rPr>
          <w:rStyle w:val="CharSectno"/>
        </w:rPr>
        <w:t>6</w:t>
      </w:r>
      <w:r>
        <w:rPr>
          <w:snapToGrid w:val="0"/>
        </w:rPr>
        <w:t>.</w:t>
      </w:r>
      <w:r>
        <w:rPr>
          <w:snapToGrid w:val="0"/>
        </w:rPr>
        <w:tab/>
        <w:t>Minimum question time for the public —</w:t>
      </w:r>
      <w:del w:id="37" w:author="Master Repository Process" w:date="2021-08-29T00:50:00Z">
        <w:r>
          <w:rPr>
            <w:snapToGrid w:val="0"/>
          </w:rPr>
          <w:delText> </w:delText>
        </w:r>
      </w:del>
      <w:ins w:id="38" w:author="Master Repository Process" w:date="2021-08-29T00:50:00Z">
        <w:r>
          <w:rPr>
            <w:snapToGrid w:val="0"/>
          </w:rPr>
          <w:t xml:space="preserve"> </w:t>
        </w:r>
      </w:ins>
      <w:r>
        <w:rPr>
          <w:snapToGrid w:val="0"/>
        </w:rPr>
        <w:t>s.</w:t>
      </w:r>
      <w:del w:id="39" w:author="Master Repository Process" w:date="2021-08-29T00:50:00Z">
        <w:r>
          <w:rPr>
            <w:snapToGrid w:val="0"/>
          </w:rPr>
          <w:delText xml:space="preserve"> </w:delText>
        </w:r>
      </w:del>
      <w:ins w:id="40" w:author="Master Repository Process" w:date="2021-08-29T00:50:00Z">
        <w:r>
          <w:rPr>
            <w:snapToGrid w:val="0"/>
          </w:rPr>
          <w:t> </w:t>
        </w:r>
      </w:ins>
      <w:r>
        <w:rPr>
          <w:snapToGrid w:val="0"/>
        </w:rPr>
        <w:t>5.24(2)</w:t>
      </w:r>
      <w:bookmarkEnd w:id="33"/>
      <w:bookmarkEnd w:id="34"/>
      <w:bookmarkEnd w:id="35"/>
      <w:bookmarkEnd w:id="36"/>
      <w:r>
        <w:rPr>
          <w:snapToGrid w:val="0"/>
        </w:rPr>
        <w:t xml:space="preserve"> </w:t>
      </w:r>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keepLines/>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41" w:name="_Toc12955293"/>
      <w:bookmarkStart w:id="42" w:name="_Toc12955580"/>
      <w:bookmarkStart w:id="43" w:name="_Toc112152182"/>
      <w:bookmarkStart w:id="44" w:name="_Toc153784528"/>
      <w:r>
        <w:rPr>
          <w:rStyle w:val="CharSectno"/>
        </w:rPr>
        <w:t>7</w:t>
      </w:r>
      <w:r>
        <w:rPr>
          <w:snapToGrid w:val="0"/>
        </w:rPr>
        <w:t>.</w:t>
      </w:r>
      <w:r>
        <w:rPr>
          <w:snapToGrid w:val="0"/>
        </w:rPr>
        <w:tab/>
        <w:t>Procedures for question time for the public — s. 5.24(2)</w:t>
      </w:r>
      <w:bookmarkEnd w:id="41"/>
      <w:bookmarkEnd w:id="42"/>
      <w:bookmarkEnd w:id="43"/>
      <w:bookmarkEnd w:id="44"/>
      <w:r>
        <w:rPr>
          <w:snapToGrid w:val="0"/>
        </w:rPr>
        <w:t xml:space="preserve"> </w:t>
      </w:r>
    </w:p>
    <w:p>
      <w:pPr>
        <w:pStyle w:val="Subsection"/>
        <w:spacing w:before="100"/>
        <w:rPr>
          <w:snapToGrid w:val="0"/>
        </w:rPr>
      </w:pPr>
      <w:r>
        <w:rPr>
          <w:snapToGrid w:val="0"/>
        </w:rPr>
        <w:tab/>
        <w:t>(1)</w:t>
      </w:r>
      <w:r>
        <w:rPr>
          <w:snapToGrid w:val="0"/>
        </w:rPr>
        <w:tab/>
        <w:t>Procedures for the asking of and responding to questions raised by members of the public at a meeting referred to in regulation 6(1) are to be determined — </w:t>
      </w:r>
    </w:p>
    <w:p>
      <w:pPr>
        <w:pStyle w:val="Indenta"/>
        <w:spacing w:before="60"/>
        <w:rPr>
          <w:snapToGrid w:val="0"/>
        </w:rPr>
      </w:pPr>
      <w:r>
        <w:rPr>
          <w:snapToGrid w:val="0"/>
        </w:rPr>
        <w:tab/>
        <w:t>(a)</w:t>
      </w:r>
      <w:r>
        <w:rPr>
          <w:snapToGrid w:val="0"/>
        </w:rPr>
        <w:tab/>
        <w:t>by the person presiding at the meeting; or</w:t>
      </w:r>
    </w:p>
    <w:p>
      <w:pPr>
        <w:pStyle w:val="Indenta"/>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rPr>
          <w:snapToGrid w:val="0"/>
        </w:rPr>
      </w:pPr>
      <w:r>
        <w:rPr>
          <w:snapToGrid w:val="0"/>
        </w:rPr>
        <w:tab/>
      </w:r>
      <w:r>
        <w:rPr>
          <w:snapToGrid w:val="0"/>
        </w:rPr>
        <w:tab/>
        <w:t>having regard to the requirements of subregulations (2)</w:t>
      </w:r>
      <w:r>
        <w:t>, (3) and (5).</w:t>
      </w:r>
    </w:p>
    <w:p>
      <w:pPr>
        <w:pStyle w:val="Subsection"/>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rPr>
          <w:snapToGrid w:val="0"/>
        </w:rPr>
      </w:pPr>
      <w:r>
        <w:rPr>
          <w:snapToGrid w:val="0"/>
        </w:rPr>
        <w:tab/>
        <w:t>(4)</w:t>
      </w:r>
      <w:r>
        <w:rPr>
          <w:snapToGrid w:val="0"/>
        </w:rPr>
        <w:tab/>
        <w:t>Nothing in subregulation (3) requires — </w:t>
      </w:r>
    </w:p>
    <w:p>
      <w:pPr>
        <w:pStyle w:val="Indenta"/>
        <w:rPr>
          <w:snapToGrid w:val="0"/>
        </w:rPr>
      </w:pPr>
      <w:r>
        <w:rPr>
          <w:snapToGrid w:val="0"/>
        </w:rPr>
        <w:tab/>
        <w:t>(a)</w:t>
      </w:r>
      <w:r>
        <w:rPr>
          <w:snapToGrid w:val="0"/>
        </w:rPr>
        <w:tab/>
        <w:t xml:space="preserve">a council to answer a question that does not relate to a matter affecting the local government; </w:t>
      </w:r>
    </w:p>
    <w:p>
      <w:pPr>
        <w:pStyle w:val="Indenta"/>
        <w:rPr>
          <w:snapToGrid w:val="0"/>
        </w:rPr>
      </w:pPr>
      <w:r>
        <w:rPr>
          <w:snapToGrid w:val="0"/>
        </w:rPr>
        <w:tab/>
        <w:t>(b)</w:t>
      </w:r>
      <w:r>
        <w:rPr>
          <w:snapToGrid w:val="0"/>
        </w:rPr>
        <w:tab/>
        <w:t>a council at a special meeting to answer a question that does not relate to the purpose of the meeting; or</w:t>
      </w:r>
    </w:p>
    <w:p>
      <w:pPr>
        <w:pStyle w:val="Indenta"/>
        <w:rPr>
          <w:snapToGrid w:val="0"/>
        </w:rPr>
      </w:pPr>
      <w:r>
        <w:rPr>
          <w:snapToGrid w:val="0"/>
        </w:rPr>
        <w:tab/>
        <w:t>(c)</w:t>
      </w:r>
      <w:r>
        <w:rPr>
          <w:snapToGrid w:val="0"/>
        </w:rPr>
        <w:tab/>
        <w:t>a committee to answer a question that does not relate to a function of the committee.</w:t>
      </w:r>
    </w:p>
    <w:p>
      <w:pPr>
        <w:pStyle w:val="Subsection"/>
        <w:keepLines/>
      </w:pPr>
      <w:r>
        <w:tab/>
        <w:t>(5)</w:t>
      </w:r>
      <w:r>
        <w:tab/>
        <w:t xml:space="preserve">If, during the time allocated for questions to be raised by members of the public and responded to, a question relating to a matter in which a relevant person has an interest, as referred to in section 5.60, is directed to the relevant person, the relevant person is to — </w:t>
      </w:r>
    </w:p>
    <w:p>
      <w:pPr>
        <w:pStyle w:val="Indenta"/>
      </w:pPr>
      <w:r>
        <w:tab/>
        <w:t>(a)</w:t>
      </w:r>
      <w:r>
        <w:tab/>
        <w:t>declare that he or she has an interest in the matter; and</w:t>
      </w:r>
    </w:p>
    <w:p>
      <w:pPr>
        <w:pStyle w:val="Indenta"/>
      </w:pPr>
      <w:r>
        <w:tab/>
        <w:t>(b)</w:t>
      </w:r>
      <w:r>
        <w:tab/>
        <w:t>allow another person to respond to the question.</w:t>
      </w:r>
    </w:p>
    <w:p>
      <w:pPr>
        <w:pStyle w:val="Footnotesection"/>
      </w:pPr>
      <w:r>
        <w:tab/>
        <w:t>[Regulation 7 amended in Gazette 28 Jun 2002 p. 3079.]</w:t>
      </w:r>
    </w:p>
    <w:p>
      <w:pPr>
        <w:pStyle w:val="Heading5"/>
        <w:rPr>
          <w:snapToGrid w:val="0"/>
        </w:rPr>
      </w:pPr>
      <w:bookmarkStart w:id="45" w:name="_Toc12955294"/>
      <w:bookmarkStart w:id="46" w:name="_Toc12955581"/>
      <w:bookmarkStart w:id="47" w:name="_Toc112152183"/>
      <w:bookmarkStart w:id="48" w:name="_Toc153784529"/>
      <w:r>
        <w:rPr>
          <w:rStyle w:val="CharSectno"/>
        </w:rPr>
        <w:t>8</w:t>
      </w:r>
      <w:r>
        <w:rPr>
          <w:snapToGrid w:val="0"/>
        </w:rPr>
        <w:t>.</w:t>
      </w:r>
      <w:r>
        <w:rPr>
          <w:snapToGrid w:val="0"/>
        </w:rPr>
        <w:tab/>
        <w:t>Procedure where no</w:t>
      </w:r>
      <w:del w:id="49" w:author="Master Repository Process" w:date="2021-08-29T00:50:00Z">
        <w:r>
          <w:rPr>
            <w:snapToGrid w:val="0"/>
          </w:rPr>
          <w:delText xml:space="preserve"> </w:delText>
        </w:r>
      </w:del>
      <w:ins w:id="50" w:author="Master Repository Process" w:date="2021-08-29T00:50:00Z">
        <w:r>
          <w:rPr>
            <w:snapToGrid w:val="0"/>
          </w:rPr>
          <w:t> </w:t>
        </w:r>
      </w:ins>
      <w:r>
        <w:rPr>
          <w:snapToGrid w:val="0"/>
        </w:rPr>
        <w:t>quorum at council or committee meetings —</w:t>
      </w:r>
      <w:del w:id="51" w:author="Master Repository Process" w:date="2021-08-29T00:50:00Z">
        <w:r>
          <w:rPr>
            <w:snapToGrid w:val="0"/>
          </w:rPr>
          <w:delText> </w:delText>
        </w:r>
      </w:del>
      <w:ins w:id="52" w:author="Master Repository Process" w:date="2021-08-29T00:50:00Z">
        <w:r>
          <w:rPr>
            <w:snapToGrid w:val="0"/>
          </w:rPr>
          <w:t xml:space="preserve"> </w:t>
        </w:r>
      </w:ins>
      <w:r>
        <w:rPr>
          <w:snapToGrid w:val="0"/>
        </w:rPr>
        <w:t>s.</w:t>
      </w:r>
      <w:del w:id="53" w:author="Master Repository Process" w:date="2021-08-29T00:50:00Z">
        <w:r>
          <w:rPr>
            <w:snapToGrid w:val="0"/>
          </w:rPr>
          <w:delText xml:space="preserve"> </w:delText>
        </w:r>
      </w:del>
      <w:ins w:id="54" w:author="Master Repository Process" w:date="2021-08-29T00:50:00Z">
        <w:r>
          <w:rPr>
            <w:snapToGrid w:val="0"/>
          </w:rPr>
          <w:t> </w:t>
        </w:r>
      </w:ins>
      <w:r>
        <w:rPr>
          <w:rStyle w:val="CharSectno"/>
        </w:rPr>
        <w:t>5</w:t>
      </w:r>
      <w:r>
        <w:rPr>
          <w:snapToGrid w:val="0"/>
        </w:rPr>
        <w:t>.25(</w:t>
      </w:r>
      <w:ins w:id="55" w:author="Master Repository Process" w:date="2021-08-29T00:50:00Z">
        <w:r>
          <w:rPr>
            <w:snapToGrid w:val="0"/>
          </w:rPr>
          <w:t>1)(</w:t>
        </w:r>
      </w:ins>
      <w:r>
        <w:rPr>
          <w:snapToGrid w:val="0"/>
        </w:rPr>
        <w:t>c)</w:t>
      </w:r>
      <w:bookmarkEnd w:id="45"/>
      <w:bookmarkEnd w:id="46"/>
      <w:bookmarkEnd w:id="47"/>
      <w:bookmarkEnd w:id="48"/>
      <w:del w:id="56" w:author="Master Repository Process" w:date="2021-08-29T00:50:00Z">
        <w:r>
          <w:rPr>
            <w:snapToGrid w:val="0"/>
          </w:rPr>
          <w:delText xml:space="preserve"> </w:delText>
        </w:r>
      </w:del>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 </w:t>
      </w:r>
    </w:p>
    <w:p>
      <w:pPr>
        <w:pStyle w:val="Indenta"/>
        <w:spacing w:before="60"/>
        <w:rPr>
          <w:snapToGrid w:val="0"/>
        </w:rPr>
      </w:pPr>
      <w:r>
        <w:rPr>
          <w:snapToGrid w:val="0"/>
        </w:rPr>
        <w:tab/>
        <w:t>(a)</w:t>
      </w:r>
      <w:r>
        <w:rPr>
          <w:snapToGrid w:val="0"/>
        </w:rPr>
        <w:tab/>
        <w:t>in the case of a council, by the mayor or president or if the mayor or president is not present at the meeting, by the deputy mayor or deputy president;</w:t>
      </w:r>
    </w:p>
    <w:p>
      <w:pPr>
        <w:pStyle w:val="Indenta"/>
        <w:spacing w:before="60"/>
        <w:rPr>
          <w:snapToGrid w:val="0"/>
        </w:rPr>
      </w:pPr>
      <w:r>
        <w:rPr>
          <w:snapToGrid w:val="0"/>
        </w:rPr>
        <w:tab/>
        <w:t>(b)</w:t>
      </w:r>
      <w:r>
        <w:rPr>
          <w:snapToGrid w:val="0"/>
        </w:rPr>
        <w:tab/>
        <w:t>in the case of a committee, by the presiding member of the committee or if the presiding member is not present at the meeting, by the deputy presiding member;</w:t>
      </w:r>
    </w:p>
    <w:p>
      <w:pPr>
        <w:pStyle w:val="Indenta"/>
        <w:spacing w:before="60"/>
        <w:rPr>
          <w:snapToGrid w:val="0"/>
        </w:rPr>
      </w:pPr>
      <w:r>
        <w:rPr>
          <w:snapToGrid w:val="0"/>
        </w:rPr>
        <w:tab/>
        <w:t>(c)</w:t>
      </w:r>
      <w:r>
        <w:rPr>
          <w:snapToGrid w:val="0"/>
        </w:rPr>
        <w:tab/>
        <w:t>if no person referred to in paragraph (a) or (b), as the case requires, is present at the meeting, by a majority of members present;</w:t>
      </w:r>
    </w:p>
    <w:p>
      <w:pPr>
        <w:pStyle w:val="Indenta"/>
        <w:spacing w:before="60"/>
        <w:rPr>
          <w:snapToGrid w:val="0"/>
        </w:rPr>
      </w:pPr>
      <w:r>
        <w:rPr>
          <w:snapToGrid w:val="0"/>
        </w:rPr>
        <w:tab/>
        <w:t>(d)</w:t>
      </w:r>
      <w:r>
        <w:rPr>
          <w:snapToGrid w:val="0"/>
        </w:rPr>
        <w:tab/>
        <w:t>if only one member is present, by that member; or</w:t>
      </w:r>
    </w:p>
    <w:p>
      <w:pPr>
        <w:pStyle w:val="Indenta"/>
        <w:spacing w:before="60"/>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57" w:name="_Toc12955295"/>
      <w:bookmarkStart w:id="58" w:name="_Toc12955582"/>
      <w:bookmarkStart w:id="59" w:name="_Toc112152184"/>
      <w:bookmarkStart w:id="60" w:name="_Toc153784530"/>
      <w:r>
        <w:rPr>
          <w:rStyle w:val="CharSectno"/>
        </w:rPr>
        <w:t>9</w:t>
      </w:r>
      <w:r>
        <w:rPr>
          <w:snapToGrid w:val="0"/>
        </w:rPr>
        <w:t>.</w:t>
      </w:r>
      <w:r>
        <w:rPr>
          <w:snapToGrid w:val="0"/>
        </w:rPr>
        <w:tab/>
        <w:t>Voting at council</w:t>
      </w:r>
      <w:del w:id="61" w:author="Master Repository Process" w:date="2021-08-29T00:50:00Z">
        <w:r>
          <w:rPr>
            <w:snapToGrid w:val="0"/>
          </w:rPr>
          <w:delText xml:space="preserve"> </w:delText>
        </w:r>
      </w:del>
      <w:ins w:id="62" w:author="Master Repository Process" w:date="2021-08-29T00:50:00Z">
        <w:r>
          <w:rPr>
            <w:snapToGrid w:val="0"/>
          </w:rPr>
          <w:t> </w:t>
        </w:r>
      </w:ins>
      <w:r>
        <w:rPr>
          <w:snapToGrid w:val="0"/>
        </w:rPr>
        <w:t>or committee meetings —</w:t>
      </w:r>
      <w:del w:id="63" w:author="Master Repository Process" w:date="2021-08-29T00:50:00Z">
        <w:r>
          <w:rPr>
            <w:snapToGrid w:val="0"/>
          </w:rPr>
          <w:delText> </w:delText>
        </w:r>
      </w:del>
      <w:ins w:id="64" w:author="Master Repository Process" w:date="2021-08-29T00:50:00Z">
        <w:r>
          <w:rPr>
            <w:snapToGrid w:val="0"/>
          </w:rPr>
          <w:t xml:space="preserve"> </w:t>
        </w:r>
      </w:ins>
      <w:r>
        <w:rPr>
          <w:snapToGrid w:val="0"/>
        </w:rPr>
        <w:t>s.</w:t>
      </w:r>
      <w:del w:id="65" w:author="Master Repository Process" w:date="2021-08-29T00:50:00Z">
        <w:r>
          <w:rPr>
            <w:snapToGrid w:val="0"/>
          </w:rPr>
          <w:delText xml:space="preserve"> </w:delText>
        </w:r>
      </w:del>
      <w:ins w:id="66" w:author="Master Repository Process" w:date="2021-08-29T00:50:00Z">
        <w:r>
          <w:rPr>
            <w:snapToGrid w:val="0"/>
          </w:rPr>
          <w:t> </w:t>
        </w:r>
      </w:ins>
      <w:r>
        <w:rPr>
          <w:snapToGrid w:val="0"/>
        </w:rPr>
        <w:t>5.25(</w:t>
      </w:r>
      <w:ins w:id="67" w:author="Master Repository Process" w:date="2021-08-29T00:50:00Z">
        <w:r>
          <w:rPr>
            <w:snapToGrid w:val="0"/>
          </w:rPr>
          <w:t>1)(</w:t>
        </w:r>
      </w:ins>
      <w:r>
        <w:rPr>
          <w:snapToGrid w:val="0"/>
        </w:rPr>
        <w:t>d)</w:t>
      </w:r>
      <w:bookmarkEnd w:id="57"/>
      <w:bookmarkEnd w:id="58"/>
      <w:bookmarkEnd w:id="59"/>
      <w:bookmarkEnd w:id="60"/>
      <w:del w:id="68" w:author="Master Repository Process" w:date="2021-08-29T00:50:00Z">
        <w:r>
          <w:rPr>
            <w:snapToGrid w:val="0"/>
          </w:rPr>
          <w:delText xml:space="preserve"> </w:delText>
        </w:r>
      </w:del>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69" w:name="_Toc12955296"/>
      <w:bookmarkStart w:id="70" w:name="_Toc12955583"/>
      <w:bookmarkStart w:id="71" w:name="_Toc112152185"/>
      <w:bookmarkStart w:id="72" w:name="_Toc153784531"/>
      <w:r>
        <w:rPr>
          <w:rStyle w:val="CharSectno"/>
        </w:rPr>
        <w:t>10</w:t>
      </w:r>
      <w:r>
        <w:rPr>
          <w:snapToGrid w:val="0"/>
        </w:rPr>
        <w:t>.</w:t>
      </w:r>
      <w:r>
        <w:rPr>
          <w:snapToGrid w:val="0"/>
        </w:rPr>
        <w:tab/>
        <w:t>Revoking or changing</w:t>
      </w:r>
      <w:del w:id="73" w:author="Master Repository Process" w:date="2021-08-29T00:50:00Z">
        <w:r>
          <w:rPr>
            <w:snapToGrid w:val="0"/>
          </w:rPr>
          <w:delText xml:space="preserve"> </w:delText>
        </w:r>
      </w:del>
      <w:ins w:id="74" w:author="Master Repository Process" w:date="2021-08-29T00:50:00Z">
        <w:r>
          <w:rPr>
            <w:snapToGrid w:val="0"/>
          </w:rPr>
          <w:t> </w:t>
        </w:r>
      </w:ins>
      <w:r>
        <w:rPr>
          <w:snapToGrid w:val="0"/>
        </w:rPr>
        <w:t xml:space="preserve">decisions made at council or committee meetings — s. </w:t>
      </w:r>
      <w:r>
        <w:rPr>
          <w:rStyle w:val="CharSectno"/>
        </w:rPr>
        <w:t>5</w:t>
      </w:r>
      <w:r>
        <w:rPr>
          <w:snapToGrid w:val="0"/>
        </w:rPr>
        <w:t>.25(</w:t>
      </w:r>
      <w:ins w:id="75" w:author="Master Repository Process" w:date="2021-08-29T00:50:00Z">
        <w:r>
          <w:rPr>
            <w:snapToGrid w:val="0"/>
          </w:rPr>
          <w:t>1)(</w:t>
        </w:r>
      </w:ins>
      <w:r>
        <w:rPr>
          <w:snapToGrid w:val="0"/>
        </w:rPr>
        <w:t>e)</w:t>
      </w:r>
      <w:bookmarkEnd w:id="69"/>
      <w:bookmarkEnd w:id="70"/>
      <w:bookmarkEnd w:id="71"/>
      <w:bookmarkEnd w:id="72"/>
      <w:del w:id="76" w:author="Master Repository Process" w:date="2021-08-29T00:50:00Z">
        <w:r>
          <w:rPr>
            <w:snapToGrid w:val="0"/>
          </w:rPr>
          <w:delText xml:space="preserve"> </w:delText>
        </w:r>
      </w:del>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77" w:name="_Toc12955297"/>
      <w:bookmarkStart w:id="78" w:name="_Toc12955584"/>
      <w:bookmarkStart w:id="79" w:name="_Toc112152186"/>
      <w:bookmarkStart w:id="80" w:name="_Toc153784532"/>
      <w:r>
        <w:rPr>
          <w:rStyle w:val="CharSectno"/>
        </w:rPr>
        <w:t>11</w:t>
      </w:r>
      <w:r>
        <w:rPr>
          <w:snapToGrid w:val="0"/>
        </w:rPr>
        <w:t>.</w:t>
      </w:r>
      <w:r>
        <w:rPr>
          <w:snapToGrid w:val="0"/>
        </w:rPr>
        <w:tab/>
        <w:t>Content of minutes of</w:t>
      </w:r>
      <w:del w:id="81" w:author="Master Repository Process" w:date="2021-08-29T00:50:00Z">
        <w:r>
          <w:rPr>
            <w:snapToGrid w:val="0"/>
          </w:rPr>
          <w:delText xml:space="preserve"> </w:delText>
        </w:r>
      </w:del>
      <w:ins w:id="82" w:author="Master Repository Process" w:date="2021-08-29T00:50:00Z">
        <w:r>
          <w:rPr>
            <w:snapToGrid w:val="0"/>
          </w:rPr>
          <w:t> </w:t>
        </w:r>
      </w:ins>
      <w:r>
        <w:rPr>
          <w:snapToGrid w:val="0"/>
        </w:rPr>
        <w:t>council or committee meetings — s. </w:t>
      </w:r>
      <w:r>
        <w:rPr>
          <w:rStyle w:val="CharSectno"/>
        </w:rPr>
        <w:t>5</w:t>
      </w:r>
      <w:r>
        <w:rPr>
          <w:snapToGrid w:val="0"/>
        </w:rPr>
        <w:t>.25(</w:t>
      </w:r>
      <w:ins w:id="83" w:author="Master Repository Process" w:date="2021-08-29T00:50:00Z">
        <w:r>
          <w:rPr>
            <w:snapToGrid w:val="0"/>
          </w:rPr>
          <w:t>1)(</w:t>
        </w:r>
      </w:ins>
      <w:r>
        <w:rPr>
          <w:snapToGrid w:val="0"/>
        </w:rPr>
        <w:t>f)</w:t>
      </w:r>
      <w:bookmarkEnd w:id="77"/>
      <w:bookmarkEnd w:id="78"/>
      <w:bookmarkEnd w:id="79"/>
      <w:bookmarkEnd w:id="80"/>
      <w:del w:id="84" w:author="Master Repository Process" w:date="2021-08-29T00:50:00Z">
        <w:r>
          <w:rPr>
            <w:snapToGrid w:val="0"/>
          </w:rPr>
          <w:delText xml:space="preserve"> </w:delText>
        </w:r>
      </w:del>
    </w:p>
    <w:p>
      <w:pPr>
        <w:pStyle w:val="Subsection"/>
        <w:keepNext/>
        <w:keepLines/>
        <w:rPr>
          <w:snapToGrid w:val="0"/>
        </w:rPr>
      </w:pPr>
      <w:r>
        <w:rPr>
          <w:snapToGrid w:val="0"/>
        </w:rPr>
        <w:tab/>
      </w:r>
      <w:r>
        <w:rPr>
          <w:snapToGrid w:val="0"/>
        </w:rPr>
        <w:tab/>
        <w:t>The content of minutes of a meeting of a council or a committee is to include — </w:t>
      </w:r>
    </w:p>
    <w:p>
      <w:pPr>
        <w:pStyle w:val="Indenta"/>
        <w:rPr>
          <w:snapToGrid w:val="0"/>
        </w:rPr>
      </w:pPr>
      <w:r>
        <w:rPr>
          <w:snapToGrid w:val="0"/>
        </w:rPr>
        <w:tab/>
        <w:t>(a)</w:t>
      </w:r>
      <w:r>
        <w:rPr>
          <w:snapToGrid w:val="0"/>
        </w:rPr>
        <w:tab/>
        <w:t>the names of the members present at the meeting;</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w:t>
      </w:r>
    </w:p>
    <w:p>
      <w:pPr>
        <w:pStyle w:val="Indenta"/>
        <w:rPr>
          <w:snapToGrid w:val="0"/>
        </w:rPr>
      </w:pPr>
      <w:r>
        <w:rPr>
          <w:snapToGrid w:val="0"/>
        </w:rPr>
        <w:tab/>
        <w:t>(c)</w:t>
      </w:r>
      <w:r>
        <w:rPr>
          <w:snapToGrid w:val="0"/>
        </w:rPr>
        <w:tab/>
        <w:t>details of each motion moved at the meeting, the mover and the outcome of the motion;</w:t>
      </w:r>
    </w:p>
    <w:p>
      <w:pPr>
        <w:pStyle w:val="Indenta"/>
        <w:rPr>
          <w:snapToGrid w:val="0"/>
        </w:rPr>
      </w:pPr>
      <w:r>
        <w:rPr>
          <w:snapToGrid w:val="0"/>
        </w:rPr>
        <w:tab/>
        <w:t>(d)</w:t>
      </w:r>
      <w:r>
        <w:rPr>
          <w:snapToGrid w:val="0"/>
        </w:rPr>
        <w:tab/>
        <w:t>details of each decision made at the meeting;</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85" w:name="_Toc12955298"/>
      <w:bookmarkStart w:id="86" w:name="_Toc12955585"/>
      <w:bookmarkStart w:id="87" w:name="_Toc112152187"/>
      <w:bookmarkStart w:id="88" w:name="_Toc153784533"/>
      <w:r>
        <w:rPr>
          <w:rStyle w:val="CharSectno"/>
        </w:rPr>
        <w:t>12</w:t>
      </w:r>
      <w:r>
        <w:rPr>
          <w:snapToGrid w:val="0"/>
        </w:rPr>
        <w:t>.</w:t>
      </w:r>
      <w:r>
        <w:rPr>
          <w:snapToGrid w:val="0"/>
        </w:rPr>
        <w:tab/>
        <w:t>Public notice of council or committee</w:t>
      </w:r>
      <w:del w:id="89" w:author="Master Repository Process" w:date="2021-08-29T00:50:00Z">
        <w:r>
          <w:rPr>
            <w:snapToGrid w:val="0"/>
          </w:rPr>
          <w:delText xml:space="preserve"> </w:delText>
        </w:r>
      </w:del>
      <w:ins w:id="90" w:author="Master Repository Process" w:date="2021-08-29T00:50:00Z">
        <w:r>
          <w:rPr>
            <w:snapToGrid w:val="0"/>
          </w:rPr>
          <w:t> </w:t>
        </w:r>
      </w:ins>
      <w:r>
        <w:rPr>
          <w:snapToGrid w:val="0"/>
        </w:rPr>
        <w:t>meetings — s. 5.25(</w:t>
      </w:r>
      <w:ins w:id="91" w:author="Master Repository Process" w:date="2021-08-29T00:50:00Z">
        <w:r>
          <w:rPr>
            <w:snapToGrid w:val="0"/>
          </w:rPr>
          <w:t>1)(</w:t>
        </w:r>
      </w:ins>
      <w:r>
        <w:rPr>
          <w:snapToGrid w:val="0"/>
        </w:rPr>
        <w:t>g)</w:t>
      </w:r>
      <w:bookmarkEnd w:id="85"/>
      <w:bookmarkEnd w:id="86"/>
      <w:bookmarkEnd w:id="87"/>
      <w:bookmarkEnd w:id="88"/>
      <w:del w:id="92" w:author="Master Repository Process" w:date="2021-08-29T00:50:00Z">
        <w:r>
          <w:rPr>
            <w:snapToGrid w:val="0"/>
          </w:rPr>
          <w:delText xml:space="preserve"> </w:delText>
        </w:r>
      </w:del>
    </w:p>
    <w:p>
      <w:pPr>
        <w:pStyle w:val="Subsection"/>
        <w:rPr>
          <w:snapToGrid w:val="0"/>
        </w:rPr>
      </w:pPr>
      <w:r>
        <w:rPr>
          <w:snapToGrid w:val="0"/>
        </w:rPr>
        <w:tab/>
        <w:t>(1)</w:t>
      </w:r>
      <w:r>
        <w:rPr>
          <w:snapToGrid w:val="0"/>
        </w:rPr>
        <w:tab/>
        <w:t>At least once each year a local government</w:t>
      </w:r>
      <w:del w:id="93" w:author="Master Repository Process" w:date="2021-08-29T00:50:00Z">
        <w:r>
          <w:rPr>
            <w:snapToGrid w:val="0"/>
          </w:rPr>
          <w:delText xml:space="preserve"> </w:delText>
        </w:r>
      </w:del>
      <w:ins w:id="94" w:author="Master Repository Process" w:date="2021-08-29T00:50:00Z">
        <w:r>
          <w:rPr>
            <w:snapToGrid w:val="0"/>
          </w:rPr>
          <w:t> </w:t>
        </w:r>
      </w:ins>
      <w:r>
        <w:rPr>
          <w:snapToGrid w:val="0"/>
        </w:rPr>
        <w:t>is to give local public notice of the dates on which and the time and place at which — </w:t>
      </w:r>
    </w:p>
    <w:p>
      <w:pPr>
        <w:pStyle w:val="Indenta"/>
        <w:rPr>
          <w:snapToGrid w:val="0"/>
        </w:rPr>
      </w:pPr>
      <w:r>
        <w:rPr>
          <w:snapToGrid w:val="0"/>
        </w:rPr>
        <w:tab/>
        <w:t>(a)</w:t>
      </w:r>
      <w:r>
        <w:rPr>
          <w:snapToGrid w:val="0"/>
        </w:rPr>
        <w:tab/>
        <w:t xml:space="preserve">the ordinary council meetings; and </w:t>
      </w:r>
    </w:p>
    <w:p>
      <w:pPr>
        <w:pStyle w:val="Indenta"/>
        <w:spacing w:before="60"/>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spacing w:before="120"/>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spacing w:before="120"/>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spacing w:before="120"/>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spacing w:before="180"/>
        <w:rPr>
          <w:snapToGrid w:val="0"/>
        </w:rPr>
      </w:pPr>
      <w:bookmarkStart w:id="95" w:name="_Toc12955299"/>
      <w:bookmarkStart w:id="96" w:name="_Toc12955586"/>
      <w:bookmarkStart w:id="97" w:name="_Toc112152188"/>
      <w:bookmarkStart w:id="98" w:name="_Toc153784534"/>
      <w:r>
        <w:rPr>
          <w:rStyle w:val="CharSectno"/>
        </w:rPr>
        <w:t>13</w:t>
      </w:r>
      <w:r>
        <w:rPr>
          <w:snapToGrid w:val="0"/>
        </w:rPr>
        <w:t>.</w:t>
      </w:r>
      <w:r>
        <w:rPr>
          <w:snapToGrid w:val="0"/>
        </w:rPr>
        <w:tab/>
        <w:t>Public inspection of</w:t>
      </w:r>
      <w:del w:id="99" w:author="Master Repository Process" w:date="2021-08-29T00:50:00Z">
        <w:r>
          <w:rPr>
            <w:snapToGrid w:val="0"/>
          </w:rPr>
          <w:delText xml:space="preserve"> </w:delText>
        </w:r>
      </w:del>
      <w:ins w:id="100" w:author="Master Repository Process" w:date="2021-08-29T00:50:00Z">
        <w:r>
          <w:rPr>
            <w:snapToGrid w:val="0"/>
          </w:rPr>
          <w:t> </w:t>
        </w:r>
      </w:ins>
      <w:r>
        <w:rPr>
          <w:snapToGrid w:val="0"/>
        </w:rPr>
        <w:t xml:space="preserve">unconfirmed minutes of council or committee meetings — s. </w:t>
      </w:r>
      <w:r>
        <w:rPr>
          <w:rStyle w:val="CharSectno"/>
        </w:rPr>
        <w:t>5</w:t>
      </w:r>
      <w:r>
        <w:rPr>
          <w:snapToGrid w:val="0"/>
        </w:rPr>
        <w:t>.25(</w:t>
      </w:r>
      <w:ins w:id="101" w:author="Master Repository Process" w:date="2021-08-29T00:50:00Z">
        <w:r>
          <w:rPr>
            <w:snapToGrid w:val="0"/>
          </w:rPr>
          <w:t>1)(</w:t>
        </w:r>
      </w:ins>
      <w:r>
        <w:rPr>
          <w:snapToGrid w:val="0"/>
        </w:rPr>
        <w:t>i)</w:t>
      </w:r>
      <w:bookmarkEnd w:id="95"/>
      <w:bookmarkEnd w:id="96"/>
      <w:bookmarkEnd w:id="97"/>
      <w:bookmarkEnd w:id="98"/>
      <w:del w:id="102" w:author="Master Repository Process" w:date="2021-08-29T00:50:00Z">
        <w:r>
          <w:rPr>
            <w:snapToGrid w:val="0"/>
          </w:rPr>
          <w:delText xml:space="preserve"> </w:delText>
        </w:r>
      </w:del>
    </w:p>
    <w:p>
      <w:pPr>
        <w:pStyle w:val="Subsection"/>
        <w:spacing w:before="120"/>
        <w:rPr>
          <w:snapToGrid w:val="0"/>
        </w:rPr>
      </w:pPr>
      <w:r>
        <w:rPr>
          <w:snapToGrid w:val="0"/>
        </w:rPr>
        <w:tab/>
      </w:r>
      <w:r>
        <w:rPr>
          <w:snapToGrid w:val="0"/>
        </w:rPr>
        <w:tab/>
        <w:t>A local government is to ensure that unconfirmed minutes of each council and committee meeting are available for inspection by members of the public — </w:t>
      </w:r>
    </w:p>
    <w:p>
      <w:pPr>
        <w:pStyle w:val="Indenta"/>
        <w:spacing w:before="60"/>
        <w:rPr>
          <w:snapToGrid w:val="0"/>
        </w:rPr>
      </w:pPr>
      <w:r>
        <w:rPr>
          <w:snapToGrid w:val="0"/>
        </w:rPr>
        <w:tab/>
        <w:t>(a)</w:t>
      </w:r>
      <w:r>
        <w:rPr>
          <w:snapToGrid w:val="0"/>
        </w:rPr>
        <w:tab/>
        <w:t>in the case of a council meeting, within 10 business days after the meeting; and</w:t>
      </w:r>
    </w:p>
    <w:p>
      <w:pPr>
        <w:pStyle w:val="Indenta"/>
        <w:spacing w:before="60"/>
        <w:rPr>
          <w:snapToGrid w:val="0"/>
        </w:rPr>
      </w:pPr>
      <w:r>
        <w:rPr>
          <w:snapToGrid w:val="0"/>
        </w:rPr>
        <w:tab/>
        <w:t>(b)</w:t>
      </w:r>
      <w:r>
        <w:rPr>
          <w:snapToGrid w:val="0"/>
        </w:rPr>
        <w:tab/>
        <w:t>in the case of a committee meeting, within 5 business days after the meeting.</w:t>
      </w:r>
    </w:p>
    <w:p>
      <w:pPr>
        <w:pStyle w:val="Heading5"/>
        <w:spacing w:before="180"/>
        <w:rPr>
          <w:snapToGrid w:val="0"/>
        </w:rPr>
      </w:pPr>
      <w:bookmarkStart w:id="103" w:name="_Toc12955300"/>
      <w:bookmarkStart w:id="104" w:name="_Toc12955587"/>
      <w:bookmarkStart w:id="105" w:name="_Toc112152189"/>
      <w:bookmarkStart w:id="106" w:name="_Toc153784535"/>
      <w:r>
        <w:rPr>
          <w:rStyle w:val="CharSectno"/>
        </w:rPr>
        <w:t>14</w:t>
      </w:r>
      <w:r>
        <w:rPr>
          <w:snapToGrid w:val="0"/>
        </w:rPr>
        <w:t>.</w:t>
      </w:r>
      <w:r>
        <w:rPr>
          <w:snapToGrid w:val="0"/>
        </w:rPr>
        <w:tab/>
        <w:t>Public inspection of</w:t>
      </w:r>
      <w:del w:id="107" w:author="Master Repository Process" w:date="2021-08-29T00:50:00Z">
        <w:r>
          <w:rPr>
            <w:snapToGrid w:val="0"/>
          </w:rPr>
          <w:delText xml:space="preserve"> </w:delText>
        </w:r>
      </w:del>
      <w:ins w:id="108" w:author="Master Repository Process" w:date="2021-08-29T00:50:00Z">
        <w:r>
          <w:rPr>
            <w:snapToGrid w:val="0"/>
          </w:rPr>
          <w:t> </w:t>
        </w:r>
      </w:ins>
      <w:r>
        <w:rPr>
          <w:snapToGrid w:val="0"/>
        </w:rPr>
        <w:t xml:space="preserve">certain documents relating to council or committee meetings — s. </w:t>
      </w:r>
      <w:r>
        <w:rPr>
          <w:rStyle w:val="CharSectno"/>
        </w:rPr>
        <w:t>5</w:t>
      </w:r>
      <w:r>
        <w:rPr>
          <w:snapToGrid w:val="0"/>
        </w:rPr>
        <w:t>.25(</w:t>
      </w:r>
      <w:ins w:id="109" w:author="Master Repository Process" w:date="2021-08-29T00:50:00Z">
        <w:r>
          <w:rPr>
            <w:snapToGrid w:val="0"/>
          </w:rPr>
          <w:t>1)(</w:t>
        </w:r>
      </w:ins>
      <w:r>
        <w:rPr>
          <w:snapToGrid w:val="0"/>
        </w:rPr>
        <w:t>j)</w:t>
      </w:r>
      <w:bookmarkEnd w:id="103"/>
      <w:bookmarkEnd w:id="104"/>
      <w:bookmarkEnd w:id="105"/>
      <w:bookmarkEnd w:id="106"/>
      <w:del w:id="110" w:author="Master Repository Process" w:date="2021-08-29T00:50:00Z">
        <w:r>
          <w:rPr>
            <w:snapToGrid w:val="0"/>
          </w:rPr>
          <w:delText xml:space="preserve"> </w:delText>
        </w:r>
      </w:del>
    </w:p>
    <w:p>
      <w:pPr>
        <w:pStyle w:val="Subsection"/>
        <w:spacing w:before="120"/>
        <w:rPr>
          <w:snapToGrid w:val="0"/>
        </w:rPr>
      </w:pPr>
      <w:r>
        <w:rPr>
          <w:snapToGrid w:val="0"/>
        </w:rPr>
        <w:tab/>
        <w:t>(1)</w:t>
      </w:r>
      <w:r>
        <w:rPr>
          <w:snapToGrid w:val="0"/>
        </w:rPr>
        <w:tab/>
        <w:t>A local government is to ensure that notice papers and agenda relating to any council or committee meeting and reports and other documents which — </w:t>
      </w:r>
    </w:p>
    <w:p>
      <w:pPr>
        <w:pStyle w:val="Indenta"/>
        <w:spacing w:before="60"/>
        <w:rPr>
          <w:snapToGrid w:val="0"/>
        </w:rPr>
      </w:pPr>
      <w:r>
        <w:rPr>
          <w:snapToGrid w:val="0"/>
        </w:rPr>
        <w:tab/>
        <w:t>(a)</w:t>
      </w:r>
      <w:r>
        <w:rPr>
          <w:snapToGrid w:val="0"/>
        </w:rPr>
        <w:tab/>
        <w:t xml:space="preserve">are to be tabled at the meeting; or </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111" w:name="_Toc112152190"/>
      <w:bookmarkStart w:id="112" w:name="_Toc153784536"/>
      <w:bookmarkStart w:id="113" w:name="_Toc12955301"/>
      <w:bookmarkStart w:id="114" w:name="_Toc12955588"/>
      <w:r>
        <w:rPr>
          <w:rStyle w:val="CharSectno"/>
        </w:rPr>
        <w:t>14A</w:t>
      </w:r>
      <w:r>
        <w:t>.</w:t>
      </w:r>
      <w:r>
        <w:tab/>
        <w:t>Attendance at meetings by means of instantaneous communication — s. 5.25(1)(ba)</w:t>
      </w:r>
      <w:bookmarkEnd w:id="111"/>
      <w:bookmarkEnd w:id="112"/>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 xml:space="preserve">A council cannot give approval under </w:t>
      </w:r>
      <w:del w:id="115" w:author="Master Repository Process" w:date="2021-08-29T00:50:00Z">
        <w:r>
          <w:delText>regulation</w:delText>
        </w:r>
      </w:del>
      <w:ins w:id="116" w:author="Master Repository Process" w:date="2021-08-29T00:50:00Z">
        <w:r>
          <w:t>subregulation</w:t>
        </w:r>
      </w:ins>
      <w:r>
        <w:t>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t>“</w:t>
      </w:r>
      <w:r>
        <w:rPr>
          <w:rStyle w:val="CharDefText"/>
        </w:rPr>
        <w:t>suitable place</w:t>
      </w:r>
      <w:r>
        <w:rPr>
          <w:b/>
        </w:rPr>
        <w:t>”</w:t>
      </w:r>
      <w:r>
        <w:t xml:space="preserve"> means a place that the council has approved* as a suitable place for the purpose of this regulation and that is located —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t>“</w:t>
      </w:r>
      <w:r>
        <w:rPr>
          <w:rStyle w:val="CharDefText"/>
        </w:rPr>
        <w:t>townsite</w:t>
      </w:r>
      <w:r>
        <w:rPr>
          <w:b/>
        </w:rPr>
        <w:t>”</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117" w:name="_Toc112152191"/>
      <w:bookmarkStart w:id="118" w:name="_Toc153784537"/>
      <w:r>
        <w:rPr>
          <w:rStyle w:val="CharSectno"/>
        </w:rPr>
        <w:t>14B</w:t>
      </w:r>
      <w:r>
        <w:t>.</w:t>
      </w:r>
      <w:r>
        <w:tab/>
        <w:t>Attendance at meetings by means of instantaneous communication after natural emergency — s. 5.25(1)(ba)</w:t>
      </w:r>
      <w:bookmarkEnd w:id="117"/>
      <w:bookmarkEnd w:id="118"/>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 xml:space="preserve">In this regulation — </w:t>
      </w:r>
    </w:p>
    <w:p>
      <w:pPr>
        <w:pStyle w:val="Defstart"/>
      </w:pPr>
      <w:r>
        <w:rPr>
          <w:b/>
        </w:rPr>
        <w:tab/>
        <w:t>“</w:t>
      </w:r>
      <w:r>
        <w:rPr>
          <w:rStyle w:val="CharDefText"/>
        </w:rPr>
        <w:t>person referred to in this regulation</w:t>
      </w:r>
      <w:r>
        <w:rPr>
          <w:b/>
          <w:bCs/>
        </w:rPr>
        <w:t>”</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5"/>
        <w:rPr>
          <w:snapToGrid w:val="0"/>
        </w:rPr>
      </w:pPr>
      <w:bookmarkStart w:id="119" w:name="_Toc112152192"/>
      <w:bookmarkStart w:id="120" w:name="_Toc153784538"/>
      <w:r>
        <w:rPr>
          <w:rStyle w:val="CharSectno"/>
        </w:rPr>
        <w:t>15</w:t>
      </w:r>
      <w:r>
        <w:rPr>
          <w:snapToGrid w:val="0"/>
        </w:rPr>
        <w:t>.</w:t>
      </w:r>
      <w:r>
        <w:rPr>
          <w:snapToGrid w:val="0"/>
        </w:rPr>
        <w:tab/>
        <w:t>Matters for discussion at general electors’ meetings — s. </w:t>
      </w:r>
      <w:r>
        <w:rPr>
          <w:rStyle w:val="CharSectno"/>
        </w:rPr>
        <w:t>5</w:t>
      </w:r>
      <w:r>
        <w:rPr>
          <w:snapToGrid w:val="0"/>
        </w:rPr>
        <w:t>.27(3)</w:t>
      </w:r>
      <w:bookmarkEnd w:id="113"/>
      <w:bookmarkEnd w:id="114"/>
      <w:bookmarkEnd w:id="119"/>
      <w:bookmarkEnd w:id="120"/>
      <w:r>
        <w:rPr>
          <w:snapToGrid w:val="0"/>
        </w:rPr>
        <w:t xml:space="preserve"> </w:t>
      </w:r>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121" w:name="_Toc12955302"/>
      <w:bookmarkStart w:id="122" w:name="_Toc12955589"/>
      <w:bookmarkStart w:id="123" w:name="_Toc112152193"/>
      <w:bookmarkStart w:id="124" w:name="_Toc153784539"/>
      <w:r>
        <w:rPr>
          <w:rStyle w:val="CharSectno"/>
        </w:rPr>
        <w:t>16</w:t>
      </w:r>
      <w:r>
        <w:rPr>
          <w:snapToGrid w:val="0"/>
        </w:rPr>
        <w:t>.</w:t>
      </w:r>
      <w:r>
        <w:rPr>
          <w:snapToGrid w:val="0"/>
        </w:rPr>
        <w:tab/>
        <w:t>Requests for electors’ special meetings —</w:t>
      </w:r>
      <w:del w:id="125" w:author="Master Repository Process" w:date="2021-08-29T00:50:00Z">
        <w:r>
          <w:rPr>
            <w:snapToGrid w:val="0"/>
          </w:rPr>
          <w:delText> </w:delText>
        </w:r>
      </w:del>
      <w:ins w:id="126" w:author="Master Repository Process" w:date="2021-08-29T00:50:00Z">
        <w:r>
          <w:rPr>
            <w:snapToGrid w:val="0"/>
          </w:rPr>
          <w:t xml:space="preserve"> </w:t>
        </w:r>
      </w:ins>
      <w:r>
        <w:rPr>
          <w:snapToGrid w:val="0"/>
        </w:rPr>
        <w:t>s.</w:t>
      </w:r>
      <w:del w:id="127" w:author="Master Repository Process" w:date="2021-08-29T00:50:00Z">
        <w:r>
          <w:rPr>
            <w:snapToGrid w:val="0"/>
          </w:rPr>
          <w:delText xml:space="preserve"> </w:delText>
        </w:r>
      </w:del>
      <w:ins w:id="128" w:author="Master Repository Process" w:date="2021-08-29T00:50:00Z">
        <w:r>
          <w:rPr>
            <w:snapToGrid w:val="0"/>
          </w:rPr>
          <w:t> </w:t>
        </w:r>
      </w:ins>
      <w:r>
        <w:rPr>
          <w:snapToGrid w:val="0"/>
        </w:rPr>
        <w:t>5.28(2)</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129" w:name="_Toc12955303"/>
      <w:bookmarkStart w:id="130" w:name="_Toc12955590"/>
      <w:bookmarkStart w:id="131" w:name="_Toc112152194"/>
      <w:bookmarkStart w:id="132" w:name="_Toc153784540"/>
      <w:r>
        <w:rPr>
          <w:rStyle w:val="CharSectno"/>
        </w:rPr>
        <w:t>17</w:t>
      </w:r>
      <w:r>
        <w:rPr>
          <w:snapToGrid w:val="0"/>
        </w:rPr>
        <w:t>.</w:t>
      </w:r>
      <w:r>
        <w:rPr>
          <w:snapToGrid w:val="0"/>
        </w:rPr>
        <w:tab/>
        <w:t>Voting at electors’ meetings — s. 5.31</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133" w:name="_Toc12955304"/>
      <w:bookmarkStart w:id="134" w:name="_Toc12955591"/>
      <w:bookmarkStart w:id="135" w:name="_Toc112152195"/>
      <w:bookmarkStart w:id="136" w:name="_Toc153784541"/>
      <w:r>
        <w:rPr>
          <w:rStyle w:val="CharSectno"/>
        </w:rPr>
        <w:t>18</w:t>
      </w:r>
      <w:r>
        <w:rPr>
          <w:snapToGrid w:val="0"/>
        </w:rPr>
        <w:t>.</w:t>
      </w:r>
      <w:r>
        <w:rPr>
          <w:snapToGrid w:val="0"/>
        </w:rPr>
        <w:tab/>
        <w:t>Procedures at electors’ meetings — s. 5.31</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5"/>
      </w:pPr>
      <w:bookmarkStart w:id="137" w:name="_Toc112152196"/>
      <w:bookmarkStart w:id="138" w:name="_Toc153784542"/>
      <w:bookmarkStart w:id="139" w:name="_Toc12955305"/>
      <w:bookmarkStart w:id="140" w:name="_Toc12955592"/>
      <w:r>
        <w:rPr>
          <w:rStyle w:val="CharSectno"/>
        </w:rPr>
        <w:t>18A</w:t>
      </w:r>
      <w:r>
        <w:t>.</w:t>
      </w:r>
      <w:r>
        <w:tab/>
        <w:t>Advertisement</w:t>
      </w:r>
      <w:del w:id="141" w:author="Master Repository Process" w:date="2021-08-29T00:50:00Z">
        <w:r>
          <w:delText xml:space="preserve"> </w:delText>
        </w:r>
      </w:del>
      <w:ins w:id="142" w:author="Master Repository Process" w:date="2021-08-29T00:50:00Z">
        <w:r>
          <w:t> </w:t>
        </w:r>
      </w:ins>
      <w:r>
        <w:t>for position of CEO or senior employee — s. 5.36(4) and 5.37(3)</w:t>
      </w:r>
      <w:bookmarkEnd w:id="137"/>
      <w:bookmarkEnd w:id="138"/>
    </w:p>
    <w:p>
      <w:pPr>
        <w:pStyle w:val="Subsection"/>
      </w:pPr>
      <w:r>
        <w:tab/>
        <w:t>(1)</w:t>
      </w:r>
      <w:r>
        <w:tab/>
        <w:t xml:space="preserve">If a position of CEO, or of senior employee, of a local government becomes vacant, the local government is to advertise the position — </w:t>
      </w:r>
    </w:p>
    <w:p>
      <w:pPr>
        <w:pStyle w:val="Indenta"/>
      </w:pPr>
      <w:r>
        <w:tab/>
        <w:t>(a)</w:t>
      </w:r>
      <w:r>
        <w:tab/>
        <w:t xml:space="preserve">on a notice board exhibited to the public at the local government’s offices, if the position is — </w:t>
      </w:r>
    </w:p>
    <w:p>
      <w:pPr>
        <w:pStyle w:val="Indenti"/>
      </w:pPr>
      <w:r>
        <w:tab/>
        <w:t>(i)</w:t>
      </w:r>
      <w:r>
        <w:tab/>
        <w:t>to be filled on a part time basis by a person who is also employed by another local government; or</w:t>
      </w:r>
    </w:p>
    <w:p>
      <w:pPr>
        <w:pStyle w:val="Indenti"/>
      </w:pPr>
      <w:r>
        <w:tab/>
        <w:t>(ii)</w:t>
      </w:r>
      <w:r>
        <w:tab/>
        <w:t>an acting position for a term not exceeding one year;</w:t>
      </w:r>
      <w:del w:id="143" w:author="Master Repository Process" w:date="2021-08-29T00:50:00Z">
        <w:r>
          <w:delText xml:space="preserve"> or</w:delText>
        </w:r>
      </w:del>
    </w:p>
    <w:p>
      <w:pPr>
        <w:pStyle w:val="Indenta"/>
        <w:rPr>
          <w:ins w:id="144" w:author="Master Repository Process" w:date="2021-08-29T00:50:00Z"/>
        </w:rPr>
      </w:pPr>
      <w:ins w:id="145" w:author="Master Repository Process" w:date="2021-08-29T00:50:00Z">
        <w:r>
          <w:tab/>
        </w:r>
        <w:r>
          <w:tab/>
          <w:t>or</w:t>
        </w:r>
      </w:ins>
    </w:p>
    <w:p>
      <w:pPr>
        <w:pStyle w:val="Indenta"/>
      </w:pPr>
      <w:r>
        <w:tab/>
        <w:t>(b)</w:t>
      </w:r>
      <w:r>
        <w:tab/>
        <w:t>otherwise, in a newspaper circulating generally throughout the State.</w:t>
      </w:r>
    </w:p>
    <w:p>
      <w:pPr>
        <w:pStyle w:val="Subsection"/>
      </w:pPr>
      <w:r>
        <w:tab/>
        <w:t>(2)</w:t>
      </w:r>
      <w:r>
        <w:tab/>
        <w:t xml:space="preserve">An advertisement referred to in subregulation (1) is to contain — </w:t>
      </w:r>
    </w:p>
    <w:p>
      <w:pPr>
        <w:pStyle w:val="Indenta"/>
      </w:pPr>
      <w:r>
        <w:tab/>
        <w:t>(a)</w:t>
      </w:r>
      <w:r>
        <w:tab/>
        <w:t>the details of the remuneration and benefits offered;</w:t>
      </w:r>
    </w:p>
    <w:p>
      <w:pPr>
        <w:pStyle w:val="Indenta"/>
      </w:pPr>
      <w:r>
        <w:tab/>
        <w:t>(b)</w:t>
      </w:r>
      <w:r>
        <w:tab/>
        <w:t>details of the place where applications for the position are to be submitted;</w:t>
      </w:r>
    </w:p>
    <w:p>
      <w:pPr>
        <w:pStyle w:val="Indenta"/>
      </w:pPr>
      <w:r>
        <w:tab/>
        <w:t>(c)</w:t>
      </w:r>
      <w:r>
        <w:tab/>
        <w:t>the date and time for the closing of applications for the position;</w:t>
      </w:r>
    </w:p>
    <w:p>
      <w:pPr>
        <w:pStyle w:val="Indenta"/>
      </w:pPr>
      <w:r>
        <w:tab/>
        <w:t>(d)</w:t>
      </w:r>
      <w:r>
        <w:tab/>
        <w:t>the duration of the proposed contract;</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w:t>
      </w:r>
    </w:p>
    <w:p>
      <w:pPr>
        <w:pStyle w:val="Heading5"/>
      </w:pPr>
      <w:bookmarkStart w:id="146" w:name="_Toc112152197"/>
      <w:bookmarkStart w:id="147" w:name="_Toc153784543"/>
      <w:r>
        <w:rPr>
          <w:rStyle w:val="CharSectno"/>
        </w:rPr>
        <w:t>18B</w:t>
      </w:r>
      <w:r>
        <w:t>.</w:t>
      </w:r>
      <w:r>
        <w:tab/>
        <w:t>Matters to be included in contracts for CEO’s and senior employees — s. 5.39(3)(c)</w:t>
      </w:r>
      <w:bookmarkEnd w:id="146"/>
      <w:bookmarkEnd w:id="147"/>
    </w:p>
    <w:p>
      <w:pPr>
        <w:pStyle w:val="Subsection"/>
      </w:pPr>
      <w:r>
        <w:tab/>
      </w:r>
      <w:r>
        <w:tab/>
        <w:t xml:space="preserve">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 </w:t>
      </w:r>
    </w:p>
    <w:p>
      <w:pPr>
        <w:pStyle w:val="Indenta"/>
      </w:pPr>
      <w:r>
        <w:tab/>
        <w:t>(a)</w:t>
      </w:r>
      <w:r>
        <w:tab/>
        <w:t>the value of one year’s remuneration under the contract; or</w:t>
      </w:r>
    </w:p>
    <w:p>
      <w:pPr>
        <w:pStyle w:val="Indenta"/>
      </w:pPr>
      <w:r>
        <w:tab/>
        <w:t>(b)</w:t>
      </w:r>
      <w:r>
        <w:tab/>
        <w:t>the value of the remuneration that the person would have been entitled to had the contract not been terminated.</w:t>
      </w:r>
    </w:p>
    <w:p>
      <w:pPr>
        <w:pStyle w:val="Footnotesection"/>
      </w:pPr>
      <w:r>
        <w:tab/>
        <w:t>[Regulation 18B inserted in Gazette 13 May 2005 p. 2086.]</w:t>
      </w:r>
    </w:p>
    <w:p>
      <w:pPr>
        <w:pStyle w:val="Heading5"/>
      </w:pPr>
      <w:bookmarkStart w:id="148" w:name="_Toc112152198"/>
      <w:bookmarkStart w:id="149" w:name="_Toc153784544"/>
      <w:r>
        <w:rPr>
          <w:rStyle w:val="CharSectno"/>
        </w:rPr>
        <w:t>18C</w:t>
      </w:r>
      <w:r>
        <w:t>.</w:t>
      </w:r>
      <w:r>
        <w:tab/>
        <w:t>Selection and appointment process for CEO’s</w:t>
      </w:r>
      <w:bookmarkEnd w:id="148"/>
      <w:bookmarkEnd w:id="149"/>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pPr>
      <w:r>
        <w:tab/>
        <w:t>[Regulation 18C inserted in Gazette 31 Mar 2005 p. 1038.]</w:t>
      </w:r>
    </w:p>
    <w:p>
      <w:pPr>
        <w:pStyle w:val="Heading5"/>
      </w:pPr>
      <w:bookmarkStart w:id="150" w:name="_Toc112152199"/>
      <w:bookmarkStart w:id="151" w:name="_Toc153784545"/>
      <w:r>
        <w:rPr>
          <w:rStyle w:val="CharSectno"/>
        </w:rPr>
        <w:t>18D</w:t>
      </w:r>
      <w:r>
        <w:t>.</w:t>
      </w:r>
      <w:r>
        <w:tab/>
        <w:t>Local government to consider performance review on CEO</w:t>
      </w:r>
      <w:bookmarkEnd w:id="150"/>
      <w:bookmarkEnd w:id="151"/>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pPr>
      <w:r>
        <w:tab/>
        <w:t>[Regulation 18D inserted in Gazette 31 Mar 2005 p. 1038.]</w:t>
      </w:r>
    </w:p>
    <w:p>
      <w:pPr>
        <w:pStyle w:val="Heading5"/>
      </w:pPr>
      <w:bookmarkStart w:id="152" w:name="_Toc112152200"/>
      <w:bookmarkStart w:id="153" w:name="_Toc153784546"/>
      <w:r>
        <w:rPr>
          <w:rStyle w:val="CharSectno"/>
        </w:rPr>
        <w:t>18E</w:t>
      </w:r>
      <w:r>
        <w:t>.</w:t>
      </w:r>
      <w:r>
        <w:tab/>
        <w:t>Offence to give</w:t>
      </w:r>
      <w:del w:id="154" w:author="Master Repository Process" w:date="2021-08-29T00:50:00Z">
        <w:r>
          <w:delText xml:space="preserve"> </w:delText>
        </w:r>
      </w:del>
      <w:ins w:id="155" w:author="Master Repository Process" w:date="2021-08-29T00:50:00Z">
        <w:r>
          <w:t> </w:t>
        </w:r>
      </w:ins>
      <w:r>
        <w:t>false information in application for employment with local government</w:t>
      </w:r>
      <w:bookmarkEnd w:id="152"/>
      <w:bookmarkEnd w:id="153"/>
    </w:p>
    <w:p>
      <w:pPr>
        <w:pStyle w:val="Subsection"/>
      </w:pPr>
      <w:r>
        <w:tab/>
      </w:r>
      <w:r>
        <w:tab/>
        <w:t xml:space="preserve">A person must not, in connection with an application for the position of CEO of a local government — </w:t>
      </w:r>
    </w:p>
    <w:p>
      <w:pPr>
        <w:pStyle w:val="Indenta"/>
      </w:pPr>
      <w:r>
        <w:tab/>
        <w:t>(a)</w:t>
      </w:r>
      <w:r>
        <w:tab/>
        <w:t>make a statement, or give any information, as to academic, or other tertiary level, qualifications held by the applicant that the person knows is false in a material particular; or</w:t>
      </w:r>
    </w:p>
    <w:p>
      <w:pPr>
        <w:pStyle w:val="Indenta"/>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Ednotesubsection"/>
        <w:rPr>
          <w:del w:id="156" w:author="Master Repository Process" w:date="2021-08-29T00:50:00Z"/>
        </w:rPr>
      </w:pPr>
      <w:del w:id="157" w:author="Master Repository Process" w:date="2021-08-29T00:50:00Z">
        <w:r>
          <w:tab/>
          <w:delText>[(2)</w:delText>
        </w:r>
        <w:r>
          <w:tab/>
          <w:delText>repealed]</w:delText>
        </w:r>
      </w:del>
    </w:p>
    <w:p>
      <w:pPr>
        <w:pStyle w:val="Footnotesection"/>
      </w:pPr>
      <w:r>
        <w:tab/>
        <w:t>[Regulation 18E inserted in Gazette 31 Mar 2005 p. 1038-9; amended in Gazette 19 Aug 2005 p. 3872.]</w:t>
      </w:r>
    </w:p>
    <w:p>
      <w:pPr>
        <w:pStyle w:val="Heading5"/>
      </w:pPr>
      <w:bookmarkStart w:id="158" w:name="_Toc112152201"/>
      <w:bookmarkStart w:id="159" w:name="_Toc153784547"/>
      <w:r>
        <w:rPr>
          <w:rStyle w:val="CharSectno"/>
        </w:rPr>
        <w:t>18F</w:t>
      </w:r>
      <w:r>
        <w:t>.</w:t>
      </w:r>
      <w:r>
        <w:tab/>
        <w:t>Remuneration and benefits of CEO to be as advertised</w:t>
      </w:r>
      <w:bookmarkEnd w:id="158"/>
      <w:bookmarkEnd w:id="159"/>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160" w:name="_Toc112152202"/>
      <w:bookmarkStart w:id="161" w:name="_Toc153784548"/>
      <w:r>
        <w:rPr>
          <w:rStyle w:val="CharSectno"/>
        </w:rPr>
        <w:t>18G</w:t>
      </w:r>
      <w:r>
        <w:t>.</w:t>
      </w:r>
      <w:r>
        <w:tab/>
        <w:t>Limits on delegations to CEO’s — s. 5.43</w:t>
      </w:r>
      <w:bookmarkEnd w:id="160"/>
      <w:bookmarkEnd w:id="161"/>
    </w:p>
    <w:p>
      <w:pPr>
        <w:pStyle w:val="Subsection"/>
      </w:pPr>
      <w:r>
        <w:tab/>
      </w:r>
      <w:r>
        <w:tab/>
        <w:t xml:space="preserve">Powers and duties of a local government exercised under the following provisions are prescribed under section 5.43(i) as powers and duties that a local government cannot delegate to a CEO — </w:t>
      </w:r>
    </w:p>
    <w:p>
      <w:pPr>
        <w:pStyle w:val="Indenta"/>
      </w:pPr>
      <w:r>
        <w:tab/>
        <w:t>(a)</w:t>
      </w:r>
      <w:r>
        <w:tab/>
        <w:t>section 7.12A(2), (3)(a) or (4); and</w:t>
      </w:r>
    </w:p>
    <w:p>
      <w:pPr>
        <w:pStyle w:val="Indenta"/>
      </w:pPr>
      <w:r>
        <w:tab/>
        <w:t>(b)</w:t>
      </w:r>
      <w:r>
        <w:tab/>
        <w:t>regulations 18C and 18D.</w:t>
      </w:r>
    </w:p>
    <w:p>
      <w:pPr>
        <w:pStyle w:val="Footnotesection"/>
      </w:pPr>
      <w:r>
        <w:tab/>
        <w:t>[Regulation 18G inserted in Gazette 31 Mar 2005 p. 1039.]</w:t>
      </w:r>
    </w:p>
    <w:p>
      <w:pPr>
        <w:pStyle w:val="Heading5"/>
        <w:rPr>
          <w:snapToGrid w:val="0"/>
        </w:rPr>
      </w:pPr>
      <w:bookmarkStart w:id="162" w:name="_Toc112152203"/>
      <w:bookmarkStart w:id="163" w:name="_Toc153784549"/>
      <w:r>
        <w:rPr>
          <w:rStyle w:val="CharSectno"/>
        </w:rPr>
        <w:t>19</w:t>
      </w:r>
      <w:r>
        <w:rPr>
          <w:snapToGrid w:val="0"/>
        </w:rPr>
        <w:t>.</w:t>
      </w:r>
      <w:r>
        <w:rPr>
          <w:snapToGrid w:val="0"/>
        </w:rPr>
        <w:tab/>
        <w:t>Records to be kept by delegates — s. 5.46(3)</w:t>
      </w:r>
      <w:bookmarkEnd w:id="139"/>
      <w:bookmarkEnd w:id="140"/>
      <w:bookmarkEnd w:id="162"/>
      <w:bookmarkEnd w:id="163"/>
      <w:r>
        <w:rPr>
          <w:snapToGrid w:val="0"/>
        </w:rPr>
        <w:t xml:space="preserve"> </w:t>
      </w:r>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 </w:t>
      </w:r>
    </w:p>
    <w:p>
      <w:pPr>
        <w:pStyle w:val="Indenta"/>
        <w:rPr>
          <w:snapToGrid w:val="0"/>
        </w:rPr>
      </w:pPr>
      <w:r>
        <w:rPr>
          <w:snapToGrid w:val="0"/>
        </w:rPr>
        <w:tab/>
        <w:t>(a)</w:t>
      </w:r>
      <w:r>
        <w:rPr>
          <w:snapToGrid w:val="0"/>
        </w:rPr>
        <w:tab/>
        <w:t>how the person exercised the power or discharged the duty;</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64" w:name="_Toc112152204"/>
      <w:bookmarkStart w:id="165" w:name="_Toc153784550"/>
      <w:bookmarkStart w:id="166" w:name="_Toc12955306"/>
      <w:bookmarkStart w:id="167" w:name="_Toc12955593"/>
      <w:r>
        <w:rPr>
          <w:rStyle w:val="CharSectno"/>
        </w:rPr>
        <w:t>19A</w:t>
      </w:r>
      <w:r>
        <w:t>.</w:t>
      </w:r>
      <w:r>
        <w:tab/>
        <w:t>Payments to employee in addition to contract or award — s. 5.50(3)</w:t>
      </w:r>
      <w:bookmarkEnd w:id="164"/>
      <w:bookmarkEnd w:id="165"/>
    </w:p>
    <w:p>
      <w:pPr>
        <w:pStyle w:val="Subsection"/>
      </w:pPr>
      <w:r>
        <w:tab/>
        <w:t>(1)</w:t>
      </w:r>
      <w:r>
        <w:tab/>
        <w:t xml:space="preserve">The value of a payment or payments made under section 5.50(1) and (2) to an employee whose employment with a local government finishes after 1 January 2010 is not to exceed in total — </w:t>
      </w:r>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 xml:space="preserve">In this regulation — </w:t>
      </w:r>
    </w:p>
    <w:p>
      <w:pPr>
        <w:pStyle w:val="Defstart"/>
      </w:pPr>
      <w:r>
        <w:rPr>
          <w:b/>
        </w:rPr>
        <w:tab/>
        <w:t>“</w:t>
      </w:r>
      <w:r>
        <w:rPr>
          <w:rStyle w:val="CharDefText"/>
        </w:rPr>
        <w:t>final annual remuneration</w:t>
      </w:r>
      <w:r>
        <w:rPr>
          <w:b/>
        </w:rPr>
        <w:t>”</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5"/>
      </w:pPr>
      <w:bookmarkStart w:id="168" w:name="_Toc112152205"/>
      <w:bookmarkStart w:id="169" w:name="_Toc153784551"/>
      <w:r>
        <w:rPr>
          <w:rStyle w:val="CharSectno"/>
        </w:rPr>
        <w:t>19B</w:t>
      </w:r>
      <w:r>
        <w:t>.</w:t>
      </w:r>
      <w:r>
        <w:tab/>
        <w:t>Annual report to contain information on payments to employees — s. 5.53(2)(g)</w:t>
      </w:r>
      <w:bookmarkEnd w:id="168"/>
      <w:bookmarkEnd w:id="169"/>
    </w:p>
    <w:p>
      <w:pPr>
        <w:pStyle w:val="Subsection"/>
      </w:pPr>
      <w:r>
        <w:tab/>
      </w:r>
      <w:r>
        <w:tab/>
        <w:t xml:space="preserve">For the purposes of section 5.53(2)(g) the annual report of a local government for a financial year is to contain the following information —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170" w:name="_Toc112152206"/>
      <w:bookmarkStart w:id="171" w:name="_Toc153784552"/>
      <w:r>
        <w:rPr>
          <w:rStyle w:val="CharSectno"/>
        </w:rPr>
        <w:t>19C</w:t>
      </w:r>
      <w:r>
        <w:t>.</w:t>
      </w:r>
      <w:r>
        <w:tab/>
        <w:t>Planning for the future — s. 5.56</w:t>
      </w:r>
      <w:bookmarkEnd w:id="170"/>
      <w:bookmarkEnd w:id="171"/>
    </w:p>
    <w:p>
      <w:pPr>
        <w:pStyle w:val="Subsection"/>
      </w:pPr>
      <w:r>
        <w:tab/>
        <w:t>(1)</w:t>
      </w:r>
      <w:r>
        <w:tab/>
        <w:t xml:space="preserve">In this regulation and regulation 19D — </w:t>
      </w:r>
    </w:p>
    <w:p>
      <w:pPr>
        <w:pStyle w:val="Defstart"/>
      </w:pPr>
      <w:r>
        <w:rPr>
          <w:b/>
        </w:rPr>
        <w:tab/>
        <w:t>“</w:t>
      </w:r>
      <w:r>
        <w:rPr>
          <w:rStyle w:val="CharDefText"/>
        </w:rPr>
        <w:t>plan for the future</w:t>
      </w:r>
      <w:r>
        <w:rPr>
          <w:b/>
        </w:rPr>
        <w:t>”</w:t>
      </w:r>
      <w:r>
        <w:t xml:space="preserve"> means a plan made under section 5.56.</w:t>
      </w:r>
    </w:p>
    <w:p>
      <w:pPr>
        <w:pStyle w:val="Subsection"/>
      </w:pPr>
      <w:r>
        <w:tab/>
        <w:t>(2)</w:t>
      </w:r>
      <w:r>
        <w:tab/>
        <w:t>A local government is to make a plan for the future of its district in respect of the period specified in the plan (being at least 2</w:t>
      </w:r>
      <w:del w:id="172" w:author="Master Repository Process" w:date="2021-08-29T00:50:00Z">
        <w:r>
          <w:delText xml:space="preserve"> </w:delText>
        </w:r>
      </w:del>
      <w:ins w:id="173" w:author="Master Repository Process" w:date="2021-08-29T00:50:00Z">
        <w:r>
          <w:t> </w:t>
        </w:r>
      </w:ins>
      <w:r>
        <w:t>financial years).</w:t>
      </w:r>
    </w:p>
    <w:p>
      <w:pPr>
        <w:pStyle w:val="Subsection"/>
      </w:pPr>
      <w:r>
        <w:tab/>
        <w:t>(3)</w:t>
      </w:r>
      <w:r>
        <w:tab/>
        <w:t>A plan for the future of a district is to set out the broad objectives of the local government for the period specified in the plan.</w:t>
      </w:r>
    </w:p>
    <w:p>
      <w:pPr>
        <w:pStyle w:val="Subsection"/>
      </w:pPr>
      <w:r>
        <w:tab/>
        <w:t>(4)</w:t>
      </w:r>
      <w:r>
        <w:tab/>
        <w:t>A local government is to review its current plan for the future of its district every 2 years and may modify the plan, including extending the period the plan is made in respect of.</w:t>
      </w:r>
    </w:p>
    <w:p>
      <w:pPr>
        <w:pStyle w:val="Subsection"/>
      </w:pPr>
      <w:r>
        <w:tab/>
        <w:t>(5)</w:t>
      </w:r>
      <w:r>
        <w:tab/>
        <w:t>A council is to consider a plan, or modifications, submitted to it and is to determine* whether or not to adopt the plan, or the modifications, as is relevant.</w:t>
      </w:r>
    </w:p>
    <w:p>
      <w:pPr>
        <w:pStyle w:val="NotesPerm"/>
      </w:pPr>
      <w:r>
        <w:tab/>
        <w:t>*Absolute majority required.</w:t>
      </w:r>
    </w:p>
    <w:p>
      <w:pPr>
        <w:pStyle w:val="Subsection"/>
      </w:pPr>
      <w:r>
        <w:tab/>
        <w:t>(6)</w:t>
      </w:r>
      <w:r>
        <w:tab/>
        <w:t>If a plan, or modified plan, is adopted by the council then the plan or modified plan is to apply to the district for the period of time specified in the plan.</w:t>
      </w:r>
    </w:p>
    <w:p>
      <w:pPr>
        <w:pStyle w:val="Subsection"/>
      </w:pPr>
      <w:r>
        <w:tab/>
        <w:t>(7)</w:t>
      </w:r>
      <w:r>
        <w:tab/>
        <w:t>A local government is to ensure that the electors and ratepayers of its district are consulted during the development of a plan for the future of the district, and when preparing any modifications of a plan.</w:t>
      </w:r>
    </w:p>
    <w:p>
      <w:pPr>
        <w:pStyle w:val="Subsection"/>
      </w:pPr>
      <w:r>
        <w:tab/>
        <w:t>(8)</w:t>
      </w:r>
      <w:r>
        <w:tab/>
        <w:t>A plan for the future of a district is to contain a description of the involvement by the electors and ratepayers in the development of the plan, and any modifications of the plan.</w:t>
      </w:r>
    </w:p>
    <w:p>
      <w:pPr>
        <w:pStyle w:val="Subsection"/>
      </w:pPr>
      <w:r>
        <w:tab/>
        <w:t>(9)</w:t>
      </w:r>
      <w:r>
        <w:tab/>
        <w:t>A local government is to ensure that a plan for the future made in accordance with this regulation applies in respect of each financial year after the financial year ending 30 June 2006.</w:t>
      </w:r>
    </w:p>
    <w:p>
      <w:pPr>
        <w:pStyle w:val="Footnotesection"/>
      </w:pPr>
      <w:r>
        <w:tab/>
        <w:t>[Regulation 19C inserted in Gazette 31 Mar 2005 p. 1033.]</w:t>
      </w:r>
    </w:p>
    <w:p>
      <w:pPr>
        <w:pStyle w:val="Heading5"/>
      </w:pPr>
      <w:bookmarkStart w:id="174" w:name="_Toc112152207"/>
      <w:bookmarkStart w:id="175" w:name="_Toc153784553"/>
      <w:r>
        <w:rPr>
          <w:rStyle w:val="CharSectno"/>
        </w:rPr>
        <w:t>19D</w:t>
      </w:r>
      <w:r>
        <w:t>.</w:t>
      </w:r>
      <w:r>
        <w:tab/>
        <w:t>Notice of plan to be given</w:t>
      </w:r>
      <w:bookmarkEnd w:id="174"/>
      <w:bookmarkEnd w:id="175"/>
    </w:p>
    <w:p>
      <w:pPr>
        <w:pStyle w:val="Subsection"/>
      </w:pPr>
      <w:r>
        <w:tab/>
        <w:t>(1)</w:t>
      </w:r>
      <w:r>
        <w:tab/>
        <w:t>After a plan for the future, or modifications to a plan, are adopted under regulation 19C the local government is to give local public notice in accordance with subsection (2).</w:t>
      </w:r>
    </w:p>
    <w:p>
      <w:pPr>
        <w:pStyle w:val="Subsection"/>
      </w:pPr>
      <w:r>
        <w:tab/>
        <w:t>(2)</w:t>
      </w:r>
      <w:r>
        <w:tab/>
        <w:t xml:space="preserve">The local public notice is to contain — </w:t>
      </w:r>
    </w:p>
    <w:p>
      <w:pPr>
        <w:pStyle w:val="Indenta"/>
      </w:pPr>
      <w:r>
        <w:tab/>
        <w:t>(a)</w:t>
      </w:r>
      <w:r>
        <w:tab/>
        <w:t xml:space="preserve">notification that — </w:t>
      </w:r>
    </w:p>
    <w:p>
      <w:pPr>
        <w:pStyle w:val="Indenti"/>
      </w:pPr>
      <w:r>
        <w:tab/>
        <w:t>(i)</w:t>
      </w:r>
      <w:r>
        <w:tab/>
        <w:t>a plan for the future of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 xml:space="preserve">where a plan for the future of the district has been modified — </w:t>
      </w:r>
    </w:p>
    <w:p>
      <w:pPr>
        <w:pStyle w:val="Indenti"/>
      </w:pPr>
      <w:r>
        <w:tab/>
        <w:t>(i)</w:t>
      </w:r>
      <w:r>
        <w:tab/>
        <w:t>notification that the modifications to the plan have been adopted by the council and the plan as modified is to apply to the district for a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w:t>
      </w:r>
    </w:p>
    <w:p>
      <w:pPr>
        <w:pStyle w:val="Heading5"/>
      </w:pPr>
      <w:bookmarkStart w:id="176" w:name="_Toc112152208"/>
      <w:bookmarkStart w:id="177" w:name="_Toc153784554"/>
      <w:bookmarkStart w:id="178" w:name="_Toc12955307"/>
      <w:bookmarkStart w:id="179" w:name="_Toc12955594"/>
      <w:bookmarkEnd w:id="166"/>
      <w:bookmarkEnd w:id="167"/>
      <w:r>
        <w:rPr>
          <w:rStyle w:val="CharSectno"/>
        </w:rPr>
        <w:t>20</w:t>
      </w:r>
      <w:r>
        <w:t>.</w:t>
      </w:r>
      <w:r>
        <w:tab/>
        <w:t>Closely associated persons — s. 5.62</w:t>
      </w:r>
      <w:bookmarkEnd w:id="176"/>
      <w:bookmarkEnd w:id="177"/>
    </w:p>
    <w:p>
      <w:pPr>
        <w:pStyle w:val="Subsection"/>
      </w:pPr>
      <w:r>
        <w:tab/>
        <w:t>(1)</w:t>
      </w:r>
      <w:r>
        <w:tab/>
        <w:t xml:space="preserve">In subregulation (2) — </w:t>
      </w:r>
    </w:p>
    <w:p>
      <w:pPr>
        <w:pStyle w:val="Defstart"/>
      </w:pPr>
      <w:r>
        <w:rPr>
          <w:b/>
        </w:rPr>
        <w:tab/>
        <w:t>“</w:t>
      </w:r>
      <w:r>
        <w:rPr>
          <w:rStyle w:val="CharDefText"/>
        </w:rPr>
        <w:t>client or adviser</w:t>
      </w:r>
      <w:r>
        <w:rPr>
          <w:b/>
        </w:rPr>
        <w:t>”</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“value” in section 5.62(2) is —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180" w:name="_Toc112152209"/>
      <w:bookmarkStart w:id="181" w:name="_Toc153784555"/>
      <w:r>
        <w:rPr>
          <w:rStyle w:val="CharSectno"/>
        </w:rPr>
        <w:t>21</w:t>
      </w:r>
      <w:r>
        <w:t>.</w:t>
      </w:r>
      <w:r>
        <w:tab/>
        <w:t>Interests that need not be disclosed — s. 5.63(1)(h)</w:t>
      </w:r>
      <w:bookmarkEnd w:id="178"/>
      <w:bookmarkEnd w:id="179"/>
      <w:bookmarkEnd w:id="180"/>
      <w:bookmarkEnd w:id="181"/>
    </w:p>
    <w:p>
      <w:pPr>
        <w:pStyle w:val="Subsection"/>
        <w:spacing w:before="120"/>
      </w:pPr>
      <w:r>
        <w:tab/>
      </w:r>
      <w:r>
        <w:tab/>
        <w:t xml:space="preserve">The interests prescribed for the purposes of section 5.63(1)(h) are as follows —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 xml:space="preserve">an interest relating to the provision by a local government of refreshments, meals or accommodation to persons — </w:t>
      </w:r>
    </w:p>
    <w:p>
      <w:pPr>
        <w:pStyle w:val="Indenti"/>
      </w:pPr>
      <w:r>
        <w:tab/>
        <w:t>(i)</w:t>
      </w:r>
      <w:r>
        <w:tab/>
        <w:t>attending a meeting or function of the local government;</w:t>
      </w:r>
    </w:p>
    <w:p>
      <w:pPr>
        <w:pStyle w:val="Indenti"/>
      </w:pPr>
      <w:r>
        <w:tab/>
        <w:t>(ii)</w:t>
      </w:r>
      <w:r>
        <w:tab/>
        <w:t xml:space="preserve">attending a conference relevant to local government business; or </w:t>
      </w:r>
    </w:p>
    <w:p>
      <w:pPr>
        <w:pStyle w:val="Indenti"/>
      </w:pPr>
      <w:r>
        <w:tab/>
        <w:t>(iii)</w:t>
      </w:r>
      <w:r>
        <w:tab/>
        <w:t>on other local government business;</w:t>
      </w:r>
    </w:p>
    <w:p>
      <w:pPr>
        <w:pStyle w:val="Indenta"/>
      </w:pPr>
      <w:r>
        <w:tab/>
        <w:t>(e)</w:t>
      </w:r>
      <w:r>
        <w:tab/>
        <w:t xml:space="preserve">an interest relating to —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w:t>
      </w:r>
    </w:p>
    <w:p>
      <w:pPr>
        <w:pStyle w:val="Indenti"/>
      </w:pPr>
      <w:r>
        <w:tab/>
        <w:t>(ii)</w:t>
      </w:r>
      <w:r>
        <w:tab/>
        <w:t xml:space="preserve">a relevant person becoming the owner of office equipment — </w:t>
      </w:r>
    </w:p>
    <w:p>
      <w:pPr>
        <w:pStyle w:val="IndentI0"/>
      </w:pPr>
      <w:r>
        <w:tab/>
        <w:t>(I)</w:t>
      </w:r>
      <w:r>
        <w:tab/>
        <w:t xml:space="preserve">that is provided under subparagraph (i) to the relevant person; and </w:t>
      </w:r>
    </w:p>
    <w:p>
      <w:pPr>
        <w:pStyle w:val="IndentI0"/>
      </w:pPr>
      <w:r>
        <w:tab/>
        <w:t>(II)</w:t>
      </w:r>
      <w:r>
        <w:tab/>
        <w:t xml:space="preserve">that has only minor residual value after use by the relevant person; </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 xml:space="preserve">an interest relating to — </w:t>
      </w:r>
    </w:p>
    <w:p>
      <w:pPr>
        <w:pStyle w:val="Indenti"/>
      </w:pPr>
      <w:r>
        <w:tab/>
        <w:t>(i)</w:t>
      </w:r>
      <w:r>
        <w:tab/>
        <w:t>the specification by a local government of a value for the purposes of the definition of “token gift” in regulation 34B(1);</w:t>
      </w:r>
    </w:p>
    <w:p>
      <w:pPr>
        <w:pStyle w:val="Indenti"/>
      </w:pPr>
      <w:r>
        <w:tab/>
        <w:t>(ii)</w:t>
      </w:r>
      <w:r>
        <w:tab/>
        <w:t>the making of a decision by a local government under regulation 34B(5); or</w:t>
      </w:r>
    </w:p>
    <w:p>
      <w:pPr>
        <w:pStyle w:val="Indenti"/>
      </w:pPr>
      <w:r>
        <w:tab/>
        <w:t>(iii)</w:t>
      </w:r>
      <w:r>
        <w:tab/>
        <w:t>a gift that can be accepted by a relevant person in accordance with a code of conduct to be observed by the relevant person.</w:t>
      </w:r>
    </w:p>
    <w:p>
      <w:pPr>
        <w:pStyle w:val="Footnotesection"/>
      </w:pPr>
      <w:r>
        <w:tab/>
        <w:t>[Regulation 21 inserted in Gazette 28 Jun 2002 p. 3080</w:t>
      </w:r>
      <w:r>
        <w:noBreakHyphen/>
        <w:t>1.]</w:t>
      </w:r>
    </w:p>
    <w:p>
      <w:pPr>
        <w:pStyle w:val="Heading5"/>
        <w:spacing w:before="200"/>
        <w:rPr>
          <w:snapToGrid w:val="0"/>
        </w:rPr>
      </w:pPr>
      <w:bookmarkStart w:id="182" w:name="_Toc12955308"/>
      <w:bookmarkStart w:id="183" w:name="_Toc12955595"/>
      <w:bookmarkStart w:id="184" w:name="_Toc112152210"/>
      <w:bookmarkStart w:id="185" w:name="_Toc153784556"/>
      <w:r>
        <w:rPr>
          <w:rStyle w:val="CharSectno"/>
        </w:rPr>
        <w:t>22</w:t>
      </w:r>
      <w:r>
        <w:rPr>
          <w:snapToGrid w:val="0"/>
        </w:rPr>
        <w:t>.</w:t>
      </w:r>
      <w:r>
        <w:rPr>
          <w:snapToGrid w:val="0"/>
        </w:rPr>
        <w:tab/>
        <w:t>Form for primary returns — s. 5.75(1) and (2)</w:t>
      </w:r>
      <w:bookmarkEnd w:id="182"/>
      <w:bookmarkEnd w:id="183"/>
      <w:bookmarkEnd w:id="184"/>
      <w:bookmarkEnd w:id="185"/>
      <w:r>
        <w:rPr>
          <w:snapToGrid w:val="0"/>
        </w:rPr>
        <w:t xml:space="preserve"> </w:t>
      </w:r>
    </w:p>
    <w:p>
      <w:pPr>
        <w:pStyle w:val="Subsection"/>
        <w:spacing w:before="120"/>
        <w:rPr>
          <w:snapToGrid w:val="0"/>
        </w:rPr>
      </w:pPr>
      <w:r>
        <w:rPr>
          <w:snapToGrid w:val="0"/>
        </w:rPr>
        <w:tab/>
      </w:r>
      <w:r>
        <w:rPr>
          <w:snapToGrid w:val="0"/>
        </w:rPr>
        <w:tab/>
        <w:t>For the purposes of section 5.75(1) and (2), the form of a primary return is set out in Form 2.</w:t>
      </w:r>
    </w:p>
    <w:p>
      <w:pPr>
        <w:pStyle w:val="Heading5"/>
        <w:spacing w:before="200"/>
        <w:rPr>
          <w:snapToGrid w:val="0"/>
        </w:rPr>
      </w:pPr>
      <w:bookmarkStart w:id="186" w:name="_Toc12955309"/>
      <w:bookmarkStart w:id="187" w:name="_Toc12955596"/>
      <w:bookmarkStart w:id="188" w:name="_Toc112152211"/>
      <w:bookmarkStart w:id="189" w:name="_Toc153784557"/>
      <w:r>
        <w:rPr>
          <w:rStyle w:val="CharSectno"/>
        </w:rPr>
        <w:t>23</w:t>
      </w:r>
      <w:r>
        <w:rPr>
          <w:snapToGrid w:val="0"/>
        </w:rPr>
        <w:t>.</w:t>
      </w:r>
      <w:r>
        <w:rPr>
          <w:snapToGrid w:val="0"/>
        </w:rPr>
        <w:tab/>
        <w:t>Form for annual returns — s. 5.76(1) and (2)</w:t>
      </w:r>
      <w:bookmarkEnd w:id="186"/>
      <w:bookmarkEnd w:id="187"/>
      <w:bookmarkEnd w:id="188"/>
      <w:bookmarkEnd w:id="189"/>
      <w:r>
        <w:rPr>
          <w:snapToGrid w:val="0"/>
        </w:rPr>
        <w:t xml:space="preserve"> </w:t>
      </w:r>
    </w:p>
    <w:p>
      <w:pPr>
        <w:pStyle w:val="Subsection"/>
        <w:spacing w:before="120"/>
        <w:rPr>
          <w:snapToGrid w:val="0"/>
        </w:rPr>
      </w:pPr>
      <w:r>
        <w:rPr>
          <w:snapToGrid w:val="0"/>
        </w:rPr>
        <w:tab/>
      </w:r>
      <w:r>
        <w:rPr>
          <w:snapToGrid w:val="0"/>
        </w:rPr>
        <w:tab/>
        <w:t>For the purposes of section 5.76(1) and (2), the form of an annual return is set out in Form 3.</w:t>
      </w:r>
    </w:p>
    <w:p>
      <w:pPr>
        <w:pStyle w:val="Heading5"/>
        <w:spacing w:before="200"/>
        <w:rPr>
          <w:snapToGrid w:val="0"/>
        </w:rPr>
      </w:pPr>
      <w:bookmarkStart w:id="190" w:name="_Toc12955310"/>
      <w:bookmarkStart w:id="191" w:name="_Toc12955597"/>
      <w:bookmarkStart w:id="192" w:name="_Toc112152212"/>
      <w:bookmarkStart w:id="193" w:name="_Toc153784558"/>
      <w:r>
        <w:rPr>
          <w:rStyle w:val="CharSectno"/>
        </w:rPr>
        <w:t>24</w:t>
      </w:r>
      <w:r>
        <w:rPr>
          <w:snapToGrid w:val="0"/>
        </w:rPr>
        <w:t>.</w:t>
      </w:r>
      <w:r>
        <w:rPr>
          <w:snapToGrid w:val="0"/>
        </w:rPr>
        <w:tab/>
        <w:t xml:space="preserve">Amount of income up to which disclosure of the income’s source is not required — s. </w:t>
      </w:r>
      <w:r>
        <w:rPr>
          <w:rStyle w:val="CharSectno"/>
        </w:rPr>
        <w:t>5</w:t>
      </w:r>
      <w:r>
        <w:rPr>
          <w:snapToGrid w:val="0"/>
        </w:rPr>
        <w:t>.80(3)</w:t>
      </w:r>
      <w:bookmarkEnd w:id="190"/>
      <w:bookmarkEnd w:id="191"/>
      <w:bookmarkEnd w:id="192"/>
      <w:bookmarkEnd w:id="193"/>
      <w:r>
        <w:rPr>
          <w:snapToGrid w:val="0"/>
        </w:rPr>
        <w:t xml:space="preserve"> </w:t>
      </w:r>
    </w:p>
    <w:p>
      <w:pPr>
        <w:pStyle w:val="Subsection"/>
        <w:spacing w:before="120"/>
        <w:rPr>
          <w:snapToGrid w:val="0"/>
        </w:rPr>
      </w:pPr>
      <w:r>
        <w:rPr>
          <w:snapToGrid w:val="0"/>
        </w:rPr>
        <w:tab/>
      </w:r>
      <w:r>
        <w:rPr>
          <w:snapToGrid w:val="0"/>
        </w:rPr>
        <w:tab/>
        <w:t>The amount of income prescribed for the purposes of section 5.80(3) is $500.</w:t>
      </w:r>
    </w:p>
    <w:p>
      <w:pPr>
        <w:pStyle w:val="Heading5"/>
        <w:spacing w:before="200"/>
        <w:rPr>
          <w:snapToGrid w:val="0"/>
        </w:rPr>
      </w:pPr>
      <w:bookmarkStart w:id="194" w:name="_Toc12955311"/>
      <w:bookmarkStart w:id="195" w:name="_Toc12955598"/>
      <w:bookmarkStart w:id="196" w:name="_Toc112152213"/>
      <w:bookmarkStart w:id="197" w:name="_Toc153784559"/>
      <w:r>
        <w:rPr>
          <w:rStyle w:val="CharSectno"/>
        </w:rPr>
        <w:t>25</w:t>
      </w:r>
      <w:r>
        <w:rPr>
          <w:snapToGrid w:val="0"/>
        </w:rPr>
        <w:t>.</w:t>
      </w:r>
      <w:r>
        <w:rPr>
          <w:snapToGrid w:val="0"/>
        </w:rPr>
        <w:tab/>
        <w:t xml:space="preserve">Amount of gift up to which disclosure of the gift is not required — s. </w:t>
      </w:r>
      <w:r>
        <w:rPr>
          <w:rStyle w:val="CharSectno"/>
        </w:rPr>
        <w:t>5</w:t>
      </w:r>
      <w:r>
        <w:rPr>
          <w:snapToGrid w:val="0"/>
        </w:rPr>
        <w:t>.82(2)(a)</w:t>
      </w:r>
      <w:bookmarkEnd w:id="194"/>
      <w:bookmarkEnd w:id="195"/>
      <w:bookmarkEnd w:id="196"/>
      <w:bookmarkEnd w:id="197"/>
      <w:r>
        <w:rPr>
          <w:snapToGrid w:val="0"/>
        </w:rPr>
        <w:t xml:space="preserve"> </w:t>
      </w:r>
    </w:p>
    <w:p>
      <w:pPr>
        <w:pStyle w:val="Subsection"/>
        <w:spacing w:before="120"/>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spacing w:before="200"/>
        <w:rPr>
          <w:snapToGrid w:val="0"/>
        </w:rPr>
      </w:pPr>
      <w:bookmarkStart w:id="198" w:name="_Toc12955312"/>
      <w:bookmarkStart w:id="199" w:name="_Toc12955599"/>
      <w:bookmarkStart w:id="200" w:name="_Toc112152214"/>
      <w:bookmarkStart w:id="201" w:name="_Toc153784560"/>
      <w:r>
        <w:rPr>
          <w:rStyle w:val="CharSectno"/>
        </w:rPr>
        <w:t>26</w:t>
      </w:r>
      <w:r>
        <w:rPr>
          <w:snapToGrid w:val="0"/>
        </w:rPr>
        <w:t>.</w:t>
      </w:r>
      <w:r>
        <w:rPr>
          <w:snapToGrid w:val="0"/>
        </w:rPr>
        <w:tab/>
        <w:t>Amount of contribution to travel up to which disclosure of the contribution is not required — s. </w:t>
      </w:r>
      <w:r>
        <w:rPr>
          <w:rStyle w:val="CharSectno"/>
        </w:rPr>
        <w:t>5</w:t>
      </w:r>
      <w:r>
        <w:rPr>
          <w:snapToGrid w:val="0"/>
        </w:rPr>
        <w:t>.83(2)(d)</w:t>
      </w:r>
      <w:bookmarkEnd w:id="198"/>
      <w:bookmarkEnd w:id="199"/>
      <w:bookmarkEnd w:id="200"/>
      <w:bookmarkEnd w:id="201"/>
      <w:r>
        <w:rPr>
          <w:snapToGrid w:val="0"/>
        </w:rPr>
        <w:t xml:space="preserve"> </w:t>
      </w:r>
    </w:p>
    <w:p>
      <w:pPr>
        <w:pStyle w:val="Subsection"/>
        <w:spacing w:before="120"/>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202" w:name="_Toc12955313"/>
      <w:bookmarkStart w:id="203" w:name="_Toc12955600"/>
      <w:bookmarkStart w:id="204" w:name="_Toc112152215"/>
      <w:bookmarkStart w:id="205" w:name="_Toc153784561"/>
      <w:r>
        <w:rPr>
          <w:rStyle w:val="CharSectno"/>
        </w:rPr>
        <w:t>27</w:t>
      </w:r>
      <w:r>
        <w:rPr>
          <w:snapToGrid w:val="0"/>
        </w:rPr>
        <w:t>.</w:t>
      </w:r>
      <w:r>
        <w:rPr>
          <w:snapToGrid w:val="0"/>
        </w:rPr>
        <w:tab/>
        <w:t>Amount of debt up to which disclosure of the liability to pay the debt is not required —</w:t>
      </w:r>
      <w:del w:id="206" w:author="Master Repository Process" w:date="2021-08-29T00:50:00Z">
        <w:r>
          <w:rPr>
            <w:snapToGrid w:val="0"/>
          </w:rPr>
          <w:delText> </w:delText>
        </w:r>
      </w:del>
      <w:ins w:id="207" w:author="Master Repository Process" w:date="2021-08-29T00:50:00Z">
        <w:r>
          <w:rPr>
            <w:snapToGrid w:val="0"/>
          </w:rPr>
          <w:t xml:space="preserve"> </w:t>
        </w:r>
      </w:ins>
      <w:r>
        <w:rPr>
          <w:snapToGrid w:val="0"/>
        </w:rPr>
        <w:t>s.</w:t>
      </w:r>
      <w:del w:id="208" w:author="Master Repository Process" w:date="2021-08-29T00:50:00Z">
        <w:r>
          <w:rPr>
            <w:snapToGrid w:val="0"/>
          </w:rPr>
          <w:delText xml:space="preserve"> </w:delText>
        </w:r>
      </w:del>
      <w:ins w:id="209" w:author="Master Repository Process" w:date="2021-08-29T00:50:00Z">
        <w:r>
          <w:rPr>
            <w:snapToGrid w:val="0"/>
          </w:rPr>
          <w:t> </w:t>
        </w:r>
      </w:ins>
      <w:r>
        <w:rPr>
          <w:rStyle w:val="CharSectno"/>
        </w:rPr>
        <w:t>5</w:t>
      </w:r>
      <w:r>
        <w:rPr>
          <w:snapToGrid w:val="0"/>
        </w:rPr>
        <w:t>.85(2)(a)</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210" w:name="_Toc12955314"/>
      <w:bookmarkStart w:id="211" w:name="_Toc12955601"/>
      <w:bookmarkStart w:id="212" w:name="_Toc112152216"/>
      <w:bookmarkStart w:id="213" w:name="_Toc153784562"/>
      <w:r>
        <w:rPr>
          <w:rStyle w:val="CharSectno"/>
        </w:rPr>
        <w:t>28</w:t>
      </w:r>
      <w:r>
        <w:rPr>
          <w:snapToGrid w:val="0"/>
        </w:rPr>
        <w:t>.</w:t>
      </w:r>
      <w:r>
        <w:rPr>
          <w:snapToGrid w:val="0"/>
        </w:rPr>
        <w:tab/>
        <w:t>Register of financial interests — s. 5.88(2)</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register of financial interests is to be in a form that sets out — </w:t>
      </w:r>
    </w:p>
    <w:p>
      <w:pPr>
        <w:pStyle w:val="Indenta"/>
        <w:rPr>
          <w:snapToGrid w:val="0"/>
        </w:rPr>
      </w:pPr>
      <w:r>
        <w:rPr>
          <w:snapToGrid w:val="0"/>
        </w:rPr>
        <w:tab/>
        <w:t>(a)</w:t>
      </w:r>
      <w:r>
        <w:rPr>
          <w:snapToGrid w:val="0"/>
        </w:rPr>
        <w:tab/>
        <w:t>in relation to each disclosure made under section 5.65, 5.70 or 5.71 —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 xml:space="preserve">the nature of the interest disclosed; </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rPr>
          <w:snapToGrid w:val="0"/>
        </w:rPr>
      </w:pPr>
      <w:bookmarkStart w:id="214" w:name="_Toc12955315"/>
      <w:bookmarkStart w:id="215" w:name="_Toc12955602"/>
      <w:bookmarkStart w:id="216" w:name="_Toc112152217"/>
      <w:bookmarkStart w:id="217" w:name="_Toc153784563"/>
      <w:r>
        <w:rPr>
          <w:rStyle w:val="CharSectno"/>
        </w:rPr>
        <w:t>29</w:t>
      </w:r>
      <w:r>
        <w:rPr>
          <w:snapToGrid w:val="0"/>
        </w:rPr>
        <w:t>.</w:t>
      </w:r>
      <w:r>
        <w:rPr>
          <w:snapToGrid w:val="0"/>
        </w:rPr>
        <w:tab/>
        <w:t>Information to be available for public inspection — s. 5.94</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Subject to subregulation (2), the information prescribed for the purposes of section 5.94(u)(ii) is — </w:t>
      </w:r>
    </w:p>
    <w:p>
      <w:pPr>
        <w:pStyle w:val="Indenta"/>
        <w:rPr>
          <w:snapToGrid w:val="0"/>
        </w:rPr>
      </w:pPr>
      <w:r>
        <w:rPr>
          <w:snapToGrid w:val="0"/>
        </w:rPr>
        <w:tab/>
        <w:t>(a)</w:t>
      </w:r>
      <w:r>
        <w:rPr>
          <w:snapToGrid w:val="0"/>
        </w:rPr>
        <w:tab/>
        <w:t xml:space="preserve">the information contained in a register to which section 5.18 applies; </w:t>
      </w:r>
    </w:p>
    <w:p>
      <w:pPr>
        <w:pStyle w:val="Indenta"/>
        <w:rPr>
          <w:snapToGrid w:val="0"/>
        </w:rPr>
      </w:pPr>
      <w:r>
        <w:rPr>
          <w:snapToGrid w:val="0"/>
        </w:rPr>
        <w:tab/>
        <w:t>(b)</w:t>
      </w:r>
      <w:r>
        <w:rPr>
          <w:snapToGrid w:val="0"/>
        </w:rPr>
        <w:tab/>
        <w:t>the information contained in a register to which section 5.46(1) applies;</w:t>
      </w:r>
    </w:p>
    <w:p>
      <w:pPr>
        <w:pStyle w:val="Indenta"/>
      </w:pPr>
      <w:r>
        <w:tab/>
        <w:t>(ba)</w:t>
      </w:r>
      <w:r>
        <w:tab/>
        <w:t xml:space="preserve">the information contained in an electoral gift register established and maintained under regulation 30G(1) of the </w:t>
      </w:r>
      <w:r>
        <w:rPr>
          <w:i/>
        </w:rPr>
        <w:t>Local Government (Elections) Regulations 1997</w:t>
      </w:r>
      <w:r>
        <w:t>;</w:t>
      </w:r>
    </w:p>
    <w:p>
      <w:pPr>
        <w:pStyle w:val="Indenta"/>
        <w:rPr>
          <w:snapToGrid w:val="0"/>
        </w:rPr>
      </w:pPr>
      <w:r>
        <w:tab/>
        <w:t>(bb)</w:t>
      </w:r>
      <w:r>
        <w:tab/>
        <w:t>the information contained in a register of token gifts referred to in regulation 34B(3);</w:t>
      </w:r>
    </w:p>
    <w:p>
      <w:pPr>
        <w:pStyle w:val="Indenta"/>
      </w:pPr>
      <w:r>
        <w:tab/>
        <w:t>(bc)</w:t>
      </w:r>
      <w:r>
        <w:tab/>
        <w:t xml:space="preserve">details of a regional price preference policy adopted in accordance with Part 4A of the </w:t>
      </w:r>
      <w:r>
        <w:rPr>
          <w:i/>
        </w:rPr>
        <w:t>Local Government (Functions and General) Regulations 1996</w:t>
      </w:r>
      <w:r>
        <w:t>;</w:t>
      </w:r>
    </w:p>
    <w:p>
      <w:pPr>
        <w:pStyle w:val="Indenta"/>
        <w:rPr>
          <w:snapToGrid w:val="0"/>
        </w:rPr>
      </w:pPr>
      <w:r>
        <w:rPr>
          <w:snapToGrid w:val="0"/>
        </w:rPr>
        <w:tab/>
        <w:t>(c)</w:t>
      </w:r>
      <w:r>
        <w:rPr>
          <w:snapToGrid w:val="0"/>
        </w:rPr>
        <w:tab/>
        <w:t>unconfirmed minutes of council or committee meetings;</w:t>
      </w:r>
    </w:p>
    <w:p>
      <w:pPr>
        <w:pStyle w:val="Indenta"/>
        <w:rPr>
          <w:snapToGrid w:val="0"/>
        </w:rPr>
      </w:pPr>
      <w:r>
        <w:rPr>
          <w:snapToGrid w:val="0"/>
        </w:rPr>
        <w:tab/>
        <w:t>(d)</w:t>
      </w:r>
      <w:r>
        <w:rPr>
          <w:snapToGrid w:val="0"/>
        </w:rPr>
        <w:tab/>
        <w:t>notice papers and agenda relating to any council or committee meeting and reports and other documents which — </w:t>
      </w:r>
    </w:p>
    <w:p>
      <w:pPr>
        <w:pStyle w:val="Indenti"/>
        <w:rPr>
          <w:snapToGrid w:val="0"/>
        </w:rPr>
      </w:pPr>
      <w:r>
        <w:rPr>
          <w:snapToGrid w:val="0"/>
        </w:rPr>
        <w:tab/>
        <w:t>(i)</w:t>
      </w:r>
      <w:r>
        <w:rPr>
          <w:snapToGrid w:val="0"/>
        </w:rPr>
        <w:tab/>
        <w:t xml:space="preserve">are to be tabled at the meeting; or </w:t>
      </w:r>
    </w:p>
    <w:p>
      <w:pPr>
        <w:pStyle w:val="Indenti"/>
        <w:rPr>
          <w:snapToGrid w:val="0"/>
        </w:rPr>
      </w:pPr>
      <w:r>
        <w:rPr>
          <w:snapToGrid w:val="0"/>
        </w:rPr>
        <w:tab/>
        <w:t>(ii)</w:t>
      </w:r>
      <w:r>
        <w:rPr>
          <w:snapToGrid w:val="0"/>
        </w:rPr>
        <w:tab/>
        <w:t>have been produced by the local government or a committee for presentation at the meeting,</w:t>
      </w:r>
    </w:p>
    <w:p>
      <w:pPr>
        <w:pStyle w:val="Indenta"/>
        <w:rPr>
          <w:snapToGrid w:val="0"/>
        </w:rPr>
      </w:pPr>
      <w:r>
        <w:rPr>
          <w:snapToGrid w:val="0"/>
        </w:rPr>
        <w:tab/>
      </w:r>
      <w:r>
        <w:rPr>
          <w:snapToGrid w:val="0"/>
        </w:rPr>
        <w:tab/>
        <w:t>and which have been made available to members of the council or committee for the meeting;</w:t>
      </w:r>
    </w:p>
    <w:p>
      <w:pPr>
        <w:pStyle w:val="Indenta"/>
        <w:rPr>
          <w:snapToGrid w:val="0"/>
        </w:rPr>
      </w:pPr>
      <w:r>
        <w:rPr>
          <w:snapToGrid w:val="0"/>
        </w:rPr>
        <w:tab/>
        <w:t>(e)</w:t>
      </w:r>
      <w:r>
        <w:rPr>
          <w:snapToGrid w:val="0"/>
        </w:rPr>
        <w:tab/>
        <w:t xml:space="preserve">the information contained in a tenders register kept under the </w:t>
      </w:r>
      <w:r>
        <w:rPr>
          <w:i/>
          <w:snapToGrid w:val="0"/>
        </w:rPr>
        <w:t xml:space="preserve">Local Government (Functions and </w:t>
      </w:r>
      <w:del w:id="218" w:author="Master Repository Process" w:date="2021-08-29T00:50:00Z">
        <w:r>
          <w:rPr>
            <w:i/>
            <w:snapToGrid w:val="0"/>
          </w:rPr>
          <w:delText>Miscellaneous</w:delText>
        </w:r>
      </w:del>
      <w:ins w:id="219" w:author="Master Repository Process" w:date="2021-08-29T00:50:00Z">
        <w:r>
          <w:rPr>
            <w:i/>
            <w:snapToGrid w:val="0"/>
          </w:rPr>
          <w:t>General</w:t>
        </w:r>
      </w:ins>
      <w:r>
        <w:rPr>
          <w:i/>
          <w:snapToGrid w:val="0"/>
        </w:rPr>
        <w:t>)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w:t>
      </w:r>
    </w:p>
    <w:p>
      <w:pPr>
        <w:pStyle w:val="Heading5"/>
      </w:pPr>
      <w:bookmarkStart w:id="220" w:name="_Toc112152218"/>
      <w:bookmarkStart w:id="221" w:name="_Toc153784564"/>
      <w:bookmarkStart w:id="222" w:name="_Toc12955316"/>
      <w:bookmarkStart w:id="223" w:name="_Toc12955603"/>
      <w:r>
        <w:rPr>
          <w:rStyle w:val="CharSectno"/>
        </w:rPr>
        <w:t>29A</w:t>
      </w:r>
      <w:r>
        <w:t>.</w:t>
      </w:r>
      <w:r>
        <w:tab/>
        <w:t>Limits on right to inspect local government information —</w:t>
      </w:r>
      <w:del w:id="224" w:author="Master Repository Process" w:date="2021-08-29T00:50:00Z">
        <w:r>
          <w:delText> </w:delText>
        </w:r>
      </w:del>
      <w:ins w:id="225" w:author="Master Repository Process" w:date="2021-08-29T00:50:00Z">
        <w:r>
          <w:t xml:space="preserve"> </w:t>
        </w:r>
      </w:ins>
      <w:r>
        <w:t>s. 5.95</w:t>
      </w:r>
      <w:bookmarkEnd w:id="220"/>
      <w:bookmarkEnd w:id="221"/>
    </w:p>
    <w:p>
      <w:pPr>
        <w:pStyle w:val="Subsection"/>
      </w:pPr>
      <w:r>
        <w:tab/>
        <w:t>(1)</w:t>
      </w:r>
      <w:r>
        <w:tab/>
        <w:t xml:space="preserve">For the purposes of section 5.95(5)(b), the following information is prescribed as being of a private nature —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 xml:space="preserve">For the purposes of section 5.95(6), the following information is prescribed as information that is confidential but that, under section 5.95(7), may be available for inspection if a local government so resolves — </w:t>
      </w:r>
    </w:p>
    <w:p>
      <w:pPr>
        <w:pStyle w:val="Indenta"/>
      </w:pPr>
      <w:r>
        <w:tab/>
        <w:t>(a)</w:t>
      </w:r>
      <w:r>
        <w:tab/>
        <w:t>information referred to in section 5.94 that would reveal the determination by the local government of a price for the sale or purchase of property by the local government;</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spacing w:before="180"/>
        <w:rPr>
          <w:snapToGrid w:val="0"/>
        </w:rPr>
      </w:pPr>
      <w:bookmarkStart w:id="226" w:name="_Toc112152219"/>
      <w:bookmarkStart w:id="227" w:name="_Toc153784565"/>
      <w:r>
        <w:rPr>
          <w:rStyle w:val="CharSectno"/>
        </w:rPr>
        <w:t>30</w:t>
      </w:r>
      <w:r>
        <w:rPr>
          <w:snapToGrid w:val="0"/>
        </w:rPr>
        <w:t>.</w:t>
      </w:r>
      <w:r>
        <w:rPr>
          <w:snapToGrid w:val="0"/>
        </w:rPr>
        <w:tab/>
        <w:t>Meeting attendance fees — s. 5.98(1)</w:t>
      </w:r>
      <w:bookmarkEnd w:id="222"/>
      <w:bookmarkEnd w:id="223"/>
      <w:bookmarkEnd w:id="226"/>
      <w:bookmarkEnd w:id="227"/>
      <w:r>
        <w:rPr>
          <w:snapToGrid w:val="0"/>
        </w:rPr>
        <w:t xml:space="preserve"> </w:t>
      </w:r>
    </w:p>
    <w:p>
      <w:pPr>
        <w:pStyle w:val="Subsection"/>
        <w:spacing w:before="120"/>
        <w:rPr>
          <w:snapToGrid w:val="0"/>
        </w:rPr>
      </w:pPr>
      <w:r>
        <w:rPr>
          <w:snapToGrid w:val="0"/>
        </w:rPr>
        <w:tab/>
        <w:t>(1)</w:t>
      </w:r>
      <w:r>
        <w:rPr>
          <w:snapToGrid w:val="0"/>
        </w:rPr>
        <w:tab/>
        <w:t>For the purposes of section 5.98(1), subject to subregulation (3) — </w:t>
      </w:r>
    </w:p>
    <w:p>
      <w:pPr>
        <w:pStyle w:val="Indenta"/>
        <w:rPr>
          <w:snapToGrid w:val="0"/>
        </w:rPr>
      </w:pPr>
      <w:r>
        <w:rPr>
          <w:snapToGrid w:val="0"/>
        </w:rPr>
        <w:tab/>
        <w:t>(a)</w:t>
      </w:r>
      <w:r>
        <w:rPr>
          <w:snapToGrid w:val="0"/>
        </w:rPr>
        <w:tab/>
        <w:t>the minimum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rPr>
          <w:snapToGrid w:val="0"/>
        </w:rPr>
      </w:pPr>
      <w:r>
        <w:rPr>
          <w:snapToGrid w:val="0"/>
        </w:rPr>
        <w:tab/>
        <w:t>(3)</w:t>
      </w:r>
      <w:r>
        <w:rPr>
          <w:snapToGrid w:val="0"/>
        </w:rPr>
        <w:tab/>
        <w:t>The total of fees paid to a council member other than —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for attending meetings (whether of the council or of any committee) in each year is not to exceed $7 000.</w:t>
      </w:r>
    </w:p>
    <w:p>
      <w:pPr>
        <w:pStyle w:val="Subsection"/>
        <w:rPr>
          <w:snapToGrid w:val="0"/>
        </w:rPr>
      </w:pPr>
      <w:r>
        <w:rPr>
          <w:snapToGrid w:val="0"/>
        </w:rPr>
        <w:tab/>
        <w:t>(4)</w:t>
      </w:r>
      <w:r>
        <w:rPr>
          <w:snapToGrid w:val="0"/>
        </w:rPr>
        <w:tab/>
        <w:t>For the purposes of section 5.98(1), subject to subregulation (5) — </w:t>
      </w:r>
    </w:p>
    <w:p>
      <w:pPr>
        <w:pStyle w:val="Indenta"/>
        <w:rPr>
          <w:snapToGrid w:val="0"/>
        </w:rPr>
      </w:pPr>
      <w:r>
        <w:rPr>
          <w:snapToGrid w:val="0"/>
        </w:rPr>
        <w:tab/>
        <w:t>(a)</w:t>
      </w:r>
      <w:r>
        <w:rPr>
          <w:snapToGrid w:val="0"/>
        </w:rPr>
        <w:tab/>
        <w:t>the minimum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 </w:t>
      </w:r>
    </w:p>
    <w:p>
      <w:pPr>
        <w:pStyle w:val="Indenti"/>
        <w:rPr>
          <w:snapToGrid w:val="0"/>
        </w:rPr>
      </w:pPr>
      <w:r>
        <w:rPr>
          <w:snapToGrid w:val="0"/>
        </w:rPr>
        <w:tab/>
        <w:t>(i)</w:t>
      </w:r>
      <w:r>
        <w:rPr>
          <w:snapToGrid w:val="0"/>
        </w:rPr>
        <w:tab/>
        <w:t xml:space="preserve">for the mayor or president; or </w:t>
      </w:r>
    </w:p>
    <w:p>
      <w:pPr>
        <w:pStyle w:val="Indenti"/>
        <w:rPr>
          <w:snapToGrid w:val="0"/>
        </w:rPr>
      </w:pPr>
      <w:r>
        <w:rPr>
          <w:snapToGrid w:val="0"/>
        </w:rPr>
        <w:tab/>
        <w:t>(ii)</w:t>
      </w:r>
      <w:r>
        <w:rPr>
          <w:snapToGrid w:val="0"/>
        </w:rPr>
        <w:tab/>
        <w:t xml:space="preserve">in the case of a regional local government, for the chairman, </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 </w:t>
      </w:r>
    </w:p>
    <w:p>
      <w:pPr>
        <w:pStyle w:val="Indenta"/>
        <w:rPr>
          <w:snapToGrid w:val="0"/>
        </w:rPr>
      </w:pPr>
      <w:r>
        <w:rPr>
          <w:snapToGrid w:val="0"/>
        </w:rPr>
        <w:tab/>
        <w:t>(a)</w:t>
      </w:r>
      <w:r>
        <w:rPr>
          <w:snapToGrid w:val="0"/>
        </w:rPr>
        <w:tab/>
        <w:t xml:space="preserve">to the mayor or president; or </w:t>
      </w:r>
    </w:p>
    <w:p>
      <w:pPr>
        <w:pStyle w:val="Indenta"/>
        <w:keepNext/>
        <w:keepLines/>
        <w:rPr>
          <w:snapToGrid w:val="0"/>
        </w:rPr>
      </w:pPr>
      <w:r>
        <w:rPr>
          <w:snapToGrid w:val="0"/>
        </w:rPr>
        <w:tab/>
        <w:t>(b)</w:t>
      </w:r>
      <w:r>
        <w:rPr>
          <w:snapToGrid w:val="0"/>
        </w:rPr>
        <w:tab/>
        <w:t xml:space="preserve">in the case of a regional local government, to the chairman, </w:t>
      </w:r>
    </w:p>
    <w:p>
      <w:pPr>
        <w:pStyle w:val="Subsection"/>
        <w:rPr>
          <w:snapToGrid w:val="0"/>
        </w:rPr>
      </w:pPr>
      <w:r>
        <w:rPr>
          <w:snapToGrid w:val="0"/>
        </w:rPr>
        <w:tab/>
      </w:r>
      <w:r>
        <w:rPr>
          <w:snapToGrid w:val="0"/>
        </w:rPr>
        <w:tab/>
        <w:t>for attending meetings (whether of the council or of any committee) in each year is not to exceed $14 000.</w:t>
      </w:r>
    </w:p>
    <w:p>
      <w:pPr>
        <w:pStyle w:val="Footnotesection"/>
      </w:pPr>
      <w:r>
        <w:tab/>
        <w:t>[Regulation 30 amended in Gazette 23 Apr 1999 p. 1719; 31 Mar 2005 p. 1034.]</w:t>
      </w:r>
    </w:p>
    <w:p>
      <w:pPr>
        <w:pStyle w:val="Heading5"/>
        <w:rPr>
          <w:snapToGrid w:val="0"/>
        </w:rPr>
      </w:pPr>
      <w:bookmarkStart w:id="228" w:name="_Toc12955317"/>
      <w:bookmarkStart w:id="229" w:name="_Toc12955604"/>
      <w:bookmarkStart w:id="230" w:name="_Toc112152220"/>
      <w:bookmarkStart w:id="231" w:name="_Toc153784566"/>
      <w:r>
        <w:rPr>
          <w:rStyle w:val="CharSectno"/>
        </w:rPr>
        <w:t>31</w:t>
      </w:r>
      <w:r>
        <w:rPr>
          <w:snapToGrid w:val="0"/>
        </w:rPr>
        <w:t>.</w:t>
      </w:r>
      <w:r>
        <w:rPr>
          <w:snapToGrid w:val="0"/>
        </w:rPr>
        <w:tab/>
        <w:t>Expenses that are to be reimbursed — s. 5.98(2)(a) and (3)</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For the purposes of section 5.98(2)(a), the kinds of expenses that are to be reimbursed by all local governments are —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232" w:name="_Toc12955318"/>
      <w:bookmarkStart w:id="233" w:name="_Toc12955605"/>
      <w:r>
        <w:tab/>
        <w:t>[Regulation 31 amended in Gazette 31 Mar 2005 p. 1034.]</w:t>
      </w:r>
    </w:p>
    <w:p>
      <w:pPr>
        <w:pStyle w:val="Heading5"/>
        <w:rPr>
          <w:snapToGrid w:val="0"/>
        </w:rPr>
      </w:pPr>
      <w:bookmarkStart w:id="234" w:name="_Toc112152221"/>
      <w:bookmarkStart w:id="235" w:name="_Toc153784567"/>
      <w:r>
        <w:rPr>
          <w:rStyle w:val="CharSectno"/>
        </w:rPr>
        <w:t>32</w:t>
      </w:r>
      <w:r>
        <w:rPr>
          <w:snapToGrid w:val="0"/>
        </w:rPr>
        <w:t>.</w:t>
      </w:r>
      <w:r>
        <w:rPr>
          <w:snapToGrid w:val="0"/>
        </w:rPr>
        <w:tab/>
        <w:t>Expenses that may be approved for reimbursement —s. </w:t>
      </w:r>
      <w:r>
        <w:rPr>
          <w:rStyle w:val="CharSectno"/>
        </w:rPr>
        <w:t>5</w:t>
      </w:r>
      <w:r>
        <w:rPr>
          <w:snapToGrid w:val="0"/>
        </w:rPr>
        <w:t>.98(2)(b) and (3)</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 </w:t>
      </w:r>
    </w:p>
    <w:p>
      <w:pPr>
        <w:pStyle w:val="Indenta"/>
        <w:rPr>
          <w:snapToGrid w:val="0"/>
        </w:rPr>
      </w:pPr>
      <w:r>
        <w:rPr>
          <w:snapToGrid w:val="0"/>
        </w:rPr>
        <w:tab/>
        <w:t>(a)</w:t>
      </w:r>
      <w:r>
        <w:rPr>
          <w:snapToGrid w:val="0"/>
        </w:rPr>
        <w:tab/>
        <w:t xml:space="preserve">an expense incurred by a council member in performing a function under the express authority of the local government; </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236" w:name="_Toc12955319"/>
      <w:bookmarkStart w:id="237" w:name="_Toc12955606"/>
      <w:bookmarkStart w:id="238" w:name="_Toc112152222"/>
      <w:bookmarkStart w:id="239" w:name="_Toc153784568"/>
      <w:r>
        <w:rPr>
          <w:rStyle w:val="CharSectno"/>
        </w:rPr>
        <w:t>33</w:t>
      </w:r>
      <w:r>
        <w:rPr>
          <w:snapToGrid w:val="0"/>
        </w:rPr>
        <w:t>.</w:t>
      </w:r>
      <w:r>
        <w:rPr>
          <w:snapToGrid w:val="0"/>
        </w:rPr>
        <w:tab/>
        <w:t xml:space="preserve">Annual local government allowance for mayors or presidents — s. </w:t>
      </w:r>
      <w:r>
        <w:rPr>
          <w:rStyle w:val="CharSectno"/>
        </w:rPr>
        <w:t>5</w:t>
      </w:r>
      <w:r>
        <w:rPr>
          <w:snapToGrid w:val="0"/>
        </w:rPr>
        <w:t>.98(5)</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For the purposes of section 5.98(5) —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rPr>
          <w:b/>
        </w:rPr>
        <w:tab/>
        <w:t>“</w:t>
      </w:r>
      <w:r>
        <w:rPr>
          <w:rStyle w:val="CharDefText"/>
        </w:rPr>
        <w:t>operating revenue</w:t>
      </w:r>
      <w:r>
        <w:rPr>
          <w:b/>
        </w:rPr>
        <w:t>”</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240" w:name="_Toc12955320"/>
      <w:bookmarkStart w:id="241" w:name="_Toc12955607"/>
      <w:bookmarkStart w:id="242" w:name="_Toc112152223"/>
      <w:bookmarkStart w:id="243" w:name="_Toc153784569"/>
      <w:r>
        <w:rPr>
          <w:rStyle w:val="CharSectno"/>
        </w:rPr>
        <w:t>33A</w:t>
      </w:r>
      <w:r>
        <w:t>.</w:t>
      </w:r>
      <w:r>
        <w:tab/>
        <w:t>Annual local government allowance for deputies — s. 5.98A</w:t>
      </w:r>
      <w:bookmarkEnd w:id="240"/>
      <w:bookmarkEnd w:id="241"/>
      <w:bookmarkEnd w:id="242"/>
      <w:bookmarkEnd w:id="243"/>
    </w:p>
    <w:p>
      <w:pPr>
        <w:pStyle w:val="Subsection"/>
        <w:spacing w:before="120"/>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244" w:name="_Toc12955321"/>
      <w:bookmarkStart w:id="245" w:name="_Toc12955608"/>
      <w:bookmarkStart w:id="246" w:name="_Toc112152224"/>
      <w:bookmarkStart w:id="247" w:name="_Toc153784570"/>
      <w:r>
        <w:rPr>
          <w:rStyle w:val="CharSectno"/>
        </w:rPr>
        <w:t>34</w:t>
      </w:r>
      <w:r>
        <w:rPr>
          <w:snapToGrid w:val="0"/>
        </w:rPr>
        <w:t>.</w:t>
      </w:r>
      <w:r>
        <w:rPr>
          <w:snapToGrid w:val="0"/>
        </w:rPr>
        <w:tab/>
        <w:t>Annual attendance fees — s. 5.99</w:t>
      </w:r>
      <w:bookmarkEnd w:id="244"/>
      <w:bookmarkEnd w:id="245"/>
      <w:bookmarkEnd w:id="246"/>
      <w:bookmarkEnd w:id="247"/>
      <w:r>
        <w:rPr>
          <w:snapToGrid w:val="0"/>
        </w:rPr>
        <w:t xml:space="preserve"> </w:t>
      </w:r>
    </w:p>
    <w:p>
      <w:pPr>
        <w:pStyle w:val="Subsection"/>
        <w:keepNext/>
        <w:keepLines/>
        <w:spacing w:before="120"/>
        <w:rPr>
          <w:snapToGrid w:val="0"/>
        </w:rPr>
      </w:pPr>
      <w:r>
        <w:rPr>
          <w:snapToGrid w:val="0"/>
        </w:rPr>
        <w:tab/>
        <w:t>(1)</w:t>
      </w:r>
      <w:r>
        <w:rPr>
          <w:snapToGrid w:val="0"/>
        </w:rPr>
        <w:tab/>
        <w:t>For the purposes of section 5.99 — </w:t>
      </w:r>
    </w:p>
    <w:p>
      <w:pPr>
        <w:pStyle w:val="Indenta"/>
        <w:rPr>
          <w:snapToGrid w:val="0"/>
        </w:rPr>
      </w:pPr>
      <w:r>
        <w:rPr>
          <w:snapToGrid w:val="0"/>
        </w:rPr>
        <w:tab/>
        <w:t>(a)</w:t>
      </w:r>
      <w:r>
        <w:rPr>
          <w:snapToGrid w:val="0"/>
        </w:rPr>
        <w:tab/>
        <w:t>the minimum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rPr>
          <w:snapToGrid w:val="0"/>
        </w:rPr>
      </w:pPr>
      <w:r>
        <w:rPr>
          <w:snapToGrid w:val="0"/>
        </w:rPr>
        <w:tab/>
        <w:t>(2)</w:t>
      </w:r>
      <w:r>
        <w:rPr>
          <w:snapToGrid w:val="0"/>
        </w:rPr>
        <w:tab/>
        <w:t>For the purposes of section 5.99 — </w:t>
      </w:r>
    </w:p>
    <w:p>
      <w:pPr>
        <w:pStyle w:val="Indenta"/>
        <w:rPr>
          <w:snapToGrid w:val="0"/>
        </w:rPr>
      </w:pPr>
      <w:r>
        <w:rPr>
          <w:snapToGrid w:val="0"/>
        </w:rPr>
        <w:tab/>
        <w:t>(a)</w:t>
      </w:r>
      <w:r>
        <w:rPr>
          <w:snapToGrid w:val="0"/>
        </w:rPr>
        <w:tab/>
        <w:t>the minimum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248" w:name="_Toc12955322"/>
      <w:bookmarkStart w:id="249" w:name="_Toc12955609"/>
      <w:bookmarkStart w:id="250" w:name="_Toc112152225"/>
      <w:bookmarkStart w:id="251" w:name="_Toc153784571"/>
      <w:r>
        <w:rPr>
          <w:rStyle w:val="CharSectno"/>
        </w:rPr>
        <w:t>34A</w:t>
      </w:r>
      <w:r>
        <w:t>.</w:t>
      </w:r>
      <w:r>
        <w:tab/>
        <w:t>Allowances in lieu of reimbursement of telecommunications expenses — s. 5.99A</w:t>
      </w:r>
      <w:bookmarkEnd w:id="248"/>
      <w:bookmarkEnd w:id="249"/>
      <w:bookmarkEnd w:id="250"/>
      <w:bookmarkEnd w:id="251"/>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252" w:name="_Toc112152226"/>
      <w:bookmarkStart w:id="253" w:name="_Toc153784572"/>
      <w:bookmarkStart w:id="254" w:name="_Toc12955323"/>
      <w:bookmarkStart w:id="255" w:name="_Toc12955610"/>
      <w:r>
        <w:rPr>
          <w:rStyle w:val="CharSectno"/>
        </w:rPr>
        <w:t>34AA</w:t>
      </w:r>
      <w:r>
        <w:t>.</w:t>
      </w:r>
      <w:r>
        <w:tab/>
        <w:t>Allowances in lieu of reimbursement of information technology expenses — s. 5.99A</w:t>
      </w:r>
      <w:bookmarkEnd w:id="252"/>
      <w:bookmarkEnd w:id="253"/>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256" w:name="_Toc112152227"/>
      <w:bookmarkStart w:id="257" w:name="_Toc153784573"/>
      <w:r>
        <w:rPr>
          <w:rStyle w:val="CharSectno"/>
        </w:rPr>
        <w:t>34AB</w:t>
      </w:r>
      <w:r>
        <w:t>.</w:t>
      </w:r>
      <w:r>
        <w:tab/>
        <w:t>Allowances in lieu of reimbursement of travelling and accommodation expenses — s. 5.99A</w:t>
      </w:r>
      <w:bookmarkEnd w:id="256"/>
      <w:bookmarkEnd w:id="257"/>
    </w:p>
    <w:p>
      <w:pPr>
        <w:pStyle w:val="Subsection"/>
        <w:spacing w:before="120"/>
      </w:pPr>
      <w:r>
        <w:tab/>
        <w:t>(1)</w:t>
      </w:r>
      <w:r>
        <w:tab/>
        <w:t xml:space="preserve">For the purposes of section 5.99A(b), the maximum annual allowance for travelling and accommodation expenses — </w:t>
      </w:r>
    </w:p>
    <w:p>
      <w:pPr>
        <w:pStyle w:val="Indenta"/>
      </w:pPr>
      <w:r>
        <w:tab/>
        <w:t>(a)</w:t>
      </w:r>
      <w:r>
        <w:tab/>
        <w:t xml:space="preserve">prescribed as being a kind of expense to be reimbursed by all local governments under regulation 31; or </w:t>
      </w:r>
    </w:p>
    <w:p>
      <w:pPr>
        <w:pStyle w:val="Indenta"/>
      </w:pPr>
      <w:r>
        <w:tab/>
        <w:t>(b)</w:t>
      </w:r>
      <w:r>
        <w:tab/>
        <w:t>that have been approved for reimbursement under regulation 32,</w:t>
      </w:r>
    </w:p>
    <w:p>
      <w:pPr>
        <w:pStyle w:val="Subsection"/>
        <w:spacing w:before="120"/>
      </w:pPr>
      <w:r>
        <w:tab/>
      </w:r>
      <w:r>
        <w:tab/>
        <w:t>is the same amount as the amount to which a person would be entitled for those expenses in the same circumstances under the Public Service Award.</w:t>
      </w:r>
    </w:p>
    <w:p>
      <w:pPr>
        <w:pStyle w:val="Subsection"/>
      </w:pPr>
      <w:r>
        <w:tab/>
        <w:t>(2)</w:t>
      </w:r>
      <w:r>
        <w:tab/>
        <w:t xml:space="preserve">In this regulation — </w:t>
      </w:r>
    </w:p>
    <w:p>
      <w:pPr>
        <w:pStyle w:val="Defstart"/>
      </w:pPr>
      <w:r>
        <w:rPr>
          <w:b/>
        </w:rPr>
        <w:tab/>
        <w:t>“</w:t>
      </w:r>
      <w:r>
        <w:rPr>
          <w:rStyle w:val="CharDefText"/>
        </w:rPr>
        <w:t>Public Service Award</w:t>
      </w:r>
      <w:r>
        <w:rPr>
          <w:b/>
        </w:rPr>
        <w:t>”</w:t>
      </w:r>
      <w:r>
        <w:t xml:space="preserve"> means the </w:t>
      </w:r>
      <w:r>
        <w:rPr>
          <w:i/>
        </w:rPr>
        <w:t>Public Service Award 1992</w:t>
      </w:r>
      <w:r>
        <w:t xml:space="preserve"> issued by the Western Australian Industrial Relations Commission as amended from time to time.</w:t>
      </w:r>
    </w:p>
    <w:p>
      <w:pPr>
        <w:pStyle w:val="Footnotesection"/>
      </w:pPr>
      <w:r>
        <w:tab/>
        <w:t>[Regulation 34AB inserted in Gazette 31 Mar 2005 p. 1035.]</w:t>
      </w:r>
    </w:p>
    <w:p>
      <w:pPr>
        <w:pStyle w:val="Heading5"/>
      </w:pPr>
      <w:bookmarkStart w:id="258" w:name="_Toc112152228"/>
      <w:bookmarkStart w:id="259" w:name="_Toc153784574"/>
      <w:r>
        <w:rPr>
          <w:rStyle w:val="CharSectno"/>
        </w:rPr>
        <w:t>34B</w:t>
      </w:r>
      <w:r>
        <w:t>.</w:t>
      </w:r>
      <w:r>
        <w:tab/>
        <w:t>Codes of conduct (token gifts) — s. 5.103(3)</w:t>
      </w:r>
      <w:bookmarkEnd w:id="254"/>
      <w:bookmarkEnd w:id="255"/>
      <w:bookmarkEnd w:id="258"/>
      <w:bookmarkEnd w:id="259"/>
    </w:p>
    <w:p>
      <w:pPr>
        <w:pStyle w:val="Subsection"/>
      </w:pPr>
      <w:r>
        <w:tab/>
        <w:t>(1)</w:t>
      </w:r>
      <w:r>
        <w:tab/>
        <w:t>In this regulation —</w:t>
      </w:r>
    </w:p>
    <w:p>
      <w:pPr>
        <w:pStyle w:val="Defstart"/>
      </w:pPr>
      <w:r>
        <w:tab/>
      </w:r>
      <w:r>
        <w:rPr>
          <w:b/>
        </w:rPr>
        <w:t>“</w:t>
      </w:r>
      <w:r>
        <w:rPr>
          <w:rStyle w:val="CharDefText"/>
        </w:rPr>
        <w:t>gift</w:t>
      </w:r>
      <w:r>
        <w:rPr>
          <w:b/>
        </w:rPr>
        <w:t>”</w:t>
      </w:r>
      <w:r>
        <w:t xml:space="preserve"> does not include — </w:t>
      </w:r>
    </w:p>
    <w:p>
      <w:pPr>
        <w:pStyle w:val="Defpara"/>
      </w:pPr>
      <w:r>
        <w:tab/>
        <w:t>(a)</w:t>
      </w:r>
      <w:r>
        <w:tab/>
        <w:t>a gift from a relative as defined in section 5.74(1);</w:t>
      </w:r>
    </w:p>
    <w:p>
      <w:pPr>
        <w:pStyle w:val="Defpara"/>
      </w:pPr>
      <w:r>
        <w:tab/>
        <w:t>(b)</w:t>
      </w:r>
      <w:r>
        <w:tab/>
        <w:t xml:space="preserve">a gift as defined in regulation 30A of the </w:t>
      </w:r>
      <w:r>
        <w:rPr>
          <w:i/>
        </w:rPr>
        <w:t>Local Government (Elections) Regulations 1997</w:t>
      </w:r>
      <w:r>
        <w:t>;</w:t>
      </w:r>
    </w:p>
    <w:p>
      <w:pPr>
        <w:pStyle w:val="Defpara"/>
      </w:pPr>
      <w:r>
        <w:tab/>
        <w:t>(c)</w:t>
      </w:r>
      <w:r>
        <w:tab/>
        <w:t>an educational or professional benefit conferred on an employee to further or improve the knowledge or skill of the employee by —</w:t>
      </w:r>
    </w:p>
    <w:p>
      <w:pPr>
        <w:pStyle w:val="Defsubpara"/>
      </w:pPr>
      <w:r>
        <w:tab/>
        <w:t>(i)</w:t>
      </w:r>
      <w:r>
        <w:tab/>
        <w:t xml:space="preserve">this State, another State, a Territory, the Commonwealth or </w:t>
      </w:r>
      <w:r>
        <w:rPr>
          <w:spacing w:val="-4"/>
        </w:rPr>
        <w:t>a body established under a written law;</w:t>
      </w:r>
      <w:r>
        <w:t xml:space="preserve"> or </w:t>
      </w:r>
    </w:p>
    <w:p>
      <w:pPr>
        <w:pStyle w:val="Defsubpara"/>
      </w:pPr>
      <w:r>
        <w:tab/>
        <w:t>(ii)</w:t>
      </w:r>
      <w:r>
        <w:tab/>
        <w:t xml:space="preserve">an incorporated association under the </w:t>
      </w:r>
      <w:r>
        <w:rPr>
          <w:i/>
        </w:rPr>
        <w:t>Associations Incorporation Act 1987</w:t>
      </w:r>
      <w:r>
        <w:rPr>
          <w:iCs/>
        </w:rPr>
        <w:t>,</w:t>
      </w:r>
      <w:r>
        <w:t xml:space="preserve"> or a corresponding law of another State or Territory, if the employee is eligible for membership of that body on the basis of tasks he or she performs for the local government;</w:t>
      </w:r>
    </w:p>
    <w:p>
      <w:pPr>
        <w:pStyle w:val="Defstart"/>
      </w:pPr>
      <w:r>
        <w:tab/>
      </w:r>
      <w:r>
        <w:rPr>
          <w:b/>
        </w:rPr>
        <w:t>“</w:t>
      </w:r>
      <w:r>
        <w:rPr>
          <w:rStyle w:val="CharDefText"/>
        </w:rPr>
        <w:t>token gift</w:t>
      </w:r>
      <w:r>
        <w:rPr>
          <w:b/>
        </w:rPr>
        <w:t>”</w:t>
      </w:r>
      <w:r>
        <w:t xml:space="preserve"> means a gift of, or below, a value specified by the particular local government.</w:t>
      </w:r>
    </w:p>
    <w:p>
      <w:pPr>
        <w:pStyle w:val="Subsection"/>
      </w:pPr>
      <w:r>
        <w:tab/>
        <w:t>(2)</w:t>
      </w:r>
      <w:r>
        <w:tab/>
        <w:t>A code of conduct is to contain a requirement that a council member or an employee cannot accept a gift, other than a token gift, from a person who is undertaking, or is likely to undertake, business —</w:t>
      </w:r>
    </w:p>
    <w:p>
      <w:pPr>
        <w:pStyle w:val="Indenta"/>
      </w:pPr>
      <w:r>
        <w:tab/>
        <w:t>(a)</w:t>
      </w:r>
      <w:r>
        <w:tab/>
        <w:t>that requires the person to obtain any authorisation from the local government;</w:t>
      </w:r>
    </w:p>
    <w:p>
      <w:pPr>
        <w:pStyle w:val="Indenta"/>
      </w:pPr>
      <w:r>
        <w:tab/>
        <w:t>(b)</w:t>
      </w:r>
      <w:r>
        <w:tab/>
        <w:t>by way of contract between the person and the local government; or</w:t>
      </w:r>
    </w:p>
    <w:p>
      <w:pPr>
        <w:pStyle w:val="Indenta"/>
      </w:pPr>
      <w:r>
        <w:tab/>
        <w:t>(c)</w:t>
      </w:r>
      <w:r>
        <w:tab/>
        <w:t>by way of providing any service to the local government.</w:t>
      </w:r>
    </w:p>
    <w:p>
      <w:pPr>
        <w:pStyle w:val="Subsection"/>
      </w:pPr>
      <w:r>
        <w:tab/>
        <w:t>(3)</w:t>
      </w:r>
      <w:r>
        <w:tab/>
        <w:t>A code of conduct is to contain a requirement that the CEO is to keep a register of token gifts that are recorded under subregulation (4).</w:t>
      </w:r>
    </w:p>
    <w:p>
      <w:pPr>
        <w:pStyle w:val="Subsection"/>
      </w:pPr>
      <w:r>
        <w:tab/>
        <w:t>(4)</w:t>
      </w:r>
      <w:r>
        <w:tab/>
        <w:t>A code of conduct is to contain a requirement that a council member or an employee who accepts a token gift from a person referred to in subregulation (2) is, subject to subregulation (5), to record —</w:t>
      </w:r>
    </w:p>
    <w:p>
      <w:pPr>
        <w:pStyle w:val="Indenta"/>
      </w:pPr>
      <w:r>
        <w:tab/>
        <w:t>(a)</w:t>
      </w:r>
      <w:r>
        <w:tab/>
        <w:t>the names of the persons who gave, and received, the token gift;</w:t>
      </w:r>
    </w:p>
    <w:p>
      <w:pPr>
        <w:pStyle w:val="Indenta"/>
      </w:pPr>
      <w:r>
        <w:tab/>
        <w:t>(b)</w:t>
      </w:r>
      <w:r>
        <w:tab/>
        <w:t>the date of receipt of the token gift; and</w:t>
      </w:r>
    </w:p>
    <w:p>
      <w:pPr>
        <w:pStyle w:val="Indenta"/>
      </w:pPr>
      <w:r>
        <w:tab/>
        <w:t>(c)</w:t>
      </w:r>
      <w:r>
        <w:tab/>
        <w:t>a description, and the estimated value, of the token gift.</w:t>
      </w:r>
    </w:p>
    <w:p>
      <w:pPr>
        <w:pStyle w:val="Subsection"/>
      </w:pPr>
      <w:r>
        <w:tab/>
        <w:t>(5)</w:t>
      </w:r>
      <w:r>
        <w:tab/>
        <w:t>If the particular local government decides that —</w:t>
      </w:r>
    </w:p>
    <w:p>
      <w:pPr>
        <w:pStyle w:val="Indenta"/>
      </w:pPr>
      <w:r>
        <w:tab/>
        <w:t>(a)</w:t>
      </w:r>
      <w:r>
        <w:tab/>
        <w:t>a specified thing given by way of hospitality; or</w:t>
      </w:r>
    </w:p>
    <w:p>
      <w:pPr>
        <w:pStyle w:val="Indenta"/>
      </w:pPr>
      <w:r>
        <w:tab/>
        <w:t>(b)</w:t>
      </w:r>
      <w:r>
        <w:tab/>
        <w:t>a thing given by way of hospitality that belongs to a specified class of things,</w:t>
      </w:r>
    </w:p>
    <w:p>
      <w:pPr>
        <w:pStyle w:val="Subsection"/>
      </w:pPr>
      <w:r>
        <w:tab/>
      </w:r>
      <w:r>
        <w:tab/>
        <w:t>does not need to be recorded under subregulation (4), the specified thing, and things belonging to the specified class, do not need to be so recorded.</w:t>
      </w:r>
    </w:p>
    <w:p>
      <w:pPr>
        <w:pStyle w:val="Footnotesection"/>
      </w:pPr>
      <w:r>
        <w:tab/>
        <w:t>[Regulation 34B inserted in Gazette 23 Apr 1999 p. 1720</w:t>
      </w:r>
      <w:r>
        <w:noBreakHyphen/>
        <w:t>1; amended in Gazette 31 Mar 2005 p. 1036.]</w:t>
      </w:r>
    </w:p>
    <w:p>
      <w:pPr>
        <w:pStyle w:val="Heading5"/>
      </w:pPr>
      <w:bookmarkStart w:id="260" w:name="_Toc12955324"/>
      <w:bookmarkStart w:id="261" w:name="_Toc12955611"/>
      <w:bookmarkStart w:id="262" w:name="_Toc112152229"/>
      <w:bookmarkStart w:id="263" w:name="_Toc153784575"/>
      <w:r>
        <w:rPr>
          <w:rStyle w:val="CharSectno"/>
        </w:rPr>
        <w:t>34C</w:t>
      </w:r>
      <w:r>
        <w:t>.</w:t>
      </w:r>
      <w:r>
        <w:tab/>
        <w:t>Codes of conduct (disclosure of interests affecting impartiality) — s. 5.103(3)</w:t>
      </w:r>
      <w:bookmarkEnd w:id="260"/>
      <w:bookmarkEnd w:id="261"/>
      <w:bookmarkEnd w:id="262"/>
      <w:bookmarkEnd w:id="263"/>
    </w:p>
    <w:p>
      <w:pPr>
        <w:pStyle w:val="Subsection"/>
      </w:pPr>
      <w:r>
        <w:tab/>
        <w:t>(1)</w:t>
      </w:r>
      <w:r>
        <w:tab/>
        <w:t>In this regulation —</w:t>
      </w:r>
    </w:p>
    <w:p>
      <w:pPr>
        <w:pStyle w:val="Defstart"/>
      </w:pPr>
      <w:r>
        <w:tab/>
      </w:r>
      <w:r>
        <w:rPr>
          <w:b/>
        </w:rPr>
        <w:t>“</w:t>
      </w:r>
      <w:r>
        <w:rPr>
          <w:rStyle w:val="CharDefText"/>
        </w:rPr>
        <w:t>employee</w:t>
      </w:r>
      <w:r>
        <w:rPr>
          <w:b/>
        </w:rPr>
        <w:t>”</w:t>
      </w:r>
      <w:r>
        <w:t xml:space="preserve"> has the meaning given by section 5.70; </w:t>
      </w:r>
    </w:p>
    <w:p>
      <w:pPr>
        <w:pStyle w:val="Defstart"/>
      </w:pPr>
      <w:r>
        <w:tab/>
      </w:r>
      <w:r>
        <w:rPr>
          <w:b/>
        </w:rPr>
        <w:t>“</w:t>
      </w:r>
      <w:r>
        <w:rPr>
          <w:rStyle w:val="CharDefText"/>
        </w:rPr>
        <w:t>interest</w:t>
      </w:r>
      <w:r>
        <w:rPr>
          <w:b/>
        </w:rPr>
        <w:t>”</w:t>
      </w:r>
      <w:r>
        <w:t xml:space="preserve"> means an interest that would give rise to a reasonable belief that the impartiality of the person having the interest would be adversely affected but does not include an interest as referred to in section 5.60.</w:t>
      </w:r>
    </w:p>
    <w:p>
      <w:pPr>
        <w:pStyle w:val="Subsection"/>
      </w:pPr>
      <w:r>
        <w:tab/>
        <w:t>(2)</w:t>
      </w:r>
      <w:r>
        <w:tab/>
        <w:t>A code of conduct is to contain a requirement that a council member or an employee is to disclose any interest that he or she has in any matter to be discussed at a council or committee meeting that will be attended by the member or employee.</w:t>
      </w:r>
    </w:p>
    <w:p>
      <w:pPr>
        <w:pStyle w:val="Subsection"/>
      </w:pPr>
      <w:r>
        <w:tab/>
        <w:t>(3)</w:t>
      </w:r>
      <w:r>
        <w:tab/>
        <w:t>A code of conduct is to contain a requirement that a council member or an employee is to disclose any interest that he or she has in any matter to be discussed at a council or committee meeting in respect of which the member or employee has given, or will give, advice.</w:t>
      </w:r>
    </w:p>
    <w:p>
      <w:pPr>
        <w:pStyle w:val="Subsection"/>
      </w:pPr>
      <w:r>
        <w:tab/>
        <w:t>(4)</w:t>
      </w:r>
      <w:r>
        <w:tab/>
        <w:t>A code of conduct is to contain a requirement that disclosure of an interest under subregulation (2) or (3) is to be made at the meeting immediately before the matter is discussed or at the time the advice is given, and is to be recorded in the minutes of the relevant meeting.</w:t>
      </w:r>
    </w:p>
    <w:p>
      <w:pPr>
        <w:pStyle w:val="Footnotesection"/>
      </w:pPr>
      <w:r>
        <w:tab/>
        <w:t>[Regulation 34C inserted in Gazette 23 Apr 1999 p. 1721.]</w:t>
      </w:r>
    </w:p>
    <w:p>
      <w:pPr>
        <w:pStyle w:val="Ednotesection"/>
      </w:pPr>
      <w:r>
        <w:t>[</w:t>
      </w:r>
      <w:r>
        <w:rPr>
          <w:b/>
        </w:rPr>
        <w:t>35-39.</w:t>
      </w:r>
      <w:r>
        <w:tab/>
        <w:t>Omitted under the Reprints Act 1984 s. 7(4)(e).]</w:t>
      </w:r>
    </w:p>
    <w:p>
      <w:pPr>
        <w:rPr>
          <w:ins w:id="264" w:author="Master Repository Process" w:date="2021-08-29T00:50:00Z"/>
        </w:rPr>
      </w:pPr>
      <w:bookmarkStart w:id="265" w:name="_Toc12955618"/>
    </w:p>
    <w:p>
      <w:pPr>
        <w:rPr>
          <w:ins w:id="266" w:author="Master Repository Process" w:date="2021-08-29T00:50:00Z"/>
        </w:rPr>
      </w:pP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67" w:name="_Toc112152230"/>
      <w:bookmarkStart w:id="268" w:name="_Toc148333709"/>
      <w:bookmarkStart w:id="269" w:name="_Toc148426325"/>
      <w:bookmarkStart w:id="270" w:name="_Toc148860533"/>
      <w:bookmarkStart w:id="271" w:name="_Toc148922761"/>
      <w:bookmarkStart w:id="272" w:name="_Toc151178012"/>
      <w:bookmarkStart w:id="273" w:name="_Toc151191131"/>
      <w:bookmarkStart w:id="274" w:name="_Toc153784576"/>
      <w:r>
        <w:rPr>
          <w:rStyle w:val="CharSchNo"/>
        </w:rPr>
        <w:t>Schedule 1</w:t>
      </w:r>
      <w:r>
        <w:t> — </w:t>
      </w:r>
      <w:r>
        <w:rPr>
          <w:rStyle w:val="CharSchText"/>
        </w:rPr>
        <w:t>Forms</w:t>
      </w:r>
      <w:bookmarkEnd w:id="265"/>
      <w:bookmarkEnd w:id="267"/>
      <w:bookmarkEnd w:id="268"/>
      <w:bookmarkEnd w:id="269"/>
      <w:bookmarkEnd w:id="270"/>
      <w:bookmarkEnd w:id="271"/>
      <w:bookmarkEnd w:id="272"/>
      <w:bookmarkEnd w:id="273"/>
      <w:bookmarkEnd w:id="274"/>
      <w:r>
        <w:t xml:space="preserve"> </w:t>
      </w:r>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tcPr>
          <w:p>
            <w:pPr>
              <w:pStyle w:val="yTable"/>
              <w:spacing w:before="0"/>
              <w:jc w:val="center"/>
            </w:pPr>
          </w:p>
          <w:p>
            <w:pPr>
              <w:pStyle w:val="yTable"/>
              <w:spacing w:before="0"/>
              <w:jc w:val="center"/>
            </w:pPr>
            <w:r>
              <w:t>Date</w:t>
            </w:r>
          </w:p>
          <w:p>
            <w:pPr>
              <w:pStyle w:val="yTable"/>
              <w:spacing w:before="0"/>
              <w:jc w:val="center"/>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4.</w:t>
      </w:r>
      <w:r>
        <w:rPr>
          <w:b/>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gift</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giver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Contributions to travel</w:t>
      </w:r>
    </w:p>
    <w:p>
      <w:pPr>
        <w:pStyle w:val="yTable"/>
        <w:tabs>
          <w:tab w:val="right" w:leader="dot" w:pos="7088"/>
        </w:tabs>
        <w:spacing w:after="60"/>
        <w:ind w:left="567" w:hanging="567"/>
        <w:rPr>
          <w:snapToGrid w:val="0"/>
        </w:rPr>
      </w:pPr>
      <w:r>
        <w:rPr>
          <w:snapToGrid w:val="0"/>
        </w:rPr>
        <w:tab/>
        <w:t>Section 5.83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contributor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contributor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ind w:left="-42"/>
              <w:jc w:val="center"/>
              <w:rPr>
                <w:sz w:val="18"/>
              </w:rPr>
            </w:pPr>
            <w:r>
              <w:rPr>
                <w:sz w:val="18"/>
              </w:rPr>
              <w:t xml:space="preserve">Date of </w:t>
            </w:r>
            <w:del w:id="275" w:author="Master Repository Process" w:date="2021-08-29T00:50:00Z">
              <w:r>
                <w:rPr>
                  <w:sz w:val="18"/>
                </w:rPr>
                <w:delText>dispo</w:delText>
              </w:r>
              <w:r>
                <w:rPr>
                  <w:sz w:val="18"/>
                </w:rPr>
                <w:noBreakHyphen/>
              </w:r>
              <w:r>
                <w:rPr>
                  <w:sz w:val="18"/>
                </w:rPr>
                <w:br/>
                <w:delText>sition</w:delText>
              </w:r>
            </w:del>
            <w:ins w:id="276" w:author="Master Repository Process" w:date="2021-08-29T00:50:00Z">
              <w:r>
                <w:rPr>
                  <w:sz w:val="18"/>
                </w:rPr>
                <w:t>disposition</w:t>
              </w:r>
            </w:ins>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77" w:name="_Toc103151956"/>
      <w:bookmarkStart w:id="278" w:name="_Toc103664189"/>
      <w:bookmarkStart w:id="279" w:name="_Toc103741399"/>
      <w:bookmarkStart w:id="280" w:name="_Toc112135397"/>
      <w:bookmarkStart w:id="281" w:name="_Toc112152231"/>
      <w:bookmarkStart w:id="282" w:name="_Toc148333710"/>
      <w:bookmarkStart w:id="283" w:name="_Toc148426326"/>
      <w:bookmarkStart w:id="284" w:name="_Toc148860534"/>
      <w:bookmarkStart w:id="285" w:name="_Toc148922762"/>
      <w:bookmarkStart w:id="286" w:name="_Toc151178013"/>
      <w:bookmarkStart w:id="287" w:name="_Toc151191132"/>
      <w:bookmarkStart w:id="288" w:name="_Toc153784577"/>
      <w:r>
        <w:t>Notes</w:t>
      </w:r>
      <w:bookmarkEnd w:id="277"/>
      <w:bookmarkEnd w:id="278"/>
      <w:bookmarkEnd w:id="279"/>
      <w:bookmarkEnd w:id="280"/>
      <w:bookmarkEnd w:id="281"/>
      <w:bookmarkEnd w:id="282"/>
      <w:bookmarkEnd w:id="283"/>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w:t>
      </w:r>
      <w:ins w:id="289" w:author="Master Repository Process" w:date="2021-08-29T00:50:00Z">
        <w:r>
          <w:rPr>
            <w:snapToGrid w:val="0"/>
          </w:rPr>
          <w:t xml:space="preserve">reprint </w:t>
        </w:r>
      </w:ins>
      <w:r>
        <w:rPr>
          <w:snapToGrid w:val="0"/>
        </w:rPr>
        <w:t xml:space="preserve">is a compilation </w:t>
      </w:r>
      <w:ins w:id="290" w:author="Master Repository Process" w:date="2021-08-29T00:50:00Z">
        <w:r>
          <w:rPr>
            <w:snapToGrid w:val="0"/>
          </w:rPr>
          <w:t xml:space="preserve">as at 17 November 2006 </w:t>
        </w:r>
      </w:ins>
      <w:r>
        <w:rPr>
          <w:snapToGrid w:val="0"/>
        </w:rPr>
        <w:t xml:space="preserve">of the </w:t>
      </w:r>
      <w:r>
        <w:rPr>
          <w:i/>
          <w:noProof/>
          <w:snapToGrid w:val="0"/>
        </w:rPr>
        <w:t>Local Government (Administration) Regulations</w:t>
      </w:r>
      <w:del w:id="291" w:author="Master Repository Process" w:date="2021-08-29T00:50:00Z">
        <w:r>
          <w:rPr>
            <w:i/>
            <w:noProof/>
            <w:snapToGrid w:val="0"/>
          </w:rPr>
          <w:delText> </w:delText>
        </w:r>
      </w:del>
      <w:ins w:id="292" w:author="Master Repository Process" w:date="2021-08-29T00:50: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3" w:name="_Toc153784578"/>
      <w:bookmarkStart w:id="294" w:name="_Toc112152232"/>
      <w:r>
        <w:rPr>
          <w:snapToGrid w:val="0"/>
        </w:rPr>
        <w:t>Compilation table</w:t>
      </w:r>
      <w:bookmarkEnd w:id="293"/>
      <w:bookmarkEnd w:id="2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2</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ins w:id="295" w:author="Master Repository Process" w:date="2021-08-29T00:50:00Z"/>
        </w:trPr>
        <w:tc>
          <w:tcPr>
            <w:tcW w:w="7087" w:type="dxa"/>
            <w:gridSpan w:val="3"/>
            <w:tcBorders>
              <w:bottom w:val="single" w:sz="8" w:space="0" w:color="auto"/>
            </w:tcBorders>
          </w:tcPr>
          <w:p>
            <w:pPr>
              <w:pStyle w:val="nTable"/>
              <w:spacing w:after="40"/>
              <w:rPr>
                <w:ins w:id="296" w:author="Master Repository Process" w:date="2021-08-29T00:50:00Z"/>
                <w:sz w:val="19"/>
              </w:rPr>
            </w:pPr>
            <w:ins w:id="297" w:author="Master Repository Process" w:date="2021-08-29T00:50:00Z">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ins>
          </w:p>
        </w:tc>
      </w:tr>
    </w:tbl>
    <w:p>
      <w:pPr>
        <w:pStyle w:val="nSubsection"/>
      </w:pPr>
      <w:r>
        <w:rPr>
          <w:vertAlign w:val="superscript"/>
        </w:rPr>
        <w:t>2</w:t>
      </w:r>
      <w:r>
        <w:tab/>
        <w:t xml:space="preserve">The </w:t>
      </w:r>
      <w:r>
        <w:rPr>
          <w:i/>
          <w:iCs/>
        </w:rPr>
        <w:t>Local Government (Administration) Amendment Regulations 2005</w:t>
      </w:r>
      <w:r>
        <w:t xml:space="preserve"> r. 15 reads as follows:</w:t>
      </w:r>
    </w:p>
    <w:p>
      <w:pPr>
        <w:pStyle w:val="MiscOpen"/>
      </w:pPr>
      <w:r>
        <w:t>“</w:t>
      </w:r>
    </w:p>
    <w:p>
      <w:pPr>
        <w:pStyle w:val="nzHeading5"/>
      </w:pPr>
      <w:r>
        <w:rPr>
          <w:rStyle w:val="CharSectno"/>
        </w:rPr>
        <w:t>15</w:t>
      </w:r>
      <w:r>
        <w:t>.</w:t>
      </w:r>
      <w:r>
        <w:tab/>
        <w:t>Increased minimum fees and allowances not mandatory until 1 July 2005</w:t>
      </w:r>
    </w:p>
    <w:p>
      <w:pPr>
        <w:pStyle w:val="nzSubsection"/>
      </w:pPr>
      <w:r>
        <w:tab/>
        <w:t>(1)</w:t>
      </w:r>
      <w:r>
        <w:tab/>
        <w:t>Where these regulations increase the amount of a minimum fee or allowance prescribed under section 5.98 or 5.99 a person is entitled to the increased amount only on and after 1 July 2005.</w:t>
      </w:r>
    </w:p>
    <w:p>
      <w:pPr>
        <w:pStyle w:val="nzSubsection"/>
      </w:pPr>
      <w:r>
        <w:tab/>
        <w:t>(2)</w:t>
      </w:r>
      <w:r>
        <w:tab/>
        <w:t xml:space="preserve">Until 1 July 2005, a local government may choose to pay to a person entitled to a minimum fee or allowance prescribed under section 5.98 or 5.99 the amount of the fee or allowance to which the person — </w:t>
      </w:r>
    </w:p>
    <w:p>
      <w:pPr>
        <w:pStyle w:val="nzIndenta"/>
      </w:pPr>
      <w:r>
        <w:tab/>
        <w:t>(a)</w:t>
      </w:r>
      <w:r>
        <w:tab/>
        <w:t>was entitled immediately before these regulations came into operation; or</w:t>
      </w:r>
    </w:p>
    <w:p>
      <w:pPr>
        <w:pStyle w:val="nzIndenta"/>
      </w:pPr>
      <w:r>
        <w:tab/>
        <w:t>(b)</w:t>
      </w:r>
      <w:r>
        <w:tab/>
        <w:t>would be entitled on and after 1 July 2005.</w:t>
      </w:r>
    </w:p>
    <w:p>
      <w:pPr>
        <w:pStyle w:val="nzSubsection"/>
      </w:pPr>
      <w:r>
        <w:tab/>
        <w:t>(3)</w:t>
      </w:r>
      <w:r>
        <w:tab/>
        <w:t>If, under subregulation (2), a local government makes a choice to pay a person a fee or allowance to which the person would be entitled on and after 1 July 2005, then that local government must make the same choice when paying all other persons entitled to be paid that same fee or allowance.</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DA0ECCF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100"/>
    <w:docVar w:name="WAFER_20151207141100" w:val="RemoveTrackChanges"/>
    <w:docVar w:name="WAFER_20151207141100_GUID" w:val="29bc18ff-3c96-4bef-a3f0-df77e22eee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756017F-A0D7-4E3B-86AE-B0AA229D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8802</Words>
  <Characters>45419</Characters>
  <Application>Microsoft Office Word</Application>
  <DocSecurity>0</DocSecurity>
  <Lines>1566</Lines>
  <Paragraphs>774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53447</CharactersWithSpaces>
  <SharedDoc>false</SharedDoc>
  <HLinks>
    <vt:vector size="12" baseType="variant">
      <vt:variant>
        <vt:i4>3014716</vt:i4>
      </vt:variant>
      <vt:variant>
        <vt:i4>7118</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01-d0-04 - 02-a0-04</dc:title>
  <dc:subject/>
  <dc:creator/>
  <cp:keywords/>
  <dc:description/>
  <cp:lastModifiedBy>Master Repository Process</cp:lastModifiedBy>
  <cp:revision>2</cp:revision>
  <cp:lastPrinted>2006-11-13T06:23:00Z</cp:lastPrinted>
  <dcterms:created xsi:type="dcterms:W3CDTF">2021-08-28T16:50:00Z</dcterms:created>
  <dcterms:modified xsi:type="dcterms:W3CDTF">2021-08-28T16:50:00Z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20061117</vt:lpwstr>
  </property>
  <property fmtid="{D5CDD505-2E9C-101B-9397-08002B2CF9AE}" pid="4" name="DocumentType">
    <vt:lpwstr>Reg</vt:lpwstr>
  </property>
  <property fmtid="{D5CDD505-2E9C-101B-9397-08002B2CF9AE}" pid="5" name="OwlsUID">
    <vt:i4>4572</vt:i4>
  </property>
  <property fmtid="{D5CDD505-2E9C-101B-9397-08002B2CF9AE}" pid="6" name="ReprintNo">
    <vt:lpwstr>2</vt:lpwstr>
  </property>
  <property fmtid="{D5CDD505-2E9C-101B-9397-08002B2CF9AE}" pid="7" name="FromSuffix">
    <vt:lpwstr>01-d0-04</vt:lpwstr>
  </property>
  <property fmtid="{D5CDD505-2E9C-101B-9397-08002B2CF9AE}" pid="8" name="FromAsAtDate">
    <vt:lpwstr>19 Aug 2005</vt:lpwstr>
  </property>
  <property fmtid="{D5CDD505-2E9C-101B-9397-08002B2CF9AE}" pid="9" name="ToSuffix">
    <vt:lpwstr>02-a0-04</vt:lpwstr>
  </property>
  <property fmtid="{D5CDD505-2E9C-101B-9397-08002B2CF9AE}" pid="10" name="ToAsAtDate">
    <vt:lpwstr>17 Nov 2006</vt:lpwstr>
  </property>
</Properties>
</file>