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(Saturday Lotto)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Aug 2006</w:t>
      </w:r>
      <w:r>
        <w:fldChar w:fldCharType="end"/>
      </w:r>
      <w:r>
        <w:t xml:space="preserve">, </w:t>
      </w:r>
      <w:r>
        <w:fldChar w:fldCharType="begin"/>
      </w:r>
      <w:r>
        <w:instrText xml:space="preserve"> DocProperty FromSuffix </w:instrText>
      </w:r>
      <w:r>
        <w:fldChar w:fldCharType="separate"/>
      </w:r>
      <w:r>
        <w:t>02-a0-04</w:t>
      </w:r>
      <w:r>
        <w:fldChar w:fldCharType="end"/>
      </w:r>
      <w:r>
        <w:t>] and [</w:t>
      </w:r>
      <w:r>
        <w:fldChar w:fldCharType="begin"/>
      </w:r>
      <w:r>
        <w:instrText xml:space="preserve"> DocProperty ToAsAtDate</w:instrText>
      </w:r>
      <w:r>
        <w:fldChar w:fldCharType="separate"/>
      </w:r>
      <w:r>
        <w:t>29 Sep 2006</w:t>
      </w:r>
      <w:r>
        <w:fldChar w:fldCharType="end"/>
      </w:r>
      <w:r>
        <w:t xml:space="preserve">, </w:t>
      </w:r>
      <w:r>
        <w:fldChar w:fldCharType="begin"/>
      </w:r>
      <w:r>
        <w:instrText xml:space="preserve"> DocProperty ToSuffix</w:instrText>
      </w:r>
      <w:r>
        <w:fldChar w:fldCharType="separate"/>
      </w:r>
      <w:r>
        <w:t>02-b0-03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02:02:00Z"/>
        </w:trPr>
        <w:tc>
          <w:tcPr>
            <w:tcW w:w="2434" w:type="dxa"/>
            <w:vMerge w:val="restart"/>
          </w:tcPr>
          <w:p>
            <w:pPr>
              <w:rPr>
                <w:del w:id="1" w:author="Master Repository Process" w:date="2021-08-29T02:02:00Z"/>
              </w:rPr>
            </w:pPr>
          </w:p>
        </w:tc>
        <w:tc>
          <w:tcPr>
            <w:tcW w:w="2434" w:type="dxa"/>
            <w:vMerge w:val="restart"/>
          </w:tcPr>
          <w:p>
            <w:pPr>
              <w:jc w:val="center"/>
              <w:rPr>
                <w:del w:id="2" w:author="Master Repository Process" w:date="2021-08-29T02:02:00Z"/>
              </w:rPr>
            </w:pPr>
            <w:del w:id="3" w:author="Master Repository Process" w:date="2021-08-29T02:0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9T02:02:00Z"/>
              </w:rPr>
            </w:pPr>
          </w:p>
        </w:tc>
      </w:tr>
      <w:tr>
        <w:trPr>
          <w:cantSplit/>
          <w:del w:id="5" w:author="Master Repository Process" w:date="2021-08-29T02:02:00Z"/>
        </w:trPr>
        <w:tc>
          <w:tcPr>
            <w:tcW w:w="2434" w:type="dxa"/>
            <w:vMerge/>
          </w:tcPr>
          <w:p>
            <w:pPr>
              <w:rPr>
                <w:del w:id="6" w:author="Master Repository Process" w:date="2021-08-29T02:02:00Z"/>
              </w:rPr>
            </w:pPr>
          </w:p>
        </w:tc>
        <w:tc>
          <w:tcPr>
            <w:tcW w:w="2434" w:type="dxa"/>
            <w:vMerge/>
          </w:tcPr>
          <w:p>
            <w:pPr>
              <w:jc w:val="center"/>
              <w:rPr>
                <w:del w:id="7" w:author="Master Repository Process" w:date="2021-08-29T02:02:00Z"/>
              </w:rPr>
            </w:pPr>
          </w:p>
        </w:tc>
        <w:tc>
          <w:tcPr>
            <w:tcW w:w="2434" w:type="dxa"/>
          </w:tcPr>
          <w:p>
            <w:pPr>
              <w:keepNext/>
              <w:rPr>
                <w:del w:id="8" w:author="Master Repository Process" w:date="2021-08-29T02:02:00Z"/>
                <w:b/>
                <w:sz w:val="22"/>
              </w:rPr>
            </w:pPr>
            <w:del w:id="9" w:author="Master Repository Process" w:date="2021-08-29T02:02:00Z">
              <w:r>
                <w:rPr>
                  <w:b/>
                  <w:sz w:val="22"/>
                </w:rPr>
                <w:delText xml:space="preserve">Reprinted under the </w:delText>
              </w:r>
              <w:r>
                <w:rPr>
                  <w:b/>
                  <w:i/>
                  <w:sz w:val="22"/>
                </w:rPr>
                <w:delText>Reprints Act 1984</w:delText>
              </w:r>
              <w:r>
                <w:rPr>
                  <w:b/>
                  <w:sz w:val="22"/>
                </w:rPr>
                <w:delText xml:space="preserve"> as at 4</w:delText>
              </w:r>
              <w:r>
                <w:rPr>
                  <w:b/>
                  <w:snapToGrid w:val="0"/>
                  <w:sz w:val="22"/>
                </w:rPr>
                <w:delText xml:space="preserve"> August 2006</w:delText>
              </w:r>
            </w:del>
          </w:p>
        </w:tc>
      </w:tr>
    </w:tbl>
    <w:p>
      <w:pPr>
        <w:pStyle w:val="WA"/>
      </w:pPr>
      <w:r>
        <w:t>Western Australia</w:t>
      </w:r>
    </w:p>
    <w:p>
      <w:pPr>
        <w:pStyle w:val="PrincipalActReg"/>
        <w:rPr>
          <w:snapToGrid w:val="0"/>
        </w:rPr>
      </w:pPr>
      <w:r>
        <w:rPr>
          <w:snapToGrid w:val="0"/>
        </w:rPr>
        <w:t>Lotteries Commission Act 1990</w:t>
      </w:r>
    </w:p>
    <w:p>
      <w:pPr>
        <w:pStyle w:val="NameofActReg"/>
        <w:spacing w:before="240"/>
      </w:pPr>
      <w:r>
        <w:t>Lotteries Commission (Saturday Lotto) Rules 1996</w:t>
      </w:r>
    </w:p>
    <w:p>
      <w:pPr>
        <w:pStyle w:val="Heading2"/>
        <w:pageBreakBefore w:val="0"/>
        <w:spacing w:before="120"/>
      </w:pPr>
      <w:bookmarkStart w:id="10" w:name="_Toc127275200"/>
      <w:bookmarkStart w:id="11" w:name="_Toc127335242"/>
      <w:bookmarkStart w:id="12" w:name="_Toc129672904"/>
      <w:bookmarkStart w:id="13" w:name="_Toc129673006"/>
      <w:bookmarkStart w:id="14" w:name="_Toc129673055"/>
      <w:bookmarkStart w:id="15" w:name="_Toc129673104"/>
      <w:bookmarkStart w:id="16" w:name="_Toc140976732"/>
      <w:bookmarkStart w:id="17" w:name="_Toc140983785"/>
      <w:bookmarkStart w:id="18" w:name="_Toc141751609"/>
      <w:bookmarkStart w:id="19" w:name="_Toc141763638"/>
      <w:bookmarkStart w:id="20" w:name="_Toc144543444"/>
      <w:bookmarkStart w:id="21" w:name="_Toc147222785"/>
      <w:bookmarkStart w:id="22" w:name="_Toc147288963"/>
      <w:r>
        <w:rPr>
          <w:rStyle w:val="CharPartNo"/>
        </w:rPr>
        <w:t>P</w:t>
      </w:r>
      <w:bookmarkStart w:id="23" w:name="_GoBack"/>
      <w:bookmarkEnd w:id="23"/>
      <w:r>
        <w:rPr>
          <w:rStyle w:val="CharPartNo"/>
        </w:rPr>
        <w:t>art 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4" w:name="_Toc5071670"/>
      <w:bookmarkStart w:id="25" w:name="_Toc5071979"/>
      <w:bookmarkStart w:id="26" w:name="_Toc9846744"/>
      <w:bookmarkStart w:id="27" w:name="_Toc129672905"/>
      <w:bookmarkStart w:id="28" w:name="_Toc144543445"/>
      <w:bookmarkStart w:id="29" w:name="_Toc147288964"/>
      <w:r>
        <w:rPr>
          <w:rStyle w:val="CharSectno"/>
        </w:rPr>
        <w:t>1</w:t>
      </w:r>
      <w:r>
        <w:rPr>
          <w:snapToGrid w:val="0"/>
        </w:rPr>
        <w:t>.</w:t>
      </w:r>
      <w:r>
        <w:rPr>
          <w:snapToGrid w:val="0"/>
        </w:rPr>
        <w:tab/>
        <w:t>Citation</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 xml:space="preserve">Lotteries Commission (Saturday Lotto) Rules 1996 </w:t>
      </w:r>
      <w:r>
        <w:rPr>
          <w:snapToGrid w:val="0"/>
          <w:vertAlign w:val="superscript"/>
        </w:rPr>
        <w:t>1</w:t>
      </w:r>
      <w:r>
        <w:rPr>
          <w:snapToGrid w:val="0"/>
        </w:rPr>
        <w:t>.</w:t>
      </w:r>
    </w:p>
    <w:p>
      <w:pPr>
        <w:pStyle w:val="Heading5"/>
        <w:rPr>
          <w:snapToGrid w:val="0"/>
        </w:rPr>
      </w:pPr>
      <w:bookmarkStart w:id="30" w:name="_Toc5071671"/>
      <w:bookmarkStart w:id="31" w:name="_Toc5071980"/>
      <w:bookmarkStart w:id="32" w:name="_Toc9846745"/>
      <w:bookmarkStart w:id="33" w:name="_Toc129672906"/>
      <w:bookmarkStart w:id="34" w:name="_Toc144543446"/>
      <w:bookmarkStart w:id="35" w:name="_Toc147288965"/>
      <w:r>
        <w:rPr>
          <w:rStyle w:val="CharSectno"/>
        </w:rPr>
        <w:t>2</w:t>
      </w:r>
      <w:r>
        <w:rPr>
          <w:snapToGrid w:val="0"/>
        </w:rPr>
        <w:t>.</w:t>
      </w:r>
      <w:r>
        <w:rPr>
          <w:snapToGrid w:val="0"/>
        </w:rPr>
        <w:tab/>
        <w:t>Commencement</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Subject to subrule (2), these rules come into operation on 18 November 1996 and apply to Saturday lotto draws conducted on or after 1 February 1997.</w:t>
      </w:r>
    </w:p>
    <w:p>
      <w:pPr>
        <w:pStyle w:val="Subsection"/>
        <w:rPr>
          <w:snapToGrid w:val="0"/>
        </w:rPr>
      </w:pPr>
      <w:r>
        <w:rPr>
          <w:snapToGrid w:val="0"/>
        </w:rPr>
        <w:tab/>
        <w:t>(2)</w:t>
      </w:r>
      <w:r>
        <w:rPr>
          <w:snapToGrid w:val="0"/>
        </w:rPr>
        <w:tab/>
        <w:t>Rule 35(1) comes into operation on 31 January 1997.</w:t>
      </w:r>
    </w:p>
    <w:p>
      <w:pPr>
        <w:pStyle w:val="Heading5"/>
        <w:rPr>
          <w:snapToGrid w:val="0"/>
        </w:rPr>
      </w:pPr>
      <w:bookmarkStart w:id="36" w:name="_Toc5071672"/>
      <w:bookmarkStart w:id="37" w:name="_Toc5071981"/>
      <w:bookmarkStart w:id="38" w:name="_Toc9846746"/>
      <w:bookmarkStart w:id="39" w:name="_Toc129672907"/>
      <w:bookmarkStart w:id="40" w:name="_Toc144543447"/>
      <w:bookmarkStart w:id="41" w:name="_Toc147288966"/>
      <w:r>
        <w:rPr>
          <w:rStyle w:val="CharSectno"/>
        </w:rPr>
        <w:t>3</w:t>
      </w:r>
      <w:r>
        <w:rPr>
          <w:snapToGrid w:val="0"/>
        </w:rPr>
        <w:t>.</w:t>
      </w:r>
      <w:r>
        <w:rPr>
          <w:snapToGrid w:val="0"/>
        </w:rPr>
        <w:tab/>
        <w:t>Interpretation</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In these rules — </w:t>
      </w:r>
    </w:p>
    <w:p>
      <w:pPr>
        <w:pStyle w:val="Defstart"/>
      </w:pPr>
      <w:r>
        <w:rPr>
          <w:b/>
        </w:rPr>
        <w:tab/>
        <w:t>“</w:t>
      </w:r>
      <w:r>
        <w:rPr>
          <w:rStyle w:val="CharDefText"/>
        </w:rPr>
        <w:t>agent</w:t>
      </w:r>
      <w:r>
        <w:rPr>
          <w:b/>
        </w:rPr>
        <w:t>”</w:t>
      </w:r>
      <w:r>
        <w:t xml:space="preserve"> means a person appointed by the Commission as its agent for purposes associated with games of Saturday lotto, and includes any branch or section of the Commission;</w:t>
      </w:r>
    </w:p>
    <w:p>
      <w:pPr>
        <w:pStyle w:val="Defstart"/>
      </w:pPr>
      <w:r>
        <w:rPr>
          <w:b/>
        </w:rPr>
        <w:tab/>
        <w:t>“</w:t>
      </w:r>
      <w:r>
        <w:rPr>
          <w:rStyle w:val="CharDefText"/>
        </w:rPr>
        <w:t>agent’s component</w:t>
      </w:r>
      <w:r>
        <w:rPr>
          <w:b/>
        </w:rPr>
        <w:t>”</w:t>
      </w:r>
      <w:r>
        <w:t xml:space="preserve"> means that part of the entry cost (added to the subscription) set out in Schedule 1A that is payable to the agent;</w:t>
      </w:r>
    </w:p>
    <w:p>
      <w:pPr>
        <w:pStyle w:val="Defstart"/>
      </w:pPr>
      <w:r>
        <w:rPr>
          <w:b/>
        </w:rPr>
        <w:tab/>
        <w:t>“</w:t>
      </w:r>
      <w:r>
        <w:rPr>
          <w:rStyle w:val="CharDefText"/>
        </w:rPr>
        <w:t>Australian Lotto Bloc</w:t>
      </w:r>
      <w:r>
        <w:rPr>
          <w:b/>
        </w:rPr>
        <w:t>”</w:t>
      </w:r>
      <w:r>
        <w:t xml:space="preserve"> means a group made up of the Commission and the designated authorities for the States of Queensland, South Australia, New South Wales and Victoria;</w:t>
      </w:r>
    </w:p>
    <w:p>
      <w:pPr>
        <w:pStyle w:val="Defstart"/>
      </w:pPr>
      <w:r>
        <w:rPr>
          <w:b/>
        </w:rPr>
        <w:tab/>
        <w:t>“</w:t>
      </w:r>
      <w:r>
        <w:rPr>
          <w:rStyle w:val="CharDefText"/>
        </w:rPr>
        <w:t>authorised payout centre</w:t>
      </w:r>
      <w:r>
        <w:rPr>
          <w:b/>
        </w:rPr>
        <w:t>”</w:t>
      </w:r>
      <w:r>
        <w:t xml:space="preserve"> means an agent who has been authorised by the Commission to pay up to division 2 prizes;</w:t>
      </w:r>
    </w:p>
    <w:p>
      <w:pPr>
        <w:pStyle w:val="Defstart"/>
      </w:pPr>
      <w:r>
        <w:rPr>
          <w:b/>
        </w:rPr>
        <w:tab/>
        <w:t>“</w:t>
      </w:r>
      <w:r>
        <w:rPr>
          <w:rStyle w:val="CharDefText"/>
        </w:rPr>
        <w:t>entry</w:t>
      </w:r>
      <w:r>
        <w:rPr>
          <w:b/>
        </w:rPr>
        <w:t>”</w:t>
      </w:r>
      <w:r>
        <w:t xml:space="preserve"> means an entry as described in rule 8(5) or 9(2);</w:t>
      </w:r>
    </w:p>
    <w:p>
      <w:pPr>
        <w:pStyle w:val="Defstart"/>
      </w:pPr>
      <w:r>
        <w:rPr>
          <w:b/>
        </w:rPr>
        <w:tab/>
        <w:t>“</w:t>
      </w:r>
      <w:r>
        <w:rPr>
          <w:rStyle w:val="CharDefText"/>
        </w:rPr>
        <w:t>game</w:t>
      </w:r>
      <w:r>
        <w:rPr>
          <w:b/>
        </w:rPr>
        <w:t>”</w:t>
      </w:r>
      <w:r>
        <w:t xml:space="preserve"> means —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t>“</w:t>
      </w:r>
      <w:r>
        <w:rPr>
          <w:rStyle w:val="CharDefText"/>
        </w:rPr>
        <w:t>game board</w:t>
      </w:r>
      <w:r>
        <w:rPr>
          <w:b/>
        </w:rPr>
        <w:t>”</w:t>
      </w:r>
      <w:r>
        <w:t xml:space="preserve"> means the section of an entry coupon for a game of Saturday lotto containing the numbers 1 to 45;</w:t>
      </w:r>
    </w:p>
    <w:p>
      <w:pPr>
        <w:pStyle w:val="Defstart"/>
      </w:pPr>
      <w:r>
        <w:rPr>
          <w:b/>
        </w:rPr>
        <w:tab/>
        <w:t>“</w:t>
      </w:r>
      <w:r>
        <w:rPr>
          <w:rStyle w:val="CharDefText"/>
        </w:rPr>
        <w:t>payout period</w:t>
      </w:r>
      <w:r>
        <w:rPr>
          <w:b/>
        </w:rPr>
        <w:t>”</w:t>
      </w:r>
      <w:r>
        <w:t xml:space="preserve"> means the period from the Sunday after a Saturday lotto draw to the close of business on the day 12 months after that draw;</w:t>
      </w:r>
    </w:p>
    <w:p>
      <w:pPr>
        <w:pStyle w:val="Defstart"/>
      </w:pPr>
      <w:r>
        <w:rPr>
          <w:b/>
        </w:rPr>
        <w:tab/>
        <w:t>“</w:t>
      </w:r>
      <w:r>
        <w:rPr>
          <w:rStyle w:val="CharDefText"/>
        </w:rPr>
        <w:t>prize fund</w:t>
      </w:r>
      <w:r>
        <w:rPr>
          <w:b/>
        </w:rPr>
        <w:t>”</w:t>
      </w:r>
      <w:r>
        <w:t xml:space="preserve"> means the fund maintained by the Australian Lotto Bloc in accordance with the agreement referred to in rule 18(1) and consisting of the Saturday lotto prize pool and the prize reserve fund;</w:t>
      </w:r>
    </w:p>
    <w:p>
      <w:pPr>
        <w:pStyle w:val="Defstart"/>
      </w:pPr>
      <w:r>
        <w:rPr>
          <w:b/>
        </w:rPr>
        <w:tab/>
        <w:t>“</w:t>
      </w:r>
      <w:r>
        <w:rPr>
          <w:rStyle w:val="CharDefText"/>
        </w:rPr>
        <w:t>prize pool</w:t>
      </w:r>
      <w:r>
        <w:rPr>
          <w:b/>
        </w:rPr>
        <w:t>”</w:t>
      </w:r>
      <w:r>
        <w:t xml:space="preserve"> means the prize pool referred to in rule 18(2)(a);</w:t>
      </w:r>
    </w:p>
    <w:p>
      <w:pPr>
        <w:pStyle w:val="Defstart"/>
      </w:pPr>
      <w:r>
        <w:rPr>
          <w:b/>
        </w:rPr>
        <w:tab/>
        <w:t>“</w:t>
      </w:r>
      <w:r>
        <w:rPr>
          <w:rStyle w:val="CharDefText"/>
        </w:rPr>
        <w:t>prize reserve fund</w:t>
      </w:r>
      <w:r>
        <w:rPr>
          <w:b/>
        </w:rPr>
        <w:t>”</w:t>
      </w:r>
      <w:r>
        <w:t xml:space="preserve"> means the fund referred to in rule 18(2)(b);</w:t>
      </w:r>
    </w:p>
    <w:p>
      <w:pPr>
        <w:pStyle w:val="Defstart"/>
      </w:pPr>
      <w:r>
        <w:rPr>
          <w:b/>
        </w:rPr>
        <w:tab/>
        <w:t>“</w:t>
      </w:r>
      <w:r>
        <w:rPr>
          <w:rStyle w:val="CharDefText"/>
        </w:rPr>
        <w:t>receipted ticket</w:t>
      </w:r>
      <w:r>
        <w:rPr>
          <w:b/>
        </w:rPr>
        <w:t>”</w:t>
      </w:r>
      <w:r>
        <w:t xml:space="preserve"> means a ticket that is produced and issued by an agent as a result of processing an entry coupon or as a response to an oral request for entry;</w:t>
      </w:r>
    </w:p>
    <w:p>
      <w:pPr>
        <w:pStyle w:val="Defstart"/>
      </w:pPr>
      <w:r>
        <w:rPr>
          <w:b/>
        </w:rPr>
        <w:tab/>
        <w:t>“</w:t>
      </w:r>
      <w:r>
        <w:rPr>
          <w:rStyle w:val="CharDefText"/>
        </w:rPr>
        <w:t>Saturday lotto</w:t>
      </w:r>
      <w:r>
        <w:rPr>
          <w:b/>
        </w:rPr>
        <w:t>”</w:t>
      </w:r>
      <w:r>
        <w:t xml:space="preserve"> means a game of lotto conducted in accordance with these rules;</w:t>
      </w:r>
    </w:p>
    <w:p>
      <w:pPr>
        <w:pStyle w:val="Defstart"/>
      </w:pPr>
      <w:r>
        <w:rPr>
          <w:b/>
        </w:rPr>
        <w:tab/>
        <w:t>“</w:t>
      </w:r>
      <w:r>
        <w:rPr>
          <w:rStyle w:val="CharDefText"/>
        </w:rPr>
        <w:t>Saturday lotto draw</w:t>
      </w:r>
      <w:r>
        <w:rPr>
          <w:b/>
        </w:rPr>
        <w:t>”</w:t>
      </w:r>
      <w:r>
        <w:t xml:space="preserve"> means a lotto draw conducted in accordance with rule 19, and supervised in accordance with rule 16;</w:t>
      </w:r>
    </w:p>
    <w:p>
      <w:pPr>
        <w:pStyle w:val="Defstart"/>
      </w:pPr>
      <w:r>
        <w:rPr>
          <w:b/>
        </w:rPr>
        <w:tab/>
        <w:t>“</w:t>
      </w:r>
      <w:r>
        <w:rPr>
          <w:rStyle w:val="CharDefText"/>
        </w:rPr>
        <w:t>selected number</w:t>
      </w:r>
      <w:r>
        <w:rPr>
          <w:b/>
        </w:rPr>
        <w:t>”</w:t>
      </w:r>
      <w:r>
        <w:t xml:space="preserve"> means one of the numbers — </w:t>
      </w:r>
    </w:p>
    <w:p>
      <w:pPr>
        <w:pStyle w:val="Defpara"/>
      </w:pPr>
      <w:r>
        <w:tab/>
        <w:t>(a)</w:t>
      </w:r>
      <w:r>
        <w:tab/>
        <w:t>selected on a game board; or</w:t>
      </w:r>
    </w:p>
    <w:p>
      <w:pPr>
        <w:pStyle w:val="Defpara"/>
      </w:pPr>
      <w:r>
        <w:tab/>
        <w:t>(b)</w:t>
      </w:r>
      <w:r>
        <w:tab/>
        <w:t xml:space="preserve">shown on a receipted ticket as a selected number; </w:t>
      </w:r>
    </w:p>
    <w:p>
      <w:pPr>
        <w:pStyle w:val="Defstart"/>
      </w:pPr>
      <w:r>
        <w:rPr>
          <w:b/>
        </w:rPr>
        <w:tab/>
        <w:t>“</w:t>
      </w:r>
      <w:r>
        <w:rPr>
          <w:rStyle w:val="CharDefText"/>
        </w:rPr>
        <w:t>selling period</w:t>
      </w:r>
      <w:r>
        <w:rPr>
          <w:b/>
        </w:rPr>
        <w:t>”</w:t>
      </w:r>
      <w:r>
        <w:t xml:space="preserve"> means the period terminating at 6.00 p.m. on the day on which a Saturday lotto draw takes place, or 5.00 p.m. on that day, if so determined by the Commission from time to time;</w:t>
      </w:r>
    </w:p>
    <w:p>
      <w:pPr>
        <w:pStyle w:val="Defstart"/>
      </w:pPr>
      <w:r>
        <w:rPr>
          <w:b/>
        </w:rPr>
        <w:tab/>
        <w:t>“</w:t>
      </w:r>
      <w:r>
        <w:rPr>
          <w:rStyle w:val="CharDefText"/>
        </w:rPr>
        <w:t>supplementary number</w:t>
      </w:r>
      <w:r>
        <w:rPr>
          <w:b/>
        </w:rPr>
        <w:t>”</w:t>
      </w:r>
      <w:r>
        <w:t xml:space="preserve"> means either of the last 2 numbers drawn from the barrel in a Saturday lotto draw;</w:t>
      </w:r>
    </w:p>
    <w:p>
      <w:pPr>
        <w:pStyle w:val="Defstart"/>
      </w:pPr>
      <w:r>
        <w:rPr>
          <w:b/>
        </w:rPr>
        <w:tab/>
        <w:t>“</w:t>
      </w:r>
      <w:r>
        <w:rPr>
          <w:rStyle w:val="CharDefText"/>
        </w:rPr>
        <w:t>total prize pool</w:t>
      </w:r>
      <w:r>
        <w:rPr>
          <w:b/>
        </w:rPr>
        <w:t>”</w:t>
      </w:r>
      <w:r>
        <w:t xml:space="preserve"> means the prize pool for a Saturday lotto draw, plus any jackpot from a previous draw and any amount that has been taken from the prize reserve fund under rule 25 to increase the division 1 prize pool to a guaranteed minimum amount;</w:t>
      </w:r>
    </w:p>
    <w:p>
      <w:pPr>
        <w:pStyle w:val="Defstart"/>
      </w:pPr>
      <w:r>
        <w:rPr>
          <w:b/>
        </w:rPr>
        <w:tab/>
        <w:t>“</w:t>
      </w:r>
      <w:r>
        <w:rPr>
          <w:rStyle w:val="CharDefText"/>
        </w:rPr>
        <w:t>validation period</w:t>
      </w:r>
      <w:r>
        <w:rPr>
          <w:b/>
        </w:rPr>
        <w:t>”</w:t>
      </w:r>
      <w:r>
        <w:t xml:space="preserve"> means the period of time from a Saturday lotto draw to the close of business —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t>“</w:t>
      </w:r>
      <w:r>
        <w:rPr>
          <w:rStyle w:val="CharDefText"/>
        </w:rPr>
        <w:t>winning number</w:t>
      </w:r>
      <w:r>
        <w:rPr>
          <w:b/>
        </w:rPr>
        <w:t>”</w:t>
      </w:r>
      <w:r>
        <w:t xml:space="preserve"> means any one of the first 6 numbers drawn from the barrel in a Saturday lotto draw.</w:t>
      </w:r>
    </w:p>
    <w:p>
      <w:pPr>
        <w:pStyle w:val="Ednotesection"/>
        <w:ind w:left="890" w:hanging="890"/>
      </w:pPr>
      <w:r>
        <w:tab/>
      </w:r>
      <w:r>
        <w:tab/>
        <w:t xml:space="preserve">[Rule 3 amended in Gazette 5 Dec 1997 p. 7131; 9 Mar 2001 p. 1325; 28 Mar 2002 p. 1765; 10 Sep 2002 p. 4597.] </w:t>
      </w:r>
    </w:p>
    <w:p>
      <w:pPr>
        <w:pStyle w:val="Heading2"/>
      </w:pPr>
      <w:bookmarkStart w:id="42" w:name="_Toc127275204"/>
      <w:bookmarkStart w:id="43" w:name="_Toc127335246"/>
      <w:bookmarkStart w:id="44" w:name="_Toc129672908"/>
      <w:bookmarkStart w:id="45" w:name="_Toc129673010"/>
      <w:bookmarkStart w:id="46" w:name="_Toc129673059"/>
      <w:bookmarkStart w:id="47" w:name="_Toc129673108"/>
      <w:bookmarkStart w:id="48" w:name="_Toc140976736"/>
      <w:bookmarkStart w:id="49" w:name="_Toc140983789"/>
      <w:bookmarkStart w:id="50" w:name="_Toc141751613"/>
      <w:bookmarkStart w:id="51" w:name="_Toc141763642"/>
      <w:bookmarkStart w:id="52" w:name="_Toc144543448"/>
      <w:bookmarkStart w:id="53" w:name="_Toc147222789"/>
      <w:bookmarkStart w:id="54" w:name="_Toc147288967"/>
      <w:r>
        <w:rPr>
          <w:rStyle w:val="CharPartNo"/>
        </w:rPr>
        <w:t>Part 2</w:t>
      </w:r>
      <w:r>
        <w:rPr>
          <w:rStyle w:val="CharDivNo"/>
        </w:rPr>
        <w:t> </w:t>
      </w:r>
      <w:r>
        <w:t>—</w:t>
      </w:r>
      <w:r>
        <w:rPr>
          <w:rStyle w:val="CharDivText"/>
        </w:rPr>
        <w:t> </w:t>
      </w:r>
      <w:r>
        <w:rPr>
          <w:rStyle w:val="CharPartText"/>
        </w:rPr>
        <w:t>Requirements for entry</w:t>
      </w:r>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Heading5"/>
        <w:rPr>
          <w:snapToGrid w:val="0"/>
        </w:rPr>
      </w:pPr>
      <w:bookmarkStart w:id="55" w:name="_Toc5071673"/>
      <w:bookmarkStart w:id="56" w:name="_Toc5071982"/>
      <w:bookmarkStart w:id="57" w:name="_Toc9846747"/>
      <w:bookmarkStart w:id="58" w:name="_Toc129672909"/>
      <w:bookmarkStart w:id="59" w:name="_Toc144543449"/>
      <w:bookmarkStart w:id="60" w:name="_Toc147288968"/>
      <w:r>
        <w:rPr>
          <w:rStyle w:val="CharSectno"/>
        </w:rPr>
        <w:t>4</w:t>
      </w:r>
      <w:r>
        <w:rPr>
          <w:snapToGrid w:val="0"/>
        </w:rPr>
        <w:t>.</w:t>
      </w:r>
      <w:r>
        <w:rPr>
          <w:snapToGrid w:val="0"/>
        </w:rPr>
        <w:tab/>
        <w:t>Entry coupon</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The Commission must ensure that an entry coupon for Saturday lotto displays —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such instructions to subscribers,</w:t>
      </w:r>
    </w:p>
    <w:p>
      <w:pPr>
        <w:pStyle w:val="Subsection"/>
        <w:rPr>
          <w:snapToGrid w:val="0"/>
        </w:rPr>
      </w:pPr>
      <w:r>
        <w:rPr>
          <w:snapToGrid w:val="0"/>
        </w:rPr>
        <w:tab/>
      </w:r>
      <w:r>
        <w:rPr>
          <w:snapToGrid w:val="0"/>
        </w:rPr>
        <w:tab/>
        <w:t>as the Commission considers necessary.</w:t>
      </w:r>
    </w:p>
    <w:p>
      <w:pPr>
        <w:pStyle w:val="Heading5"/>
        <w:rPr>
          <w:snapToGrid w:val="0"/>
        </w:rPr>
      </w:pPr>
      <w:bookmarkStart w:id="61" w:name="_Toc5071674"/>
      <w:bookmarkStart w:id="62" w:name="_Toc5071983"/>
      <w:bookmarkStart w:id="63" w:name="_Toc9846748"/>
      <w:bookmarkStart w:id="64" w:name="_Toc129672910"/>
      <w:bookmarkStart w:id="65" w:name="_Toc144543450"/>
      <w:bookmarkStart w:id="66" w:name="_Toc147288969"/>
      <w:r>
        <w:rPr>
          <w:rStyle w:val="CharSectno"/>
        </w:rPr>
        <w:t>5</w:t>
      </w:r>
      <w:r>
        <w:rPr>
          <w:snapToGrid w:val="0"/>
        </w:rPr>
        <w:t>.</w:t>
      </w:r>
      <w:r>
        <w:rPr>
          <w:snapToGrid w:val="0"/>
        </w:rPr>
        <w:tab/>
        <w:t>Methods of entry</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A person may enter Saturday lotto by — </w:t>
      </w:r>
    </w:p>
    <w:p>
      <w:pPr>
        <w:pStyle w:val="Indenta"/>
        <w:rPr>
          <w:snapToGrid w:val="0"/>
        </w:rPr>
      </w:pPr>
      <w:r>
        <w:rPr>
          <w:snapToGrid w:val="0"/>
        </w:rPr>
        <w:tab/>
        <w:t>(a)</w:t>
      </w:r>
      <w:r>
        <w:rPr>
          <w:snapToGrid w:val="0"/>
        </w:rPr>
        <w:tab/>
        <w:t>filling out an entry coupon in accordance with rule 8; and —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making an oral request for entry in accordance with rule 9,</w:t>
      </w:r>
    </w:p>
    <w:p>
      <w:pPr>
        <w:pStyle w:val="Subsection"/>
        <w:rPr>
          <w:snapToGrid w:val="0"/>
        </w:rPr>
      </w:pPr>
      <w:r>
        <w:rPr>
          <w:snapToGrid w:val="0"/>
        </w:rPr>
        <w:tab/>
      </w:r>
      <w:r>
        <w:rPr>
          <w:snapToGrid w:val="0"/>
        </w:rPr>
        <w:tab/>
        <w:t>and paying the appropriate amount as set out in Schedule 1.</w:t>
      </w:r>
    </w:p>
    <w:p>
      <w:pPr>
        <w:pStyle w:val="Subsection"/>
        <w:rPr>
          <w:snapToGrid w:val="0"/>
        </w:rPr>
      </w:pPr>
      <w:r>
        <w:rPr>
          <w:snapToGrid w:val="0"/>
        </w:rPr>
        <w:tab/>
        <w:t>(2)</w:t>
      </w:r>
      <w:r>
        <w:rPr>
          <w:snapToGrid w:val="0"/>
        </w:rPr>
        <w:tab/>
        <w:t>An entry coupon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Any money tendered with a coupon or oral request that is rejected is to be refunded to the subscriber.</w:t>
      </w:r>
    </w:p>
    <w:p>
      <w:pPr>
        <w:pStyle w:val="Heading5"/>
        <w:rPr>
          <w:snapToGrid w:val="0"/>
        </w:rPr>
      </w:pPr>
      <w:bookmarkStart w:id="67" w:name="_Toc5071675"/>
      <w:bookmarkStart w:id="68" w:name="_Toc5071984"/>
      <w:bookmarkStart w:id="69" w:name="_Toc9846749"/>
      <w:bookmarkStart w:id="70" w:name="_Toc129672911"/>
      <w:bookmarkStart w:id="71" w:name="_Toc144543451"/>
      <w:bookmarkStart w:id="72" w:name="_Toc147288970"/>
      <w:r>
        <w:rPr>
          <w:rStyle w:val="CharSectno"/>
        </w:rPr>
        <w:t>6</w:t>
      </w:r>
      <w:r>
        <w:rPr>
          <w:snapToGrid w:val="0"/>
        </w:rPr>
        <w:t>.</w:t>
      </w:r>
      <w:r>
        <w:rPr>
          <w:snapToGrid w:val="0"/>
        </w:rPr>
        <w:tab/>
        <w:t>No limit to number of entries</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There is no limit on the number of entries a subscriber may make in a Saturday lotto draw.</w:t>
      </w:r>
    </w:p>
    <w:p>
      <w:pPr>
        <w:pStyle w:val="Heading5"/>
        <w:rPr>
          <w:snapToGrid w:val="0"/>
        </w:rPr>
      </w:pPr>
      <w:bookmarkStart w:id="73" w:name="_Toc5071676"/>
      <w:bookmarkStart w:id="74" w:name="_Toc5071985"/>
      <w:bookmarkStart w:id="75" w:name="_Toc9846750"/>
      <w:bookmarkStart w:id="76" w:name="_Toc129672912"/>
      <w:bookmarkStart w:id="77" w:name="_Toc144543452"/>
      <w:bookmarkStart w:id="78" w:name="_Toc147288971"/>
      <w:r>
        <w:rPr>
          <w:rStyle w:val="CharSectno"/>
        </w:rPr>
        <w:t>7</w:t>
      </w:r>
      <w:r>
        <w:rPr>
          <w:snapToGrid w:val="0"/>
        </w:rPr>
        <w:t>.</w:t>
      </w:r>
      <w:r>
        <w:rPr>
          <w:snapToGrid w:val="0"/>
        </w:rPr>
        <w:tab/>
        <w:t>Super 66 entry</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 xml:space="preserve">A subscriber entering a Saturday lotto draw in a particular week may, in conjunction with that entry, enter the super 66 draw for that week in accordance with the </w:t>
      </w:r>
      <w:r>
        <w:rPr>
          <w:i/>
          <w:snapToGrid w:val="0"/>
        </w:rPr>
        <w:t>Lotteries Commission (Super 66) Rules 1996</w:t>
      </w:r>
      <w:r>
        <w:rPr>
          <w:snapToGrid w:val="0"/>
        </w:rPr>
        <w:t>.</w:t>
      </w:r>
    </w:p>
    <w:p>
      <w:pPr>
        <w:pStyle w:val="Heading5"/>
        <w:rPr>
          <w:snapToGrid w:val="0"/>
        </w:rPr>
      </w:pPr>
      <w:bookmarkStart w:id="79" w:name="_Toc5071677"/>
      <w:bookmarkStart w:id="80" w:name="_Toc5071986"/>
      <w:bookmarkStart w:id="81" w:name="_Toc9846751"/>
      <w:bookmarkStart w:id="82" w:name="_Toc129672913"/>
      <w:bookmarkStart w:id="83" w:name="_Toc144543453"/>
      <w:bookmarkStart w:id="84" w:name="_Toc147288972"/>
      <w:r>
        <w:rPr>
          <w:rStyle w:val="CharSectno"/>
        </w:rPr>
        <w:t>8</w:t>
      </w:r>
      <w:r>
        <w:rPr>
          <w:snapToGrid w:val="0"/>
        </w:rPr>
        <w:t>.</w:t>
      </w:r>
      <w:r>
        <w:rPr>
          <w:snapToGrid w:val="0"/>
        </w:rPr>
        <w:tab/>
        <w:t>Completion of entry coupon</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To enter Saturday lotto using an entry coupon, a subscriber must —</w:t>
      </w:r>
    </w:p>
    <w:p>
      <w:pPr>
        <w:pStyle w:val="Indenta"/>
        <w:rPr>
          <w:snapToGrid w:val="0"/>
        </w:rPr>
      </w:pPr>
      <w:r>
        <w:rPr>
          <w:snapToGrid w:val="0"/>
        </w:rPr>
        <w:tab/>
        <w:t>(a)</w:t>
      </w:r>
      <w:r>
        <w:rPr>
          <w:snapToGrid w:val="0"/>
        </w:rPr>
        <w:tab/>
        <w:t>select 6 numbers out of the numbers 1 to 45 in each of at least 4 game boards on the entry coupon; or</w:t>
      </w:r>
    </w:p>
    <w:p>
      <w:pPr>
        <w:pStyle w:val="Indenta"/>
        <w:rPr>
          <w:snapToGrid w:val="0"/>
        </w:rPr>
      </w:pPr>
      <w:r>
        <w:rPr>
          <w:snapToGrid w:val="0"/>
        </w:rPr>
        <w:tab/>
        <w:t>(b)</w:t>
      </w:r>
      <w:r>
        <w:rPr>
          <w:snapToGrid w:val="0"/>
        </w:rPr>
        <w:tab/>
        <w:t>select between 4 and 20 numbers (other than 6 numbers) out of the numbers 1 to 45 in one or more game boards on the entry coupon.</w:t>
      </w:r>
    </w:p>
    <w:p>
      <w:pPr>
        <w:pStyle w:val="Subsection"/>
        <w:rPr>
          <w:snapToGrid w:val="0"/>
        </w:rPr>
      </w:pPr>
      <w:r>
        <w:rPr>
          <w:snapToGrid w:val="0"/>
        </w:rPr>
        <w:tab/>
        <w:t>(2)</w:t>
      </w:r>
      <w:r>
        <w:rPr>
          <w:snapToGrid w:val="0"/>
        </w:rPr>
        <w:tab/>
        <w:t>A subscriber who has filled out a game board on a entry coupon in accordance with rule 8(1) may enter up to 11 further systems entries on that entry coupon by selecting, in each further game board, the same number of numbers as were selected in the first game board, but only up to an entry cost that does not, in aggregate, exceed $99 999.00.</w:t>
      </w:r>
    </w:p>
    <w:p>
      <w:pPr>
        <w:pStyle w:val="Subsection"/>
        <w:rPr>
          <w:snapToGrid w:val="0"/>
        </w:rPr>
      </w:pPr>
      <w:r>
        <w:rPr>
          <w:snapToGrid w:val="0"/>
        </w:rPr>
        <w:tab/>
        <w:t>(3)</w:t>
      </w:r>
      <w:r>
        <w:rPr>
          <w:snapToGrid w:val="0"/>
        </w:rPr>
        <w:tab/>
        <w:t>The subscriber must also mark in the appropriate boxes on the entry coupon — </w:t>
      </w:r>
    </w:p>
    <w:p>
      <w:pPr>
        <w:pStyle w:val="Indenta"/>
        <w:rPr>
          <w:snapToGrid w:val="0"/>
        </w:rPr>
      </w:pPr>
      <w:r>
        <w:rPr>
          <w:snapToGrid w:val="0"/>
        </w:rPr>
        <w:tab/>
        <w:t>(a)</w:t>
      </w:r>
      <w:r>
        <w:rPr>
          <w:snapToGrid w:val="0"/>
        </w:rPr>
        <w:tab/>
        <w:t>whether the entry coupon is to be entered in Saturday lotto; and</w:t>
      </w:r>
    </w:p>
    <w:p>
      <w:pPr>
        <w:pStyle w:val="Indenta"/>
        <w:rPr>
          <w:snapToGrid w:val="0"/>
        </w:rPr>
      </w:pPr>
      <w:r>
        <w:rPr>
          <w:snapToGrid w:val="0"/>
        </w:rPr>
        <w:tab/>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t>(3a)</w:t>
      </w:r>
      <w:r>
        <w:tab/>
        <w:t>In addition to allowing an entry for a particular draw, the Commission may allow a Saturday lotto entry to be for 2, 5 or 10 consecutive weeks, and the subscriber must specify which of the allowed options he or she wishes to exercise.</w:t>
      </w:r>
    </w:p>
    <w:p>
      <w:pPr>
        <w:pStyle w:val="Subsection"/>
        <w:keepNext/>
        <w:rPr>
          <w:snapToGrid w:val="0"/>
        </w:rPr>
      </w:pPr>
      <w:r>
        <w:rPr>
          <w:snapToGrid w:val="0"/>
        </w:rPr>
        <w:tab/>
        <w:t>(4)</w:t>
      </w:r>
      <w:r>
        <w:rPr>
          <w:snapToGrid w:val="0"/>
        </w:rPr>
        <w:tab/>
        <w:t>An entry coupon — </w:t>
      </w:r>
    </w:p>
    <w:p>
      <w:pPr>
        <w:pStyle w:val="Indenta"/>
        <w:rPr>
          <w:snapToGrid w:val="0"/>
        </w:rPr>
      </w:pPr>
      <w:r>
        <w:rPr>
          <w:snapToGrid w:val="0"/>
        </w:rPr>
        <w:tab/>
        <w:t>(a)</w:t>
      </w:r>
      <w:r>
        <w:rPr>
          <w:snapToGrid w:val="0"/>
        </w:rPr>
        <w:tab/>
        <w:t>must be marked by hand in blue ball point pen or pencil in accordance with the instructions on that entry coupon; 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(5)</w:t>
      </w:r>
      <w:r>
        <w:rPr>
          <w:snapToGrid w:val="0"/>
        </w:rPr>
        <w:tab/>
        <w:t>If a subscriber selects, in each completed game board on the entry coupon — </w:t>
      </w:r>
    </w:p>
    <w:p>
      <w:pPr>
        <w:pStyle w:val="Indenta"/>
        <w:rPr>
          <w:snapToGrid w:val="0"/>
        </w:rPr>
      </w:pPr>
      <w:r>
        <w:rPr>
          <w:snapToGrid w:val="0"/>
        </w:rPr>
        <w:tab/>
        <w:t>(a)</w:t>
      </w:r>
      <w:r>
        <w:rPr>
          <w:snapToGrid w:val="0"/>
        </w:rPr>
        <w:tab/>
        <w:t>6 selected numbers, the resulting receipted ticket constitutes one entry (made up of up to 12 games) in Saturday lotto; or</w:t>
      </w:r>
    </w:p>
    <w:p>
      <w:pPr>
        <w:pStyle w:val="Indenta"/>
        <w:rPr>
          <w:snapToGrid w:val="0"/>
        </w:rPr>
      </w:pPr>
      <w:r>
        <w:rPr>
          <w:snapToGrid w:val="0"/>
        </w:rPr>
        <w:tab/>
        <w:t>(b)</w:t>
      </w:r>
      <w:r>
        <w:rPr>
          <w:snapToGrid w:val="0"/>
        </w:rPr>
        <w:tab/>
        <w:t>between 4 and 20 selected numbers (but not 6 numbers), the resulting receipted ticket constitutes one entry in Saturday lotto for each completed game board on the entry coupon.</w:t>
      </w:r>
    </w:p>
    <w:p>
      <w:pPr>
        <w:pStyle w:val="Footnotesection"/>
      </w:pPr>
      <w:r>
        <w:tab/>
        <w:t>[Rule 8 amended in Gazette 9 Mar 2001 p. 1325; 10 Sep 2002 p. 4598; 23 Dec 2005 p. 6274.]</w:t>
      </w:r>
    </w:p>
    <w:p>
      <w:pPr>
        <w:pStyle w:val="Ednotesection"/>
        <w:rPr>
          <w:bCs/>
        </w:rPr>
      </w:pPr>
      <w:bookmarkStart w:id="85" w:name="_Toc5071678"/>
      <w:bookmarkStart w:id="86" w:name="_Toc5071987"/>
      <w:bookmarkStart w:id="87" w:name="_Toc9846752"/>
      <w:r>
        <w:t>[</w:t>
      </w:r>
      <w:r>
        <w:rPr>
          <w:b/>
          <w:bCs/>
        </w:rPr>
        <w:t>8A.</w:t>
      </w:r>
      <w:r>
        <w:rPr>
          <w:bCs/>
        </w:rPr>
        <w:tab/>
        <w:t>Repealed in Gazette 23 Dec 2005 p. 6274.]</w:t>
      </w:r>
    </w:p>
    <w:p>
      <w:pPr>
        <w:pStyle w:val="Heading5"/>
        <w:rPr>
          <w:snapToGrid w:val="0"/>
        </w:rPr>
      </w:pPr>
      <w:bookmarkStart w:id="88" w:name="_Toc129672914"/>
      <w:bookmarkStart w:id="89" w:name="_Toc144543454"/>
      <w:bookmarkStart w:id="90" w:name="_Toc147288973"/>
      <w:r>
        <w:rPr>
          <w:rStyle w:val="CharSectno"/>
        </w:rPr>
        <w:t>9</w:t>
      </w:r>
      <w:r>
        <w:rPr>
          <w:snapToGrid w:val="0"/>
        </w:rPr>
        <w:t>.</w:t>
      </w:r>
      <w:r>
        <w:rPr>
          <w:snapToGrid w:val="0"/>
        </w:rPr>
        <w:tab/>
        <w:t>Oral request for entry</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To enter Saturday lotto without an entry coupon, a subscriber must make an oral request to an agent stating — </w:t>
      </w:r>
    </w:p>
    <w:p>
      <w:pPr>
        <w:pStyle w:val="Indenta"/>
        <w:rPr>
          <w:snapToGrid w:val="0"/>
        </w:rPr>
      </w:pPr>
      <w:r>
        <w:rPr>
          <w:snapToGrid w:val="0"/>
        </w:rPr>
        <w:tab/>
        <w:t>(a)</w:t>
      </w:r>
      <w:r>
        <w:rPr>
          <w:snapToGrid w:val="0"/>
        </w:rPr>
        <w:tab/>
        <w:t>that the entry is for Saturday lotto;</w:t>
      </w:r>
    </w:p>
    <w:p>
      <w:pPr>
        <w:pStyle w:val="Indenta"/>
        <w:rPr>
          <w:snapToGrid w:val="0"/>
        </w:rPr>
      </w:pPr>
      <w:r>
        <w:rPr>
          <w:snapToGrid w:val="0"/>
        </w:rPr>
        <w:tab/>
        <w:t>(b)</w:t>
      </w:r>
      <w:r>
        <w:rPr>
          <w:snapToGrid w:val="0"/>
        </w:rPr>
        <w:tab/>
        <w:t>whether the subscriber wishes to select — </w:t>
      </w:r>
    </w:p>
    <w:p>
      <w:pPr>
        <w:pStyle w:val="Indenti"/>
        <w:rPr>
          <w:snapToGrid w:val="0"/>
        </w:rPr>
      </w:pPr>
      <w:r>
        <w:rPr>
          <w:snapToGrid w:val="0"/>
        </w:rPr>
        <w:tab/>
        <w:t>(i)</w:t>
      </w:r>
      <w:r>
        <w:rPr>
          <w:snapToGrid w:val="0"/>
        </w:rPr>
        <w:tab/>
        <w:t>6 selected numbers; or</w:t>
      </w:r>
    </w:p>
    <w:p>
      <w:pPr>
        <w:pStyle w:val="Indenti"/>
        <w:rPr>
          <w:snapToGrid w:val="0"/>
        </w:rPr>
      </w:pPr>
      <w:r>
        <w:rPr>
          <w:snapToGrid w:val="0"/>
        </w:rPr>
        <w:tab/>
        <w:t>(ii)</w:t>
      </w:r>
      <w:r>
        <w:rPr>
          <w:snapToGrid w:val="0"/>
        </w:rPr>
        <w:tab/>
        <w:t>between 4 and 20 selected numbers (other than 6 numbers) (ie. a systems entry); and</w:t>
      </w:r>
    </w:p>
    <w:p>
      <w:pPr>
        <w:pStyle w:val="Indenta"/>
        <w:rPr>
          <w:snapToGrid w:val="0"/>
        </w:rPr>
      </w:pPr>
      <w:r>
        <w:rPr>
          <w:snapToGrid w:val="0"/>
        </w:rPr>
        <w:tab/>
        <w:t>(ba)</w:t>
      </w:r>
      <w:r>
        <w:rPr>
          <w:snapToGrid w:val="0"/>
        </w:rPr>
        <w:tab/>
        <w:t>if the subscriber selects 6 selected numbers, whether the subscriber wishes the entry to be entered in 12, 14, 18 or 25 games.</w:t>
      </w:r>
    </w:p>
    <w:p>
      <w:pPr>
        <w:pStyle w:val="Subsection"/>
        <w:keepNext/>
        <w:rPr>
          <w:snapToGrid w:val="0"/>
        </w:rPr>
      </w:pPr>
      <w:r>
        <w:rPr>
          <w:snapToGrid w:val="0"/>
        </w:rPr>
        <w:tab/>
        <w:t>(2)</w:t>
      </w:r>
      <w:r>
        <w:rPr>
          <w:snapToGrid w:val="0"/>
        </w:rPr>
        <w:tab/>
        <w:t>If a subscriber requests — </w:t>
      </w:r>
    </w:p>
    <w:p>
      <w:pPr>
        <w:pStyle w:val="Indenta"/>
        <w:rPr>
          <w:snapToGrid w:val="0"/>
        </w:rPr>
      </w:pPr>
      <w:r>
        <w:rPr>
          <w:snapToGrid w:val="0"/>
        </w:rPr>
        <w:tab/>
        <w:t>(a)</w:t>
      </w:r>
      <w:r>
        <w:rPr>
          <w:snapToGrid w:val="0"/>
        </w:rPr>
        <w:tab/>
        <w:t>6 selected numbers, the entry will be entered in 12, 14, 18 or 25 games as requested under subrule (1)(ba); or</w:t>
      </w:r>
    </w:p>
    <w:p>
      <w:pPr>
        <w:pStyle w:val="Indenta"/>
        <w:keepNext/>
        <w:rPr>
          <w:snapToGrid w:val="0"/>
        </w:rPr>
      </w:pPr>
      <w:r>
        <w:rPr>
          <w:snapToGrid w:val="0"/>
        </w:rPr>
        <w:tab/>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In addition to allowing an entry for a particular draw, the Commission may allow a Saturday lotto entry to be for 2, 5 or 10 consecutive weeks, and the subscriber must specify which of the allowed options he or she wishes to exercise.</w:t>
      </w:r>
    </w:p>
    <w:p>
      <w:pPr>
        <w:pStyle w:val="Footnotesection"/>
      </w:pPr>
      <w:r>
        <w:tab/>
        <w:t xml:space="preserve">[Rule 9 amended in Gazette 29 Apr 1997 p. 2147; 9 Mar 2001 p. 1326; 10 Sep 2002 p. 4599; 23 Dec 2005 p. 6274-5.] </w:t>
      </w:r>
    </w:p>
    <w:p>
      <w:pPr>
        <w:pStyle w:val="Heading5"/>
        <w:rPr>
          <w:snapToGrid w:val="0"/>
        </w:rPr>
      </w:pPr>
      <w:bookmarkStart w:id="91" w:name="_Toc5071679"/>
      <w:bookmarkStart w:id="92" w:name="_Toc5071988"/>
      <w:bookmarkStart w:id="93" w:name="_Toc9846753"/>
      <w:bookmarkStart w:id="94" w:name="_Toc129672915"/>
      <w:bookmarkStart w:id="95" w:name="_Toc144543455"/>
      <w:bookmarkStart w:id="96" w:name="_Toc147288974"/>
      <w:r>
        <w:rPr>
          <w:rStyle w:val="CharSectno"/>
        </w:rPr>
        <w:t>10</w:t>
      </w:r>
      <w:r>
        <w:rPr>
          <w:snapToGrid w:val="0"/>
        </w:rPr>
        <w:t>.</w:t>
      </w:r>
      <w:r>
        <w:rPr>
          <w:snapToGrid w:val="0"/>
        </w:rPr>
        <w:tab/>
        <w:t>Entry by mail</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t>“</w:t>
      </w:r>
      <w:r>
        <w:rPr>
          <w:rStyle w:val="CharDefText"/>
        </w:rPr>
        <w:t>postal entry</w:t>
      </w:r>
      <w:r>
        <w:rPr>
          <w:b/>
        </w:rPr>
        <w:t>”</w:t>
      </w:r>
      <w:r>
        <w:t xml:space="preserve"> means an entry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rPr>
          <w:snapToGrid w:val="0"/>
        </w:rPr>
      </w:pPr>
      <w:r>
        <w:rPr>
          <w:snapToGrid w:val="0"/>
        </w:rPr>
        <w:tab/>
        <w:t>(4)</w:t>
      </w:r>
      <w:r>
        <w:rPr>
          <w:snapToGrid w:val="0"/>
        </w:rPr>
        <w:tab/>
        <w:t>If one or more of the game boards on a postal entry contains too many selected numbers the Commission may ignore the highest selected number or numbers in that game board when producing a receipted ticket from that entry coupon.</w:t>
      </w:r>
    </w:p>
    <w:p>
      <w:pPr>
        <w:pStyle w:val="Subsection"/>
        <w:rPr>
          <w:snapToGrid w:val="0"/>
        </w:rPr>
      </w:pPr>
      <w:r>
        <w:rPr>
          <w:snapToGrid w:val="0"/>
        </w:rPr>
        <w:tab/>
        <w:t>(5)</w:t>
      </w:r>
      <w:r>
        <w:rPr>
          <w:snapToGrid w:val="0"/>
        </w:rPr>
        <w:tab/>
        <w:t>If one or more of the game boards on a postal entry contains too few selected numbers, the Commission may —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If a postal entry is bent or creased to the extent that a computer terminal will not accept or correctly read the coupon, 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If a request for entry is received by the Commission by mail, together with the correct payment, but an entry coupon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Saturday lotto draws the Commission must — </w:t>
      </w:r>
    </w:p>
    <w:p>
      <w:pPr>
        <w:pStyle w:val="Indenta"/>
        <w:rPr>
          <w:snapToGrid w:val="0"/>
        </w:rPr>
      </w:pPr>
      <w:r>
        <w:rPr>
          <w:snapToGrid w:val="0"/>
        </w:rPr>
        <w:tab/>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t>(b)</w:t>
      </w:r>
      <w:r>
        <w:rPr>
          <w:snapToGrid w:val="0"/>
        </w:rPr>
        <w:tab/>
        <w:t>if the selling period for one or more of the specified draws has passed, enter the entry in the requested number of Saturday lotto draws commencing with the next Saturday lotto draw for which the selling period has not finished.</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10 Sep 2002 p. 4599; 23 Dec 2005 p. 6275.]</w:t>
      </w:r>
    </w:p>
    <w:p>
      <w:pPr>
        <w:pStyle w:val="Heading5"/>
        <w:rPr>
          <w:snapToGrid w:val="0"/>
        </w:rPr>
      </w:pPr>
      <w:bookmarkStart w:id="97" w:name="_Toc5071680"/>
      <w:bookmarkStart w:id="98" w:name="_Toc5071989"/>
      <w:bookmarkStart w:id="99" w:name="_Toc9846754"/>
      <w:bookmarkStart w:id="100" w:name="_Toc129672916"/>
      <w:bookmarkStart w:id="101" w:name="_Toc144543456"/>
      <w:bookmarkStart w:id="102" w:name="_Toc147288975"/>
      <w:r>
        <w:rPr>
          <w:rStyle w:val="CharSectno"/>
        </w:rPr>
        <w:t>11</w:t>
      </w:r>
      <w:r>
        <w:rPr>
          <w:snapToGrid w:val="0"/>
        </w:rPr>
        <w:t>.</w:t>
      </w:r>
      <w:r>
        <w:rPr>
          <w:snapToGrid w:val="0"/>
        </w:rPr>
        <w:tab/>
        <w:t>Receipted tickets</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Where a person gives to an agent an entry coupon completed in accordance with these rules and makes the appropriate payment, the agent must use that entry coupon to generate a receipted ticket or tickets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Subject to rule 10, on receipt of an entry coupon completed and posted in accordance with these rules, to the Commission with the appropriate payment, the Commission must use that entry coupon to generate a receipted ticket or tickets and post it or them by ordinary mail to the subscriber at the return address accompanying the entry.</w:t>
      </w:r>
    </w:p>
    <w:p>
      <w:pPr>
        <w:pStyle w:val="Heading5"/>
        <w:rPr>
          <w:snapToGrid w:val="0"/>
        </w:rPr>
      </w:pPr>
      <w:bookmarkStart w:id="103" w:name="_Toc5071681"/>
      <w:bookmarkStart w:id="104" w:name="_Toc5071990"/>
      <w:bookmarkStart w:id="105" w:name="_Toc9846755"/>
      <w:bookmarkStart w:id="106" w:name="_Toc129672917"/>
      <w:bookmarkStart w:id="107" w:name="_Toc144543457"/>
      <w:bookmarkStart w:id="108" w:name="_Toc147288976"/>
      <w:r>
        <w:rPr>
          <w:rStyle w:val="CharSectno"/>
        </w:rPr>
        <w:t>12</w:t>
      </w:r>
      <w:r>
        <w:rPr>
          <w:snapToGrid w:val="0"/>
        </w:rPr>
        <w:t>.</w:t>
      </w:r>
      <w:r>
        <w:rPr>
          <w:snapToGrid w:val="0"/>
        </w:rPr>
        <w:tab/>
        <w:t>Surrender of receipted ticket</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A subscriber may surrender a receipted ticket for any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Saturday lotto business for that selling point; and</w:t>
      </w:r>
    </w:p>
    <w:p>
      <w:pPr>
        <w:pStyle w:val="Indenta"/>
        <w:rPr>
          <w:snapToGrid w:val="0"/>
        </w:rPr>
      </w:pPr>
      <w:r>
        <w:rPr>
          <w:snapToGrid w:val="0"/>
        </w:rPr>
        <w:tab/>
        <w:t>(d)</w:t>
      </w:r>
      <w:r>
        <w:rPr>
          <w:snapToGrid w:val="0"/>
        </w:rPr>
        <w:tab/>
        <w:t>within the selling period for that ticket.</w:t>
      </w:r>
    </w:p>
    <w:p>
      <w:pPr>
        <w:pStyle w:val="Ednotesubsection"/>
      </w:pPr>
      <w:r>
        <w:tab/>
        <w:t>[(2)</w:t>
      </w:r>
      <w:r>
        <w:tab/>
        <w:t>repealed]</w:t>
      </w:r>
    </w:p>
    <w:p>
      <w:pPr>
        <w:pStyle w:val="Subsection"/>
        <w:rPr>
          <w:snapToGrid w:val="0"/>
        </w:rPr>
      </w:pPr>
      <w:r>
        <w:rPr>
          <w:snapToGrid w:val="0"/>
        </w:rPr>
        <w:tab/>
        <w:t>(3)</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9 Mar 2001 p. 1326.]</w:t>
      </w:r>
    </w:p>
    <w:p>
      <w:pPr>
        <w:pStyle w:val="Heading5"/>
        <w:rPr>
          <w:snapToGrid w:val="0"/>
        </w:rPr>
      </w:pPr>
      <w:bookmarkStart w:id="109" w:name="_Toc5071682"/>
      <w:bookmarkStart w:id="110" w:name="_Toc5071991"/>
      <w:bookmarkStart w:id="111" w:name="_Toc9846756"/>
      <w:bookmarkStart w:id="112" w:name="_Toc129672918"/>
      <w:bookmarkStart w:id="113" w:name="_Toc144543458"/>
      <w:bookmarkStart w:id="114" w:name="_Toc147288977"/>
      <w:r>
        <w:rPr>
          <w:rStyle w:val="CharSectno"/>
        </w:rPr>
        <w:t>13</w:t>
      </w:r>
      <w:r>
        <w:rPr>
          <w:snapToGrid w:val="0"/>
        </w:rPr>
        <w:t>.</w:t>
      </w:r>
      <w:r>
        <w:rPr>
          <w:snapToGrid w:val="0"/>
        </w:rPr>
        <w:tab/>
        <w:t>Accuracy of receipted ticket</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An agent who generates a receipted ticket by processing an entry form or as a result of an oral request for entry is under no duty to ensure that receipted ticket accurately reflects the entry coupon or request.</w:t>
      </w:r>
    </w:p>
    <w:p>
      <w:pPr>
        <w:pStyle w:val="Heading5"/>
        <w:rPr>
          <w:snapToGrid w:val="0"/>
        </w:rPr>
      </w:pPr>
      <w:bookmarkStart w:id="115" w:name="_Toc5071683"/>
      <w:bookmarkStart w:id="116" w:name="_Toc5071992"/>
      <w:bookmarkStart w:id="117" w:name="_Toc9846757"/>
      <w:bookmarkStart w:id="118" w:name="_Toc129672919"/>
      <w:bookmarkStart w:id="119" w:name="_Toc144543459"/>
      <w:bookmarkStart w:id="120" w:name="_Toc147288978"/>
      <w:r>
        <w:rPr>
          <w:rStyle w:val="CharSectno"/>
        </w:rPr>
        <w:t>14</w:t>
      </w:r>
      <w:r>
        <w:rPr>
          <w:snapToGrid w:val="0"/>
        </w:rPr>
        <w:t>.</w:t>
      </w:r>
      <w:r>
        <w:rPr>
          <w:snapToGrid w:val="0"/>
        </w:rPr>
        <w:tab/>
        <w:t>Validity of receipted ticket</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Subject to subrule (2), a receipted ticket is an acknowledgement by the Commission that it has accepted an entry, or a number of systems entries, as appearing on the ticket, in the numbered Saturday lotto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t>(a)</w:t>
      </w:r>
      <w:r>
        <w:rPr>
          <w:snapToGrid w:val="0"/>
        </w:rPr>
        <w:tab/>
        <w:t>has been surrendered in accordance with rule 12;</w:t>
      </w:r>
    </w:p>
    <w:p>
      <w:pPr>
        <w:pStyle w:val="Indenta"/>
      </w:pPr>
      <w:r>
        <w:tab/>
        <w:t>(ab)</w:t>
      </w:r>
      <w:r>
        <w:tab/>
        <w:t>is partially invalid because a “consecutive week” option is not allowed for some of the draws on the receipted ticket;</w:t>
      </w:r>
    </w:p>
    <w:p>
      <w:pPr>
        <w:pStyle w:val="Indenta"/>
        <w:rPr>
          <w:snapToGrid w:val="0"/>
        </w:rPr>
      </w:pPr>
      <w:r>
        <w:rPr>
          <w:snapToGrid w:val="0"/>
        </w:rPr>
        <w:tab/>
        <w:t>(b)</w:t>
      </w:r>
      <w:r>
        <w:rPr>
          <w:snapToGrid w:val="0"/>
        </w:rPr>
        <w:tab/>
        <w:t>has, during the selling period for that draw, been found to be invalid as a result of non</w:t>
      </w:r>
      <w:r>
        <w:rPr>
          <w:snapToGrid w:val="0"/>
        </w:rPr>
        <w:noBreakHyphen/>
        <w:t>compliance with rule 8(4)(b);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Footnotesection"/>
      </w:pPr>
      <w:r>
        <w:tab/>
        <w:t>[Rule 14 amended in Gazette 10 Sep 2002 p. 4599; 23 Dec 2005 p. 6275.]</w:t>
      </w:r>
    </w:p>
    <w:p>
      <w:pPr>
        <w:pStyle w:val="Heading2"/>
      </w:pPr>
      <w:bookmarkStart w:id="121" w:name="_Toc127275216"/>
      <w:bookmarkStart w:id="122" w:name="_Toc127335258"/>
      <w:bookmarkStart w:id="123" w:name="_Toc129672920"/>
      <w:bookmarkStart w:id="124" w:name="_Toc129673022"/>
      <w:bookmarkStart w:id="125" w:name="_Toc129673071"/>
      <w:bookmarkStart w:id="126" w:name="_Toc129673120"/>
      <w:bookmarkStart w:id="127" w:name="_Toc140976748"/>
      <w:bookmarkStart w:id="128" w:name="_Toc140983801"/>
      <w:bookmarkStart w:id="129" w:name="_Toc141751625"/>
      <w:bookmarkStart w:id="130" w:name="_Toc141763654"/>
      <w:bookmarkStart w:id="131" w:name="_Toc144543460"/>
      <w:bookmarkStart w:id="132" w:name="_Toc147222801"/>
      <w:bookmarkStart w:id="133" w:name="_Toc147288979"/>
      <w:r>
        <w:rPr>
          <w:rStyle w:val="CharPartNo"/>
        </w:rPr>
        <w:t>Part 3</w:t>
      </w:r>
      <w:r>
        <w:rPr>
          <w:rStyle w:val="CharDivNo"/>
        </w:rPr>
        <w:t> </w:t>
      </w:r>
      <w:r>
        <w:t>—</w:t>
      </w:r>
      <w:r>
        <w:rPr>
          <w:rStyle w:val="CharDivText"/>
        </w:rPr>
        <w:t> </w:t>
      </w:r>
      <w:r>
        <w:rPr>
          <w:rStyle w:val="CharPartText"/>
        </w:rPr>
        <w:t>General duties of Commission</w:t>
      </w:r>
      <w:bookmarkEnd w:id="121"/>
      <w:bookmarkEnd w:id="122"/>
      <w:bookmarkEnd w:id="123"/>
      <w:bookmarkEnd w:id="124"/>
      <w:bookmarkEnd w:id="125"/>
      <w:bookmarkEnd w:id="126"/>
      <w:bookmarkEnd w:id="127"/>
      <w:bookmarkEnd w:id="128"/>
      <w:bookmarkEnd w:id="129"/>
      <w:bookmarkEnd w:id="130"/>
      <w:bookmarkEnd w:id="131"/>
      <w:bookmarkEnd w:id="132"/>
      <w:bookmarkEnd w:id="133"/>
      <w:r>
        <w:rPr>
          <w:rStyle w:val="CharPartText"/>
        </w:rPr>
        <w:t xml:space="preserve"> </w:t>
      </w:r>
    </w:p>
    <w:p>
      <w:pPr>
        <w:pStyle w:val="Heading5"/>
        <w:rPr>
          <w:snapToGrid w:val="0"/>
        </w:rPr>
      </w:pPr>
      <w:bookmarkStart w:id="134" w:name="_Toc5071684"/>
      <w:bookmarkStart w:id="135" w:name="_Toc5071993"/>
      <w:bookmarkStart w:id="136" w:name="_Toc9846758"/>
      <w:bookmarkStart w:id="137" w:name="_Toc129672921"/>
      <w:bookmarkStart w:id="138" w:name="_Toc144543461"/>
      <w:bookmarkStart w:id="139" w:name="_Toc147288980"/>
      <w:r>
        <w:rPr>
          <w:rStyle w:val="CharSectno"/>
        </w:rPr>
        <w:t>15</w:t>
      </w:r>
      <w:r>
        <w:rPr>
          <w:snapToGrid w:val="0"/>
        </w:rPr>
        <w:t>.</w:t>
      </w:r>
      <w:r>
        <w:rPr>
          <w:snapToGrid w:val="0"/>
        </w:rPr>
        <w:tab/>
        <w:t>Saturday draws to be numbered</w:t>
      </w:r>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Each Saturday lotto draw conducted by the Commission is to be identified with a “draw number”.</w:t>
      </w:r>
    </w:p>
    <w:p>
      <w:pPr>
        <w:pStyle w:val="Heading5"/>
      </w:pPr>
      <w:bookmarkStart w:id="140" w:name="_Toc5071685"/>
      <w:bookmarkStart w:id="141" w:name="_Toc5071994"/>
      <w:bookmarkStart w:id="142" w:name="_Toc9846759"/>
      <w:bookmarkStart w:id="143" w:name="_Toc129672922"/>
      <w:bookmarkStart w:id="144" w:name="_Toc144543462"/>
      <w:bookmarkStart w:id="145" w:name="_Toc147288981"/>
      <w:r>
        <w:rPr>
          <w:rStyle w:val="CharSectno"/>
        </w:rPr>
        <w:t>16</w:t>
      </w:r>
      <w:r>
        <w:t>.</w:t>
      </w:r>
      <w:r>
        <w:tab/>
        <w:t>Supervision of Saturday lotto</w:t>
      </w:r>
      <w:bookmarkEnd w:id="140"/>
      <w:bookmarkEnd w:id="141"/>
      <w:bookmarkEnd w:id="142"/>
      <w:bookmarkEnd w:id="143"/>
      <w:bookmarkEnd w:id="144"/>
      <w:bookmarkEnd w:id="145"/>
    </w:p>
    <w:p>
      <w:pPr>
        <w:pStyle w:val="Subsection"/>
      </w:pPr>
      <w:r>
        <w:tab/>
      </w:r>
      <w:r>
        <w:tab/>
        <w:t>Saturday lotto is to be supervised in accordance with the relevant regulations of the State or Territory in which the draw takes place.</w:t>
      </w:r>
    </w:p>
    <w:p>
      <w:pPr>
        <w:pStyle w:val="Footnotesection"/>
      </w:pPr>
      <w:r>
        <w:tab/>
        <w:t>[Rule 16 inserted in Gazette 9 Mar 2001 p. 1326.]</w:t>
      </w:r>
    </w:p>
    <w:p>
      <w:pPr>
        <w:pStyle w:val="Heading5"/>
        <w:rPr>
          <w:snapToGrid w:val="0"/>
        </w:rPr>
      </w:pPr>
      <w:bookmarkStart w:id="146" w:name="_Toc5071686"/>
      <w:bookmarkStart w:id="147" w:name="_Toc5071995"/>
      <w:bookmarkStart w:id="148" w:name="_Toc9846760"/>
      <w:bookmarkStart w:id="149" w:name="_Toc129672923"/>
      <w:bookmarkStart w:id="150" w:name="_Toc144543463"/>
      <w:bookmarkStart w:id="151" w:name="_Toc147288982"/>
      <w:r>
        <w:rPr>
          <w:rStyle w:val="CharSectno"/>
        </w:rPr>
        <w:t>17</w:t>
      </w:r>
      <w:r>
        <w:rPr>
          <w:snapToGrid w:val="0"/>
        </w:rPr>
        <w:t>.</w:t>
      </w:r>
      <w:r>
        <w:rPr>
          <w:snapToGrid w:val="0"/>
        </w:rPr>
        <w:tab/>
        <w:t>Publication of results</w:t>
      </w:r>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After each Saturday lotto draw the Commission must publish, in a daily newspaper in this State — </w:t>
      </w:r>
    </w:p>
    <w:p>
      <w:pPr>
        <w:pStyle w:val="Indenta"/>
        <w:rPr>
          <w:snapToGrid w:val="0"/>
        </w:rPr>
      </w:pPr>
      <w:r>
        <w:rPr>
          <w:snapToGrid w:val="0"/>
        </w:rPr>
        <w:tab/>
        <w:t>(a)</w:t>
      </w:r>
      <w:r>
        <w:rPr>
          <w:snapToGrid w:val="0"/>
        </w:rPr>
        <w:tab/>
        <w:t>the “draw number” for that Saturday lotto draw;</w:t>
      </w:r>
    </w:p>
    <w:p>
      <w:pPr>
        <w:pStyle w:val="Indenta"/>
        <w:rPr>
          <w:snapToGrid w:val="0"/>
        </w:rPr>
      </w:pPr>
      <w:r>
        <w:rPr>
          <w:snapToGrid w:val="0"/>
        </w:rPr>
        <w:tab/>
        <w:t>(b)</w:t>
      </w:r>
      <w:r>
        <w:rPr>
          <w:snapToGrid w:val="0"/>
        </w:rPr>
        <w:tab/>
        <w:t xml:space="preserve">the 6 winning numbers and the 2 supplementary numbers; </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 xml:space="preserve">the amount allocated to a winning game in each division; </w:t>
      </w:r>
    </w:p>
    <w:p>
      <w:pPr>
        <w:pStyle w:val="Indenta"/>
        <w:rPr>
          <w:snapToGrid w:val="0"/>
        </w:rPr>
      </w:pPr>
      <w:r>
        <w:rPr>
          <w:snapToGrid w:val="0"/>
        </w:rPr>
        <w:tab/>
        <w:t>(e)</w:t>
      </w:r>
      <w:r>
        <w:rPr>
          <w:snapToGrid w:val="0"/>
        </w:rPr>
        <w:tab/>
        <w:t>the validation period and the date after which division 1 prizes will be paid;</w:t>
      </w:r>
    </w:p>
    <w:p>
      <w:pPr>
        <w:pStyle w:val="Indenta"/>
        <w:rPr>
          <w:snapToGrid w:val="0"/>
        </w:rPr>
      </w:pPr>
      <w:r>
        <w:rPr>
          <w:snapToGrid w:val="0"/>
        </w:rPr>
        <w:tab/>
        <w:t>(f)</w:t>
      </w:r>
      <w:r>
        <w:rPr>
          <w:snapToGrid w:val="0"/>
        </w:rPr>
        <w:tab/>
        <w:t xml:space="preserve">the total prize pool for that Saturday lotto draw; and </w:t>
      </w:r>
    </w:p>
    <w:p>
      <w:pPr>
        <w:pStyle w:val="Indenta"/>
        <w:rPr>
          <w:snapToGrid w:val="0"/>
        </w:rPr>
      </w:pPr>
      <w:r>
        <w:rPr>
          <w:snapToGrid w:val="0"/>
        </w:rPr>
        <w:tab/>
        <w:t>(g)</w:t>
      </w:r>
      <w:r>
        <w:rPr>
          <w:snapToGrid w:val="0"/>
        </w:rPr>
        <w:tab/>
        <w:t>the amount, if any, to carry over as a jackpot to the division 1 prize pool for the next Saturday lotto draw.</w:t>
      </w:r>
    </w:p>
    <w:p>
      <w:pPr>
        <w:pStyle w:val="Heading5"/>
        <w:rPr>
          <w:snapToGrid w:val="0"/>
        </w:rPr>
      </w:pPr>
      <w:bookmarkStart w:id="152" w:name="_Toc5071687"/>
      <w:bookmarkStart w:id="153" w:name="_Toc5071996"/>
      <w:bookmarkStart w:id="154" w:name="_Toc9846761"/>
      <w:bookmarkStart w:id="155" w:name="_Toc129672924"/>
      <w:bookmarkStart w:id="156" w:name="_Toc144543464"/>
      <w:bookmarkStart w:id="157" w:name="_Toc147288983"/>
      <w:r>
        <w:rPr>
          <w:rStyle w:val="CharSectno"/>
        </w:rPr>
        <w:t>18</w:t>
      </w:r>
      <w:r>
        <w:rPr>
          <w:snapToGrid w:val="0"/>
        </w:rPr>
        <w:t>.</w:t>
      </w:r>
      <w:r>
        <w:rPr>
          <w:snapToGrid w:val="0"/>
        </w:rPr>
        <w:tab/>
        <w:t>Australian Lotto Bloc prize pool and prize reserve fund</w:t>
      </w:r>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Saturday lotto draw to a combined Australian Lotto Bloc prize fund in accordance with the appropriate agreement.</w:t>
      </w:r>
    </w:p>
    <w:p>
      <w:pPr>
        <w:pStyle w:val="Subsection"/>
        <w:rPr>
          <w:snapToGrid w:val="0"/>
        </w:rPr>
      </w:pPr>
      <w:r>
        <w:rPr>
          <w:snapToGrid w:val="0"/>
        </w:rPr>
        <w:tab/>
        <w:t>(2)</w:t>
      </w:r>
      <w:r>
        <w:rPr>
          <w:snapToGrid w:val="0"/>
        </w:rPr>
        <w:tab/>
        <w:t xml:space="preserve">The </w:t>
      </w:r>
      <w:ins w:id="158" w:author="Master Repository Process" w:date="2021-08-29T02:02:00Z">
        <w:r>
          <w:t xml:space="preserve">total </w:t>
        </w:r>
      </w:ins>
      <w:r>
        <w:t xml:space="preserve">contribution under subrule (1) </w:t>
      </w:r>
      <w:del w:id="159" w:author="Master Repository Process" w:date="2021-08-29T02:02:00Z">
        <w:r>
          <w:rPr>
            <w:snapToGrid w:val="0"/>
          </w:rPr>
          <w:delText>are</w:delText>
        </w:r>
      </w:del>
      <w:ins w:id="160" w:author="Master Repository Process" w:date="2021-08-29T02:02:00Z">
        <w:r>
          <w:t>is</w:t>
        </w:r>
      </w:ins>
      <w:r>
        <w:rPr>
          <w:snapToGrid w:val="0"/>
        </w:rPr>
        <w:t xml:space="preserve"> to be divided so that — </w:t>
      </w:r>
    </w:p>
    <w:p>
      <w:pPr>
        <w:pStyle w:val="Indenta"/>
        <w:rPr>
          <w:snapToGrid w:val="0"/>
        </w:rPr>
      </w:pPr>
      <w:r>
        <w:rPr>
          <w:snapToGrid w:val="0"/>
        </w:rPr>
        <w:tab/>
        <w:t>(a)</w:t>
      </w:r>
      <w:r>
        <w:rPr>
          <w:snapToGrid w:val="0"/>
        </w:rPr>
        <w:tab/>
      </w:r>
      <w:ins w:id="161" w:author="Master Repository Process" w:date="2021-08-29T02:02:00Z">
        <w:r>
          <w:t xml:space="preserve">not less than </w:t>
        </w:r>
      </w:ins>
      <w:r>
        <w:t xml:space="preserve">55% </w:t>
      </w:r>
      <w:r>
        <w:rPr>
          <w:snapToGrid w:val="0"/>
        </w:rPr>
        <w:t>of the Commission’s subscriptions go to the Australian Lotto Bloc Saturday lotto prize pool; and</w:t>
      </w:r>
    </w:p>
    <w:p>
      <w:pPr>
        <w:pStyle w:val="Indenta"/>
        <w:rPr>
          <w:snapToGrid w:val="0"/>
        </w:rPr>
      </w:pPr>
      <w:r>
        <w:rPr>
          <w:snapToGrid w:val="0"/>
        </w:rPr>
        <w:tab/>
        <w:t>(b)</w:t>
      </w:r>
      <w:r>
        <w:rPr>
          <w:snapToGrid w:val="0"/>
        </w:rPr>
        <w:tab/>
        <w:t xml:space="preserve">the </w:t>
      </w:r>
      <w:del w:id="162" w:author="Master Repository Process" w:date="2021-08-29T02:02:00Z">
        <w:r>
          <w:rPr>
            <w:snapToGrid w:val="0"/>
          </w:rPr>
          <w:delText>remaining 5%</w:delText>
        </w:r>
      </w:del>
      <w:ins w:id="163" w:author="Master Repository Process" w:date="2021-08-29T02:02:00Z">
        <w:r>
          <w:t>balance</w:t>
        </w:r>
      </w:ins>
      <w:r>
        <w:t xml:space="preserve"> of the </w:t>
      </w:r>
      <w:del w:id="164" w:author="Master Repository Process" w:date="2021-08-29T02:02:00Z">
        <w:r>
          <w:rPr>
            <w:snapToGrid w:val="0"/>
          </w:rPr>
          <w:delText>Commission’s subscriptions</w:delText>
        </w:r>
      </w:del>
      <w:ins w:id="165" w:author="Master Repository Process" w:date="2021-08-29T02:02:00Z">
        <w:r>
          <w:t>contribution</w:t>
        </w:r>
      </w:ins>
      <w:r>
        <w:rPr>
          <w:snapToGrid w:val="0"/>
        </w:rPr>
        <w:t xml:space="preserve"> go to the Australian Lotto Bloc Saturday lotto prize reserve fund.</w:t>
      </w:r>
    </w:p>
    <w:p>
      <w:pPr>
        <w:pStyle w:val="Subsection"/>
        <w:rPr>
          <w:snapToGrid w:val="0"/>
        </w:rPr>
      </w:pPr>
      <w:r>
        <w:rPr>
          <w:snapToGrid w:val="0"/>
        </w:rPr>
        <w:tab/>
        <w:t>(3)</w:t>
      </w:r>
      <w:r>
        <w:rPr>
          <w:snapToGrid w:val="0"/>
        </w:rPr>
        <w:tab/>
        <w:t>The prize reserve fund may only be distributed as additional prize money, in such amounts and in such Saturday lotto draws, as are agreed by the members of the Australian Lotto Bloc.</w:t>
      </w:r>
    </w:p>
    <w:p>
      <w:pPr>
        <w:pStyle w:val="Footnotesection"/>
        <w:rPr>
          <w:ins w:id="166" w:author="Master Repository Process" w:date="2021-08-29T02:02:00Z"/>
        </w:rPr>
      </w:pPr>
      <w:ins w:id="167" w:author="Master Repository Process" w:date="2021-08-29T02:02:00Z">
        <w:r>
          <w:tab/>
          <w:t>[Rule 18 amended in Gazette 29 Sep 2006 p. 4268.]</w:t>
        </w:r>
      </w:ins>
    </w:p>
    <w:p>
      <w:pPr>
        <w:pStyle w:val="Heading2"/>
      </w:pPr>
      <w:bookmarkStart w:id="168" w:name="_Toc127275221"/>
      <w:bookmarkStart w:id="169" w:name="_Toc127335263"/>
      <w:bookmarkStart w:id="170" w:name="_Toc129672925"/>
      <w:bookmarkStart w:id="171" w:name="_Toc129673027"/>
      <w:bookmarkStart w:id="172" w:name="_Toc129673076"/>
      <w:bookmarkStart w:id="173" w:name="_Toc129673125"/>
      <w:bookmarkStart w:id="174" w:name="_Toc140976753"/>
      <w:bookmarkStart w:id="175" w:name="_Toc140983806"/>
      <w:bookmarkStart w:id="176" w:name="_Toc141751630"/>
      <w:bookmarkStart w:id="177" w:name="_Toc141763659"/>
      <w:bookmarkStart w:id="178" w:name="_Toc144543465"/>
      <w:bookmarkStart w:id="179" w:name="_Toc147222806"/>
      <w:bookmarkStart w:id="180" w:name="_Toc147288984"/>
      <w:r>
        <w:rPr>
          <w:rStyle w:val="CharPartNo"/>
        </w:rPr>
        <w:t>Part 4</w:t>
      </w:r>
      <w:r>
        <w:rPr>
          <w:rStyle w:val="CharDivNo"/>
        </w:rPr>
        <w:t> </w:t>
      </w:r>
      <w:r>
        <w:t>—</w:t>
      </w:r>
      <w:r>
        <w:rPr>
          <w:rStyle w:val="CharDivText"/>
        </w:rPr>
        <w:t> </w:t>
      </w:r>
      <w:r>
        <w:rPr>
          <w:rStyle w:val="CharPartText"/>
        </w:rPr>
        <w:t>Saturday lotto draw</w:t>
      </w:r>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PartText"/>
        </w:rPr>
        <w:t xml:space="preserve"> </w:t>
      </w:r>
    </w:p>
    <w:p>
      <w:pPr>
        <w:pStyle w:val="Heading5"/>
        <w:rPr>
          <w:snapToGrid w:val="0"/>
        </w:rPr>
      </w:pPr>
      <w:bookmarkStart w:id="181" w:name="_Toc5071688"/>
      <w:bookmarkStart w:id="182" w:name="_Toc5071997"/>
      <w:bookmarkStart w:id="183" w:name="_Toc9846762"/>
      <w:bookmarkStart w:id="184" w:name="_Toc129672926"/>
      <w:bookmarkStart w:id="185" w:name="_Toc144543466"/>
      <w:bookmarkStart w:id="186" w:name="_Toc147288985"/>
      <w:r>
        <w:rPr>
          <w:rStyle w:val="CharSectno"/>
        </w:rPr>
        <w:t>19</w:t>
      </w:r>
      <w:r>
        <w:rPr>
          <w:snapToGrid w:val="0"/>
        </w:rPr>
        <w:t>.</w:t>
      </w:r>
      <w:r>
        <w:rPr>
          <w:snapToGrid w:val="0"/>
        </w:rPr>
        <w:tab/>
        <w:t>Saturday lotto draw</w:t>
      </w:r>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A Saturday lotto draw consists of the mechanical, equally random selection of 8 numbered balls from balls individually numbered from 1 to 45 inclusive from a barrel in a manner and using such equipment as the Commission or a designated authority determines.</w:t>
      </w:r>
    </w:p>
    <w:p>
      <w:pPr>
        <w:pStyle w:val="Footnotesection"/>
      </w:pPr>
      <w:r>
        <w:tab/>
        <w:t>[Rule 19 amended in Gazette 9 Mar 2001 p. 1326.]</w:t>
      </w:r>
    </w:p>
    <w:p>
      <w:pPr>
        <w:pStyle w:val="Heading5"/>
        <w:rPr>
          <w:snapToGrid w:val="0"/>
        </w:rPr>
      </w:pPr>
      <w:bookmarkStart w:id="187" w:name="_Toc5071689"/>
      <w:bookmarkStart w:id="188" w:name="_Toc5071998"/>
      <w:bookmarkStart w:id="189" w:name="_Toc9846763"/>
      <w:bookmarkStart w:id="190" w:name="_Toc129672927"/>
      <w:bookmarkStart w:id="191" w:name="_Toc144543467"/>
      <w:bookmarkStart w:id="192" w:name="_Toc147288986"/>
      <w:r>
        <w:rPr>
          <w:rStyle w:val="CharSectno"/>
        </w:rPr>
        <w:t>20</w:t>
      </w:r>
      <w:r>
        <w:rPr>
          <w:snapToGrid w:val="0"/>
        </w:rPr>
        <w:t>.</w:t>
      </w:r>
      <w:r>
        <w:rPr>
          <w:snapToGrid w:val="0"/>
        </w:rPr>
        <w:tab/>
        <w:t>Criteria for Saturday lotto prizes</w:t>
      </w:r>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In a Saturday lotto draw the holder of a receipted ticket wins — </w:t>
      </w:r>
    </w:p>
    <w:p>
      <w:pPr>
        <w:pStyle w:val="Indenta"/>
        <w:spacing w:before="60"/>
        <w:rPr>
          <w:snapToGrid w:val="0"/>
        </w:rPr>
      </w:pPr>
      <w:r>
        <w:rPr>
          <w:snapToGrid w:val="0"/>
        </w:rPr>
        <w:tab/>
        <w:t>(a)</w:t>
      </w:r>
      <w:r>
        <w:rPr>
          <w:snapToGrid w:val="0"/>
        </w:rPr>
        <w:tab/>
        <w:t>division 1, if all 6 winning numbers;</w:t>
      </w:r>
    </w:p>
    <w:p>
      <w:pPr>
        <w:pStyle w:val="Indenta"/>
        <w:spacing w:before="60"/>
        <w:rPr>
          <w:snapToGrid w:val="0"/>
        </w:rPr>
      </w:pPr>
      <w:r>
        <w:rPr>
          <w:snapToGrid w:val="0"/>
        </w:rPr>
        <w:tab/>
        <w:t>(b)</w:t>
      </w:r>
      <w:r>
        <w:rPr>
          <w:snapToGrid w:val="0"/>
        </w:rPr>
        <w:tab/>
        <w:t>division 2, if 5 winning numbers and a supplementary number;</w:t>
      </w:r>
    </w:p>
    <w:p>
      <w:pPr>
        <w:pStyle w:val="Indenta"/>
        <w:spacing w:before="60"/>
        <w:rPr>
          <w:snapToGrid w:val="0"/>
        </w:rPr>
      </w:pPr>
      <w:r>
        <w:rPr>
          <w:snapToGrid w:val="0"/>
        </w:rPr>
        <w:tab/>
        <w:t>(c)</w:t>
      </w:r>
      <w:r>
        <w:rPr>
          <w:snapToGrid w:val="0"/>
        </w:rPr>
        <w:tab/>
        <w:t>division 3, if 5 winning numbers;</w:t>
      </w:r>
    </w:p>
    <w:p>
      <w:pPr>
        <w:pStyle w:val="Indenta"/>
        <w:spacing w:before="60"/>
        <w:rPr>
          <w:snapToGrid w:val="0"/>
        </w:rPr>
      </w:pPr>
      <w:r>
        <w:rPr>
          <w:snapToGrid w:val="0"/>
        </w:rPr>
        <w:tab/>
        <w:t>(d)</w:t>
      </w:r>
      <w:r>
        <w:rPr>
          <w:snapToGrid w:val="0"/>
        </w:rPr>
        <w:tab/>
        <w:t>division 4, if 4 winning numbers; or</w:t>
      </w:r>
    </w:p>
    <w:p>
      <w:pPr>
        <w:pStyle w:val="Indenta"/>
        <w:spacing w:before="60"/>
        <w:rPr>
          <w:snapToGrid w:val="0"/>
        </w:rPr>
      </w:pPr>
      <w:r>
        <w:rPr>
          <w:snapToGrid w:val="0"/>
        </w:rPr>
        <w:tab/>
        <w:t>(e)</w:t>
      </w:r>
      <w:r>
        <w:rPr>
          <w:snapToGrid w:val="0"/>
        </w:rPr>
        <w:tab/>
        <w:t xml:space="preserve">division 5, if 3 winning numbers and a supplementary number, </w:t>
      </w:r>
    </w:p>
    <w:p>
      <w:pPr>
        <w:pStyle w:val="Subsection"/>
        <w:spacing w:before="80"/>
        <w:rPr>
          <w:snapToGrid w:val="0"/>
        </w:rPr>
      </w:pPr>
      <w:r>
        <w:rPr>
          <w:snapToGrid w:val="0"/>
        </w:rPr>
        <w:tab/>
      </w:r>
      <w:r>
        <w:rPr>
          <w:snapToGrid w:val="0"/>
        </w:rPr>
        <w:tab/>
        <w:t>are selected in the one game.</w:t>
      </w:r>
    </w:p>
    <w:p>
      <w:pPr>
        <w:pStyle w:val="Heading5"/>
        <w:rPr>
          <w:snapToGrid w:val="0"/>
        </w:rPr>
      </w:pPr>
      <w:bookmarkStart w:id="193" w:name="_Toc5071690"/>
      <w:bookmarkStart w:id="194" w:name="_Toc5071999"/>
      <w:bookmarkStart w:id="195" w:name="_Toc9846764"/>
      <w:bookmarkStart w:id="196" w:name="_Toc129672928"/>
      <w:bookmarkStart w:id="197" w:name="_Toc144543468"/>
      <w:bookmarkStart w:id="198" w:name="_Toc147288987"/>
      <w:r>
        <w:rPr>
          <w:rStyle w:val="CharSectno"/>
        </w:rPr>
        <w:t>21</w:t>
      </w:r>
      <w:r>
        <w:rPr>
          <w:snapToGrid w:val="0"/>
        </w:rPr>
        <w:t>.</w:t>
      </w:r>
      <w:r>
        <w:rPr>
          <w:snapToGrid w:val="0"/>
        </w:rPr>
        <w:tab/>
        <w:t>Only systems entry can win in more than one division</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 xml:space="preserve">The holder of a receipted ticket may claim a prize in only one division for each Saturday lotto game entered with that ticket. </w:t>
      </w:r>
    </w:p>
    <w:p>
      <w:pPr>
        <w:pStyle w:val="Subsection"/>
        <w:rPr>
          <w:snapToGrid w:val="0"/>
        </w:rPr>
      </w:pPr>
      <w:r>
        <w:rPr>
          <w:snapToGrid w:val="0"/>
        </w:rPr>
        <w:tab/>
        <w:t>(2)</w:t>
      </w:r>
      <w:r>
        <w:rPr>
          <w:snapToGrid w:val="0"/>
        </w:rPr>
        <w:tab/>
        <w:t>The holder of a receipted ticket which contains a systems entry may claim a prize in one division for each notional game making up that systems entry, resulting in prizes in more than one division for that entry as set out in Schedule 2.</w:t>
      </w:r>
    </w:p>
    <w:p>
      <w:pPr>
        <w:pStyle w:val="Heading5"/>
        <w:rPr>
          <w:snapToGrid w:val="0"/>
        </w:rPr>
      </w:pPr>
      <w:bookmarkStart w:id="199" w:name="_Toc5071691"/>
      <w:bookmarkStart w:id="200" w:name="_Toc5072000"/>
      <w:bookmarkStart w:id="201" w:name="_Toc9846765"/>
      <w:bookmarkStart w:id="202" w:name="_Toc129672929"/>
      <w:bookmarkStart w:id="203" w:name="_Toc144543469"/>
      <w:bookmarkStart w:id="204" w:name="_Toc147288988"/>
      <w:r>
        <w:rPr>
          <w:rStyle w:val="CharSectno"/>
        </w:rPr>
        <w:t>22</w:t>
      </w:r>
      <w:r>
        <w:rPr>
          <w:snapToGrid w:val="0"/>
        </w:rPr>
        <w:t>.</w:t>
      </w:r>
      <w:r>
        <w:rPr>
          <w:snapToGrid w:val="0"/>
        </w:rPr>
        <w:tab/>
        <w:t>Distribution of lotto prize pool</w:t>
      </w:r>
      <w:bookmarkEnd w:id="199"/>
      <w:bookmarkEnd w:id="200"/>
      <w:bookmarkEnd w:id="201"/>
      <w:bookmarkEnd w:id="202"/>
      <w:bookmarkEnd w:id="203"/>
      <w:bookmarkEnd w:id="204"/>
      <w:r>
        <w:rPr>
          <w:snapToGrid w:val="0"/>
        </w:rPr>
        <w:t xml:space="preserve"> </w:t>
      </w:r>
    </w:p>
    <w:p>
      <w:pPr>
        <w:pStyle w:val="Subsection"/>
      </w:pPr>
      <w:r>
        <w:tab/>
        <w:t>(1)</w:t>
      </w:r>
      <w:r>
        <w:tab/>
        <w:t xml:space="preserve">The Commission must distribute the prize pool for a Saturday lotto draw as follows — </w:t>
      </w:r>
    </w:p>
    <w:p>
      <w:pPr>
        <w:pStyle w:val="Indenta"/>
      </w:pPr>
      <w:r>
        <w:tab/>
        <w:t>(a)</w:t>
      </w:r>
      <w:r>
        <w:tab/>
        <w:t>division 1 — 27.2% of the prize pool;</w:t>
      </w:r>
    </w:p>
    <w:p>
      <w:pPr>
        <w:pStyle w:val="Indenta"/>
      </w:pPr>
      <w:r>
        <w:tab/>
        <w:t>(b)</w:t>
      </w:r>
      <w:r>
        <w:tab/>
        <w:t>division 2 — 6.45% of the prize pool;</w:t>
      </w:r>
    </w:p>
    <w:p>
      <w:pPr>
        <w:pStyle w:val="Indenta"/>
      </w:pPr>
      <w:r>
        <w:tab/>
        <w:t>(c)</w:t>
      </w:r>
      <w:r>
        <w:tab/>
        <w:t>division 3 — 12.15% of the prize pool;</w:t>
      </w:r>
    </w:p>
    <w:p>
      <w:pPr>
        <w:pStyle w:val="Indenta"/>
      </w:pPr>
      <w:r>
        <w:tab/>
        <w:t>(d)</w:t>
      </w:r>
      <w:r>
        <w:tab/>
        <w:t>division 4 — 20.85% of the prize pool;</w:t>
      </w:r>
    </w:p>
    <w:p>
      <w:pPr>
        <w:pStyle w:val="Indenta"/>
      </w:pPr>
      <w:r>
        <w:tab/>
        <w:t>(e)</w:t>
      </w:r>
      <w:r>
        <w:tab/>
        <w:t>division 5 — 33.35% of the prize pool.</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Footnotesection"/>
      </w:pPr>
      <w:r>
        <w:tab/>
        <w:t>[Rule 22 amended in Gazette 10 Feb 2006 p. 662.]</w:t>
      </w:r>
    </w:p>
    <w:p>
      <w:pPr>
        <w:pStyle w:val="Heading5"/>
        <w:rPr>
          <w:snapToGrid w:val="0"/>
        </w:rPr>
      </w:pPr>
      <w:bookmarkStart w:id="205" w:name="_Toc5071692"/>
      <w:bookmarkStart w:id="206" w:name="_Toc5072001"/>
      <w:bookmarkStart w:id="207" w:name="_Toc9846766"/>
      <w:bookmarkStart w:id="208" w:name="_Toc129672930"/>
      <w:bookmarkStart w:id="209" w:name="_Toc144543470"/>
      <w:bookmarkStart w:id="210" w:name="_Toc147288989"/>
      <w:r>
        <w:rPr>
          <w:rStyle w:val="CharSectno"/>
        </w:rPr>
        <w:t>23</w:t>
      </w:r>
      <w:r>
        <w:rPr>
          <w:snapToGrid w:val="0"/>
        </w:rPr>
        <w:t>.</w:t>
      </w:r>
      <w:r>
        <w:rPr>
          <w:snapToGrid w:val="0"/>
        </w:rPr>
        <w:tab/>
        <w:t>Division 1 jackpot</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If no one claims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t>(2)</w:t>
      </w:r>
      <w:r>
        <w:rPr>
          <w:snapToGrid w:val="0"/>
        </w:rPr>
        <w:tab/>
        <w:t>If no one claims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t>(3)</w:t>
      </w:r>
      <w:r>
        <w:rPr>
          <w:snapToGrid w:val="0"/>
        </w:rPr>
        <w:tab/>
        <w:t>If a division 1 prize pool is to be distributed to division 2 winners, the prize money is still treated as a division 1 prize for the purposes of claiming and payment of prizes.</w:t>
      </w:r>
    </w:p>
    <w:p>
      <w:pPr>
        <w:pStyle w:val="Heading5"/>
        <w:rPr>
          <w:snapToGrid w:val="0"/>
        </w:rPr>
      </w:pPr>
      <w:bookmarkStart w:id="211" w:name="_Toc5071693"/>
      <w:bookmarkStart w:id="212" w:name="_Toc5072002"/>
      <w:bookmarkStart w:id="213" w:name="_Toc9846767"/>
      <w:bookmarkStart w:id="214" w:name="_Toc129672931"/>
      <w:bookmarkStart w:id="215" w:name="_Toc144543471"/>
      <w:bookmarkStart w:id="216" w:name="_Toc147288990"/>
      <w:r>
        <w:rPr>
          <w:rStyle w:val="CharSectno"/>
        </w:rPr>
        <w:t>24</w:t>
      </w:r>
      <w:r>
        <w:rPr>
          <w:snapToGrid w:val="0"/>
        </w:rPr>
        <w:t>.</w:t>
      </w:r>
      <w:r>
        <w:rPr>
          <w:snapToGrid w:val="0"/>
        </w:rPr>
        <w:tab/>
        <w:t>Division 2 — 4 prize pools may go to next lower division</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If no one wins a prize in division 2, 3 or 4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217" w:name="_Toc5071694"/>
      <w:bookmarkStart w:id="218" w:name="_Toc5072003"/>
      <w:bookmarkStart w:id="219" w:name="_Toc9846768"/>
      <w:bookmarkStart w:id="220" w:name="_Toc129672932"/>
      <w:bookmarkStart w:id="221" w:name="_Toc144543472"/>
      <w:bookmarkStart w:id="222" w:name="_Toc147288991"/>
      <w:r>
        <w:rPr>
          <w:rStyle w:val="CharSectno"/>
        </w:rPr>
        <w:t>25</w:t>
      </w:r>
      <w:r>
        <w:rPr>
          <w:snapToGrid w:val="0"/>
        </w:rPr>
        <w:t>.</w:t>
      </w:r>
      <w:r>
        <w:rPr>
          <w:snapToGrid w:val="0"/>
        </w:rPr>
        <w:tab/>
        <w:t>Bonus draws and guaranteed prize pools</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The Commission may from time to time declare a Saturday lotto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no one claims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spacing w:val="-4"/>
        </w:rPr>
      </w:pPr>
      <w:r>
        <w:rPr>
          <w:snapToGrid w:val="0"/>
          <w:spacing w:val="-4"/>
        </w:rPr>
        <w:tab/>
      </w:r>
      <w:r>
        <w:rPr>
          <w:snapToGrid w:val="0"/>
          <w:spacing w:val="-4"/>
        </w:rPr>
        <w:tab/>
        <w:t>the amount of the reserve that would have been so used is to be included as part of the division 1 prize pool for that draw when calculating the jackpot prize pool for the next Saturday lotto draw.</w:t>
      </w:r>
    </w:p>
    <w:p>
      <w:pPr>
        <w:pStyle w:val="Heading5"/>
        <w:rPr>
          <w:snapToGrid w:val="0"/>
        </w:rPr>
      </w:pPr>
      <w:bookmarkStart w:id="223" w:name="_Toc5071695"/>
      <w:bookmarkStart w:id="224" w:name="_Toc5072004"/>
      <w:bookmarkStart w:id="225" w:name="_Toc9846769"/>
      <w:bookmarkStart w:id="226" w:name="_Toc129672933"/>
      <w:bookmarkStart w:id="227" w:name="_Toc144543473"/>
      <w:bookmarkStart w:id="228" w:name="_Toc147288992"/>
      <w:r>
        <w:rPr>
          <w:rStyle w:val="CharSectno"/>
        </w:rPr>
        <w:t>26</w:t>
      </w:r>
      <w:r>
        <w:rPr>
          <w:snapToGrid w:val="0"/>
        </w:rPr>
        <w:t>.</w:t>
      </w:r>
      <w:r>
        <w:rPr>
          <w:snapToGrid w:val="0"/>
        </w:rPr>
        <w:tab/>
        <w:t>Division 1 prizes</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To claim a division 1 prize in a Saturday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Saturday lotto draw is to be paid — </w:t>
      </w:r>
    </w:p>
    <w:p>
      <w:pPr>
        <w:pStyle w:val="Indenta"/>
        <w:rPr>
          <w:snapToGrid w:val="0"/>
        </w:rPr>
      </w:pPr>
      <w:r>
        <w:rPr>
          <w:snapToGrid w:val="0"/>
        </w:rPr>
        <w:tab/>
        <w:t>(a)</w:t>
      </w:r>
      <w:r>
        <w:rPr>
          <w:snapToGrid w:val="0"/>
        </w:rPr>
        <w:tab/>
        <w:t>by the Commission;</w:t>
      </w:r>
    </w:p>
    <w:p>
      <w:pPr>
        <w:pStyle w:val="Indenta"/>
        <w:rPr>
          <w:snapToGrid w:val="0"/>
        </w:rPr>
      </w:pPr>
      <w:r>
        <w:rPr>
          <w:snapToGrid w:val="0"/>
        </w:rPr>
        <w:tab/>
        <w:t>(b)</w:t>
      </w:r>
      <w:r>
        <w:rPr>
          <w:snapToGrid w:val="0"/>
        </w:rPr>
        <w:tab/>
        <w:t>by cheque or in any other manner determined by the Commission; and</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the identity of the prize winner;</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accept the claim but refuse to pay the prize until it is satisfied of the details referred to in paragraphs (a), (b) and (c);</w:t>
      </w:r>
    </w:p>
    <w:p>
      <w:pPr>
        <w:pStyle w:val="Indenta"/>
        <w:rPr>
          <w:snapToGrid w:val="0"/>
        </w:rPr>
      </w:pPr>
      <w:r>
        <w:rPr>
          <w:snapToGrid w:val="0"/>
        </w:rPr>
        <w:tab/>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Saturday lotto draw and one or more other prizes on the same ticket, none of those prizes are to be paid until after the validation period for that draw.</w:t>
      </w:r>
    </w:p>
    <w:p>
      <w:pPr>
        <w:pStyle w:val="Heading5"/>
        <w:rPr>
          <w:snapToGrid w:val="0"/>
        </w:rPr>
      </w:pPr>
      <w:bookmarkStart w:id="229" w:name="_Toc5071696"/>
      <w:bookmarkStart w:id="230" w:name="_Toc5072005"/>
      <w:bookmarkStart w:id="231" w:name="_Toc9846770"/>
      <w:bookmarkStart w:id="232" w:name="_Toc129672934"/>
      <w:bookmarkStart w:id="233" w:name="_Toc144543474"/>
      <w:bookmarkStart w:id="234" w:name="_Toc147288993"/>
      <w:r>
        <w:rPr>
          <w:rStyle w:val="CharSectno"/>
        </w:rPr>
        <w:t>27</w:t>
      </w:r>
      <w:r>
        <w:rPr>
          <w:snapToGrid w:val="0"/>
        </w:rPr>
        <w:t>.</w:t>
      </w:r>
      <w:r>
        <w:rPr>
          <w:snapToGrid w:val="0"/>
        </w:rPr>
        <w:tab/>
        <w:t>Division 2 prizes</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To claim a division 2 prize in a Saturday lotto draw the holder of a winning receipted ticket must present it to the Commission or an authorised payout centre within the payout period for that draw.</w:t>
      </w:r>
    </w:p>
    <w:p>
      <w:pPr>
        <w:pStyle w:val="Subsection"/>
        <w:keepNext/>
        <w:rPr>
          <w:snapToGrid w:val="0"/>
        </w:rPr>
      </w:pPr>
      <w:r>
        <w:rPr>
          <w:snapToGrid w:val="0"/>
        </w:rPr>
        <w:tab/>
        <w:t>(2)</w:t>
      </w:r>
      <w:r>
        <w:rPr>
          <w:snapToGrid w:val="0"/>
        </w:rPr>
        <w:tab/>
        <w:t>A division 2 prize is to be paid — </w:t>
      </w:r>
    </w:p>
    <w:p>
      <w:pPr>
        <w:pStyle w:val="Indenta"/>
        <w:rPr>
          <w:snapToGrid w:val="0"/>
        </w:rPr>
      </w:pPr>
      <w:r>
        <w:rPr>
          <w:snapToGrid w:val="0"/>
        </w:rPr>
        <w:tab/>
        <w:t>(a)</w:t>
      </w:r>
      <w:r>
        <w:rPr>
          <w:snapToGrid w:val="0"/>
        </w:rPr>
        <w:tab/>
        <w:t>by the Commission or an authorised payout centre;</w:t>
      </w:r>
    </w:p>
    <w:p>
      <w:pPr>
        <w:pStyle w:val="Indenta"/>
        <w:rPr>
          <w:snapToGrid w:val="0"/>
        </w:rPr>
      </w:pPr>
      <w:r>
        <w:rPr>
          <w:snapToGrid w:val="0"/>
        </w:rPr>
        <w:tab/>
        <w:t>(b)</w:t>
      </w:r>
      <w:r>
        <w:rPr>
          <w:snapToGrid w:val="0"/>
        </w:rPr>
        <w:tab/>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after the receipted ticket is presented to the Commission or authorised payout centre.</w:t>
      </w:r>
    </w:p>
    <w:p>
      <w:pPr>
        <w:pStyle w:val="Heading5"/>
        <w:rPr>
          <w:snapToGrid w:val="0"/>
        </w:rPr>
      </w:pPr>
      <w:bookmarkStart w:id="235" w:name="_Toc5071697"/>
      <w:bookmarkStart w:id="236" w:name="_Toc5072006"/>
      <w:bookmarkStart w:id="237" w:name="_Toc9846771"/>
      <w:bookmarkStart w:id="238" w:name="_Toc129672935"/>
      <w:bookmarkStart w:id="239" w:name="_Toc144543475"/>
      <w:bookmarkStart w:id="240" w:name="_Toc147288994"/>
      <w:r>
        <w:rPr>
          <w:rStyle w:val="CharSectno"/>
        </w:rPr>
        <w:t>28</w:t>
      </w:r>
      <w:r>
        <w:rPr>
          <w:snapToGrid w:val="0"/>
        </w:rPr>
        <w:t>.</w:t>
      </w:r>
      <w:r>
        <w:rPr>
          <w:snapToGrid w:val="0"/>
        </w:rPr>
        <w:tab/>
        <w:t>Division 3, 4 and 5 prizes</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To claim a division 3, 4 or 5 prize in a Saturday lotto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t>by cheque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authorised agent.</w:t>
      </w:r>
    </w:p>
    <w:p>
      <w:pPr>
        <w:pStyle w:val="Heading5"/>
        <w:rPr>
          <w:snapToGrid w:val="0"/>
        </w:rPr>
      </w:pPr>
      <w:bookmarkStart w:id="241" w:name="_Toc5071698"/>
      <w:bookmarkStart w:id="242" w:name="_Toc5072007"/>
      <w:bookmarkStart w:id="243" w:name="_Toc9846772"/>
      <w:bookmarkStart w:id="244" w:name="_Toc129672936"/>
      <w:bookmarkStart w:id="245" w:name="_Toc144543476"/>
      <w:bookmarkStart w:id="246" w:name="_Toc147288995"/>
      <w:r>
        <w:rPr>
          <w:rStyle w:val="CharSectno"/>
        </w:rPr>
        <w:t>29</w:t>
      </w:r>
      <w:r>
        <w:rPr>
          <w:snapToGrid w:val="0"/>
        </w:rPr>
        <w:t>.</w:t>
      </w:r>
      <w:r>
        <w:rPr>
          <w:snapToGrid w:val="0"/>
        </w:rPr>
        <w:tab/>
        <w:t>Commission may require a statutory declaration</w:t>
      </w:r>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Before paying any prize the Commission may require the holder of a receipted ticket to complete a statutory declaration stating that the person has not, or is not to that person’s knowledge part of a syndicate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pPr>
        <w:pStyle w:val="Heading5"/>
        <w:rPr>
          <w:snapToGrid w:val="0"/>
        </w:rPr>
      </w:pPr>
      <w:bookmarkStart w:id="247" w:name="_Toc5071699"/>
      <w:bookmarkStart w:id="248" w:name="_Toc5072008"/>
      <w:bookmarkStart w:id="249" w:name="_Toc9846773"/>
      <w:bookmarkStart w:id="250" w:name="_Toc129672937"/>
      <w:bookmarkStart w:id="251" w:name="_Toc144543477"/>
      <w:bookmarkStart w:id="252" w:name="_Toc147288996"/>
      <w:r>
        <w:rPr>
          <w:rStyle w:val="CharSectno"/>
        </w:rPr>
        <w:t>30</w:t>
      </w:r>
      <w:r>
        <w:rPr>
          <w:snapToGrid w:val="0"/>
        </w:rPr>
        <w:t>.</w:t>
      </w:r>
      <w:r>
        <w:rPr>
          <w:snapToGrid w:val="0"/>
        </w:rPr>
        <w:tab/>
        <w:t>Publication of names and addresses of prize winners</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253" w:name="_Toc5071700"/>
      <w:bookmarkStart w:id="254" w:name="_Toc5072009"/>
      <w:bookmarkStart w:id="255" w:name="_Toc9846774"/>
      <w:bookmarkStart w:id="256" w:name="_Toc129672938"/>
      <w:bookmarkStart w:id="257" w:name="_Toc144543478"/>
      <w:bookmarkStart w:id="258" w:name="_Toc147288997"/>
      <w:r>
        <w:rPr>
          <w:rStyle w:val="CharSectno"/>
        </w:rPr>
        <w:t>31</w:t>
      </w:r>
      <w:r>
        <w:rPr>
          <w:snapToGrid w:val="0"/>
        </w:rPr>
        <w:t>.</w:t>
      </w:r>
      <w:r>
        <w:rPr>
          <w:snapToGrid w:val="0"/>
        </w:rPr>
        <w:tab/>
        <w:t>Player Registration Service</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A “Player Registration Service” (PRS) number — </w:t>
      </w:r>
    </w:p>
    <w:p>
      <w:pPr>
        <w:pStyle w:val="Indenta"/>
        <w:rPr>
          <w:snapToGrid w:val="0"/>
        </w:rPr>
      </w:pPr>
      <w:r>
        <w:rPr>
          <w:snapToGrid w:val="0"/>
        </w:rPr>
        <w:tab/>
        <w:t>(a)</w:t>
      </w:r>
      <w:r>
        <w:rPr>
          <w:snapToGrid w:val="0"/>
        </w:rPr>
        <w:tab/>
        <w:t>is a number which may be printed on a receipted ticket, corresponding to a name and address to which an unclaimed prize won by that ticket can be sent; and</w:t>
      </w:r>
    </w:p>
    <w:p>
      <w:pPr>
        <w:pStyle w:val="Indenta"/>
      </w:pPr>
      <w:r>
        <w:tab/>
        <w:t>(b)</w:t>
      </w:r>
      <w:r>
        <w:tab/>
        <w:t xml:space="preserve">is valid —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rPr>
          <w:snapToGrid w:val="0"/>
        </w:rPr>
      </w:pPr>
      <w:r>
        <w:rPr>
          <w:snapToGrid w:val="0"/>
        </w:rPr>
        <w:tab/>
        <w:t>(2)</w:t>
      </w:r>
      <w:r>
        <w:rPr>
          <w:snapToGrid w:val="0"/>
        </w:rPr>
        <w:tab/>
        <w:t>An agent must issue a PRS number to a subscriber on receipt of — </w:t>
      </w:r>
    </w:p>
    <w:p>
      <w:pPr>
        <w:pStyle w:val="Indenta"/>
        <w:rPr>
          <w:snapToGrid w:val="0"/>
        </w:rPr>
      </w:pPr>
      <w:r>
        <w:rPr>
          <w:snapToGrid w:val="0"/>
        </w:rPr>
        <w:tab/>
        <w:t>(a)</w:t>
      </w:r>
      <w:r>
        <w:rPr>
          <w:snapToGrid w:val="0"/>
        </w:rPr>
        <w:tab/>
        <w:t>a request from the subscriber including the subscriber’s name and address; and</w:t>
      </w:r>
    </w:p>
    <w:p>
      <w:pPr>
        <w:pStyle w:val="Indenta"/>
        <w:rPr>
          <w:snapToGrid w:val="0"/>
        </w:rPr>
      </w:pPr>
      <w:r>
        <w:rPr>
          <w:snapToGrid w:val="0"/>
        </w:rPr>
        <w:tab/>
        <w:t>(b)</w:t>
      </w:r>
      <w:r>
        <w:rPr>
          <w:snapToGrid w:val="0"/>
        </w:rPr>
        <w:tab/>
        <w:t>payment of $10.00.</w:t>
      </w:r>
    </w:p>
    <w:p>
      <w:pPr>
        <w:pStyle w:val="Subsection"/>
      </w:pPr>
      <w:r>
        <w:tab/>
        <w:t>(3)</w:t>
      </w:r>
      <w:r>
        <w:tab/>
        <w:t>A person who presents a winning receipted ticket that is endorsed with a PRS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PRS number; and </w:t>
      </w:r>
    </w:p>
    <w:p>
      <w:pPr>
        <w:pStyle w:val="Indenta"/>
      </w:pPr>
      <w:r>
        <w:tab/>
        <w:t>(b)</w:t>
      </w:r>
      <w:r>
        <w:tab/>
        <w:t>is not claimed, or paid, within 5 weeks of the relevant draw,</w:t>
      </w:r>
    </w:p>
    <w:p>
      <w:pPr>
        <w:pStyle w:val="Subsection"/>
      </w:pPr>
      <w:r>
        <w:tab/>
      </w:r>
      <w:r>
        <w:tab/>
        <w:t>will be paid in a manner determined by the Commission to the person named, and at the address recorded, in the PRS.</w:t>
      </w:r>
    </w:p>
    <w:p>
      <w:pPr>
        <w:pStyle w:val="Subsection"/>
      </w:pPr>
      <w:r>
        <w:tab/>
        <w:t>(5)</w:t>
      </w:r>
      <w:r>
        <w:tab/>
        <w:t>Payment of a prize entitlement under subrule (3) or (4) discharges the liability of the Commission in relation to any particular winning receipted ticket that is endorsed with a PRS number, and registration by a subscriber with the Player Registration Service does not entitle the subscriber to claim a prize from the Commission that has already been paid.</w:t>
      </w:r>
    </w:p>
    <w:p>
      <w:pPr>
        <w:pStyle w:val="Footnotesection"/>
      </w:pPr>
      <w:r>
        <w:tab/>
        <w:t>[Rule 31 amended in Gazette 31 Oct 1997 p. 6017; 9 Mar 2001 p. 1326</w:t>
      </w:r>
      <w:r>
        <w:noBreakHyphen/>
        <w:t xml:space="preserve">7; 8 Aug 2003 p. 3577-8.] </w:t>
      </w:r>
    </w:p>
    <w:p>
      <w:pPr>
        <w:pStyle w:val="Heading2"/>
      </w:pPr>
      <w:bookmarkStart w:id="259" w:name="_Toc127275235"/>
      <w:bookmarkStart w:id="260" w:name="_Toc127335277"/>
      <w:bookmarkStart w:id="261" w:name="_Toc129672939"/>
      <w:bookmarkStart w:id="262" w:name="_Toc129673041"/>
      <w:bookmarkStart w:id="263" w:name="_Toc129673090"/>
      <w:bookmarkStart w:id="264" w:name="_Toc129673139"/>
      <w:bookmarkStart w:id="265" w:name="_Toc140976767"/>
      <w:bookmarkStart w:id="266" w:name="_Toc140983820"/>
      <w:bookmarkStart w:id="267" w:name="_Toc141751644"/>
      <w:bookmarkStart w:id="268" w:name="_Toc141763673"/>
      <w:bookmarkStart w:id="269" w:name="_Toc144543479"/>
      <w:bookmarkStart w:id="270" w:name="_Toc147222820"/>
      <w:bookmarkStart w:id="271" w:name="_Toc147288998"/>
      <w:r>
        <w:rPr>
          <w:rStyle w:val="CharPartNo"/>
        </w:rPr>
        <w:t>Part 5</w:t>
      </w:r>
      <w:r>
        <w:rPr>
          <w:rStyle w:val="CharDivNo"/>
        </w:rPr>
        <w:t> </w:t>
      </w:r>
      <w:r>
        <w:t>—</w:t>
      </w:r>
      <w:r>
        <w:rPr>
          <w:rStyle w:val="CharDivText"/>
        </w:rPr>
        <w:t> </w:t>
      </w:r>
      <w:r>
        <w:rPr>
          <w:rStyle w:val="CharPartText"/>
        </w:rPr>
        <w:t>Miscellaneous</w:t>
      </w:r>
      <w:bookmarkEnd w:id="259"/>
      <w:bookmarkEnd w:id="260"/>
      <w:bookmarkEnd w:id="261"/>
      <w:bookmarkEnd w:id="262"/>
      <w:bookmarkEnd w:id="263"/>
      <w:bookmarkEnd w:id="264"/>
      <w:bookmarkEnd w:id="265"/>
      <w:bookmarkEnd w:id="266"/>
      <w:bookmarkEnd w:id="267"/>
      <w:bookmarkEnd w:id="268"/>
      <w:bookmarkEnd w:id="269"/>
      <w:bookmarkEnd w:id="270"/>
      <w:bookmarkEnd w:id="271"/>
      <w:r>
        <w:rPr>
          <w:rStyle w:val="CharPartText"/>
        </w:rPr>
        <w:t xml:space="preserve"> </w:t>
      </w:r>
    </w:p>
    <w:p>
      <w:pPr>
        <w:pStyle w:val="Heading5"/>
        <w:rPr>
          <w:snapToGrid w:val="0"/>
        </w:rPr>
      </w:pPr>
      <w:bookmarkStart w:id="272" w:name="_Toc5071701"/>
      <w:bookmarkStart w:id="273" w:name="_Toc5072010"/>
      <w:bookmarkStart w:id="274" w:name="_Toc9846775"/>
      <w:bookmarkStart w:id="275" w:name="_Toc129672940"/>
      <w:bookmarkStart w:id="276" w:name="_Toc144543480"/>
      <w:bookmarkStart w:id="277" w:name="_Toc147288999"/>
      <w:r>
        <w:rPr>
          <w:rStyle w:val="CharSectno"/>
        </w:rPr>
        <w:t>32</w:t>
      </w:r>
      <w:r>
        <w:rPr>
          <w:snapToGrid w:val="0"/>
        </w:rPr>
        <w:t>.</w:t>
      </w:r>
      <w:r>
        <w:rPr>
          <w:snapToGrid w:val="0"/>
        </w:rPr>
        <w:tab/>
        <w:t>Instructions</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The subscriber, the holder of a receipted ticket and any other person claiming a prize should follow the instructions on any entry coupon used, and on the back of the receipted ticket.</w:t>
      </w:r>
    </w:p>
    <w:p>
      <w:pPr>
        <w:pStyle w:val="Subsection"/>
        <w:rPr>
          <w:snapToGrid w:val="0"/>
        </w:rPr>
      </w:pPr>
      <w:r>
        <w:rPr>
          <w:snapToGrid w:val="0"/>
        </w:rPr>
        <w:tab/>
        <w:t>(2)</w:t>
      </w:r>
      <w:r>
        <w:rPr>
          <w:snapToGrid w:val="0"/>
        </w:rPr>
        <w:tab/>
        <w:t>If there is an inconsistency between the instructions on an entry coupon or receipted ticket and these rules, these rules prevail to the extent of the inconsistency.</w:t>
      </w:r>
    </w:p>
    <w:p>
      <w:pPr>
        <w:pStyle w:val="Heading5"/>
        <w:rPr>
          <w:snapToGrid w:val="0"/>
        </w:rPr>
      </w:pPr>
      <w:bookmarkStart w:id="278" w:name="_Toc5071702"/>
      <w:bookmarkStart w:id="279" w:name="_Toc5072011"/>
      <w:bookmarkStart w:id="280" w:name="_Toc9846776"/>
      <w:bookmarkStart w:id="281" w:name="_Toc129672941"/>
      <w:bookmarkStart w:id="282" w:name="_Toc144543481"/>
      <w:bookmarkStart w:id="283" w:name="_Toc147289000"/>
      <w:r>
        <w:rPr>
          <w:rStyle w:val="CharSectno"/>
        </w:rPr>
        <w:t>33</w:t>
      </w:r>
      <w:r>
        <w:rPr>
          <w:snapToGrid w:val="0"/>
        </w:rPr>
        <w:t>.</w:t>
      </w:r>
      <w:r>
        <w:rPr>
          <w:snapToGrid w:val="0"/>
        </w:rPr>
        <w:tab/>
        <w:t>Rules to be made available</w:t>
      </w:r>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284" w:name="_Toc5071703"/>
      <w:bookmarkStart w:id="285" w:name="_Toc5072012"/>
      <w:bookmarkStart w:id="286" w:name="_Toc9846777"/>
      <w:bookmarkStart w:id="287" w:name="_Toc129672942"/>
      <w:bookmarkStart w:id="288" w:name="_Toc144543482"/>
      <w:bookmarkStart w:id="289" w:name="_Toc147289001"/>
      <w:r>
        <w:rPr>
          <w:rStyle w:val="CharSectno"/>
        </w:rPr>
        <w:t>34</w:t>
      </w:r>
      <w:r>
        <w:rPr>
          <w:snapToGrid w:val="0"/>
        </w:rPr>
        <w:t>.</w:t>
      </w:r>
      <w:r>
        <w:rPr>
          <w:snapToGrid w:val="0"/>
        </w:rPr>
        <w:tab/>
        <w:t>Decisions of Commission final</w:t>
      </w:r>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A decision or determination of the Commission in relation to a Saturday lotto draw or an entry in Saturday lotto and the declaration and payment of prizes under these rules is final and binding on subscribers, the holders of receipted tickets and any other person claiming a prize in a Saturday lotto draw.</w:t>
      </w:r>
    </w:p>
    <w:p>
      <w:pPr>
        <w:pStyle w:val="Ednotepart"/>
      </w:pPr>
      <w:r>
        <w:t>[Part 6 omitted under the Reprints Act 1984 s. 7(4)(f) and (g).]</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90" w:name="_Toc129672943"/>
      <w:bookmarkStart w:id="291" w:name="_Toc129673045"/>
      <w:bookmarkStart w:id="292" w:name="_Toc129673094"/>
      <w:bookmarkStart w:id="293" w:name="_Toc129673143"/>
      <w:bookmarkStart w:id="294" w:name="_Toc140976771"/>
      <w:bookmarkStart w:id="295" w:name="_Toc140983824"/>
      <w:bookmarkStart w:id="296" w:name="_Toc141751648"/>
      <w:bookmarkStart w:id="297" w:name="_Toc141763677"/>
      <w:bookmarkStart w:id="298" w:name="_Toc144543483"/>
      <w:bookmarkStart w:id="299" w:name="_Toc147222824"/>
      <w:bookmarkStart w:id="300" w:name="_Toc147289002"/>
      <w:bookmarkStart w:id="301" w:name="_Toc10434947"/>
      <w:r>
        <w:rPr>
          <w:rStyle w:val="CharSchNo"/>
        </w:rPr>
        <w:t>Schedule 1</w:t>
      </w:r>
      <w:bookmarkEnd w:id="290"/>
      <w:bookmarkEnd w:id="291"/>
      <w:bookmarkEnd w:id="292"/>
      <w:bookmarkEnd w:id="293"/>
      <w:bookmarkEnd w:id="294"/>
      <w:bookmarkEnd w:id="295"/>
      <w:bookmarkEnd w:id="296"/>
      <w:bookmarkEnd w:id="297"/>
      <w:bookmarkEnd w:id="298"/>
      <w:bookmarkEnd w:id="299"/>
      <w:bookmarkEnd w:id="300"/>
    </w:p>
    <w:p>
      <w:pPr>
        <w:pStyle w:val="yHeading2"/>
        <w:spacing w:before="120"/>
      </w:pPr>
      <w:bookmarkStart w:id="302" w:name="_Toc48382060"/>
      <w:bookmarkStart w:id="303" w:name="_Toc129672944"/>
      <w:bookmarkStart w:id="304" w:name="_Toc129673046"/>
      <w:bookmarkStart w:id="305" w:name="_Toc129673095"/>
      <w:bookmarkStart w:id="306" w:name="_Toc129673144"/>
      <w:bookmarkStart w:id="307" w:name="_Toc140976772"/>
      <w:bookmarkStart w:id="308" w:name="_Toc141751649"/>
      <w:bookmarkStart w:id="309" w:name="_Toc141763678"/>
      <w:bookmarkStart w:id="310" w:name="_Toc144543484"/>
      <w:bookmarkStart w:id="311" w:name="_Toc147222825"/>
      <w:bookmarkStart w:id="312" w:name="_Toc147289003"/>
      <w:r>
        <w:rPr>
          <w:rStyle w:val="CharSchText"/>
        </w:rPr>
        <w:t>Total cost of entry — Saturday lotto draw</w:t>
      </w:r>
      <w:bookmarkEnd w:id="302"/>
      <w:bookmarkEnd w:id="303"/>
      <w:bookmarkEnd w:id="304"/>
      <w:bookmarkEnd w:id="305"/>
      <w:bookmarkEnd w:id="306"/>
      <w:bookmarkEnd w:id="307"/>
      <w:bookmarkEnd w:id="308"/>
      <w:bookmarkEnd w:id="309"/>
      <w:bookmarkEnd w:id="310"/>
      <w:bookmarkEnd w:id="311"/>
      <w:bookmarkEnd w:id="312"/>
    </w:p>
    <w:p>
      <w:pPr>
        <w:pStyle w:val="yShoulderClause"/>
        <w:spacing w:before="60"/>
        <w:rPr>
          <w:snapToGrid w:val="0"/>
        </w:rPr>
      </w:pPr>
      <w:r>
        <w:rPr>
          <w:snapToGrid w:val="0"/>
        </w:rPr>
        <w:t>[Rule 5(1)]</w:t>
      </w:r>
    </w:p>
    <w:p>
      <w:pPr>
        <w:pStyle w:val="yFootnoteheading"/>
        <w:spacing w:before="40"/>
      </w:pPr>
      <w:r>
        <w:tab/>
        <w:t>[Heading inserted in Gazette 10 Feb 2006 p. 662.]</w:t>
      </w:r>
    </w:p>
    <w:p>
      <w:pPr>
        <w:pStyle w:val="yMiscellaneousBody"/>
        <w:spacing w:before="80" w:after="80"/>
      </w:pPr>
      <w:r>
        <w:t>The cost of entering a Saturday lotto draw that takes place on or after 18 March 2006 is made up of a subscription of 50 cents per game and an agent’s component (as set out in Schedule 1A) making the total cost per number and type of game per week as follows:</w:t>
      </w:r>
    </w:p>
    <w:tbl>
      <w:tblPr>
        <w:tblW w:w="0" w:type="auto"/>
        <w:tblInd w:w="250" w:type="dxa"/>
        <w:tblLayout w:type="fixed"/>
        <w:tblLook w:val="0000" w:firstRow="0" w:lastRow="0" w:firstColumn="0" w:lastColumn="0" w:noHBand="0" w:noVBand="0"/>
      </w:tblPr>
      <w:tblGrid>
        <w:gridCol w:w="1276"/>
        <w:gridCol w:w="850"/>
        <w:gridCol w:w="1169"/>
        <w:gridCol w:w="1170"/>
        <w:gridCol w:w="1169"/>
        <w:gridCol w:w="1170"/>
      </w:tblGrid>
      <w:tr>
        <w:trPr>
          <w:cantSplit/>
          <w:trHeight w:val="548"/>
          <w:tblHeader/>
        </w:trPr>
        <w:tc>
          <w:tcPr>
            <w:tcW w:w="1276" w:type="dxa"/>
            <w:tcBorders>
              <w:top w:val="single" w:sz="4" w:space="0" w:color="auto"/>
              <w:bottom w:val="single" w:sz="4" w:space="0" w:color="auto"/>
            </w:tcBorders>
          </w:tcPr>
          <w:p>
            <w:pPr>
              <w:pStyle w:val="yTable"/>
              <w:rPr>
                <w:b/>
                <w:bCs/>
                <w:sz w:val="18"/>
              </w:rPr>
            </w:pPr>
            <w:r>
              <w:rPr>
                <w:b/>
                <w:bCs/>
                <w:sz w:val="18"/>
              </w:rPr>
              <w:t>System</w:t>
            </w:r>
          </w:p>
        </w:tc>
        <w:tc>
          <w:tcPr>
            <w:tcW w:w="850" w:type="dxa"/>
            <w:tcBorders>
              <w:top w:val="single" w:sz="4" w:space="0" w:color="auto"/>
              <w:bottom w:val="single" w:sz="4" w:space="0" w:color="auto"/>
            </w:tcBorders>
          </w:tcPr>
          <w:p>
            <w:pPr>
              <w:pStyle w:val="yTable"/>
              <w:jc w:val="center"/>
              <w:rPr>
                <w:b/>
                <w:bCs/>
                <w:sz w:val="18"/>
              </w:rPr>
            </w:pPr>
            <w:r>
              <w:rPr>
                <w:b/>
                <w:bCs/>
                <w:sz w:val="18"/>
              </w:rPr>
              <w:t>No. of</w:t>
            </w:r>
          </w:p>
          <w:p>
            <w:pPr>
              <w:pStyle w:val="yTable"/>
              <w:spacing w:before="0"/>
              <w:jc w:val="center"/>
              <w:rPr>
                <w:b/>
                <w:bCs/>
                <w:sz w:val="18"/>
              </w:rPr>
            </w:pPr>
            <w:r>
              <w:rPr>
                <w:b/>
                <w:bCs/>
                <w:sz w:val="18"/>
              </w:rPr>
              <w:t>games</w:t>
            </w:r>
          </w:p>
        </w:tc>
        <w:tc>
          <w:tcPr>
            <w:tcW w:w="1169" w:type="dxa"/>
            <w:tcBorders>
              <w:top w:val="single" w:sz="4" w:space="0" w:color="auto"/>
              <w:bottom w:val="single" w:sz="4" w:space="0" w:color="auto"/>
            </w:tcBorders>
          </w:tcPr>
          <w:p>
            <w:pPr>
              <w:pStyle w:val="yTable"/>
              <w:jc w:val="center"/>
              <w:rPr>
                <w:b/>
                <w:bCs/>
                <w:sz w:val="18"/>
              </w:rPr>
            </w:pPr>
            <w:r>
              <w:rPr>
                <w:b/>
                <w:bCs/>
                <w:sz w:val="18"/>
              </w:rPr>
              <w:t>1 Week</w:t>
            </w:r>
          </w:p>
          <w:p>
            <w:pPr>
              <w:pStyle w:val="yTable"/>
              <w:jc w:val="center"/>
              <w:rPr>
                <w:b/>
                <w:bCs/>
                <w:sz w:val="18"/>
              </w:rPr>
            </w:pPr>
            <w:r>
              <w:rPr>
                <w:b/>
                <w:bCs/>
                <w:sz w:val="18"/>
              </w:rPr>
              <w:t>$</w:t>
            </w:r>
          </w:p>
        </w:tc>
        <w:tc>
          <w:tcPr>
            <w:tcW w:w="1170" w:type="dxa"/>
            <w:tcBorders>
              <w:top w:val="single" w:sz="4" w:space="0" w:color="auto"/>
              <w:bottom w:val="single" w:sz="4" w:space="0" w:color="auto"/>
            </w:tcBorders>
          </w:tcPr>
          <w:p>
            <w:pPr>
              <w:pStyle w:val="yTable"/>
              <w:jc w:val="center"/>
              <w:rPr>
                <w:b/>
                <w:bCs/>
                <w:sz w:val="18"/>
              </w:rPr>
            </w:pPr>
            <w:r>
              <w:rPr>
                <w:b/>
                <w:bCs/>
                <w:sz w:val="18"/>
              </w:rPr>
              <w:t>2 Weeks</w:t>
            </w:r>
          </w:p>
          <w:p>
            <w:pPr>
              <w:pStyle w:val="yTable"/>
              <w:jc w:val="center"/>
              <w:rPr>
                <w:b/>
                <w:bCs/>
                <w:sz w:val="18"/>
              </w:rPr>
            </w:pPr>
            <w:r>
              <w:rPr>
                <w:b/>
                <w:bCs/>
                <w:sz w:val="18"/>
              </w:rPr>
              <w:t>$</w:t>
            </w:r>
          </w:p>
        </w:tc>
        <w:tc>
          <w:tcPr>
            <w:tcW w:w="1169" w:type="dxa"/>
            <w:tcBorders>
              <w:top w:val="single" w:sz="4" w:space="0" w:color="auto"/>
              <w:bottom w:val="single" w:sz="4" w:space="0" w:color="auto"/>
            </w:tcBorders>
          </w:tcPr>
          <w:p>
            <w:pPr>
              <w:pStyle w:val="yTable"/>
              <w:jc w:val="center"/>
              <w:rPr>
                <w:b/>
                <w:bCs/>
                <w:sz w:val="18"/>
              </w:rPr>
            </w:pPr>
            <w:r>
              <w:rPr>
                <w:b/>
                <w:bCs/>
                <w:sz w:val="18"/>
              </w:rPr>
              <w:t>5 Weeks</w:t>
            </w:r>
          </w:p>
          <w:p>
            <w:pPr>
              <w:pStyle w:val="yTable"/>
              <w:jc w:val="center"/>
              <w:rPr>
                <w:b/>
                <w:bCs/>
                <w:sz w:val="18"/>
              </w:rPr>
            </w:pPr>
            <w:r>
              <w:rPr>
                <w:b/>
                <w:bCs/>
                <w:sz w:val="18"/>
              </w:rPr>
              <w:t>$</w:t>
            </w:r>
          </w:p>
        </w:tc>
        <w:tc>
          <w:tcPr>
            <w:tcW w:w="1170" w:type="dxa"/>
            <w:tcBorders>
              <w:top w:val="single" w:sz="4" w:space="0" w:color="auto"/>
              <w:bottom w:val="single" w:sz="4" w:space="0" w:color="auto"/>
            </w:tcBorders>
          </w:tcPr>
          <w:p>
            <w:pPr>
              <w:pStyle w:val="yTable"/>
              <w:jc w:val="center"/>
              <w:rPr>
                <w:b/>
                <w:bCs/>
                <w:sz w:val="18"/>
              </w:rPr>
            </w:pPr>
            <w:r>
              <w:rPr>
                <w:b/>
                <w:bCs/>
                <w:sz w:val="18"/>
              </w:rPr>
              <w:t>10 Weeks</w:t>
            </w:r>
          </w:p>
          <w:p>
            <w:pPr>
              <w:pStyle w:val="yTable"/>
              <w:jc w:val="center"/>
              <w:rPr>
                <w:b/>
                <w:bCs/>
                <w:sz w:val="18"/>
              </w:rPr>
            </w:pPr>
            <w:r>
              <w:rPr>
                <w:b/>
                <w:bCs/>
                <w:sz w:val="18"/>
              </w:rPr>
              <w:t>$</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4</w:t>
            </w:r>
          </w:p>
        </w:tc>
        <w:tc>
          <w:tcPr>
            <w:tcW w:w="1169" w:type="dxa"/>
          </w:tcPr>
          <w:p>
            <w:pPr>
              <w:pStyle w:val="yTable"/>
              <w:spacing w:before="40"/>
              <w:ind w:right="89"/>
              <w:jc w:val="right"/>
              <w:rPr>
                <w:sz w:val="18"/>
              </w:rPr>
            </w:pPr>
            <w:r>
              <w:rPr>
                <w:sz w:val="18"/>
              </w:rPr>
              <w:t>2.20</w:t>
            </w:r>
          </w:p>
        </w:tc>
        <w:tc>
          <w:tcPr>
            <w:tcW w:w="1170" w:type="dxa"/>
          </w:tcPr>
          <w:p>
            <w:pPr>
              <w:pStyle w:val="yTable"/>
              <w:spacing w:before="40"/>
              <w:ind w:right="134"/>
              <w:jc w:val="right"/>
              <w:rPr>
                <w:sz w:val="18"/>
              </w:rPr>
            </w:pPr>
            <w:r>
              <w:rPr>
                <w:sz w:val="18"/>
              </w:rPr>
              <w:t>4.40</w:t>
            </w:r>
          </w:p>
        </w:tc>
        <w:tc>
          <w:tcPr>
            <w:tcW w:w="1169" w:type="dxa"/>
          </w:tcPr>
          <w:p>
            <w:pPr>
              <w:pStyle w:val="yTable"/>
              <w:spacing w:before="40"/>
              <w:ind w:right="133"/>
              <w:jc w:val="right"/>
              <w:rPr>
                <w:sz w:val="18"/>
              </w:rPr>
            </w:pPr>
            <w:r>
              <w:rPr>
                <w:sz w:val="18"/>
              </w:rPr>
              <w:t>11.00</w:t>
            </w:r>
          </w:p>
        </w:tc>
        <w:tc>
          <w:tcPr>
            <w:tcW w:w="1170" w:type="dxa"/>
          </w:tcPr>
          <w:p>
            <w:pPr>
              <w:pStyle w:val="yTable"/>
              <w:spacing w:before="40"/>
              <w:ind w:right="118"/>
              <w:jc w:val="right"/>
              <w:rPr>
                <w:sz w:val="18"/>
              </w:rPr>
            </w:pPr>
            <w:r>
              <w:rPr>
                <w:sz w:val="18"/>
              </w:rPr>
              <w:t>22.00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5</w:t>
            </w:r>
          </w:p>
        </w:tc>
        <w:tc>
          <w:tcPr>
            <w:tcW w:w="1169" w:type="dxa"/>
          </w:tcPr>
          <w:p>
            <w:pPr>
              <w:pStyle w:val="yTable"/>
              <w:spacing w:before="40"/>
              <w:ind w:right="89"/>
              <w:jc w:val="right"/>
              <w:rPr>
                <w:sz w:val="18"/>
              </w:rPr>
            </w:pPr>
            <w:r>
              <w:rPr>
                <w:sz w:val="18"/>
              </w:rPr>
              <w:t>2.75</w:t>
            </w:r>
          </w:p>
        </w:tc>
        <w:tc>
          <w:tcPr>
            <w:tcW w:w="1170" w:type="dxa"/>
          </w:tcPr>
          <w:p>
            <w:pPr>
              <w:pStyle w:val="yTable"/>
              <w:spacing w:before="40"/>
              <w:ind w:right="134"/>
              <w:jc w:val="right"/>
              <w:rPr>
                <w:sz w:val="18"/>
              </w:rPr>
            </w:pPr>
            <w:r>
              <w:rPr>
                <w:sz w:val="18"/>
              </w:rPr>
              <w:t>5.50</w:t>
            </w:r>
          </w:p>
        </w:tc>
        <w:tc>
          <w:tcPr>
            <w:tcW w:w="1169" w:type="dxa"/>
          </w:tcPr>
          <w:p>
            <w:pPr>
              <w:pStyle w:val="yTable"/>
              <w:spacing w:before="40"/>
              <w:ind w:right="133"/>
              <w:jc w:val="right"/>
              <w:rPr>
                <w:sz w:val="18"/>
              </w:rPr>
            </w:pPr>
            <w:r>
              <w:rPr>
                <w:sz w:val="18"/>
              </w:rPr>
              <w:t>13.75</w:t>
            </w:r>
          </w:p>
        </w:tc>
        <w:tc>
          <w:tcPr>
            <w:tcW w:w="1170" w:type="dxa"/>
          </w:tcPr>
          <w:p>
            <w:pPr>
              <w:pStyle w:val="yTable"/>
              <w:spacing w:before="40"/>
              <w:ind w:right="118"/>
              <w:jc w:val="right"/>
              <w:rPr>
                <w:sz w:val="18"/>
              </w:rPr>
            </w:pPr>
            <w:r>
              <w:rPr>
                <w:sz w:val="18"/>
              </w:rPr>
              <w:t>27.50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6</w:t>
            </w:r>
          </w:p>
        </w:tc>
        <w:tc>
          <w:tcPr>
            <w:tcW w:w="1169" w:type="dxa"/>
          </w:tcPr>
          <w:p>
            <w:pPr>
              <w:pStyle w:val="yTable"/>
              <w:spacing w:before="40"/>
              <w:ind w:right="89"/>
              <w:jc w:val="right"/>
              <w:rPr>
                <w:sz w:val="18"/>
              </w:rPr>
            </w:pPr>
            <w:r>
              <w:rPr>
                <w:sz w:val="18"/>
              </w:rPr>
              <w:t>3.30</w:t>
            </w:r>
          </w:p>
        </w:tc>
        <w:tc>
          <w:tcPr>
            <w:tcW w:w="1170" w:type="dxa"/>
          </w:tcPr>
          <w:p>
            <w:pPr>
              <w:pStyle w:val="yTable"/>
              <w:spacing w:before="40"/>
              <w:ind w:right="134"/>
              <w:jc w:val="right"/>
              <w:rPr>
                <w:sz w:val="18"/>
              </w:rPr>
            </w:pPr>
            <w:r>
              <w:rPr>
                <w:sz w:val="18"/>
              </w:rPr>
              <w:t>6.60</w:t>
            </w:r>
          </w:p>
        </w:tc>
        <w:tc>
          <w:tcPr>
            <w:tcW w:w="1169" w:type="dxa"/>
          </w:tcPr>
          <w:p>
            <w:pPr>
              <w:pStyle w:val="yTable"/>
              <w:spacing w:before="40"/>
              <w:ind w:right="133"/>
              <w:jc w:val="right"/>
              <w:rPr>
                <w:sz w:val="18"/>
              </w:rPr>
            </w:pPr>
            <w:r>
              <w:rPr>
                <w:sz w:val="18"/>
              </w:rPr>
              <w:t>16.50</w:t>
            </w:r>
          </w:p>
        </w:tc>
        <w:tc>
          <w:tcPr>
            <w:tcW w:w="1170" w:type="dxa"/>
          </w:tcPr>
          <w:p>
            <w:pPr>
              <w:pStyle w:val="yTable"/>
              <w:spacing w:before="40"/>
              <w:ind w:right="118"/>
              <w:jc w:val="right"/>
              <w:rPr>
                <w:sz w:val="18"/>
              </w:rPr>
            </w:pPr>
            <w:r>
              <w:rPr>
                <w:sz w:val="18"/>
              </w:rPr>
              <w:t>33.00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7</w:t>
            </w:r>
          </w:p>
        </w:tc>
        <w:tc>
          <w:tcPr>
            <w:tcW w:w="1169" w:type="dxa"/>
          </w:tcPr>
          <w:p>
            <w:pPr>
              <w:pStyle w:val="yTable"/>
              <w:spacing w:before="40"/>
              <w:ind w:right="89"/>
              <w:jc w:val="right"/>
              <w:rPr>
                <w:sz w:val="18"/>
              </w:rPr>
            </w:pPr>
            <w:r>
              <w:rPr>
                <w:sz w:val="18"/>
              </w:rPr>
              <w:t>3.80</w:t>
            </w:r>
          </w:p>
        </w:tc>
        <w:tc>
          <w:tcPr>
            <w:tcW w:w="1170" w:type="dxa"/>
          </w:tcPr>
          <w:p>
            <w:pPr>
              <w:pStyle w:val="yTable"/>
              <w:spacing w:before="40"/>
              <w:ind w:right="134"/>
              <w:jc w:val="right"/>
              <w:rPr>
                <w:sz w:val="18"/>
              </w:rPr>
            </w:pPr>
            <w:r>
              <w:rPr>
                <w:sz w:val="18"/>
              </w:rPr>
              <w:t>7.60</w:t>
            </w:r>
          </w:p>
        </w:tc>
        <w:tc>
          <w:tcPr>
            <w:tcW w:w="1169" w:type="dxa"/>
          </w:tcPr>
          <w:p>
            <w:pPr>
              <w:pStyle w:val="yTable"/>
              <w:spacing w:before="40"/>
              <w:ind w:right="133"/>
              <w:jc w:val="right"/>
              <w:rPr>
                <w:sz w:val="18"/>
              </w:rPr>
            </w:pPr>
            <w:r>
              <w:rPr>
                <w:sz w:val="18"/>
              </w:rPr>
              <w:t>19.00</w:t>
            </w:r>
          </w:p>
        </w:tc>
        <w:tc>
          <w:tcPr>
            <w:tcW w:w="1170" w:type="dxa"/>
          </w:tcPr>
          <w:p>
            <w:pPr>
              <w:pStyle w:val="yTable"/>
              <w:spacing w:before="40"/>
              <w:ind w:right="118"/>
              <w:jc w:val="right"/>
              <w:rPr>
                <w:sz w:val="18"/>
              </w:rPr>
            </w:pPr>
            <w:r>
              <w:rPr>
                <w:sz w:val="18"/>
              </w:rPr>
              <w:t>38.00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8</w:t>
            </w:r>
          </w:p>
        </w:tc>
        <w:tc>
          <w:tcPr>
            <w:tcW w:w="1169" w:type="dxa"/>
          </w:tcPr>
          <w:p>
            <w:pPr>
              <w:pStyle w:val="yTable"/>
              <w:spacing w:before="40"/>
              <w:ind w:right="89"/>
              <w:jc w:val="right"/>
              <w:rPr>
                <w:sz w:val="18"/>
              </w:rPr>
            </w:pPr>
            <w:r>
              <w:rPr>
                <w:sz w:val="18"/>
              </w:rPr>
              <w:t>4.35</w:t>
            </w:r>
          </w:p>
        </w:tc>
        <w:tc>
          <w:tcPr>
            <w:tcW w:w="1170" w:type="dxa"/>
          </w:tcPr>
          <w:p>
            <w:pPr>
              <w:pStyle w:val="yTable"/>
              <w:spacing w:before="40"/>
              <w:ind w:right="134"/>
              <w:jc w:val="right"/>
              <w:rPr>
                <w:sz w:val="18"/>
              </w:rPr>
            </w:pPr>
            <w:r>
              <w:rPr>
                <w:sz w:val="18"/>
              </w:rPr>
              <w:t>8.70</w:t>
            </w:r>
          </w:p>
        </w:tc>
        <w:tc>
          <w:tcPr>
            <w:tcW w:w="1169" w:type="dxa"/>
          </w:tcPr>
          <w:p>
            <w:pPr>
              <w:pStyle w:val="yTable"/>
              <w:spacing w:before="40"/>
              <w:ind w:right="133"/>
              <w:jc w:val="right"/>
              <w:rPr>
                <w:sz w:val="18"/>
              </w:rPr>
            </w:pPr>
            <w:r>
              <w:rPr>
                <w:sz w:val="18"/>
              </w:rPr>
              <w:t>21.75</w:t>
            </w:r>
          </w:p>
        </w:tc>
        <w:tc>
          <w:tcPr>
            <w:tcW w:w="1170" w:type="dxa"/>
          </w:tcPr>
          <w:p>
            <w:pPr>
              <w:pStyle w:val="yTable"/>
              <w:spacing w:before="40"/>
              <w:ind w:right="118"/>
              <w:jc w:val="right"/>
              <w:rPr>
                <w:sz w:val="18"/>
              </w:rPr>
            </w:pPr>
            <w:r>
              <w:rPr>
                <w:sz w:val="18"/>
              </w:rPr>
              <w:t>43.50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9</w:t>
            </w:r>
          </w:p>
        </w:tc>
        <w:tc>
          <w:tcPr>
            <w:tcW w:w="1169" w:type="dxa"/>
          </w:tcPr>
          <w:p>
            <w:pPr>
              <w:pStyle w:val="yTable"/>
              <w:spacing w:before="40"/>
              <w:ind w:right="89"/>
              <w:jc w:val="right"/>
              <w:rPr>
                <w:sz w:val="18"/>
              </w:rPr>
            </w:pPr>
            <w:r>
              <w:rPr>
                <w:sz w:val="18"/>
              </w:rPr>
              <w:t>4.90</w:t>
            </w:r>
          </w:p>
        </w:tc>
        <w:tc>
          <w:tcPr>
            <w:tcW w:w="1170" w:type="dxa"/>
          </w:tcPr>
          <w:p>
            <w:pPr>
              <w:pStyle w:val="yTable"/>
              <w:spacing w:before="40"/>
              <w:ind w:right="134"/>
              <w:jc w:val="right"/>
              <w:rPr>
                <w:sz w:val="18"/>
              </w:rPr>
            </w:pPr>
            <w:r>
              <w:rPr>
                <w:sz w:val="18"/>
              </w:rPr>
              <w:t>9.80</w:t>
            </w:r>
          </w:p>
        </w:tc>
        <w:tc>
          <w:tcPr>
            <w:tcW w:w="1169" w:type="dxa"/>
          </w:tcPr>
          <w:p>
            <w:pPr>
              <w:pStyle w:val="yTable"/>
              <w:spacing w:before="40"/>
              <w:ind w:right="133"/>
              <w:jc w:val="right"/>
              <w:rPr>
                <w:sz w:val="18"/>
              </w:rPr>
            </w:pPr>
            <w:r>
              <w:rPr>
                <w:sz w:val="18"/>
              </w:rPr>
              <w:t>24.50</w:t>
            </w:r>
          </w:p>
        </w:tc>
        <w:tc>
          <w:tcPr>
            <w:tcW w:w="1170" w:type="dxa"/>
          </w:tcPr>
          <w:p>
            <w:pPr>
              <w:pStyle w:val="yTable"/>
              <w:spacing w:before="40"/>
              <w:ind w:right="118"/>
              <w:jc w:val="right"/>
              <w:rPr>
                <w:sz w:val="18"/>
              </w:rPr>
            </w:pPr>
            <w:r>
              <w:rPr>
                <w:sz w:val="18"/>
              </w:rPr>
              <w:t>49.00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10</w:t>
            </w:r>
          </w:p>
        </w:tc>
        <w:tc>
          <w:tcPr>
            <w:tcW w:w="1169" w:type="dxa"/>
          </w:tcPr>
          <w:p>
            <w:pPr>
              <w:pStyle w:val="yTable"/>
              <w:spacing w:before="40"/>
              <w:ind w:right="89"/>
              <w:jc w:val="right"/>
              <w:rPr>
                <w:sz w:val="18"/>
              </w:rPr>
            </w:pPr>
            <w:r>
              <w:rPr>
                <w:sz w:val="18"/>
              </w:rPr>
              <w:t>5.45</w:t>
            </w:r>
          </w:p>
        </w:tc>
        <w:tc>
          <w:tcPr>
            <w:tcW w:w="1170" w:type="dxa"/>
          </w:tcPr>
          <w:p>
            <w:pPr>
              <w:pStyle w:val="yTable"/>
              <w:spacing w:before="40"/>
              <w:ind w:right="134"/>
              <w:jc w:val="right"/>
              <w:rPr>
                <w:sz w:val="18"/>
              </w:rPr>
            </w:pPr>
            <w:r>
              <w:rPr>
                <w:sz w:val="18"/>
              </w:rPr>
              <w:t>10.90</w:t>
            </w:r>
          </w:p>
        </w:tc>
        <w:tc>
          <w:tcPr>
            <w:tcW w:w="1169" w:type="dxa"/>
          </w:tcPr>
          <w:p>
            <w:pPr>
              <w:pStyle w:val="yTable"/>
              <w:spacing w:before="40"/>
              <w:ind w:right="133"/>
              <w:jc w:val="right"/>
              <w:rPr>
                <w:sz w:val="18"/>
              </w:rPr>
            </w:pPr>
            <w:r>
              <w:rPr>
                <w:sz w:val="18"/>
              </w:rPr>
              <w:t>27.25</w:t>
            </w:r>
          </w:p>
        </w:tc>
        <w:tc>
          <w:tcPr>
            <w:tcW w:w="1170" w:type="dxa"/>
          </w:tcPr>
          <w:p>
            <w:pPr>
              <w:pStyle w:val="yTable"/>
              <w:spacing w:before="40"/>
              <w:ind w:right="118"/>
              <w:jc w:val="right"/>
              <w:rPr>
                <w:sz w:val="18"/>
              </w:rPr>
            </w:pPr>
            <w:r>
              <w:rPr>
                <w:sz w:val="18"/>
              </w:rPr>
              <w:t>54.50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11</w:t>
            </w:r>
          </w:p>
        </w:tc>
        <w:tc>
          <w:tcPr>
            <w:tcW w:w="1169" w:type="dxa"/>
          </w:tcPr>
          <w:p>
            <w:pPr>
              <w:pStyle w:val="yTable"/>
              <w:spacing w:before="40"/>
              <w:ind w:right="89"/>
              <w:jc w:val="right"/>
              <w:rPr>
                <w:sz w:val="18"/>
              </w:rPr>
            </w:pPr>
            <w:r>
              <w:rPr>
                <w:sz w:val="18"/>
              </w:rPr>
              <w:t>6.00</w:t>
            </w:r>
          </w:p>
        </w:tc>
        <w:tc>
          <w:tcPr>
            <w:tcW w:w="1170" w:type="dxa"/>
          </w:tcPr>
          <w:p>
            <w:pPr>
              <w:pStyle w:val="yTable"/>
              <w:spacing w:before="40"/>
              <w:ind w:right="134"/>
              <w:jc w:val="right"/>
              <w:rPr>
                <w:sz w:val="18"/>
              </w:rPr>
            </w:pPr>
            <w:r>
              <w:rPr>
                <w:sz w:val="18"/>
              </w:rPr>
              <w:t>12.00</w:t>
            </w:r>
          </w:p>
        </w:tc>
        <w:tc>
          <w:tcPr>
            <w:tcW w:w="1169" w:type="dxa"/>
          </w:tcPr>
          <w:p>
            <w:pPr>
              <w:pStyle w:val="yTable"/>
              <w:spacing w:before="40"/>
              <w:ind w:right="133"/>
              <w:jc w:val="right"/>
              <w:rPr>
                <w:sz w:val="18"/>
              </w:rPr>
            </w:pPr>
            <w:r>
              <w:rPr>
                <w:sz w:val="18"/>
              </w:rPr>
              <w:t>30.00</w:t>
            </w:r>
          </w:p>
        </w:tc>
        <w:tc>
          <w:tcPr>
            <w:tcW w:w="1170" w:type="dxa"/>
          </w:tcPr>
          <w:p>
            <w:pPr>
              <w:pStyle w:val="yTable"/>
              <w:spacing w:before="40"/>
              <w:ind w:right="118"/>
              <w:jc w:val="right"/>
              <w:rPr>
                <w:sz w:val="18"/>
              </w:rPr>
            </w:pPr>
            <w:r>
              <w:rPr>
                <w:sz w:val="18"/>
              </w:rPr>
              <w:t>60.00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12</w:t>
            </w:r>
          </w:p>
        </w:tc>
        <w:tc>
          <w:tcPr>
            <w:tcW w:w="1169" w:type="dxa"/>
          </w:tcPr>
          <w:p>
            <w:pPr>
              <w:pStyle w:val="yTable"/>
              <w:spacing w:before="40"/>
              <w:ind w:right="89"/>
              <w:jc w:val="right"/>
              <w:rPr>
                <w:sz w:val="18"/>
              </w:rPr>
            </w:pPr>
            <w:r>
              <w:rPr>
                <w:sz w:val="18"/>
              </w:rPr>
              <w:t>6.55</w:t>
            </w:r>
          </w:p>
        </w:tc>
        <w:tc>
          <w:tcPr>
            <w:tcW w:w="1170" w:type="dxa"/>
          </w:tcPr>
          <w:p>
            <w:pPr>
              <w:pStyle w:val="yTable"/>
              <w:spacing w:before="40"/>
              <w:ind w:right="134"/>
              <w:jc w:val="right"/>
              <w:rPr>
                <w:sz w:val="18"/>
              </w:rPr>
            </w:pPr>
            <w:r>
              <w:rPr>
                <w:sz w:val="18"/>
              </w:rPr>
              <w:t>13.10</w:t>
            </w:r>
          </w:p>
        </w:tc>
        <w:tc>
          <w:tcPr>
            <w:tcW w:w="1169" w:type="dxa"/>
          </w:tcPr>
          <w:p>
            <w:pPr>
              <w:pStyle w:val="yTable"/>
              <w:spacing w:before="40"/>
              <w:ind w:right="133"/>
              <w:jc w:val="right"/>
              <w:rPr>
                <w:sz w:val="18"/>
              </w:rPr>
            </w:pPr>
            <w:r>
              <w:rPr>
                <w:sz w:val="18"/>
              </w:rPr>
              <w:t>32.75</w:t>
            </w:r>
          </w:p>
        </w:tc>
        <w:tc>
          <w:tcPr>
            <w:tcW w:w="1170" w:type="dxa"/>
          </w:tcPr>
          <w:p>
            <w:pPr>
              <w:pStyle w:val="yTable"/>
              <w:spacing w:before="40"/>
              <w:ind w:right="118"/>
              <w:jc w:val="right"/>
              <w:rPr>
                <w:sz w:val="18"/>
              </w:rPr>
            </w:pPr>
            <w:r>
              <w:rPr>
                <w:sz w:val="18"/>
              </w:rPr>
              <w:t>65.50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14</w:t>
            </w:r>
          </w:p>
        </w:tc>
        <w:tc>
          <w:tcPr>
            <w:tcW w:w="1169" w:type="dxa"/>
          </w:tcPr>
          <w:p>
            <w:pPr>
              <w:pStyle w:val="yTable"/>
              <w:spacing w:before="40"/>
              <w:ind w:right="89"/>
              <w:jc w:val="right"/>
              <w:rPr>
                <w:sz w:val="18"/>
              </w:rPr>
            </w:pPr>
            <w:r>
              <w:rPr>
                <w:sz w:val="18"/>
              </w:rPr>
              <w:t>7.65</w:t>
            </w:r>
          </w:p>
        </w:tc>
        <w:tc>
          <w:tcPr>
            <w:tcW w:w="1170" w:type="dxa"/>
          </w:tcPr>
          <w:p>
            <w:pPr>
              <w:pStyle w:val="yTable"/>
              <w:spacing w:before="40"/>
              <w:ind w:right="134"/>
              <w:jc w:val="right"/>
              <w:rPr>
                <w:sz w:val="18"/>
              </w:rPr>
            </w:pPr>
            <w:r>
              <w:rPr>
                <w:sz w:val="18"/>
              </w:rPr>
              <w:t>15.30</w:t>
            </w:r>
          </w:p>
        </w:tc>
        <w:tc>
          <w:tcPr>
            <w:tcW w:w="1169" w:type="dxa"/>
          </w:tcPr>
          <w:p>
            <w:pPr>
              <w:pStyle w:val="yTable"/>
              <w:spacing w:before="40"/>
              <w:ind w:right="133"/>
              <w:jc w:val="right"/>
              <w:rPr>
                <w:sz w:val="18"/>
              </w:rPr>
            </w:pPr>
            <w:r>
              <w:rPr>
                <w:sz w:val="18"/>
              </w:rPr>
              <w:t>38.25</w:t>
            </w:r>
          </w:p>
        </w:tc>
        <w:tc>
          <w:tcPr>
            <w:tcW w:w="1170" w:type="dxa"/>
          </w:tcPr>
          <w:p>
            <w:pPr>
              <w:pStyle w:val="yTable"/>
              <w:spacing w:before="40"/>
              <w:ind w:right="118"/>
              <w:jc w:val="right"/>
              <w:rPr>
                <w:sz w:val="18"/>
              </w:rPr>
            </w:pPr>
            <w:r>
              <w:rPr>
                <w:sz w:val="18"/>
              </w:rPr>
              <w:t>76.50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18</w:t>
            </w:r>
          </w:p>
        </w:tc>
        <w:tc>
          <w:tcPr>
            <w:tcW w:w="1169" w:type="dxa"/>
          </w:tcPr>
          <w:p>
            <w:pPr>
              <w:pStyle w:val="yTable"/>
              <w:spacing w:before="40"/>
              <w:ind w:right="89"/>
              <w:jc w:val="right"/>
              <w:rPr>
                <w:sz w:val="18"/>
              </w:rPr>
            </w:pPr>
            <w:r>
              <w:rPr>
                <w:sz w:val="18"/>
              </w:rPr>
              <w:t>9.80</w:t>
            </w:r>
          </w:p>
        </w:tc>
        <w:tc>
          <w:tcPr>
            <w:tcW w:w="1170" w:type="dxa"/>
          </w:tcPr>
          <w:p>
            <w:pPr>
              <w:pStyle w:val="yTable"/>
              <w:spacing w:before="40"/>
              <w:ind w:right="134"/>
              <w:jc w:val="right"/>
              <w:rPr>
                <w:sz w:val="18"/>
              </w:rPr>
            </w:pPr>
            <w:r>
              <w:rPr>
                <w:sz w:val="18"/>
              </w:rPr>
              <w:t>19.60</w:t>
            </w:r>
          </w:p>
        </w:tc>
        <w:tc>
          <w:tcPr>
            <w:tcW w:w="1169" w:type="dxa"/>
          </w:tcPr>
          <w:p>
            <w:pPr>
              <w:pStyle w:val="yTable"/>
              <w:spacing w:before="40"/>
              <w:ind w:right="133"/>
              <w:jc w:val="right"/>
              <w:rPr>
                <w:sz w:val="18"/>
              </w:rPr>
            </w:pPr>
            <w:r>
              <w:rPr>
                <w:sz w:val="18"/>
              </w:rPr>
              <w:t>49.00</w:t>
            </w:r>
          </w:p>
        </w:tc>
        <w:tc>
          <w:tcPr>
            <w:tcW w:w="1170" w:type="dxa"/>
          </w:tcPr>
          <w:p>
            <w:pPr>
              <w:pStyle w:val="yTable"/>
              <w:spacing w:before="40"/>
              <w:ind w:right="118"/>
              <w:jc w:val="right"/>
              <w:rPr>
                <w:sz w:val="18"/>
              </w:rPr>
            </w:pPr>
            <w:r>
              <w:rPr>
                <w:sz w:val="18"/>
              </w:rPr>
              <w:t>98.00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25</w:t>
            </w:r>
          </w:p>
        </w:tc>
        <w:tc>
          <w:tcPr>
            <w:tcW w:w="1169" w:type="dxa"/>
          </w:tcPr>
          <w:p>
            <w:pPr>
              <w:pStyle w:val="yTable"/>
              <w:spacing w:before="40"/>
              <w:ind w:right="89"/>
              <w:jc w:val="right"/>
              <w:rPr>
                <w:sz w:val="18"/>
              </w:rPr>
            </w:pPr>
            <w:r>
              <w:rPr>
                <w:sz w:val="18"/>
              </w:rPr>
              <w:t>13.60</w:t>
            </w:r>
          </w:p>
        </w:tc>
        <w:tc>
          <w:tcPr>
            <w:tcW w:w="1170" w:type="dxa"/>
          </w:tcPr>
          <w:p>
            <w:pPr>
              <w:pStyle w:val="yTable"/>
              <w:spacing w:before="40"/>
              <w:ind w:right="134"/>
              <w:jc w:val="right"/>
              <w:rPr>
                <w:sz w:val="18"/>
              </w:rPr>
            </w:pPr>
            <w:r>
              <w:rPr>
                <w:sz w:val="18"/>
              </w:rPr>
              <w:t>27.20</w:t>
            </w:r>
          </w:p>
        </w:tc>
        <w:tc>
          <w:tcPr>
            <w:tcW w:w="1169" w:type="dxa"/>
          </w:tcPr>
          <w:p>
            <w:pPr>
              <w:pStyle w:val="yTable"/>
              <w:spacing w:before="40"/>
              <w:ind w:right="133"/>
              <w:jc w:val="right"/>
              <w:rPr>
                <w:sz w:val="18"/>
              </w:rPr>
            </w:pPr>
            <w:r>
              <w:rPr>
                <w:sz w:val="18"/>
              </w:rPr>
              <w:t>68.00</w:t>
            </w:r>
          </w:p>
        </w:tc>
        <w:tc>
          <w:tcPr>
            <w:tcW w:w="1170" w:type="dxa"/>
          </w:tcPr>
          <w:p>
            <w:pPr>
              <w:pStyle w:val="yTable"/>
              <w:spacing w:before="40"/>
              <w:ind w:right="118"/>
              <w:jc w:val="right"/>
              <w:rPr>
                <w:sz w:val="18"/>
              </w:rPr>
            </w:pPr>
            <w:r>
              <w:rPr>
                <w:sz w:val="18"/>
              </w:rPr>
              <w:t>136.00</w:t>
            </w:r>
          </w:p>
        </w:tc>
      </w:tr>
      <w:tr>
        <w:tc>
          <w:tcPr>
            <w:tcW w:w="1276" w:type="dxa"/>
          </w:tcPr>
          <w:p>
            <w:pPr>
              <w:pStyle w:val="yTable"/>
              <w:spacing w:before="40"/>
              <w:rPr>
                <w:sz w:val="18"/>
              </w:rPr>
            </w:pPr>
            <w:r>
              <w:rPr>
                <w:sz w:val="18"/>
              </w:rPr>
              <w:t>System 7</w:t>
            </w:r>
          </w:p>
        </w:tc>
        <w:tc>
          <w:tcPr>
            <w:tcW w:w="850" w:type="dxa"/>
          </w:tcPr>
          <w:p>
            <w:pPr>
              <w:pStyle w:val="yTable"/>
              <w:spacing w:before="40"/>
              <w:jc w:val="center"/>
              <w:rPr>
                <w:sz w:val="18"/>
              </w:rPr>
            </w:pPr>
            <w:r>
              <w:rPr>
                <w:sz w:val="18"/>
              </w:rPr>
              <w:t>7</w:t>
            </w:r>
          </w:p>
        </w:tc>
        <w:tc>
          <w:tcPr>
            <w:tcW w:w="1169" w:type="dxa"/>
          </w:tcPr>
          <w:p>
            <w:pPr>
              <w:pStyle w:val="yTable"/>
              <w:spacing w:before="40"/>
              <w:ind w:right="89"/>
              <w:jc w:val="right"/>
              <w:rPr>
                <w:sz w:val="18"/>
              </w:rPr>
            </w:pPr>
            <w:r>
              <w:rPr>
                <w:sz w:val="18"/>
              </w:rPr>
              <w:t>3.80</w:t>
            </w:r>
          </w:p>
        </w:tc>
        <w:tc>
          <w:tcPr>
            <w:tcW w:w="1170" w:type="dxa"/>
          </w:tcPr>
          <w:p>
            <w:pPr>
              <w:pStyle w:val="yTable"/>
              <w:spacing w:before="40"/>
              <w:ind w:right="134"/>
              <w:jc w:val="right"/>
              <w:rPr>
                <w:sz w:val="18"/>
              </w:rPr>
            </w:pPr>
            <w:r>
              <w:rPr>
                <w:sz w:val="18"/>
              </w:rPr>
              <w:t>7.60</w:t>
            </w:r>
          </w:p>
        </w:tc>
        <w:tc>
          <w:tcPr>
            <w:tcW w:w="1169" w:type="dxa"/>
          </w:tcPr>
          <w:p>
            <w:pPr>
              <w:pStyle w:val="yTable"/>
              <w:spacing w:before="40"/>
              <w:ind w:right="133"/>
              <w:jc w:val="right"/>
              <w:rPr>
                <w:sz w:val="18"/>
              </w:rPr>
            </w:pPr>
            <w:r>
              <w:rPr>
                <w:sz w:val="18"/>
              </w:rPr>
              <w:t>19.00</w:t>
            </w:r>
          </w:p>
        </w:tc>
        <w:tc>
          <w:tcPr>
            <w:tcW w:w="1170" w:type="dxa"/>
          </w:tcPr>
          <w:p>
            <w:pPr>
              <w:pStyle w:val="yTable"/>
              <w:spacing w:before="40"/>
              <w:ind w:right="118"/>
              <w:jc w:val="right"/>
              <w:rPr>
                <w:sz w:val="18"/>
              </w:rPr>
            </w:pPr>
            <w:r>
              <w:rPr>
                <w:sz w:val="18"/>
              </w:rPr>
              <w:t>38.00</w:t>
            </w:r>
          </w:p>
        </w:tc>
      </w:tr>
      <w:tr>
        <w:tc>
          <w:tcPr>
            <w:tcW w:w="1276" w:type="dxa"/>
          </w:tcPr>
          <w:p>
            <w:pPr>
              <w:pStyle w:val="yTable"/>
              <w:spacing w:before="40"/>
              <w:rPr>
                <w:sz w:val="18"/>
              </w:rPr>
            </w:pPr>
            <w:r>
              <w:rPr>
                <w:sz w:val="18"/>
              </w:rPr>
              <w:t>System 8</w:t>
            </w:r>
          </w:p>
        </w:tc>
        <w:tc>
          <w:tcPr>
            <w:tcW w:w="850" w:type="dxa"/>
          </w:tcPr>
          <w:p>
            <w:pPr>
              <w:pStyle w:val="yTable"/>
              <w:spacing w:before="40"/>
              <w:jc w:val="center"/>
              <w:rPr>
                <w:sz w:val="18"/>
              </w:rPr>
            </w:pPr>
            <w:r>
              <w:rPr>
                <w:sz w:val="18"/>
              </w:rPr>
              <w:t>28</w:t>
            </w:r>
          </w:p>
        </w:tc>
        <w:tc>
          <w:tcPr>
            <w:tcW w:w="1169" w:type="dxa"/>
          </w:tcPr>
          <w:p>
            <w:pPr>
              <w:pStyle w:val="yTable"/>
              <w:spacing w:before="40"/>
              <w:ind w:right="89"/>
              <w:jc w:val="right"/>
              <w:rPr>
                <w:sz w:val="18"/>
              </w:rPr>
            </w:pPr>
            <w:r>
              <w:rPr>
                <w:sz w:val="18"/>
              </w:rPr>
              <w:t>15.25</w:t>
            </w:r>
          </w:p>
        </w:tc>
        <w:tc>
          <w:tcPr>
            <w:tcW w:w="1170" w:type="dxa"/>
          </w:tcPr>
          <w:p>
            <w:pPr>
              <w:pStyle w:val="yTable"/>
              <w:spacing w:before="40"/>
              <w:ind w:right="134"/>
              <w:jc w:val="right"/>
              <w:rPr>
                <w:sz w:val="18"/>
              </w:rPr>
            </w:pPr>
            <w:r>
              <w:rPr>
                <w:sz w:val="18"/>
              </w:rPr>
              <w:t>30.50</w:t>
            </w:r>
          </w:p>
        </w:tc>
        <w:tc>
          <w:tcPr>
            <w:tcW w:w="1169" w:type="dxa"/>
          </w:tcPr>
          <w:p>
            <w:pPr>
              <w:pStyle w:val="yTable"/>
              <w:spacing w:before="40"/>
              <w:ind w:right="133"/>
              <w:jc w:val="right"/>
              <w:rPr>
                <w:sz w:val="18"/>
              </w:rPr>
            </w:pPr>
            <w:r>
              <w:rPr>
                <w:sz w:val="18"/>
              </w:rPr>
              <w:t>76.25</w:t>
            </w:r>
          </w:p>
        </w:tc>
        <w:tc>
          <w:tcPr>
            <w:tcW w:w="1170" w:type="dxa"/>
          </w:tcPr>
          <w:p>
            <w:pPr>
              <w:pStyle w:val="yTable"/>
              <w:spacing w:before="40"/>
              <w:ind w:right="118"/>
              <w:jc w:val="right"/>
              <w:rPr>
                <w:sz w:val="18"/>
              </w:rPr>
            </w:pPr>
            <w:r>
              <w:rPr>
                <w:sz w:val="18"/>
              </w:rPr>
              <w:t>152.50</w:t>
            </w:r>
          </w:p>
        </w:tc>
      </w:tr>
      <w:tr>
        <w:tc>
          <w:tcPr>
            <w:tcW w:w="1276" w:type="dxa"/>
          </w:tcPr>
          <w:p>
            <w:pPr>
              <w:pStyle w:val="yTable"/>
              <w:spacing w:before="40"/>
              <w:rPr>
                <w:sz w:val="18"/>
              </w:rPr>
            </w:pPr>
            <w:r>
              <w:rPr>
                <w:sz w:val="18"/>
              </w:rPr>
              <w:t>System 9</w:t>
            </w:r>
          </w:p>
        </w:tc>
        <w:tc>
          <w:tcPr>
            <w:tcW w:w="850" w:type="dxa"/>
          </w:tcPr>
          <w:p>
            <w:pPr>
              <w:pStyle w:val="yTable"/>
              <w:spacing w:before="40"/>
              <w:jc w:val="center"/>
              <w:rPr>
                <w:sz w:val="18"/>
              </w:rPr>
            </w:pPr>
            <w:r>
              <w:rPr>
                <w:sz w:val="18"/>
              </w:rPr>
              <w:t>84</w:t>
            </w:r>
          </w:p>
        </w:tc>
        <w:tc>
          <w:tcPr>
            <w:tcW w:w="1169" w:type="dxa"/>
          </w:tcPr>
          <w:p>
            <w:pPr>
              <w:pStyle w:val="yTable"/>
              <w:spacing w:before="40"/>
              <w:ind w:right="89"/>
              <w:jc w:val="right"/>
              <w:rPr>
                <w:sz w:val="18"/>
              </w:rPr>
            </w:pPr>
            <w:r>
              <w:rPr>
                <w:sz w:val="18"/>
              </w:rPr>
              <w:t>45.80</w:t>
            </w:r>
          </w:p>
        </w:tc>
        <w:tc>
          <w:tcPr>
            <w:tcW w:w="1170" w:type="dxa"/>
          </w:tcPr>
          <w:p>
            <w:pPr>
              <w:pStyle w:val="yTable"/>
              <w:spacing w:before="40"/>
              <w:ind w:right="134"/>
              <w:jc w:val="right"/>
              <w:rPr>
                <w:sz w:val="18"/>
              </w:rPr>
            </w:pPr>
            <w:r>
              <w:rPr>
                <w:sz w:val="18"/>
              </w:rPr>
              <w:t>91.60</w:t>
            </w:r>
          </w:p>
        </w:tc>
        <w:tc>
          <w:tcPr>
            <w:tcW w:w="1169" w:type="dxa"/>
          </w:tcPr>
          <w:p>
            <w:pPr>
              <w:pStyle w:val="yTable"/>
              <w:spacing w:before="40"/>
              <w:ind w:right="133"/>
              <w:jc w:val="right"/>
              <w:rPr>
                <w:sz w:val="18"/>
              </w:rPr>
            </w:pPr>
            <w:r>
              <w:rPr>
                <w:sz w:val="18"/>
              </w:rPr>
              <w:t>229.00</w:t>
            </w:r>
          </w:p>
        </w:tc>
        <w:tc>
          <w:tcPr>
            <w:tcW w:w="1170" w:type="dxa"/>
          </w:tcPr>
          <w:p>
            <w:pPr>
              <w:pStyle w:val="yTable"/>
              <w:spacing w:before="40"/>
              <w:ind w:right="118"/>
              <w:jc w:val="right"/>
              <w:rPr>
                <w:sz w:val="18"/>
              </w:rPr>
            </w:pPr>
            <w:r>
              <w:rPr>
                <w:sz w:val="18"/>
              </w:rPr>
              <w:t>458.00</w:t>
            </w:r>
          </w:p>
        </w:tc>
      </w:tr>
      <w:tr>
        <w:tc>
          <w:tcPr>
            <w:tcW w:w="1276" w:type="dxa"/>
          </w:tcPr>
          <w:p>
            <w:pPr>
              <w:pStyle w:val="yTable"/>
              <w:spacing w:before="40"/>
              <w:rPr>
                <w:sz w:val="18"/>
              </w:rPr>
            </w:pPr>
            <w:r>
              <w:rPr>
                <w:sz w:val="18"/>
              </w:rPr>
              <w:t>System 10</w:t>
            </w:r>
          </w:p>
        </w:tc>
        <w:tc>
          <w:tcPr>
            <w:tcW w:w="850" w:type="dxa"/>
          </w:tcPr>
          <w:p>
            <w:pPr>
              <w:pStyle w:val="yTable"/>
              <w:spacing w:before="40"/>
              <w:jc w:val="center"/>
              <w:rPr>
                <w:sz w:val="18"/>
              </w:rPr>
            </w:pPr>
            <w:r>
              <w:rPr>
                <w:sz w:val="18"/>
              </w:rPr>
              <w:t>210</w:t>
            </w:r>
          </w:p>
        </w:tc>
        <w:tc>
          <w:tcPr>
            <w:tcW w:w="1169" w:type="dxa"/>
          </w:tcPr>
          <w:p>
            <w:pPr>
              <w:pStyle w:val="yTable"/>
              <w:spacing w:before="40"/>
              <w:ind w:right="89"/>
              <w:jc w:val="right"/>
              <w:rPr>
                <w:sz w:val="18"/>
              </w:rPr>
            </w:pPr>
            <w:r>
              <w:rPr>
                <w:sz w:val="18"/>
              </w:rPr>
              <w:t>114.45</w:t>
            </w:r>
          </w:p>
        </w:tc>
        <w:tc>
          <w:tcPr>
            <w:tcW w:w="1170" w:type="dxa"/>
          </w:tcPr>
          <w:p>
            <w:pPr>
              <w:pStyle w:val="yTable"/>
              <w:spacing w:before="40"/>
              <w:ind w:right="134"/>
              <w:jc w:val="right"/>
              <w:rPr>
                <w:sz w:val="18"/>
              </w:rPr>
            </w:pPr>
            <w:r>
              <w:rPr>
                <w:sz w:val="18"/>
              </w:rPr>
              <w:t>228.90</w:t>
            </w:r>
          </w:p>
        </w:tc>
        <w:tc>
          <w:tcPr>
            <w:tcW w:w="1169" w:type="dxa"/>
          </w:tcPr>
          <w:p>
            <w:pPr>
              <w:pStyle w:val="yTable"/>
              <w:spacing w:before="40"/>
              <w:ind w:right="133"/>
              <w:jc w:val="right"/>
              <w:rPr>
                <w:sz w:val="18"/>
              </w:rPr>
            </w:pPr>
            <w:r>
              <w:rPr>
                <w:sz w:val="18"/>
              </w:rPr>
              <w:t>572.25</w:t>
            </w:r>
          </w:p>
        </w:tc>
        <w:tc>
          <w:tcPr>
            <w:tcW w:w="1170" w:type="dxa"/>
          </w:tcPr>
          <w:p>
            <w:pPr>
              <w:pStyle w:val="yTable"/>
              <w:spacing w:before="40"/>
              <w:ind w:right="118"/>
              <w:jc w:val="right"/>
              <w:rPr>
                <w:sz w:val="18"/>
              </w:rPr>
            </w:pPr>
            <w:r>
              <w:rPr>
                <w:sz w:val="18"/>
              </w:rPr>
              <w:t>1 144.50</w:t>
            </w:r>
          </w:p>
        </w:tc>
      </w:tr>
      <w:tr>
        <w:tc>
          <w:tcPr>
            <w:tcW w:w="1276" w:type="dxa"/>
          </w:tcPr>
          <w:p>
            <w:pPr>
              <w:pStyle w:val="yTable"/>
              <w:spacing w:before="40"/>
              <w:rPr>
                <w:sz w:val="18"/>
              </w:rPr>
            </w:pPr>
            <w:r>
              <w:rPr>
                <w:sz w:val="18"/>
              </w:rPr>
              <w:t>System 11</w:t>
            </w:r>
          </w:p>
        </w:tc>
        <w:tc>
          <w:tcPr>
            <w:tcW w:w="850" w:type="dxa"/>
          </w:tcPr>
          <w:p>
            <w:pPr>
              <w:pStyle w:val="yTable"/>
              <w:spacing w:before="40"/>
              <w:jc w:val="center"/>
              <w:rPr>
                <w:sz w:val="18"/>
              </w:rPr>
            </w:pPr>
            <w:r>
              <w:rPr>
                <w:sz w:val="18"/>
              </w:rPr>
              <w:t>462</w:t>
            </w:r>
          </w:p>
        </w:tc>
        <w:tc>
          <w:tcPr>
            <w:tcW w:w="1169" w:type="dxa"/>
          </w:tcPr>
          <w:p>
            <w:pPr>
              <w:pStyle w:val="yTable"/>
              <w:spacing w:before="40"/>
              <w:ind w:right="89"/>
              <w:jc w:val="right"/>
              <w:rPr>
                <w:sz w:val="18"/>
              </w:rPr>
            </w:pPr>
            <w:r>
              <w:rPr>
                <w:sz w:val="18"/>
              </w:rPr>
              <w:t>252.00</w:t>
            </w:r>
          </w:p>
        </w:tc>
        <w:tc>
          <w:tcPr>
            <w:tcW w:w="1170" w:type="dxa"/>
          </w:tcPr>
          <w:p>
            <w:pPr>
              <w:pStyle w:val="yTable"/>
              <w:spacing w:before="40"/>
              <w:ind w:right="134"/>
              <w:jc w:val="right"/>
              <w:rPr>
                <w:sz w:val="18"/>
              </w:rPr>
            </w:pPr>
            <w:r>
              <w:rPr>
                <w:sz w:val="18"/>
              </w:rPr>
              <w:t>504.00</w:t>
            </w:r>
          </w:p>
        </w:tc>
        <w:tc>
          <w:tcPr>
            <w:tcW w:w="1169" w:type="dxa"/>
          </w:tcPr>
          <w:p>
            <w:pPr>
              <w:pStyle w:val="yTable"/>
              <w:spacing w:before="40"/>
              <w:ind w:right="133"/>
              <w:jc w:val="right"/>
              <w:rPr>
                <w:sz w:val="18"/>
              </w:rPr>
            </w:pPr>
            <w:r>
              <w:rPr>
                <w:sz w:val="18"/>
              </w:rPr>
              <w:t>1 260.00</w:t>
            </w:r>
          </w:p>
        </w:tc>
        <w:tc>
          <w:tcPr>
            <w:tcW w:w="1170" w:type="dxa"/>
          </w:tcPr>
          <w:p>
            <w:pPr>
              <w:pStyle w:val="yTable"/>
              <w:spacing w:before="40"/>
              <w:ind w:right="118"/>
              <w:jc w:val="right"/>
              <w:rPr>
                <w:sz w:val="18"/>
              </w:rPr>
            </w:pPr>
            <w:r>
              <w:rPr>
                <w:sz w:val="18"/>
              </w:rPr>
              <w:t>2 520.00</w:t>
            </w:r>
          </w:p>
        </w:tc>
      </w:tr>
      <w:tr>
        <w:tc>
          <w:tcPr>
            <w:tcW w:w="1276" w:type="dxa"/>
          </w:tcPr>
          <w:p>
            <w:pPr>
              <w:pStyle w:val="yTable"/>
              <w:spacing w:before="40"/>
              <w:rPr>
                <w:sz w:val="18"/>
              </w:rPr>
            </w:pPr>
            <w:r>
              <w:rPr>
                <w:sz w:val="18"/>
              </w:rPr>
              <w:t>System 12</w:t>
            </w:r>
          </w:p>
        </w:tc>
        <w:tc>
          <w:tcPr>
            <w:tcW w:w="850" w:type="dxa"/>
          </w:tcPr>
          <w:p>
            <w:pPr>
              <w:pStyle w:val="yTable"/>
              <w:spacing w:before="40"/>
              <w:jc w:val="center"/>
              <w:rPr>
                <w:sz w:val="18"/>
              </w:rPr>
            </w:pPr>
            <w:r>
              <w:rPr>
                <w:sz w:val="18"/>
              </w:rPr>
              <w:t>924</w:t>
            </w:r>
          </w:p>
        </w:tc>
        <w:tc>
          <w:tcPr>
            <w:tcW w:w="1169" w:type="dxa"/>
          </w:tcPr>
          <w:p>
            <w:pPr>
              <w:pStyle w:val="yTable"/>
              <w:spacing w:before="40"/>
              <w:ind w:right="89"/>
              <w:jc w:val="right"/>
              <w:rPr>
                <w:sz w:val="18"/>
              </w:rPr>
            </w:pPr>
            <w:r>
              <w:rPr>
                <w:sz w:val="18"/>
              </w:rPr>
              <w:t>503.00</w:t>
            </w:r>
          </w:p>
        </w:tc>
        <w:tc>
          <w:tcPr>
            <w:tcW w:w="1170" w:type="dxa"/>
          </w:tcPr>
          <w:p>
            <w:pPr>
              <w:pStyle w:val="yTable"/>
              <w:spacing w:before="40"/>
              <w:ind w:right="134"/>
              <w:jc w:val="right"/>
              <w:rPr>
                <w:sz w:val="18"/>
              </w:rPr>
            </w:pPr>
            <w:r>
              <w:rPr>
                <w:sz w:val="18"/>
              </w:rPr>
              <w:t>1 006.00</w:t>
            </w:r>
          </w:p>
        </w:tc>
        <w:tc>
          <w:tcPr>
            <w:tcW w:w="1169" w:type="dxa"/>
          </w:tcPr>
          <w:p>
            <w:pPr>
              <w:pStyle w:val="yTable"/>
              <w:spacing w:before="40"/>
              <w:ind w:right="133"/>
              <w:jc w:val="right"/>
              <w:rPr>
                <w:sz w:val="18"/>
              </w:rPr>
            </w:pPr>
            <w:r>
              <w:rPr>
                <w:sz w:val="18"/>
              </w:rPr>
              <w:t>2 515.00</w:t>
            </w:r>
          </w:p>
        </w:tc>
        <w:tc>
          <w:tcPr>
            <w:tcW w:w="1170" w:type="dxa"/>
          </w:tcPr>
          <w:p>
            <w:pPr>
              <w:pStyle w:val="yTable"/>
              <w:spacing w:before="40"/>
              <w:ind w:right="118"/>
              <w:jc w:val="right"/>
              <w:rPr>
                <w:sz w:val="18"/>
              </w:rPr>
            </w:pPr>
            <w:r>
              <w:rPr>
                <w:sz w:val="18"/>
              </w:rPr>
              <w:t>5 030.00</w:t>
            </w:r>
          </w:p>
        </w:tc>
      </w:tr>
      <w:tr>
        <w:tc>
          <w:tcPr>
            <w:tcW w:w="1276" w:type="dxa"/>
          </w:tcPr>
          <w:p>
            <w:pPr>
              <w:pStyle w:val="yTable"/>
              <w:spacing w:before="40"/>
              <w:rPr>
                <w:sz w:val="18"/>
              </w:rPr>
            </w:pPr>
            <w:r>
              <w:rPr>
                <w:sz w:val="18"/>
              </w:rPr>
              <w:t>System 13</w:t>
            </w:r>
          </w:p>
        </w:tc>
        <w:tc>
          <w:tcPr>
            <w:tcW w:w="850" w:type="dxa"/>
          </w:tcPr>
          <w:p>
            <w:pPr>
              <w:pStyle w:val="yTable"/>
              <w:spacing w:before="40"/>
              <w:jc w:val="center"/>
              <w:rPr>
                <w:sz w:val="18"/>
              </w:rPr>
            </w:pPr>
            <w:r>
              <w:rPr>
                <w:sz w:val="18"/>
              </w:rPr>
              <w:t>1 716</w:t>
            </w:r>
          </w:p>
        </w:tc>
        <w:tc>
          <w:tcPr>
            <w:tcW w:w="1169" w:type="dxa"/>
          </w:tcPr>
          <w:p>
            <w:pPr>
              <w:pStyle w:val="yTable"/>
              <w:spacing w:before="40"/>
              <w:ind w:right="89"/>
              <w:jc w:val="right"/>
              <w:rPr>
                <w:sz w:val="18"/>
              </w:rPr>
            </w:pPr>
            <w:r>
              <w:rPr>
                <w:sz w:val="18"/>
              </w:rPr>
              <w:t>935.00</w:t>
            </w:r>
          </w:p>
        </w:tc>
        <w:tc>
          <w:tcPr>
            <w:tcW w:w="1170" w:type="dxa"/>
          </w:tcPr>
          <w:p>
            <w:pPr>
              <w:pStyle w:val="yTable"/>
              <w:spacing w:before="40"/>
              <w:ind w:right="134"/>
              <w:jc w:val="right"/>
              <w:rPr>
                <w:sz w:val="18"/>
              </w:rPr>
            </w:pPr>
            <w:r>
              <w:rPr>
                <w:sz w:val="18"/>
              </w:rPr>
              <w:t>1 870.00</w:t>
            </w:r>
          </w:p>
        </w:tc>
        <w:tc>
          <w:tcPr>
            <w:tcW w:w="1169" w:type="dxa"/>
          </w:tcPr>
          <w:p>
            <w:pPr>
              <w:pStyle w:val="yTable"/>
              <w:spacing w:before="40"/>
              <w:ind w:right="133"/>
              <w:jc w:val="right"/>
              <w:rPr>
                <w:sz w:val="18"/>
              </w:rPr>
            </w:pPr>
            <w:r>
              <w:rPr>
                <w:sz w:val="18"/>
              </w:rPr>
              <w:t>4 675.00</w:t>
            </w:r>
          </w:p>
        </w:tc>
        <w:tc>
          <w:tcPr>
            <w:tcW w:w="1170" w:type="dxa"/>
          </w:tcPr>
          <w:p>
            <w:pPr>
              <w:pStyle w:val="yTable"/>
              <w:spacing w:before="40"/>
              <w:ind w:right="118"/>
              <w:jc w:val="right"/>
              <w:rPr>
                <w:sz w:val="18"/>
              </w:rPr>
            </w:pPr>
            <w:r>
              <w:rPr>
                <w:sz w:val="18"/>
              </w:rPr>
              <w:t>9 350.00</w:t>
            </w:r>
          </w:p>
        </w:tc>
      </w:tr>
      <w:tr>
        <w:tc>
          <w:tcPr>
            <w:tcW w:w="1276" w:type="dxa"/>
          </w:tcPr>
          <w:p>
            <w:pPr>
              <w:pStyle w:val="yTable"/>
              <w:spacing w:before="40"/>
              <w:rPr>
                <w:sz w:val="18"/>
              </w:rPr>
            </w:pPr>
            <w:r>
              <w:rPr>
                <w:sz w:val="18"/>
              </w:rPr>
              <w:t>System 14</w:t>
            </w:r>
          </w:p>
        </w:tc>
        <w:tc>
          <w:tcPr>
            <w:tcW w:w="850" w:type="dxa"/>
          </w:tcPr>
          <w:p>
            <w:pPr>
              <w:pStyle w:val="yTable"/>
              <w:spacing w:before="40"/>
              <w:jc w:val="center"/>
              <w:rPr>
                <w:sz w:val="18"/>
              </w:rPr>
            </w:pPr>
            <w:r>
              <w:rPr>
                <w:sz w:val="18"/>
              </w:rPr>
              <w:t>3 003</w:t>
            </w:r>
          </w:p>
        </w:tc>
        <w:tc>
          <w:tcPr>
            <w:tcW w:w="1169" w:type="dxa"/>
          </w:tcPr>
          <w:p>
            <w:pPr>
              <w:pStyle w:val="yTable"/>
              <w:spacing w:before="40"/>
              <w:ind w:right="89"/>
              <w:jc w:val="right"/>
              <w:rPr>
                <w:sz w:val="18"/>
              </w:rPr>
            </w:pPr>
            <w:r>
              <w:rPr>
                <w:sz w:val="18"/>
              </w:rPr>
              <w:t>1 636.00</w:t>
            </w:r>
          </w:p>
        </w:tc>
        <w:tc>
          <w:tcPr>
            <w:tcW w:w="1170" w:type="dxa"/>
          </w:tcPr>
          <w:p>
            <w:pPr>
              <w:pStyle w:val="yTable"/>
              <w:spacing w:before="40"/>
              <w:ind w:right="134"/>
              <w:jc w:val="right"/>
              <w:rPr>
                <w:sz w:val="18"/>
              </w:rPr>
            </w:pPr>
            <w:r>
              <w:rPr>
                <w:sz w:val="18"/>
              </w:rPr>
              <w:t>3 272.00</w:t>
            </w:r>
          </w:p>
        </w:tc>
        <w:tc>
          <w:tcPr>
            <w:tcW w:w="1169" w:type="dxa"/>
          </w:tcPr>
          <w:p>
            <w:pPr>
              <w:pStyle w:val="yTable"/>
              <w:spacing w:before="40"/>
              <w:ind w:right="133"/>
              <w:jc w:val="right"/>
              <w:rPr>
                <w:sz w:val="18"/>
              </w:rPr>
            </w:pPr>
            <w:r>
              <w:rPr>
                <w:sz w:val="18"/>
              </w:rPr>
              <w:t>8 180.00</w:t>
            </w:r>
          </w:p>
        </w:tc>
        <w:tc>
          <w:tcPr>
            <w:tcW w:w="1170" w:type="dxa"/>
          </w:tcPr>
          <w:p>
            <w:pPr>
              <w:pStyle w:val="yTable"/>
              <w:spacing w:before="40"/>
              <w:ind w:right="118"/>
              <w:jc w:val="right"/>
              <w:rPr>
                <w:sz w:val="18"/>
              </w:rPr>
            </w:pPr>
            <w:r>
              <w:rPr>
                <w:sz w:val="18"/>
              </w:rPr>
              <w:t>16 360.00</w:t>
            </w:r>
          </w:p>
        </w:tc>
      </w:tr>
      <w:tr>
        <w:tc>
          <w:tcPr>
            <w:tcW w:w="1276" w:type="dxa"/>
          </w:tcPr>
          <w:p>
            <w:pPr>
              <w:pStyle w:val="yTable"/>
              <w:spacing w:before="40"/>
              <w:rPr>
                <w:sz w:val="18"/>
              </w:rPr>
            </w:pPr>
            <w:r>
              <w:rPr>
                <w:sz w:val="18"/>
              </w:rPr>
              <w:t>System 15</w:t>
            </w:r>
          </w:p>
        </w:tc>
        <w:tc>
          <w:tcPr>
            <w:tcW w:w="850" w:type="dxa"/>
          </w:tcPr>
          <w:p>
            <w:pPr>
              <w:pStyle w:val="yTable"/>
              <w:spacing w:before="40"/>
              <w:jc w:val="center"/>
              <w:rPr>
                <w:sz w:val="18"/>
              </w:rPr>
            </w:pPr>
            <w:r>
              <w:rPr>
                <w:sz w:val="18"/>
              </w:rPr>
              <w:t>5 005</w:t>
            </w:r>
          </w:p>
        </w:tc>
        <w:tc>
          <w:tcPr>
            <w:tcW w:w="1169" w:type="dxa"/>
          </w:tcPr>
          <w:p>
            <w:pPr>
              <w:pStyle w:val="yTable"/>
              <w:spacing w:before="40"/>
              <w:ind w:right="89"/>
              <w:jc w:val="right"/>
              <w:rPr>
                <w:sz w:val="18"/>
              </w:rPr>
            </w:pPr>
            <w:r>
              <w:rPr>
                <w:sz w:val="18"/>
              </w:rPr>
              <w:t>2 725.00</w:t>
            </w:r>
          </w:p>
        </w:tc>
        <w:tc>
          <w:tcPr>
            <w:tcW w:w="1170" w:type="dxa"/>
          </w:tcPr>
          <w:p>
            <w:pPr>
              <w:pStyle w:val="yTable"/>
              <w:spacing w:before="40"/>
              <w:ind w:right="134"/>
              <w:jc w:val="right"/>
              <w:rPr>
                <w:sz w:val="18"/>
              </w:rPr>
            </w:pPr>
            <w:r>
              <w:rPr>
                <w:sz w:val="18"/>
              </w:rPr>
              <w:t>5 450.00</w:t>
            </w:r>
          </w:p>
        </w:tc>
        <w:tc>
          <w:tcPr>
            <w:tcW w:w="1169" w:type="dxa"/>
          </w:tcPr>
          <w:p>
            <w:pPr>
              <w:pStyle w:val="yTable"/>
              <w:spacing w:before="40"/>
              <w:ind w:right="133"/>
              <w:jc w:val="right"/>
              <w:rPr>
                <w:sz w:val="18"/>
              </w:rPr>
            </w:pPr>
            <w:r>
              <w:rPr>
                <w:sz w:val="18"/>
              </w:rPr>
              <w:t>13 625.00</w:t>
            </w:r>
          </w:p>
        </w:tc>
        <w:tc>
          <w:tcPr>
            <w:tcW w:w="1170" w:type="dxa"/>
          </w:tcPr>
          <w:p>
            <w:pPr>
              <w:pStyle w:val="yTable"/>
              <w:spacing w:before="40"/>
              <w:ind w:right="118"/>
              <w:jc w:val="right"/>
              <w:rPr>
                <w:sz w:val="18"/>
              </w:rPr>
            </w:pPr>
            <w:r>
              <w:rPr>
                <w:sz w:val="18"/>
              </w:rPr>
              <w:t>27 250.00</w:t>
            </w:r>
          </w:p>
        </w:tc>
      </w:tr>
      <w:tr>
        <w:tc>
          <w:tcPr>
            <w:tcW w:w="1276" w:type="dxa"/>
          </w:tcPr>
          <w:p>
            <w:pPr>
              <w:pStyle w:val="yTable"/>
              <w:spacing w:before="40"/>
              <w:rPr>
                <w:sz w:val="18"/>
              </w:rPr>
            </w:pPr>
            <w:r>
              <w:rPr>
                <w:sz w:val="18"/>
              </w:rPr>
              <w:t>System 16</w:t>
            </w:r>
          </w:p>
        </w:tc>
        <w:tc>
          <w:tcPr>
            <w:tcW w:w="850" w:type="dxa"/>
          </w:tcPr>
          <w:p>
            <w:pPr>
              <w:pStyle w:val="yTable"/>
              <w:spacing w:before="40"/>
              <w:jc w:val="center"/>
              <w:rPr>
                <w:sz w:val="18"/>
              </w:rPr>
            </w:pPr>
            <w:r>
              <w:rPr>
                <w:sz w:val="18"/>
              </w:rPr>
              <w:t>8 008</w:t>
            </w:r>
          </w:p>
        </w:tc>
        <w:tc>
          <w:tcPr>
            <w:tcW w:w="1169" w:type="dxa"/>
          </w:tcPr>
          <w:p>
            <w:pPr>
              <w:pStyle w:val="yTable"/>
              <w:spacing w:before="40"/>
              <w:ind w:right="89"/>
              <w:jc w:val="right"/>
              <w:rPr>
                <w:sz w:val="18"/>
              </w:rPr>
            </w:pPr>
            <w:r>
              <w:rPr>
                <w:sz w:val="18"/>
              </w:rPr>
              <w:t>4 360.00</w:t>
            </w:r>
          </w:p>
        </w:tc>
        <w:tc>
          <w:tcPr>
            <w:tcW w:w="1170" w:type="dxa"/>
          </w:tcPr>
          <w:p>
            <w:pPr>
              <w:pStyle w:val="yTable"/>
              <w:spacing w:before="40"/>
              <w:ind w:right="134"/>
              <w:jc w:val="right"/>
              <w:rPr>
                <w:sz w:val="18"/>
              </w:rPr>
            </w:pPr>
            <w:r>
              <w:rPr>
                <w:sz w:val="18"/>
              </w:rPr>
              <w:t>8 720.00</w:t>
            </w:r>
          </w:p>
        </w:tc>
        <w:tc>
          <w:tcPr>
            <w:tcW w:w="1169" w:type="dxa"/>
          </w:tcPr>
          <w:p>
            <w:pPr>
              <w:pStyle w:val="yTable"/>
              <w:spacing w:before="40"/>
              <w:ind w:right="133"/>
              <w:jc w:val="right"/>
              <w:rPr>
                <w:sz w:val="18"/>
              </w:rPr>
            </w:pPr>
            <w:r>
              <w:rPr>
                <w:sz w:val="18"/>
              </w:rPr>
              <w:t>21 800.00</w:t>
            </w:r>
          </w:p>
        </w:tc>
        <w:tc>
          <w:tcPr>
            <w:tcW w:w="1170" w:type="dxa"/>
          </w:tcPr>
          <w:p>
            <w:pPr>
              <w:pStyle w:val="yTable"/>
              <w:spacing w:before="40"/>
              <w:ind w:right="118"/>
              <w:jc w:val="right"/>
              <w:rPr>
                <w:sz w:val="18"/>
              </w:rPr>
            </w:pPr>
            <w:r>
              <w:rPr>
                <w:sz w:val="18"/>
              </w:rPr>
              <w:t>43 600.00</w:t>
            </w:r>
          </w:p>
        </w:tc>
      </w:tr>
      <w:tr>
        <w:tc>
          <w:tcPr>
            <w:tcW w:w="1276" w:type="dxa"/>
          </w:tcPr>
          <w:p>
            <w:pPr>
              <w:pStyle w:val="yTable"/>
              <w:spacing w:before="40"/>
              <w:rPr>
                <w:sz w:val="18"/>
              </w:rPr>
            </w:pPr>
            <w:r>
              <w:rPr>
                <w:sz w:val="18"/>
              </w:rPr>
              <w:t>System 17</w:t>
            </w:r>
          </w:p>
        </w:tc>
        <w:tc>
          <w:tcPr>
            <w:tcW w:w="850" w:type="dxa"/>
          </w:tcPr>
          <w:p>
            <w:pPr>
              <w:pStyle w:val="yTable"/>
              <w:spacing w:before="40"/>
              <w:jc w:val="center"/>
              <w:rPr>
                <w:sz w:val="18"/>
              </w:rPr>
            </w:pPr>
            <w:r>
              <w:rPr>
                <w:sz w:val="18"/>
              </w:rPr>
              <w:t>12 376</w:t>
            </w:r>
          </w:p>
        </w:tc>
        <w:tc>
          <w:tcPr>
            <w:tcW w:w="1169" w:type="dxa"/>
          </w:tcPr>
          <w:p>
            <w:pPr>
              <w:pStyle w:val="yTable"/>
              <w:spacing w:before="40"/>
              <w:ind w:right="89"/>
              <w:jc w:val="right"/>
              <w:rPr>
                <w:sz w:val="18"/>
              </w:rPr>
            </w:pPr>
            <w:r>
              <w:rPr>
                <w:sz w:val="18"/>
              </w:rPr>
              <w:t>6 740.00</w:t>
            </w:r>
          </w:p>
        </w:tc>
        <w:tc>
          <w:tcPr>
            <w:tcW w:w="1170" w:type="dxa"/>
          </w:tcPr>
          <w:p>
            <w:pPr>
              <w:pStyle w:val="yTable"/>
              <w:spacing w:before="40"/>
              <w:ind w:right="134"/>
              <w:jc w:val="right"/>
              <w:rPr>
                <w:sz w:val="18"/>
              </w:rPr>
            </w:pPr>
            <w:r>
              <w:rPr>
                <w:sz w:val="18"/>
              </w:rPr>
              <w:t>13 480.00</w:t>
            </w:r>
          </w:p>
        </w:tc>
        <w:tc>
          <w:tcPr>
            <w:tcW w:w="1169" w:type="dxa"/>
          </w:tcPr>
          <w:p>
            <w:pPr>
              <w:pStyle w:val="yTable"/>
              <w:spacing w:before="40"/>
              <w:ind w:right="133"/>
              <w:jc w:val="right"/>
              <w:rPr>
                <w:sz w:val="18"/>
              </w:rPr>
            </w:pPr>
            <w:r>
              <w:rPr>
                <w:sz w:val="18"/>
              </w:rPr>
              <w:t>33 700.00</w:t>
            </w:r>
          </w:p>
        </w:tc>
        <w:tc>
          <w:tcPr>
            <w:tcW w:w="1170" w:type="dxa"/>
          </w:tcPr>
          <w:p>
            <w:pPr>
              <w:pStyle w:val="yTable"/>
              <w:spacing w:before="40"/>
              <w:ind w:right="118"/>
              <w:jc w:val="right"/>
              <w:rPr>
                <w:sz w:val="18"/>
              </w:rPr>
            </w:pPr>
            <w:r>
              <w:rPr>
                <w:sz w:val="18"/>
              </w:rPr>
              <w:t>67 400.00</w:t>
            </w:r>
          </w:p>
        </w:tc>
      </w:tr>
      <w:tr>
        <w:tc>
          <w:tcPr>
            <w:tcW w:w="1276" w:type="dxa"/>
          </w:tcPr>
          <w:p>
            <w:pPr>
              <w:pStyle w:val="yTable"/>
              <w:spacing w:before="40"/>
              <w:rPr>
                <w:sz w:val="18"/>
              </w:rPr>
            </w:pPr>
            <w:r>
              <w:rPr>
                <w:sz w:val="18"/>
              </w:rPr>
              <w:t>System 18</w:t>
            </w:r>
          </w:p>
        </w:tc>
        <w:tc>
          <w:tcPr>
            <w:tcW w:w="850" w:type="dxa"/>
          </w:tcPr>
          <w:p>
            <w:pPr>
              <w:pStyle w:val="yTable"/>
              <w:spacing w:before="40"/>
              <w:jc w:val="center"/>
              <w:rPr>
                <w:sz w:val="18"/>
              </w:rPr>
            </w:pPr>
            <w:r>
              <w:rPr>
                <w:sz w:val="18"/>
              </w:rPr>
              <w:t>18 564</w:t>
            </w:r>
          </w:p>
        </w:tc>
        <w:tc>
          <w:tcPr>
            <w:tcW w:w="1169" w:type="dxa"/>
          </w:tcPr>
          <w:p>
            <w:pPr>
              <w:pStyle w:val="yTable"/>
              <w:spacing w:before="40"/>
              <w:ind w:right="89"/>
              <w:jc w:val="right"/>
              <w:rPr>
                <w:sz w:val="18"/>
              </w:rPr>
            </w:pPr>
            <w:r>
              <w:rPr>
                <w:sz w:val="18"/>
              </w:rPr>
              <w:t>10 110.00</w:t>
            </w:r>
          </w:p>
        </w:tc>
        <w:tc>
          <w:tcPr>
            <w:tcW w:w="1170" w:type="dxa"/>
          </w:tcPr>
          <w:p>
            <w:pPr>
              <w:pStyle w:val="yTable"/>
              <w:spacing w:before="40"/>
              <w:ind w:right="134"/>
              <w:jc w:val="right"/>
              <w:rPr>
                <w:sz w:val="18"/>
              </w:rPr>
            </w:pPr>
            <w:r>
              <w:rPr>
                <w:sz w:val="18"/>
              </w:rPr>
              <w:t>20 220.00</w:t>
            </w:r>
          </w:p>
        </w:tc>
        <w:tc>
          <w:tcPr>
            <w:tcW w:w="1169" w:type="dxa"/>
          </w:tcPr>
          <w:p>
            <w:pPr>
              <w:pStyle w:val="yTable"/>
              <w:spacing w:before="40"/>
              <w:ind w:right="133"/>
              <w:jc w:val="right"/>
              <w:rPr>
                <w:sz w:val="18"/>
              </w:rPr>
            </w:pPr>
            <w:r>
              <w:rPr>
                <w:sz w:val="18"/>
              </w:rPr>
              <w:t>50 550.00</w:t>
            </w:r>
          </w:p>
        </w:tc>
        <w:tc>
          <w:tcPr>
            <w:tcW w:w="1170" w:type="dxa"/>
          </w:tcPr>
          <w:p>
            <w:pPr>
              <w:pStyle w:val="yTable"/>
              <w:spacing w:before="40"/>
              <w:ind w:right="118"/>
              <w:jc w:val="right"/>
              <w:rPr>
                <w:sz w:val="18"/>
              </w:rPr>
            </w:pPr>
            <w:r>
              <w:rPr>
                <w:sz w:val="18"/>
              </w:rPr>
              <w:t>NA</w:t>
            </w:r>
          </w:p>
        </w:tc>
      </w:tr>
      <w:tr>
        <w:tc>
          <w:tcPr>
            <w:tcW w:w="1276" w:type="dxa"/>
          </w:tcPr>
          <w:p>
            <w:pPr>
              <w:pStyle w:val="yTable"/>
              <w:spacing w:before="40"/>
              <w:rPr>
                <w:sz w:val="18"/>
              </w:rPr>
            </w:pPr>
            <w:r>
              <w:rPr>
                <w:sz w:val="18"/>
              </w:rPr>
              <w:t>System 19</w:t>
            </w:r>
          </w:p>
        </w:tc>
        <w:tc>
          <w:tcPr>
            <w:tcW w:w="850" w:type="dxa"/>
          </w:tcPr>
          <w:p>
            <w:pPr>
              <w:pStyle w:val="yTable"/>
              <w:spacing w:before="40"/>
              <w:jc w:val="center"/>
              <w:rPr>
                <w:sz w:val="18"/>
              </w:rPr>
            </w:pPr>
            <w:r>
              <w:rPr>
                <w:sz w:val="18"/>
              </w:rPr>
              <w:t>27 132</w:t>
            </w:r>
          </w:p>
        </w:tc>
        <w:tc>
          <w:tcPr>
            <w:tcW w:w="1169" w:type="dxa"/>
          </w:tcPr>
          <w:p>
            <w:pPr>
              <w:pStyle w:val="yTable"/>
              <w:spacing w:before="40"/>
              <w:ind w:right="89"/>
              <w:jc w:val="right"/>
              <w:rPr>
                <w:sz w:val="18"/>
              </w:rPr>
            </w:pPr>
            <w:r>
              <w:rPr>
                <w:sz w:val="18"/>
              </w:rPr>
              <w:t>14 780.00</w:t>
            </w:r>
          </w:p>
        </w:tc>
        <w:tc>
          <w:tcPr>
            <w:tcW w:w="1170" w:type="dxa"/>
          </w:tcPr>
          <w:p>
            <w:pPr>
              <w:pStyle w:val="yTable"/>
              <w:spacing w:before="40"/>
              <w:ind w:right="134"/>
              <w:jc w:val="right"/>
              <w:rPr>
                <w:sz w:val="18"/>
              </w:rPr>
            </w:pPr>
            <w:r>
              <w:rPr>
                <w:sz w:val="18"/>
              </w:rPr>
              <w:t>29 560.00</w:t>
            </w:r>
          </w:p>
        </w:tc>
        <w:tc>
          <w:tcPr>
            <w:tcW w:w="1169" w:type="dxa"/>
          </w:tcPr>
          <w:p>
            <w:pPr>
              <w:pStyle w:val="yTable"/>
              <w:spacing w:before="40"/>
              <w:ind w:right="133"/>
              <w:jc w:val="right"/>
              <w:rPr>
                <w:sz w:val="18"/>
              </w:rPr>
            </w:pPr>
            <w:r>
              <w:rPr>
                <w:sz w:val="18"/>
              </w:rPr>
              <w:t>73 900.00</w:t>
            </w:r>
          </w:p>
        </w:tc>
        <w:tc>
          <w:tcPr>
            <w:tcW w:w="1170" w:type="dxa"/>
          </w:tcPr>
          <w:p>
            <w:pPr>
              <w:pStyle w:val="yTable"/>
              <w:spacing w:before="40"/>
              <w:ind w:right="118"/>
              <w:jc w:val="right"/>
              <w:rPr>
                <w:sz w:val="18"/>
              </w:rPr>
            </w:pPr>
            <w:r>
              <w:rPr>
                <w:sz w:val="18"/>
              </w:rPr>
              <w:t>NA</w:t>
            </w:r>
          </w:p>
        </w:tc>
      </w:tr>
      <w:tr>
        <w:tc>
          <w:tcPr>
            <w:tcW w:w="1276" w:type="dxa"/>
          </w:tcPr>
          <w:p>
            <w:pPr>
              <w:pStyle w:val="yTable"/>
              <w:spacing w:before="40"/>
              <w:rPr>
                <w:sz w:val="18"/>
              </w:rPr>
            </w:pPr>
            <w:r>
              <w:rPr>
                <w:sz w:val="18"/>
              </w:rPr>
              <w:t>System 20</w:t>
            </w:r>
          </w:p>
        </w:tc>
        <w:tc>
          <w:tcPr>
            <w:tcW w:w="850" w:type="dxa"/>
          </w:tcPr>
          <w:p>
            <w:pPr>
              <w:pStyle w:val="yTable"/>
              <w:spacing w:before="40"/>
              <w:jc w:val="center"/>
              <w:rPr>
                <w:sz w:val="18"/>
              </w:rPr>
            </w:pPr>
            <w:r>
              <w:rPr>
                <w:sz w:val="18"/>
              </w:rPr>
              <w:t>38 760</w:t>
            </w:r>
          </w:p>
        </w:tc>
        <w:tc>
          <w:tcPr>
            <w:tcW w:w="1169" w:type="dxa"/>
          </w:tcPr>
          <w:p>
            <w:pPr>
              <w:pStyle w:val="yTable"/>
              <w:spacing w:before="40"/>
              <w:ind w:right="89"/>
              <w:jc w:val="right"/>
              <w:rPr>
                <w:sz w:val="18"/>
              </w:rPr>
            </w:pPr>
            <w:r>
              <w:rPr>
                <w:sz w:val="18"/>
              </w:rPr>
              <w:t>21 120.00</w:t>
            </w:r>
          </w:p>
        </w:tc>
        <w:tc>
          <w:tcPr>
            <w:tcW w:w="1170" w:type="dxa"/>
          </w:tcPr>
          <w:p>
            <w:pPr>
              <w:pStyle w:val="yTable"/>
              <w:spacing w:before="40"/>
              <w:ind w:right="134"/>
              <w:jc w:val="right"/>
              <w:rPr>
                <w:sz w:val="18"/>
              </w:rPr>
            </w:pPr>
            <w:r>
              <w:rPr>
                <w:sz w:val="18"/>
              </w:rPr>
              <w:t>42 240.00</w:t>
            </w:r>
          </w:p>
        </w:tc>
        <w:tc>
          <w:tcPr>
            <w:tcW w:w="1169" w:type="dxa"/>
          </w:tcPr>
          <w:p>
            <w:pPr>
              <w:pStyle w:val="yTable"/>
              <w:spacing w:before="40"/>
              <w:ind w:right="133"/>
              <w:jc w:val="right"/>
              <w:rPr>
                <w:sz w:val="18"/>
              </w:rPr>
            </w:pPr>
            <w:r>
              <w:rPr>
                <w:sz w:val="18"/>
              </w:rPr>
              <w:t>NA</w:t>
            </w:r>
          </w:p>
        </w:tc>
        <w:tc>
          <w:tcPr>
            <w:tcW w:w="1170" w:type="dxa"/>
          </w:tcPr>
          <w:p>
            <w:pPr>
              <w:pStyle w:val="yTable"/>
              <w:spacing w:before="40"/>
              <w:ind w:right="118"/>
              <w:jc w:val="right"/>
              <w:rPr>
                <w:sz w:val="18"/>
              </w:rPr>
            </w:pPr>
            <w:r>
              <w:rPr>
                <w:sz w:val="18"/>
              </w:rPr>
              <w:t>NA</w:t>
            </w:r>
          </w:p>
        </w:tc>
      </w:tr>
      <w:tr>
        <w:tc>
          <w:tcPr>
            <w:tcW w:w="1276" w:type="dxa"/>
          </w:tcPr>
          <w:p>
            <w:pPr>
              <w:pStyle w:val="yTable"/>
              <w:spacing w:before="40"/>
              <w:rPr>
                <w:sz w:val="18"/>
              </w:rPr>
            </w:pPr>
            <w:r>
              <w:rPr>
                <w:sz w:val="18"/>
              </w:rPr>
              <w:t>System 4</w:t>
            </w:r>
          </w:p>
        </w:tc>
        <w:tc>
          <w:tcPr>
            <w:tcW w:w="850" w:type="dxa"/>
          </w:tcPr>
          <w:p>
            <w:pPr>
              <w:pStyle w:val="yTable"/>
              <w:spacing w:before="40"/>
              <w:jc w:val="center"/>
              <w:rPr>
                <w:sz w:val="18"/>
              </w:rPr>
            </w:pPr>
            <w:r>
              <w:rPr>
                <w:sz w:val="18"/>
              </w:rPr>
              <w:t>820</w:t>
            </w:r>
          </w:p>
        </w:tc>
        <w:tc>
          <w:tcPr>
            <w:tcW w:w="1169" w:type="dxa"/>
          </w:tcPr>
          <w:p>
            <w:pPr>
              <w:pStyle w:val="yTable"/>
              <w:spacing w:before="40"/>
              <w:ind w:right="89"/>
              <w:jc w:val="right"/>
              <w:rPr>
                <w:sz w:val="18"/>
              </w:rPr>
            </w:pPr>
            <w:r>
              <w:rPr>
                <w:sz w:val="18"/>
              </w:rPr>
              <w:t>447.00</w:t>
            </w:r>
          </w:p>
        </w:tc>
        <w:tc>
          <w:tcPr>
            <w:tcW w:w="1170" w:type="dxa"/>
          </w:tcPr>
          <w:p>
            <w:pPr>
              <w:pStyle w:val="yTable"/>
              <w:spacing w:before="40"/>
              <w:ind w:right="134"/>
              <w:jc w:val="right"/>
              <w:rPr>
                <w:sz w:val="18"/>
              </w:rPr>
            </w:pPr>
            <w:r>
              <w:rPr>
                <w:sz w:val="18"/>
              </w:rPr>
              <w:t>894.00</w:t>
            </w:r>
          </w:p>
        </w:tc>
        <w:tc>
          <w:tcPr>
            <w:tcW w:w="1169" w:type="dxa"/>
          </w:tcPr>
          <w:p>
            <w:pPr>
              <w:pStyle w:val="yTable"/>
              <w:spacing w:before="40"/>
              <w:ind w:right="133"/>
              <w:jc w:val="right"/>
              <w:rPr>
                <w:sz w:val="18"/>
              </w:rPr>
            </w:pPr>
            <w:r>
              <w:rPr>
                <w:sz w:val="18"/>
              </w:rPr>
              <w:t>2 235.00</w:t>
            </w:r>
          </w:p>
        </w:tc>
        <w:tc>
          <w:tcPr>
            <w:tcW w:w="1170" w:type="dxa"/>
          </w:tcPr>
          <w:p>
            <w:pPr>
              <w:pStyle w:val="yTable"/>
              <w:spacing w:before="40"/>
              <w:ind w:right="118"/>
              <w:jc w:val="right"/>
              <w:rPr>
                <w:sz w:val="18"/>
              </w:rPr>
            </w:pPr>
            <w:r>
              <w:rPr>
                <w:sz w:val="18"/>
              </w:rPr>
              <w:t>4 470.00</w:t>
            </w:r>
          </w:p>
        </w:tc>
      </w:tr>
      <w:tr>
        <w:tc>
          <w:tcPr>
            <w:tcW w:w="1276" w:type="dxa"/>
            <w:tcBorders>
              <w:bottom w:val="single" w:sz="4" w:space="0" w:color="auto"/>
            </w:tcBorders>
          </w:tcPr>
          <w:p>
            <w:pPr>
              <w:pStyle w:val="yTable"/>
              <w:spacing w:before="40"/>
              <w:rPr>
                <w:sz w:val="18"/>
              </w:rPr>
            </w:pPr>
            <w:r>
              <w:rPr>
                <w:sz w:val="18"/>
              </w:rPr>
              <w:t>System 5</w:t>
            </w:r>
          </w:p>
        </w:tc>
        <w:tc>
          <w:tcPr>
            <w:tcW w:w="850" w:type="dxa"/>
            <w:tcBorders>
              <w:bottom w:val="single" w:sz="4" w:space="0" w:color="auto"/>
            </w:tcBorders>
          </w:tcPr>
          <w:p>
            <w:pPr>
              <w:pStyle w:val="yTable"/>
              <w:spacing w:before="40"/>
              <w:jc w:val="center"/>
              <w:rPr>
                <w:sz w:val="18"/>
              </w:rPr>
            </w:pPr>
            <w:r>
              <w:rPr>
                <w:sz w:val="18"/>
              </w:rPr>
              <w:t>40</w:t>
            </w:r>
          </w:p>
        </w:tc>
        <w:tc>
          <w:tcPr>
            <w:tcW w:w="1169" w:type="dxa"/>
            <w:tcBorders>
              <w:bottom w:val="single" w:sz="4" w:space="0" w:color="auto"/>
            </w:tcBorders>
          </w:tcPr>
          <w:p>
            <w:pPr>
              <w:pStyle w:val="yTable"/>
              <w:spacing w:before="40"/>
              <w:ind w:right="89"/>
              <w:jc w:val="right"/>
              <w:rPr>
                <w:sz w:val="18"/>
              </w:rPr>
            </w:pPr>
            <w:r>
              <w:rPr>
                <w:sz w:val="18"/>
              </w:rPr>
              <w:t>21.80</w:t>
            </w:r>
          </w:p>
        </w:tc>
        <w:tc>
          <w:tcPr>
            <w:tcW w:w="1170" w:type="dxa"/>
            <w:tcBorders>
              <w:bottom w:val="single" w:sz="4" w:space="0" w:color="auto"/>
            </w:tcBorders>
          </w:tcPr>
          <w:p>
            <w:pPr>
              <w:pStyle w:val="yTable"/>
              <w:spacing w:before="40"/>
              <w:ind w:right="134"/>
              <w:jc w:val="right"/>
              <w:rPr>
                <w:sz w:val="18"/>
              </w:rPr>
            </w:pPr>
            <w:r>
              <w:rPr>
                <w:sz w:val="18"/>
              </w:rPr>
              <w:t>43.60</w:t>
            </w:r>
          </w:p>
        </w:tc>
        <w:tc>
          <w:tcPr>
            <w:tcW w:w="1169" w:type="dxa"/>
            <w:tcBorders>
              <w:bottom w:val="single" w:sz="4" w:space="0" w:color="auto"/>
            </w:tcBorders>
          </w:tcPr>
          <w:p>
            <w:pPr>
              <w:pStyle w:val="yTable"/>
              <w:spacing w:before="40"/>
              <w:ind w:right="133"/>
              <w:jc w:val="right"/>
              <w:rPr>
                <w:sz w:val="18"/>
              </w:rPr>
            </w:pPr>
            <w:r>
              <w:rPr>
                <w:sz w:val="18"/>
              </w:rPr>
              <w:t>109.00</w:t>
            </w:r>
          </w:p>
        </w:tc>
        <w:tc>
          <w:tcPr>
            <w:tcW w:w="1170" w:type="dxa"/>
            <w:tcBorders>
              <w:bottom w:val="single" w:sz="4" w:space="0" w:color="auto"/>
            </w:tcBorders>
          </w:tcPr>
          <w:p>
            <w:pPr>
              <w:pStyle w:val="yTable"/>
              <w:spacing w:before="40"/>
              <w:ind w:right="118"/>
              <w:jc w:val="right"/>
              <w:rPr>
                <w:sz w:val="18"/>
              </w:rPr>
            </w:pPr>
            <w:r>
              <w:rPr>
                <w:sz w:val="18"/>
              </w:rPr>
              <w:t>218.00</w:t>
            </w:r>
          </w:p>
        </w:tc>
      </w:tr>
    </w:tbl>
    <w:p>
      <w:pPr>
        <w:pStyle w:val="yFootnotesection"/>
        <w:spacing w:before="60"/>
      </w:pPr>
      <w:r>
        <w:tab/>
        <w:t>[Schedule 1 inserted in Gazette 10 Feb 2006 p. 662-3.]</w:t>
      </w:r>
    </w:p>
    <w:p>
      <w:pPr>
        <w:pStyle w:val="yScheduleHeading"/>
      </w:pPr>
      <w:bookmarkStart w:id="313" w:name="_Toc48382061"/>
      <w:bookmarkStart w:id="314" w:name="_Toc129672945"/>
      <w:bookmarkStart w:id="315" w:name="_Toc129673047"/>
      <w:bookmarkStart w:id="316" w:name="_Toc129673096"/>
      <w:bookmarkStart w:id="317" w:name="_Toc129673145"/>
      <w:bookmarkStart w:id="318" w:name="_Toc140976773"/>
      <w:bookmarkStart w:id="319" w:name="_Toc140983825"/>
      <w:bookmarkStart w:id="320" w:name="_Toc141751650"/>
      <w:bookmarkStart w:id="321" w:name="_Toc141763679"/>
      <w:bookmarkStart w:id="322" w:name="_Toc144543485"/>
      <w:bookmarkStart w:id="323" w:name="_Toc147222826"/>
      <w:bookmarkStart w:id="324" w:name="_Toc147289004"/>
      <w:r>
        <w:rPr>
          <w:rStyle w:val="CharSchNo"/>
        </w:rPr>
        <w:t>Schedule 1A</w:t>
      </w:r>
      <w:bookmarkEnd w:id="313"/>
      <w:bookmarkEnd w:id="314"/>
      <w:bookmarkEnd w:id="315"/>
      <w:bookmarkEnd w:id="316"/>
      <w:bookmarkEnd w:id="317"/>
      <w:bookmarkEnd w:id="318"/>
      <w:bookmarkEnd w:id="319"/>
      <w:bookmarkEnd w:id="320"/>
      <w:bookmarkEnd w:id="321"/>
      <w:bookmarkEnd w:id="322"/>
      <w:bookmarkEnd w:id="323"/>
      <w:bookmarkEnd w:id="324"/>
    </w:p>
    <w:p>
      <w:pPr>
        <w:pStyle w:val="yHeading2"/>
        <w:spacing w:before="160"/>
      </w:pPr>
      <w:bookmarkStart w:id="325" w:name="_Toc48382062"/>
      <w:bookmarkStart w:id="326" w:name="_Toc129672946"/>
      <w:bookmarkStart w:id="327" w:name="_Toc129673048"/>
      <w:bookmarkStart w:id="328" w:name="_Toc129673097"/>
      <w:bookmarkStart w:id="329" w:name="_Toc129673146"/>
      <w:bookmarkStart w:id="330" w:name="_Toc140976774"/>
      <w:bookmarkStart w:id="331" w:name="_Toc141751651"/>
      <w:bookmarkStart w:id="332" w:name="_Toc141763680"/>
      <w:bookmarkStart w:id="333" w:name="_Toc144543486"/>
      <w:bookmarkStart w:id="334" w:name="_Toc147222827"/>
      <w:bookmarkStart w:id="335" w:name="_Toc147289005"/>
      <w:r>
        <w:rPr>
          <w:rStyle w:val="CharSchText"/>
        </w:rPr>
        <w:t>Agent’s component — Saturday lotto draw</w:t>
      </w:r>
      <w:bookmarkEnd w:id="325"/>
      <w:bookmarkEnd w:id="326"/>
      <w:bookmarkEnd w:id="327"/>
      <w:bookmarkEnd w:id="328"/>
      <w:bookmarkEnd w:id="329"/>
      <w:bookmarkEnd w:id="330"/>
      <w:bookmarkEnd w:id="331"/>
      <w:bookmarkEnd w:id="332"/>
      <w:bookmarkEnd w:id="333"/>
      <w:bookmarkEnd w:id="334"/>
      <w:bookmarkEnd w:id="335"/>
    </w:p>
    <w:p>
      <w:pPr>
        <w:pStyle w:val="yFootnoteheading"/>
      </w:pPr>
      <w:r>
        <w:tab/>
        <w:t>[Heading inserted in Gazette 10 Feb 2006 p. 663.]</w:t>
      </w:r>
    </w:p>
    <w:p>
      <w:pPr>
        <w:pStyle w:val="yMiscellaneousBody"/>
        <w:spacing w:before="120" w:after="80"/>
      </w:pPr>
      <w:r>
        <w:t>The component of the total cost of entering a Saturday lotto draw (that takes place on or after 18 March 2006) that is allocated for the agent through whom the entry was sold per number and type of game per week is as follows:</w:t>
      </w:r>
    </w:p>
    <w:tbl>
      <w:tblPr>
        <w:tblW w:w="0" w:type="auto"/>
        <w:tblInd w:w="250" w:type="dxa"/>
        <w:tblLayout w:type="fixed"/>
        <w:tblLook w:val="0000" w:firstRow="0" w:lastRow="0" w:firstColumn="0" w:lastColumn="0" w:noHBand="0" w:noVBand="0"/>
      </w:tblPr>
      <w:tblGrid>
        <w:gridCol w:w="1276"/>
        <w:gridCol w:w="992"/>
        <w:gridCol w:w="1134"/>
        <w:gridCol w:w="1134"/>
        <w:gridCol w:w="1134"/>
        <w:gridCol w:w="1134"/>
      </w:tblGrid>
      <w:tr>
        <w:trPr>
          <w:tblHeader/>
        </w:trPr>
        <w:tc>
          <w:tcPr>
            <w:tcW w:w="1276" w:type="dxa"/>
            <w:tcBorders>
              <w:top w:val="single" w:sz="4" w:space="0" w:color="auto"/>
              <w:bottom w:val="single" w:sz="4" w:space="0" w:color="auto"/>
            </w:tcBorders>
          </w:tcPr>
          <w:p>
            <w:pPr>
              <w:pStyle w:val="yTable"/>
              <w:rPr>
                <w:b/>
                <w:sz w:val="18"/>
              </w:rPr>
            </w:pPr>
            <w:r>
              <w:rPr>
                <w:b/>
                <w:sz w:val="18"/>
              </w:rPr>
              <w:t>System</w:t>
            </w:r>
          </w:p>
        </w:tc>
        <w:tc>
          <w:tcPr>
            <w:tcW w:w="992" w:type="dxa"/>
            <w:tcBorders>
              <w:top w:val="single" w:sz="4" w:space="0" w:color="auto"/>
              <w:bottom w:val="single" w:sz="4" w:space="0" w:color="auto"/>
            </w:tcBorders>
          </w:tcPr>
          <w:p>
            <w:pPr>
              <w:pStyle w:val="yTable"/>
              <w:rPr>
                <w:b/>
                <w:sz w:val="18"/>
              </w:rPr>
            </w:pPr>
            <w:r>
              <w:rPr>
                <w:b/>
                <w:sz w:val="18"/>
              </w:rPr>
              <w:t>No. of</w:t>
            </w:r>
            <w:r>
              <w:rPr>
                <w:b/>
                <w:sz w:val="18"/>
              </w:rPr>
              <w:br/>
              <w:t>games</w:t>
            </w:r>
          </w:p>
        </w:tc>
        <w:tc>
          <w:tcPr>
            <w:tcW w:w="1134" w:type="dxa"/>
            <w:tcBorders>
              <w:top w:val="single" w:sz="4" w:space="0" w:color="auto"/>
              <w:bottom w:val="single" w:sz="4" w:space="0" w:color="auto"/>
            </w:tcBorders>
          </w:tcPr>
          <w:p>
            <w:pPr>
              <w:pStyle w:val="yTable"/>
              <w:jc w:val="center"/>
              <w:rPr>
                <w:b/>
                <w:sz w:val="18"/>
              </w:rPr>
            </w:pPr>
            <w:r>
              <w:rPr>
                <w:b/>
                <w:sz w:val="18"/>
              </w:rPr>
              <w:t>1 Week</w:t>
            </w:r>
          </w:p>
          <w:p>
            <w:pPr>
              <w:pStyle w:val="yTable"/>
              <w:jc w:val="center"/>
              <w:rPr>
                <w:b/>
                <w:sz w:val="18"/>
              </w:rPr>
            </w:pPr>
            <w:r>
              <w:rPr>
                <w:b/>
                <w:sz w:val="18"/>
              </w:rPr>
              <w:t>$</w:t>
            </w:r>
          </w:p>
        </w:tc>
        <w:tc>
          <w:tcPr>
            <w:tcW w:w="1134" w:type="dxa"/>
            <w:tcBorders>
              <w:top w:val="single" w:sz="4" w:space="0" w:color="auto"/>
              <w:bottom w:val="single" w:sz="4" w:space="0" w:color="auto"/>
            </w:tcBorders>
          </w:tcPr>
          <w:p>
            <w:pPr>
              <w:pStyle w:val="yTable"/>
              <w:jc w:val="center"/>
              <w:rPr>
                <w:b/>
                <w:sz w:val="18"/>
              </w:rPr>
            </w:pPr>
            <w:r>
              <w:rPr>
                <w:b/>
                <w:sz w:val="18"/>
              </w:rPr>
              <w:t>2 Weeks</w:t>
            </w:r>
          </w:p>
          <w:p>
            <w:pPr>
              <w:pStyle w:val="yTable"/>
              <w:jc w:val="center"/>
              <w:rPr>
                <w:b/>
                <w:sz w:val="18"/>
              </w:rPr>
            </w:pPr>
            <w:r>
              <w:rPr>
                <w:b/>
                <w:sz w:val="18"/>
              </w:rPr>
              <w:t>$</w:t>
            </w:r>
          </w:p>
        </w:tc>
        <w:tc>
          <w:tcPr>
            <w:tcW w:w="1134" w:type="dxa"/>
            <w:tcBorders>
              <w:top w:val="single" w:sz="4" w:space="0" w:color="auto"/>
              <w:bottom w:val="single" w:sz="4" w:space="0" w:color="auto"/>
            </w:tcBorders>
          </w:tcPr>
          <w:p>
            <w:pPr>
              <w:pStyle w:val="yTable"/>
              <w:jc w:val="center"/>
              <w:rPr>
                <w:b/>
                <w:sz w:val="18"/>
              </w:rPr>
            </w:pPr>
            <w:r>
              <w:rPr>
                <w:b/>
                <w:sz w:val="18"/>
              </w:rPr>
              <w:t>5 Weeks</w:t>
            </w:r>
          </w:p>
          <w:p>
            <w:pPr>
              <w:pStyle w:val="yTable"/>
              <w:jc w:val="center"/>
              <w:rPr>
                <w:b/>
                <w:sz w:val="18"/>
              </w:rPr>
            </w:pPr>
            <w:r>
              <w:rPr>
                <w:b/>
                <w:sz w:val="18"/>
              </w:rPr>
              <w:t>$</w:t>
            </w:r>
          </w:p>
        </w:tc>
        <w:tc>
          <w:tcPr>
            <w:tcW w:w="1134" w:type="dxa"/>
            <w:tcBorders>
              <w:top w:val="single" w:sz="4" w:space="0" w:color="auto"/>
              <w:bottom w:val="single" w:sz="4" w:space="0" w:color="auto"/>
            </w:tcBorders>
          </w:tcPr>
          <w:p>
            <w:pPr>
              <w:pStyle w:val="yTable"/>
              <w:jc w:val="center"/>
              <w:rPr>
                <w:b/>
                <w:sz w:val="18"/>
              </w:rPr>
            </w:pPr>
            <w:r>
              <w:rPr>
                <w:b/>
                <w:sz w:val="18"/>
              </w:rPr>
              <w:t>10 Weeks</w:t>
            </w:r>
          </w:p>
          <w:p>
            <w:pPr>
              <w:pStyle w:val="yTable"/>
              <w:jc w:val="center"/>
              <w:rPr>
                <w:b/>
                <w:sz w:val="18"/>
              </w:rPr>
            </w:pPr>
            <w:r>
              <w:rPr>
                <w:b/>
                <w:sz w:val="18"/>
              </w:rPr>
              <w:t>$</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4</w:t>
            </w:r>
          </w:p>
        </w:tc>
        <w:tc>
          <w:tcPr>
            <w:tcW w:w="1134" w:type="dxa"/>
          </w:tcPr>
          <w:p>
            <w:pPr>
              <w:pStyle w:val="yTable"/>
              <w:spacing w:before="50"/>
              <w:ind w:right="76"/>
              <w:jc w:val="right"/>
              <w:rPr>
                <w:sz w:val="18"/>
              </w:rPr>
            </w:pPr>
            <w:r>
              <w:rPr>
                <w:sz w:val="18"/>
              </w:rPr>
              <w:t>0.20</w:t>
            </w:r>
          </w:p>
        </w:tc>
        <w:tc>
          <w:tcPr>
            <w:tcW w:w="1134" w:type="dxa"/>
          </w:tcPr>
          <w:p>
            <w:pPr>
              <w:pStyle w:val="yTable"/>
              <w:spacing w:before="50"/>
              <w:ind w:right="76"/>
              <w:jc w:val="right"/>
              <w:rPr>
                <w:sz w:val="18"/>
              </w:rPr>
            </w:pPr>
            <w:r>
              <w:rPr>
                <w:sz w:val="18"/>
              </w:rPr>
              <w:t>0.40</w:t>
            </w:r>
          </w:p>
        </w:tc>
        <w:tc>
          <w:tcPr>
            <w:tcW w:w="1134" w:type="dxa"/>
          </w:tcPr>
          <w:p>
            <w:pPr>
              <w:pStyle w:val="yTable"/>
              <w:spacing w:before="50"/>
              <w:ind w:right="76"/>
              <w:jc w:val="right"/>
              <w:rPr>
                <w:sz w:val="18"/>
              </w:rPr>
            </w:pPr>
            <w:r>
              <w:rPr>
                <w:sz w:val="18"/>
              </w:rPr>
              <w:t>1.00</w:t>
            </w:r>
          </w:p>
        </w:tc>
        <w:tc>
          <w:tcPr>
            <w:tcW w:w="1134" w:type="dxa"/>
          </w:tcPr>
          <w:p>
            <w:pPr>
              <w:pStyle w:val="yTable"/>
              <w:spacing w:before="50"/>
              <w:ind w:right="76"/>
              <w:jc w:val="right"/>
              <w:rPr>
                <w:sz w:val="18"/>
              </w:rPr>
            </w:pPr>
            <w:r>
              <w:rPr>
                <w:sz w:val="18"/>
              </w:rPr>
              <w:t>2.00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5</w:t>
            </w:r>
          </w:p>
        </w:tc>
        <w:tc>
          <w:tcPr>
            <w:tcW w:w="1134" w:type="dxa"/>
          </w:tcPr>
          <w:p>
            <w:pPr>
              <w:pStyle w:val="yTable"/>
              <w:spacing w:before="50"/>
              <w:ind w:right="76"/>
              <w:jc w:val="right"/>
              <w:rPr>
                <w:sz w:val="18"/>
              </w:rPr>
            </w:pPr>
            <w:r>
              <w:rPr>
                <w:sz w:val="18"/>
              </w:rPr>
              <w:t>0.25</w:t>
            </w:r>
          </w:p>
        </w:tc>
        <w:tc>
          <w:tcPr>
            <w:tcW w:w="1134" w:type="dxa"/>
          </w:tcPr>
          <w:p>
            <w:pPr>
              <w:pStyle w:val="yTable"/>
              <w:spacing w:before="50"/>
              <w:ind w:right="76"/>
              <w:jc w:val="right"/>
              <w:rPr>
                <w:sz w:val="18"/>
              </w:rPr>
            </w:pPr>
            <w:r>
              <w:rPr>
                <w:sz w:val="18"/>
              </w:rPr>
              <w:t>0.50</w:t>
            </w:r>
          </w:p>
        </w:tc>
        <w:tc>
          <w:tcPr>
            <w:tcW w:w="1134" w:type="dxa"/>
          </w:tcPr>
          <w:p>
            <w:pPr>
              <w:pStyle w:val="yTable"/>
              <w:spacing w:before="50"/>
              <w:ind w:right="76"/>
              <w:jc w:val="right"/>
              <w:rPr>
                <w:sz w:val="18"/>
              </w:rPr>
            </w:pPr>
            <w:r>
              <w:rPr>
                <w:sz w:val="18"/>
              </w:rPr>
              <w:t>1.25</w:t>
            </w:r>
          </w:p>
        </w:tc>
        <w:tc>
          <w:tcPr>
            <w:tcW w:w="1134" w:type="dxa"/>
          </w:tcPr>
          <w:p>
            <w:pPr>
              <w:pStyle w:val="yTable"/>
              <w:spacing w:before="50"/>
              <w:ind w:right="76"/>
              <w:jc w:val="right"/>
              <w:rPr>
                <w:sz w:val="18"/>
              </w:rPr>
            </w:pPr>
            <w:r>
              <w:rPr>
                <w:sz w:val="18"/>
              </w:rPr>
              <w:t>2.50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6</w:t>
            </w:r>
          </w:p>
        </w:tc>
        <w:tc>
          <w:tcPr>
            <w:tcW w:w="1134" w:type="dxa"/>
          </w:tcPr>
          <w:p>
            <w:pPr>
              <w:pStyle w:val="yTable"/>
              <w:spacing w:before="50"/>
              <w:ind w:right="76"/>
              <w:jc w:val="right"/>
              <w:rPr>
                <w:sz w:val="18"/>
              </w:rPr>
            </w:pPr>
            <w:r>
              <w:rPr>
                <w:sz w:val="18"/>
              </w:rPr>
              <w:t>0.30</w:t>
            </w:r>
          </w:p>
        </w:tc>
        <w:tc>
          <w:tcPr>
            <w:tcW w:w="1134" w:type="dxa"/>
          </w:tcPr>
          <w:p>
            <w:pPr>
              <w:pStyle w:val="yTable"/>
              <w:spacing w:before="50"/>
              <w:ind w:right="76"/>
              <w:jc w:val="right"/>
              <w:rPr>
                <w:sz w:val="18"/>
              </w:rPr>
            </w:pPr>
            <w:r>
              <w:rPr>
                <w:sz w:val="18"/>
              </w:rPr>
              <w:t>0.60</w:t>
            </w:r>
          </w:p>
        </w:tc>
        <w:tc>
          <w:tcPr>
            <w:tcW w:w="1134" w:type="dxa"/>
          </w:tcPr>
          <w:p>
            <w:pPr>
              <w:pStyle w:val="yTable"/>
              <w:spacing w:before="50"/>
              <w:ind w:right="76"/>
              <w:jc w:val="right"/>
              <w:rPr>
                <w:sz w:val="18"/>
              </w:rPr>
            </w:pPr>
            <w:r>
              <w:rPr>
                <w:sz w:val="18"/>
              </w:rPr>
              <w:t>1.50</w:t>
            </w:r>
          </w:p>
        </w:tc>
        <w:tc>
          <w:tcPr>
            <w:tcW w:w="1134" w:type="dxa"/>
          </w:tcPr>
          <w:p>
            <w:pPr>
              <w:pStyle w:val="yTable"/>
              <w:spacing w:before="50"/>
              <w:ind w:right="76"/>
              <w:jc w:val="right"/>
              <w:rPr>
                <w:sz w:val="18"/>
              </w:rPr>
            </w:pPr>
            <w:r>
              <w:rPr>
                <w:sz w:val="18"/>
              </w:rPr>
              <w:t>3.00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7</w:t>
            </w:r>
          </w:p>
        </w:tc>
        <w:tc>
          <w:tcPr>
            <w:tcW w:w="1134" w:type="dxa"/>
          </w:tcPr>
          <w:p>
            <w:pPr>
              <w:pStyle w:val="yTable"/>
              <w:spacing w:before="50"/>
              <w:ind w:right="76"/>
              <w:jc w:val="right"/>
              <w:rPr>
                <w:sz w:val="18"/>
              </w:rPr>
            </w:pPr>
            <w:r>
              <w:rPr>
                <w:sz w:val="18"/>
              </w:rPr>
              <w:t>0.30</w:t>
            </w:r>
          </w:p>
        </w:tc>
        <w:tc>
          <w:tcPr>
            <w:tcW w:w="1134" w:type="dxa"/>
          </w:tcPr>
          <w:p>
            <w:pPr>
              <w:pStyle w:val="yTable"/>
              <w:spacing w:before="50"/>
              <w:ind w:right="76"/>
              <w:jc w:val="right"/>
              <w:rPr>
                <w:sz w:val="18"/>
              </w:rPr>
            </w:pPr>
            <w:r>
              <w:rPr>
                <w:sz w:val="18"/>
              </w:rPr>
              <w:t>0.60</w:t>
            </w:r>
          </w:p>
        </w:tc>
        <w:tc>
          <w:tcPr>
            <w:tcW w:w="1134" w:type="dxa"/>
          </w:tcPr>
          <w:p>
            <w:pPr>
              <w:pStyle w:val="yTable"/>
              <w:spacing w:before="50"/>
              <w:ind w:right="76"/>
              <w:jc w:val="right"/>
              <w:rPr>
                <w:sz w:val="18"/>
              </w:rPr>
            </w:pPr>
            <w:r>
              <w:rPr>
                <w:sz w:val="18"/>
              </w:rPr>
              <w:t>1.50</w:t>
            </w:r>
          </w:p>
        </w:tc>
        <w:tc>
          <w:tcPr>
            <w:tcW w:w="1134" w:type="dxa"/>
          </w:tcPr>
          <w:p>
            <w:pPr>
              <w:pStyle w:val="yTable"/>
              <w:spacing w:before="50"/>
              <w:ind w:right="76"/>
              <w:jc w:val="right"/>
              <w:rPr>
                <w:sz w:val="18"/>
              </w:rPr>
            </w:pPr>
            <w:r>
              <w:rPr>
                <w:sz w:val="18"/>
              </w:rPr>
              <w:t>3.00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8</w:t>
            </w:r>
          </w:p>
        </w:tc>
        <w:tc>
          <w:tcPr>
            <w:tcW w:w="1134" w:type="dxa"/>
          </w:tcPr>
          <w:p>
            <w:pPr>
              <w:pStyle w:val="yTable"/>
              <w:spacing w:before="50"/>
              <w:ind w:right="76"/>
              <w:jc w:val="right"/>
              <w:rPr>
                <w:sz w:val="18"/>
              </w:rPr>
            </w:pPr>
            <w:r>
              <w:rPr>
                <w:sz w:val="18"/>
              </w:rPr>
              <w:t>0.35</w:t>
            </w:r>
          </w:p>
        </w:tc>
        <w:tc>
          <w:tcPr>
            <w:tcW w:w="1134" w:type="dxa"/>
          </w:tcPr>
          <w:p>
            <w:pPr>
              <w:pStyle w:val="yTable"/>
              <w:spacing w:before="50"/>
              <w:ind w:right="76"/>
              <w:jc w:val="right"/>
              <w:rPr>
                <w:sz w:val="18"/>
              </w:rPr>
            </w:pPr>
            <w:r>
              <w:rPr>
                <w:sz w:val="18"/>
              </w:rPr>
              <w:t>0.70</w:t>
            </w:r>
          </w:p>
        </w:tc>
        <w:tc>
          <w:tcPr>
            <w:tcW w:w="1134" w:type="dxa"/>
          </w:tcPr>
          <w:p>
            <w:pPr>
              <w:pStyle w:val="yTable"/>
              <w:spacing w:before="50"/>
              <w:ind w:right="76"/>
              <w:jc w:val="right"/>
              <w:rPr>
                <w:sz w:val="18"/>
              </w:rPr>
            </w:pPr>
            <w:r>
              <w:rPr>
                <w:sz w:val="18"/>
              </w:rPr>
              <w:t>1.75</w:t>
            </w:r>
          </w:p>
        </w:tc>
        <w:tc>
          <w:tcPr>
            <w:tcW w:w="1134" w:type="dxa"/>
          </w:tcPr>
          <w:p>
            <w:pPr>
              <w:pStyle w:val="yTable"/>
              <w:spacing w:before="50"/>
              <w:ind w:right="76"/>
              <w:jc w:val="right"/>
              <w:rPr>
                <w:sz w:val="18"/>
              </w:rPr>
            </w:pPr>
            <w:r>
              <w:rPr>
                <w:sz w:val="18"/>
              </w:rPr>
              <w:t>3.50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9</w:t>
            </w:r>
          </w:p>
        </w:tc>
        <w:tc>
          <w:tcPr>
            <w:tcW w:w="1134" w:type="dxa"/>
          </w:tcPr>
          <w:p>
            <w:pPr>
              <w:pStyle w:val="yTable"/>
              <w:spacing w:before="50"/>
              <w:ind w:right="76"/>
              <w:jc w:val="right"/>
              <w:rPr>
                <w:sz w:val="18"/>
              </w:rPr>
            </w:pPr>
            <w:r>
              <w:rPr>
                <w:sz w:val="18"/>
              </w:rPr>
              <w:t>0.40</w:t>
            </w:r>
          </w:p>
        </w:tc>
        <w:tc>
          <w:tcPr>
            <w:tcW w:w="1134" w:type="dxa"/>
          </w:tcPr>
          <w:p>
            <w:pPr>
              <w:pStyle w:val="yTable"/>
              <w:spacing w:before="50"/>
              <w:ind w:right="76"/>
              <w:jc w:val="right"/>
              <w:rPr>
                <w:sz w:val="18"/>
              </w:rPr>
            </w:pPr>
            <w:r>
              <w:rPr>
                <w:sz w:val="18"/>
              </w:rPr>
              <w:t>0.80</w:t>
            </w:r>
          </w:p>
        </w:tc>
        <w:tc>
          <w:tcPr>
            <w:tcW w:w="1134" w:type="dxa"/>
          </w:tcPr>
          <w:p>
            <w:pPr>
              <w:pStyle w:val="yTable"/>
              <w:spacing w:before="50"/>
              <w:ind w:right="76"/>
              <w:jc w:val="right"/>
              <w:rPr>
                <w:sz w:val="18"/>
              </w:rPr>
            </w:pPr>
            <w:r>
              <w:rPr>
                <w:sz w:val="18"/>
              </w:rPr>
              <w:t>2.00</w:t>
            </w:r>
          </w:p>
        </w:tc>
        <w:tc>
          <w:tcPr>
            <w:tcW w:w="1134" w:type="dxa"/>
          </w:tcPr>
          <w:p>
            <w:pPr>
              <w:pStyle w:val="yTable"/>
              <w:spacing w:before="50"/>
              <w:ind w:right="76"/>
              <w:jc w:val="right"/>
              <w:rPr>
                <w:sz w:val="18"/>
              </w:rPr>
            </w:pPr>
            <w:r>
              <w:rPr>
                <w:sz w:val="18"/>
              </w:rPr>
              <w:t>4.00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10</w:t>
            </w:r>
          </w:p>
        </w:tc>
        <w:tc>
          <w:tcPr>
            <w:tcW w:w="1134" w:type="dxa"/>
          </w:tcPr>
          <w:p>
            <w:pPr>
              <w:pStyle w:val="yTable"/>
              <w:spacing w:before="50"/>
              <w:ind w:right="76"/>
              <w:jc w:val="right"/>
              <w:rPr>
                <w:sz w:val="18"/>
              </w:rPr>
            </w:pPr>
            <w:r>
              <w:rPr>
                <w:sz w:val="18"/>
              </w:rPr>
              <w:t>0.45</w:t>
            </w:r>
          </w:p>
        </w:tc>
        <w:tc>
          <w:tcPr>
            <w:tcW w:w="1134" w:type="dxa"/>
          </w:tcPr>
          <w:p>
            <w:pPr>
              <w:pStyle w:val="yTable"/>
              <w:spacing w:before="50"/>
              <w:ind w:right="76"/>
              <w:jc w:val="right"/>
              <w:rPr>
                <w:sz w:val="18"/>
              </w:rPr>
            </w:pPr>
            <w:r>
              <w:rPr>
                <w:sz w:val="18"/>
              </w:rPr>
              <w:t>0.90</w:t>
            </w:r>
          </w:p>
        </w:tc>
        <w:tc>
          <w:tcPr>
            <w:tcW w:w="1134" w:type="dxa"/>
          </w:tcPr>
          <w:p>
            <w:pPr>
              <w:pStyle w:val="yTable"/>
              <w:spacing w:before="50"/>
              <w:ind w:right="76"/>
              <w:jc w:val="right"/>
              <w:rPr>
                <w:sz w:val="18"/>
              </w:rPr>
            </w:pPr>
            <w:r>
              <w:rPr>
                <w:sz w:val="18"/>
              </w:rPr>
              <w:t>2.25</w:t>
            </w:r>
          </w:p>
        </w:tc>
        <w:tc>
          <w:tcPr>
            <w:tcW w:w="1134" w:type="dxa"/>
          </w:tcPr>
          <w:p>
            <w:pPr>
              <w:pStyle w:val="yTable"/>
              <w:spacing w:before="50"/>
              <w:ind w:right="76"/>
              <w:jc w:val="right"/>
              <w:rPr>
                <w:sz w:val="18"/>
              </w:rPr>
            </w:pPr>
            <w:r>
              <w:rPr>
                <w:sz w:val="18"/>
              </w:rPr>
              <w:t>4.50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11</w:t>
            </w:r>
          </w:p>
        </w:tc>
        <w:tc>
          <w:tcPr>
            <w:tcW w:w="1134" w:type="dxa"/>
          </w:tcPr>
          <w:p>
            <w:pPr>
              <w:pStyle w:val="yTable"/>
              <w:spacing w:before="50"/>
              <w:ind w:right="76"/>
              <w:jc w:val="right"/>
              <w:rPr>
                <w:sz w:val="18"/>
              </w:rPr>
            </w:pPr>
            <w:r>
              <w:rPr>
                <w:sz w:val="18"/>
              </w:rPr>
              <w:t>0.50</w:t>
            </w:r>
          </w:p>
        </w:tc>
        <w:tc>
          <w:tcPr>
            <w:tcW w:w="1134" w:type="dxa"/>
          </w:tcPr>
          <w:p>
            <w:pPr>
              <w:pStyle w:val="yTable"/>
              <w:spacing w:before="50"/>
              <w:ind w:right="76"/>
              <w:jc w:val="right"/>
              <w:rPr>
                <w:sz w:val="18"/>
              </w:rPr>
            </w:pPr>
            <w:r>
              <w:rPr>
                <w:sz w:val="18"/>
              </w:rPr>
              <w:t>1.00</w:t>
            </w:r>
          </w:p>
        </w:tc>
        <w:tc>
          <w:tcPr>
            <w:tcW w:w="1134" w:type="dxa"/>
          </w:tcPr>
          <w:p>
            <w:pPr>
              <w:pStyle w:val="yTable"/>
              <w:spacing w:before="50"/>
              <w:ind w:right="76"/>
              <w:jc w:val="right"/>
              <w:rPr>
                <w:sz w:val="18"/>
              </w:rPr>
            </w:pPr>
            <w:r>
              <w:rPr>
                <w:sz w:val="18"/>
              </w:rPr>
              <w:t>2.50</w:t>
            </w:r>
          </w:p>
        </w:tc>
        <w:tc>
          <w:tcPr>
            <w:tcW w:w="1134" w:type="dxa"/>
          </w:tcPr>
          <w:p>
            <w:pPr>
              <w:pStyle w:val="yTable"/>
              <w:spacing w:before="50"/>
              <w:ind w:right="76"/>
              <w:jc w:val="right"/>
              <w:rPr>
                <w:sz w:val="18"/>
              </w:rPr>
            </w:pPr>
            <w:r>
              <w:rPr>
                <w:sz w:val="18"/>
              </w:rPr>
              <w:t>5.00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12</w:t>
            </w:r>
          </w:p>
        </w:tc>
        <w:tc>
          <w:tcPr>
            <w:tcW w:w="1134" w:type="dxa"/>
          </w:tcPr>
          <w:p>
            <w:pPr>
              <w:pStyle w:val="yTable"/>
              <w:spacing w:before="50"/>
              <w:ind w:right="76"/>
              <w:jc w:val="right"/>
              <w:rPr>
                <w:sz w:val="18"/>
              </w:rPr>
            </w:pPr>
            <w:r>
              <w:rPr>
                <w:sz w:val="18"/>
              </w:rPr>
              <w:t>0.55</w:t>
            </w:r>
          </w:p>
        </w:tc>
        <w:tc>
          <w:tcPr>
            <w:tcW w:w="1134" w:type="dxa"/>
          </w:tcPr>
          <w:p>
            <w:pPr>
              <w:pStyle w:val="yTable"/>
              <w:spacing w:before="50"/>
              <w:ind w:right="76"/>
              <w:jc w:val="right"/>
              <w:rPr>
                <w:sz w:val="18"/>
              </w:rPr>
            </w:pPr>
            <w:r>
              <w:rPr>
                <w:sz w:val="18"/>
              </w:rPr>
              <w:t>1.10</w:t>
            </w:r>
          </w:p>
        </w:tc>
        <w:tc>
          <w:tcPr>
            <w:tcW w:w="1134" w:type="dxa"/>
          </w:tcPr>
          <w:p>
            <w:pPr>
              <w:pStyle w:val="yTable"/>
              <w:spacing w:before="50"/>
              <w:ind w:right="76"/>
              <w:jc w:val="right"/>
              <w:rPr>
                <w:sz w:val="18"/>
              </w:rPr>
            </w:pPr>
            <w:r>
              <w:rPr>
                <w:sz w:val="18"/>
              </w:rPr>
              <w:t>2.75</w:t>
            </w:r>
          </w:p>
        </w:tc>
        <w:tc>
          <w:tcPr>
            <w:tcW w:w="1134" w:type="dxa"/>
          </w:tcPr>
          <w:p>
            <w:pPr>
              <w:pStyle w:val="yTable"/>
              <w:spacing w:before="50"/>
              <w:ind w:right="76"/>
              <w:jc w:val="right"/>
              <w:rPr>
                <w:sz w:val="18"/>
              </w:rPr>
            </w:pPr>
            <w:r>
              <w:rPr>
                <w:sz w:val="18"/>
              </w:rPr>
              <w:t>5.50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14</w:t>
            </w:r>
          </w:p>
        </w:tc>
        <w:tc>
          <w:tcPr>
            <w:tcW w:w="1134" w:type="dxa"/>
          </w:tcPr>
          <w:p>
            <w:pPr>
              <w:pStyle w:val="yTable"/>
              <w:spacing w:before="50"/>
              <w:ind w:right="76"/>
              <w:jc w:val="right"/>
              <w:rPr>
                <w:sz w:val="18"/>
              </w:rPr>
            </w:pPr>
            <w:r>
              <w:rPr>
                <w:sz w:val="18"/>
              </w:rPr>
              <w:t>0.65</w:t>
            </w:r>
          </w:p>
        </w:tc>
        <w:tc>
          <w:tcPr>
            <w:tcW w:w="1134" w:type="dxa"/>
          </w:tcPr>
          <w:p>
            <w:pPr>
              <w:pStyle w:val="yTable"/>
              <w:spacing w:before="50"/>
              <w:ind w:right="76"/>
              <w:jc w:val="right"/>
              <w:rPr>
                <w:sz w:val="18"/>
              </w:rPr>
            </w:pPr>
            <w:r>
              <w:rPr>
                <w:sz w:val="18"/>
              </w:rPr>
              <w:t>1.30</w:t>
            </w:r>
          </w:p>
        </w:tc>
        <w:tc>
          <w:tcPr>
            <w:tcW w:w="1134" w:type="dxa"/>
          </w:tcPr>
          <w:p>
            <w:pPr>
              <w:pStyle w:val="yTable"/>
              <w:spacing w:before="50"/>
              <w:ind w:right="76"/>
              <w:jc w:val="right"/>
              <w:rPr>
                <w:sz w:val="18"/>
              </w:rPr>
            </w:pPr>
            <w:r>
              <w:rPr>
                <w:sz w:val="18"/>
              </w:rPr>
              <w:t>3.25</w:t>
            </w:r>
          </w:p>
        </w:tc>
        <w:tc>
          <w:tcPr>
            <w:tcW w:w="1134" w:type="dxa"/>
          </w:tcPr>
          <w:p>
            <w:pPr>
              <w:pStyle w:val="yTable"/>
              <w:spacing w:before="50"/>
              <w:ind w:right="76"/>
              <w:jc w:val="right"/>
              <w:rPr>
                <w:sz w:val="18"/>
              </w:rPr>
            </w:pPr>
            <w:r>
              <w:rPr>
                <w:sz w:val="18"/>
              </w:rPr>
              <w:t>6.50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18</w:t>
            </w:r>
          </w:p>
        </w:tc>
        <w:tc>
          <w:tcPr>
            <w:tcW w:w="1134" w:type="dxa"/>
          </w:tcPr>
          <w:p>
            <w:pPr>
              <w:pStyle w:val="yTable"/>
              <w:spacing w:before="50"/>
              <w:ind w:right="76"/>
              <w:jc w:val="right"/>
              <w:rPr>
                <w:sz w:val="18"/>
              </w:rPr>
            </w:pPr>
            <w:r>
              <w:rPr>
                <w:sz w:val="18"/>
              </w:rPr>
              <w:t>0.80</w:t>
            </w:r>
          </w:p>
        </w:tc>
        <w:tc>
          <w:tcPr>
            <w:tcW w:w="1134" w:type="dxa"/>
          </w:tcPr>
          <w:p>
            <w:pPr>
              <w:pStyle w:val="yTable"/>
              <w:spacing w:before="50"/>
              <w:ind w:right="76"/>
              <w:jc w:val="right"/>
              <w:rPr>
                <w:sz w:val="18"/>
              </w:rPr>
            </w:pPr>
            <w:r>
              <w:rPr>
                <w:sz w:val="18"/>
              </w:rPr>
              <w:t>1.60</w:t>
            </w:r>
          </w:p>
        </w:tc>
        <w:tc>
          <w:tcPr>
            <w:tcW w:w="1134" w:type="dxa"/>
          </w:tcPr>
          <w:p>
            <w:pPr>
              <w:pStyle w:val="yTable"/>
              <w:spacing w:before="50"/>
              <w:ind w:right="76"/>
              <w:jc w:val="right"/>
              <w:rPr>
                <w:sz w:val="18"/>
              </w:rPr>
            </w:pPr>
            <w:r>
              <w:rPr>
                <w:sz w:val="18"/>
              </w:rPr>
              <w:t>4.00</w:t>
            </w:r>
          </w:p>
        </w:tc>
        <w:tc>
          <w:tcPr>
            <w:tcW w:w="1134" w:type="dxa"/>
          </w:tcPr>
          <w:p>
            <w:pPr>
              <w:pStyle w:val="yTable"/>
              <w:spacing w:before="50"/>
              <w:ind w:right="76"/>
              <w:jc w:val="right"/>
              <w:rPr>
                <w:sz w:val="18"/>
              </w:rPr>
            </w:pPr>
            <w:r>
              <w:rPr>
                <w:sz w:val="18"/>
              </w:rPr>
              <w:t>8.00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25</w:t>
            </w:r>
          </w:p>
        </w:tc>
        <w:tc>
          <w:tcPr>
            <w:tcW w:w="1134" w:type="dxa"/>
          </w:tcPr>
          <w:p>
            <w:pPr>
              <w:pStyle w:val="yTable"/>
              <w:spacing w:before="50"/>
              <w:ind w:right="76"/>
              <w:jc w:val="right"/>
              <w:rPr>
                <w:sz w:val="18"/>
              </w:rPr>
            </w:pPr>
            <w:r>
              <w:rPr>
                <w:sz w:val="18"/>
              </w:rPr>
              <w:t>1.10</w:t>
            </w:r>
          </w:p>
        </w:tc>
        <w:tc>
          <w:tcPr>
            <w:tcW w:w="1134" w:type="dxa"/>
          </w:tcPr>
          <w:p>
            <w:pPr>
              <w:pStyle w:val="yTable"/>
              <w:spacing w:before="50"/>
              <w:ind w:right="76"/>
              <w:jc w:val="right"/>
              <w:rPr>
                <w:sz w:val="18"/>
              </w:rPr>
            </w:pPr>
            <w:r>
              <w:rPr>
                <w:sz w:val="18"/>
              </w:rPr>
              <w:t>2.20</w:t>
            </w:r>
          </w:p>
        </w:tc>
        <w:tc>
          <w:tcPr>
            <w:tcW w:w="1134" w:type="dxa"/>
          </w:tcPr>
          <w:p>
            <w:pPr>
              <w:pStyle w:val="yTable"/>
              <w:spacing w:before="50"/>
              <w:ind w:right="76"/>
              <w:jc w:val="right"/>
              <w:rPr>
                <w:sz w:val="18"/>
              </w:rPr>
            </w:pPr>
            <w:r>
              <w:rPr>
                <w:sz w:val="18"/>
              </w:rPr>
              <w:t>5.50</w:t>
            </w:r>
          </w:p>
        </w:tc>
        <w:tc>
          <w:tcPr>
            <w:tcW w:w="1134" w:type="dxa"/>
          </w:tcPr>
          <w:p>
            <w:pPr>
              <w:pStyle w:val="yTable"/>
              <w:spacing w:before="50"/>
              <w:ind w:right="76"/>
              <w:jc w:val="right"/>
              <w:rPr>
                <w:sz w:val="18"/>
              </w:rPr>
            </w:pPr>
            <w:r>
              <w:rPr>
                <w:sz w:val="18"/>
              </w:rPr>
              <w:t>11.00</w:t>
            </w:r>
          </w:p>
        </w:tc>
      </w:tr>
      <w:tr>
        <w:tc>
          <w:tcPr>
            <w:tcW w:w="1276" w:type="dxa"/>
          </w:tcPr>
          <w:p>
            <w:pPr>
              <w:pStyle w:val="yTable"/>
              <w:spacing w:before="50"/>
              <w:rPr>
                <w:sz w:val="18"/>
              </w:rPr>
            </w:pPr>
            <w:r>
              <w:rPr>
                <w:sz w:val="18"/>
              </w:rPr>
              <w:t>System 7</w:t>
            </w:r>
          </w:p>
        </w:tc>
        <w:tc>
          <w:tcPr>
            <w:tcW w:w="992" w:type="dxa"/>
          </w:tcPr>
          <w:p>
            <w:pPr>
              <w:pStyle w:val="yTable"/>
              <w:spacing w:before="50"/>
              <w:jc w:val="center"/>
              <w:rPr>
                <w:sz w:val="18"/>
              </w:rPr>
            </w:pPr>
            <w:r>
              <w:rPr>
                <w:sz w:val="18"/>
              </w:rPr>
              <w:t>7</w:t>
            </w:r>
          </w:p>
        </w:tc>
        <w:tc>
          <w:tcPr>
            <w:tcW w:w="1134" w:type="dxa"/>
          </w:tcPr>
          <w:p>
            <w:pPr>
              <w:pStyle w:val="yTable"/>
              <w:spacing w:before="50"/>
              <w:ind w:right="76"/>
              <w:jc w:val="right"/>
              <w:rPr>
                <w:sz w:val="18"/>
              </w:rPr>
            </w:pPr>
            <w:r>
              <w:rPr>
                <w:sz w:val="18"/>
              </w:rPr>
              <w:t>0.30</w:t>
            </w:r>
          </w:p>
        </w:tc>
        <w:tc>
          <w:tcPr>
            <w:tcW w:w="1134" w:type="dxa"/>
          </w:tcPr>
          <w:p>
            <w:pPr>
              <w:pStyle w:val="yTable"/>
              <w:spacing w:before="50"/>
              <w:ind w:right="76"/>
              <w:jc w:val="right"/>
              <w:rPr>
                <w:sz w:val="18"/>
              </w:rPr>
            </w:pPr>
            <w:r>
              <w:rPr>
                <w:sz w:val="18"/>
              </w:rPr>
              <w:t>0.60</w:t>
            </w:r>
          </w:p>
        </w:tc>
        <w:tc>
          <w:tcPr>
            <w:tcW w:w="1134" w:type="dxa"/>
          </w:tcPr>
          <w:p>
            <w:pPr>
              <w:pStyle w:val="yTable"/>
              <w:spacing w:before="50"/>
              <w:ind w:right="76"/>
              <w:jc w:val="right"/>
              <w:rPr>
                <w:sz w:val="18"/>
              </w:rPr>
            </w:pPr>
            <w:r>
              <w:rPr>
                <w:sz w:val="18"/>
              </w:rPr>
              <w:t>1.50</w:t>
            </w:r>
          </w:p>
        </w:tc>
        <w:tc>
          <w:tcPr>
            <w:tcW w:w="1134" w:type="dxa"/>
          </w:tcPr>
          <w:p>
            <w:pPr>
              <w:pStyle w:val="yTable"/>
              <w:spacing w:before="50"/>
              <w:ind w:right="76"/>
              <w:jc w:val="right"/>
              <w:rPr>
                <w:sz w:val="18"/>
              </w:rPr>
            </w:pPr>
            <w:r>
              <w:rPr>
                <w:sz w:val="18"/>
              </w:rPr>
              <w:t>3.00</w:t>
            </w:r>
          </w:p>
        </w:tc>
      </w:tr>
      <w:tr>
        <w:tc>
          <w:tcPr>
            <w:tcW w:w="1276" w:type="dxa"/>
          </w:tcPr>
          <w:p>
            <w:pPr>
              <w:pStyle w:val="yTable"/>
              <w:spacing w:before="50"/>
              <w:rPr>
                <w:sz w:val="18"/>
              </w:rPr>
            </w:pPr>
            <w:r>
              <w:rPr>
                <w:sz w:val="18"/>
              </w:rPr>
              <w:t>System 8</w:t>
            </w:r>
          </w:p>
        </w:tc>
        <w:tc>
          <w:tcPr>
            <w:tcW w:w="992" w:type="dxa"/>
          </w:tcPr>
          <w:p>
            <w:pPr>
              <w:pStyle w:val="yTable"/>
              <w:spacing w:before="50"/>
              <w:jc w:val="center"/>
              <w:rPr>
                <w:sz w:val="18"/>
              </w:rPr>
            </w:pPr>
            <w:r>
              <w:rPr>
                <w:sz w:val="18"/>
              </w:rPr>
              <w:t>28</w:t>
            </w:r>
          </w:p>
        </w:tc>
        <w:tc>
          <w:tcPr>
            <w:tcW w:w="1134" w:type="dxa"/>
          </w:tcPr>
          <w:p>
            <w:pPr>
              <w:pStyle w:val="yTable"/>
              <w:spacing w:before="50"/>
              <w:ind w:right="76"/>
              <w:jc w:val="right"/>
              <w:rPr>
                <w:sz w:val="18"/>
              </w:rPr>
            </w:pPr>
            <w:r>
              <w:rPr>
                <w:sz w:val="18"/>
              </w:rPr>
              <w:t>1.25</w:t>
            </w:r>
          </w:p>
        </w:tc>
        <w:tc>
          <w:tcPr>
            <w:tcW w:w="1134" w:type="dxa"/>
          </w:tcPr>
          <w:p>
            <w:pPr>
              <w:pStyle w:val="yTable"/>
              <w:spacing w:before="50"/>
              <w:ind w:right="76"/>
              <w:jc w:val="right"/>
              <w:rPr>
                <w:sz w:val="18"/>
              </w:rPr>
            </w:pPr>
            <w:r>
              <w:rPr>
                <w:sz w:val="18"/>
              </w:rPr>
              <w:t>2.50</w:t>
            </w:r>
          </w:p>
        </w:tc>
        <w:tc>
          <w:tcPr>
            <w:tcW w:w="1134" w:type="dxa"/>
          </w:tcPr>
          <w:p>
            <w:pPr>
              <w:pStyle w:val="yTable"/>
              <w:spacing w:before="50"/>
              <w:ind w:right="76"/>
              <w:jc w:val="right"/>
              <w:rPr>
                <w:sz w:val="18"/>
              </w:rPr>
            </w:pPr>
            <w:r>
              <w:rPr>
                <w:sz w:val="18"/>
              </w:rPr>
              <w:t>6.25</w:t>
            </w:r>
          </w:p>
        </w:tc>
        <w:tc>
          <w:tcPr>
            <w:tcW w:w="1134" w:type="dxa"/>
          </w:tcPr>
          <w:p>
            <w:pPr>
              <w:pStyle w:val="yTable"/>
              <w:spacing w:before="50"/>
              <w:ind w:right="76"/>
              <w:jc w:val="right"/>
              <w:rPr>
                <w:sz w:val="18"/>
              </w:rPr>
            </w:pPr>
            <w:r>
              <w:rPr>
                <w:sz w:val="18"/>
              </w:rPr>
              <w:t>12.50</w:t>
            </w:r>
          </w:p>
        </w:tc>
      </w:tr>
      <w:tr>
        <w:tc>
          <w:tcPr>
            <w:tcW w:w="1276" w:type="dxa"/>
          </w:tcPr>
          <w:p>
            <w:pPr>
              <w:pStyle w:val="yTable"/>
              <w:spacing w:before="50"/>
              <w:rPr>
                <w:sz w:val="18"/>
              </w:rPr>
            </w:pPr>
            <w:r>
              <w:rPr>
                <w:sz w:val="18"/>
              </w:rPr>
              <w:t>System 9</w:t>
            </w:r>
          </w:p>
        </w:tc>
        <w:tc>
          <w:tcPr>
            <w:tcW w:w="992" w:type="dxa"/>
          </w:tcPr>
          <w:p>
            <w:pPr>
              <w:pStyle w:val="yTable"/>
              <w:spacing w:before="50"/>
              <w:jc w:val="center"/>
              <w:rPr>
                <w:sz w:val="18"/>
              </w:rPr>
            </w:pPr>
            <w:r>
              <w:rPr>
                <w:sz w:val="18"/>
              </w:rPr>
              <w:t>84</w:t>
            </w:r>
          </w:p>
        </w:tc>
        <w:tc>
          <w:tcPr>
            <w:tcW w:w="1134" w:type="dxa"/>
          </w:tcPr>
          <w:p>
            <w:pPr>
              <w:pStyle w:val="yTable"/>
              <w:spacing w:before="50"/>
              <w:ind w:right="76"/>
              <w:jc w:val="right"/>
              <w:rPr>
                <w:sz w:val="18"/>
              </w:rPr>
            </w:pPr>
            <w:r>
              <w:rPr>
                <w:sz w:val="18"/>
              </w:rPr>
              <w:t>3.80</w:t>
            </w:r>
          </w:p>
        </w:tc>
        <w:tc>
          <w:tcPr>
            <w:tcW w:w="1134" w:type="dxa"/>
          </w:tcPr>
          <w:p>
            <w:pPr>
              <w:pStyle w:val="yTable"/>
              <w:spacing w:before="50"/>
              <w:ind w:right="76"/>
              <w:jc w:val="right"/>
              <w:rPr>
                <w:sz w:val="18"/>
              </w:rPr>
            </w:pPr>
            <w:r>
              <w:rPr>
                <w:sz w:val="18"/>
              </w:rPr>
              <w:t>7.60</w:t>
            </w:r>
          </w:p>
        </w:tc>
        <w:tc>
          <w:tcPr>
            <w:tcW w:w="1134" w:type="dxa"/>
          </w:tcPr>
          <w:p>
            <w:pPr>
              <w:pStyle w:val="yTable"/>
              <w:spacing w:before="50"/>
              <w:ind w:right="76"/>
              <w:jc w:val="right"/>
              <w:rPr>
                <w:sz w:val="18"/>
              </w:rPr>
            </w:pPr>
            <w:r>
              <w:rPr>
                <w:sz w:val="18"/>
              </w:rPr>
              <w:t>19.00</w:t>
            </w:r>
          </w:p>
        </w:tc>
        <w:tc>
          <w:tcPr>
            <w:tcW w:w="1134" w:type="dxa"/>
          </w:tcPr>
          <w:p>
            <w:pPr>
              <w:pStyle w:val="yTable"/>
              <w:spacing w:before="50"/>
              <w:ind w:right="76"/>
              <w:jc w:val="right"/>
              <w:rPr>
                <w:sz w:val="18"/>
              </w:rPr>
            </w:pPr>
            <w:r>
              <w:rPr>
                <w:sz w:val="18"/>
              </w:rPr>
              <w:t>38.00</w:t>
            </w:r>
          </w:p>
        </w:tc>
      </w:tr>
      <w:tr>
        <w:tc>
          <w:tcPr>
            <w:tcW w:w="1276" w:type="dxa"/>
          </w:tcPr>
          <w:p>
            <w:pPr>
              <w:pStyle w:val="yTable"/>
              <w:spacing w:before="50"/>
              <w:rPr>
                <w:sz w:val="18"/>
              </w:rPr>
            </w:pPr>
            <w:r>
              <w:rPr>
                <w:sz w:val="18"/>
              </w:rPr>
              <w:t>System 10</w:t>
            </w:r>
          </w:p>
        </w:tc>
        <w:tc>
          <w:tcPr>
            <w:tcW w:w="992" w:type="dxa"/>
          </w:tcPr>
          <w:p>
            <w:pPr>
              <w:pStyle w:val="yTable"/>
              <w:spacing w:before="50"/>
              <w:jc w:val="center"/>
              <w:rPr>
                <w:sz w:val="18"/>
              </w:rPr>
            </w:pPr>
            <w:r>
              <w:rPr>
                <w:sz w:val="18"/>
              </w:rPr>
              <w:t>210</w:t>
            </w:r>
          </w:p>
        </w:tc>
        <w:tc>
          <w:tcPr>
            <w:tcW w:w="1134" w:type="dxa"/>
          </w:tcPr>
          <w:p>
            <w:pPr>
              <w:pStyle w:val="yTable"/>
              <w:spacing w:before="50"/>
              <w:ind w:right="76"/>
              <w:jc w:val="right"/>
              <w:rPr>
                <w:sz w:val="18"/>
              </w:rPr>
            </w:pPr>
            <w:r>
              <w:rPr>
                <w:sz w:val="18"/>
              </w:rPr>
              <w:t>9.45</w:t>
            </w:r>
          </w:p>
        </w:tc>
        <w:tc>
          <w:tcPr>
            <w:tcW w:w="1134" w:type="dxa"/>
          </w:tcPr>
          <w:p>
            <w:pPr>
              <w:pStyle w:val="yTable"/>
              <w:spacing w:before="50"/>
              <w:ind w:right="76"/>
              <w:jc w:val="right"/>
              <w:rPr>
                <w:sz w:val="18"/>
              </w:rPr>
            </w:pPr>
            <w:r>
              <w:rPr>
                <w:sz w:val="18"/>
              </w:rPr>
              <w:t>18.90</w:t>
            </w:r>
          </w:p>
        </w:tc>
        <w:tc>
          <w:tcPr>
            <w:tcW w:w="1134" w:type="dxa"/>
          </w:tcPr>
          <w:p>
            <w:pPr>
              <w:pStyle w:val="yTable"/>
              <w:spacing w:before="50"/>
              <w:ind w:right="76"/>
              <w:jc w:val="right"/>
              <w:rPr>
                <w:sz w:val="18"/>
              </w:rPr>
            </w:pPr>
            <w:r>
              <w:rPr>
                <w:sz w:val="18"/>
              </w:rPr>
              <w:t>47.25</w:t>
            </w:r>
          </w:p>
        </w:tc>
        <w:tc>
          <w:tcPr>
            <w:tcW w:w="1134" w:type="dxa"/>
          </w:tcPr>
          <w:p>
            <w:pPr>
              <w:pStyle w:val="yTable"/>
              <w:spacing w:before="50"/>
              <w:ind w:right="76"/>
              <w:jc w:val="right"/>
              <w:rPr>
                <w:sz w:val="18"/>
              </w:rPr>
            </w:pPr>
            <w:r>
              <w:rPr>
                <w:sz w:val="18"/>
              </w:rPr>
              <w:t>94.50</w:t>
            </w:r>
          </w:p>
        </w:tc>
      </w:tr>
      <w:tr>
        <w:tc>
          <w:tcPr>
            <w:tcW w:w="1276" w:type="dxa"/>
          </w:tcPr>
          <w:p>
            <w:pPr>
              <w:pStyle w:val="yTable"/>
              <w:spacing w:before="50"/>
              <w:rPr>
                <w:sz w:val="18"/>
              </w:rPr>
            </w:pPr>
            <w:r>
              <w:rPr>
                <w:sz w:val="18"/>
              </w:rPr>
              <w:t>System 11</w:t>
            </w:r>
          </w:p>
        </w:tc>
        <w:tc>
          <w:tcPr>
            <w:tcW w:w="992" w:type="dxa"/>
          </w:tcPr>
          <w:p>
            <w:pPr>
              <w:pStyle w:val="yTable"/>
              <w:spacing w:before="50"/>
              <w:jc w:val="center"/>
              <w:rPr>
                <w:sz w:val="18"/>
              </w:rPr>
            </w:pPr>
            <w:r>
              <w:rPr>
                <w:sz w:val="18"/>
              </w:rPr>
              <w:t>462</w:t>
            </w:r>
          </w:p>
        </w:tc>
        <w:tc>
          <w:tcPr>
            <w:tcW w:w="1134" w:type="dxa"/>
          </w:tcPr>
          <w:p>
            <w:pPr>
              <w:pStyle w:val="yTable"/>
              <w:spacing w:before="50"/>
              <w:ind w:right="76"/>
              <w:jc w:val="right"/>
              <w:rPr>
                <w:sz w:val="18"/>
              </w:rPr>
            </w:pPr>
            <w:r>
              <w:rPr>
                <w:sz w:val="18"/>
              </w:rPr>
              <w:t>21.00</w:t>
            </w:r>
          </w:p>
        </w:tc>
        <w:tc>
          <w:tcPr>
            <w:tcW w:w="1134" w:type="dxa"/>
          </w:tcPr>
          <w:p>
            <w:pPr>
              <w:pStyle w:val="yTable"/>
              <w:spacing w:before="50"/>
              <w:ind w:right="76"/>
              <w:jc w:val="right"/>
              <w:rPr>
                <w:sz w:val="18"/>
              </w:rPr>
            </w:pPr>
            <w:r>
              <w:rPr>
                <w:sz w:val="18"/>
              </w:rPr>
              <w:t>42.00</w:t>
            </w:r>
          </w:p>
        </w:tc>
        <w:tc>
          <w:tcPr>
            <w:tcW w:w="1134" w:type="dxa"/>
          </w:tcPr>
          <w:p>
            <w:pPr>
              <w:pStyle w:val="yTable"/>
              <w:spacing w:before="50"/>
              <w:ind w:right="76"/>
              <w:jc w:val="right"/>
              <w:rPr>
                <w:sz w:val="18"/>
              </w:rPr>
            </w:pPr>
            <w:r>
              <w:rPr>
                <w:sz w:val="18"/>
              </w:rPr>
              <w:t>105.00</w:t>
            </w:r>
          </w:p>
        </w:tc>
        <w:tc>
          <w:tcPr>
            <w:tcW w:w="1134" w:type="dxa"/>
          </w:tcPr>
          <w:p>
            <w:pPr>
              <w:pStyle w:val="yTable"/>
              <w:spacing w:before="50"/>
              <w:ind w:right="76"/>
              <w:jc w:val="right"/>
              <w:rPr>
                <w:sz w:val="18"/>
              </w:rPr>
            </w:pPr>
            <w:r>
              <w:rPr>
                <w:sz w:val="18"/>
              </w:rPr>
              <w:t>210.00</w:t>
            </w:r>
          </w:p>
        </w:tc>
      </w:tr>
      <w:tr>
        <w:tc>
          <w:tcPr>
            <w:tcW w:w="1276" w:type="dxa"/>
          </w:tcPr>
          <w:p>
            <w:pPr>
              <w:pStyle w:val="yTable"/>
              <w:spacing w:before="50"/>
              <w:rPr>
                <w:sz w:val="18"/>
              </w:rPr>
            </w:pPr>
            <w:r>
              <w:rPr>
                <w:sz w:val="18"/>
              </w:rPr>
              <w:t>System 12</w:t>
            </w:r>
          </w:p>
        </w:tc>
        <w:tc>
          <w:tcPr>
            <w:tcW w:w="992" w:type="dxa"/>
          </w:tcPr>
          <w:p>
            <w:pPr>
              <w:pStyle w:val="yTable"/>
              <w:spacing w:before="50"/>
              <w:jc w:val="center"/>
              <w:rPr>
                <w:sz w:val="18"/>
              </w:rPr>
            </w:pPr>
            <w:r>
              <w:rPr>
                <w:sz w:val="18"/>
              </w:rPr>
              <w:t>924</w:t>
            </w:r>
          </w:p>
        </w:tc>
        <w:tc>
          <w:tcPr>
            <w:tcW w:w="1134" w:type="dxa"/>
          </w:tcPr>
          <w:p>
            <w:pPr>
              <w:pStyle w:val="yTable"/>
              <w:spacing w:before="50"/>
              <w:ind w:right="76"/>
              <w:jc w:val="right"/>
              <w:rPr>
                <w:sz w:val="18"/>
              </w:rPr>
            </w:pPr>
            <w:r>
              <w:rPr>
                <w:sz w:val="18"/>
              </w:rPr>
              <w:t>41.00</w:t>
            </w:r>
          </w:p>
        </w:tc>
        <w:tc>
          <w:tcPr>
            <w:tcW w:w="1134" w:type="dxa"/>
          </w:tcPr>
          <w:p>
            <w:pPr>
              <w:pStyle w:val="yTable"/>
              <w:spacing w:before="50"/>
              <w:ind w:right="76"/>
              <w:jc w:val="right"/>
              <w:rPr>
                <w:sz w:val="18"/>
              </w:rPr>
            </w:pPr>
            <w:r>
              <w:rPr>
                <w:sz w:val="18"/>
              </w:rPr>
              <w:t>82.00</w:t>
            </w:r>
          </w:p>
        </w:tc>
        <w:tc>
          <w:tcPr>
            <w:tcW w:w="1134" w:type="dxa"/>
          </w:tcPr>
          <w:p>
            <w:pPr>
              <w:pStyle w:val="yTable"/>
              <w:spacing w:before="50"/>
              <w:ind w:right="76"/>
              <w:jc w:val="right"/>
              <w:rPr>
                <w:sz w:val="18"/>
              </w:rPr>
            </w:pPr>
            <w:r>
              <w:rPr>
                <w:sz w:val="18"/>
              </w:rPr>
              <w:t>205.00</w:t>
            </w:r>
          </w:p>
        </w:tc>
        <w:tc>
          <w:tcPr>
            <w:tcW w:w="1134" w:type="dxa"/>
          </w:tcPr>
          <w:p>
            <w:pPr>
              <w:pStyle w:val="yTable"/>
              <w:spacing w:before="50"/>
              <w:ind w:right="76"/>
              <w:jc w:val="right"/>
              <w:rPr>
                <w:sz w:val="18"/>
              </w:rPr>
            </w:pPr>
            <w:r>
              <w:rPr>
                <w:sz w:val="18"/>
              </w:rPr>
              <w:t>410.00</w:t>
            </w:r>
          </w:p>
        </w:tc>
      </w:tr>
      <w:tr>
        <w:tc>
          <w:tcPr>
            <w:tcW w:w="1276" w:type="dxa"/>
          </w:tcPr>
          <w:p>
            <w:pPr>
              <w:pStyle w:val="yTable"/>
              <w:spacing w:before="50"/>
              <w:rPr>
                <w:sz w:val="18"/>
              </w:rPr>
            </w:pPr>
            <w:r>
              <w:rPr>
                <w:sz w:val="18"/>
              </w:rPr>
              <w:t>System 13</w:t>
            </w:r>
          </w:p>
        </w:tc>
        <w:tc>
          <w:tcPr>
            <w:tcW w:w="992" w:type="dxa"/>
          </w:tcPr>
          <w:p>
            <w:pPr>
              <w:pStyle w:val="yTable"/>
              <w:spacing w:before="50"/>
              <w:jc w:val="center"/>
              <w:rPr>
                <w:sz w:val="18"/>
              </w:rPr>
            </w:pPr>
            <w:r>
              <w:rPr>
                <w:sz w:val="18"/>
              </w:rPr>
              <w:t>1 716</w:t>
            </w:r>
          </w:p>
        </w:tc>
        <w:tc>
          <w:tcPr>
            <w:tcW w:w="1134" w:type="dxa"/>
          </w:tcPr>
          <w:p>
            <w:pPr>
              <w:pStyle w:val="yTable"/>
              <w:spacing w:before="50"/>
              <w:ind w:right="76"/>
              <w:jc w:val="right"/>
              <w:rPr>
                <w:sz w:val="18"/>
              </w:rPr>
            </w:pPr>
            <w:r>
              <w:rPr>
                <w:sz w:val="18"/>
              </w:rPr>
              <w:t>77.00</w:t>
            </w:r>
          </w:p>
        </w:tc>
        <w:tc>
          <w:tcPr>
            <w:tcW w:w="1134" w:type="dxa"/>
          </w:tcPr>
          <w:p>
            <w:pPr>
              <w:pStyle w:val="yTable"/>
              <w:spacing w:before="50"/>
              <w:ind w:right="76"/>
              <w:jc w:val="right"/>
              <w:rPr>
                <w:sz w:val="18"/>
              </w:rPr>
            </w:pPr>
            <w:r>
              <w:rPr>
                <w:sz w:val="18"/>
              </w:rPr>
              <w:t>154.00</w:t>
            </w:r>
          </w:p>
        </w:tc>
        <w:tc>
          <w:tcPr>
            <w:tcW w:w="1134" w:type="dxa"/>
          </w:tcPr>
          <w:p>
            <w:pPr>
              <w:pStyle w:val="yTable"/>
              <w:spacing w:before="50"/>
              <w:ind w:right="76"/>
              <w:jc w:val="right"/>
              <w:rPr>
                <w:sz w:val="18"/>
              </w:rPr>
            </w:pPr>
            <w:r>
              <w:rPr>
                <w:sz w:val="18"/>
              </w:rPr>
              <w:t>385.00</w:t>
            </w:r>
          </w:p>
        </w:tc>
        <w:tc>
          <w:tcPr>
            <w:tcW w:w="1134" w:type="dxa"/>
          </w:tcPr>
          <w:p>
            <w:pPr>
              <w:pStyle w:val="yTable"/>
              <w:spacing w:before="50"/>
              <w:ind w:right="76"/>
              <w:jc w:val="right"/>
              <w:rPr>
                <w:sz w:val="18"/>
              </w:rPr>
            </w:pPr>
            <w:r>
              <w:rPr>
                <w:sz w:val="18"/>
              </w:rPr>
              <w:t>770.00</w:t>
            </w:r>
          </w:p>
        </w:tc>
      </w:tr>
      <w:tr>
        <w:tc>
          <w:tcPr>
            <w:tcW w:w="1276" w:type="dxa"/>
          </w:tcPr>
          <w:p>
            <w:pPr>
              <w:pStyle w:val="yTable"/>
              <w:spacing w:before="50"/>
              <w:rPr>
                <w:sz w:val="18"/>
              </w:rPr>
            </w:pPr>
            <w:r>
              <w:rPr>
                <w:sz w:val="18"/>
              </w:rPr>
              <w:t>System 14</w:t>
            </w:r>
          </w:p>
        </w:tc>
        <w:tc>
          <w:tcPr>
            <w:tcW w:w="992" w:type="dxa"/>
          </w:tcPr>
          <w:p>
            <w:pPr>
              <w:pStyle w:val="yTable"/>
              <w:spacing w:before="50"/>
              <w:jc w:val="center"/>
              <w:rPr>
                <w:sz w:val="18"/>
              </w:rPr>
            </w:pPr>
            <w:r>
              <w:rPr>
                <w:sz w:val="18"/>
              </w:rPr>
              <w:t>3 003</w:t>
            </w:r>
          </w:p>
        </w:tc>
        <w:tc>
          <w:tcPr>
            <w:tcW w:w="1134" w:type="dxa"/>
          </w:tcPr>
          <w:p>
            <w:pPr>
              <w:pStyle w:val="yTable"/>
              <w:spacing w:before="50"/>
              <w:ind w:right="76"/>
              <w:jc w:val="right"/>
              <w:rPr>
                <w:sz w:val="18"/>
              </w:rPr>
            </w:pPr>
            <w:r>
              <w:rPr>
                <w:sz w:val="18"/>
              </w:rPr>
              <w:t>134.50</w:t>
            </w:r>
          </w:p>
        </w:tc>
        <w:tc>
          <w:tcPr>
            <w:tcW w:w="1134" w:type="dxa"/>
          </w:tcPr>
          <w:p>
            <w:pPr>
              <w:pStyle w:val="yTable"/>
              <w:spacing w:before="50"/>
              <w:ind w:right="76"/>
              <w:jc w:val="right"/>
              <w:rPr>
                <w:sz w:val="18"/>
              </w:rPr>
            </w:pPr>
            <w:r>
              <w:rPr>
                <w:sz w:val="18"/>
              </w:rPr>
              <w:t>269.00</w:t>
            </w:r>
          </w:p>
        </w:tc>
        <w:tc>
          <w:tcPr>
            <w:tcW w:w="1134" w:type="dxa"/>
          </w:tcPr>
          <w:p>
            <w:pPr>
              <w:pStyle w:val="yTable"/>
              <w:spacing w:before="50"/>
              <w:ind w:right="76"/>
              <w:jc w:val="right"/>
              <w:rPr>
                <w:sz w:val="18"/>
              </w:rPr>
            </w:pPr>
            <w:r>
              <w:rPr>
                <w:sz w:val="18"/>
              </w:rPr>
              <w:t>672.50</w:t>
            </w:r>
          </w:p>
        </w:tc>
        <w:tc>
          <w:tcPr>
            <w:tcW w:w="1134" w:type="dxa"/>
          </w:tcPr>
          <w:p>
            <w:pPr>
              <w:pStyle w:val="yTable"/>
              <w:spacing w:before="50"/>
              <w:ind w:right="76"/>
              <w:jc w:val="right"/>
              <w:rPr>
                <w:sz w:val="18"/>
              </w:rPr>
            </w:pPr>
            <w:r>
              <w:rPr>
                <w:sz w:val="18"/>
              </w:rPr>
              <w:t>1 345.00</w:t>
            </w:r>
          </w:p>
        </w:tc>
      </w:tr>
      <w:tr>
        <w:tc>
          <w:tcPr>
            <w:tcW w:w="1276" w:type="dxa"/>
          </w:tcPr>
          <w:p>
            <w:pPr>
              <w:pStyle w:val="yTable"/>
              <w:spacing w:before="50"/>
              <w:rPr>
                <w:sz w:val="18"/>
              </w:rPr>
            </w:pPr>
            <w:r>
              <w:rPr>
                <w:sz w:val="18"/>
              </w:rPr>
              <w:t>System 15</w:t>
            </w:r>
          </w:p>
        </w:tc>
        <w:tc>
          <w:tcPr>
            <w:tcW w:w="992" w:type="dxa"/>
          </w:tcPr>
          <w:p>
            <w:pPr>
              <w:pStyle w:val="yTable"/>
              <w:spacing w:before="50"/>
              <w:jc w:val="center"/>
              <w:rPr>
                <w:sz w:val="18"/>
              </w:rPr>
            </w:pPr>
            <w:r>
              <w:rPr>
                <w:sz w:val="18"/>
              </w:rPr>
              <w:t>5 005</w:t>
            </w:r>
          </w:p>
        </w:tc>
        <w:tc>
          <w:tcPr>
            <w:tcW w:w="1134" w:type="dxa"/>
          </w:tcPr>
          <w:p>
            <w:pPr>
              <w:pStyle w:val="yTable"/>
              <w:spacing w:before="50"/>
              <w:ind w:right="76"/>
              <w:jc w:val="right"/>
              <w:rPr>
                <w:sz w:val="18"/>
              </w:rPr>
            </w:pPr>
            <w:r>
              <w:rPr>
                <w:sz w:val="18"/>
              </w:rPr>
              <w:t>222.50</w:t>
            </w:r>
          </w:p>
        </w:tc>
        <w:tc>
          <w:tcPr>
            <w:tcW w:w="1134" w:type="dxa"/>
          </w:tcPr>
          <w:p>
            <w:pPr>
              <w:pStyle w:val="yTable"/>
              <w:spacing w:before="50"/>
              <w:ind w:right="76"/>
              <w:jc w:val="right"/>
              <w:rPr>
                <w:sz w:val="18"/>
              </w:rPr>
            </w:pPr>
            <w:r>
              <w:rPr>
                <w:sz w:val="18"/>
              </w:rPr>
              <w:t>445.00</w:t>
            </w:r>
          </w:p>
        </w:tc>
        <w:tc>
          <w:tcPr>
            <w:tcW w:w="1134" w:type="dxa"/>
          </w:tcPr>
          <w:p>
            <w:pPr>
              <w:pStyle w:val="yTable"/>
              <w:spacing w:before="50"/>
              <w:ind w:right="76"/>
              <w:jc w:val="right"/>
              <w:rPr>
                <w:sz w:val="18"/>
              </w:rPr>
            </w:pPr>
            <w:r>
              <w:rPr>
                <w:sz w:val="18"/>
              </w:rPr>
              <w:t>1 112.50</w:t>
            </w:r>
          </w:p>
        </w:tc>
        <w:tc>
          <w:tcPr>
            <w:tcW w:w="1134" w:type="dxa"/>
          </w:tcPr>
          <w:p>
            <w:pPr>
              <w:pStyle w:val="yTable"/>
              <w:spacing w:before="50"/>
              <w:ind w:right="76"/>
              <w:jc w:val="right"/>
              <w:rPr>
                <w:sz w:val="18"/>
              </w:rPr>
            </w:pPr>
            <w:r>
              <w:rPr>
                <w:sz w:val="18"/>
              </w:rPr>
              <w:t>2 225.00</w:t>
            </w:r>
          </w:p>
        </w:tc>
      </w:tr>
      <w:tr>
        <w:tc>
          <w:tcPr>
            <w:tcW w:w="1276" w:type="dxa"/>
          </w:tcPr>
          <w:p>
            <w:pPr>
              <w:pStyle w:val="yTable"/>
              <w:spacing w:before="50"/>
              <w:rPr>
                <w:sz w:val="18"/>
              </w:rPr>
            </w:pPr>
            <w:r>
              <w:rPr>
                <w:sz w:val="18"/>
              </w:rPr>
              <w:t>System 16</w:t>
            </w:r>
          </w:p>
        </w:tc>
        <w:tc>
          <w:tcPr>
            <w:tcW w:w="992" w:type="dxa"/>
          </w:tcPr>
          <w:p>
            <w:pPr>
              <w:pStyle w:val="yTable"/>
              <w:spacing w:before="50"/>
              <w:jc w:val="center"/>
              <w:rPr>
                <w:sz w:val="18"/>
              </w:rPr>
            </w:pPr>
            <w:r>
              <w:rPr>
                <w:sz w:val="18"/>
              </w:rPr>
              <w:t>8 008</w:t>
            </w:r>
          </w:p>
        </w:tc>
        <w:tc>
          <w:tcPr>
            <w:tcW w:w="1134" w:type="dxa"/>
          </w:tcPr>
          <w:p>
            <w:pPr>
              <w:pStyle w:val="yTable"/>
              <w:spacing w:before="50"/>
              <w:ind w:right="76"/>
              <w:jc w:val="right"/>
              <w:rPr>
                <w:sz w:val="18"/>
              </w:rPr>
            </w:pPr>
            <w:r>
              <w:rPr>
                <w:sz w:val="18"/>
              </w:rPr>
              <w:t>356.00</w:t>
            </w:r>
          </w:p>
        </w:tc>
        <w:tc>
          <w:tcPr>
            <w:tcW w:w="1134" w:type="dxa"/>
          </w:tcPr>
          <w:p>
            <w:pPr>
              <w:pStyle w:val="yTable"/>
              <w:spacing w:before="50"/>
              <w:ind w:right="76"/>
              <w:jc w:val="right"/>
              <w:rPr>
                <w:sz w:val="18"/>
              </w:rPr>
            </w:pPr>
            <w:r>
              <w:rPr>
                <w:sz w:val="18"/>
              </w:rPr>
              <w:t>712.00</w:t>
            </w:r>
          </w:p>
        </w:tc>
        <w:tc>
          <w:tcPr>
            <w:tcW w:w="1134" w:type="dxa"/>
          </w:tcPr>
          <w:p>
            <w:pPr>
              <w:pStyle w:val="yTable"/>
              <w:spacing w:before="50"/>
              <w:ind w:right="76"/>
              <w:jc w:val="right"/>
              <w:rPr>
                <w:sz w:val="18"/>
              </w:rPr>
            </w:pPr>
            <w:r>
              <w:rPr>
                <w:sz w:val="18"/>
              </w:rPr>
              <w:t>1 780.00</w:t>
            </w:r>
          </w:p>
        </w:tc>
        <w:tc>
          <w:tcPr>
            <w:tcW w:w="1134" w:type="dxa"/>
          </w:tcPr>
          <w:p>
            <w:pPr>
              <w:pStyle w:val="yTable"/>
              <w:spacing w:before="50"/>
              <w:ind w:right="76"/>
              <w:jc w:val="right"/>
              <w:rPr>
                <w:sz w:val="18"/>
              </w:rPr>
            </w:pPr>
            <w:r>
              <w:rPr>
                <w:sz w:val="18"/>
              </w:rPr>
              <w:t>3 560.00</w:t>
            </w:r>
          </w:p>
        </w:tc>
      </w:tr>
      <w:tr>
        <w:tc>
          <w:tcPr>
            <w:tcW w:w="1276" w:type="dxa"/>
          </w:tcPr>
          <w:p>
            <w:pPr>
              <w:pStyle w:val="yTable"/>
              <w:spacing w:before="50"/>
              <w:rPr>
                <w:sz w:val="18"/>
              </w:rPr>
            </w:pPr>
            <w:r>
              <w:rPr>
                <w:sz w:val="18"/>
              </w:rPr>
              <w:t>System 17</w:t>
            </w:r>
          </w:p>
        </w:tc>
        <w:tc>
          <w:tcPr>
            <w:tcW w:w="992" w:type="dxa"/>
          </w:tcPr>
          <w:p>
            <w:pPr>
              <w:pStyle w:val="yTable"/>
              <w:spacing w:before="50"/>
              <w:jc w:val="center"/>
              <w:rPr>
                <w:sz w:val="18"/>
              </w:rPr>
            </w:pPr>
            <w:r>
              <w:rPr>
                <w:sz w:val="18"/>
              </w:rPr>
              <w:t>12 376</w:t>
            </w:r>
          </w:p>
        </w:tc>
        <w:tc>
          <w:tcPr>
            <w:tcW w:w="1134" w:type="dxa"/>
          </w:tcPr>
          <w:p>
            <w:pPr>
              <w:pStyle w:val="yTable"/>
              <w:spacing w:before="50"/>
              <w:ind w:right="76"/>
              <w:jc w:val="right"/>
              <w:rPr>
                <w:sz w:val="18"/>
              </w:rPr>
            </w:pPr>
            <w:r>
              <w:rPr>
                <w:sz w:val="18"/>
              </w:rPr>
              <w:t>552.00</w:t>
            </w:r>
          </w:p>
        </w:tc>
        <w:tc>
          <w:tcPr>
            <w:tcW w:w="1134" w:type="dxa"/>
          </w:tcPr>
          <w:p>
            <w:pPr>
              <w:pStyle w:val="yTable"/>
              <w:spacing w:before="50"/>
              <w:ind w:right="76"/>
              <w:jc w:val="right"/>
              <w:rPr>
                <w:sz w:val="18"/>
              </w:rPr>
            </w:pPr>
            <w:r>
              <w:rPr>
                <w:sz w:val="18"/>
              </w:rPr>
              <w:t>1 104.00</w:t>
            </w:r>
          </w:p>
        </w:tc>
        <w:tc>
          <w:tcPr>
            <w:tcW w:w="1134" w:type="dxa"/>
          </w:tcPr>
          <w:p>
            <w:pPr>
              <w:pStyle w:val="yTable"/>
              <w:spacing w:before="50"/>
              <w:ind w:right="76"/>
              <w:jc w:val="right"/>
              <w:rPr>
                <w:sz w:val="18"/>
              </w:rPr>
            </w:pPr>
            <w:r>
              <w:rPr>
                <w:sz w:val="18"/>
              </w:rPr>
              <w:t>2 760.00</w:t>
            </w:r>
          </w:p>
        </w:tc>
        <w:tc>
          <w:tcPr>
            <w:tcW w:w="1134" w:type="dxa"/>
          </w:tcPr>
          <w:p>
            <w:pPr>
              <w:pStyle w:val="yTable"/>
              <w:spacing w:before="50"/>
              <w:ind w:right="76"/>
              <w:jc w:val="right"/>
              <w:rPr>
                <w:sz w:val="18"/>
              </w:rPr>
            </w:pPr>
            <w:r>
              <w:rPr>
                <w:sz w:val="18"/>
              </w:rPr>
              <w:t>5 520.00</w:t>
            </w:r>
          </w:p>
        </w:tc>
      </w:tr>
      <w:tr>
        <w:tc>
          <w:tcPr>
            <w:tcW w:w="1276" w:type="dxa"/>
          </w:tcPr>
          <w:p>
            <w:pPr>
              <w:pStyle w:val="yTable"/>
              <w:spacing w:before="50"/>
              <w:rPr>
                <w:sz w:val="18"/>
              </w:rPr>
            </w:pPr>
            <w:r>
              <w:rPr>
                <w:sz w:val="18"/>
              </w:rPr>
              <w:t>System 18</w:t>
            </w:r>
          </w:p>
        </w:tc>
        <w:tc>
          <w:tcPr>
            <w:tcW w:w="992" w:type="dxa"/>
          </w:tcPr>
          <w:p>
            <w:pPr>
              <w:pStyle w:val="yTable"/>
              <w:spacing w:before="50"/>
              <w:jc w:val="center"/>
              <w:rPr>
                <w:sz w:val="18"/>
              </w:rPr>
            </w:pPr>
            <w:r>
              <w:rPr>
                <w:sz w:val="18"/>
              </w:rPr>
              <w:t>18 564</w:t>
            </w:r>
          </w:p>
        </w:tc>
        <w:tc>
          <w:tcPr>
            <w:tcW w:w="1134" w:type="dxa"/>
          </w:tcPr>
          <w:p>
            <w:pPr>
              <w:pStyle w:val="yTable"/>
              <w:spacing w:before="50"/>
              <w:ind w:right="76"/>
              <w:jc w:val="right"/>
              <w:rPr>
                <w:sz w:val="18"/>
              </w:rPr>
            </w:pPr>
            <w:r>
              <w:rPr>
                <w:sz w:val="18"/>
              </w:rPr>
              <w:t>828.00</w:t>
            </w:r>
          </w:p>
        </w:tc>
        <w:tc>
          <w:tcPr>
            <w:tcW w:w="1134" w:type="dxa"/>
          </w:tcPr>
          <w:p>
            <w:pPr>
              <w:pStyle w:val="yTable"/>
              <w:spacing w:before="50"/>
              <w:ind w:right="76"/>
              <w:jc w:val="right"/>
              <w:rPr>
                <w:sz w:val="18"/>
              </w:rPr>
            </w:pPr>
            <w:r>
              <w:rPr>
                <w:sz w:val="18"/>
              </w:rPr>
              <w:t>1 656.00</w:t>
            </w:r>
          </w:p>
        </w:tc>
        <w:tc>
          <w:tcPr>
            <w:tcW w:w="1134" w:type="dxa"/>
          </w:tcPr>
          <w:p>
            <w:pPr>
              <w:pStyle w:val="yTable"/>
              <w:spacing w:before="50"/>
              <w:ind w:right="76"/>
              <w:jc w:val="right"/>
              <w:rPr>
                <w:sz w:val="18"/>
              </w:rPr>
            </w:pPr>
            <w:r>
              <w:rPr>
                <w:sz w:val="18"/>
              </w:rPr>
              <w:t>4 140.00</w:t>
            </w:r>
          </w:p>
        </w:tc>
        <w:tc>
          <w:tcPr>
            <w:tcW w:w="1134" w:type="dxa"/>
          </w:tcPr>
          <w:p>
            <w:pPr>
              <w:pStyle w:val="yTable"/>
              <w:spacing w:before="50"/>
              <w:ind w:right="76"/>
              <w:jc w:val="right"/>
              <w:rPr>
                <w:sz w:val="18"/>
              </w:rPr>
            </w:pPr>
            <w:r>
              <w:rPr>
                <w:sz w:val="18"/>
              </w:rPr>
              <w:t>NA</w:t>
            </w:r>
          </w:p>
        </w:tc>
      </w:tr>
      <w:tr>
        <w:tc>
          <w:tcPr>
            <w:tcW w:w="1276" w:type="dxa"/>
          </w:tcPr>
          <w:p>
            <w:pPr>
              <w:pStyle w:val="yTable"/>
              <w:spacing w:before="50"/>
              <w:rPr>
                <w:sz w:val="18"/>
              </w:rPr>
            </w:pPr>
            <w:r>
              <w:rPr>
                <w:sz w:val="18"/>
              </w:rPr>
              <w:t>System 19</w:t>
            </w:r>
          </w:p>
        </w:tc>
        <w:tc>
          <w:tcPr>
            <w:tcW w:w="992" w:type="dxa"/>
          </w:tcPr>
          <w:p>
            <w:pPr>
              <w:pStyle w:val="yTable"/>
              <w:spacing w:before="50"/>
              <w:jc w:val="center"/>
              <w:rPr>
                <w:sz w:val="18"/>
              </w:rPr>
            </w:pPr>
            <w:r>
              <w:rPr>
                <w:sz w:val="18"/>
              </w:rPr>
              <w:t>27 132</w:t>
            </w:r>
          </w:p>
        </w:tc>
        <w:tc>
          <w:tcPr>
            <w:tcW w:w="1134" w:type="dxa"/>
          </w:tcPr>
          <w:p>
            <w:pPr>
              <w:pStyle w:val="yTable"/>
              <w:spacing w:before="50"/>
              <w:ind w:right="76"/>
              <w:jc w:val="right"/>
              <w:rPr>
                <w:sz w:val="18"/>
              </w:rPr>
            </w:pPr>
            <w:r>
              <w:rPr>
                <w:sz w:val="18"/>
              </w:rPr>
              <w:t>1 214.00</w:t>
            </w:r>
          </w:p>
        </w:tc>
        <w:tc>
          <w:tcPr>
            <w:tcW w:w="1134" w:type="dxa"/>
          </w:tcPr>
          <w:p>
            <w:pPr>
              <w:pStyle w:val="yTable"/>
              <w:spacing w:before="50"/>
              <w:ind w:right="76"/>
              <w:jc w:val="right"/>
              <w:rPr>
                <w:sz w:val="18"/>
              </w:rPr>
            </w:pPr>
            <w:r>
              <w:rPr>
                <w:sz w:val="18"/>
              </w:rPr>
              <w:t>2 428.00</w:t>
            </w:r>
          </w:p>
        </w:tc>
        <w:tc>
          <w:tcPr>
            <w:tcW w:w="1134" w:type="dxa"/>
          </w:tcPr>
          <w:p>
            <w:pPr>
              <w:pStyle w:val="yTable"/>
              <w:spacing w:before="50"/>
              <w:ind w:right="76"/>
              <w:jc w:val="right"/>
              <w:rPr>
                <w:sz w:val="18"/>
              </w:rPr>
            </w:pPr>
            <w:r>
              <w:rPr>
                <w:sz w:val="18"/>
              </w:rPr>
              <w:t>6 070.00</w:t>
            </w:r>
          </w:p>
        </w:tc>
        <w:tc>
          <w:tcPr>
            <w:tcW w:w="1134" w:type="dxa"/>
          </w:tcPr>
          <w:p>
            <w:pPr>
              <w:pStyle w:val="yTable"/>
              <w:spacing w:before="50"/>
              <w:ind w:right="76"/>
              <w:jc w:val="right"/>
              <w:rPr>
                <w:sz w:val="18"/>
              </w:rPr>
            </w:pPr>
            <w:r>
              <w:rPr>
                <w:sz w:val="18"/>
              </w:rPr>
              <w:t>NA</w:t>
            </w:r>
          </w:p>
        </w:tc>
      </w:tr>
      <w:tr>
        <w:tc>
          <w:tcPr>
            <w:tcW w:w="1276" w:type="dxa"/>
          </w:tcPr>
          <w:p>
            <w:pPr>
              <w:pStyle w:val="yTable"/>
              <w:spacing w:before="50"/>
              <w:rPr>
                <w:sz w:val="18"/>
              </w:rPr>
            </w:pPr>
            <w:r>
              <w:rPr>
                <w:sz w:val="18"/>
              </w:rPr>
              <w:t>System 20</w:t>
            </w:r>
          </w:p>
        </w:tc>
        <w:tc>
          <w:tcPr>
            <w:tcW w:w="992" w:type="dxa"/>
          </w:tcPr>
          <w:p>
            <w:pPr>
              <w:pStyle w:val="yTable"/>
              <w:spacing w:before="50"/>
              <w:jc w:val="center"/>
              <w:rPr>
                <w:sz w:val="18"/>
              </w:rPr>
            </w:pPr>
            <w:r>
              <w:rPr>
                <w:sz w:val="18"/>
              </w:rPr>
              <w:t>38 760</w:t>
            </w:r>
          </w:p>
        </w:tc>
        <w:tc>
          <w:tcPr>
            <w:tcW w:w="1134" w:type="dxa"/>
          </w:tcPr>
          <w:p>
            <w:pPr>
              <w:pStyle w:val="yTable"/>
              <w:spacing w:before="50"/>
              <w:ind w:right="76"/>
              <w:jc w:val="right"/>
              <w:rPr>
                <w:sz w:val="18"/>
              </w:rPr>
            </w:pPr>
            <w:r>
              <w:rPr>
                <w:sz w:val="18"/>
              </w:rPr>
              <w:t>1 740.00</w:t>
            </w:r>
          </w:p>
        </w:tc>
        <w:tc>
          <w:tcPr>
            <w:tcW w:w="1134" w:type="dxa"/>
          </w:tcPr>
          <w:p>
            <w:pPr>
              <w:pStyle w:val="yTable"/>
              <w:spacing w:before="50"/>
              <w:ind w:right="76"/>
              <w:jc w:val="right"/>
              <w:rPr>
                <w:sz w:val="18"/>
              </w:rPr>
            </w:pPr>
            <w:r>
              <w:rPr>
                <w:sz w:val="18"/>
              </w:rPr>
              <w:t>3 480.00</w:t>
            </w:r>
          </w:p>
        </w:tc>
        <w:tc>
          <w:tcPr>
            <w:tcW w:w="1134" w:type="dxa"/>
          </w:tcPr>
          <w:p>
            <w:pPr>
              <w:pStyle w:val="yTable"/>
              <w:spacing w:before="50"/>
              <w:ind w:right="76"/>
              <w:jc w:val="right"/>
              <w:rPr>
                <w:sz w:val="18"/>
              </w:rPr>
            </w:pPr>
            <w:r>
              <w:rPr>
                <w:sz w:val="18"/>
              </w:rPr>
              <w:t>NA</w:t>
            </w:r>
          </w:p>
        </w:tc>
        <w:tc>
          <w:tcPr>
            <w:tcW w:w="1134" w:type="dxa"/>
          </w:tcPr>
          <w:p>
            <w:pPr>
              <w:pStyle w:val="yTable"/>
              <w:spacing w:before="50"/>
              <w:ind w:right="76"/>
              <w:jc w:val="right"/>
              <w:rPr>
                <w:sz w:val="18"/>
              </w:rPr>
            </w:pPr>
            <w:r>
              <w:rPr>
                <w:sz w:val="18"/>
              </w:rPr>
              <w:t>NA</w:t>
            </w:r>
          </w:p>
        </w:tc>
      </w:tr>
      <w:tr>
        <w:tc>
          <w:tcPr>
            <w:tcW w:w="1276" w:type="dxa"/>
          </w:tcPr>
          <w:p>
            <w:pPr>
              <w:pStyle w:val="yTable"/>
              <w:spacing w:before="50"/>
              <w:rPr>
                <w:sz w:val="18"/>
              </w:rPr>
            </w:pPr>
            <w:r>
              <w:rPr>
                <w:sz w:val="18"/>
              </w:rPr>
              <w:t>System 4</w:t>
            </w:r>
          </w:p>
        </w:tc>
        <w:tc>
          <w:tcPr>
            <w:tcW w:w="992" w:type="dxa"/>
          </w:tcPr>
          <w:p>
            <w:pPr>
              <w:pStyle w:val="yTable"/>
              <w:spacing w:before="50"/>
              <w:jc w:val="center"/>
              <w:rPr>
                <w:sz w:val="18"/>
              </w:rPr>
            </w:pPr>
            <w:r>
              <w:rPr>
                <w:sz w:val="18"/>
              </w:rPr>
              <w:t>820</w:t>
            </w:r>
          </w:p>
        </w:tc>
        <w:tc>
          <w:tcPr>
            <w:tcW w:w="1134" w:type="dxa"/>
          </w:tcPr>
          <w:p>
            <w:pPr>
              <w:pStyle w:val="yTable"/>
              <w:spacing w:before="50"/>
              <w:ind w:right="76"/>
              <w:jc w:val="right"/>
              <w:rPr>
                <w:sz w:val="18"/>
              </w:rPr>
            </w:pPr>
            <w:r>
              <w:rPr>
                <w:sz w:val="18"/>
              </w:rPr>
              <w:t>37.00</w:t>
            </w:r>
          </w:p>
        </w:tc>
        <w:tc>
          <w:tcPr>
            <w:tcW w:w="1134" w:type="dxa"/>
          </w:tcPr>
          <w:p>
            <w:pPr>
              <w:pStyle w:val="yTable"/>
              <w:spacing w:before="50"/>
              <w:ind w:right="76"/>
              <w:jc w:val="right"/>
              <w:rPr>
                <w:sz w:val="18"/>
              </w:rPr>
            </w:pPr>
            <w:r>
              <w:rPr>
                <w:sz w:val="18"/>
              </w:rPr>
              <w:t>74.00</w:t>
            </w:r>
          </w:p>
        </w:tc>
        <w:tc>
          <w:tcPr>
            <w:tcW w:w="1134" w:type="dxa"/>
          </w:tcPr>
          <w:p>
            <w:pPr>
              <w:pStyle w:val="yTable"/>
              <w:spacing w:before="50"/>
              <w:ind w:right="76"/>
              <w:jc w:val="right"/>
              <w:rPr>
                <w:sz w:val="18"/>
              </w:rPr>
            </w:pPr>
            <w:r>
              <w:rPr>
                <w:sz w:val="18"/>
              </w:rPr>
              <w:t>185.00</w:t>
            </w:r>
          </w:p>
        </w:tc>
        <w:tc>
          <w:tcPr>
            <w:tcW w:w="1134" w:type="dxa"/>
          </w:tcPr>
          <w:p>
            <w:pPr>
              <w:pStyle w:val="yTable"/>
              <w:spacing w:before="50"/>
              <w:ind w:right="76"/>
              <w:jc w:val="right"/>
              <w:rPr>
                <w:sz w:val="18"/>
              </w:rPr>
            </w:pPr>
            <w:r>
              <w:rPr>
                <w:sz w:val="18"/>
              </w:rPr>
              <w:t>370.00</w:t>
            </w:r>
          </w:p>
        </w:tc>
      </w:tr>
      <w:tr>
        <w:tc>
          <w:tcPr>
            <w:tcW w:w="1276" w:type="dxa"/>
            <w:tcBorders>
              <w:bottom w:val="single" w:sz="4" w:space="0" w:color="auto"/>
            </w:tcBorders>
          </w:tcPr>
          <w:p>
            <w:pPr>
              <w:pStyle w:val="yTable"/>
              <w:keepNext/>
              <w:keepLines/>
              <w:spacing w:before="50"/>
              <w:rPr>
                <w:sz w:val="18"/>
              </w:rPr>
            </w:pPr>
            <w:r>
              <w:rPr>
                <w:sz w:val="18"/>
              </w:rPr>
              <w:t>System 5</w:t>
            </w:r>
          </w:p>
        </w:tc>
        <w:tc>
          <w:tcPr>
            <w:tcW w:w="992" w:type="dxa"/>
            <w:tcBorders>
              <w:bottom w:val="single" w:sz="4" w:space="0" w:color="auto"/>
            </w:tcBorders>
          </w:tcPr>
          <w:p>
            <w:pPr>
              <w:pStyle w:val="yTable"/>
              <w:keepNext/>
              <w:keepLines/>
              <w:spacing w:before="50"/>
              <w:jc w:val="center"/>
              <w:rPr>
                <w:sz w:val="18"/>
              </w:rPr>
            </w:pPr>
            <w:r>
              <w:rPr>
                <w:sz w:val="18"/>
              </w:rPr>
              <w:t>40</w:t>
            </w:r>
          </w:p>
        </w:tc>
        <w:tc>
          <w:tcPr>
            <w:tcW w:w="1134" w:type="dxa"/>
            <w:tcBorders>
              <w:bottom w:val="single" w:sz="4" w:space="0" w:color="auto"/>
            </w:tcBorders>
          </w:tcPr>
          <w:p>
            <w:pPr>
              <w:pStyle w:val="yTable"/>
              <w:keepNext/>
              <w:keepLines/>
              <w:spacing w:before="50"/>
              <w:ind w:right="76"/>
              <w:jc w:val="right"/>
              <w:rPr>
                <w:sz w:val="18"/>
              </w:rPr>
            </w:pPr>
            <w:r>
              <w:rPr>
                <w:sz w:val="18"/>
              </w:rPr>
              <w:t>1.80</w:t>
            </w:r>
          </w:p>
        </w:tc>
        <w:tc>
          <w:tcPr>
            <w:tcW w:w="1134" w:type="dxa"/>
            <w:tcBorders>
              <w:bottom w:val="single" w:sz="4" w:space="0" w:color="auto"/>
            </w:tcBorders>
          </w:tcPr>
          <w:p>
            <w:pPr>
              <w:pStyle w:val="yTable"/>
              <w:keepNext/>
              <w:keepLines/>
              <w:spacing w:before="50"/>
              <w:ind w:right="76"/>
              <w:jc w:val="right"/>
              <w:rPr>
                <w:sz w:val="18"/>
              </w:rPr>
            </w:pPr>
            <w:r>
              <w:rPr>
                <w:sz w:val="18"/>
              </w:rPr>
              <w:t>3.60</w:t>
            </w:r>
          </w:p>
        </w:tc>
        <w:tc>
          <w:tcPr>
            <w:tcW w:w="1134" w:type="dxa"/>
            <w:tcBorders>
              <w:bottom w:val="single" w:sz="4" w:space="0" w:color="auto"/>
            </w:tcBorders>
          </w:tcPr>
          <w:p>
            <w:pPr>
              <w:pStyle w:val="yTable"/>
              <w:keepNext/>
              <w:keepLines/>
              <w:spacing w:before="50"/>
              <w:ind w:right="76"/>
              <w:jc w:val="right"/>
              <w:rPr>
                <w:sz w:val="18"/>
              </w:rPr>
            </w:pPr>
            <w:r>
              <w:rPr>
                <w:sz w:val="18"/>
              </w:rPr>
              <w:t>9.00</w:t>
            </w:r>
          </w:p>
        </w:tc>
        <w:tc>
          <w:tcPr>
            <w:tcW w:w="1134" w:type="dxa"/>
            <w:tcBorders>
              <w:bottom w:val="single" w:sz="4" w:space="0" w:color="auto"/>
            </w:tcBorders>
          </w:tcPr>
          <w:p>
            <w:pPr>
              <w:pStyle w:val="yTable"/>
              <w:keepNext/>
              <w:keepLines/>
              <w:spacing w:before="50"/>
              <w:ind w:right="76"/>
              <w:jc w:val="right"/>
              <w:rPr>
                <w:sz w:val="18"/>
              </w:rPr>
            </w:pPr>
            <w:r>
              <w:rPr>
                <w:sz w:val="18"/>
              </w:rPr>
              <w:t>18.00</w:t>
            </w:r>
          </w:p>
        </w:tc>
      </w:tr>
    </w:tbl>
    <w:p>
      <w:pPr>
        <w:pStyle w:val="yFootnotesection"/>
        <w:spacing w:before="100"/>
      </w:pPr>
      <w:r>
        <w:tab/>
        <w:t>[Schedule 1A inserted in Gazette 10 Feb 2006 p. 663-4.]</w:t>
      </w:r>
    </w:p>
    <w:p>
      <w:pPr>
        <w:pStyle w:val="yScheduleHeading"/>
      </w:pPr>
      <w:bookmarkStart w:id="336" w:name="_Toc129672947"/>
      <w:bookmarkStart w:id="337" w:name="_Toc129673049"/>
      <w:bookmarkStart w:id="338" w:name="_Toc129673098"/>
      <w:bookmarkStart w:id="339" w:name="_Toc129673147"/>
      <w:bookmarkStart w:id="340" w:name="_Toc140976775"/>
      <w:bookmarkStart w:id="341" w:name="_Toc140983826"/>
      <w:bookmarkStart w:id="342" w:name="_Toc141751652"/>
      <w:bookmarkStart w:id="343" w:name="_Toc141763681"/>
      <w:bookmarkStart w:id="344" w:name="_Toc144543487"/>
      <w:bookmarkStart w:id="345" w:name="_Toc147222828"/>
      <w:bookmarkStart w:id="346" w:name="_Toc147289006"/>
      <w:r>
        <w:rPr>
          <w:rStyle w:val="CharSchNo"/>
        </w:rPr>
        <w:t>Schedule 2</w:t>
      </w:r>
      <w:bookmarkEnd w:id="301"/>
      <w:bookmarkEnd w:id="336"/>
      <w:bookmarkEnd w:id="337"/>
      <w:bookmarkEnd w:id="338"/>
      <w:bookmarkEnd w:id="339"/>
      <w:bookmarkEnd w:id="340"/>
      <w:bookmarkEnd w:id="341"/>
      <w:bookmarkEnd w:id="342"/>
      <w:bookmarkEnd w:id="343"/>
      <w:bookmarkEnd w:id="344"/>
      <w:bookmarkEnd w:id="345"/>
      <w:bookmarkEnd w:id="346"/>
    </w:p>
    <w:p>
      <w:pPr>
        <w:pStyle w:val="yHeading2"/>
        <w:spacing w:before="160"/>
      </w:pPr>
      <w:bookmarkStart w:id="347" w:name="_Toc5072019"/>
      <w:bookmarkStart w:id="348" w:name="_Toc10539414"/>
      <w:bookmarkStart w:id="349" w:name="_Toc129672948"/>
      <w:bookmarkStart w:id="350" w:name="_Toc129673050"/>
      <w:bookmarkStart w:id="351" w:name="_Toc129673099"/>
      <w:bookmarkStart w:id="352" w:name="_Toc129673148"/>
      <w:bookmarkStart w:id="353" w:name="_Toc140976776"/>
      <w:bookmarkStart w:id="354" w:name="_Toc141751653"/>
      <w:bookmarkStart w:id="355" w:name="_Toc141763682"/>
      <w:bookmarkStart w:id="356" w:name="_Toc144543488"/>
      <w:bookmarkStart w:id="357" w:name="_Toc147222829"/>
      <w:bookmarkStart w:id="358" w:name="_Toc147289007"/>
      <w:r>
        <w:rPr>
          <w:rStyle w:val="CharSchText"/>
        </w:rPr>
        <w:t>System entry prize schedule</w:t>
      </w:r>
      <w:bookmarkEnd w:id="347"/>
      <w:bookmarkEnd w:id="348"/>
      <w:bookmarkEnd w:id="349"/>
      <w:bookmarkEnd w:id="350"/>
      <w:bookmarkEnd w:id="351"/>
      <w:bookmarkEnd w:id="352"/>
      <w:bookmarkEnd w:id="353"/>
      <w:bookmarkEnd w:id="354"/>
      <w:bookmarkEnd w:id="355"/>
      <w:bookmarkEnd w:id="356"/>
      <w:bookmarkEnd w:id="357"/>
      <w:bookmarkEnd w:id="358"/>
    </w:p>
    <w:p>
      <w:pPr>
        <w:pStyle w:val="yShoulderClause"/>
        <w:spacing w:before="80" w:after="60"/>
        <w:rPr>
          <w:snapToGrid w:val="0"/>
        </w:rPr>
      </w:pPr>
      <w:r>
        <w:rPr>
          <w:snapToGrid w:val="0"/>
        </w:rPr>
        <w:t>[Rule 21(2)]</w:t>
      </w:r>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359"/>
        <w:gridCol w:w="358"/>
        <w:gridCol w:w="359"/>
        <w:gridCol w:w="358"/>
        <w:gridCol w:w="359"/>
        <w:gridCol w:w="358"/>
        <w:gridCol w:w="326"/>
        <w:gridCol w:w="33"/>
        <w:gridCol w:w="358"/>
        <w:gridCol w:w="359"/>
        <w:gridCol w:w="358"/>
        <w:gridCol w:w="359"/>
        <w:gridCol w:w="358"/>
        <w:gridCol w:w="359"/>
        <w:gridCol w:w="358"/>
        <w:gridCol w:w="359"/>
        <w:gridCol w:w="359"/>
      </w:tblGrid>
      <w:tr>
        <w:trPr>
          <w:trHeight w:val="275"/>
          <w:tblHeader/>
        </w:trPr>
        <w:tc>
          <w:tcPr>
            <w:tcW w:w="993" w:type="dxa"/>
          </w:tcPr>
          <w:p>
            <w:pPr>
              <w:pStyle w:val="yTable"/>
              <w:spacing w:line="160" w:lineRule="atLeast"/>
              <w:rPr>
                <w:b/>
                <w:bCs/>
                <w:spacing w:val="-2"/>
                <w:sz w:val="13"/>
              </w:rPr>
            </w:pPr>
          </w:p>
        </w:tc>
        <w:tc>
          <w:tcPr>
            <w:tcW w:w="2835" w:type="dxa"/>
            <w:gridSpan w:val="8"/>
          </w:tcPr>
          <w:p>
            <w:pPr>
              <w:pStyle w:val="yTable"/>
              <w:spacing w:line="160" w:lineRule="atLeast"/>
              <w:rPr>
                <w:b/>
                <w:bCs/>
                <w:spacing w:val="-2"/>
                <w:sz w:val="13"/>
              </w:rPr>
            </w:pPr>
          </w:p>
        </w:tc>
        <w:tc>
          <w:tcPr>
            <w:tcW w:w="3260" w:type="dxa"/>
            <w:gridSpan w:val="10"/>
          </w:tcPr>
          <w:p>
            <w:pPr>
              <w:pStyle w:val="yTable"/>
              <w:spacing w:line="160" w:lineRule="atLeast"/>
              <w:rPr>
                <w:b/>
                <w:bCs/>
                <w:spacing w:val="-2"/>
                <w:sz w:val="13"/>
              </w:rPr>
            </w:pPr>
            <w:r>
              <w:rPr>
                <w:b/>
                <w:bCs/>
                <w:spacing w:val="-2"/>
                <w:sz w:val="13"/>
              </w:rPr>
              <w:t>NUMBER OF PRIZES</w:t>
            </w:r>
          </w:p>
        </w:tc>
      </w:tr>
      <w:tr>
        <w:trPr>
          <w:trHeight w:val="275"/>
          <w:tblHeader/>
        </w:trPr>
        <w:tc>
          <w:tcPr>
            <w:tcW w:w="993" w:type="dxa"/>
          </w:tcPr>
          <w:p>
            <w:pPr>
              <w:pStyle w:val="yTable"/>
              <w:spacing w:line="160" w:lineRule="atLeast"/>
              <w:ind w:left="-108"/>
              <w:rPr>
                <w:b/>
                <w:bCs/>
                <w:spacing w:val="-2"/>
                <w:sz w:val="13"/>
              </w:rPr>
            </w:pPr>
            <w:r>
              <w:rPr>
                <w:b/>
                <w:bCs/>
                <w:spacing w:val="-2"/>
                <w:sz w:val="13"/>
              </w:rPr>
              <w:t xml:space="preserve">WINNING </w:t>
            </w:r>
          </w:p>
          <w:p>
            <w:pPr>
              <w:pStyle w:val="yTable"/>
              <w:spacing w:before="0" w:line="160" w:lineRule="atLeast"/>
              <w:ind w:left="-108"/>
              <w:rPr>
                <w:b/>
                <w:bCs/>
                <w:spacing w:val="-2"/>
                <w:sz w:val="13"/>
              </w:rPr>
            </w:pPr>
            <w:r>
              <w:rPr>
                <w:b/>
                <w:bCs/>
                <w:spacing w:val="-2"/>
                <w:sz w:val="13"/>
              </w:rPr>
              <w:t>NUMBERS</w:t>
            </w:r>
          </w:p>
        </w:tc>
        <w:tc>
          <w:tcPr>
            <w:tcW w:w="2835" w:type="dxa"/>
            <w:gridSpan w:val="8"/>
          </w:tcPr>
          <w:p>
            <w:pPr>
              <w:pStyle w:val="yTable"/>
              <w:spacing w:line="160" w:lineRule="atLeast"/>
              <w:ind w:left="-108"/>
              <w:rPr>
                <w:b/>
                <w:bCs/>
                <w:spacing w:val="-2"/>
                <w:sz w:val="13"/>
              </w:rPr>
            </w:pPr>
            <w:r>
              <w:rPr>
                <w:b/>
                <w:bCs/>
                <w:spacing w:val="-2"/>
                <w:sz w:val="13"/>
              </w:rPr>
              <w:t xml:space="preserve">PRIZE TAKE </w:t>
            </w:r>
          </w:p>
          <w:p>
            <w:pPr>
              <w:pStyle w:val="yTable"/>
              <w:spacing w:before="0" w:line="160" w:lineRule="atLeast"/>
              <w:ind w:left="-108"/>
              <w:rPr>
                <w:b/>
                <w:bCs/>
                <w:spacing w:val="-2"/>
                <w:sz w:val="13"/>
              </w:rPr>
            </w:pPr>
            <w:r>
              <w:rPr>
                <w:b/>
                <w:bCs/>
                <w:spacing w:val="-2"/>
                <w:sz w:val="13"/>
              </w:rPr>
              <w:t>DIVISIONS</w:t>
            </w:r>
          </w:p>
        </w:tc>
        <w:tc>
          <w:tcPr>
            <w:tcW w:w="3260" w:type="dxa"/>
            <w:gridSpan w:val="10"/>
          </w:tcPr>
          <w:p>
            <w:pPr>
              <w:pStyle w:val="yTable"/>
              <w:spacing w:line="160" w:lineRule="atLeast"/>
              <w:rPr>
                <w:b/>
                <w:bCs/>
                <w:spacing w:val="-2"/>
                <w:sz w:val="13"/>
              </w:rPr>
            </w:pPr>
            <w:r>
              <w:rPr>
                <w:b/>
                <w:bCs/>
                <w:spacing w:val="-2"/>
                <w:sz w:val="13"/>
              </w:rPr>
              <w:t>SYSTEMS</w:t>
            </w:r>
          </w:p>
        </w:tc>
      </w:tr>
      <w:tr>
        <w:tblPrEx>
          <w:tblCellMar>
            <w:left w:w="0" w:type="dxa"/>
            <w:right w:w="0" w:type="dxa"/>
          </w:tblCellMar>
        </w:tblPrEx>
        <w:trPr>
          <w:tblHeader/>
        </w:trPr>
        <w:tc>
          <w:tcPr>
            <w:tcW w:w="993" w:type="dxa"/>
          </w:tcPr>
          <w:p>
            <w:pPr>
              <w:pStyle w:val="yTable"/>
              <w:spacing w:line="120" w:lineRule="atLeast"/>
              <w:rPr>
                <w:b/>
                <w:bCs/>
                <w:spacing w:val="-2"/>
                <w:sz w:val="13"/>
              </w:rPr>
            </w:pPr>
            <w:r>
              <w:rPr>
                <w:b/>
                <w:bCs/>
                <w:spacing w:val="-2"/>
                <w:sz w:val="13"/>
              </w:rPr>
              <w:fldChar w:fldCharType="begin"/>
            </w:r>
            <w:r>
              <w:rPr>
                <w:b/>
                <w:bCs/>
                <w:spacing w:val="-2"/>
                <w:sz w:val="13"/>
              </w:rPr>
              <w:instrText>ADVANCE \D 2.80</w:instrText>
            </w:r>
            <w:r>
              <w:rPr>
                <w:b/>
                <w:bCs/>
                <w:spacing w:val="-2"/>
                <w:sz w:val="13"/>
              </w:rPr>
              <w:fldChar w:fldCharType="end"/>
            </w:r>
          </w:p>
        </w:tc>
        <w:tc>
          <w:tcPr>
            <w:tcW w:w="358" w:type="dxa"/>
            <w:tcBorders>
              <w:top w:val="single" w:sz="4" w:space="0" w:color="auto"/>
              <w:bottom w:val="nil"/>
            </w:tcBorders>
          </w:tcPr>
          <w:p>
            <w:pPr>
              <w:pStyle w:val="yTable"/>
              <w:spacing w:line="120" w:lineRule="atLeast"/>
              <w:rPr>
                <w:b/>
                <w:bCs/>
                <w:spacing w:val="-2"/>
                <w:sz w:val="13"/>
              </w:rPr>
            </w:pP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5</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4</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7</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8</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9</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10</w:t>
            </w:r>
          </w:p>
        </w:tc>
        <w:tc>
          <w:tcPr>
            <w:tcW w:w="359" w:type="dxa"/>
            <w:gridSpan w:val="2"/>
            <w:tcBorders>
              <w:top w:val="single" w:sz="4" w:space="0" w:color="auto"/>
              <w:bottom w:val="nil"/>
            </w:tcBorders>
          </w:tcPr>
          <w:p>
            <w:pPr>
              <w:pStyle w:val="yTable"/>
              <w:spacing w:line="120" w:lineRule="atLeast"/>
              <w:rPr>
                <w:b/>
                <w:bCs/>
                <w:spacing w:val="-2"/>
                <w:sz w:val="13"/>
              </w:rPr>
            </w:pPr>
            <w:r>
              <w:rPr>
                <w:b/>
                <w:bCs/>
                <w:spacing w:val="-2"/>
                <w:sz w:val="13"/>
              </w:rPr>
              <w:t>11</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12</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13</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14</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15</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16</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17</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18</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19</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20</w:t>
            </w:r>
          </w:p>
        </w:tc>
      </w:tr>
      <w:tr>
        <w:tblPrEx>
          <w:tblCellMar>
            <w:left w:w="0" w:type="dxa"/>
            <w:right w:w="0" w:type="dxa"/>
          </w:tblCellMar>
        </w:tblPrEx>
        <w:tc>
          <w:tcPr>
            <w:tcW w:w="993" w:type="dxa"/>
            <w:tcBorders>
              <w:top w:val="nil"/>
            </w:tcBorders>
          </w:tcPr>
          <w:p>
            <w:pPr>
              <w:pStyle w:val="yTable"/>
              <w:spacing w:line="120" w:lineRule="atLeast"/>
              <w:rPr>
                <w:spacing w:val="-2"/>
                <w:sz w:val="13"/>
              </w:rPr>
            </w:pPr>
            <w:r>
              <w:rPr>
                <w:spacing w:val="-2"/>
                <w:sz w:val="13"/>
              </w:rPr>
              <w:t>Six and two</w:t>
            </w:r>
          </w:p>
          <w:p>
            <w:pPr>
              <w:pStyle w:val="yTable"/>
              <w:spacing w:before="0" w:line="120" w:lineRule="atLeast"/>
              <w:rPr>
                <w:spacing w:val="-2"/>
                <w:sz w:val="13"/>
              </w:rPr>
            </w:pPr>
            <w:r>
              <w:rPr>
                <w:spacing w:val="-2"/>
                <w:sz w:val="13"/>
              </w:rPr>
              <w:t>supplementaries</w:t>
            </w: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gridSpan w:val="2"/>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18</w:t>
            </w:r>
          </w:p>
        </w:tc>
        <w:tc>
          <w:tcPr>
            <w:tcW w:w="358" w:type="dxa"/>
          </w:tcPr>
          <w:p>
            <w:pPr>
              <w:pStyle w:val="yTable"/>
              <w:spacing w:before="0" w:line="120" w:lineRule="atLeast"/>
              <w:rPr>
                <w:spacing w:val="-2"/>
                <w:sz w:val="13"/>
              </w:rPr>
            </w:pPr>
            <w:r>
              <w:rPr>
                <w:spacing w:val="-2"/>
                <w:sz w:val="13"/>
              </w:rPr>
              <w:t>24</w:t>
            </w:r>
          </w:p>
        </w:tc>
        <w:tc>
          <w:tcPr>
            <w:tcW w:w="359" w:type="dxa"/>
          </w:tcPr>
          <w:p>
            <w:pPr>
              <w:pStyle w:val="yTable"/>
              <w:spacing w:before="0" w:line="120" w:lineRule="atLeast"/>
              <w:rPr>
                <w:spacing w:val="-2"/>
                <w:sz w:val="13"/>
              </w:rPr>
            </w:pPr>
            <w:r>
              <w:rPr>
                <w:spacing w:val="-2"/>
                <w:sz w:val="13"/>
              </w:rPr>
              <w:t>30</w:t>
            </w:r>
          </w:p>
        </w:tc>
        <w:tc>
          <w:tcPr>
            <w:tcW w:w="358" w:type="dxa"/>
          </w:tcPr>
          <w:p>
            <w:pPr>
              <w:pStyle w:val="yTable"/>
              <w:spacing w:before="0" w:line="120" w:lineRule="atLeast"/>
              <w:rPr>
                <w:spacing w:val="-2"/>
                <w:sz w:val="13"/>
              </w:rPr>
            </w:pPr>
            <w:r>
              <w:rPr>
                <w:spacing w:val="-2"/>
                <w:sz w:val="13"/>
              </w:rPr>
              <w:t>36</w:t>
            </w:r>
          </w:p>
        </w:tc>
        <w:tc>
          <w:tcPr>
            <w:tcW w:w="359" w:type="dxa"/>
          </w:tcPr>
          <w:p>
            <w:pPr>
              <w:pStyle w:val="yTable"/>
              <w:spacing w:before="0" w:line="120" w:lineRule="atLeast"/>
              <w:rPr>
                <w:spacing w:val="-2"/>
                <w:sz w:val="13"/>
              </w:rPr>
            </w:pPr>
            <w:r>
              <w:rPr>
                <w:spacing w:val="-2"/>
                <w:sz w:val="13"/>
              </w:rPr>
              <w:t>42</w:t>
            </w:r>
          </w:p>
        </w:tc>
        <w:tc>
          <w:tcPr>
            <w:tcW w:w="358" w:type="dxa"/>
          </w:tcPr>
          <w:p>
            <w:pPr>
              <w:pStyle w:val="yTable"/>
              <w:spacing w:before="0" w:line="120" w:lineRule="atLeast"/>
              <w:rPr>
                <w:spacing w:val="-2"/>
                <w:sz w:val="13"/>
              </w:rPr>
            </w:pPr>
            <w:r>
              <w:rPr>
                <w:spacing w:val="-2"/>
                <w:sz w:val="13"/>
              </w:rPr>
              <w:t>48</w:t>
            </w:r>
          </w:p>
        </w:tc>
        <w:tc>
          <w:tcPr>
            <w:tcW w:w="359" w:type="dxa"/>
          </w:tcPr>
          <w:p>
            <w:pPr>
              <w:pStyle w:val="yTable"/>
              <w:spacing w:before="0" w:line="120" w:lineRule="atLeast"/>
              <w:rPr>
                <w:spacing w:val="-2"/>
                <w:sz w:val="13"/>
              </w:rPr>
            </w:pPr>
            <w:r>
              <w:rPr>
                <w:spacing w:val="-2"/>
                <w:sz w:val="13"/>
              </w:rPr>
              <w:t>54</w:t>
            </w:r>
          </w:p>
        </w:tc>
        <w:tc>
          <w:tcPr>
            <w:tcW w:w="358" w:type="dxa"/>
          </w:tcPr>
          <w:p>
            <w:pPr>
              <w:pStyle w:val="yTable"/>
              <w:spacing w:before="0" w:line="120" w:lineRule="atLeast"/>
              <w:rPr>
                <w:spacing w:val="-2"/>
                <w:sz w:val="13"/>
              </w:rPr>
            </w:pPr>
            <w:r>
              <w:rPr>
                <w:spacing w:val="-2"/>
                <w:sz w:val="13"/>
              </w:rPr>
              <w:t>60</w:t>
            </w:r>
          </w:p>
        </w:tc>
        <w:tc>
          <w:tcPr>
            <w:tcW w:w="359"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80</w:t>
            </w:r>
          </w:p>
        </w:tc>
        <w:tc>
          <w:tcPr>
            <w:tcW w:w="359" w:type="dxa"/>
            <w:gridSpan w:val="2"/>
          </w:tcPr>
          <w:p>
            <w:pPr>
              <w:pStyle w:val="yTable"/>
              <w:spacing w:before="0" w:line="120" w:lineRule="atLeast"/>
              <w:rPr>
                <w:spacing w:val="-2"/>
                <w:sz w:val="13"/>
              </w:rPr>
            </w:pPr>
            <w:r>
              <w:rPr>
                <w:spacing w:val="-2"/>
                <w:sz w:val="13"/>
              </w:rPr>
              <w:t>180</w:t>
            </w:r>
          </w:p>
        </w:tc>
        <w:tc>
          <w:tcPr>
            <w:tcW w:w="358" w:type="dxa"/>
          </w:tcPr>
          <w:p>
            <w:pPr>
              <w:pStyle w:val="yTable"/>
              <w:spacing w:before="0" w:line="120" w:lineRule="atLeast"/>
              <w:rPr>
                <w:spacing w:val="-2"/>
                <w:sz w:val="13"/>
              </w:rPr>
            </w:pPr>
            <w:r>
              <w:rPr>
                <w:spacing w:val="-2"/>
                <w:sz w:val="13"/>
              </w:rPr>
              <w:t>320</w:t>
            </w:r>
          </w:p>
        </w:tc>
        <w:tc>
          <w:tcPr>
            <w:tcW w:w="359" w:type="dxa"/>
          </w:tcPr>
          <w:p>
            <w:pPr>
              <w:pStyle w:val="yTable"/>
              <w:spacing w:before="0" w:line="120" w:lineRule="atLeast"/>
              <w:rPr>
                <w:spacing w:val="-2"/>
                <w:sz w:val="13"/>
              </w:rPr>
            </w:pPr>
            <w:r>
              <w:rPr>
                <w:spacing w:val="-2"/>
                <w:sz w:val="13"/>
              </w:rPr>
              <w:t>500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980</w:t>
            </w:r>
          </w:p>
        </w:tc>
        <w:tc>
          <w:tcPr>
            <w:tcW w:w="358" w:type="dxa"/>
          </w:tcPr>
          <w:p>
            <w:pPr>
              <w:pStyle w:val="yTable"/>
              <w:spacing w:before="0" w:line="120" w:lineRule="atLeast"/>
              <w:rPr>
                <w:spacing w:val="-2"/>
                <w:sz w:val="13"/>
              </w:rPr>
            </w:pPr>
            <w:r>
              <w:rPr>
                <w:spacing w:val="-2"/>
                <w:sz w:val="13"/>
              </w:rPr>
              <w:t>1280</w:t>
            </w:r>
          </w:p>
        </w:tc>
        <w:tc>
          <w:tcPr>
            <w:tcW w:w="359" w:type="dxa"/>
          </w:tcPr>
          <w:p>
            <w:pPr>
              <w:pStyle w:val="yTable"/>
              <w:spacing w:before="0" w:line="120" w:lineRule="atLeast"/>
              <w:rPr>
                <w:spacing w:val="-2"/>
                <w:sz w:val="13"/>
              </w:rPr>
            </w:pPr>
            <w:r>
              <w:rPr>
                <w:spacing w:val="-2"/>
                <w:sz w:val="13"/>
              </w:rPr>
              <w:t>1620</w:t>
            </w:r>
          </w:p>
        </w:tc>
        <w:tc>
          <w:tcPr>
            <w:tcW w:w="358" w:type="dxa"/>
          </w:tcPr>
          <w:p>
            <w:pPr>
              <w:pStyle w:val="yTable"/>
              <w:spacing w:before="0" w:line="120" w:lineRule="atLeast"/>
              <w:rPr>
                <w:spacing w:val="-2"/>
                <w:sz w:val="13"/>
              </w:rPr>
            </w:pPr>
            <w:r>
              <w:rPr>
                <w:spacing w:val="-2"/>
                <w:sz w:val="13"/>
              </w:rPr>
              <w:t>2000</w:t>
            </w:r>
          </w:p>
        </w:tc>
        <w:tc>
          <w:tcPr>
            <w:tcW w:w="359" w:type="dxa"/>
          </w:tcPr>
          <w:p>
            <w:pPr>
              <w:pStyle w:val="yTable"/>
              <w:spacing w:before="0" w:line="120" w:lineRule="atLeast"/>
              <w:rPr>
                <w:spacing w:val="-2"/>
                <w:sz w:val="13"/>
              </w:rPr>
            </w:pPr>
            <w:r>
              <w:rPr>
                <w:spacing w:val="-2"/>
                <w:sz w:val="13"/>
              </w:rPr>
              <w:t>2420</w:t>
            </w:r>
          </w:p>
        </w:tc>
        <w:tc>
          <w:tcPr>
            <w:tcW w:w="359" w:type="dxa"/>
          </w:tcPr>
          <w:p>
            <w:pPr>
              <w:pStyle w:val="yTable"/>
              <w:spacing w:before="0" w:line="120" w:lineRule="atLeast"/>
              <w:rPr>
                <w:spacing w:val="-2"/>
                <w:sz w:val="13"/>
              </w:rPr>
            </w:pPr>
            <w:r>
              <w:rPr>
                <w:spacing w:val="-2"/>
                <w:sz w:val="13"/>
              </w:rPr>
              <w:t>2880</w:t>
            </w:r>
          </w:p>
        </w:tc>
      </w:tr>
      <w:tr>
        <w:tblPrEx>
          <w:tblCellMar>
            <w:left w:w="0" w:type="dxa"/>
            <w:right w:w="0" w:type="dxa"/>
          </w:tblCellMar>
        </w:tblPrEx>
        <w:tc>
          <w:tcPr>
            <w:tcW w:w="993" w:type="dxa"/>
          </w:tcPr>
          <w:p>
            <w:pPr>
              <w:pStyle w:val="yTable"/>
              <w:spacing w:line="120" w:lineRule="atLeast"/>
              <w:rPr>
                <w:spacing w:val="-2"/>
                <w:sz w:val="13"/>
              </w:rPr>
            </w:pPr>
            <w:r>
              <w:rPr>
                <w:spacing w:val="-2"/>
                <w:sz w:val="13"/>
              </w:rPr>
              <w:t>Six and one</w:t>
            </w:r>
          </w:p>
          <w:p>
            <w:pPr>
              <w:pStyle w:val="yTable"/>
              <w:spacing w:before="0" w:line="120" w:lineRule="atLeast"/>
              <w:rPr>
                <w:spacing w:val="-2"/>
                <w:sz w:val="13"/>
              </w:rPr>
            </w:pPr>
            <w:r>
              <w:rPr>
                <w:spacing w:val="-2"/>
                <w:sz w:val="13"/>
              </w:rPr>
              <w:t>supplementary</w:t>
            </w: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gridSpan w:val="2"/>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9" w:type="dxa"/>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gridSpan w:val="2"/>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18</w:t>
            </w:r>
          </w:p>
        </w:tc>
        <w:tc>
          <w:tcPr>
            <w:tcW w:w="359" w:type="dxa"/>
            <w:gridSpan w:val="2"/>
          </w:tcPr>
          <w:p>
            <w:pPr>
              <w:pStyle w:val="yTable"/>
              <w:spacing w:before="0" w:line="120" w:lineRule="atLeast"/>
              <w:rPr>
                <w:spacing w:val="-2"/>
                <w:sz w:val="13"/>
              </w:rPr>
            </w:pPr>
            <w:r>
              <w:rPr>
                <w:spacing w:val="-2"/>
                <w:sz w:val="13"/>
              </w:rPr>
              <w:t>24</w:t>
            </w:r>
          </w:p>
        </w:tc>
        <w:tc>
          <w:tcPr>
            <w:tcW w:w="358" w:type="dxa"/>
          </w:tcPr>
          <w:p>
            <w:pPr>
              <w:pStyle w:val="yTable"/>
              <w:spacing w:before="0" w:line="120" w:lineRule="atLeast"/>
              <w:rPr>
                <w:spacing w:val="-2"/>
                <w:sz w:val="13"/>
              </w:rPr>
            </w:pPr>
            <w:r>
              <w:rPr>
                <w:spacing w:val="-2"/>
                <w:sz w:val="13"/>
              </w:rPr>
              <w:t>30</w:t>
            </w:r>
          </w:p>
        </w:tc>
        <w:tc>
          <w:tcPr>
            <w:tcW w:w="359" w:type="dxa"/>
          </w:tcPr>
          <w:p>
            <w:pPr>
              <w:pStyle w:val="yTable"/>
              <w:spacing w:before="0" w:line="120" w:lineRule="atLeast"/>
              <w:rPr>
                <w:spacing w:val="-2"/>
                <w:sz w:val="13"/>
              </w:rPr>
            </w:pPr>
            <w:r>
              <w:rPr>
                <w:spacing w:val="-2"/>
                <w:sz w:val="13"/>
              </w:rPr>
              <w:t>36</w:t>
            </w:r>
          </w:p>
        </w:tc>
        <w:tc>
          <w:tcPr>
            <w:tcW w:w="358" w:type="dxa"/>
          </w:tcPr>
          <w:p>
            <w:pPr>
              <w:pStyle w:val="yTable"/>
              <w:spacing w:before="0" w:line="120" w:lineRule="atLeast"/>
              <w:rPr>
                <w:spacing w:val="-2"/>
                <w:sz w:val="13"/>
              </w:rPr>
            </w:pPr>
            <w:r>
              <w:rPr>
                <w:spacing w:val="-2"/>
                <w:sz w:val="13"/>
              </w:rPr>
              <w:t>42</w:t>
            </w:r>
          </w:p>
        </w:tc>
        <w:tc>
          <w:tcPr>
            <w:tcW w:w="359" w:type="dxa"/>
          </w:tcPr>
          <w:p>
            <w:pPr>
              <w:pStyle w:val="yTable"/>
              <w:spacing w:before="0" w:line="120" w:lineRule="atLeast"/>
              <w:rPr>
                <w:spacing w:val="-2"/>
                <w:sz w:val="13"/>
              </w:rPr>
            </w:pPr>
            <w:r>
              <w:rPr>
                <w:spacing w:val="-2"/>
                <w:sz w:val="13"/>
              </w:rPr>
              <w:t>48</w:t>
            </w:r>
          </w:p>
        </w:tc>
        <w:tc>
          <w:tcPr>
            <w:tcW w:w="358" w:type="dxa"/>
          </w:tcPr>
          <w:p>
            <w:pPr>
              <w:pStyle w:val="yTable"/>
              <w:spacing w:before="0" w:line="120" w:lineRule="atLeast"/>
              <w:rPr>
                <w:spacing w:val="-2"/>
                <w:sz w:val="13"/>
              </w:rPr>
            </w:pPr>
            <w:r>
              <w:rPr>
                <w:spacing w:val="-2"/>
                <w:sz w:val="13"/>
              </w:rPr>
              <w:t>54</w:t>
            </w:r>
          </w:p>
        </w:tc>
        <w:tc>
          <w:tcPr>
            <w:tcW w:w="359" w:type="dxa"/>
          </w:tcPr>
          <w:p>
            <w:pPr>
              <w:pStyle w:val="yTable"/>
              <w:spacing w:before="0" w:line="120" w:lineRule="atLeast"/>
              <w:rPr>
                <w:spacing w:val="-2"/>
                <w:sz w:val="13"/>
              </w:rPr>
            </w:pPr>
            <w:r>
              <w:rPr>
                <w:spacing w:val="-2"/>
                <w:sz w:val="13"/>
              </w:rPr>
              <w:t>60</w:t>
            </w:r>
          </w:p>
        </w:tc>
        <w:tc>
          <w:tcPr>
            <w:tcW w:w="358"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c>
          <w:tcPr>
            <w:tcW w:w="359" w:type="dxa"/>
          </w:tcPr>
          <w:p>
            <w:pPr>
              <w:pStyle w:val="yTable"/>
              <w:spacing w:before="0" w:line="120" w:lineRule="atLeast"/>
              <w:rPr>
                <w:spacing w:val="-2"/>
                <w:sz w:val="13"/>
              </w:rPr>
            </w:pPr>
            <w:r>
              <w:rPr>
                <w:spacing w:val="-2"/>
                <w:sz w:val="13"/>
              </w:rPr>
              <w:t>78</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60</w:t>
            </w:r>
          </w:p>
        </w:tc>
        <w:tc>
          <w:tcPr>
            <w:tcW w:w="359" w:type="dxa"/>
            <w:gridSpan w:val="2"/>
          </w:tcPr>
          <w:p>
            <w:pPr>
              <w:pStyle w:val="yTable"/>
              <w:spacing w:before="0" w:line="120" w:lineRule="atLeast"/>
              <w:rPr>
                <w:spacing w:val="-2"/>
                <w:sz w:val="13"/>
              </w:rPr>
            </w:pPr>
            <w:r>
              <w:rPr>
                <w:spacing w:val="-2"/>
                <w:sz w:val="13"/>
              </w:rPr>
              <w:t>120</w:t>
            </w:r>
          </w:p>
        </w:tc>
        <w:tc>
          <w:tcPr>
            <w:tcW w:w="358" w:type="dxa"/>
          </w:tcPr>
          <w:p>
            <w:pPr>
              <w:pStyle w:val="yTable"/>
              <w:spacing w:before="0" w:line="120" w:lineRule="atLeast"/>
              <w:rPr>
                <w:spacing w:val="-2"/>
                <w:sz w:val="13"/>
              </w:rPr>
            </w:pPr>
            <w:r>
              <w:rPr>
                <w:spacing w:val="-2"/>
                <w:sz w:val="13"/>
              </w:rPr>
              <w:t>200</w:t>
            </w:r>
          </w:p>
        </w:tc>
        <w:tc>
          <w:tcPr>
            <w:tcW w:w="359" w:type="dxa"/>
          </w:tcPr>
          <w:p>
            <w:pPr>
              <w:pStyle w:val="yTable"/>
              <w:spacing w:before="0" w:line="120" w:lineRule="atLeast"/>
              <w:rPr>
                <w:spacing w:val="-2"/>
                <w:sz w:val="13"/>
              </w:rPr>
            </w:pPr>
            <w:r>
              <w:rPr>
                <w:spacing w:val="-2"/>
                <w:sz w:val="13"/>
              </w:rPr>
              <w:t>300</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560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900</w:t>
            </w:r>
          </w:p>
        </w:tc>
        <w:tc>
          <w:tcPr>
            <w:tcW w:w="358" w:type="dxa"/>
          </w:tcPr>
          <w:p>
            <w:pPr>
              <w:pStyle w:val="yTable"/>
              <w:spacing w:before="0" w:line="120" w:lineRule="atLeast"/>
              <w:rPr>
                <w:spacing w:val="-2"/>
                <w:sz w:val="13"/>
              </w:rPr>
            </w:pPr>
            <w:r>
              <w:rPr>
                <w:spacing w:val="-2"/>
                <w:sz w:val="13"/>
              </w:rPr>
              <w:t>1100</w:t>
            </w:r>
          </w:p>
        </w:tc>
        <w:tc>
          <w:tcPr>
            <w:tcW w:w="359" w:type="dxa"/>
          </w:tcPr>
          <w:p>
            <w:pPr>
              <w:pStyle w:val="yTable"/>
              <w:spacing w:before="0" w:line="120" w:lineRule="atLeast"/>
              <w:rPr>
                <w:spacing w:val="-2"/>
                <w:sz w:val="13"/>
              </w:rPr>
            </w:pPr>
            <w:r>
              <w:rPr>
                <w:spacing w:val="-2"/>
                <w:sz w:val="13"/>
              </w:rPr>
              <w:t>1320</w:t>
            </w:r>
          </w:p>
        </w:tc>
        <w:tc>
          <w:tcPr>
            <w:tcW w:w="359" w:type="dxa"/>
          </w:tcPr>
          <w:p>
            <w:pPr>
              <w:pStyle w:val="yTable"/>
              <w:spacing w:before="0" w:line="120" w:lineRule="atLeast"/>
              <w:rPr>
                <w:spacing w:val="-2"/>
                <w:sz w:val="13"/>
              </w:rPr>
            </w:pPr>
            <w:r>
              <w:rPr>
                <w:spacing w:val="-2"/>
                <w:sz w:val="13"/>
              </w:rPr>
              <w:t>1560</w:t>
            </w:r>
          </w:p>
        </w:tc>
      </w:tr>
      <w:tr>
        <w:tblPrEx>
          <w:tblCellMar>
            <w:left w:w="0" w:type="dxa"/>
            <w:right w:w="0" w:type="dxa"/>
          </w:tblCellMar>
        </w:tblPrEx>
        <w:tc>
          <w:tcPr>
            <w:tcW w:w="993" w:type="dxa"/>
          </w:tcPr>
          <w:p>
            <w:pPr>
              <w:pStyle w:val="yTable"/>
              <w:spacing w:line="120" w:lineRule="atLeast"/>
              <w:rPr>
                <w:sz w:val="13"/>
              </w:rPr>
            </w:pPr>
            <w:r>
              <w:rPr>
                <w:sz w:val="13"/>
              </w:rPr>
              <w:t>Six</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18</w:t>
            </w:r>
          </w:p>
        </w:tc>
        <w:tc>
          <w:tcPr>
            <w:tcW w:w="358" w:type="dxa"/>
          </w:tcPr>
          <w:p>
            <w:pPr>
              <w:pStyle w:val="yTable"/>
              <w:spacing w:before="0" w:line="120" w:lineRule="atLeast"/>
              <w:rPr>
                <w:sz w:val="13"/>
              </w:rPr>
            </w:pPr>
            <w:r>
              <w:rPr>
                <w:sz w:val="13"/>
              </w:rPr>
              <w:t>24</w:t>
            </w:r>
          </w:p>
        </w:tc>
        <w:tc>
          <w:tcPr>
            <w:tcW w:w="359" w:type="dxa"/>
            <w:gridSpan w:val="2"/>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36</w:t>
            </w:r>
          </w:p>
        </w:tc>
        <w:tc>
          <w:tcPr>
            <w:tcW w:w="359" w:type="dxa"/>
          </w:tcPr>
          <w:p>
            <w:pPr>
              <w:pStyle w:val="yTable"/>
              <w:spacing w:before="0" w:line="120" w:lineRule="atLeast"/>
              <w:rPr>
                <w:sz w:val="13"/>
              </w:rPr>
            </w:pPr>
            <w:r>
              <w:rPr>
                <w:sz w:val="13"/>
              </w:rPr>
              <w:t>42</w:t>
            </w:r>
          </w:p>
        </w:tc>
        <w:tc>
          <w:tcPr>
            <w:tcW w:w="358" w:type="dxa"/>
          </w:tcPr>
          <w:p>
            <w:pPr>
              <w:pStyle w:val="yTable"/>
              <w:spacing w:before="0" w:line="120" w:lineRule="atLeast"/>
              <w:rPr>
                <w:sz w:val="13"/>
              </w:rPr>
            </w:pPr>
            <w:r>
              <w:rPr>
                <w:sz w:val="13"/>
              </w:rPr>
              <w:t>48</w:t>
            </w:r>
          </w:p>
        </w:tc>
        <w:tc>
          <w:tcPr>
            <w:tcW w:w="359" w:type="dxa"/>
          </w:tcPr>
          <w:p>
            <w:pPr>
              <w:pStyle w:val="yTable"/>
              <w:spacing w:before="0" w:line="120" w:lineRule="atLeast"/>
              <w:rPr>
                <w:sz w:val="13"/>
              </w:rPr>
            </w:pPr>
            <w:r>
              <w:rPr>
                <w:sz w:val="13"/>
              </w:rPr>
              <w:t>54</w:t>
            </w:r>
          </w:p>
        </w:tc>
        <w:tc>
          <w:tcPr>
            <w:tcW w:w="358" w:type="dxa"/>
          </w:tcPr>
          <w:p>
            <w:pPr>
              <w:pStyle w:val="yTable"/>
              <w:spacing w:before="0" w:line="120" w:lineRule="atLeast"/>
              <w:rPr>
                <w:sz w:val="13"/>
              </w:rPr>
            </w:pPr>
            <w:r>
              <w:rPr>
                <w:sz w:val="13"/>
              </w:rPr>
              <w:t>60</w:t>
            </w:r>
          </w:p>
        </w:tc>
        <w:tc>
          <w:tcPr>
            <w:tcW w:w="359" w:type="dxa"/>
          </w:tcPr>
          <w:p>
            <w:pPr>
              <w:pStyle w:val="yTable"/>
              <w:spacing w:before="0" w:line="120" w:lineRule="atLeast"/>
              <w:rPr>
                <w:sz w:val="13"/>
              </w:rPr>
            </w:pPr>
            <w:r>
              <w:rPr>
                <w:sz w:val="13"/>
              </w:rPr>
              <w:t>66</w:t>
            </w:r>
          </w:p>
        </w:tc>
        <w:tc>
          <w:tcPr>
            <w:tcW w:w="358" w:type="dxa"/>
          </w:tcPr>
          <w:p>
            <w:pPr>
              <w:pStyle w:val="yTable"/>
              <w:spacing w:before="0" w:line="120" w:lineRule="atLeast"/>
              <w:rPr>
                <w:sz w:val="13"/>
              </w:rPr>
            </w:pPr>
            <w:r>
              <w:rPr>
                <w:sz w:val="13"/>
              </w:rPr>
              <w:t>72</w:t>
            </w:r>
          </w:p>
        </w:tc>
        <w:tc>
          <w:tcPr>
            <w:tcW w:w="359" w:type="dxa"/>
          </w:tcPr>
          <w:p>
            <w:pPr>
              <w:pStyle w:val="yTable"/>
              <w:spacing w:before="0" w:line="120" w:lineRule="atLeast"/>
              <w:rPr>
                <w:sz w:val="13"/>
              </w:rPr>
            </w:pPr>
            <w:r>
              <w:rPr>
                <w:sz w:val="13"/>
              </w:rPr>
              <w:t>78</w:t>
            </w:r>
          </w:p>
        </w:tc>
        <w:tc>
          <w:tcPr>
            <w:tcW w:w="359" w:type="dxa"/>
          </w:tcPr>
          <w:p>
            <w:pPr>
              <w:pStyle w:val="yTable"/>
              <w:spacing w:before="0" w:line="120" w:lineRule="atLeast"/>
              <w:rPr>
                <w:sz w:val="13"/>
              </w:rPr>
            </w:pPr>
            <w:r>
              <w:rPr>
                <w:sz w:val="13"/>
              </w:rPr>
              <w:t>84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45</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150</w:t>
            </w:r>
          </w:p>
        </w:tc>
        <w:tc>
          <w:tcPr>
            <w:tcW w:w="358" w:type="dxa"/>
          </w:tcPr>
          <w:p>
            <w:pPr>
              <w:pStyle w:val="yTable"/>
              <w:spacing w:before="0" w:line="120" w:lineRule="atLeast"/>
              <w:rPr>
                <w:sz w:val="13"/>
              </w:rPr>
            </w:pPr>
            <w:r>
              <w:rPr>
                <w:sz w:val="13"/>
              </w:rPr>
              <w:t>225</w:t>
            </w:r>
          </w:p>
        </w:tc>
        <w:tc>
          <w:tcPr>
            <w:tcW w:w="359" w:type="dxa"/>
          </w:tcPr>
          <w:p>
            <w:pPr>
              <w:pStyle w:val="yTable"/>
              <w:spacing w:before="0" w:line="120" w:lineRule="atLeast"/>
              <w:rPr>
                <w:sz w:val="13"/>
              </w:rPr>
            </w:pPr>
            <w:r>
              <w:rPr>
                <w:sz w:val="13"/>
              </w:rPr>
              <w:t>315</w:t>
            </w:r>
          </w:p>
        </w:tc>
        <w:tc>
          <w:tcPr>
            <w:tcW w:w="358" w:type="dxa"/>
          </w:tcPr>
          <w:p>
            <w:pPr>
              <w:pStyle w:val="yTable"/>
              <w:spacing w:before="0" w:line="120" w:lineRule="atLeast"/>
              <w:rPr>
                <w:sz w:val="13"/>
              </w:rPr>
            </w:pPr>
            <w:r>
              <w:rPr>
                <w:sz w:val="13"/>
              </w:rPr>
              <w:t>420</w:t>
            </w:r>
          </w:p>
        </w:tc>
        <w:tc>
          <w:tcPr>
            <w:tcW w:w="359" w:type="dxa"/>
          </w:tcPr>
          <w:p>
            <w:pPr>
              <w:pStyle w:val="yTable"/>
              <w:spacing w:before="0" w:line="120" w:lineRule="atLeast"/>
              <w:rPr>
                <w:sz w:val="13"/>
              </w:rPr>
            </w:pPr>
            <w:r>
              <w:rPr>
                <w:sz w:val="13"/>
              </w:rPr>
              <w:t>540</w:t>
            </w:r>
          </w:p>
        </w:tc>
        <w:tc>
          <w:tcPr>
            <w:tcW w:w="358" w:type="dxa"/>
          </w:tcPr>
          <w:p>
            <w:pPr>
              <w:pStyle w:val="yTable"/>
              <w:spacing w:before="0" w:line="120" w:lineRule="atLeast"/>
              <w:rPr>
                <w:sz w:val="13"/>
              </w:rPr>
            </w:pPr>
            <w:r>
              <w:rPr>
                <w:sz w:val="13"/>
              </w:rPr>
              <w:t>675</w:t>
            </w:r>
          </w:p>
        </w:tc>
        <w:tc>
          <w:tcPr>
            <w:tcW w:w="359" w:type="dxa"/>
          </w:tcPr>
          <w:p>
            <w:pPr>
              <w:pStyle w:val="yTable"/>
              <w:spacing w:before="0" w:line="120" w:lineRule="atLeast"/>
              <w:rPr>
                <w:sz w:val="13"/>
              </w:rPr>
            </w:pPr>
            <w:r>
              <w:rPr>
                <w:sz w:val="13"/>
              </w:rPr>
              <w:t>825</w:t>
            </w:r>
          </w:p>
        </w:tc>
        <w:tc>
          <w:tcPr>
            <w:tcW w:w="358" w:type="dxa"/>
          </w:tcPr>
          <w:p>
            <w:pPr>
              <w:pStyle w:val="yTable"/>
              <w:spacing w:before="0" w:line="120" w:lineRule="atLeast"/>
              <w:rPr>
                <w:sz w:val="13"/>
              </w:rPr>
            </w:pPr>
            <w:r>
              <w:rPr>
                <w:sz w:val="13"/>
              </w:rPr>
              <w:t>990</w:t>
            </w:r>
          </w:p>
        </w:tc>
        <w:tc>
          <w:tcPr>
            <w:tcW w:w="359" w:type="dxa"/>
          </w:tcPr>
          <w:p>
            <w:pPr>
              <w:pStyle w:val="yTable"/>
              <w:spacing w:before="0" w:line="120" w:lineRule="atLeast"/>
              <w:rPr>
                <w:sz w:val="13"/>
              </w:rPr>
            </w:pPr>
            <w:r>
              <w:rPr>
                <w:sz w:val="13"/>
              </w:rPr>
              <w:t>1170</w:t>
            </w:r>
          </w:p>
        </w:tc>
        <w:tc>
          <w:tcPr>
            <w:tcW w:w="359" w:type="dxa"/>
          </w:tcPr>
          <w:p>
            <w:pPr>
              <w:pStyle w:val="yTable"/>
              <w:spacing w:before="0" w:line="120" w:lineRule="atLeast"/>
              <w:rPr>
                <w:sz w:val="13"/>
              </w:rPr>
            </w:pPr>
            <w:r>
              <w:rPr>
                <w:sz w:val="13"/>
              </w:rPr>
              <w:t>1365</w:t>
            </w:r>
          </w:p>
        </w:tc>
      </w:tr>
      <w:tr>
        <w:tblPrEx>
          <w:tblCellMar>
            <w:left w:w="0" w:type="dxa"/>
            <w:right w:w="0" w:type="dxa"/>
          </w:tblCellMar>
        </w:tblPrEx>
        <w:tc>
          <w:tcPr>
            <w:tcW w:w="993" w:type="dxa"/>
          </w:tcPr>
          <w:p>
            <w:pPr>
              <w:pStyle w:val="yTable"/>
              <w:spacing w:line="120" w:lineRule="atLeast"/>
              <w:rPr>
                <w:sz w:val="13"/>
              </w:rPr>
            </w:pPr>
            <w:r>
              <w:rPr>
                <w:sz w:val="13"/>
              </w:rPr>
              <w:t>Five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gridSpan w:val="2"/>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gridSpan w:val="2"/>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40</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160</w:t>
            </w:r>
          </w:p>
        </w:tc>
        <w:tc>
          <w:tcPr>
            <w:tcW w:w="358" w:type="dxa"/>
          </w:tcPr>
          <w:p>
            <w:pPr>
              <w:pStyle w:val="yTable"/>
              <w:spacing w:before="0" w:line="120" w:lineRule="atLeast"/>
              <w:rPr>
                <w:sz w:val="13"/>
              </w:rPr>
            </w:pPr>
            <w:r>
              <w:rPr>
                <w:sz w:val="13"/>
              </w:rPr>
              <w:t>250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490</w:t>
            </w:r>
          </w:p>
        </w:tc>
        <w:tc>
          <w:tcPr>
            <w:tcW w:w="359" w:type="dxa"/>
          </w:tcPr>
          <w:p>
            <w:pPr>
              <w:pStyle w:val="yTable"/>
              <w:spacing w:before="0" w:line="120" w:lineRule="atLeast"/>
              <w:rPr>
                <w:sz w:val="13"/>
              </w:rPr>
            </w:pPr>
            <w:r>
              <w:rPr>
                <w:sz w:val="13"/>
              </w:rPr>
              <w:t>640</w:t>
            </w:r>
          </w:p>
        </w:tc>
        <w:tc>
          <w:tcPr>
            <w:tcW w:w="358" w:type="dxa"/>
          </w:tcPr>
          <w:p>
            <w:pPr>
              <w:pStyle w:val="yTable"/>
              <w:spacing w:before="0" w:line="120" w:lineRule="atLeast"/>
              <w:rPr>
                <w:sz w:val="13"/>
              </w:rPr>
            </w:pPr>
            <w:r>
              <w:rPr>
                <w:sz w:val="13"/>
              </w:rPr>
              <w:t>810</w:t>
            </w:r>
          </w:p>
        </w:tc>
        <w:tc>
          <w:tcPr>
            <w:tcW w:w="359" w:type="dxa"/>
          </w:tcPr>
          <w:p>
            <w:pPr>
              <w:pStyle w:val="yTable"/>
              <w:spacing w:before="0" w:line="120" w:lineRule="atLeast"/>
              <w:rPr>
                <w:sz w:val="13"/>
              </w:rPr>
            </w:pPr>
            <w:r>
              <w:rPr>
                <w:sz w:val="13"/>
              </w:rPr>
              <w:t>1000</w:t>
            </w:r>
          </w:p>
        </w:tc>
        <w:tc>
          <w:tcPr>
            <w:tcW w:w="358" w:type="dxa"/>
          </w:tcPr>
          <w:p>
            <w:pPr>
              <w:pStyle w:val="yTable"/>
              <w:spacing w:before="0" w:line="120" w:lineRule="atLeast"/>
              <w:rPr>
                <w:sz w:val="13"/>
              </w:rPr>
            </w:pPr>
            <w:r>
              <w:rPr>
                <w:sz w:val="13"/>
              </w:rPr>
              <w:t>1210</w:t>
            </w:r>
          </w:p>
        </w:tc>
        <w:tc>
          <w:tcPr>
            <w:tcW w:w="359" w:type="dxa"/>
          </w:tcPr>
          <w:p>
            <w:pPr>
              <w:pStyle w:val="yTable"/>
              <w:spacing w:before="0" w:line="120" w:lineRule="atLeast"/>
              <w:rPr>
                <w:sz w:val="13"/>
              </w:rPr>
            </w:pPr>
            <w:r>
              <w:rPr>
                <w:sz w:val="13"/>
              </w:rPr>
              <w:t>1440</w:t>
            </w:r>
          </w:p>
        </w:tc>
        <w:tc>
          <w:tcPr>
            <w:tcW w:w="359" w:type="dxa"/>
          </w:tcPr>
          <w:p>
            <w:pPr>
              <w:pStyle w:val="yTable"/>
              <w:spacing w:before="0" w:line="120" w:lineRule="atLeast"/>
              <w:rPr>
                <w:sz w:val="13"/>
              </w:rPr>
            </w:pPr>
            <w:r>
              <w:rPr>
                <w:sz w:val="13"/>
              </w:rPr>
              <w:t>1690</w:t>
            </w:r>
          </w:p>
        </w:tc>
      </w:tr>
      <w:tr>
        <w:tblPrEx>
          <w:tblCellMar>
            <w:left w:w="0" w:type="dxa"/>
            <w:right w:w="0" w:type="dxa"/>
          </w:tblCellMar>
        </w:tblPrEx>
        <w:tc>
          <w:tcPr>
            <w:tcW w:w="993" w:type="dxa"/>
          </w:tcPr>
          <w:p>
            <w:pPr>
              <w:pStyle w:val="yTable"/>
              <w:spacing w:line="120" w:lineRule="atLeast"/>
              <w:rPr>
                <w:sz w:val="13"/>
              </w:rPr>
            </w:pPr>
            <w:r>
              <w:rPr>
                <w:sz w:val="13"/>
              </w:rPr>
              <w:t>Five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4</w:t>
            </w:r>
          </w:p>
        </w:tc>
        <w:tc>
          <w:tcPr>
            <w:tcW w:w="359" w:type="dxa"/>
            <w:gridSpan w:val="2"/>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7</w:t>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t>9</w:t>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11</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60</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150</w:t>
            </w:r>
          </w:p>
        </w:tc>
        <w:tc>
          <w:tcPr>
            <w:tcW w:w="359" w:type="dxa"/>
          </w:tcPr>
          <w:p>
            <w:pPr>
              <w:pStyle w:val="yTable"/>
              <w:spacing w:before="0" w:line="120" w:lineRule="atLeast"/>
              <w:rPr>
                <w:sz w:val="13"/>
              </w:rPr>
            </w:pPr>
            <w:r>
              <w:rPr>
                <w:sz w:val="13"/>
              </w:rPr>
              <w:t>210</w:t>
            </w:r>
          </w:p>
        </w:tc>
        <w:tc>
          <w:tcPr>
            <w:tcW w:w="358" w:type="dxa"/>
          </w:tcPr>
          <w:p>
            <w:pPr>
              <w:pStyle w:val="yTable"/>
              <w:spacing w:before="0" w:line="120" w:lineRule="atLeast"/>
              <w:rPr>
                <w:sz w:val="13"/>
              </w:rPr>
            </w:pPr>
            <w:r>
              <w:rPr>
                <w:sz w:val="13"/>
              </w:rPr>
              <w:t>280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450</w:t>
            </w:r>
          </w:p>
        </w:tc>
        <w:tc>
          <w:tcPr>
            <w:tcW w:w="359" w:type="dxa"/>
          </w:tcPr>
          <w:p>
            <w:pPr>
              <w:pStyle w:val="yTable"/>
              <w:spacing w:before="0" w:line="120" w:lineRule="atLeast"/>
              <w:rPr>
                <w:sz w:val="13"/>
              </w:rPr>
            </w:pPr>
            <w:r>
              <w:rPr>
                <w:sz w:val="13"/>
              </w:rPr>
              <w:t>550</w:t>
            </w:r>
          </w:p>
        </w:tc>
        <w:tc>
          <w:tcPr>
            <w:tcW w:w="358" w:type="dxa"/>
          </w:tcPr>
          <w:p>
            <w:pPr>
              <w:pStyle w:val="yTable"/>
              <w:spacing w:before="0" w:line="120" w:lineRule="atLeast"/>
              <w:rPr>
                <w:sz w:val="13"/>
              </w:rPr>
            </w:pPr>
            <w:r>
              <w:rPr>
                <w:sz w:val="13"/>
              </w:rPr>
              <w:t>660</w:t>
            </w:r>
          </w:p>
        </w:tc>
        <w:tc>
          <w:tcPr>
            <w:tcW w:w="359" w:type="dxa"/>
          </w:tcPr>
          <w:p>
            <w:pPr>
              <w:pStyle w:val="yTable"/>
              <w:spacing w:before="0" w:line="120" w:lineRule="atLeast"/>
              <w:rPr>
                <w:sz w:val="13"/>
              </w:rPr>
            </w:pPr>
            <w:r>
              <w:rPr>
                <w:sz w:val="13"/>
              </w:rPr>
              <w:t>780</w:t>
            </w:r>
          </w:p>
        </w:tc>
        <w:tc>
          <w:tcPr>
            <w:tcW w:w="359" w:type="dxa"/>
          </w:tcPr>
          <w:p>
            <w:pPr>
              <w:pStyle w:val="yTable"/>
              <w:spacing w:before="0" w:line="120" w:lineRule="atLeast"/>
              <w:rPr>
                <w:sz w:val="13"/>
              </w:rPr>
            </w:pPr>
            <w:r>
              <w:rPr>
                <w:sz w:val="13"/>
              </w:rPr>
              <w:t>910</w:t>
            </w:r>
          </w:p>
        </w:tc>
      </w:tr>
      <w:tr>
        <w:tblPrEx>
          <w:tblCellMar>
            <w:left w:w="0" w:type="dxa"/>
            <w:right w:w="0" w:type="dxa"/>
          </w:tblCellMar>
        </w:tblPrEx>
        <w:tc>
          <w:tcPr>
            <w:tcW w:w="993" w:type="dxa"/>
          </w:tcPr>
          <w:p>
            <w:pPr>
              <w:pStyle w:val="yTable"/>
              <w:spacing w:line="120" w:lineRule="atLeast"/>
              <w:rPr>
                <w:sz w:val="13"/>
              </w:rPr>
            </w:pPr>
            <w:r>
              <w:rPr>
                <w:sz w:val="13"/>
              </w:rPr>
              <w:t>Five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gridSpan w:val="2"/>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8"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c>
          <w:tcPr>
            <w:tcW w:w="359" w:type="dxa"/>
          </w:tcPr>
          <w:p>
            <w:pPr>
              <w:pStyle w:val="yTable"/>
              <w:spacing w:before="0" w:line="120" w:lineRule="atLeast"/>
              <w:rPr>
                <w:sz w:val="13"/>
              </w:rPr>
            </w:pPr>
            <w:r>
              <w:rPr>
                <w:sz w:val="13"/>
              </w:rPr>
              <w:t>15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line="120" w:lineRule="atLeast"/>
              <w:rPr>
                <w:sz w:val="13"/>
              </w:rPr>
            </w:pPr>
            <w:r>
              <w:rPr>
                <w:sz w:val="13"/>
              </w:rPr>
              <w:t>Four and two 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16</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64</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196</w:t>
            </w:r>
          </w:p>
        </w:tc>
        <w:tc>
          <w:tcPr>
            <w:tcW w:w="358" w:type="dxa"/>
          </w:tcPr>
          <w:p>
            <w:pPr>
              <w:pStyle w:val="yTable"/>
              <w:spacing w:before="0" w:line="120" w:lineRule="atLeast"/>
              <w:rPr>
                <w:sz w:val="13"/>
              </w:rPr>
            </w:pPr>
            <w:r>
              <w:rPr>
                <w:sz w:val="13"/>
              </w:rPr>
              <w:t>256</w:t>
            </w:r>
          </w:p>
        </w:tc>
        <w:tc>
          <w:tcPr>
            <w:tcW w:w="359" w:type="dxa"/>
          </w:tcPr>
          <w:p>
            <w:pPr>
              <w:pStyle w:val="yTable"/>
              <w:spacing w:before="0" w:line="120" w:lineRule="atLeast"/>
              <w:rPr>
                <w:sz w:val="13"/>
              </w:rPr>
            </w:pPr>
            <w:r>
              <w:rPr>
                <w:sz w:val="13"/>
              </w:rPr>
              <w:t>324</w:t>
            </w:r>
          </w:p>
        </w:tc>
        <w:tc>
          <w:tcPr>
            <w:tcW w:w="358" w:type="dxa"/>
          </w:tcPr>
          <w:p>
            <w:pPr>
              <w:pStyle w:val="yTable"/>
              <w:spacing w:before="0" w:line="120" w:lineRule="atLeast"/>
              <w:rPr>
                <w:sz w:val="13"/>
              </w:rPr>
            </w:pPr>
            <w:r>
              <w:rPr>
                <w:sz w:val="13"/>
              </w:rPr>
              <w:t>400</w:t>
            </w:r>
          </w:p>
        </w:tc>
        <w:tc>
          <w:tcPr>
            <w:tcW w:w="359" w:type="dxa"/>
          </w:tcPr>
          <w:p>
            <w:pPr>
              <w:pStyle w:val="yTable"/>
              <w:spacing w:before="0" w:line="120" w:lineRule="atLeast"/>
              <w:rPr>
                <w:sz w:val="13"/>
              </w:rPr>
            </w:pPr>
            <w:r>
              <w:rPr>
                <w:sz w:val="13"/>
              </w:rPr>
              <w:t>484</w:t>
            </w:r>
          </w:p>
        </w:tc>
        <w:tc>
          <w:tcPr>
            <w:tcW w:w="358" w:type="dxa"/>
          </w:tcPr>
          <w:p>
            <w:pPr>
              <w:pStyle w:val="yTable"/>
              <w:spacing w:before="0" w:line="120" w:lineRule="atLeast"/>
              <w:rPr>
                <w:sz w:val="13"/>
              </w:rPr>
            </w:pPr>
            <w:r>
              <w:rPr>
                <w:sz w:val="13"/>
              </w:rPr>
              <w:t>576</w:t>
            </w:r>
          </w:p>
        </w:tc>
        <w:tc>
          <w:tcPr>
            <w:tcW w:w="359" w:type="dxa"/>
          </w:tcPr>
          <w:p>
            <w:pPr>
              <w:pStyle w:val="yTable"/>
              <w:spacing w:before="0" w:line="120" w:lineRule="atLeast"/>
              <w:rPr>
                <w:sz w:val="13"/>
              </w:rPr>
            </w:pPr>
            <w:r>
              <w:rPr>
                <w:sz w:val="13"/>
              </w:rPr>
              <w:t>676</w:t>
            </w:r>
          </w:p>
        </w:tc>
        <w:tc>
          <w:tcPr>
            <w:tcW w:w="359" w:type="dxa"/>
          </w:tcPr>
          <w:p>
            <w:pPr>
              <w:pStyle w:val="yTable"/>
              <w:spacing w:before="0" w:line="120" w:lineRule="atLeast"/>
              <w:rPr>
                <w:sz w:val="13"/>
              </w:rPr>
            </w:pPr>
            <w:r>
              <w:rPr>
                <w:sz w:val="13"/>
              </w:rPr>
              <w:t>784</w:t>
            </w:r>
          </w:p>
        </w:tc>
      </w:tr>
      <w:tr>
        <w:tblPrEx>
          <w:tblCellMar>
            <w:left w:w="0" w:type="dxa"/>
            <w:right w:w="0" w:type="dxa"/>
          </w:tblCellMar>
        </w:tblPrEx>
        <w:tc>
          <w:tcPr>
            <w:tcW w:w="993" w:type="dxa"/>
          </w:tcPr>
          <w:p>
            <w:pPr>
              <w:pStyle w:val="yTable"/>
              <w:spacing w:line="120" w:lineRule="atLeast"/>
              <w:rPr>
                <w:sz w:val="13"/>
              </w:rPr>
            </w:pPr>
            <w:r>
              <w:rPr>
                <w:sz w:val="13"/>
              </w:rPr>
              <w:t>Four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24</w:t>
            </w:r>
          </w:p>
        </w:tc>
        <w:tc>
          <w:tcPr>
            <w:tcW w:w="358" w:type="dxa"/>
          </w:tcPr>
          <w:p>
            <w:pPr>
              <w:pStyle w:val="yTable"/>
              <w:spacing w:before="0" w:line="120" w:lineRule="atLeast"/>
              <w:rPr>
                <w:sz w:val="13"/>
              </w:rPr>
            </w:pPr>
            <w:r>
              <w:rPr>
                <w:sz w:val="13"/>
              </w:rPr>
              <w:t>40</w:t>
            </w:r>
          </w:p>
        </w:tc>
        <w:tc>
          <w:tcPr>
            <w:tcW w:w="359" w:type="dxa"/>
            <w:gridSpan w:val="2"/>
          </w:tcPr>
          <w:p>
            <w:pPr>
              <w:pStyle w:val="yTable"/>
              <w:spacing w:before="0" w:line="120" w:lineRule="atLeast"/>
              <w:rPr>
                <w:sz w:val="13"/>
              </w:rPr>
            </w:pPr>
            <w:r>
              <w:rPr>
                <w:sz w:val="13"/>
              </w:rPr>
              <w:t>60</w:t>
            </w:r>
          </w:p>
        </w:tc>
        <w:tc>
          <w:tcPr>
            <w:tcW w:w="358" w:type="dxa"/>
          </w:tcPr>
          <w:p>
            <w:pPr>
              <w:pStyle w:val="yTable"/>
              <w:spacing w:before="0" w:line="120" w:lineRule="atLeast"/>
              <w:rPr>
                <w:sz w:val="13"/>
              </w:rPr>
            </w:pPr>
            <w:r>
              <w:rPr>
                <w:sz w:val="13"/>
              </w:rPr>
              <w:t>84</w:t>
            </w:r>
          </w:p>
        </w:tc>
        <w:tc>
          <w:tcPr>
            <w:tcW w:w="359" w:type="dxa"/>
          </w:tcPr>
          <w:p>
            <w:pPr>
              <w:pStyle w:val="yTable"/>
              <w:spacing w:before="0" w:line="120" w:lineRule="atLeast"/>
              <w:rPr>
                <w:sz w:val="13"/>
              </w:rPr>
            </w:pPr>
            <w:r>
              <w:rPr>
                <w:sz w:val="13"/>
              </w:rPr>
              <w:t>112</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180</w:t>
            </w:r>
          </w:p>
        </w:tc>
        <w:tc>
          <w:tcPr>
            <w:tcW w:w="358" w:type="dxa"/>
          </w:tcPr>
          <w:p>
            <w:pPr>
              <w:pStyle w:val="yTable"/>
              <w:spacing w:before="0" w:line="120" w:lineRule="atLeast"/>
              <w:rPr>
                <w:sz w:val="13"/>
              </w:rPr>
            </w:pPr>
            <w:r>
              <w:rPr>
                <w:sz w:val="13"/>
              </w:rPr>
              <w:t>220</w:t>
            </w:r>
          </w:p>
        </w:tc>
        <w:tc>
          <w:tcPr>
            <w:tcW w:w="359" w:type="dxa"/>
          </w:tcPr>
          <w:p>
            <w:pPr>
              <w:pStyle w:val="yTable"/>
              <w:spacing w:before="0" w:line="120" w:lineRule="atLeast"/>
              <w:rPr>
                <w:sz w:val="13"/>
              </w:rPr>
            </w:pPr>
            <w:r>
              <w:rPr>
                <w:sz w:val="13"/>
              </w:rPr>
              <w:t>264</w:t>
            </w:r>
          </w:p>
        </w:tc>
        <w:tc>
          <w:tcPr>
            <w:tcW w:w="358" w:type="dxa"/>
          </w:tcPr>
          <w:p>
            <w:pPr>
              <w:pStyle w:val="yTable"/>
              <w:spacing w:before="0" w:line="120" w:lineRule="atLeast"/>
              <w:rPr>
                <w:sz w:val="13"/>
              </w:rPr>
            </w:pPr>
            <w:r>
              <w:rPr>
                <w:sz w:val="13"/>
              </w:rPr>
              <w:t>312</w:t>
            </w:r>
          </w:p>
        </w:tc>
        <w:tc>
          <w:tcPr>
            <w:tcW w:w="359" w:type="dxa"/>
          </w:tcPr>
          <w:p>
            <w:pPr>
              <w:pStyle w:val="yTable"/>
              <w:spacing w:before="0" w:line="120" w:lineRule="atLeast"/>
              <w:rPr>
                <w:sz w:val="13"/>
              </w:rPr>
            </w:pPr>
            <w:r>
              <w:rPr>
                <w:sz w:val="13"/>
              </w:rPr>
              <w:t>364</w:t>
            </w:r>
          </w:p>
        </w:tc>
        <w:tc>
          <w:tcPr>
            <w:tcW w:w="359" w:type="dxa"/>
          </w:tcPr>
          <w:p>
            <w:pPr>
              <w:pStyle w:val="yTable"/>
              <w:spacing w:before="0" w:line="120" w:lineRule="atLeast"/>
              <w:rPr>
                <w:sz w:val="13"/>
              </w:rPr>
            </w:pPr>
            <w:r>
              <w:rPr>
                <w:sz w:val="13"/>
              </w:rPr>
              <w:t>420</w:t>
            </w:r>
          </w:p>
        </w:tc>
      </w:tr>
      <w:tr>
        <w:tblPrEx>
          <w:tblCellMar>
            <w:left w:w="0" w:type="dxa"/>
            <w:right w:w="0" w:type="dxa"/>
          </w:tblCellMar>
        </w:tblPrEx>
        <w:tc>
          <w:tcPr>
            <w:tcW w:w="993" w:type="dxa"/>
          </w:tcPr>
          <w:p>
            <w:pPr>
              <w:pStyle w:val="yTable"/>
              <w:keepNext/>
              <w:spacing w:line="120" w:lineRule="atLeast"/>
              <w:rPr>
                <w:sz w:val="13"/>
              </w:rPr>
            </w:pPr>
            <w:r>
              <w:rPr>
                <w:sz w:val="13"/>
              </w:rPr>
              <w:t>Four</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keepNext/>
              <w:spacing w:before="0" w:line="120" w:lineRule="atLeast"/>
              <w:rPr>
                <w:sz w:val="13"/>
              </w:rPr>
            </w:pP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gridSpan w:val="2"/>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t>741</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keepNext/>
              <w:spacing w:line="120" w:lineRule="atLeast"/>
              <w:rPr>
                <w:sz w:val="13"/>
              </w:rPr>
            </w:pPr>
            <w:r>
              <w:rPr>
                <w:sz w:val="13"/>
              </w:rPr>
              <w:t>Three and two</w:t>
            </w:r>
          </w:p>
          <w:p>
            <w:pPr>
              <w:pStyle w:val="yTable"/>
              <w:keepNext/>
              <w:spacing w:before="0" w:line="120" w:lineRule="atLeast"/>
              <w:rPr>
                <w:sz w:val="13"/>
              </w:rPr>
            </w:pPr>
            <w:r>
              <w:rPr>
                <w:sz w:val="13"/>
              </w:rPr>
              <w:t>supplementaries</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16</w:t>
            </w:r>
          </w:p>
        </w:tc>
        <w:tc>
          <w:tcPr>
            <w:tcW w:w="358" w:type="dxa"/>
          </w:tcPr>
          <w:p>
            <w:pPr>
              <w:pStyle w:val="yTable"/>
              <w:spacing w:before="0" w:line="120" w:lineRule="atLeast"/>
              <w:rPr>
                <w:sz w:val="13"/>
              </w:rPr>
            </w:pPr>
            <w:r>
              <w:rPr>
                <w:sz w:val="13"/>
              </w:rPr>
              <w:t>25</w:t>
            </w:r>
          </w:p>
        </w:tc>
        <w:tc>
          <w:tcPr>
            <w:tcW w:w="359" w:type="dxa"/>
            <w:gridSpan w:val="2"/>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49</w:t>
            </w:r>
          </w:p>
        </w:tc>
        <w:tc>
          <w:tcPr>
            <w:tcW w:w="359" w:type="dxa"/>
          </w:tcPr>
          <w:p>
            <w:pPr>
              <w:pStyle w:val="yTable"/>
              <w:spacing w:before="0" w:line="120" w:lineRule="atLeast"/>
              <w:rPr>
                <w:sz w:val="13"/>
              </w:rPr>
            </w:pPr>
            <w:r>
              <w:rPr>
                <w:sz w:val="13"/>
              </w:rPr>
              <w:t>64</w:t>
            </w:r>
          </w:p>
        </w:tc>
        <w:tc>
          <w:tcPr>
            <w:tcW w:w="358" w:type="dxa"/>
          </w:tcPr>
          <w:p>
            <w:pPr>
              <w:pStyle w:val="yTable"/>
              <w:spacing w:before="0" w:line="120" w:lineRule="atLeast"/>
              <w:rPr>
                <w:sz w:val="13"/>
              </w:rPr>
            </w:pPr>
            <w:r>
              <w:rPr>
                <w:sz w:val="13"/>
              </w:rPr>
              <w:t>81</w:t>
            </w:r>
          </w:p>
        </w:tc>
        <w:tc>
          <w:tcPr>
            <w:tcW w:w="359" w:type="dxa"/>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121</w:t>
            </w:r>
          </w:p>
        </w:tc>
        <w:tc>
          <w:tcPr>
            <w:tcW w:w="359" w:type="dxa"/>
          </w:tcPr>
          <w:p>
            <w:pPr>
              <w:pStyle w:val="yTable"/>
              <w:spacing w:before="0" w:line="120" w:lineRule="atLeast"/>
              <w:rPr>
                <w:sz w:val="13"/>
              </w:rPr>
            </w:pPr>
            <w:r>
              <w:rPr>
                <w:sz w:val="13"/>
              </w:rPr>
              <w:t>144</w:t>
            </w:r>
          </w:p>
        </w:tc>
        <w:tc>
          <w:tcPr>
            <w:tcW w:w="358" w:type="dxa"/>
          </w:tcPr>
          <w:p>
            <w:pPr>
              <w:pStyle w:val="yTable"/>
              <w:spacing w:before="0" w:line="120" w:lineRule="atLeast"/>
              <w:rPr>
                <w:sz w:val="13"/>
              </w:rPr>
            </w:pPr>
            <w:r>
              <w:rPr>
                <w:sz w:val="13"/>
              </w:rPr>
              <w:t>169</w:t>
            </w:r>
          </w:p>
        </w:tc>
        <w:tc>
          <w:tcPr>
            <w:tcW w:w="359" w:type="dxa"/>
          </w:tcPr>
          <w:p>
            <w:pPr>
              <w:pStyle w:val="yTable"/>
              <w:spacing w:before="0" w:line="120" w:lineRule="atLeast"/>
              <w:rPr>
                <w:sz w:val="13"/>
              </w:rPr>
            </w:pPr>
            <w:r>
              <w:rPr>
                <w:sz w:val="13"/>
              </w:rPr>
              <w:t>196</w:t>
            </w:r>
          </w:p>
        </w:tc>
        <w:tc>
          <w:tcPr>
            <w:tcW w:w="359" w:type="dxa"/>
          </w:tcPr>
          <w:p>
            <w:pPr>
              <w:pStyle w:val="yTable"/>
              <w:spacing w:before="0" w:line="120" w:lineRule="atLeast"/>
              <w:rPr>
                <w:sz w:val="13"/>
              </w:rPr>
            </w:pPr>
            <w:r>
              <w:rPr>
                <w:sz w:val="13"/>
              </w:rPr>
              <w:t>225</w:t>
            </w:r>
          </w:p>
        </w:tc>
      </w:tr>
      <w:tr>
        <w:tblPrEx>
          <w:tblCellMar>
            <w:left w:w="0" w:type="dxa"/>
            <w:right w:w="0" w:type="dxa"/>
          </w:tblCellMar>
        </w:tblPrEx>
        <w:tc>
          <w:tcPr>
            <w:tcW w:w="993" w:type="dxa"/>
          </w:tcPr>
          <w:p>
            <w:pPr>
              <w:pStyle w:val="yTable"/>
              <w:spacing w:line="120" w:lineRule="atLeast"/>
              <w:rPr>
                <w:sz w:val="13"/>
              </w:rPr>
            </w:pPr>
            <w:r>
              <w:rPr>
                <w:sz w:val="13"/>
              </w:rPr>
              <w:t>Three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t>703</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line="120" w:lineRule="atLeast"/>
              <w:rPr>
                <w:sz w:val="13"/>
              </w:rPr>
            </w:pPr>
            <w:r>
              <w:rPr>
                <w:sz w:val="13"/>
              </w:rPr>
              <w:t>Three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bl>
    <w:p>
      <w:pPr>
        <w:pStyle w:val="Graphics"/>
        <w:jc w:val="center"/>
      </w:pPr>
    </w:p>
    <w:p>
      <w:pPr>
        <w:pStyle w:val="Graphics"/>
        <w:jc w:val="center"/>
      </w:pPr>
    </w:p>
    <w:p>
      <w:pPr>
        <w:pStyle w:val="yScheduleHeading"/>
      </w:pPr>
      <w:bookmarkStart w:id="359" w:name="_Toc10434949"/>
      <w:bookmarkStart w:id="360" w:name="_Toc129672949"/>
      <w:bookmarkStart w:id="361" w:name="_Toc129673051"/>
      <w:bookmarkStart w:id="362" w:name="_Toc129673100"/>
      <w:bookmarkStart w:id="363" w:name="_Toc129673149"/>
      <w:bookmarkStart w:id="364" w:name="_Toc140976777"/>
      <w:bookmarkStart w:id="365" w:name="_Toc140983827"/>
      <w:bookmarkStart w:id="366" w:name="_Toc141751654"/>
      <w:bookmarkStart w:id="367" w:name="_Toc141763683"/>
      <w:bookmarkStart w:id="368" w:name="_Toc144543489"/>
      <w:bookmarkStart w:id="369" w:name="_Toc147222830"/>
      <w:bookmarkStart w:id="370" w:name="_Toc147289008"/>
      <w:r>
        <w:rPr>
          <w:rStyle w:val="CharSchNo"/>
        </w:rPr>
        <w:t>Schedule 3</w:t>
      </w:r>
      <w:bookmarkEnd w:id="359"/>
      <w:bookmarkEnd w:id="360"/>
      <w:bookmarkEnd w:id="361"/>
      <w:bookmarkEnd w:id="362"/>
      <w:bookmarkEnd w:id="363"/>
      <w:bookmarkEnd w:id="364"/>
      <w:bookmarkEnd w:id="365"/>
      <w:bookmarkEnd w:id="366"/>
      <w:bookmarkEnd w:id="367"/>
      <w:bookmarkEnd w:id="368"/>
      <w:bookmarkEnd w:id="369"/>
      <w:bookmarkEnd w:id="370"/>
    </w:p>
    <w:p>
      <w:pPr>
        <w:pStyle w:val="yHeading2"/>
        <w:spacing w:before="160" w:after="80"/>
      </w:pPr>
      <w:bookmarkStart w:id="371" w:name="_Toc5072021"/>
      <w:bookmarkStart w:id="372" w:name="_Toc10539416"/>
      <w:bookmarkStart w:id="373" w:name="_Toc129672950"/>
      <w:bookmarkStart w:id="374" w:name="_Toc129673052"/>
      <w:bookmarkStart w:id="375" w:name="_Toc129673101"/>
      <w:bookmarkStart w:id="376" w:name="_Toc129673150"/>
      <w:bookmarkStart w:id="377" w:name="_Toc140976778"/>
      <w:bookmarkStart w:id="378" w:name="_Toc141751655"/>
      <w:bookmarkStart w:id="379" w:name="_Toc141763684"/>
      <w:bookmarkStart w:id="380" w:name="_Toc144543490"/>
      <w:bookmarkStart w:id="381" w:name="_Toc147222831"/>
      <w:bookmarkStart w:id="382" w:name="_Toc147289009"/>
      <w:r>
        <w:rPr>
          <w:rStyle w:val="CharSchText"/>
        </w:rPr>
        <w:t>Summary of parameters within which Saturday lotto is conducted</w:t>
      </w:r>
      <w:bookmarkEnd w:id="371"/>
      <w:bookmarkEnd w:id="372"/>
      <w:bookmarkEnd w:id="373"/>
      <w:bookmarkEnd w:id="374"/>
      <w:bookmarkEnd w:id="375"/>
      <w:bookmarkEnd w:id="376"/>
      <w:bookmarkEnd w:id="377"/>
      <w:bookmarkEnd w:id="378"/>
      <w:bookmarkEnd w:id="379"/>
      <w:bookmarkEnd w:id="380"/>
      <w:bookmarkEnd w:id="381"/>
      <w:bookmarkEnd w:id="382"/>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
              <w:spacing w:before="0" w:line="220" w:lineRule="exact"/>
              <w:ind w:right="-141"/>
              <w:rPr>
                <w:sz w:val="20"/>
              </w:rPr>
            </w:pPr>
            <w:r>
              <w:rPr>
                <w:sz w:val="20"/>
              </w:rPr>
              <w:t>Unit cost (for a Saturday lotto draw on and after draw 2573)</w:t>
            </w:r>
          </w:p>
        </w:tc>
        <w:tc>
          <w:tcPr>
            <w:tcW w:w="2048" w:type="dxa"/>
            <w:gridSpan w:val="2"/>
          </w:tcPr>
          <w:p>
            <w:pPr>
              <w:pStyle w:val="yTable"/>
              <w:spacing w:before="0" w:line="220" w:lineRule="exact"/>
              <w:jc w:val="right"/>
              <w:rPr>
                <w:sz w:val="20"/>
              </w:rPr>
            </w:pPr>
            <w:r>
              <w:rPr>
                <w:sz w:val="20"/>
              </w:rPr>
              <w:t>$0.50 (+ agent’s component)</w:t>
            </w:r>
          </w:p>
        </w:tc>
      </w:tr>
      <w:tr>
        <w:tc>
          <w:tcPr>
            <w:tcW w:w="5040" w:type="dxa"/>
          </w:tcPr>
          <w:p>
            <w:pPr>
              <w:pStyle w:val="yTable"/>
              <w:spacing w:before="0" w:line="220" w:lineRule="exact"/>
              <w:rPr>
                <w:sz w:val="20"/>
              </w:rPr>
            </w:pPr>
            <w:r>
              <w:rPr>
                <w:sz w:val="20"/>
              </w:rPr>
              <w:t>Prize fund — % of subscriptions</w:t>
            </w:r>
          </w:p>
        </w:tc>
        <w:tc>
          <w:tcPr>
            <w:tcW w:w="2048" w:type="dxa"/>
            <w:gridSpan w:val="2"/>
          </w:tcPr>
          <w:p>
            <w:pPr>
              <w:pStyle w:val="yTable"/>
              <w:spacing w:before="0" w:line="220" w:lineRule="exact"/>
              <w:jc w:val="right"/>
              <w:rPr>
                <w:sz w:val="20"/>
              </w:rPr>
            </w:pPr>
            <w:r>
              <w:rPr>
                <w:sz w:val="20"/>
              </w:rPr>
              <w:t>60.0%</w:t>
            </w:r>
          </w:p>
        </w:tc>
      </w:tr>
      <w:tr>
        <w:trPr>
          <w:gridAfter w:val="1"/>
          <w:wAfter w:w="8" w:type="dxa"/>
        </w:trPr>
        <w:tc>
          <w:tcPr>
            <w:tcW w:w="5040" w:type="dxa"/>
          </w:tcPr>
          <w:p>
            <w:pPr>
              <w:pStyle w:val="yTable"/>
            </w:pPr>
            <w:r>
              <w:rPr>
                <w:sz w:val="20"/>
              </w:rPr>
              <w:t>Prize pool</w:t>
            </w:r>
            <w:del w:id="383" w:author="Master Repository Process" w:date="2021-08-29T02:02:00Z">
              <w:r>
                <w:rPr>
                  <w:sz w:val="20"/>
                </w:rPr>
                <w:delText> — </w:delText>
              </w:r>
            </w:del>
            <w:ins w:id="384" w:author="Master Repository Process" w:date="2021-08-29T02:02:00Z">
              <w:r>
                <w:rPr>
                  <w:sz w:val="20"/>
                </w:rPr>
                <w:t xml:space="preserve"> — </w:t>
              </w:r>
            </w:ins>
            <w:r>
              <w:rPr>
                <w:sz w:val="20"/>
              </w:rPr>
              <w:t>% of subscriptions</w:t>
            </w:r>
          </w:p>
        </w:tc>
        <w:tc>
          <w:tcPr>
            <w:tcW w:w="2040" w:type="dxa"/>
          </w:tcPr>
          <w:p>
            <w:pPr>
              <w:pStyle w:val="yTable"/>
              <w:jc w:val="right"/>
            </w:pPr>
            <w:ins w:id="385" w:author="Master Repository Process" w:date="2021-08-29T02:02:00Z">
              <w:r>
                <w:rPr>
                  <w:sz w:val="20"/>
                </w:rPr>
                <w:t xml:space="preserve">no less than </w:t>
              </w:r>
            </w:ins>
            <w:r>
              <w:rPr>
                <w:sz w:val="20"/>
              </w:rPr>
              <w:t>55.0%</w:t>
            </w:r>
          </w:p>
        </w:tc>
      </w:tr>
      <w:tr>
        <w:trPr>
          <w:gridAfter w:val="1"/>
          <w:wAfter w:w="8" w:type="dxa"/>
        </w:trPr>
        <w:tc>
          <w:tcPr>
            <w:tcW w:w="5040" w:type="dxa"/>
          </w:tcPr>
          <w:p>
            <w:pPr>
              <w:pStyle w:val="yTable"/>
            </w:pPr>
            <w:r>
              <w:rPr>
                <w:sz w:val="20"/>
              </w:rPr>
              <w:t>Prize reserve fund</w:t>
            </w:r>
            <w:del w:id="386" w:author="Master Repository Process" w:date="2021-08-29T02:02:00Z">
              <w:r>
                <w:rPr>
                  <w:sz w:val="20"/>
                </w:rPr>
                <w:delText> — </w:delText>
              </w:r>
            </w:del>
            <w:ins w:id="387" w:author="Master Repository Process" w:date="2021-08-29T02:02:00Z">
              <w:r>
                <w:rPr>
                  <w:sz w:val="20"/>
                </w:rPr>
                <w:t xml:space="preserve"> — </w:t>
              </w:r>
            </w:ins>
            <w:r>
              <w:rPr>
                <w:sz w:val="20"/>
              </w:rPr>
              <w:t>% of subscriptions</w:t>
            </w:r>
          </w:p>
        </w:tc>
        <w:tc>
          <w:tcPr>
            <w:tcW w:w="2040" w:type="dxa"/>
          </w:tcPr>
          <w:p>
            <w:pPr>
              <w:pStyle w:val="yTable"/>
              <w:jc w:val="right"/>
            </w:pPr>
            <w:del w:id="388" w:author="Master Repository Process" w:date="2021-08-29T02:02:00Z">
              <w:r>
                <w:rPr>
                  <w:sz w:val="20"/>
                </w:rPr>
                <w:delText>5.0%</w:delText>
              </w:r>
            </w:del>
            <w:ins w:id="389" w:author="Master Repository Process" w:date="2021-08-29T02:02:00Z">
              <w:r>
                <w:rPr>
                  <w:sz w:val="20"/>
                </w:rPr>
                <w:t>balance of prize fund after prize pool</w:t>
              </w:r>
              <w:r>
                <w:rPr>
                  <w:sz w:val="20"/>
                </w:rPr>
                <w:br/>
                <w:t>(up to 5.0%)</w:t>
              </w:r>
            </w:ins>
          </w:p>
        </w:tc>
      </w:tr>
      <w:tr>
        <w:tc>
          <w:tcPr>
            <w:tcW w:w="5040" w:type="dxa"/>
          </w:tcPr>
          <w:p>
            <w:pPr>
              <w:pStyle w:val="yTable"/>
              <w:spacing w:before="0" w:line="220" w:lineRule="exact"/>
              <w:rPr>
                <w:sz w:val="20"/>
              </w:rPr>
            </w:pPr>
            <w:r>
              <w:rPr>
                <w:sz w:val="20"/>
              </w:rPr>
              <w:t>Number of divisions</w:t>
            </w:r>
          </w:p>
        </w:tc>
        <w:tc>
          <w:tcPr>
            <w:tcW w:w="2048" w:type="dxa"/>
            <w:gridSpan w:val="2"/>
          </w:tcPr>
          <w:p>
            <w:pPr>
              <w:pStyle w:val="yTable"/>
              <w:spacing w:before="0" w:line="220" w:lineRule="exact"/>
              <w:jc w:val="right"/>
              <w:rPr>
                <w:sz w:val="20"/>
              </w:rPr>
            </w:pPr>
            <w:r>
              <w:rPr>
                <w:sz w:val="20"/>
              </w:rPr>
              <w:t>5</w:t>
            </w:r>
          </w:p>
        </w:tc>
      </w:tr>
      <w:tr>
        <w:tc>
          <w:tcPr>
            <w:tcW w:w="5040" w:type="dxa"/>
          </w:tcPr>
          <w:p>
            <w:pPr>
              <w:pStyle w:val="yTable"/>
              <w:spacing w:before="0" w:line="220" w:lineRule="exact"/>
              <w:rPr>
                <w:sz w:val="20"/>
              </w:rPr>
            </w:pPr>
            <w:r>
              <w:rPr>
                <w:sz w:val="20"/>
              </w:rPr>
              <w:t>Prize pool — division 1</w:t>
            </w:r>
          </w:p>
        </w:tc>
        <w:tc>
          <w:tcPr>
            <w:tcW w:w="2048" w:type="dxa"/>
            <w:gridSpan w:val="2"/>
          </w:tcPr>
          <w:p>
            <w:pPr>
              <w:pStyle w:val="yTable"/>
              <w:spacing w:before="0" w:line="220" w:lineRule="exact"/>
              <w:jc w:val="right"/>
              <w:rPr>
                <w:sz w:val="20"/>
              </w:rPr>
            </w:pPr>
            <w:r>
              <w:rPr>
                <w:sz w:val="20"/>
              </w:rPr>
              <w:t>27.2%</w:t>
            </w:r>
          </w:p>
        </w:tc>
      </w:tr>
      <w:tr>
        <w:tc>
          <w:tcPr>
            <w:tcW w:w="5040" w:type="dxa"/>
          </w:tcPr>
          <w:p>
            <w:pPr>
              <w:pStyle w:val="yTable"/>
              <w:spacing w:before="0" w:line="220" w:lineRule="exact"/>
              <w:rPr>
                <w:sz w:val="20"/>
              </w:rPr>
            </w:pPr>
            <w:r>
              <w:rPr>
                <w:sz w:val="20"/>
              </w:rPr>
              <w:t>Prize pool — division 2</w:t>
            </w:r>
          </w:p>
        </w:tc>
        <w:tc>
          <w:tcPr>
            <w:tcW w:w="2048" w:type="dxa"/>
            <w:gridSpan w:val="2"/>
          </w:tcPr>
          <w:p>
            <w:pPr>
              <w:pStyle w:val="yTable"/>
              <w:spacing w:before="0" w:line="220" w:lineRule="exact"/>
              <w:jc w:val="right"/>
              <w:rPr>
                <w:sz w:val="20"/>
              </w:rPr>
            </w:pPr>
            <w:r>
              <w:rPr>
                <w:sz w:val="20"/>
              </w:rPr>
              <w:t>6.45%</w:t>
            </w:r>
          </w:p>
        </w:tc>
      </w:tr>
      <w:tr>
        <w:tc>
          <w:tcPr>
            <w:tcW w:w="5040" w:type="dxa"/>
          </w:tcPr>
          <w:p>
            <w:pPr>
              <w:pStyle w:val="yTable"/>
              <w:spacing w:before="0" w:line="220" w:lineRule="exact"/>
              <w:rPr>
                <w:sz w:val="20"/>
              </w:rPr>
            </w:pPr>
            <w:r>
              <w:rPr>
                <w:sz w:val="20"/>
              </w:rPr>
              <w:t>Prize pool — division 3</w:t>
            </w:r>
          </w:p>
        </w:tc>
        <w:tc>
          <w:tcPr>
            <w:tcW w:w="2048" w:type="dxa"/>
            <w:gridSpan w:val="2"/>
          </w:tcPr>
          <w:p>
            <w:pPr>
              <w:pStyle w:val="yTable"/>
              <w:spacing w:before="0" w:line="220" w:lineRule="exact"/>
              <w:jc w:val="right"/>
              <w:rPr>
                <w:sz w:val="20"/>
              </w:rPr>
            </w:pPr>
            <w:r>
              <w:rPr>
                <w:sz w:val="20"/>
              </w:rPr>
              <w:t>12.15%</w:t>
            </w:r>
          </w:p>
        </w:tc>
      </w:tr>
      <w:tr>
        <w:tc>
          <w:tcPr>
            <w:tcW w:w="5040" w:type="dxa"/>
          </w:tcPr>
          <w:p>
            <w:pPr>
              <w:pStyle w:val="yTable"/>
              <w:spacing w:before="0" w:line="220" w:lineRule="exact"/>
              <w:rPr>
                <w:sz w:val="20"/>
              </w:rPr>
            </w:pPr>
            <w:r>
              <w:rPr>
                <w:sz w:val="20"/>
              </w:rPr>
              <w:t>Prize pool — division 4</w:t>
            </w:r>
          </w:p>
        </w:tc>
        <w:tc>
          <w:tcPr>
            <w:tcW w:w="2048" w:type="dxa"/>
            <w:gridSpan w:val="2"/>
          </w:tcPr>
          <w:p>
            <w:pPr>
              <w:pStyle w:val="yTable"/>
              <w:spacing w:before="0" w:line="220" w:lineRule="exact"/>
              <w:jc w:val="right"/>
              <w:rPr>
                <w:sz w:val="20"/>
              </w:rPr>
            </w:pPr>
            <w:r>
              <w:rPr>
                <w:sz w:val="20"/>
              </w:rPr>
              <w:t>20.85%</w:t>
            </w:r>
          </w:p>
        </w:tc>
      </w:tr>
      <w:tr>
        <w:tc>
          <w:tcPr>
            <w:tcW w:w="5040" w:type="dxa"/>
          </w:tcPr>
          <w:p>
            <w:pPr>
              <w:pStyle w:val="yTable"/>
              <w:spacing w:before="0" w:line="220" w:lineRule="exact"/>
              <w:rPr>
                <w:sz w:val="20"/>
              </w:rPr>
            </w:pPr>
            <w:r>
              <w:rPr>
                <w:sz w:val="20"/>
              </w:rPr>
              <w:t>Prize pool — division 5</w:t>
            </w:r>
          </w:p>
        </w:tc>
        <w:tc>
          <w:tcPr>
            <w:tcW w:w="2048" w:type="dxa"/>
            <w:gridSpan w:val="2"/>
          </w:tcPr>
          <w:p>
            <w:pPr>
              <w:pStyle w:val="yTable"/>
              <w:spacing w:before="0" w:line="220" w:lineRule="exact"/>
              <w:jc w:val="right"/>
              <w:rPr>
                <w:sz w:val="20"/>
              </w:rPr>
            </w:pPr>
            <w:r>
              <w:rPr>
                <w:sz w:val="20"/>
              </w:rPr>
              <w:t>33.35%</w:t>
            </w:r>
          </w:p>
        </w:tc>
      </w:tr>
      <w:tr>
        <w:tc>
          <w:tcPr>
            <w:tcW w:w="5040" w:type="dxa"/>
          </w:tcPr>
          <w:p>
            <w:pPr>
              <w:pStyle w:val="yTable"/>
              <w:spacing w:before="0" w:line="220" w:lineRule="exact"/>
              <w:rPr>
                <w:sz w:val="20"/>
              </w:rPr>
            </w:pPr>
            <w:r>
              <w:rPr>
                <w:sz w:val="20"/>
              </w:rPr>
              <w:t>Winning numbers drawn</w:t>
            </w:r>
          </w:p>
        </w:tc>
        <w:tc>
          <w:tcPr>
            <w:tcW w:w="2048" w:type="dxa"/>
            <w:gridSpan w:val="2"/>
          </w:tcPr>
          <w:p>
            <w:pPr>
              <w:pStyle w:val="yTable"/>
              <w:spacing w:before="0" w:line="220" w:lineRule="exact"/>
              <w:jc w:val="right"/>
              <w:rPr>
                <w:sz w:val="20"/>
              </w:rPr>
            </w:pPr>
            <w:r>
              <w:rPr>
                <w:sz w:val="20"/>
              </w:rPr>
              <w:t>6</w:t>
            </w:r>
          </w:p>
        </w:tc>
      </w:tr>
      <w:tr>
        <w:tc>
          <w:tcPr>
            <w:tcW w:w="5040" w:type="dxa"/>
          </w:tcPr>
          <w:p>
            <w:pPr>
              <w:pStyle w:val="yTable"/>
              <w:spacing w:before="0" w:line="220" w:lineRule="exact"/>
              <w:rPr>
                <w:sz w:val="20"/>
              </w:rPr>
            </w:pPr>
            <w:r>
              <w:rPr>
                <w:sz w:val="20"/>
              </w:rPr>
              <w:t>Supplementary numbers drawn</w:t>
            </w:r>
          </w:p>
        </w:tc>
        <w:tc>
          <w:tcPr>
            <w:tcW w:w="2048" w:type="dxa"/>
            <w:gridSpan w:val="2"/>
          </w:tcPr>
          <w:p>
            <w:pPr>
              <w:pStyle w:val="yTable"/>
              <w:spacing w:before="0" w:line="220" w:lineRule="exact"/>
              <w:jc w:val="right"/>
              <w:rPr>
                <w:sz w:val="20"/>
              </w:rPr>
            </w:pPr>
            <w:r>
              <w:rPr>
                <w:sz w:val="20"/>
              </w:rPr>
              <w:t>2</w:t>
            </w:r>
          </w:p>
        </w:tc>
      </w:tr>
      <w:tr>
        <w:tc>
          <w:tcPr>
            <w:tcW w:w="5040" w:type="dxa"/>
          </w:tcPr>
          <w:p>
            <w:pPr>
              <w:pStyle w:val="yTable"/>
              <w:spacing w:before="0" w:line="220" w:lineRule="exact"/>
              <w:rPr>
                <w:sz w:val="20"/>
              </w:rPr>
            </w:pPr>
            <w:r>
              <w:rPr>
                <w:sz w:val="20"/>
              </w:rPr>
              <w:t>Forecast range </w:t>
            </w:r>
          </w:p>
        </w:tc>
        <w:tc>
          <w:tcPr>
            <w:tcW w:w="2048" w:type="dxa"/>
            <w:gridSpan w:val="2"/>
          </w:tcPr>
          <w:p>
            <w:pPr>
              <w:pStyle w:val="yTable"/>
              <w:spacing w:before="0" w:line="220" w:lineRule="exact"/>
              <w:jc w:val="right"/>
              <w:rPr>
                <w:sz w:val="20"/>
              </w:rPr>
            </w:pPr>
            <w:r>
              <w:rPr>
                <w:sz w:val="20"/>
              </w:rPr>
              <w:t>1 to 45 inclusive</w:t>
            </w:r>
          </w:p>
        </w:tc>
      </w:tr>
      <w:tr>
        <w:tc>
          <w:tcPr>
            <w:tcW w:w="5040" w:type="dxa"/>
          </w:tcPr>
          <w:p>
            <w:pPr>
              <w:pStyle w:val="yTable"/>
              <w:spacing w:before="0" w:line="220" w:lineRule="exact"/>
              <w:rPr>
                <w:sz w:val="20"/>
              </w:rPr>
            </w:pPr>
            <w:r>
              <w:rPr>
                <w:sz w:val="20"/>
              </w:rPr>
              <w:t>Odds of winning — </w:t>
            </w:r>
          </w:p>
          <w:p>
            <w:pPr>
              <w:pStyle w:val="yTable"/>
              <w:spacing w:before="0" w:line="220" w:lineRule="exact"/>
              <w:rPr>
                <w:sz w:val="20"/>
              </w:rPr>
            </w:pPr>
            <w:r>
              <w:rPr>
                <w:sz w:val="20"/>
              </w:rPr>
              <w:t>division 1</w:t>
            </w:r>
          </w:p>
          <w:p>
            <w:pPr>
              <w:pStyle w:val="yTable"/>
              <w:spacing w:before="0" w:line="220" w:lineRule="exact"/>
              <w:rPr>
                <w:sz w:val="20"/>
              </w:rPr>
            </w:pPr>
            <w:r>
              <w:rPr>
                <w:sz w:val="20"/>
              </w:rPr>
              <w:t>division 2</w:t>
            </w:r>
          </w:p>
          <w:p>
            <w:pPr>
              <w:pStyle w:val="yTable"/>
              <w:spacing w:before="0" w:line="220" w:lineRule="exact"/>
              <w:rPr>
                <w:sz w:val="20"/>
              </w:rPr>
            </w:pPr>
            <w:r>
              <w:rPr>
                <w:sz w:val="20"/>
              </w:rPr>
              <w:t>division 3</w:t>
            </w:r>
          </w:p>
          <w:p>
            <w:pPr>
              <w:pStyle w:val="yTable"/>
              <w:spacing w:before="0" w:line="220" w:lineRule="exact"/>
              <w:rPr>
                <w:sz w:val="20"/>
              </w:rPr>
            </w:pPr>
            <w:r>
              <w:rPr>
                <w:sz w:val="20"/>
              </w:rPr>
              <w:t>division 4</w:t>
            </w:r>
          </w:p>
          <w:p>
            <w:pPr>
              <w:pStyle w:val="yTable"/>
              <w:spacing w:before="0" w:line="220" w:lineRule="exact"/>
              <w:rPr>
                <w:sz w:val="20"/>
              </w:rPr>
            </w:pPr>
            <w:r>
              <w:rPr>
                <w:sz w:val="20"/>
              </w:rPr>
              <w:t>division 5</w:t>
            </w:r>
          </w:p>
        </w:tc>
        <w:tc>
          <w:tcPr>
            <w:tcW w:w="2048" w:type="dxa"/>
            <w:gridSpan w:val="2"/>
          </w:tcPr>
          <w:p>
            <w:pPr>
              <w:pStyle w:val="yTable"/>
              <w:spacing w:before="0" w:line="220" w:lineRule="exact"/>
              <w:jc w:val="right"/>
              <w:rPr>
                <w:sz w:val="20"/>
              </w:rPr>
            </w:pPr>
          </w:p>
          <w:p>
            <w:pPr>
              <w:pStyle w:val="yTable"/>
              <w:spacing w:before="0" w:line="220" w:lineRule="exact"/>
              <w:jc w:val="right"/>
              <w:rPr>
                <w:sz w:val="20"/>
              </w:rPr>
            </w:pPr>
            <w:r>
              <w:rPr>
                <w:sz w:val="20"/>
              </w:rPr>
              <w:t>1 in 8 145 060</w:t>
            </w:r>
          </w:p>
          <w:p>
            <w:pPr>
              <w:pStyle w:val="yTable"/>
              <w:spacing w:before="0" w:line="220" w:lineRule="exact"/>
              <w:jc w:val="right"/>
              <w:rPr>
                <w:sz w:val="20"/>
              </w:rPr>
            </w:pPr>
            <w:r>
              <w:rPr>
                <w:sz w:val="20"/>
              </w:rPr>
              <w:t>1 in 678 755</w:t>
            </w:r>
          </w:p>
          <w:p>
            <w:pPr>
              <w:pStyle w:val="yTable"/>
              <w:spacing w:before="0" w:line="220" w:lineRule="exact"/>
              <w:jc w:val="right"/>
              <w:rPr>
                <w:sz w:val="20"/>
              </w:rPr>
            </w:pPr>
            <w:r>
              <w:rPr>
                <w:sz w:val="20"/>
              </w:rPr>
              <w:t>1 in 36 690</w:t>
            </w:r>
          </w:p>
          <w:p>
            <w:pPr>
              <w:pStyle w:val="yTable"/>
              <w:spacing w:before="0" w:line="220" w:lineRule="exact"/>
              <w:jc w:val="right"/>
              <w:rPr>
                <w:sz w:val="20"/>
              </w:rPr>
            </w:pPr>
            <w:r>
              <w:rPr>
                <w:sz w:val="20"/>
              </w:rPr>
              <w:t>1 in 733</w:t>
            </w:r>
          </w:p>
          <w:p>
            <w:pPr>
              <w:pStyle w:val="yTable"/>
              <w:spacing w:before="0" w:line="220" w:lineRule="exact"/>
              <w:jc w:val="right"/>
              <w:rPr>
                <w:sz w:val="20"/>
              </w:rPr>
            </w:pPr>
            <w:r>
              <w:rPr>
                <w:sz w:val="20"/>
              </w:rPr>
              <w:t>1 in 298</w:t>
            </w:r>
          </w:p>
        </w:tc>
      </w:tr>
      <w:tr>
        <w:tc>
          <w:tcPr>
            <w:tcW w:w="5040" w:type="dxa"/>
          </w:tcPr>
          <w:p>
            <w:pPr>
              <w:pStyle w:val="yTable"/>
              <w:spacing w:before="0" w:line="220" w:lineRule="exact"/>
              <w:rPr>
                <w:sz w:val="20"/>
              </w:rPr>
            </w:pPr>
            <w:r>
              <w:rPr>
                <w:sz w:val="20"/>
              </w:rPr>
              <w:t>Systems range</w:t>
            </w:r>
          </w:p>
        </w:tc>
        <w:tc>
          <w:tcPr>
            <w:tcW w:w="2048" w:type="dxa"/>
            <w:gridSpan w:val="2"/>
          </w:tcPr>
          <w:p>
            <w:pPr>
              <w:pStyle w:val="yTable"/>
              <w:spacing w:before="0" w:line="220" w:lineRule="exact"/>
              <w:jc w:val="right"/>
              <w:rPr>
                <w:sz w:val="20"/>
              </w:rPr>
            </w:pPr>
            <w:r>
              <w:rPr>
                <w:sz w:val="20"/>
              </w:rPr>
              <w:t>4</w:t>
            </w:r>
            <w:r>
              <w:rPr>
                <w:sz w:val="20"/>
              </w:rPr>
              <w:noBreakHyphen/>
              <w:t>5/7</w:t>
            </w:r>
            <w:r>
              <w:rPr>
                <w:sz w:val="20"/>
              </w:rPr>
              <w:noBreakHyphen/>
              <w:t>20 inclusive</w:t>
            </w:r>
          </w:p>
        </w:tc>
      </w:tr>
      <w:tr>
        <w:tc>
          <w:tcPr>
            <w:tcW w:w="5040" w:type="dxa"/>
          </w:tcPr>
          <w:p>
            <w:pPr>
              <w:pStyle w:val="yTable"/>
              <w:spacing w:before="0" w:line="220" w:lineRule="exact"/>
              <w:rPr>
                <w:sz w:val="20"/>
              </w:rPr>
            </w:pPr>
            <w:r>
              <w:rPr>
                <w:sz w:val="20"/>
              </w:rPr>
              <w:t>Multiweek options (</w:t>
            </w:r>
            <w:r>
              <w:rPr>
                <w:i/>
                <w:iCs/>
                <w:sz w:val="20"/>
              </w:rPr>
              <w:t>if available</w:t>
            </w:r>
            <w:r>
              <w:rPr>
                <w:sz w:val="20"/>
              </w:rPr>
              <w:t>)</w:t>
            </w:r>
          </w:p>
        </w:tc>
        <w:tc>
          <w:tcPr>
            <w:tcW w:w="2048" w:type="dxa"/>
            <w:gridSpan w:val="2"/>
          </w:tcPr>
          <w:p>
            <w:pPr>
              <w:pStyle w:val="yTable"/>
              <w:spacing w:before="0" w:line="220" w:lineRule="exact"/>
              <w:jc w:val="right"/>
              <w:rPr>
                <w:sz w:val="20"/>
              </w:rPr>
            </w:pPr>
            <w:r>
              <w:rPr>
                <w:sz w:val="20"/>
              </w:rPr>
              <w:t>2, 5 or 10 weeks</w:t>
            </w:r>
          </w:p>
        </w:tc>
      </w:tr>
      <w:tr>
        <w:tc>
          <w:tcPr>
            <w:tcW w:w="5040" w:type="dxa"/>
          </w:tcPr>
          <w:p>
            <w:pPr>
              <w:pStyle w:val="yTable"/>
              <w:spacing w:before="0" w:line="220" w:lineRule="exact"/>
              <w:rPr>
                <w:sz w:val="20"/>
              </w:rPr>
            </w:pPr>
            <w:r>
              <w:rPr>
                <w:sz w:val="20"/>
              </w:rPr>
              <w:t>Advance sales (maximum) (</w:t>
            </w:r>
            <w:r>
              <w:rPr>
                <w:i/>
                <w:iCs/>
                <w:sz w:val="20"/>
              </w:rPr>
              <w:t>if available</w:t>
            </w:r>
            <w:r>
              <w:rPr>
                <w:sz w:val="20"/>
              </w:rPr>
              <w:t>)</w:t>
            </w:r>
          </w:p>
        </w:tc>
        <w:tc>
          <w:tcPr>
            <w:tcW w:w="2048" w:type="dxa"/>
            <w:gridSpan w:val="2"/>
          </w:tcPr>
          <w:p>
            <w:pPr>
              <w:pStyle w:val="yTable"/>
              <w:spacing w:before="0" w:line="220" w:lineRule="exact"/>
              <w:jc w:val="right"/>
              <w:rPr>
                <w:sz w:val="20"/>
              </w:rPr>
            </w:pPr>
            <w:r>
              <w:rPr>
                <w:sz w:val="20"/>
              </w:rPr>
              <w:t>10 weeks</w:t>
            </w:r>
          </w:p>
        </w:tc>
      </w:tr>
      <w:tr>
        <w:tc>
          <w:tcPr>
            <w:tcW w:w="5040" w:type="dxa"/>
          </w:tcPr>
          <w:p>
            <w:pPr>
              <w:pStyle w:val="yTable"/>
              <w:spacing w:before="0" w:line="220" w:lineRule="exact"/>
              <w:rPr>
                <w:sz w:val="20"/>
              </w:rPr>
            </w:pPr>
            <w:r>
              <w:rPr>
                <w:sz w:val="20"/>
              </w:rPr>
              <w:t>Games per entry coupon (minimum)</w:t>
            </w:r>
          </w:p>
        </w:tc>
        <w:tc>
          <w:tcPr>
            <w:tcW w:w="2048" w:type="dxa"/>
            <w:gridSpan w:val="2"/>
          </w:tcPr>
          <w:p>
            <w:pPr>
              <w:pStyle w:val="yTable"/>
              <w:spacing w:before="0" w:line="220" w:lineRule="exact"/>
              <w:jc w:val="right"/>
              <w:rPr>
                <w:sz w:val="20"/>
              </w:rPr>
            </w:pPr>
            <w:r>
              <w:rPr>
                <w:sz w:val="20"/>
              </w:rPr>
              <w:t>4</w:t>
            </w:r>
          </w:p>
        </w:tc>
      </w:tr>
      <w:tr>
        <w:tc>
          <w:tcPr>
            <w:tcW w:w="5040" w:type="dxa"/>
          </w:tcPr>
          <w:p>
            <w:pPr>
              <w:pStyle w:val="yTable"/>
              <w:spacing w:before="0" w:line="220" w:lineRule="exact"/>
              <w:rPr>
                <w:sz w:val="20"/>
              </w:rPr>
            </w:pPr>
            <w:r>
              <w:rPr>
                <w:sz w:val="20"/>
              </w:rPr>
              <w:t>Systems entries per entry coupon (maximum) (subject to maximum aggregate entry cost)</w:t>
            </w:r>
          </w:p>
        </w:tc>
        <w:tc>
          <w:tcPr>
            <w:tcW w:w="2048" w:type="dxa"/>
            <w:gridSpan w:val="2"/>
          </w:tcPr>
          <w:p>
            <w:pPr>
              <w:pStyle w:val="yTable"/>
              <w:spacing w:before="0" w:line="220" w:lineRule="exact"/>
              <w:jc w:val="right"/>
              <w:rPr>
                <w:sz w:val="20"/>
              </w:rPr>
            </w:pPr>
            <w:r>
              <w:rPr>
                <w:sz w:val="20"/>
              </w:rPr>
              <w:t>12</w:t>
            </w:r>
          </w:p>
        </w:tc>
      </w:tr>
      <w:tr>
        <w:tc>
          <w:tcPr>
            <w:tcW w:w="5040" w:type="dxa"/>
          </w:tcPr>
          <w:p>
            <w:pPr>
              <w:pStyle w:val="yTable"/>
              <w:spacing w:before="0" w:line="220" w:lineRule="exact"/>
              <w:rPr>
                <w:sz w:val="20"/>
              </w:rPr>
            </w:pPr>
            <w:r>
              <w:rPr>
                <w:sz w:val="20"/>
              </w:rPr>
              <w:t>Games per entry coupon (maximum)</w:t>
            </w:r>
          </w:p>
          <w:p>
            <w:pPr>
              <w:pStyle w:val="yTable"/>
              <w:spacing w:before="0" w:line="220" w:lineRule="exact"/>
              <w:rPr>
                <w:sz w:val="20"/>
              </w:rPr>
            </w:pPr>
            <w:r>
              <w:rPr>
                <w:sz w:val="20"/>
              </w:rPr>
              <w:t>Systems entries per entry coupon</w:t>
            </w:r>
          </w:p>
          <w:p>
            <w:pPr>
              <w:pStyle w:val="yTable"/>
              <w:spacing w:before="0" w:line="220" w:lineRule="exact"/>
              <w:rPr>
                <w:sz w:val="20"/>
              </w:rPr>
            </w:pPr>
            <w:r>
              <w:rPr>
                <w:sz w:val="20"/>
              </w:rPr>
              <w:t> </w:t>
            </w:r>
            <w:r>
              <w:rPr>
                <w:sz w:val="20"/>
              </w:rPr>
              <w:t> </w:t>
            </w:r>
            <w:r>
              <w:rPr>
                <w:sz w:val="20"/>
              </w:rPr>
              <w:t>— systems 4 to 8 (maximum)</w:t>
            </w:r>
          </w:p>
          <w:p>
            <w:pPr>
              <w:pStyle w:val="yTable"/>
              <w:spacing w:before="0" w:line="220" w:lineRule="exact"/>
              <w:rPr>
                <w:sz w:val="20"/>
              </w:rPr>
            </w:pPr>
            <w:r>
              <w:rPr>
                <w:sz w:val="20"/>
              </w:rPr>
              <w:t> </w:t>
            </w:r>
            <w:r>
              <w:rPr>
                <w:sz w:val="20"/>
              </w:rPr>
              <w:t> </w:t>
            </w:r>
            <w:r>
              <w:rPr>
                <w:sz w:val="20"/>
              </w:rPr>
              <w:t>— systems 9 to 20 (maximum)</w:t>
            </w:r>
          </w:p>
        </w:tc>
        <w:tc>
          <w:tcPr>
            <w:tcW w:w="2048" w:type="dxa"/>
            <w:gridSpan w:val="2"/>
          </w:tcPr>
          <w:p>
            <w:pPr>
              <w:pStyle w:val="yTable"/>
              <w:spacing w:before="0" w:line="220" w:lineRule="exact"/>
              <w:jc w:val="right"/>
              <w:rPr>
                <w:sz w:val="20"/>
              </w:rPr>
            </w:pPr>
            <w:r>
              <w:rPr>
                <w:sz w:val="20"/>
              </w:rPr>
              <w:t>12</w:t>
            </w:r>
          </w:p>
          <w:p>
            <w:pPr>
              <w:pStyle w:val="yTable"/>
              <w:spacing w:before="0" w:line="220" w:lineRule="exact"/>
              <w:jc w:val="right"/>
              <w:rPr>
                <w:sz w:val="20"/>
              </w:rPr>
            </w:pPr>
          </w:p>
          <w:p>
            <w:pPr>
              <w:pStyle w:val="yTable"/>
              <w:spacing w:before="0" w:line="220" w:lineRule="exact"/>
              <w:jc w:val="right"/>
              <w:rPr>
                <w:sz w:val="20"/>
              </w:rPr>
            </w:pPr>
            <w:r>
              <w:rPr>
                <w:sz w:val="20"/>
              </w:rPr>
              <w:t>12</w:t>
            </w:r>
          </w:p>
          <w:p>
            <w:pPr>
              <w:pStyle w:val="yTable"/>
              <w:spacing w:before="0" w:line="220" w:lineRule="exact"/>
              <w:jc w:val="right"/>
              <w:rPr>
                <w:sz w:val="20"/>
              </w:rPr>
            </w:pPr>
            <w:r>
              <w:rPr>
                <w:sz w:val="20"/>
              </w:rPr>
              <w:t>5</w:t>
            </w:r>
          </w:p>
        </w:tc>
      </w:tr>
      <w:tr>
        <w:tc>
          <w:tcPr>
            <w:tcW w:w="5040" w:type="dxa"/>
          </w:tcPr>
          <w:p>
            <w:pPr>
              <w:pStyle w:val="yTable"/>
              <w:spacing w:before="0" w:line="220" w:lineRule="exact"/>
              <w:rPr>
                <w:sz w:val="20"/>
              </w:rPr>
            </w:pPr>
            <w:r>
              <w:rPr>
                <w:sz w:val="20"/>
              </w:rPr>
              <w:t>Games per oral request</w:t>
            </w:r>
          </w:p>
        </w:tc>
        <w:tc>
          <w:tcPr>
            <w:tcW w:w="2048" w:type="dxa"/>
            <w:gridSpan w:val="2"/>
          </w:tcPr>
          <w:p>
            <w:pPr>
              <w:pStyle w:val="yTable"/>
              <w:spacing w:before="0" w:line="220" w:lineRule="exact"/>
              <w:jc w:val="right"/>
              <w:rPr>
                <w:sz w:val="20"/>
              </w:rPr>
            </w:pPr>
            <w:r>
              <w:rPr>
                <w:sz w:val="20"/>
              </w:rPr>
              <w:t>12, 14, 18 or 25</w:t>
            </w:r>
          </w:p>
        </w:tc>
      </w:tr>
      <w:tr>
        <w:tc>
          <w:tcPr>
            <w:tcW w:w="5040" w:type="dxa"/>
          </w:tcPr>
          <w:p>
            <w:pPr>
              <w:pStyle w:val="yTable"/>
              <w:spacing w:before="0" w:line="220" w:lineRule="exact"/>
              <w:rPr>
                <w:sz w:val="20"/>
              </w:rPr>
            </w:pPr>
            <w:r>
              <w:rPr>
                <w:sz w:val="20"/>
              </w:rPr>
              <w:t>Systems entries per oral request</w:t>
            </w:r>
          </w:p>
        </w:tc>
        <w:tc>
          <w:tcPr>
            <w:tcW w:w="2048" w:type="dxa"/>
            <w:gridSpan w:val="2"/>
          </w:tcPr>
          <w:p>
            <w:pPr>
              <w:pStyle w:val="yTable"/>
              <w:spacing w:before="0" w:line="220" w:lineRule="exact"/>
              <w:jc w:val="right"/>
              <w:rPr>
                <w:sz w:val="20"/>
              </w:rPr>
            </w:pPr>
            <w:r>
              <w:rPr>
                <w:sz w:val="20"/>
              </w:rPr>
              <w:t>1</w:t>
            </w:r>
          </w:p>
        </w:tc>
      </w:tr>
      <w:tr>
        <w:tc>
          <w:tcPr>
            <w:tcW w:w="5040" w:type="dxa"/>
          </w:tcPr>
          <w:p>
            <w:pPr>
              <w:pStyle w:val="yTable"/>
              <w:spacing w:before="0" w:line="220" w:lineRule="exact"/>
              <w:rPr>
                <w:sz w:val="20"/>
              </w:rPr>
            </w:pPr>
            <w:r>
              <w:rPr>
                <w:sz w:val="20"/>
              </w:rPr>
              <w:t>Prize payout period</w:t>
            </w:r>
          </w:p>
        </w:tc>
        <w:tc>
          <w:tcPr>
            <w:tcW w:w="2048" w:type="dxa"/>
            <w:gridSpan w:val="2"/>
          </w:tcPr>
          <w:p>
            <w:pPr>
              <w:pStyle w:val="yTable"/>
              <w:spacing w:before="0" w:line="220" w:lineRule="exact"/>
              <w:jc w:val="right"/>
              <w:rPr>
                <w:sz w:val="20"/>
              </w:rPr>
            </w:pPr>
            <w:r>
              <w:rPr>
                <w:sz w:val="20"/>
              </w:rPr>
              <w:t>12 months</w:t>
            </w:r>
          </w:p>
        </w:tc>
      </w:tr>
      <w:tr>
        <w:tc>
          <w:tcPr>
            <w:tcW w:w="5040" w:type="dxa"/>
          </w:tcPr>
          <w:p>
            <w:pPr>
              <w:pStyle w:val="yTable"/>
              <w:spacing w:before="0" w:line="220" w:lineRule="exact"/>
              <w:rPr>
                <w:sz w:val="20"/>
              </w:rPr>
            </w:pPr>
            <w:r>
              <w:rPr>
                <w:sz w:val="20"/>
              </w:rPr>
              <w:t>Maximum Aggregate Entry Cost</w:t>
            </w:r>
          </w:p>
        </w:tc>
        <w:tc>
          <w:tcPr>
            <w:tcW w:w="2048" w:type="dxa"/>
            <w:gridSpan w:val="2"/>
          </w:tcPr>
          <w:p>
            <w:pPr>
              <w:pStyle w:val="yTable"/>
              <w:spacing w:before="0" w:line="220" w:lineRule="exact"/>
              <w:jc w:val="right"/>
              <w:rPr>
                <w:sz w:val="20"/>
              </w:rPr>
            </w:pPr>
            <w:r>
              <w:rPr>
                <w:sz w:val="20"/>
              </w:rPr>
              <w:t>$99,999.00</w:t>
            </w:r>
          </w:p>
        </w:tc>
      </w:tr>
    </w:tbl>
    <w:p>
      <w:pPr>
        <w:pStyle w:val="yFootnotesection"/>
      </w:pPr>
      <w:r>
        <w:tab/>
        <w:t>[Schedule 3 amended in Gazette 29 Apr 1997 p. 2147; 9 Mar 2001 p. 1327</w:t>
      </w:r>
      <w:r>
        <w:noBreakHyphen/>
        <w:t>8; 10 Sep 2002 p. 4601; 23 Dec 2005 p. 6275; 10 Feb 2006 p. 664-5</w:t>
      </w:r>
      <w:ins w:id="390" w:author="Master Repository Process" w:date="2021-08-29T02:02:00Z">
        <w:r>
          <w:t>; 29 Sep 2006 p. 4268</w:t>
        </w:r>
      </w:ins>
      <w:r>
        <w:t xml:space="preserve">.]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391" w:name="_Toc127275248"/>
      <w:bookmarkStart w:id="392" w:name="_Toc127335290"/>
      <w:bookmarkStart w:id="393" w:name="_Toc129672951"/>
      <w:bookmarkStart w:id="394" w:name="_Toc129673053"/>
      <w:bookmarkStart w:id="395" w:name="_Toc129673102"/>
      <w:bookmarkStart w:id="396" w:name="_Toc129673151"/>
      <w:bookmarkStart w:id="397" w:name="_Toc140976779"/>
      <w:bookmarkStart w:id="398" w:name="_Toc140983828"/>
      <w:bookmarkStart w:id="399" w:name="_Toc141751656"/>
      <w:bookmarkStart w:id="400" w:name="_Toc141763685"/>
      <w:bookmarkStart w:id="401" w:name="_Toc144543491"/>
      <w:bookmarkStart w:id="402" w:name="_Toc147222832"/>
      <w:bookmarkStart w:id="403" w:name="_Toc147289010"/>
      <w:r>
        <w:t>Notes</w:t>
      </w:r>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nSubsection"/>
        <w:rPr>
          <w:snapToGrid w:val="0"/>
        </w:rPr>
      </w:pPr>
      <w:r>
        <w:rPr>
          <w:snapToGrid w:val="0"/>
          <w:vertAlign w:val="superscript"/>
        </w:rPr>
        <w:t>1</w:t>
      </w:r>
      <w:r>
        <w:rPr>
          <w:snapToGrid w:val="0"/>
        </w:rPr>
        <w:tab/>
        <w:t xml:space="preserve">This </w:t>
      </w:r>
      <w:del w:id="404" w:author="Master Repository Process" w:date="2021-08-29T02:02:00Z">
        <w:r>
          <w:rPr>
            <w:snapToGrid w:val="0"/>
          </w:rPr>
          <w:delText xml:space="preserve">reprint </w:delText>
        </w:r>
      </w:del>
      <w:r>
        <w:rPr>
          <w:snapToGrid w:val="0"/>
        </w:rPr>
        <w:t xml:space="preserve">is a compilation </w:t>
      </w:r>
      <w:del w:id="405" w:author="Master Repository Process" w:date="2021-08-29T02:02:00Z">
        <w:r>
          <w:rPr>
            <w:snapToGrid w:val="0"/>
          </w:rPr>
          <w:delText xml:space="preserve">as at 4 August 2006 </w:delText>
        </w:r>
      </w:del>
      <w:r>
        <w:rPr>
          <w:snapToGrid w:val="0"/>
        </w:rPr>
        <w:t xml:space="preserve">of the </w:t>
      </w:r>
      <w:r>
        <w:rPr>
          <w:i/>
          <w:noProof/>
          <w:snapToGrid w:val="0"/>
        </w:rPr>
        <w:t>Lotteries Commission (Saturday Lotto) Rules</w:t>
      </w:r>
      <w:del w:id="406" w:author="Master Repository Process" w:date="2021-08-29T02:02:00Z">
        <w:r>
          <w:rPr>
            <w:i/>
            <w:noProof/>
            <w:snapToGrid w:val="0"/>
          </w:rPr>
          <w:delText xml:space="preserve"> </w:delText>
        </w:r>
      </w:del>
      <w:ins w:id="407" w:author="Master Repository Process" w:date="2021-08-29T02:02:00Z">
        <w:r>
          <w:rPr>
            <w:i/>
            <w:noProof/>
            <w:snapToGrid w:val="0"/>
          </w:rPr>
          <w:t> </w:t>
        </w:r>
      </w:ins>
      <w:r>
        <w:rPr>
          <w:i/>
          <w:noProof/>
          <w:snapToGrid w:val="0"/>
        </w:rPr>
        <w:t>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08" w:name="_Toc144543492"/>
      <w:bookmarkStart w:id="409" w:name="_Toc147289011"/>
      <w:r>
        <w:t>Compilation table</w:t>
      </w:r>
      <w:bookmarkEnd w:id="408"/>
      <w:bookmarkEnd w:id="409"/>
    </w:p>
    <w:tbl>
      <w:tblPr>
        <w:tblW w:w="0" w:type="auto"/>
        <w:tblInd w:w="31"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Lotteries Commission (Saturday Lotto) Rules 1996</w:t>
            </w:r>
          </w:p>
        </w:tc>
        <w:tc>
          <w:tcPr>
            <w:tcW w:w="1276" w:type="dxa"/>
            <w:tcBorders>
              <w:top w:val="single" w:sz="8" w:space="0" w:color="auto"/>
            </w:tcBorders>
          </w:tcPr>
          <w:p>
            <w:pPr>
              <w:pStyle w:val="nTable"/>
              <w:spacing w:after="40"/>
              <w:rPr>
                <w:sz w:val="19"/>
              </w:rPr>
            </w:pPr>
            <w:r>
              <w:rPr>
                <w:sz w:val="19"/>
              </w:rPr>
              <w:t>15 Nov 1996 p. 6529</w:t>
            </w:r>
            <w:r>
              <w:rPr>
                <w:sz w:val="19"/>
              </w:rPr>
              <w:noBreakHyphen/>
              <w:t>52</w:t>
            </w:r>
          </w:p>
        </w:tc>
        <w:tc>
          <w:tcPr>
            <w:tcW w:w="2693" w:type="dxa"/>
            <w:tcBorders>
              <w:top w:val="single" w:sz="8" w:space="0" w:color="auto"/>
            </w:tcBorders>
          </w:tcPr>
          <w:p>
            <w:pPr>
              <w:pStyle w:val="nTable"/>
              <w:spacing w:after="40"/>
              <w:rPr>
                <w:sz w:val="19"/>
              </w:rPr>
            </w:pPr>
            <w:r>
              <w:rPr>
                <w:sz w:val="19"/>
              </w:rPr>
              <w:t>Rules other than r. 35(1): 18 Nov 1996 (see r. 2(1));</w:t>
            </w:r>
            <w:r>
              <w:rPr>
                <w:sz w:val="19"/>
              </w:rPr>
              <w:br/>
              <w:t>r. 35(1): 1 Jan 1997 (see r. 2(2))</w:t>
            </w:r>
          </w:p>
        </w:tc>
      </w:tr>
      <w:tr>
        <w:trPr>
          <w:cantSplit/>
        </w:trPr>
        <w:tc>
          <w:tcPr>
            <w:tcW w:w="3119" w:type="dxa"/>
          </w:tcPr>
          <w:p>
            <w:pPr>
              <w:pStyle w:val="nTable"/>
              <w:spacing w:after="40"/>
              <w:ind w:right="113"/>
              <w:rPr>
                <w:sz w:val="19"/>
              </w:rPr>
            </w:pPr>
            <w:r>
              <w:rPr>
                <w:i/>
                <w:sz w:val="19"/>
              </w:rPr>
              <w:t>Lotteries Commission (Saturday Lotto) Amendment Rules 1997</w:t>
            </w:r>
          </w:p>
        </w:tc>
        <w:tc>
          <w:tcPr>
            <w:tcW w:w="1276" w:type="dxa"/>
          </w:tcPr>
          <w:p>
            <w:pPr>
              <w:pStyle w:val="nTable"/>
              <w:spacing w:after="40"/>
              <w:rPr>
                <w:sz w:val="19"/>
              </w:rPr>
            </w:pPr>
            <w:r>
              <w:rPr>
                <w:sz w:val="19"/>
              </w:rPr>
              <w:t>29 Apr 1997 p. 2147</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sz w:val="19"/>
              </w:rPr>
            </w:pPr>
            <w:r>
              <w:rPr>
                <w:i/>
                <w:sz w:val="19"/>
              </w:rPr>
              <w:t>Lotteries Commission (Saturday Lotto) Amendment Rules (No. 2) 1997</w:t>
            </w:r>
          </w:p>
        </w:tc>
        <w:tc>
          <w:tcPr>
            <w:tcW w:w="1276" w:type="dxa"/>
          </w:tcPr>
          <w:p>
            <w:pPr>
              <w:pStyle w:val="nTable"/>
              <w:spacing w:after="40"/>
              <w:rPr>
                <w:sz w:val="19"/>
              </w:rPr>
            </w:pPr>
            <w:r>
              <w:rPr>
                <w:sz w:val="19"/>
              </w:rPr>
              <w:t>5 Dec 1997 p. 7130</w:t>
            </w:r>
            <w:r>
              <w:rPr>
                <w:sz w:val="19"/>
              </w:rPr>
              <w:noBreakHyphen/>
              <w:t>1</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i/>
                <w:sz w:val="19"/>
              </w:rPr>
            </w:pPr>
            <w:r>
              <w:rPr>
                <w:i/>
                <w:sz w:val="19"/>
              </w:rPr>
              <w:t>Lotteries Commission (Saturday Lotto) Amendment Rules 2001</w:t>
            </w:r>
          </w:p>
        </w:tc>
        <w:tc>
          <w:tcPr>
            <w:tcW w:w="1276" w:type="dxa"/>
          </w:tcPr>
          <w:p>
            <w:pPr>
              <w:pStyle w:val="nTable"/>
              <w:spacing w:after="40"/>
              <w:rPr>
                <w:sz w:val="19"/>
              </w:rPr>
            </w:pPr>
            <w:r>
              <w:rPr>
                <w:sz w:val="19"/>
              </w:rPr>
              <w:t>9 Mar 2001 p. 1325</w:t>
            </w:r>
            <w:r>
              <w:rPr>
                <w:sz w:val="19"/>
              </w:rPr>
              <w:noBreakHyphen/>
              <w:t>8</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(Saturday Lotto) Amendment Rules 2002</w:t>
            </w:r>
          </w:p>
        </w:tc>
        <w:tc>
          <w:tcPr>
            <w:tcW w:w="1276" w:type="dxa"/>
          </w:tcPr>
          <w:p>
            <w:pPr>
              <w:pStyle w:val="nTable"/>
              <w:spacing w:after="40"/>
              <w:rPr>
                <w:sz w:val="19"/>
              </w:rPr>
            </w:pPr>
            <w:r>
              <w:rPr>
                <w:sz w:val="19"/>
              </w:rPr>
              <w:t>28 Mar 2002 p. 1765</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(Saturday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2002</w:t>
            </w:r>
          </w:p>
        </w:tc>
        <w:tc>
          <w:tcPr>
            <w:tcW w:w="1276" w:type="dxa"/>
          </w:tcPr>
          <w:p>
            <w:pPr>
              <w:pStyle w:val="nTable"/>
              <w:spacing w:after="40"/>
              <w:rPr>
                <w:sz w:val="19"/>
              </w:rPr>
            </w:pPr>
            <w:r>
              <w:rPr>
                <w:sz w:val="19"/>
              </w:rPr>
              <w:t>10 Sep 2002 p. 4597</w:t>
            </w:r>
            <w:r>
              <w:rPr>
                <w:sz w:val="19"/>
              </w:rPr>
              <w:noBreakHyphen/>
              <w:t>601</w:t>
            </w:r>
          </w:p>
        </w:tc>
        <w:tc>
          <w:tcPr>
            <w:tcW w:w="2693" w:type="dxa"/>
          </w:tcPr>
          <w:p>
            <w:pPr>
              <w:pStyle w:val="nTable"/>
              <w:spacing w:after="40"/>
              <w:rPr>
                <w:sz w:val="19"/>
              </w:rPr>
            </w:pPr>
            <w:r>
              <w:rPr>
                <w:sz w:val="19"/>
              </w:rPr>
              <w:t>29 Sep 2002 (see r. 2)</w:t>
            </w:r>
          </w:p>
        </w:tc>
      </w:tr>
      <w:tr>
        <w:trPr>
          <w:cantSplit/>
        </w:trPr>
        <w:tc>
          <w:tcPr>
            <w:tcW w:w="3119" w:type="dxa"/>
          </w:tcPr>
          <w:p>
            <w:pPr>
              <w:pStyle w:val="nTable"/>
              <w:spacing w:after="40"/>
              <w:ind w:right="113"/>
              <w:rPr>
                <w:i/>
                <w:sz w:val="19"/>
              </w:rPr>
            </w:pPr>
            <w:r>
              <w:rPr>
                <w:i/>
                <w:sz w:val="19"/>
              </w:rPr>
              <w:t>Lotteries Commission (Saturday Lotto) Amendment Rules 2003</w:t>
            </w:r>
          </w:p>
        </w:tc>
        <w:tc>
          <w:tcPr>
            <w:tcW w:w="1276" w:type="dxa"/>
          </w:tcPr>
          <w:p>
            <w:pPr>
              <w:pStyle w:val="nTable"/>
              <w:spacing w:after="40"/>
              <w:rPr>
                <w:sz w:val="19"/>
              </w:rPr>
            </w:pPr>
            <w:r>
              <w:rPr>
                <w:sz w:val="19"/>
              </w:rPr>
              <w:t>8 Aug 2003 p. 3577-8</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(Saturday Lotto) Amendment Rules 2005</w:t>
            </w:r>
          </w:p>
        </w:tc>
        <w:tc>
          <w:tcPr>
            <w:tcW w:w="1276" w:type="dxa"/>
          </w:tcPr>
          <w:p>
            <w:pPr>
              <w:pStyle w:val="nTable"/>
              <w:spacing w:after="40"/>
              <w:rPr>
                <w:sz w:val="19"/>
              </w:rPr>
            </w:pPr>
            <w:r>
              <w:rPr>
                <w:sz w:val="19"/>
              </w:rPr>
              <w:t>23 Dec 2005 p. 6274-5</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Lotteries Commission (Saturday Lotto) Amendment Rules 2006</w:t>
            </w:r>
          </w:p>
        </w:tc>
        <w:tc>
          <w:tcPr>
            <w:tcW w:w="1276" w:type="dxa"/>
          </w:tcPr>
          <w:p>
            <w:pPr>
              <w:pStyle w:val="nTable"/>
              <w:spacing w:after="40"/>
              <w:rPr>
                <w:sz w:val="19"/>
              </w:rPr>
            </w:pPr>
            <w:r>
              <w:rPr>
                <w:sz w:val="19"/>
              </w:rPr>
              <w:t>10 Feb 2006 p. 661-5</w:t>
            </w:r>
          </w:p>
        </w:tc>
        <w:tc>
          <w:tcPr>
            <w:tcW w:w="2693" w:type="dxa"/>
          </w:tcPr>
          <w:p>
            <w:pPr>
              <w:pStyle w:val="nTable"/>
              <w:spacing w:after="40"/>
              <w:rPr>
                <w:sz w:val="19"/>
              </w:rPr>
            </w:pPr>
            <w:r>
              <w:rPr>
                <w:sz w:val="19"/>
              </w:rPr>
              <w:t>12 Mar 2006 (see r. 2)</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(Saturday Lotto) Rules 1996</w:t>
            </w:r>
            <w:r>
              <w:rPr>
                <w:b/>
                <w:sz w:val="19"/>
              </w:rPr>
              <w:t xml:space="preserve"> as at 4 Aug 2006</w:t>
            </w:r>
            <w:r>
              <w:rPr>
                <w:b/>
                <w:sz w:val="19"/>
              </w:rPr>
              <w:br/>
            </w:r>
            <w:r>
              <w:rPr>
                <w:sz w:val="19"/>
              </w:rPr>
              <w:t>(includes amendments listed above)</w:t>
            </w:r>
          </w:p>
        </w:tc>
      </w:tr>
      <w:tr>
        <w:trPr>
          <w:cantSplit/>
          <w:ins w:id="410" w:author="Master Repository Process" w:date="2021-08-29T02:02:00Z"/>
        </w:trPr>
        <w:tc>
          <w:tcPr>
            <w:tcW w:w="3119" w:type="dxa"/>
            <w:tcBorders>
              <w:bottom w:val="single" w:sz="4" w:space="0" w:color="auto"/>
            </w:tcBorders>
          </w:tcPr>
          <w:p>
            <w:pPr>
              <w:pStyle w:val="nTable"/>
              <w:spacing w:after="40"/>
              <w:ind w:right="113"/>
              <w:rPr>
                <w:ins w:id="411" w:author="Master Repository Process" w:date="2021-08-29T02:02:00Z"/>
                <w:i/>
                <w:sz w:val="19"/>
              </w:rPr>
            </w:pPr>
            <w:ins w:id="412" w:author="Master Repository Process" w:date="2021-08-29T02:02:00Z">
              <w:r>
                <w:rPr>
                  <w:i/>
                  <w:sz w:val="19"/>
                </w:rPr>
                <w:t>Lotteries Commission (Saturday Lotto) Amendment Rules (No. 2) 2006</w:t>
              </w:r>
            </w:ins>
          </w:p>
        </w:tc>
        <w:tc>
          <w:tcPr>
            <w:tcW w:w="1276" w:type="dxa"/>
            <w:tcBorders>
              <w:bottom w:val="single" w:sz="4" w:space="0" w:color="auto"/>
            </w:tcBorders>
          </w:tcPr>
          <w:p>
            <w:pPr>
              <w:pStyle w:val="nTable"/>
              <w:spacing w:after="40"/>
              <w:rPr>
                <w:ins w:id="413" w:author="Master Repository Process" w:date="2021-08-29T02:02:00Z"/>
                <w:sz w:val="19"/>
              </w:rPr>
            </w:pPr>
            <w:ins w:id="414" w:author="Master Repository Process" w:date="2021-08-29T02:02:00Z">
              <w:r>
                <w:rPr>
                  <w:sz w:val="19"/>
                </w:rPr>
                <w:t>29 Sep 2006 p. 4267-8</w:t>
              </w:r>
            </w:ins>
          </w:p>
        </w:tc>
        <w:tc>
          <w:tcPr>
            <w:tcW w:w="2693" w:type="dxa"/>
            <w:tcBorders>
              <w:bottom w:val="single" w:sz="4" w:space="0" w:color="auto"/>
            </w:tcBorders>
          </w:tcPr>
          <w:p>
            <w:pPr>
              <w:pStyle w:val="nTable"/>
              <w:spacing w:after="40"/>
              <w:rPr>
                <w:ins w:id="415" w:author="Master Repository Process" w:date="2021-08-29T02:02:00Z"/>
                <w:sz w:val="19"/>
              </w:rPr>
            </w:pPr>
            <w:ins w:id="416" w:author="Master Repository Process" w:date="2021-08-29T02:02:00Z">
              <w:r>
                <w:rPr>
                  <w:sz w:val="19"/>
                </w:rPr>
                <w:t>29 Sep 2006</w:t>
              </w:r>
            </w:ins>
          </w:p>
        </w:tc>
      </w:tr>
    </w:tbl>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(Saturday Lotto) Rules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(Saturday Lotto) Rules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D3C62E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95C1E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4D22FE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42EA29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3481DB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1237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A909ED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35AA6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5281E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32C12A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42A72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0B226BB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0426"/>
    <w:docVar w:name="WAFER_20151208100426" w:val="RemoveTrackChanges"/>
    <w:docVar w:name="WAFER_20151208100426_GUID" w:val="cae6d156-e90b-45cc-8f7e-cfe3936b4f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DA59253-1A09-469D-AFC1-DAAE49796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6876</Words>
  <Characters>28399</Characters>
  <Application>Microsoft Office Word</Application>
  <DocSecurity>0</DocSecurity>
  <Lines>2581</Lines>
  <Paragraphs>2074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(Saturday Lotto) Rules 1996 02-a0-04 - 02-b0-03</dc:title>
  <dc:subject/>
  <dc:creator/>
  <cp:keywords/>
  <dc:description/>
  <cp:lastModifiedBy>Master Repository Process</cp:lastModifiedBy>
  <cp:revision>2</cp:revision>
  <cp:lastPrinted>2006-07-28T01:55:00Z</cp:lastPrinted>
  <dcterms:created xsi:type="dcterms:W3CDTF">2021-08-28T18:01:00Z</dcterms:created>
  <dcterms:modified xsi:type="dcterms:W3CDTF">2021-08-28T18:02:00Z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pp.6529-52</vt:lpwstr>
  </property>
  <property fmtid="{D5CDD505-2E9C-101B-9397-08002B2CF9AE}" pid="3" name="CommencementDate">
    <vt:lpwstr>20060929</vt:lpwstr>
  </property>
  <property fmtid="{D5CDD505-2E9C-101B-9397-08002B2CF9AE}" pid="4" name="DocumentType">
    <vt:lpwstr>Reg</vt:lpwstr>
  </property>
  <property fmtid="{D5CDD505-2E9C-101B-9397-08002B2CF9AE}" pid="5" name="OwlsUID">
    <vt:i4>4607</vt:i4>
  </property>
  <property fmtid="{D5CDD505-2E9C-101B-9397-08002B2CF9AE}" pid="6" name="ReprintedAsAt">
    <vt:filetime>2006-08-03T16:00:00Z</vt:filetime>
  </property>
  <property fmtid="{D5CDD505-2E9C-101B-9397-08002B2CF9AE}" pid="7" name="ReprintNo">
    <vt:lpwstr>2</vt:lpwstr>
  </property>
  <property fmtid="{D5CDD505-2E9C-101B-9397-08002B2CF9AE}" pid="8" name="FromSuffix">
    <vt:lpwstr>02-a0-04</vt:lpwstr>
  </property>
  <property fmtid="{D5CDD505-2E9C-101B-9397-08002B2CF9AE}" pid="9" name="FromAsAtDate">
    <vt:lpwstr>04 Aug 2006</vt:lpwstr>
  </property>
  <property fmtid="{D5CDD505-2E9C-101B-9397-08002B2CF9AE}" pid="10" name="ToSuffix">
    <vt:lpwstr>02-b0-03</vt:lpwstr>
  </property>
  <property fmtid="{D5CDD505-2E9C-101B-9397-08002B2CF9AE}" pid="11" name="ToAsAtDate">
    <vt:lpwstr>29 Sep 2006</vt:lpwstr>
  </property>
</Properties>
</file>