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Aug 2006</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0T10:56:00Z"/>
        </w:trPr>
        <w:tc>
          <w:tcPr>
            <w:tcW w:w="2434" w:type="dxa"/>
            <w:vMerge w:val="restart"/>
          </w:tcPr>
          <w:p>
            <w:pPr>
              <w:rPr>
                <w:del w:id="1" w:author="svcMRProcess" w:date="2018-08-20T10:56:00Z"/>
              </w:rPr>
            </w:pPr>
          </w:p>
        </w:tc>
        <w:tc>
          <w:tcPr>
            <w:tcW w:w="2434" w:type="dxa"/>
            <w:vMerge w:val="restart"/>
          </w:tcPr>
          <w:p>
            <w:pPr>
              <w:jc w:val="center"/>
              <w:rPr>
                <w:del w:id="2" w:author="svcMRProcess" w:date="2018-08-20T10:56:00Z"/>
              </w:rPr>
            </w:pPr>
            <w:del w:id="3" w:author="svcMRProcess" w:date="2018-08-20T10:5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8-20T10:56:00Z"/>
              </w:rPr>
            </w:pPr>
          </w:p>
        </w:tc>
      </w:tr>
      <w:tr>
        <w:trPr>
          <w:cantSplit/>
          <w:del w:id="5" w:author="svcMRProcess" w:date="2018-08-20T10:56:00Z"/>
        </w:trPr>
        <w:tc>
          <w:tcPr>
            <w:tcW w:w="2434" w:type="dxa"/>
            <w:vMerge/>
          </w:tcPr>
          <w:p>
            <w:pPr>
              <w:rPr>
                <w:del w:id="6" w:author="svcMRProcess" w:date="2018-08-20T10:56:00Z"/>
              </w:rPr>
            </w:pPr>
          </w:p>
        </w:tc>
        <w:tc>
          <w:tcPr>
            <w:tcW w:w="2434" w:type="dxa"/>
            <w:vMerge/>
          </w:tcPr>
          <w:p>
            <w:pPr>
              <w:jc w:val="center"/>
              <w:rPr>
                <w:del w:id="7" w:author="svcMRProcess" w:date="2018-08-20T10:56:00Z"/>
              </w:rPr>
            </w:pPr>
          </w:p>
        </w:tc>
        <w:tc>
          <w:tcPr>
            <w:tcW w:w="2434" w:type="dxa"/>
          </w:tcPr>
          <w:p>
            <w:pPr>
              <w:keepNext/>
              <w:rPr>
                <w:del w:id="8" w:author="svcMRProcess" w:date="2018-08-20T10:56:00Z"/>
                <w:b/>
                <w:sz w:val="22"/>
              </w:rPr>
            </w:pPr>
            <w:del w:id="9" w:author="svcMRProcess" w:date="2018-08-20T10:56:00Z">
              <w:r>
                <w:rPr>
                  <w:b/>
                  <w:sz w:val="22"/>
                </w:rPr>
                <w:delText xml:space="preserve">Reprinted under the </w:delText>
              </w:r>
              <w:r>
                <w:rPr>
                  <w:b/>
                  <w:i/>
                  <w:sz w:val="22"/>
                </w:rPr>
                <w:delText>Reprints Act 1984</w:delText>
              </w:r>
              <w:r>
                <w:rPr>
                  <w:b/>
                  <w:sz w:val="22"/>
                </w:rPr>
                <w:delText xml:space="preserve"> as at 11</w:delText>
              </w:r>
              <w:r>
                <w:rPr>
                  <w:b/>
                  <w:snapToGrid w:val="0"/>
                  <w:sz w:val="22"/>
                </w:rPr>
                <w:delText xml:space="preserve"> August 2006</w:delText>
              </w:r>
            </w:del>
          </w:p>
        </w:tc>
      </w:tr>
    </w:tbl>
    <w:p>
      <w:pPr>
        <w:pStyle w:val="WA"/>
      </w:pPr>
      <w:r>
        <w:t>Western Australia</w:t>
      </w:r>
    </w:p>
    <w:p>
      <w:pPr>
        <w:pStyle w:val="NameofActReg"/>
      </w:pPr>
      <w:r>
        <w:t>Agricultural Practices (Disputes) Act 1995</w:t>
      </w:r>
    </w:p>
    <w:p>
      <w:pPr>
        <w:pStyle w:val="LongTitle"/>
        <w:rPr>
          <w:snapToGrid w:val="0"/>
        </w:rPr>
      </w:pPr>
      <w:r>
        <w:rPr>
          <w:snapToGrid w:val="0"/>
        </w:rPr>
        <w:t>A</w:t>
      </w:r>
      <w:bookmarkStart w:id="10" w:name="_GoBack"/>
      <w:bookmarkEnd w:id="10"/>
      <w:r>
        <w:rPr>
          <w:snapToGrid w:val="0"/>
        </w:rPr>
        <w:t>n Act to make provision for the resolution of disputes related to the carrying on, or management, of agriculture.</w:t>
      </w:r>
    </w:p>
    <w:p>
      <w:pPr>
        <w:pStyle w:val="Heading2"/>
      </w:pPr>
      <w:bookmarkStart w:id="11" w:name="_Toc89162421"/>
      <w:bookmarkStart w:id="12" w:name="_Toc101855861"/>
      <w:bookmarkStart w:id="13" w:name="_Toc121561751"/>
      <w:bookmarkStart w:id="14" w:name="_Toc122429805"/>
      <w:bookmarkStart w:id="15" w:name="_Toc122947864"/>
      <w:bookmarkStart w:id="16" w:name="_Toc124061800"/>
      <w:bookmarkStart w:id="17" w:name="_Toc131324747"/>
      <w:bookmarkStart w:id="18" w:name="_Toc138469691"/>
      <w:bookmarkStart w:id="19" w:name="_Toc139963074"/>
      <w:bookmarkStart w:id="20" w:name="_Toc140373325"/>
      <w:bookmarkStart w:id="21" w:name="_Toc140373376"/>
      <w:bookmarkStart w:id="22" w:name="_Toc142213844"/>
      <w:bookmarkStart w:id="23" w:name="_Toc144179824"/>
      <w:bookmarkStart w:id="24" w:name="_Toc157830345"/>
      <w:r>
        <w:rPr>
          <w:rStyle w:val="CharPartNo"/>
        </w:rPr>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131324748"/>
      <w:bookmarkStart w:id="26" w:name="_Toc157830346"/>
      <w:bookmarkStart w:id="27" w:name="_Toc144179825"/>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28" w:name="_Toc131324749"/>
      <w:bookmarkStart w:id="29" w:name="_Toc157830347"/>
      <w:bookmarkStart w:id="30" w:name="_Toc144179826"/>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31" w:name="_Toc131324750"/>
      <w:bookmarkStart w:id="32" w:name="_Toc157830348"/>
      <w:bookmarkStart w:id="33" w:name="_Toc144179827"/>
      <w:r>
        <w:rPr>
          <w:rStyle w:val="CharSectno"/>
        </w:rPr>
        <w:t>3</w:t>
      </w:r>
      <w:r>
        <w:rPr>
          <w:snapToGrid w:val="0"/>
        </w:rPr>
        <w:t>.</w:t>
      </w:r>
      <w:r>
        <w:rPr>
          <w:snapToGrid w:val="0"/>
        </w:rPr>
        <w:tab/>
        <w:t>Interpretation</w:t>
      </w:r>
      <w:bookmarkEnd w:id="31"/>
      <w:bookmarkEnd w:id="32"/>
      <w:bookmarkEnd w:id="33"/>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administrative authority</w:t>
      </w:r>
      <w:r>
        <w:rPr>
          <w:b/>
        </w:rPr>
        <w:t>”</w:t>
      </w:r>
      <w:r>
        <w:t xml:space="preserve"> means a person or body who or which under any written law exercises a function which may affect the carrying out of an agricultural purpose;</w:t>
      </w:r>
    </w:p>
    <w:p>
      <w:pPr>
        <w:pStyle w:val="Defstart"/>
      </w:pPr>
      <w:r>
        <w:rPr>
          <w:b/>
        </w:rPr>
        <w:tab/>
        <w:t>“</w:t>
      </w:r>
      <w:r>
        <w:rPr>
          <w:rStyle w:val="CharDefText"/>
        </w:rPr>
        <w:t>agricultural operation</w:t>
      </w:r>
      <w:r>
        <w:rPr>
          <w:b/>
        </w:rPr>
        <w:t>”</w:t>
      </w:r>
      <w:r>
        <w:t xml:space="preserve"> means an area of rural land primarily used for commercial agricultural purposes, and includes a reference to the agricultural activities carried on there;</w:t>
      </w:r>
    </w:p>
    <w:p>
      <w:pPr>
        <w:pStyle w:val="Defstart"/>
      </w:pPr>
      <w:r>
        <w:rPr>
          <w:b/>
        </w:rPr>
        <w:tab/>
        <w:t>“</w:t>
      </w:r>
      <w:r>
        <w:rPr>
          <w:rStyle w:val="CharDefText"/>
        </w:rPr>
        <w:t>agricultural practice</w:t>
      </w:r>
      <w:r>
        <w:rPr>
          <w:b/>
        </w:rPr>
        <w:t>”</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r>
      <w:r>
        <w:tab/>
        <w:t xml:space="preserve">there, and </w:t>
      </w:r>
      <w:r>
        <w:rPr>
          <w:b/>
        </w:rPr>
        <w:t>“</w:t>
      </w:r>
      <w:r>
        <w:rPr>
          <w:rStyle w:val="CharDefText"/>
        </w:rPr>
        <w:t>practice</w:t>
      </w:r>
      <w:r>
        <w:rPr>
          <w:b/>
        </w:rPr>
        <w:t>”</w:t>
      </w:r>
      <w:r>
        <w:t xml:space="preserve"> shall be construed accordingly;</w:t>
      </w:r>
    </w:p>
    <w:p>
      <w:pPr>
        <w:pStyle w:val="Defstart"/>
      </w:pPr>
      <w:r>
        <w:rPr>
          <w:b/>
        </w:rPr>
        <w:tab/>
        <w:t>“</w:t>
      </w:r>
      <w:r>
        <w:rPr>
          <w:rStyle w:val="CharDefText"/>
        </w:rPr>
        <w:t>Board</w:t>
      </w:r>
      <w:r>
        <w:rPr>
          <w:b/>
        </w:rPr>
        <w:t>”</w:t>
      </w:r>
      <w:r>
        <w:t xml:space="preserve"> means the Agricultural Practices Board of Western Australia established under section 7;</w:t>
      </w:r>
    </w:p>
    <w:p>
      <w:pPr>
        <w:pStyle w:val="Defstart"/>
      </w:pPr>
      <w:r>
        <w:rPr>
          <w:b/>
        </w:rPr>
        <w:tab/>
        <w:t>“</w:t>
      </w:r>
      <w:r>
        <w:rPr>
          <w:rStyle w:val="CharDefText"/>
        </w:rPr>
        <w:t>Chairperson</w:t>
      </w:r>
      <w:r>
        <w:rPr>
          <w:b/>
        </w:rPr>
        <w:t>”</w:t>
      </w:r>
      <w:r>
        <w:t xml:space="preserve"> means the holder of the office of Chairperson of the Board, and includes a reference to a member appointed to act in that office;</w:t>
      </w:r>
    </w:p>
    <w:p>
      <w:pPr>
        <w:pStyle w:val="Defstart"/>
      </w:pPr>
      <w:r>
        <w:rPr>
          <w:b/>
        </w:rPr>
        <w:tab/>
        <w:t>“</w:t>
      </w:r>
      <w:r>
        <w:rPr>
          <w:rStyle w:val="CharDefText"/>
        </w:rPr>
        <w:t>determination</w:t>
      </w:r>
      <w:r>
        <w:rPr>
          <w:b/>
        </w:rPr>
        <w:t>”</w:t>
      </w:r>
      <w:r>
        <w:t xml:space="preserve"> includes a reference to a decision, order or direction, whether made in mediation proceedings or proceedings before the tribunal or the Board;</w:t>
      </w:r>
    </w:p>
    <w:p>
      <w:pPr>
        <w:pStyle w:val="Defstart"/>
      </w:pPr>
      <w:r>
        <w:rPr>
          <w:b/>
        </w:rPr>
        <w:tab/>
        <w:t>“</w:t>
      </w:r>
      <w:r>
        <w:rPr>
          <w:rStyle w:val="CharDefText"/>
        </w:rPr>
        <w:t>member</w:t>
      </w:r>
      <w:r>
        <w:rPr>
          <w:b/>
        </w:rPr>
        <w:t>”</w:t>
      </w:r>
      <w:r>
        <w:t xml:space="preserve"> means a member of the Board, and includes a reference to the Chairperson;</w:t>
      </w:r>
    </w:p>
    <w:p>
      <w:pPr>
        <w:pStyle w:val="Defstart"/>
      </w:pPr>
      <w:r>
        <w:rPr>
          <w:b/>
        </w:rPr>
        <w:tab/>
        <w:t>“</w:t>
      </w:r>
      <w:r>
        <w:rPr>
          <w:rStyle w:val="CharDefText"/>
        </w:rPr>
        <w:t>owner</w:t>
      </w:r>
      <w:r>
        <w:rPr>
          <w:b/>
        </w:rPr>
        <w:t>”</w:t>
      </w:r>
      <w:r>
        <w:t>, in relation to an agricultural operation which is leased, includes any person who is a lessee of the land;</w:t>
      </w:r>
    </w:p>
    <w:p>
      <w:pPr>
        <w:pStyle w:val="Defstart"/>
      </w:pPr>
      <w:r>
        <w:rPr>
          <w:b/>
        </w:rPr>
        <w:tab/>
        <w:t>“</w:t>
      </w:r>
      <w:r>
        <w:rPr>
          <w:rStyle w:val="CharDefText"/>
        </w:rPr>
        <w:t>Registrar</w:t>
      </w:r>
      <w:r>
        <w:rPr>
          <w:b/>
        </w:rPr>
        <w:t>”</w:t>
      </w:r>
      <w:r>
        <w:t xml:space="preserve"> means the person nominated under section 16 to serve as the Registrar of the Board;</w:t>
      </w:r>
    </w:p>
    <w:p>
      <w:pPr>
        <w:pStyle w:val="Defstart"/>
      </w:pPr>
      <w:r>
        <w:rPr>
          <w:b/>
        </w:rPr>
        <w:tab/>
        <w:t>“</w:t>
      </w:r>
      <w:r>
        <w:rPr>
          <w:rStyle w:val="CharDefText"/>
        </w:rPr>
        <w:t>rural land</w:t>
      </w:r>
      <w:r>
        <w:rPr>
          <w:b/>
        </w:rPr>
        <w:t>”</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t>“</w:t>
      </w:r>
      <w:r>
        <w:rPr>
          <w:rStyle w:val="CharDefText"/>
        </w:rPr>
        <w:t>tribunal</w:t>
      </w:r>
      <w:r>
        <w:rPr>
          <w:b/>
        </w:rPr>
        <w:t>”</w:t>
      </w:r>
      <w:r>
        <w:t xml:space="preserve"> means a tribunal of the Board, however it may be from time to time constituted under this Act.</w:t>
      </w:r>
    </w:p>
    <w:p>
      <w:pPr>
        <w:pStyle w:val="Footnotesection"/>
      </w:pPr>
      <w:r>
        <w:tab/>
        <w:t>[Section 3 amended by No. 38 of 2005 s. 15.]</w:t>
      </w:r>
    </w:p>
    <w:p>
      <w:pPr>
        <w:pStyle w:val="Heading5"/>
        <w:rPr>
          <w:snapToGrid w:val="0"/>
        </w:rPr>
      </w:pPr>
      <w:bookmarkStart w:id="34" w:name="_Toc131324751"/>
      <w:bookmarkStart w:id="35" w:name="_Toc157830349"/>
      <w:bookmarkStart w:id="36" w:name="_Toc144179828"/>
      <w:r>
        <w:rPr>
          <w:rStyle w:val="CharSectno"/>
        </w:rPr>
        <w:t>4</w:t>
      </w:r>
      <w:r>
        <w:rPr>
          <w:snapToGrid w:val="0"/>
        </w:rPr>
        <w:t>.</w:t>
      </w:r>
      <w:r>
        <w:rPr>
          <w:snapToGrid w:val="0"/>
        </w:rPr>
        <w:tab/>
        <w:t>Objects and reasons</w:t>
      </w:r>
      <w:bookmarkEnd w:id="34"/>
      <w:bookmarkEnd w:id="35"/>
      <w:bookmarkEnd w:id="36"/>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37" w:name="_Toc131324752"/>
      <w:bookmarkStart w:id="38" w:name="_Toc157830350"/>
      <w:bookmarkStart w:id="39" w:name="_Toc144179829"/>
      <w:r>
        <w:rPr>
          <w:rStyle w:val="CharSectno"/>
        </w:rPr>
        <w:t>5</w:t>
      </w:r>
      <w:r>
        <w:rPr>
          <w:snapToGrid w:val="0"/>
        </w:rPr>
        <w:t>.</w:t>
      </w:r>
      <w:r>
        <w:rPr>
          <w:snapToGrid w:val="0"/>
        </w:rPr>
        <w:tab/>
        <w:t>Normal farm practices</w:t>
      </w:r>
      <w:bookmarkEnd w:id="37"/>
      <w:bookmarkEnd w:id="38"/>
      <w:bookmarkEnd w:id="39"/>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40" w:name="_Toc131324753"/>
      <w:bookmarkStart w:id="41" w:name="_Toc157830351"/>
      <w:bookmarkStart w:id="42" w:name="_Toc144179830"/>
      <w:r>
        <w:rPr>
          <w:rStyle w:val="CharSectno"/>
        </w:rPr>
        <w:t>6</w:t>
      </w:r>
      <w:r>
        <w:rPr>
          <w:snapToGrid w:val="0"/>
        </w:rPr>
        <w:t>.</w:t>
      </w:r>
      <w:r>
        <w:rPr>
          <w:snapToGrid w:val="0"/>
        </w:rPr>
        <w:tab/>
        <w:t>Disputes to which this Act applies</w:t>
      </w:r>
      <w:bookmarkEnd w:id="40"/>
      <w:bookmarkEnd w:id="41"/>
      <w:bookmarkEnd w:id="42"/>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43" w:name="_Toc89162428"/>
      <w:bookmarkStart w:id="44" w:name="_Toc101855868"/>
      <w:bookmarkStart w:id="45" w:name="_Toc121561758"/>
      <w:bookmarkStart w:id="46" w:name="_Toc122429812"/>
      <w:bookmarkStart w:id="47" w:name="_Toc122947871"/>
      <w:bookmarkStart w:id="48" w:name="_Toc124061807"/>
      <w:bookmarkStart w:id="49" w:name="_Toc131324754"/>
      <w:bookmarkStart w:id="50" w:name="_Toc138469698"/>
      <w:bookmarkStart w:id="51" w:name="_Toc139963081"/>
      <w:bookmarkStart w:id="52" w:name="_Toc140373332"/>
      <w:bookmarkStart w:id="53" w:name="_Toc140373383"/>
      <w:bookmarkStart w:id="54" w:name="_Toc142213851"/>
      <w:bookmarkStart w:id="55" w:name="_Toc144179831"/>
      <w:bookmarkStart w:id="56" w:name="_Toc157830352"/>
      <w:r>
        <w:rPr>
          <w:rStyle w:val="CharPartNo"/>
        </w:rPr>
        <w:t>Part 2</w:t>
      </w:r>
      <w:r>
        <w:t> — </w:t>
      </w:r>
      <w:r>
        <w:rPr>
          <w:rStyle w:val="CharPartText"/>
        </w:rPr>
        <w:t>The Agricultural Practices Board</w:t>
      </w:r>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spacing w:before="160"/>
      </w:pPr>
      <w:bookmarkStart w:id="57" w:name="_Toc89162429"/>
      <w:bookmarkStart w:id="58" w:name="_Toc101855869"/>
      <w:bookmarkStart w:id="59" w:name="_Toc121561759"/>
      <w:bookmarkStart w:id="60" w:name="_Toc122429813"/>
      <w:bookmarkStart w:id="61" w:name="_Toc122947872"/>
      <w:bookmarkStart w:id="62" w:name="_Toc124061808"/>
      <w:bookmarkStart w:id="63" w:name="_Toc131324755"/>
      <w:bookmarkStart w:id="64" w:name="_Toc138469699"/>
      <w:bookmarkStart w:id="65" w:name="_Toc139963082"/>
      <w:bookmarkStart w:id="66" w:name="_Toc140373333"/>
      <w:bookmarkStart w:id="67" w:name="_Toc140373384"/>
      <w:bookmarkStart w:id="68" w:name="_Toc142213852"/>
      <w:bookmarkStart w:id="69" w:name="_Toc144179832"/>
      <w:bookmarkStart w:id="70" w:name="_Toc157830353"/>
      <w:r>
        <w:rPr>
          <w:rStyle w:val="CharDivNo"/>
        </w:rPr>
        <w:t>Division 1</w:t>
      </w:r>
      <w:r>
        <w:rPr>
          <w:snapToGrid w:val="0"/>
        </w:rPr>
        <w:t> — </w:t>
      </w:r>
      <w:r>
        <w:rPr>
          <w:rStyle w:val="CharDivText"/>
        </w:rPr>
        <w:t>Constitution and jurisdiction</w:t>
      </w:r>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131324756"/>
      <w:bookmarkStart w:id="72" w:name="_Toc157830354"/>
      <w:bookmarkStart w:id="73" w:name="_Toc144179833"/>
      <w:r>
        <w:rPr>
          <w:rStyle w:val="CharSectno"/>
        </w:rPr>
        <w:t>7</w:t>
      </w:r>
      <w:r>
        <w:rPr>
          <w:snapToGrid w:val="0"/>
        </w:rPr>
        <w:t>.</w:t>
      </w:r>
      <w:r>
        <w:rPr>
          <w:snapToGrid w:val="0"/>
        </w:rPr>
        <w:tab/>
        <w:t>The Agricultural Practices Board of Western Australia</w:t>
      </w:r>
      <w:bookmarkEnd w:id="71"/>
      <w:bookmarkEnd w:id="72"/>
      <w:bookmarkEnd w:id="73"/>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74" w:name="_Toc131324757"/>
      <w:bookmarkStart w:id="75" w:name="_Toc157830355"/>
      <w:bookmarkStart w:id="76" w:name="_Toc144179834"/>
      <w:r>
        <w:rPr>
          <w:rStyle w:val="CharSectno"/>
        </w:rPr>
        <w:t>8</w:t>
      </w:r>
      <w:r>
        <w:rPr>
          <w:snapToGrid w:val="0"/>
        </w:rPr>
        <w:t>.</w:t>
      </w:r>
      <w:r>
        <w:rPr>
          <w:snapToGrid w:val="0"/>
        </w:rPr>
        <w:tab/>
        <w:t>Jurisdiction</w:t>
      </w:r>
      <w:bookmarkEnd w:id="74"/>
      <w:bookmarkEnd w:id="75"/>
      <w:bookmarkEnd w:id="76"/>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77" w:name="_Toc131324758"/>
      <w:bookmarkStart w:id="78" w:name="_Toc157830356"/>
      <w:bookmarkStart w:id="79" w:name="_Toc144179835"/>
      <w:r>
        <w:rPr>
          <w:rStyle w:val="CharSectno"/>
        </w:rPr>
        <w:t>9</w:t>
      </w:r>
      <w:r>
        <w:rPr>
          <w:snapToGrid w:val="0"/>
        </w:rPr>
        <w:t>.</w:t>
      </w:r>
      <w:r>
        <w:rPr>
          <w:snapToGrid w:val="0"/>
        </w:rPr>
        <w:tab/>
        <w:t>Immunity from judicial supervision</w:t>
      </w:r>
      <w:bookmarkEnd w:id="77"/>
      <w:bookmarkEnd w:id="78"/>
      <w:bookmarkEnd w:id="7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80" w:name="_Toc131324759"/>
      <w:bookmarkStart w:id="81" w:name="_Toc157830357"/>
      <w:bookmarkStart w:id="82" w:name="_Toc144179836"/>
      <w:r>
        <w:rPr>
          <w:rStyle w:val="CharSectno"/>
        </w:rPr>
        <w:t>10</w:t>
      </w:r>
      <w:r>
        <w:rPr>
          <w:snapToGrid w:val="0"/>
        </w:rPr>
        <w:t>.</w:t>
      </w:r>
      <w:r>
        <w:rPr>
          <w:snapToGrid w:val="0"/>
        </w:rPr>
        <w:tab/>
        <w:t>Protection</w:t>
      </w:r>
      <w:bookmarkEnd w:id="80"/>
      <w:bookmarkEnd w:id="81"/>
      <w:bookmarkEnd w:id="82"/>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83" w:name="_Toc89162434"/>
      <w:bookmarkStart w:id="84" w:name="_Toc101855874"/>
      <w:bookmarkStart w:id="85" w:name="_Toc121561764"/>
      <w:bookmarkStart w:id="86" w:name="_Toc122429818"/>
      <w:bookmarkStart w:id="87" w:name="_Toc122947877"/>
      <w:bookmarkStart w:id="88" w:name="_Toc124061813"/>
      <w:bookmarkStart w:id="89" w:name="_Toc131324760"/>
      <w:bookmarkStart w:id="90" w:name="_Toc138469704"/>
      <w:bookmarkStart w:id="91" w:name="_Toc139963087"/>
      <w:bookmarkStart w:id="92" w:name="_Toc140373338"/>
      <w:bookmarkStart w:id="93" w:name="_Toc140373389"/>
      <w:bookmarkStart w:id="94" w:name="_Toc142213857"/>
      <w:bookmarkStart w:id="95" w:name="_Toc144179837"/>
      <w:bookmarkStart w:id="96" w:name="_Toc157830358"/>
      <w:r>
        <w:rPr>
          <w:rStyle w:val="CharDivNo"/>
        </w:rPr>
        <w:t>Division 2</w:t>
      </w:r>
      <w:r>
        <w:rPr>
          <w:snapToGrid w:val="0"/>
        </w:rPr>
        <w:t> — </w:t>
      </w:r>
      <w:r>
        <w:rPr>
          <w:rStyle w:val="CharDivText"/>
        </w:rPr>
        <w:t>Functions</w:t>
      </w:r>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rPr>
          <w:snapToGrid w:val="0"/>
        </w:rPr>
      </w:pPr>
      <w:bookmarkStart w:id="97" w:name="_Toc131324761"/>
      <w:bookmarkStart w:id="98" w:name="_Toc157830359"/>
      <w:bookmarkStart w:id="99" w:name="_Toc144179838"/>
      <w:r>
        <w:rPr>
          <w:rStyle w:val="CharSectno"/>
        </w:rPr>
        <w:t>11</w:t>
      </w:r>
      <w:r>
        <w:rPr>
          <w:snapToGrid w:val="0"/>
        </w:rPr>
        <w:t>.</w:t>
      </w:r>
      <w:r>
        <w:rPr>
          <w:snapToGrid w:val="0"/>
        </w:rPr>
        <w:tab/>
        <w:t>Functions of the Board</w:t>
      </w:r>
      <w:bookmarkEnd w:id="97"/>
      <w:bookmarkEnd w:id="98"/>
      <w:bookmarkEnd w:id="99"/>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00" w:name="_Toc89162436"/>
      <w:bookmarkStart w:id="101" w:name="_Toc101855876"/>
      <w:bookmarkStart w:id="102" w:name="_Toc121561766"/>
      <w:bookmarkStart w:id="103" w:name="_Toc122429820"/>
      <w:bookmarkStart w:id="104" w:name="_Toc122947879"/>
      <w:bookmarkStart w:id="105" w:name="_Toc124061815"/>
      <w:bookmarkStart w:id="106" w:name="_Toc131324762"/>
      <w:bookmarkStart w:id="107" w:name="_Toc138469706"/>
      <w:bookmarkStart w:id="108" w:name="_Toc139963089"/>
      <w:bookmarkStart w:id="109" w:name="_Toc140373340"/>
      <w:bookmarkStart w:id="110" w:name="_Toc140373391"/>
      <w:bookmarkStart w:id="111" w:name="_Toc142213859"/>
      <w:bookmarkStart w:id="112" w:name="_Toc144179839"/>
      <w:bookmarkStart w:id="113" w:name="_Toc157830360"/>
      <w:r>
        <w:rPr>
          <w:rStyle w:val="CharDivNo"/>
        </w:rPr>
        <w:t>Division 3</w:t>
      </w:r>
      <w:r>
        <w:rPr>
          <w:snapToGrid w:val="0"/>
        </w:rPr>
        <w:t> — </w:t>
      </w:r>
      <w:r>
        <w:rPr>
          <w:rStyle w:val="CharDivText"/>
        </w:rPr>
        <w:t>Determinations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rPr>
          <w:snapToGrid w:val="0"/>
        </w:rPr>
      </w:pPr>
      <w:bookmarkStart w:id="114" w:name="_Toc131324763"/>
      <w:bookmarkStart w:id="115" w:name="_Toc157830361"/>
      <w:bookmarkStart w:id="116" w:name="_Toc144179840"/>
      <w:r>
        <w:rPr>
          <w:rStyle w:val="CharSectno"/>
        </w:rPr>
        <w:t>12</w:t>
      </w:r>
      <w:r>
        <w:rPr>
          <w:snapToGrid w:val="0"/>
        </w:rPr>
        <w:t>.</w:t>
      </w:r>
      <w:r>
        <w:rPr>
          <w:snapToGrid w:val="0"/>
        </w:rPr>
        <w:tab/>
        <w:t>Determinations</w:t>
      </w:r>
      <w:bookmarkEnd w:id="114"/>
      <w:bookmarkEnd w:id="115"/>
      <w:bookmarkEnd w:id="116"/>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17" w:name="_Toc131324764"/>
      <w:bookmarkStart w:id="118" w:name="_Toc157830362"/>
      <w:bookmarkStart w:id="119" w:name="_Toc144179841"/>
      <w:r>
        <w:rPr>
          <w:rStyle w:val="CharSectno"/>
        </w:rPr>
        <w:t>13</w:t>
      </w:r>
      <w:r>
        <w:rPr>
          <w:snapToGrid w:val="0"/>
        </w:rPr>
        <w:t>.</w:t>
      </w:r>
      <w:r>
        <w:rPr>
          <w:snapToGrid w:val="0"/>
        </w:rPr>
        <w:tab/>
        <w:t>Orders as to costs</w:t>
      </w:r>
      <w:bookmarkEnd w:id="117"/>
      <w:bookmarkEnd w:id="118"/>
      <w:bookmarkEnd w:id="119"/>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20" w:name="_Toc131324765"/>
      <w:bookmarkStart w:id="121" w:name="_Toc157830363"/>
      <w:bookmarkStart w:id="122" w:name="_Toc144179842"/>
      <w:r>
        <w:rPr>
          <w:rStyle w:val="CharSectno"/>
        </w:rPr>
        <w:t>14</w:t>
      </w:r>
      <w:r>
        <w:rPr>
          <w:snapToGrid w:val="0"/>
        </w:rPr>
        <w:t>.</w:t>
      </w:r>
      <w:r>
        <w:rPr>
          <w:snapToGrid w:val="0"/>
        </w:rPr>
        <w:tab/>
        <w:t>Effect of a determination</w:t>
      </w:r>
      <w:bookmarkEnd w:id="120"/>
      <w:bookmarkEnd w:id="121"/>
      <w:bookmarkEnd w:id="122"/>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23" w:name="_Toc89162440"/>
      <w:bookmarkStart w:id="124" w:name="_Toc101855880"/>
      <w:bookmarkStart w:id="125" w:name="_Toc121561770"/>
      <w:bookmarkStart w:id="126" w:name="_Toc122429824"/>
      <w:bookmarkStart w:id="127" w:name="_Toc122947883"/>
      <w:bookmarkStart w:id="128" w:name="_Toc124061819"/>
      <w:bookmarkStart w:id="129" w:name="_Toc131324766"/>
      <w:bookmarkStart w:id="130" w:name="_Toc138469710"/>
      <w:bookmarkStart w:id="131" w:name="_Toc139963093"/>
      <w:bookmarkStart w:id="132" w:name="_Toc140373344"/>
      <w:bookmarkStart w:id="133" w:name="_Toc140373395"/>
      <w:bookmarkStart w:id="134" w:name="_Toc142213863"/>
      <w:bookmarkStart w:id="135" w:name="_Toc144179843"/>
      <w:bookmarkStart w:id="136" w:name="_Toc157830364"/>
      <w:r>
        <w:rPr>
          <w:rStyle w:val="CharDivNo"/>
        </w:rPr>
        <w:t>Division 4</w:t>
      </w:r>
      <w:r>
        <w:rPr>
          <w:snapToGrid w:val="0"/>
        </w:rPr>
        <w:t> — </w:t>
      </w:r>
      <w:r>
        <w:rPr>
          <w:rStyle w:val="CharDivText"/>
        </w:rPr>
        <w:t>Staff and administration</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131324767"/>
      <w:bookmarkStart w:id="138" w:name="_Toc157830365"/>
      <w:bookmarkStart w:id="139" w:name="_Toc144179844"/>
      <w:r>
        <w:rPr>
          <w:rStyle w:val="CharSectno"/>
        </w:rPr>
        <w:t>15</w:t>
      </w:r>
      <w:r>
        <w:rPr>
          <w:snapToGrid w:val="0"/>
        </w:rPr>
        <w:t>.</w:t>
      </w:r>
      <w:r>
        <w:rPr>
          <w:snapToGrid w:val="0"/>
        </w:rPr>
        <w:tab/>
        <w:t>Staff</w:t>
      </w:r>
      <w:bookmarkEnd w:id="137"/>
      <w:bookmarkEnd w:id="138"/>
      <w:bookmarkEnd w:id="139"/>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40" w:name="_Toc131324768"/>
      <w:bookmarkStart w:id="141" w:name="_Toc157830366"/>
      <w:bookmarkStart w:id="142" w:name="_Toc144179845"/>
      <w:r>
        <w:rPr>
          <w:rStyle w:val="CharSectno"/>
        </w:rPr>
        <w:t>16</w:t>
      </w:r>
      <w:r>
        <w:rPr>
          <w:snapToGrid w:val="0"/>
        </w:rPr>
        <w:t>.</w:t>
      </w:r>
      <w:r>
        <w:rPr>
          <w:snapToGrid w:val="0"/>
        </w:rPr>
        <w:tab/>
        <w:t>The Registrar</w:t>
      </w:r>
      <w:bookmarkEnd w:id="140"/>
      <w:bookmarkEnd w:id="141"/>
      <w:bookmarkEnd w:id="142"/>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43" w:name="_Toc131324769"/>
      <w:bookmarkStart w:id="144" w:name="_Toc157830367"/>
      <w:bookmarkStart w:id="145" w:name="_Toc144179846"/>
      <w:r>
        <w:rPr>
          <w:rStyle w:val="CharSectno"/>
        </w:rPr>
        <w:t>17</w:t>
      </w:r>
      <w:r>
        <w:rPr>
          <w:snapToGrid w:val="0"/>
        </w:rPr>
        <w:t>.</w:t>
      </w:r>
      <w:r>
        <w:rPr>
          <w:snapToGrid w:val="0"/>
        </w:rPr>
        <w:tab/>
        <w:t>Relationship with Minister</w:t>
      </w:r>
      <w:bookmarkEnd w:id="143"/>
      <w:bookmarkEnd w:id="144"/>
      <w:bookmarkEnd w:id="14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w:t>
      </w:r>
      <w:del w:id="146" w:author="svcMRProcess" w:date="2018-08-20T10:56:00Z">
        <w:r>
          <w:rPr>
            <w:i/>
            <w:snapToGrid w:val="0"/>
          </w:rPr>
          <w:delText>Administration and Audit</w:delText>
        </w:r>
      </w:del>
      <w:ins w:id="147" w:author="svcMRProcess" w:date="2018-08-20T10:56:00Z">
        <w:r>
          <w:rPr>
            <w:i/>
            <w:iCs/>
          </w:rPr>
          <w:t>Management</w:t>
        </w:r>
      </w:ins>
      <w:r>
        <w:rPr>
          <w:i/>
          <w:iCs/>
        </w:rPr>
        <w:t xml:space="preserve"> Act </w:t>
      </w:r>
      <w:del w:id="148" w:author="svcMRProcess" w:date="2018-08-20T10:56:00Z">
        <w:r>
          <w:rPr>
            <w:i/>
            <w:snapToGrid w:val="0"/>
          </w:rPr>
          <w:delText>1985</w:delText>
        </w:r>
      </w:del>
      <w:ins w:id="149" w:author="svcMRProcess" w:date="2018-08-20T10:56:00Z">
        <w:r>
          <w:rPr>
            <w:i/>
            <w:iCs/>
          </w:rPr>
          <w:t>2006</w:t>
        </w:r>
      </w:ins>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pPr>
      <w:r>
        <w:rPr>
          <w:b/>
        </w:rPr>
        <w:tab/>
        <w:t>“</w:t>
      </w:r>
      <w:r>
        <w:rPr>
          <w:rStyle w:val="CharDefText"/>
        </w:rPr>
        <w:t>parliamentary purposes</w:t>
      </w:r>
      <w:r>
        <w:rPr>
          <w:b/>
        </w:rPr>
        <w:t>”</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rPr>
          <w:ins w:id="150" w:author="svcMRProcess" w:date="2018-08-20T10:56:00Z"/>
        </w:rPr>
      </w:pPr>
      <w:ins w:id="151" w:author="svcMRProcess" w:date="2018-08-20T10:56:00Z">
        <w:r>
          <w:tab/>
          <w:t>[Section 17 amended by No. 77 of 2006 s. 17.]</w:t>
        </w:r>
      </w:ins>
    </w:p>
    <w:p>
      <w:pPr>
        <w:pStyle w:val="Heading5"/>
        <w:rPr>
          <w:snapToGrid w:val="0"/>
        </w:rPr>
      </w:pPr>
      <w:bookmarkStart w:id="152" w:name="_Toc131324770"/>
      <w:bookmarkStart w:id="153" w:name="_Toc157830368"/>
      <w:bookmarkStart w:id="154" w:name="_Toc144179847"/>
      <w:r>
        <w:rPr>
          <w:rStyle w:val="CharSectno"/>
        </w:rPr>
        <w:t>18</w:t>
      </w:r>
      <w:r>
        <w:rPr>
          <w:snapToGrid w:val="0"/>
        </w:rPr>
        <w:t>.</w:t>
      </w:r>
      <w:r>
        <w:rPr>
          <w:snapToGrid w:val="0"/>
        </w:rPr>
        <w:tab/>
        <w:t>Ministerial directions</w:t>
      </w:r>
      <w:bookmarkEnd w:id="152"/>
      <w:bookmarkEnd w:id="153"/>
      <w:bookmarkEnd w:id="154"/>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del w:id="155" w:author="svcMRProcess" w:date="2018-08-20T10:56:00Z">
        <w:r>
          <w:rPr>
            <w:snapToGrid w:val="0"/>
          </w:rPr>
          <w:delText>section 66</w:delText>
        </w:r>
      </w:del>
      <w:ins w:id="156" w:author="svcMRProcess" w:date="2018-08-20T10:56:00Z">
        <w:r>
          <w:t>Part 5</w:t>
        </w:r>
      </w:ins>
      <w:r>
        <w:t xml:space="preserve"> of the </w:t>
      </w:r>
      <w:r>
        <w:rPr>
          <w:i/>
          <w:iCs/>
        </w:rPr>
        <w:t xml:space="preserve">Financial </w:t>
      </w:r>
      <w:del w:id="157" w:author="svcMRProcess" w:date="2018-08-20T10:56:00Z">
        <w:r>
          <w:rPr>
            <w:i/>
            <w:snapToGrid w:val="0"/>
          </w:rPr>
          <w:delText>Administration and Audit</w:delText>
        </w:r>
      </w:del>
      <w:ins w:id="158" w:author="svcMRProcess" w:date="2018-08-20T10:56:00Z">
        <w:r>
          <w:rPr>
            <w:i/>
            <w:iCs/>
          </w:rPr>
          <w:t>Management</w:t>
        </w:r>
      </w:ins>
      <w:r>
        <w:rPr>
          <w:i/>
          <w:iCs/>
        </w:rPr>
        <w:t xml:space="preserve"> Act </w:t>
      </w:r>
      <w:del w:id="159" w:author="svcMRProcess" w:date="2018-08-20T10:56:00Z">
        <w:r>
          <w:rPr>
            <w:i/>
            <w:snapToGrid w:val="0"/>
          </w:rPr>
          <w:delText>1985</w:delText>
        </w:r>
      </w:del>
      <w:ins w:id="160" w:author="svcMRProcess" w:date="2018-08-20T10:56:00Z">
        <w:r>
          <w:rPr>
            <w:i/>
            <w:iCs/>
          </w:rPr>
          <w:t>2006</w:t>
        </w:r>
      </w:ins>
      <w:r>
        <w:rPr>
          <w:snapToGrid w:val="0"/>
        </w:rPr>
        <w:t>.</w:t>
      </w:r>
    </w:p>
    <w:p>
      <w:pPr>
        <w:pStyle w:val="Footnotesection"/>
        <w:rPr>
          <w:ins w:id="161" w:author="svcMRProcess" w:date="2018-08-20T10:56:00Z"/>
        </w:rPr>
      </w:pPr>
      <w:ins w:id="162" w:author="svcMRProcess" w:date="2018-08-20T10:56:00Z">
        <w:r>
          <w:tab/>
          <w:t>[Section 18 amended by No. 77 of 2006 s. 17.]</w:t>
        </w:r>
      </w:ins>
    </w:p>
    <w:p>
      <w:pPr>
        <w:pStyle w:val="Heading5"/>
        <w:rPr>
          <w:snapToGrid w:val="0"/>
        </w:rPr>
      </w:pPr>
      <w:bookmarkStart w:id="163" w:name="_Toc131324771"/>
      <w:bookmarkStart w:id="164" w:name="_Toc157830369"/>
      <w:bookmarkStart w:id="165" w:name="_Toc144179848"/>
      <w:r>
        <w:rPr>
          <w:rStyle w:val="CharSectno"/>
        </w:rPr>
        <w:t>19</w:t>
      </w:r>
      <w:r>
        <w:rPr>
          <w:snapToGrid w:val="0"/>
        </w:rPr>
        <w:t>.</w:t>
      </w:r>
      <w:r>
        <w:rPr>
          <w:snapToGrid w:val="0"/>
        </w:rPr>
        <w:tab/>
        <w:t>Remuneration and expenses</w:t>
      </w:r>
      <w:bookmarkEnd w:id="163"/>
      <w:bookmarkEnd w:id="164"/>
      <w:bookmarkEnd w:id="165"/>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66" w:name="_Toc131324772"/>
      <w:bookmarkStart w:id="167" w:name="_Toc157830370"/>
      <w:bookmarkStart w:id="168" w:name="_Toc144179849"/>
      <w:r>
        <w:rPr>
          <w:rStyle w:val="CharSectno"/>
        </w:rPr>
        <w:t>20</w:t>
      </w:r>
      <w:r>
        <w:rPr>
          <w:snapToGrid w:val="0"/>
        </w:rPr>
        <w:t>.</w:t>
      </w:r>
      <w:r>
        <w:rPr>
          <w:snapToGrid w:val="0"/>
        </w:rPr>
        <w:tab/>
        <w:t>Funds of the Board</w:t>
      </w:r>
      <w:bookmarkEnd w:id="166"/>
      <w:bookmarkEnd w:id="167"/>
      <w:bookmarkEnd w:id="168"/>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r>
      <w:del w:id="169" w:author="svcMRProcess" w:date="2018-08-20T10:56:00Z">
        <w:r>
          <w:rPr>
            <w:snapToGrid w:val="0"/>
          </w:rPr>
          <w:delText xml:space="preserve">There shall be </w:delText>
        </w:r>
      </w:del>
      <w:ins w:id="170" w:author="svcMRProcess" w:date="2018-08-20T10:56:00Z">
        <w:r>
          <w:t xml:space="preserve">An account called the Western Australian Agricultural Practices Board Account is to be </w:t>
        </w:r>
      </w:ins>
      <w:r>
        <w:t>established</w:t>
      </w:r>
      <w:del w:id="171" w:author="svcMRProcess" w:date="2018-08-20T10:56:00Z">
        <w:r>
          <w:rPr>
            <w:snapToGrid w:val="0"/>
          </w:rPr>
          <w:delText xml:space="preserve"> and kept —</w:delText>
        </w:r>
      </w:del>
      <w:ins w:id="172" w:author="svcMRProcess" w:date="2018-08-20T10:56:00Z">
        <w:r>
          <w:t xml:space="preserve"> — </w:t>
        </w:r>
      </w:ins>
    </w:p>
    <w:p>
      <w:pPr>
        <w:pStyle w:val="Indenta"/>
      </w:pPr>
      <w:r>
        <w:tab/>
        <w:t>(a)</w:t>
      </w:r>
      <w:r>
        <w:tab/>
      </w:r>
      <w:del w:id="173" w:author="svcMRProcess" w:date="2018-08-20T10:56:00Z">
        <w:r>
          <w:rPr>
            <w:snapToGrid w:val="0"/>
          </w:rPr>
          <w:delText xml:space="preserve">at the Treasury, </w:delText>
        </w:r>
      </w:del>
      <w:r>
        <w:t xml:space="preserve">as an </w:t>
      </w:r>
      <w:ins w:id="174" w:author="svcMRProcess" w:date="2018-08-20T10:56:00Z">
        <w:r>
          <w:t xml:space="preserve">agency special purpose </w:t>
        </w:r>
      </w:ins>
      <w:r>
        <w:t xml:space="preserve">account </w:t>
      </w:r>
      <w:del w:id="175" w:author="svcMRProcess" w:date="2018-08-20T10:56:00Z">
        <w:r>
          <w:rPr>
            <w:snapToGrid w:val="0"/>
          </w:rPr>
          <w:delText xml:space="preserve">forming part of the Trust Fund constituted </w:delText>
        </w:r>
      </w:del>
      <w:r>
        <w:t>under section </w:t>
      </w:r>
      <w:del w:id="176" w:author="svcMRProcess" w:date="2018-08-20T10:56:00Z">
        <w:r>
          <w:rPr>
            <w:snapToGrid w:val="0"/>
          </w:rPr>
          <w:delText>9</w:delText>
        </w:r>
      </w:del>
      <w:ins w:id="177" w:author="svcMRProcess" w:date="2018-08-20T10:56:00Z">
        <w:r>
          <w:t>16</w:t>
        </w:r>
      </w:ins>
      <w:r>
        <w:t xml:space="preserve"> of the </w:t>
      </w:r>
      <w:r>
        <w:rPr>
          <w:i/>
          <w:iCs/>
        </w:rPr>
        <w:t xml:space="preserve">Financial </w:t>
      </w:r>
      <w:del w:id="178" w:author="svcMRProcess" w:date="2018-08-20T10:56:00Z">
        <w:r>
          <w:rPr>
            <w:i/>
            <w:snapToGrid w:val="0"/>
          </w:rPr>
          <w:delText>Administration and Audit</w:delText>
        </w:r>
      </w:del>
      <w:ins w:id="179" w:author="svcMRProcess" w:date="2018-08-20T10:56:00Z">
        <w:r>
          <w:rPr>
            <w:i/>
            <w:iCs/>
          </w:rPr>
          <w:t>Management</w:t>
        </w:r>
      </w:ins>
      <w:r>
        <w:rPr>
          <w:i/>
          <w:iCs/>
        </w:rPr>
        <w:t xml:space="preserve"> Act </w:t>
      </w:r>
      <w:del w:id="180" w:author="svcMRProcess" w:date="2018-08-20T10:56:00Z">
        <w:r>
          <w:rPr>
            <w:i/>
            <w:snapToGrid w:val="0"/>
          </w:rPr>
          <w:delText>1985</w:delText>
        </w:r>
      </w:del>
      <w:ins w:id="181" w:author="svcMRProcess" w:date="2018-08-20T10:56:00Z">
        <w:r>
          <w:rPr>
            <w:i/>
            <w:iCs/>
          </w:rPr>
          <w:t>2006</w:t>
        </w:r>
      </w:ins>
      <w:r>
        <w:t>; or</w:t>
      </w:r>
    </w:p>
    <w:p>
      <w:pPr>
        <w:pStyle w:val="Indenta"/>
      </w:pPr>
      <w:r>
        <w:tab/>
        <w:t>(b)</w:t>
      </w:r>
      <w:r>
        <w:tab/>
        <w:t>with the approval of the Treasurer, at a bank</w:t>
      </w:r>
      <w:ins w:id="182" w:author="svcMRProcess" w:date="2018-08-20T10:56:00Z">
        <w:r>
          <w:t xml:space="preserve"> as defined in section 3 of that Act</w:t>
        </w:r>
      </w:ins>
      <w:r>
        <w:t>,</w:t>
      </w:r>
    </w:p>
    <w:p>
      <w:pPr>
        <w:pStyle w:val="Subsection"/>
      </w:pPr>
      <w:del w:id="183" w:author="svcMRProcess" w:date="2018-08-20T10:56:00Z">
        <w:r>
          <w:rPr>
            <w:snapToGrid w:val="0"/>
          </w:rPr>
          <w:tab/>
        </w:r>
        <w:r>
          <w:rPr>
            <w:snapToGrid w:val="0"/>
          </w:rPr>
          <w:tab/>
          <w:delText xml:space="preserve">an account to be called the “Western Australian Agricultural Practices Board Fund”, and the </w:delText>
        </w:r>
      </w:del>
      <w:ins w:id="184" w:author="svcMRProcess" w:date="2018-08-20T10:56:00Z">
        <w:r>
          <w:tab/>
        </w:r>
        <w:r>
          <w:tab/>
          <w:t xml:space="preserve">and the </w:t>
        </w:r>
      </w:ins>
      <w:r>
        <w:t xml:space="preserve">cost of the administration of this Act </w:t>
      </w:r>
      <w:del w:id="185" w:author="svcMRProcess" w:date="2018-08-20T10:56:00Z">
        <w:r>
          <w:rPr>
            <w:snapToGrid w:val="0"/>
          </w:rPr>
          <w:delText>shall</w:delText>
        </w:r>
      </w:del>
      <w:ins w:id="186" w:author="svcMRProcess" w:date="2018-08-20T10:56:00Z">
        <w:r>
          <w:t>is to</w:t>
        </w:r>
      </w:ins>
      <w:r>
        <w:t xml:space="preserve"> be paid from that account.</w:t>
      </w:r>
    </w:p>
    <w:p>
      <w:pPr>
        <w:pStyle w:val="Subsection"/>
        <w:rPr>
          <w:snapToGrid w:val="0"/>
        </w:rPr>
      </w:pPr>
      <w:r>
        <w:rPr>
          <w:snapToGrid w:val="0"/>
        </w:rPr>
        <w:tab/>
        <w:t>(3)</w:t>
      </w:r>
      <w:r>
        <w:rPr>
          <w:snapToGrid w:val="0"/>
        </w:rPr>
        <w:tab/>
        <w:t xml:space="preserve">There shall be credited to the </w:t>
      </w:r>
      <w:del w:id="187" w:author="svcMRProcess" w:date="2018-08-20T10:56:00Z">
        <w:r>
          <w:rPr>
            <w:snapToGrid w:val="0"/>
          </w:rPr>
          <w:delText>Fund</w:delText>
        </w:r>
      </w:del>
      <w:ins w:id="188" w:author="svcMRProcess" w:date="2018-08-20T10:56:00Z">
        <w:r>
          <w:rPr>
            <w:snapToGrid w:val="0"/>
          </w:rPr>
          <w:t>Account</w:t>
        </w:r>
      </w:ins>
      <w:r>
        <w:rPr>
          <w:snapToGrid w:val="0"/>
        </w:rPr>
        <w:t xml:space="preserve"> established under subsection (2) all moneys to which subsection (1) refers.</w:t>
      </w:r>
    </w:p>
    <w:p>
      <w:pPr>
        <w:pStyle w:val="Footnotesection"/>
        <w:rPr>
          <w:ins w:id="189" w:author="svcMRProcess" w:date="2018-08-20T10:56:00Z"/>
        </w:rPr>
      </w:pPr>
      <w:ins w:id="190" w:author="svcMRProcess" w:date="2018-08-20T10:56:00Z">
        <w:r>
          <w:tab/>
          <w:t>[Section 20 amended by No. 77 of 2006 s. 17.]</w:t>
        </w:r>
      </w:ins>
    </w:p>
    <w:p>
      <w:pPr>
        <w:pStyle w:val="Heading5"/>
        <w:rPr>
          <w:snapToGrid w:val="0"/>
        </w:rPr>
      </w:pPr>
      <w:bookmarkStart w:id="191" w:name="_Toc131324773"/>
      <w:bookmarkStart w:id="192" w:name="_Toc144179850"/>
      <w:bookmarkStart w:id="193" w:name="_Toc157830371"/>
      <w:r>
        <w:rPr>
          <w:rStyle w:val="CharSectno"/>
        </w:rPr>
        <w:t>21</w:t>
      </w:r>
      <w:r>
        <w:rPr>
          <w:snapToGrid w:val="0"/>
        </w:rPr>
        <w:t>.</w:t>
      </w:r>
      <w:r>
        <w:rPr>
          <w:snapToGrid w:val="0"/>
        </w:rPr>
        <w:tab/>
        <w:t xml:space="preserve">Application of </w:t>
      </w:r>
      <w:bookmarkEnd w:id="191"/>
      <w:r>
        <w:rPr>
          <w:i/>
          <w:iCs/>
        </w:rPr>
        <w:t xml:space="preserve">Financial </w:t>
      </w:r>
      <w:del w:id="194" w:author="svcMRProcess" w:date="2018-08-20T10:56:00Z">
        <w:r>
          <w:rPr>
            <w:i/>
            <w:snapToGrid w:val="0"/>
          </w:rPr>
          <w:delText>Administration and Audit Act 1985</w:delText>
        </w:r>
      </w:del>
      <w:bookmarkEnd w:id="192"/>
      <w:ins w:id="195" w:author="svcMRProcess" w:date="2018-08-20T10:56:00Z">
        <w:r>
          <w:rPr>
            <w:i/>
            <w:iCs/>
          </w:rPr>
          <w:t>Management Act 2006</w:t>
        </w:r>
        <w:r>
          <w:t xml:space="preserve"> and </w:t>
        </w:r>
        <w:r>
          <w:rPr>
            <w:i/>
            <w:iCs/>
          </w:rPr>
          <w:t>Auditor General Act 2006</w:t>
        </w:r>
      </w:ins>
      <w:bookmarkEnd w:id="193"/>
    </w:p>
    <w:p>
      <w:pPr>
        <w:pStyle w:val="Subsection"/>
        <w:rPr>
          <w:snapToGrid w:val="0"/>
        </w:rPr>
      </w:pPr>
      <w:r>
        <w:rPr>
          <w:snapToGrid w:val="0"/>
        </w:rPr>
        <w:tab/>
      </w:r>
      <w:r>
        <w:rPr>
          <w:snapToGrid w:val="0"/>
        </w:rPr>
        <w:tab/>
        <w:t xml:space="preserve">The provisions of the </w:t>
      </w:r>
      <w:r>
        <w:rPr>
          <w:i/>
          <w:iCs/>
        </w:rPr>
        <w:t xml:space="preserve">Financial </w:t>
      </w:r>
      <w:del w:id="196" w:author="svcMRProcess" w:date="2018-08-20T10:56:00Z">
        <w:r>
          <w:rPr>
            <w:i/>
            <w:snapToGrid w:val="0"/>
          </w:rPr>
          <w:delText>Administration and Audit Act 1985</w:delText>
        </w:r>
      </w:del>
      <w:ins w:id="197" w:author="svcMRProcess" w:date="2018-08-20T10:56:00Z">
        <w:r>
          <w:rPr>
            <w:i/>
            <w:iCs/>
          </w:rPr>
          <w:t>Management Act 2006</w:t>
        </w:r>
        <w:r>
          <w:t xml:space="preserve"> and the </w:t>
        </w:r>
        <w:r>
          <w:rPr>
            <w:i/>
            <w:iCs/>
          </w:rPr>
          <w:t>Auditor General Act 2006</w:t>
        </w:r>
      </w:ins>
      <w:r>
        <w:rPr>
          <w:i/>
          <w:iCs/>
        </w:rPr>
        <w:t xml:space="preserve"> </w:t>
      </w:r>
      <w:r>
        <w:rPr>
          <w:snapToGrid w:val="0"/>
        </w:rPr>
        <w:t>regulating the financial administration, audit and reporting of statutory authorities apply to and in respect of the Board and its operations.</w:t>
      </w:r>
    </w:p>
    <w:p>
      <w:pPr>
        <w:pStyle w:val="Footnotesection"/>
        <w:rPr>
          <w:ins w:id="198" w:author="svcMRProcess" w:date="2018-08-20T10:56:00Z"/>
        </w:rPr>
      </w:pPr>
      <w:ins w:id="199" w:author="svcMRProcess" w:date="2018-08-20T10:56:00Z">
        <w:r>
          <w:tab/>
          <w:t>[Section 21 amended by No. 77 of 2006 s. 17.]</w:t>
        </w:r>
      </w:ins>
    </w:p>
    <w:p>
      <w:pPr>
        <w:pStyle w:val="Ednotesection"/>
        <w:rPr>
          <w:ins w:id="200" w:author="svcMRProcess" w:date="2018-08-20T10:56:00Z"/>
        </w:rPr>
      </w:pPr>
      <w:r>
        <w:t>[</w:t>
      </w:r>
      <w:r>
        <w:rPr>
          <w:b/>
          <w:bCs/>
        </w:rPr>
        <w:t>22</w:t>
      </w:r>
      <w:del w:id="201" w:author="svcMRProcess" w:date="2018-08-20T10:56:00Z">
        <w:r>
          <w:rPr>
            <w:b/>
            <w:bCs/>
          </w:rPr>
          <w:delText xml:space="preserve">, </w:delText>
        </w:r>
      </w:del>
      <w:ins w:id="202" w:author="svcMRProcess" w:date="2018-08-20T10:56:00Z">
        <w:r>
          <w:rPr>
            <w:b/>
            <w:bCs/>
          </w:rPr>
          <w:t>.</w:t>
        </w:r>
        <w:r>
          <w:rPr>
            <w:b/>
            <w:bCs/>
          </w:rPr>
          <w:tab/>
        </w:r>
        <w:r>
          <w:t>Repealed by No. 77 of 2006 s. 17.]</w:t>
        </w:r>
      </w:ins>
    </w:p>
    <w:p>
      <w:pPr>
        <w:pStyle w:val="Ednotesection"/>
        <w:ind w:left="0" w:firstLine="0"/>
      </w:pPr>
      <w:bookmarkStart w:id="203" w:name="_Toc131324776"/>
      <w:ins w:id="204" w:author="svcMRProcess" w:date="2018-08-20T10:56:00Z">
        <w:r>
          <w:t>[</w:t>
        </w:r>
      </w:ins>
      <w:r>
        <w:rPr>
          <w:b/>
          <w:bCs/>
        </w:rPr>
        <w:t>23.</w:t>
      </w:r>
      <w:r>
        <w:tab/>
        <w:t>Omitted under the Reprints Act 1984 s. 7(4)(e).]</w:t>
      </w:r>
    </w:p>
    <w:p>
      <w:pPr>
        <w:pStyle w:val="Heading5"/>
        <w:rPr>
          <w:snapToGrid w:val="0"/>
        </w:rPr>
      </w:pPr>
      <w:bookmarkStart w:id="205" w:name="_Toc157830372"/>
      <w:bookmarkStart w:id="206" w:name="_Toc144179851"/>
      <w:r>
        <w:rPr>
          <w:rStyle w:val="CharSectno"/>
        </w:rPr>
        <w:t>24</w:t>
      </w:r>
      <w:r>
        <w:rPr>
          <w:snapToGrid w:val="0"/>
        </w:rPr>
        <w:t>.</w:t>
      </w:r>
      <w:r>
        <w:rPr>
          <w:snapToGrid w:val="0"/>
        </w:rPr>
        <w:tab/>
        <w:t>Review of Act</w:t>
      </w:r>
      <w:bookmarkEnd w:id="203"/>
      <w:bookmarkEnd w:id="205"/>
      <w:bookmarkEnd w:id="206"/>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207" w:name="_Toc131324777"/>
      <w:bookmarkStart w:id="208" w:name="_Toc157830373"/>
      <w:bookmarkStart w:id="209" w:name="_Toc144179852"/>
      <w:r>
        <w:rPr>
          <w:rStyle w:val="CharSectno"/>
        </w:rPr>
        <w:t>25</w:t>
      </w:r>
      <w:r>
        <w:rPr>
          <w:snapToGrid w:val="0"/>
        </w:rPr>
        <w:t>.</w:t>
      </w:r>
      <w:r>
        <w:rPr>
          <w:snapToGrid w:val="0"/>
        </w:rPr>
        <w:tab/>
        <w:t>Regulations</w:t>
      </w:r>
      <w:bookmarkEnd w:id="207"/>
      <w:bookmarkEnd w:id="208"/>
      <w:bookmarkEnd w:id="2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10" w:name="_Toc139963105"/>
      <w:bookmarkStart w:id="211" w:name="_Toc140373356"/>
      <w:bookmarkStart w:id="212" w:name="_Toc140373407"/>
      <w:bookmarkStart w:id="213" w:name="_Toc142213873"/>
      <w:bookmarkStart w:id="214" w:name="_Toc144179853"/>
      <w:bookmarkStart w:id="215" w:name="_Toc157830374"/>
      <w:r>
        <w:rPr>
          <w:rStyle w:val="CharSchNo"/>
        </w:rPr>
        <w:t>Schedule 1</w:t>
      </w:r>
      <w:bookmarkEnd w:id="210"/>
      <w:bookmarkEnd w:id="211"/>
      <w:bookmarkEnd w:id="212"/>
      <w:bookmarkEnd w:id="213"/>
      <w:bookmarkEnd w:id="214"/>
      <w:bookmarkEnd w:id="215"/>
    </w:p>
    <w:p>
      <w:pPr>
        <w:pStyle w:val="yShoulderClause"/>
        <w:rPr>
          <w:snapToGrid w:val="0"/>
        </w:rPr>
      </w:pPr>
      <w:r>
        <w:rPr>
          <w:snapToGrid w:val="0"/>
        </w:rPr>
        <w:t>[Section 7]</w:t>
      </w:r>
    </w:p>
    <w:p>
      <w:pPr>
        <w:pStyle w:val="yHeading2"/>
      </w:pPr>
      <w:bookmarkStart w:id="216" w:name="_Toc140373408"/>
      <w:bookmarkStart w:id="217" w:name="_Toc142213874"/>
      <w:bookmarkStart w:id="218" w:name="_Toc144179854"/>
      <w:bookmarkStart w:id="219" w:name="_Toc157830375"/>
      <w:r>
        <w:rPr>
          <w:rStyle w:val="CharSchText"/>
        </w:rPr>
        <w:t>The Board, and its proceedings</w:t>
      </w:r>
      <w:bookmarkEnd w:id="216"/>
      <w:bookmarkEnd w:id="217"/>
      <w:bookmarkEnd w:id="218"/>
      <w:bookmarkEnd w:id="219"/>
    </w:p>
    <w:p>
      <w:pPr>
        <w:pStyle w:val="yHeading5"/>
        <w:outlineLvl w:val="9"/>
        <w:rPr>
          <w:snapToGrid w:val="0"/>
        </w:rPr>
      </w:pPr>
      <w:bookmarkStart w:id="220" w:name="_Toc131324779"/>
      <w:bookmarkStart w:id="221" w:name="_Toc157830376"/>
      <w:bookmarkStart w:id="222" w:name="_Toc144179855"/>
      <w:r>
        <w:rPr>
          <w:rStyle w:val="CharSClsNo"/>
        </w:rPr>
        <w:t>1</w:t>
      </w:r>
      <w:r>
        <w:rPr>
          <w:snapToGrid w:val="0"/>
        </w:rPr>
        <w:t>.</w:t>
      </w:r>
      <w:r>
        <w:rPr>
          <w:snapToGrid w:val="0"/>
        </w:rPr>
        <w:tab/>
        <w:t>Chairperson and Acting Chairperson</w:t>
      </w:r>
      <w:bookmarkEnd w:id="220"/>
      <w:bookmarkEnd w:id="221"/>
      <w:bookmarkEnd w:id="222"/>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23" w:name="_Toc131324780"/>
      <w:bookmarkStart w:id="224" w:name="_Toc157830377"/>
      <w:bookmarkStart w:id="225" w:name="_Toc144179856"/>
      <w:r>
        <w:rPr>
          <w:rStyle w:val="CharSClsNo"/>
        </w:rPr>
        <w:t>2</w:t>
      </w:r>
      <w:r>
        <w:rPr>
          <w:snapToGrid w:val="0"/>
        </w:rPr>
        <w:t>.</w:t>
      </w:r>
      <w:r>
        <w:rPr>
          <w:snapToGrid w:val="0"/>
        </w:rPr>
        <w:tab/>
        <w:t>Members of the Board</w:t>
      </w:r>
      <w:bookmarkEnd w:id="223"/>
      <w:bookmarkEnd w:id="224"/>
      <w:bookmarkEnd w:id="225"/>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26" w:name="_Toc131324781"/>
      <w:bookmarkStart w:id="227" w:name="_Toc157830378"/>
      <w:bookmarkStart w:id="228" w:name="_Toc144179857"/>
      <w:r>
        <w:rPr>
          <w:rStyle w:val="CharSClsNo"/>
        </w:rPr>
        <w:t>3</w:t>
      </w:r>
      <w:r>
        <w:rPr>
          <w:snapToGrid w:val="0"/>
        </w:rPr>
        <w:t>.</w:t>
      </w:r>
      <w:r>
        <w:rPr>
          <w:snapToGrid w:val="0"/>
        </w:rPr>
        <w:tab/>
        <w:t>Public sector employee may be a member or mediator</w:t>
      </w:r>
      <w:bookmarkEnd w:id="226"/>
      <w:bookmarkEnd w:id="227"/>
      <w:bookmarkEnd w:id="228"/>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29" w:name="_Toc131324782"/>
      <w:bookmarkStart w:id="230" w:name="_Toc157830379"/>
      <w:bookmarkStart w:id="231" w:name="_Toc144179858"/>
      <w:r>
        <w:rPr>
          <w:rStyle w:val="CharSClsNo"/>
        </w:rPr>
        <w:t>4</w:t>
      </w:r>
      <w:r>
        <w:rPr>
          <w:snapToGrid w:val="0"/>
        </w:rPr>
        <w:t>.</w:t>
      </w:r>
      <w:r>
        <w:rPr>
          <w:snapToGrid w:val="0"/>
        </w:rPr>
        <w:tab/>
        <w:t>Mediation proceedings</w:t>
      </w:r>
      <w:bookmarkEnd w:id="229"/>
      <w:bookmarkEnd w:id="230"/>
      <w:bookmarkEnd w:id="231"/>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32" w:name="_Toc131324783"/>
      <w:bookmarkStart w:id="233" w:name="_Toc157830380"/>
      <w:bookmarkStart w:id="234" w:name="_Toc144179859"/>
      <w:r>
        <w:rPr>
          <w:rStyle w:val="CharSClsNo"/>
        </w:rPr>
        <w:t>5</w:t>
      </w:r>
      <w:r>
        <w:rPr>
          <w:snapToGrid w:val="0"/>
        </w:rPr>
        <w:t>.</w:t>
      </w:r>
      <w:r>
        <w:rPr>
          <w:snapToGrid w:val="0"/>
        </w:rPr>
        <w:tab/>
        <w:t>Tribunals of the Board</w:t>
      </w:r>
      <w:bookmarkEnd w:id="232"/>
      <w:bookmarkEnd w:id="233"/>
      <w:bookmarkEnd w:id="234"/>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35" w:name="_Toc131324784"/>
      <w:bookmarkStart w:id="236" w:name="_Toc157830381"/>
      <w:bookmarkStart w:id="237" w:name="_Toc144179860"/>
      <w:r>
        <w:rPr>
          <w:rStyle w:val="CharSClsNo"/>
        </w:rPr>
        <w:t>6</w:t>
      </w:r>
      <w:r>
        <w:rPr>
          <w:snapToGrid w:val="0"/>
        </w:rPr>
        <w:t>.</w:t>
      </w:r>
      <w:r>
        <w:rPr>
          <w:snapToGrid w:val="0"/>
        </w:rPr>
        <w:tab/>
        <w:t>Procedure for referring a dispute to the Board</w:t>
      </w:r>
      <w:bookmarkEnd w:id="235"/>
      <w:bookmarkEnd w:id="236"/>
      <w:bookmarkEnd w:id="237"/>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38" w:name="_Toc131324785"/>
      <w:bookmarkStart w:id="239" w:name="_Toc157830382"/>
      <w:bookmarkStart w:id="240" w:name="_Toc144179861"/>
      <w:r>
        <w:rPr>
          <w:rStyle w:val="CharSClsNo"/>
        </w:rPr>
        <w:t>7</w:t>
      </w:r>
      <w:r>
        <w:rPr>
          <w:snapToGrid w:val="0"/>
        </w:rPr>
        <w:t>.</w:t>
      </w:r>
      <w:r>
        <w:rPr>
          <w:snapToGrid w:val="0"/>
        </w:rPr>
        <w:tab/>
        <w:t>Proceedings before the Board or a tribunal</w:t>
      </w:r>
      <w:bookmarkEnd w:id="238"/>
      <w:bookmarkEnd w:id="239"/>
      <w:bookmarkEnd w:id="24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41" w:name="_Toc131324786"/>
      <w:bookmarkStart w:id="242" w:name="_Toc157830383"/>
      <w:bookmarkStart w:id="243" w:name="_Toc144179862"/>
      <w:r>
        <w:rPr>
          <w:rStyle w:val="CharSClsNo"/>
        </w:rPr>
        <w:t>8</w:t>
      </w:r>
      <w:r>
        <w:rPr>
          <w:snapToGrid w:val="0"/>
        </w:rPr>
        <w:t>.</w:t>
      </w:r>
      <w:r>
        <w:rPr>
          <w:snapToGrid w:val="0"/>
        </w:rPr>
        <w:tab/>
        <w:t>Offences relating to proceedings of the Board or a tribunal</w:t>
      </w:r>
      <w:bookmarkEnd w:id="241"/>
      <w:bookmarkEnd w:id="242"/>
      <w:bookmarkEnd w:id="243"/>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244" w:name="_Toc131324787"/>
      <w:bookmarkStart w:id="245" w:name="_Toc157830384"/>
      <w:bookmarkStart w:id="246" w:name="_Toc144179863"/>
      <w:r>
        <w:rPr>
          <w:rStyle w:val="CharSClsNo"/>
        </w:rPr>
        <w:t>9</w:t>
      </w:r>
      <w:r>
        <w:rPr>
          <w:snapToGrid w:val="0"/>
        </w:rPr>
        <w:t>.</w:t>
      </w:r>
      <w:r>
        <w:rPr>
          <w:snapToGrid w:val="0"/>
        </w:rPr>
        <w:tab/>
        <w:t>Costs</w:t>
      </w:r>
      <w:bookmarkEnd w:id="244"/>
      <w:bookmarkEnd w:id="245"/>
      <w:bookmarkEnd w:id="246"/>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47" w:name="_Toc131324788"/>
      <w:bookmarkStart w:id="248" w:name="_Toc157830385"/>
      <w:bookmarkStart w:id="249" w:name="_Toc144179864"/>
      <w:r>
        <w:rPr>
          <w:rStyle w:val="CharSClsNo"/>
        </w:rPr>
        <w:t>10</w:t>
      </w:r>
      <w:r>
        <w:rPr>
          <w:snapToGrid w:val="0"/>
        </w:rPr>
        <w:t>.</w:t>
      </w:r>
      <w:r>
        <w:rPr>
          <w:snapToGrid w:val="0"/>
        </w:rPr>
        <w:tab/>
        <w:t>Reasons for determinations</w:t>
      </w:r>
      <w:bookmarkEnd w:id="247"/>
      <w:bookmarkEnd w:id="248"/>
      <w:bookmarkEnd w:id="249"/>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50" w:name="_Toc131324789"/>
      <w:bookmarkStart w:id="251" w:name="_Toc157830386"/>
      <w:bookmarkStart w:id="252" w:name="_Toc144179865"/>
      <w:r>
        <w:rPr>
          <w:rStyle w:val="CharSClsNo"/>
        </w:rPr>
        <w:t>11</w:t>
      </w:r>
      <w:r>
        <w:rPr>
          <w:snapToGrid w:val="0"/>
        </w:rPr>
        <w:t>.</w:t>
      </w:r>
      <w:r>
        <w:rPr>
          <w:snapToGrid w:val="0"/>
        </w:rPr>
        <w:tab/>
        <w:t>Withdrawal of referrals</w:t>
      </w:r>
      <w:bookmarkEnd w:id="250"/>
      <w:bookmarkEnd w:id="251"/>
      <w:bookmarkEnd w:id="252"/>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53" w:name="_Toc131324790"/>
      <w:bookmarkStart w:id="254" w:name="_Toc157830387"/>
      <w:bookmarkStart w:id="255" w:name="_Toc144179866"/>
      <w:r>
        <w:rPr>
          <w:rStyle w:val="CharSClsNo"/>
        </w:rPr>
        <w:t>12</w:t>
      </w:r>
      <w:r>
        <w:rPr>
          <w:snapToGrid w:val="0"/>
        </w:rPr>
        <w:t>.</w:t>
      </w:r>
      <w:r>
        <w:rPr>
          <w:snapToGrid w:val="0"/>
        </w:rPr>
        <w:tab/>
        <w:t>Validity of proceedings, etc.</w:t>
      </w:r>
      <w:bookmarkEnd w:id="253"/>
      <w:bookmarkEnd w:id="254"/>
      <w:bookmarkEnd w:id="255"/>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56" w:name="_Toc131324791"/>
      <w:bookmarkStart w:id="257" w:name="_Toc157830388"/>
      <w:bookmarkStart w:id="258" w:name="_Toc144179867"/>
      <w:r>
        <w:rPr>
          <w:rStyle w:val="CharSClsNo"/>
        </w:rPr>
        <w:t>13</w:t>
      </w:r>
      <w:r>
        <w:rPr>
          <w:snapToGrid w:val="0"/>
        </w:rPr>
        <w:t>.</w:t>
      </w:r>
      <w:r>
        <w:rPr>
          <w:snapToGrid w:val="0"/>
        </w:rPr>
        <w:tab/>
        <w:t>Presumptions</w:t>
      </w:r>
      <w:bookmarkEnd w:id="256"/>
      <w:bookmarkEnd w:id="257"/>
      <w:bookmarkEnd w:id="258"/>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59" w:name="_Toc131324792"/>
      <w:bookmarkStart w:id="260" w:name="_Toc157830389"/>
      <w:bookmarkStart w:id="261" w:name="_Toc144179868"/>
      <w:r>
        <w:rPr>
          <w:rStyle w:val="CharSClsNo"/>
        </w:rPr>
        <w:t>14</w:t>
      </w:r>
      <w:r>
        <w:rPr>
          <w:snapToGrid w:val="0"/>
        </w:rPr>
        <w:t>.</w:t>
      </w:r>
      <w:r>
        <w:rPr>
          <w:snapToGrid w:val="0"/>
        </w:rPr>
        <w:tab/>
        <w:t>Evidentiary provisions</w:t>
      </w:r>
      <w:bookmarkEnd w:id="259"/>
      <w:bookmarkEnd w:id="260"/>
      <w:bookmarkEnd w:id="261"/>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pStyle w:val="CentredBaseLine"/>
        <w:jc w:val="center"/>
        <w:rPr>
          <w:del w:id="262" w:author="svcMRProcess" w:date="2018-08-20T10:56:00Z"/>
        </w:rPr>
      </w:pPr>
      <w:del w:id="263" w:author="svcMRProcess" w:date="2018-08-20T10:5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64" w:name="_Toc89162467"/>
      <w:bookmarkStart w:id="265" w:name="_Toc101855907"/>
      <w:bookmarkStart w:id="266" w:name="_Toc121561797"/>
      <w:bookmarkStart w:id="267" w:name="_Toc122429851"/>
      <w:bookmarkStart w:id="268" w:name="_Toc122947910"/>
      <w:bookmarkStart w:id="269" w:name="_Toc124061846"/>
      <w:bookmarkStart w:id="270" w:name="_Toc131324793"/>
      <w:bookmarkStart w:id="271" w:name="_Toc138469737"/>
      <w:bookmarkStart w:id="272" w:name="_Toc139963120"/>
      <w:bookmarkStart w:id="273" w:name="_Toc140373371"/>
      <w:bookmarkStart w:id="274" w:name="_Toc140373423"/>
      <w:bookmarkStart w:id="275" w:name="_Toc142213889"/>
      <w:bookmarkStart w:id="276" w:name="_Toc144179869"/>
      <w:bookmarkStart w:id="277" w:name="_Toc157830390"/>
      <w:r>
        <w:t>Notes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nSubsection"/>
        <w:rPr>
          <w:snapToGrid w:val="0"/>
        </w:rPr>
      </w:pPr>
      <w:r>
        <w:rPr>
          <w:snapToGrid w:val="0"/>
          <w:vertAlign w:val="superscript"/>
        </w:rPr>
        <w:t>1</w:t>
      </w:r>
      <w:r>
        <w:rPr>
          <w:snapToGrid w:val="0"/>
        </w:rPr>
        <w:tab/>
        <w:t xml:space="preserve">This </w:t>
      </w:r>
      <w:del w:id="278" w:author="svcMRProcess" w:date="2018-08-20T10:56:00Z">
        <w:r>
          <w:rPr>
            <w:snapToGrid w:val="0"/>
          </w:rPr>
          <w:delText xml:space="preserve">reprint </w:delText>
        </w:r>
      </w:del>
      <w:r>
        <w:rPr>
          <w:snapToGrid w:val="0"/>
        </w:rPr>
        <w:t xml:space="preserve">is a compilation </w:t>
      </w:r>
      <w:del w:id="279" w:author="svcMRProcess" w:date="2018-08-20T10:56:00Z">
        <w:r>
          <w:rPr>
            <w:snapToGrid w:val="0"/>
          </w:rPr>
          <w:delText xml:space="preserve">as at 11 August 2006 </w:delText>
        </w:r>
      </w:del>
      <w:r>
        <w:rPr>
          <w:snapToGrid w:val="0"/>
        </w:rPr>
        <w:t xml:space="preserve">of the </w:t>
      </w:r>
      <w:r>
        <w:rPr>
          <w:i/>
          <w:noProof/>
          <w:snapToGrid w:val="0"/>
        </w:rPr>
        <w:t>Agricultural Practices (Disputes) Act</w:t>
      </w:r>
      <w:del w:id="280" w:author="svcMRProcess" w:date="2018-08-20T10:56:00Z">
        <w:r>
          <w:rPr>
            <w:i/>
            <w:noProof/>
            <w:snapToGrid w:val="0"/>
          </w:rPr>
          <w:delText xml:space="preserve"> </w:delText>
        </w:r>
      </w:del>
      <w:ins w:id="281" w:author="svcMRProcess" w:date="2018-08-20T10:56:00Z">
        <w:r>
          <w:rPr>
            <w:i/>
            <w:noProof/>
            <w:snapToGrid w:val="0"/>
          </w:rPr>
          <w:t> </w:t>
        </w:r>
      </w:ins>
      <w:r>
        <w:rPr>
          <w:i/>
          <w:noProof/>
          <w:snapToGrid w:val="0"/>
        </w:rPr>
        <w:t>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2" w:name="_Toc157830391"/>
      <w:bookmarkStart w:id="283" w:name="_Toc144179870"/>
      <w:r>
        <w:rPr>
          <w:snapToGrid w:val="0"/>
        </w:rPr>
        <w:t>Compilation table</w:t>
      </w:r>
      <w:bookmarkEnd w:id="282"/>
      <w:bookmarkEnd w:id="2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ins w:id="284" w:author="svcMRProcess" w:date="2018-08-20T10:56:00Z"/>
        </w:trPr>
        <w:tc>
          <w:tcPr>
            <w:tcW w:w="2268" w:type="dxa"/>
            <w:tcBorders>
              <w:bottom w:val="single" w:sz="4" w:space="0" w:color="auto"/>
            </w:tcBorders>
          </w:tcPr>
          <w:p>
            <w:pPr>
              <w:pStyle w:val="nTable"/>
              <w:spacing w:after="40"/>
              <w:ind w:right="113"/>
              <w:rPr>
                <w:ins w:id="285" w:author="svcMRProcess" w:date="2018-08-20T10:56:00Z"/>
                <w:sz w:val="19"/>
              </w:rPr>
            </w:pPr>
            <w:ins w:id="286" w:author="svcMRProcess" w:date="2018-08-20T10:56: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287" w:author="svcMRProcess" w:date="2018-08-20T10:56:00Z"/>
                <w:sz w:val="19"/>
              </w:rPr>
            </w:pPr>
            <w:ins w:id="288" w:author="svcMRProcess" w:date="2018-08-20T10:56:00Z">
              <w:r>
                <w:rPr>
                  <w:snapToGrid w:val="0"/>
                  <w:sz w:val="19"/>
                  <w:lang w:val="en-US"/>
                </w:rPr>
                <w:t xml:space="preserve">77 of 2006 </w:t>
              </w:r>
            </w:ins>
          </w:p>
        </w:tc>
        <w:tc>
          <w:tcPr>
            <w:tcW w:w="1134" w:type="dxa"/>
            <w:tcBorders>
              <w:bottom w:val="single" w:sz="4" w:space="0" w:color="auto"/>
            </w:tcBorders>
          </w:tcPr>
          <w:p>
            <w:pPr>
              <w:pStyle w:val="nTable"/>
              <w:spacing w:after="40"/>
              <w:rPr>
                <w:ins w:id="289" w:author="svcMRProcess" w:date="2018-08-20T10:56:00Z"/>
                <w:sz w:val="19"/>
              </w:rPr>
            </w:pPr>
            <w:ins w:id="290" w:author="svcMRProcess" w:date="2018-08-20T10:56:00Z">
              <w:r>
                <w:rPr>
                  <w:snapToGrid w:val="0"/>
                  <w:sz w:val="19"/>
                  <w:lang w:val="en-US"/>
                </w:rPr>
                <w:t>21 Dec 2006</w:t>
              </w:r>
            </w:ins>
          </w:p>
        </w:tc>
        <w:tc>
          <w:tcPr>
            <w:tcW w:w="2552" w:type="dxa"/>
            <w:tcBorders>
              <w:bottom w:val="single" w:sz="4" w:space="0" w:color="auto"/>
            </w:tcBorders>
          </w:tcPr>
          <w:p>
            <w:pPr>
              <w:pStyle w:val="nTable"/>
              <w:spacing w:after="40"/>
              <w:rPr>
                <w:ins w:id="291" w:author="svcMRProcess" w:date="2018-08-20T10:56:00Z"/>
                <w:sz w:val="19"/>
              </w:rPr>
            </w:pPr>
            <w:ins w:id="292" w:author="svcMRProcess" w:date="2018-08-20T10:5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w:t>
      </w:r>
      <w:del w:id="293" w:author="svcMRProcess" w:date="2018-08-20T10:56:00Z">
        <w:r>
          <w:delText>reprint</w:delText>
        </w:r>
      </w:del>
      <w:ins w:id="294" w:author="svcMRProcess" w:date="2018-08-20T10:56:00Z">
        <w:r>
          <w:t>compilation</w:t>
        </w:r>
      </w:ins>
      <w:r>
        <w:t xml:space="preserve"> the former Department of Environment is called the Department of Environment and Conservation.</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9052</Words>
  <Characters>42817</Characters>
  <Application>Microsoft Office Word</Application>
  <DocSecurity>0</DocSecurity>
  <Lines>1097</Lines>
  <Paragraphs>576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01-a0-03 - 01-b0-03</dc:title>
  <dc:subject/>
  <dc:creator/>
  <cp:keywords/>
  <dc:description/>
  <cp:lastModifiedBy>svcMRProcess</cp:lastModifiedBy>
  <cp:revision>2</cp:revision>
  <cp:lastPrinted>2006-08-01T08:47:00Z</cp:lastPrinted>
  <dcterms:created xsi:type="dcterms:W3CDTF">2018-08-20T02:56:00Z</dcterms:created>
  <dcterms:modified xsi:type="dcterms:W3CDTF">2018-08-20T02:56:00Z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13</vt:i4>
  </property>
  <property fmtid="{D5CDD505-2E9C-101B-9397-08002B2CF9AE}" pid="6" name="ReprintedAsAt">
    <vt:filetime>2006-08-10T16:00:00Z</vt:filetime>
  </property>
  <property fmtid="{D5CDD505-2E9C-101B-9397-08002B2CF9AE}" pid="7" name="ReprintNo">
    <vt:lpwstr>1</vt:lpwstr>
  </property>
  <property fmtid="{D5CDD505-2E9C-101B-9397-08002B2CF9AE}" pid="8" name="FromSuffix">
    <vt:lpwstr>01-a0-03</vt:lpwstr>
  </property>
  <property fmtid="{D5CDD505-2E9C-101B-9397-08002B2CF9AE}" pid="9" name="FromAsAtDate">
    <vt:lpwstr>11 Aug 2006</vt:lpwstr>
  </property>
  <property fmtid="{D5CDD505-2E9C-101B-9397-08002B2CF9AE}" pid="10" name="ToSuffix">
    <vt:lpwstr>01-b0-03</vt:lpwstr>
  </property>
  <property fmtid="{D5CDD505-2E9C-101B-9397-08002B2CF9AE}" pid="11" name="ToAsAtDate">
    <vt:lpwstr>01 Feb 2007</vt:lpwstr>
  </property>
</Properties>
</file>