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Dec 2017</w:t>
      </w:r>
      <w:r>
        <w:fldChar w:fldCharType="end"/>
      </w:r>
      <w:r>
        <w:t xml:space="preserve">, </w:t>
      </w:r>
      <w:r>
        <w:fldChar w:fldCharType="begin"/>
      </w:r>
      <w:r>
        <w:instrText xml:space="preserve"> DocProperty FromSuffix </w:instrText>
      </w:r>
      <w:r>
        <w:fldChar w:fldCharType="separate"/>
      </w:r>
      <w:r>
        <w:t>03-g0-00</w:t>
      </w:r>
      <w:r>
        <w:fldChar w:fldCharType="end"/>
      </w:r>
      <w:r>
        <w:t>] and [</w:t>
      </w:r>
      <w:r>
        <w:fldChar w:fldCharType="begin"/>
      </w:r>
      <w:r>
        <w:instrText xml:space="preserve"> DocProperty ToAsAtDate</w:instrText>
      </w:r>
      <w:r>
        <w:fldChar w:fldCharType="separate"/>
      </w:r>
      <w:r>
        <w:t>23 Jan 2018</w:t>
      </w:r>
      <w:r>
        <w:fldChar w:fldCharType="end"/>
      </w:r>
      <w:r>
        <w:t xml:space="preserve">, </w:t>
      </w:r>
      <w:r>
        <w:fldChar w:fldCharType="begin"/>
      </w:r>
      <w:r>
        <w:instrText xml:space="preserve"> DocProperty ToSuffix</w:instrText>
      </w:r>
      <w:r>
        <w:fldChar w:fldCharType="separate"/>
      </w:r>
      <w:r>
        <w:t>03-h0-00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Building Act 2011</w:t>
      </w:r>
    </w:p>
    <w:p>
      <w:pPr>
        <w:pStyle w:val="NameofActReg"/>
        <w:spacing w:before="600" w:after="720"/>
      </w:pPr>
      <w:r>
        <w:t>Building Regulations 2012</w:t>
      </w:r>
    </w:p>
    <w:p>
      <w:pPr>
        <w:pStyle w:val="Heading2"/>
        <w:keepNext w:val="0"/>
        <w:pageBreakBefore w:val="0"/>
        <w:spacing w:before="240"/>
      </w:pPr>
      <w:bookmarkStart w:id="1" w:name="_Toc504135811"/>
      <w:bookmarkStart w:id="2" w:name="_Toc501631801"/>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w:t>
      </w:r>
      <w:bookmarkEnd w:id="1"/>
      <w:bookmarkEnd w:id="2"/>
    </w:p>
    <w:p>
      <w:pPr>
        <w:pStyle w:val="Heading5"/>
      </w:pPr>
      <w:bookmarkStart w:id="4" w:name="_Toc504135812"/>
      <w:bookmarkStart w:id="5" w:name="_Toc501631802"/>
      <w:r>
        <w:rPr>
          <w:rStyle w:val="CharSectno"/>
        </w:rPr>
        <w:t>1</w:t>
      </w:r>
      <w:r>
        <w:t>.</w:t>
      </w:r>
      <w:r>
        <w:tab/>
        <w:t>Citation</w:t>
      </w:r>
      <w:bookmarkEnd w:id="4"/>
      <w:bookmarkEnd w:id="5"/>
    </w:p>
    <w:p>
      <w:pPr>
        <w:pStyle w:val="Subsection"/>
      </w:pPr>
      <w:r>
        <w:tab/>
      </w:r>
      <w:r>
        <w:tab/>
      </w:r>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6" w:name="_Toc504135813"/>
      <w:bookmarkStart w:id="7" w:name="_Toc501631803"/>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8" w:name="_Toc504135814"/>
      <w:bookmarkStart w:id="9" w:name="_Toc501631804"/>
      <w:r>
        <w:rPr>
          <w:rStyle w:val="CharSectno"/>
        </w:rPr>
        <w:t>3</w:t>
      </w:r>
      <w:r>
        <w:t>.</w:t>
      </w:r>
      <w:r>
        <w:tab/>
        <w:t>Terms used</w:t>
      </w:r>
      <w:bookmarkEnd w:id="8"/>
      <w:bookmarkEnd w:id="9"/>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lastRenderedPageBreak/>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 xml:space="preserve">in relation to a swimming pool associated with a Class 1 or Class 10 building — performance requirement P2.5.3 in the Building Code Volume 2 Part 2.5; </w:t>
      </w:r>
    </w:p>
    <w:p>
      <w:pPr>
        <w:pStyle w:val="Defpara"/>
      </w:pPr>
      <w:r>
        <w:tab/>
        <w:t>(b)</w:t>
      </w:r>
      <w:r>
        <w:tab/>
        <w:t>in relation to a swimming pool associated with a Class 2 to Class 9 building — performance requirement GP1.2(a) in the Building Code Volume 1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1 performance requirement GP5.1; and</w:t>
      </w:r>
    </w:p>
    <w:p>
      <w:pPr>
        <w:pStyle w:val="Defpara"/>
      </w:pPr>
      <w:r>
        <w:tab/>
        <w:t>(b)</w:t>
      </w:r>
      <w:r>
        <w:tab/>
        <w:t>in relation to a Class 1 or Class 10 building — the Building Code Volume 2 performance requirement P2.3.4;</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performance solution</w:t>
      </w:r>
      <w:r>
        <w:t xml:space="preserve"> has the meaning given in the Building Code Volume 1 Part A1;</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1 Part A1;</w:t>
      </w:r>
    </w:p>
    <w:p>
      <w:pPr>
        <w:pStyle w:val="Defstart"/>
      </w:pPr>
      <w:r>
        <w:tab/>
      </w:r>
      <w:r>
        <w:rPr>
          <w:rStyle w:val="CharDefText"/>
        </w:rPr>
        <w:t>swimming pool</w:t>
      </w:r>
      <w:r>
        <w:t xml:space="preserve"> has the meaning given in the Building Code Volume 1 Part A1;</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in Gazette 30 Nov 2012 p. 5782; 7 Dec 2015 p. 4897; 5 Apr 2016 p. 1015</w:t>
      </w:r>
      <w:r>
        <w:noBreakHyphen/>
        <w:t>16; 15 Apr 2016 p. 1165</w:t>
      </w:r>
      <w:r>
        <w:noBreakHyphen/>
        <w:t>6; 8 Aug 2017 p. 4343 and 4345; 22 Dec 2017 p. 5975.]</w:t>
      </w:r>
    </w:p>
    <w:p>
      <w:pPr>
        <w:pStyle w:val="Heading2"/>
      </w:pPr>
      <w:bookmarkStart w:id="10" w:name="_Toc504135815"/>
      <w:bookmarkStart w:id="11" w:name="_Toc501631805"/>
      <w:r>
        <w:rPr>
          <w:rStyle w:val="CharPartNo"/>
        </w:rPr>
        <w:t>Part 2</w:t>
      </w:r>
      <w:r>
        <w:rPr>
          <w:rStyle w:val="CharDivNo"/>
        </w:rPr>
        <w:t> </w:t>
      </w:r>
      <w:r>
        <w:t>—</w:t>
      </w:r>
      <w:r>
        <w:rPr>
          <w:rStyle w:val="CharDivText"/>
        </w:rPr>
        <w:t> </w:t>
      </w:r>
      <w:r>
        <w:rPr>
          <w:rStyle w:val="CharPartText"/>
        </w:rPr>
        <w:t>General matters</w:t>
      </w:r>
      <w:bookmarkEnd w:id="10"/>
      <w:bookmarkEnd w:id="11"/>
    </w:p>
    <w:p>
      <w:pPr>
        <w:pStyle w:val="Heading5"/>
      </w:pPr>
      <w:bookmarkStart w:id="12" w:name="_Toc504135816"/>
      <w:bookmarkStart w:id="13" w:name="_Toc501631806"/>
      <w:r>
        <w:rPr>
          <w:rStyle w:val="CharSectno"/>
        </w:rPr>
        <w:t>4</w:t>
      </w:r>
      <w:r>
        <w:t>.</w:t>
      </w:r>
      <w:r>
        <w:tab/>
        <w:t>Approval of manner or form of things (s. 3)</w:t>
      </w:r>
      <w:bookmarkEnd w:id="12"/>
      <w:bookmarkEnd w:id="13"/>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14" w:name="_Toc504135817"/>
      <w:bookmarkStart w:id="15" w:name="_Toc501631807"/>
      <w:r>
        <w:rPr>
          <w:rStyle w:val="CharSectno"/>
        </w:rPr>
        <w:t>5A</w:t>
      </w:r>
      <w:r>
        <w:t>.</w:t>
      </w:r>
      <w:r>
        <w:tab/>
        <w:t>Authorised persons (s. 3)</w:t>
      </w:r>
      <w:bookmarkEnd w:id="14"/>
      <w:bookmarkEnd w:id="15"/>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in Gazette 18 Dec 2012 p. 6555-6.]</w:t>
      </w:r>
    </w:p>
    <w:p>
      <w:pPr>
        <w:pStyle w:val="Heading5"/>
      </w:pPr>
      <w:bookmarkStart w:id="16" w:name="_Toc504135818"/>
      <w:bookmarkStart w:id="17" w:name="_Toc501631808"/>
      <w:r>
        <w:rPr>
          <w:rStyle w:val="CharSectno"/>
        </w:rPr>
        <w:t>5</w:t>
      </w:r>
      <w:r>
        <w:t>.</w:t>
      </w:r>
      <w:r>
        <w:tab/>
        <w:t>Building surveyors (s. 3)</w:t>
      </w:r>
      <w:bookmarkEnd w:id="16"/>
      <w:bookmarkEnd w:id="17"/>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375"/>
              </w:tabs>
              <w:spacing w:before="100"/>
              <w:ind w:left="374" w:hanging="374"/>
            </w:pPr>
            <w:r>
              <w:t>(a)</w:t>
            </w:r>
            <w:r>
              <w:tab/>
              <w:t>with a floor area not exceeding 2 000 m</w:t>
            </w:r>
            <w:r>
              <w:rPr>
                <w:vertAlign w:val="superscript"/>
              </w:rPr>
              <w:t>2</w:t>
            </w:r>
            <w:r>
              <w:t>; and</w:t>
            </w:r>
          </w:p>
          <w:p>
            <w:pPr>
              <w:pStyle w:val="TableNAm"/>
              <w:tabs>
                <w:tab w:val="clear" w:pos="567"/>
                <w:tab w:val="left" w:pos="375"/>
              </w:tabs>
              <w:spacing w:before="100"/>
              <w:ind w:left="374" w:hanging="374"/>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pPr>
          </w:p>
        </w:tc>
        <w:tc>
          <w:tcPr>
            <w:tcW w:w="2451" w:type="dxa"/>
            <w:tcBorders>
              <w:top w:val="nil"/>
              <w:bottom w:val="nil"/>
            </w:tcBorders>
          </w:tcPr>
          <w:p>
            <w:pPr>
              <w:pStyle w:val="zTableNAm"/>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375"/>
              </w:tabs>
              <w:spacing w:before="100"/>
              <w:ind w:left="374" w:hanging="374"/>
            </w:pPr>
            <w:r>
              <w:t>(a)</w:t>
            </w:r>
            <w:r>
              <w:tab/>
              <w:t>with a floor area not exceeding 500 m</w:t>
            </w:r>
            <w:r>
              <w:rPr>
                <w:vertAlign w:val="superscript"/>
              </w:rPr>
              <w:t>2</w:t>
            </w:r>
            <w:r>
              <w:t>; and</w:t>
            </w:r>
          </w:p>
          <w:p>
            <w:pPr>
              <w:pStyle w:val="TableNAm"/>
              <w:tabs>
                <w:tab w:val="clear" w:pos="567"/>
                <w:tab w:val="left" w:pos="375"/>
              </w:tabs>
              <w:spacing w:before="100"/>
              <w:ind w:left="374" w:hanging="374"/>
            </w:pPr>
            <w:r>
              <w:t>(b)</w:t>
            </w:r>
            <w:r>
              <w:tab/>
              <w:t>not higher than 2 storeys.</w:t>
            </w:r>
          </w:p>
        </w:tc>
      </w:tr>
    </w:tbl>
    <w:p>
      <w:pPr>
        <w:pStyle w:val="Footnotesection"/>
        <w:spacing w:before="100"/>
      </w:pPr>
      <w:r>
        <w:tab/>
        <w:t>[Regulation 5 amended in Gazette 8 Aug 2017 p. 4344.]</w:t>
      </w:r>
    </w:p>
    <w:p>
      <w:pPr>
        <w:pStyle w:val="Heading5"/>
      </w:pPr>
      <w:bookmarkStart w:id="18" w:name="_Toc504135819"/>
      <w:bookmarkStart w:id="19" w:name="_Toc501631809"/>
      <w:r>
        <w:rPr>
          <w:rStyle w:val="CharSectno"/>
        </w:rPr>
        <w:t>6A</w:t>
      </w:r>
      <w:r>
        <w:t>.</w:t>
      </w:r>
      <w:r>
        <w:tab/>
        <w:t>Building work (s. 3)</w:t>
      </w:r>
      <w:bookmarkEnd w:id="18"/>
      <w:bookmarkEnd w:id="19"/>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in Gazette 5 Apr 2016 p. 1016.]</w:t>
      </w:r>
    </w:p>
    <w:p>
      <w:pPr>
        <w:pStyle w:val="Heading5"/>
      </w:pPr>
      <w:bookmarkStart w:id="20" w:name="_Toc504135820"/>
      <w:bookmarkStart w:id="21" w:name="_Toc501631810"/>
      <w:r>
        <w:rPr>
          <w:rStyle w:val="CharSectno"/>
        </w:rPr>
        <w:t>6</w:t>
      </w:r>
      <w:r>
        <w:t>.</w:t>
      </w:r>
      <w:r>
        <w:tab/>
        <w:t>Classification of buildings and incidental structures (s. 3)</w:t>
      </w:r>
      <w:bookmarkEnd w:id="20"/>
      <w:bookmarkEnd w:id="21"/>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in Gazette 18 Dec 2012 p. 6556.]</w:t>
      </w:r>
    </w:p>
    <w:p>
      <w:pPr>
        <w:pStyle w:val="Heading5"/>
      </w:pPr>
      <w:bookmarkStart w:id="22" w:name="_Toc504135821"/>
      <w:bookmarkStart w:id="23" w:name="_Toc501631811"/>
      <w:r>
        <w:rPr>
          <w:rStyle w:val="CharSectno"/>
        </w:rPr>
        <w:t>10</w:t>
      </w:r>
      <w:r>
        <w:t>.</w:t>
      </w:r>
      <w:r>
        <w:tab/>
        <w:t>Owners of land (s. 5(1))</w:t>
      </w:r>
      <w:bookmarkEnd w:id="22"/>
      <w:bookmarkEnd w:id="23"/>
    </w:p>
    <w:p>
      <w:pPr>
        <w:pStyle w:val="Subsection"/>
      </w:pPr>
      <w:r>
        <w:tab/>
        <w:t>(1A)</w:t>
      </w:r>
      <w:r>
        <w:tab/>
        <w:t xml:space="preserve">In this regulation, each of these terms has the meaning given in the </w:t>
      </w:r>
      <w:r>
        <w:rPr>
          <w:i/>
        </w:rPr>
        <w:t>Land Administration Act 1997</w:t>
      </w:r>
      <w:r>
        <w:t xml:space="preserve"> section 3(1) —</w:t>
      </w:r>
    </w:p>
    <w:p>
      <w:pPr>
        <w:pStyle w:val="Defstart"/>
        <w:tabs>
          <w:tab w:val="left" w:pos="1418"/>
        </w:tabs>
      </w:pPr>
      <w:r>
        <w:tab/>
      </w:r>
      <w:r>
        <w:rPr>
          <w:rStyle w:val="CharDefText"/>
        </w:rPr>
        <w:t>managed reserve</w:t>
      </w:r>
    </w:p>
    <w:p>
      <w:pPr>
        <w:pStyle w:val="Defstart"/>
        <w:tabs>
          <w:tab w:val="left" w:pos="1418"/>
        </w:tabs>
      </w:pPr>
      <w:r>
        <w:tab/>
      </w:r>
      <w:r>
        <w:rPr>
          <w:rStyle w:val="CharDefText"/>
        </w:rPr>
        <w:t>management body</w:t>
      </w:r>
    </w:p>
    <w:p>
      <w:pPr>
        <w:pStyle w:val="Defstart"/>
        <w:tabs>
          <w:tab w:val="left" w:pos="1418"/>
        </w:tabs>
      </w:pPr>
      <w:r>
        <w:tab/>
      </w:r>
      <w:r>
        <w:rPr>
          <w:rStyle w:val="CharDefText"/>
        </w:rPr>
        <w:t>road</w:t>
      </w:r>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in Gazette 18 Dec 2012 p. 6556</w:t>
      </w:r>
      <w:r>
        <w:noBreakHyphen/>
        <w:t>7;15 Sep 2015 p. 3783</w:t>
      </w:r>
      <w:r>
        <w:noBreakHyphen/>
        <w:t>4.]</w:t>
      </w:r>
    </w:p>
    <w:p>
      <w:pPr>
        <w:pStyle w:val="Heading5"/>
      </w:pPr>
      <w:bookmarkStart w:id="24" w:name="_Toc504135822"/>
      <w:bookmarkStart w:id="25" w:name="_Toc501631812"/>
      <w:r>
        <w:rPr>
          <w:rStyle w:val="CharSectno"/>
        </w:rPr>
        <w:t>11A</w:t>
      </w:r>
      <w:r>
        <w:t>.</w:t>
      </w:r>
      <w:r>
        <w:tab/>
        <w:t>Restriction on circumstances where person treated as owner (s. 5(2))</w:t>
      </w:r>
      <w:bookmarkEnd w:id="24"/>
      <w:bookmarkEnd w:id="25"/>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in Gazette 15 Jun 2012 p. 2513.]</w:t>
      </w:r>
    </w:p>
    <w:p>
      <w:pPr>
        <w:pStyle w:val="Heading5"/>
      </w:pPr>
      <w:bookmarkStart w:id="26" w:name="_Toc504135823"/>
      <w:bookmarkStart w:id="27" w:name="_Toc501631813"/>
      <w:r>
        <w:rPr>
          <w:rStyle w:val="CharSectno"/>
        </w:rPr>
        <w:t>11</w:t>
      </w:r>
      <w:r>
        <w:t>.</w:t>
      </w:r>
      <w:r>
        <w:tab/>
        <w:t>Fees</w:t>
      </w:r>
      <w:bookmarkEnd w:id="26"/>
      <w:bookmarkEnd w:id="27"/>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in Gazette 7 Feb 2017 p. 1160.]</w:t>
      </w:r>
    </w:p>
    <w:p>
      <w:pPr>
        <w:pStyle w:val="Heading5"/>
      </w:pPr>
      <w:bookmarkStart w:id="28" w:name="_Toc504135824"/>
      <w:bookmarkStart w:id="29" w:name="_Toc501631814"/>
      <w:r>
        <w:rPr>
          <w:rStyle w:val="CharSectno"/>
        </w:rPr>
        <w:t>12</w:t>
      </w:r>
      <w:r>
        <w:t>.</w:t>
      </w:r>
      <w:r>
        <w:tab/>
        <w:t>Building records to be kept (s. 130)</w:t>
      </w:r>
      <w:bookmarkEnd w:id="28"/>
      <w:bookmarkEnd w:id="29"/>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30" w:name="_Toc504135825"/>
      <w:bookmarkStart w:id="31" w:name="_Toc501631815"/>
      <w:r>
        <w:rPr>
          <w:rStyle w:val="CharSectno"/>
        </w:rPr>
        <w:t>13</w:t>
      </w:r>
      <w:r>
        <w:t>.</w:t>
      </w:r>
      <w:r>
        <w:tab/>
        <w:t>Inspection, copies of building records (s. 131)</w:t>
      </w:r>
      <w:bookmarkEnd w:id="30"/>
      <w:bookmarkEnd w:id="31"/>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in Gazette 30 Nov 2012 p. 5782.]</w:t>
      </w:r>
    </w:p>
    <w:p>
      <w:pPr>
        <w:pStyle w:val="Heading5"/>
      </w:pPr>
      <w:bookmarkStart w:id="32" w:name="_Toc504135826"/>
      <w:bookmarkStart w:id="33" w:name="_Toc501631816"/>
      <w:r>
        <w:rPr>
          <w:rStyle w:val="CharSectno"/>
        </w:rPr>
        <w:t>14</w:t>
      </w:r>
      <w:r>
        <w:t>.</w:t>
      </w:r>
      <w:r>
        <w:tab/>
        <w:t>Provision of information to Building Commissioner (s. 132)</w:t>
      </w:r>
      <w:bookmarkEnd w:id="32"/>
      <w:bookmarkEnd w:id="33"/>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34" w:name="_Toc504135827"/>
      <w:bookmarkStart w:id="35" w:name="_Toc501631817"/>
      <w:r>
        <w:rPr>
          <w:rStyle w:val="CharSectno"/>
        </w:rPr>
        <w:t>15A</w:t>
      </w:r>
      <w:r>
        <w:t>.</w:t>
      </w:r>
      <w:r>
        <w:tab/>
        <w:t xml:space="preserve">Provision of information to </w:t>
      </w:r>
      <w:smartTag w:uri="urn:schemas-microsoft-com:office:smarttags" w:element="place">
        <w:r>
          <w:t>FES</w:t>
        </w:r>
      </w:smartTag>
      <w:r>
        <w:t xml:space="preserve"> Commissioner (s. 149)</w:t>
      </w:r>
      <w:bookmarkEnd w:id="34"/>
      <w:bookmarkEnd w:id="35"/>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in Gazette 18 Dec 2012 p. 6557; amended in Gazette 24 Apr 2014 p. 1135.]</w:t>
      </w:r>
    </w:p>
    <w:p>
      <w:pPr>
        <w:pStyle w:val="Heading5"/>
      </w:pPr>
      <w:bookmarkStart w:id="36" w:name="_Toc504135828"/>
      <w:bookmarkStart w:id="37" w:name="_Toc501631818"/>
      <w:r>
        <w:rPr>
          <w:rStyle w:val="CharSectno"/>
        </w:rPr>
        <w:t>15B</w:t>
      </w:r>
      <w:r>
        <w:t>.</w:t>
      </w:r>
      <w:r>
        <w:tab/>
        <w:t>Modifications to AS 1926.1</w:t>
      </w:r>
      <w:r>
        <w:noBreakHyphen/>
        <w:t>2012 (s. 150)</w:t>
      </w:r>
      <w:bookmarkEnd w:id="36"/>
      <w:bookmarkEnd w:id="37"/>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pPr>
      <w:r>
        <w:tab/>
        <w:t>(b)</w:t>
      </w:r>
      <w:r>
        <w:tab/>
        <w:t>is modified in Figure 2.6 to delete “100 mm” and insert:</w:t>
      </w:r>
    </w:p>
    <w:p>
      <w:pPr>
        <w:pStyle w:val="BlankOpen"/>
      </w:pPr>
    </w:p>
    <w:p>
      <w:pPr>
        <w:pStyle w:val="Indenta"/>
      </w:pPr>
      <w:r>
        <w:tab/>
      </w:r>
      <w:r>
        <w:tab/>
        <w:t>10 mm</w:t>
      </w:r>
    </w:p>
    <w:p>
      <w:pPr>
        <w:pStyle w:val="BlankClose"/>
      </w:pPr>
    </w:p>
    <w:p>
      <w:pPr>
        <w:pStyle w:val="Footnotesection"/>
      </w:pPr>
      <w:r>
        <w:tab/>
        <w:t>[Regulation 15B inserted in Gazette 15 Apr 2016 p. 1166.]</w:t>
      </w:r>
    </w:p>
    <w:p>
      <w:pPr>
        <w:pStyle w:val="Heading2"/>
      </w:pPr>
      <w:bookmarkStart w:id="38" w:name="_Toc504135829"/>
      <w:bookmarkStart w:id="39" w:name="_Toc501631819"/>
      <w:r>
        <w:rPr>
          <w:rStyle w:val="CharPartNo"/>
        </w:rPr>
        <w:t>Part 3</w:t>
      </w:r>
      <w:r>
        <w:rPr>
          <w:rStyle w:val="CharDivNo"/>
        </w:rPr>
        <w:t> </w:t>
      </w:r>
      <w:r>
        <w:t>—</w:t>
      </w:r>
      <w:r>
        <w:rPr>
          <w:rStyle w:val="CharDivText"/>
        </w:rPr>
        <w:t> </w:t>
      </w:r>
      <w:r>
        <w:rPr>
          <w:rStyle w:val="CharPartText"/>
        </w:rPr>
        <w:t>Building and demolition permits</w:t>
      </w:r>
      <w:bookmarkEnd w:id="38"/>
      <w:bookmarkEnd w:id="39"/>
    </w:p>
    <w:p>
      <w:pPr>
        <w:pStyle w:val="Heading5"/>
        <w:spacing w:before="240"/>
      </w:pPr>
      <w:bookmarkStart w:id="40" w:name="_Toc504135830"/>
      <w:bookmarkStart w:id="41" w:name="_Toc501631820"/>
      <w:r>
        <w:rPr>
          <w:rStyle w:val="CharSectno"/>
        </w:rPr>
        <w:t>15</w:t>
      </w:r>
      <w:r>
        <w:t>.</w:t>
      </w:r>
      <w:r>
        <w:tab/>
        <w:t>Uncertified applications (s. 14(2))</w:t>
      </w:r>
      <w:bookmarkEnd w:id="40"/>
      <w:bookmarkEnd w:id="41"/>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42" w:name="_Toc504135831"/>
      <w:bookmarkStart w:id="43" w:name="_Toc501631821"/>
      <w:r>
        <w:rPr>
          <w:rStyle w:val="CharSectno"/>
        </w:rPr>
        <w:t>16</w:t>
      </w:r>
      <w:r>
        <w:t>.</w:t>
      </w:r>
      <w:r>
        <w:tab/>
        <w:t>Application for building and demolition permits (s. 16)</w:t>
      </w:r>
      <w:bookmarkEnd w:id="42"/>
      <w:bookmarkEnd w:id="43"/>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Footnotesection"/>
        <w:spacing w:before="100"/>
      </w:pPr>
      <w:r>
        <w:tab/>
        <w:t>[Regulation 16 amended in Gazette 8 Aug 2017 p. 4345.]</w:t>
      </w:r>
    </w:p>
    <w:p>
      <w:pPr>
        <w:pStyle w:val="Heading5"/>
        <w:spacing w:before="200"/>
      </w:pPr>
      <w:bookmarkStart w:id="44" w:name="_Toc504135832"/>
      <w:bookmarkStart w:id="45" w:name="_Toc501631822"/>
      <w:r>
        <w:rPr>
          <w:rStyle w:val="CharSectno"/>
        </w:rPr>
        <w:t>17</w:t>
      </w:r>
      <w:r>
        <w:t>.</w:t>
      </w:r>
      <w:r>
        <w:tab/>
        <w:t>Further information (s. 18(3) and (4))</w:t>
      </w:r>
      <w:bookmarkEnd w:id="44"/>
      <w:bookmarkEnd w:id="45"/>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in Gazette 18 Dec 2012 p. 6558.]</w:t>
      </w:r>
    </w:p>
    <w:p>
      <w:pPr>
        <w:pStyle w:val="Heading5"/>
      </w:pPr>
      <w:bookmarkStart w:id="46" w:name="_Toc504135833"/>
      <w:bookmarkStart w:id="47" w:name="_Toc501631823"/>
      <w:r>
        <w:rPr>
          <w:rStyle w:val="CharSectno"/>
        </w:rPr>
        <w:t>18A</w:t>
      </w:r>
      <w:r>
        <w:t>.</w:t>
      </w:r>
      <w:r>
        <w:tab/>
        <w:t>Certificate of design compliance — contents (s. 19(5))</w:t>
      </w:r>
      <w:bookmarkEnd w:id="46"/>
      <w:bookmarkEnd w:id="47"/>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performance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in Gazette 18 Dec 2012 p. 6559; amended in Gazette 5 Apr 2016 p. 1016</w:t>
      </w:r>
      <w:r>
        <w:noBreakHyphen/>
        <w:t>17; 8 Aug 2017 p. 4345.]</w:t>
      </w:r>
    </w:p>
    <w:p>
      <w:pPr>
        <w:pStyle w:val="Heading5"/>
      </w:pPr>
      <w:bookmarkStart w:id="48" w:name="_Toc504135834"/>
      <w:bookmarkStart w:id="49" w:name="_Toc501631824"/>
      <w:r>
        <w:rPr>
          <w:rStyle w:val="CharSectno"/>
        </w:rPr>
        <w:t>18B</w:t>
      </w:r>
      <w:r>
        <w:t>.</w:t>
      </w:r>
      <w:r>
        <w:tab/>
        <w:t>Certificate of design compliance — preliminary action (s. 19(6))</w:t>
      </w:r>
      <w:bookmarkEnd w:id="48"/>
      <w:bookmarkEnd w:id="49"/>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performance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1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in Gazette 18 Dec 2012 p. 6560-1; amended in Gazette 8 Aug 2017 p. 4345.]</w:t>
      </w:r>
    </w:p>
    <w:p>
      <w:pPr>
        <w:pStyle w:val="Heading5"/>
      </w:pPr>
      <w:bookmarkStart w:id="50" w:name="_Toc504135835"/>
      <w:bookmarkStart w:id="51" w:name="_Toc501631825"/>
      <w:r>
        <w:rPr>
          <w:rStyle w:val="CharSectno"/>
        </w:rPr>
        <w:t>18C</w:t>
      </w:r>
      <w:r>
        <w:t>.</w:t>
      </w:r>
      <w:r>
        <w:tab/>
        <w:t>Certificate of design compliance — things to accompany (s. 149)</w:t>
      </w:r>
      <w:bookmarkEnd w:id="50"/>
      <w:bookmarkEnd w:id="51"/>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in Gazette 18 Dec 2012 p. 6561.]</w:t>
      </w:r>
    </w:p>
    <w:p>
      <w:pPr>
        <w:pStyle w:val="Heading5"/>
      </w:pPr>
      <w:bookmarkStart w:id="52" w:name="_Toc504135836"/>
      <w:bookmarkStart w:id="53" w:name="_Toc501631826"/>
      <w:r>
        <w:rPr>
          <w:rStyle w:val="CharSectno"/>
        </w:rPr>
        <w:t>18</w:t>
      </w:r>
      <w:r>
        <w:t>.</w:t>
      </w:r>
      <w:r>
        <w:tab/>
        <w:t>Grant of building permit (s. 20)</w:t>
      </w:r>
      <w:bookmarkEnd w:id="52"/>
      <w:bookmarkEnd w:id="53"/>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in Gazette 15 Jun 2012 p. 2514; 30 Nov 2012 p. 5783; 18 Dec 2012 p. 6561; 10 Jan 2017 p. 182.]</w:t>
      </w:r>
    </w:p>
    <w:p>
      <w:pPr>
        <w:pStyle w:val="Heading5"/>
      </w:pPr>
      <w:bookmarkStart w:id="54" w:name="_Toc504135837"/>
      <w:bookmarkStart w:id="55" w:name="_Toc501631827"/>
      <w:r>
        <w:rPr>
          <w:rStyle w:val="CharSectno"/>
        </w:rPr>
        <w:t>19</w:t>
      </w:r>
      <w:r>
        <w:t>.</w:t>
      </w:r>
      <w:r>
        <w:tab/>
        <w:t>Grant of demolition permit (s. 21)</w:t>
      </w:r>
      <w:bookmarkEnd w:id="54"/>
      <w:bookmarkEnd w:id="55"/>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or gas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in Gazette 8 Aug 2017 p. 4344.]</w:t>
      </w:r>
    </w:p>
    <w:p>
      <w:pPr>
        <w:pStyle w:val="Heading5"/>
      </w:pPr>
      <w:bookmarkStart w:id="56" w:name="_Toc504135838"/>
      <w:bookmarkStart w:id="57" w:name="_Toc501631828"/>
      <w:r>
        <w:rPr>
          <w:rStyle w:val="CharSectno"/>
        </w:rPr>
        <w:t>20</w:t>
      </w:r>
      <w:r>
        <w:t>.</w:t>
      </w:r>
      <w:r>
        <w:tab/>
        <w:t>Time for deciding application for building or demolition permit (s. 23)</w:t>
      </w:r>
      <w:bookmarkEnd w:id="56"/>
      <w:bookmarkEnd w:id="57"/>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in Gazette 15 Jun 2012 p. 2514</w:t>
      </w:r>
      <w:r>
        <w:noBreakHyphen/>
        <w:t>15.]</w:t>
      </w:r>
    </w:p>
    <w:p>
      <w:pPr>
        <w:pStyle w:val="Heading5"/>
      </w:pPr>
      <w:bookmarkStart w:id="58" w:name="_Toc504135839"/>
      <w:bookmarkStart w:id="59" w:name="_Toc501631829"/>
      <w:r>
        <w:rPr>
          <w:rStyle w:val="CharSectno"/>
        </w:rPr>
        <w:t>21</w:t>
      </w:r>
      <w:r>
        <w:t>.</w:t>
      </w:r>
      <w:r>
        <w:tab/>
        <w:t>Form and content of building permit (s. 25)</w:t>
      </w:r>
      <w:bookmarkEnd w:id="58"/>
      <w:bookmarkEnd w:id="59"/>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60" w:name="_Toc504135840"/>
      <w:bookmarkStart w:id="61" w:name="_Toc501631830"/>
      <w:r>
        <w:rPr>
          <w:rStyle w:val="CharSectno"/>
        </w:rPr>
        <w:t>22</w:t>
      </w:r>
      <w:r>
        <w:t>.</w:t>
      </w:r>
      <w:r>
        <w:tab/>
        <w:t>Form and content of demolition permit (s. 25)</w:t>
      </w:r>
      <w:bookmarkEnd w:id="60"/>
      <w:bookmarkEnd w:id="61"/>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in Gazette 21 Jun 2013 p. 2446.]</w:t>
      </w:r>
    </w:p>
    <w:p>
      <w:pPr>
        <w:pStyle w:val="Heading5"/>
        <w:spacing w:before="240"/>
      </w:pPr>
      <w:bookmarkStart w:id="62" w:name="_Toc504135841"/>
      <w:bookmarkStart w:id="63" w:name="_Toc501631831"/>
      <w:r>
        <w:rPr>
          <w:rStyle w:val="CharSectno"/>
        </w:rPr>
        <w:t>23</w:t>
      </w:r>
      <w:r>
        <w:t>.</w:t>
      </w:r>
      <w:r>
        <w:tab/>
        <w:t>Application to extend time during which permit has effect (s. 32)</w:t>
      </w:r>
      <w:bookmarkEnd w:id="62"/>
      <w:bookmarkEnd w:id="63"/>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64" w:name="_Toc504135842"/>
      <w:bookmarkStart w:id="65" w:name="_Toc501631832"/>
      <w:r>
        <w:rPr>
          <w:rStyle w:val="CharSectno"/>
        </w:rPr>
        <w:t>24</w:t>
      </w:r>
      <w:r>
        <w:t>.</w:t>
      </w:r>
      <w:r>
        <w:tab/>
        <w:t>Extension of time during which permit has effect (s. 32(3))</w:t>
      </w:r>
      <w:bookmarkEnd w:id="64"/>
      <w:bookmarkEnd w:id="65"/>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66" w:name="_Toc504135843"/>
      <w:bookmarkStart w:id="67" w:name="_Toc501631833"/>
      <w:r>
        <w:rPr>
          <w:rStyle w:val="CharSectno"/>
        </w:rPr>
        <w:t>25</w:t>
      </w:r>
      <w:r>
        <w:t>.</w:t>
      </w:r>
      <w:r>
        <w:tab/>
        <w:t>Review of decision to refuse to extend time during which permit has effect (s. 32(3))</w:t>
      </w:r>
      <w:bookmarkEnd w:id="66"/>
      <w:bookmarkEnd w:id="67"/>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68" w:name="_Toc504135844"/>
      <w:bookmarkStart w:id="69" w:name="_Toc501631834"/>
      <w:r>
        <w:rPr>
          <w:rStyle w:val="CharSectno"/>
        </w:rPr>
        <w:t>26</w:t>
      </w:r>
      <w:r>
        <w:t>.</w:t>
      </w:r>
      <w:r>
        <w:tab/>
        <w:t>Approval of new responsible person (s. 35(c))</w:t>
      </w:r>
      <w:bookmarkEnd w:id="68"/>
      <w:bookmarkEnd w:id="69"/>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in Gazette 18 Dec 2012 p. 6562.]</w:t>
      </w:r>
    </w:p>
    <w:p>
      <w:pPr>
        <w:pStyle w:val="Heading5"/>
        <w:spacing w:before="200"/>
      </w:pPr>
      <w:bookmarkStart w:id="70" w:name="_Toc504135845"/>
      <w:bookmarkStart w:id="71" w:name="_Toc501631835"/>
      <w:r>
        <w:rPr>
          <w:rStyle w:val="CharSectno"/>
        </w:rPr>
        <w:t>27</w:t>
      </w:r>
      <w:r>
        <w:t>.</w:t>
      </w:r>
      <w:r>
        <w:tab/>
        <w:t>Required inspection and tests: Class 2 to Class 9 buildings (s. 36(2)(a))</w:t>
      </w:r>
      <w:bookmarkEnd w:id="70"/>
      <w:bookmarkEnd w:id="71"/>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72" w:name="_Toc504135846"/>
      <w:bookmarkStart w:id="73" w:name="_Toc501631836"/>
      <w:r>
        <w:rPr>
          <w:rStyle w:val="CharSectno"/>
        </w:rPr>
        <w:t>28</w:t>
      </w:r>
      <w:r>
        <w:t>.</w:t>
      </w:r>
      <w:r>
        <w:tab/>
        <w:t>Required inspection: barrier to private swimming pool (s. 36(2)(a))</w:t>
      </w:r>
      <w:bookmarkEnd w:id="72"/>
      <w:bookmarkEnd w:id="73"/>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in Gazette 15 Apr 2016 p. 1167.]</w:t>
      </w:r>
    </w:p>
    <w:p>
      <w:pPr>
        <w:pStyle w:val="Heading5"/>
      </w:pPr>
      <w:bookmarkStart w:id="74" w:name="_Toc504135847"/>
      <w:bookmarkStart w:id="75" w:name="_Toc501631837"/>
      <w:r>
        <w:rPr>
          <w:rStyle w:val="CharSectno"/>
        </w:rPr>
        <w:t>29</w:t>
      </w:r>
      <w:r>
        <w:t>.</w:t>
      </w:r>
      <w:r>
        <w:tab/>
        <w:t>Inspection certificates (s. 36(2)(h) and (j))</w:t>
      </w:r>
      <w:bookmarkEnd w:id="74"/>
      <w:bookmarkEnd w:id="75"/>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76" w:name="_Toc504135848"/>
      <w:bookmarkStart w:id="77" w:name="_Toc501631838"/>
      <w:r>
        <w:rPr>
          <w:rStyle w:val="CharSectno"/>
        </w:rPr>
        <w:t>30</w:t>
      </w:r>
      <w:r>
        <w:t>.</w:t>
      </w:r>
      <w:r>
        <w:tab/>
        <w:t>Transitional provisions (s. 203)</w:t>
      </w:r>
      <w:bookmarkEnd w:id="76"/>
      <w:bookmarkEnd w:id="77"/>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78" w:name="_Toc504135849"/>
      <w:bookmarkStart w:id="79" w:name="_Toc501631839"/>
      <w:r>
        <w:rPr>
          <w:rStyle w:val="CharPartNo"/>
        </w:rPr>
        <w:t>Part 4</w:t>
      </w:r>
      <w:r>
        <w:t> — </w:t>
      </w:r>
      <w:r>
        <w:rPr>
          <w:rStyle w:val="CharPartText"/>
        </w:rPr>
        <w:t>Building standards</w:t>
      </w:r>
      <w:bookmarkEnd w:id="78"/>
      <w:bookmarkEnd w:id="79"/>
    </w:p>
    <w:p>
      <w:pPr>
        <w:pStyle w:val="Heading3"/>
        <w:spacing w:before="220"/>
      </w:pPr>
      <w:bookmarkStart w:id="80" w:name="_Toc504135850"/>
      <w:bookmarkStart w:id="81" w:name="_Toc501631840"/>
      <w:r>
        <w:rPr>
          <w:rStyle w:val="CharDivNo"/>
        </w:rPr>
        <w:t>Division 1</w:t>
      </w:r>
      <w:r>
        <w:t> — </w:t>
      </w:r>
      <w:r>
        <w:rPr>
          <w:rStyle w:val="CharDivText"/>
        </w:rPr>
        <w:t>Applicable building standards</w:t>
      </w:r>
      <w:bookmarkEnd w:id="80"/>
      <w:bookmarkEnd w:id="81"/>
    </w:p>
    <w:p>
      <w:pPr>
        <w:pStyle w:val="Footnoteheading"/>
        <w:spacing w:before="100"/>
      </w:pPr>
      <w:r>
        <w:tab/>
        <w:t>[Heading inserted in Gazette 18 Dec 2012 p. 6562.]</w:t>
      </w:r>
    </w:p>
    <w:p>
      <w:pPr>
        <w:pStyle w:val="Heading4"/>
        <w:spacing w:before="220"/>
      </w:pPr>
      <w:bookmarkStart w:id="82" w:name="_Toc504135851"/>
      <w:bookmarkStart w:id="83" w:name="_Toc501631841"/>
      <w:r>
        <w:t>Subdivision 1 — Building standards in relation to construction</w:t>
      </w:r>
      <w:bookmarkEnd w:id="82"/>
      <w:bookmarkEnd w:id="83"/>
    </w:p>
    <w:p>
      <w:pPr>
        <w:pStyle w:val="Footnoteheading"/>
        <w:spacing w:before="100"/>
      </w:pPr>
      <w:r>
        <w:tab/>
        <w:t>[Heading inserted in Gazette 18 Dec 2012 p. 6562.]</w:t>
      </w:r>
    </w:p>
    <w:p>
      <w:pPr>
        <w:pStyle w:val="Heading5"/>
        <w:spacing w:before="200"/>
      </w:pPr>
      <w:bookmarkStart w:id="84" w:name="_Toc504135852"/>
      <w:bookmarkStart w:id="85" w:name="_Toc501631842"/>
      <w:r>
        <w:rPr>
          <w:rStyle w:val="CharSectno"/>
        </w:rPr>
        <w:t>31A</w:t>
      </w:r>
      <w:r>
        <w:t>.</w:t>
      </w:r>
      <w:r>
        <w:tab/>
        <w:t>Applicable building standards generally (s. 3, 19(3) and 37(1))</w:t>
      </w:r>
      <w:bookmarkEnd w:id="84"/>
      <w:bookmarkEnd w:id="85"/>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31B, 31C and 31D otherwise provide.</w:t>
      </w:r>
    </w:p>
    <w:p>
      <w:pPr>
        <w:pStyle w:val="Subsection"/>
        <w:spacing w:before="14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set out in the edition of the Building Code that was in effect 12 months before the time the application for the building permit is made.</w:t>
      </w:r>
    </w:p>
    <w:p>
      <w:pPr>
        <w:pStyle w:val="Footnotesection"/>
        <w:spacing w:before="100"/>
      </w:pPr>
      <w:r>
        <w:tab/>
        <w:t>[Regulation 31A inserted in Gazette 18 Dec 2012 p. 6562-3; amended in Gazette 7 Dec 2015 p. 4898.]</w:t>
      </w:r>
    </w:p>
    <w:p>
      <w:pPr>
        <w:pStyle w:val="Heading5"/>
      </w:pPr>
      <w:bookmarkStart w:id="86" w:name="_Toc504135853"/>
      <w:bookmarkStart w:id="87" w:name="_Toc501631843"/>
      <w:r>
        <w:rPr>
          <w:rStyle w:val="CharSectno"/>
        </w:rPr>
        <w:t>31BA</w:t>
      </w:r>
      <w:r>
        <w:t>.</w:t>
      </w:r>
      <w:r>
        <w:tab/>
        <w:t>Applicable building standards for buildings and incidental structures in bush fire prone areas (s. 3, 19(3), 37(1) and (2), 57(3), 49(b), 51(2) and (3))</w:t>
      </w:r>
      <w:bookmarkEnd w:id="86"/>
      <w:bookmarkEnd w:id="87"/>
    </w:p>
    <w:p>
      <w:pPr>
        <w:pStyle w:val="Subsection"/>
        <w:keepNext/>
        <w:spacing w:before="100"/>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keepNext/>
        <w:spacing w:before="1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or incidental structures located in a bush fire prone area.</w:t>
      </w:r>
    </w:p>
    <w:p>
      <w:pPr>
        <w:pStyle w:val="Subsection"/>
        <w:keepNext/>
        <w:spacing w:before="100"/>
      </w:pPr>
      <w:r>
        <w:tab/>
        <w:t>(2)</w:t>
      </w:r>
      <w:r>
        <w:tab/>
        <w:t xml:space="preserve">For subregulation (1), the applicable building standards for a building or incidental structure are the requirements mentioned in regulation 31A(2)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an application for a building permit is made; or</w:t>
      </w:r>
    </w:p>
    <w:p>
      <w:pPr>
        <w:pStyle w:val="Indenta"/>
      </w:pPr>
      <w:r>
        <w:tab/>
        <w:t>(b)</w:t>
      </w:r>
      <w:r>
        <w:tab/>
        <w:t>the building or incidental structure is a relevant building and an application for a building permit for excluded building work in respect of the building or incidental structure is made before 1 May 2018.</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the building or incidental structure is a relevant building and excluded building work in respect of the building or incidental structure commenced before 1 May 2018.</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for the purposes of section 57(3) for an application mentioned — </w:t>
      </w:r>
    </w:p>
    <w:p>
      <w:pPr>
        <w:pStyle w:val="Indenta"/>
      </w:pPr>
      <w:r>
        <w:tab/>
        <w:t>(a)</w:t>
      </w:r>
      <w:r>
        <w:tab/>
        <w:t>in section 49(b) or 51(2) in respect of all kinds of buildings located in a bush fire prone area; or</w:t>
      </w:r>
    </w:p>
    <w:p>
      <w:pPr>
        <w:pStyle w:val="Indenta"/>
      </w:pPr>
      <w:r>
        <w:tab/>
        <w:t>(b)</w:t>
      </w:r>
      <w:r>
        <w:tab/>
        <w:t>in section 51(3) in respect of all kinds of buildings and incidental structures located in a bush fire prone area.</w:t>
      </w:r>
    </w:p>
    <w:p>
      <w:pPr>
        <w:pStyle w:val="Subsection"/>
      </w:pPr>
      <w:r>
        <w:tab/>
        <w:t>(6)</w:t>
      </w:r>
      <w:r>
        <w:tab/>
        <w:t>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spacing w:before="100"/>
      </w:pPr>
      <w:r>
        <w:tab/>
        <w:t>[Regulation 31BA inserted in Gazette 7 Dec 2015 p. 4898</w:t>
      </w:r>
      <w:r>
        <w:noBreakHyphen/>
        <w:t>900; amended in Gazette 5 Apr 2016 p. 1017</w:t>
      </w:r>
      <w:r>
        <w:noBreakHyphen/>
        <w:t>19.]</w:t>
      </w:r>
    </w:p>
    <w:p>
      <w:pPr>
        <w:pStyle w:val="Heading5"/>
      </w:pPr>
      <w:bookmarkStart w:id="88" w:name="_Toc504135854"/>
      <w:bookmarkStart w:id="89" w:name="_Toc501631844"/>
      <w:r>
        <w:rPr>
          <w:rStyle w:val="CharSectno"/>
        </w:rPr>
        <w:t>31B</w:t>
      </w:r>
      <w:r>
        <w:t>.</w:t>
      </w:r>
      <w:r>
        <w:tab/>
        <w:t>Applicable building standards for alterations etc. before 1 May 2015 (s. 3, 19(3) and 37(1))</w:t>
      </w:r>
      <w:bookmarkEnd w:id="88"/>
      <w:bookmarkEnd w:id="89"/>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 building or incidental structure that is being renovated, altered, extended, improved or repaired before 1 May 2015.</w:t>
      </w:r>
    </w:p>
    <w:p>
      <w:pPr>
        <w:pStyle w:val="Subsection"/>
        <w:spacing w:before="120"/>
      </w:pPr>
      <w:r>
        <w:tab/>
        <w:t>(2)</w:t>
      </w:r>
      <w:r>
        <w:tab/>
        <w:t xml:space="preserve">For subregulation (1), the applicable building standards are the requirements mentioned in regulation 31A(2) except that — </w:t>
      </w:r>
    </w:p>
    <w:p>
      <w:pPr>
        <w:pStyle w:val="Indenta"/>
      </w:pPr>
      <w:r>
        <w:tab/>
        <w:t>(a)</w:t>
      </w:r>
      <w:r>
        <w:tab/>
        <w:t xml:space="preserve">in respect of Class 2 to Class 9 buildings and incidental structures — </w:t>
      </w:r>
    </w:p>
    <w:p>
      <w:pPr>
        <w:pStyle w:val="Indenti"/>
        <w:spacing w:before="60"/>
      </w:pPr>
      <w:r>
        <w:tab/>
        <w:t>(i)</w:t>
      </w:r>
      <w:r>
        <w:tab/>
        <w:t>the requirements set out in the Building Code Volume 1 Part JO do not apply; and</w:t>
      </w:r>
    </w:p>
    <w:p>
      <w:pPr>
        <w:pStyle w:val="Indenti"/>
        <w:spacing w:before="60"/>
      </w:pPr>
      <w:r>
        <w:tab/>
        <w:t>(ii)</w:t>
      </w:r>
      <w:r>
        <w:tab/>
        <w:t>the requirements set out in the Building Code published on 1 May 2010 Volume 1 WA Part JO of Appendices (Variation and Additions) apply;</w:t>
      </w:r>
    </w:p>
    <w:p>
      <w:pPr>
        <w:pStyle w:val="Indenta"/>
      </w:pPr>
      <w:r>
        <w:tab/>
      </w:r>
      <w:r>
        <w:tab/>
        <w:t>and</w:t>
      </w:r>
    </w:p>
    <w:p>
      <w:pPr>
        <w:pStyle w:val="Indenta"/>
      </w:pPr>
      <w:r>
        <w:tab/>
        <w:t>(b)</w:t>
      </w:r>
      <w:r>
        <w:tab/>
        <w:t xml:space="preserve">in respect of Class 1 or Class 10 buildings and incidental structures — </w:t>
      </w:r>
    </w:p>
    <w:p>
      <w:pPr>
        <w:pStyle w:val="Indenti"/>
      </w:pPr>
      <w:r>
        <w:tab/>
        <w:t>(i)</w:t>
      </w:r>
      <w:r>
        <w:tab/>
        <w:t>the requirements set out in the Building Code Volume 2 Parts 2.6 and 3.12 do not apply; and</w:t>
      </w:r>
    </w:p>
    <w:p>
      <w:pPr>
        <w:pStyle w:val="Indenti"/>
      </w:pPr>
      <w:r>
        <w:tab/>
        <w:t>(ii)</w:t>
      </w:r>
      <w:r>
        <w:tab/>
        <w:t>the requirements set out in the Building Code published on 1 May 2009 Volume 2 Parts 2.6 and 3.12 apply.</w:t>
      </w:r>
    </w:p>
    <w:p>
      <w:pPr>
        <w:pStyle w:val="Footnotesection"/>
      </w:pPr>
      <w:r>
        <w:tab/>
        <w:t>[Regulation 31B inserted in Gazette 18 Dec 2012 p. 6563-4; amended in Gazette 24 Apr 2014 p. 1136.]</w:t>
      </w:r>
    </w:p>
    <w:p>
      <w:pPr>
        <w:pStyle w:val="Heading5"/>
      </w:pPr>
      <w:bookmarkStart w:id="90" w:name="_Toc504135855"/>
      <w:bookmarkStart w:id="91" w:name="_Toc501631845"/>
      <w:r>
        <w:rPr>
          <w:rStyle w:val="CharSectno"/>
        </w:rPr>
        <w:t>31C</w:t>
      </w:r>
      <w:r>
        <w:t>.</w:t>
      </w:r>
      <w:r>
        <w:tab/>
        <w:t>Applicable building standards for swimming pools (s. 3, 19(3) and 37(1) and (2))</w:t>
      </w:r>
      <w:bookmarkEnd w:id="90"/>
      <w:bookmarkEnd w:id="91"/>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keepNext/>
            </w:pPr>
            <w:r>
              <w:t>Private swimming pools other than pre</w:t>
            </w:r>
            <w:r>
              <w:noBreakHyphen/>
              <w:t>May 2016 private swimming pools</w:t>
            </w:r>
          </w:p>
        </w:tc>
        <w:tc>
          <w:tcPr>
            <w:tcW w:w="3034" w:type="dxa"/>
          </w:tcPr>
          <w:p>
            <w:pPr>
              <w:pStyle w:val="TableNAm"/>
              <w:keepNext/>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ind w:left="567" w:hanging="567"/>
            </w:pPr>
            <w:r>
              <w:t>(b)</w:t>
            </w:r>
            <w:r>
              <w:tab/>
              <w:t>a performance solution cannot be used to comply with a Building Code pool barrier requirement unless the performance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in Gazette 15 Apr 2016 p. 1167</w:t>
      </w:r>
      <w:r>
        <w:noBreakHyphen/>
        <w:t>8; amended in Gazette 8 Aug 2017 p. 4345; 22 Dec 2017 p. 5975.]</w:t>
      </w:r>
    </w:p>
    <w:p>
      <w:pPr>
        <w:pStyle w:val="Heading5"/>
      </w:pPr>
      <w:bookmarkStart w:id="92" w:name="_Toc504135856"/>
      <w:bookmarkStart w:id="93" w:name="_Toc501631846"/>
      <w:r>
        <w:rPr>
          <w:rStyle w:val="CharSectno"/>
        </w:rPr>
        <w:t>31D</w:t>
      </w:r>
      <w:r>
        <w:t>.</w:t>
      </w:r>
      <w:r>
        <w:tab/>
        <w:t>Applicable building standards for relocated buildings and incidental structures (other than swimming pools) (s. 3, 19(3) and 37(1) and (2))</w:t>
      </w:r>
      <w:bookmarkEnd w:id="92"/>
      <w:bookmarkEnd w:id="93"/>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Structural provisions</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 P2.3.3, P2.3.4, P2.3.5</w:t>
            </w:r>
          </w:p>
        </w:tc>
      </w:tr>
      <w:tr>
        <w:tc>
          <w:tcPr>
            <w:tcW w:w="3192" w:type="dxa"/>
          </w:tcPr>
          <w:p>
            <w:pPr>
              <w:pStyle w:val="TableNAm"/>
            </w:pPr>
            <w:r>
              <w:t>Volume Two, Part 2.5 — Safe movement and access</w:t>
            </w:r>
          </w:p>
        </w:tc>
        <w:tc>
          <w:tcPr>
            <w:tcW w:w="3021" w:type="dxa"/>
          </w:tcPr>
          <w:p>
            <w:pPr>
              <w:pStyle w:val="TableNAm"/>
            </w:pPr>
            <w:r>
              <w:t>P2.5.1, P2.5.2</w:t>
            </w:r>
          </w:p>
        </w:tc>
      </w:tr>
    </w:tbl>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spacing w:before="100"/>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in Gazette 18 Dec 2012 p. 6564-7; amended in Gazette 24 Apr 2014 p. 1136; 15 Apr 2016 p. 1169.]</w:t>
      </w:r>
    </w:p>
    <w:p>
      <w:pPr>
        <w:pStyle w:val="Heading5"/>
      </w:pPr>
      <w:bookmarkStart w:id="94" w:name="_Toc504135857"/>
      <w:bookmarkStart w:id="95" w:name="_Toc501631847"/>
      <w:r>
        <w:rPr>
          <w:rStyle w:val="CharSectno"/>
        </w:rPr>
        <w:t>31E</w:t>
      </w:r>
      <w:r>
        <w:t>.</w:t>
      </w:r>
      <w:r>
        <w:tab/>
        <w:t>Applicable building standards for building work done without permit (s. 3 and 37(2))</w:t>
      </w:r>
      <w:bookmarkEnd w:id="94"/>
      <w:bookmarkEnd w:id="95"/>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and 31C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in Gazette 18 Dec 2012 p. 6567; amended in Gazette 7 Dec 2015 p. 4900; 15 Apr 2016 p. 1169.]</w:t>
      </w:r>
    </w:p>
    <w:p>
      <w:pPr>
        <w:pStyle w:val="Heading5"/>
      </w:pPr>
      <w:bookmarkStart w:id="96" w:name="_Toc504135858"/>
      <w:bookmarkStart w:id="97" w:name="_Toc501631848"/>
      <w:r>
        <w:rPr>
          <w:rStyle w:val="CharSectno"/>
        </w:rPr>
        <w:t>31F</w:t>
      </w:r>
      <w:r>
        <w:t>.</w:t>
      </w:r>
      <w:r>
        <w:tab/>
        <w:t>Applicable building standards for replacement occupancy permit for permanent change of building’s use or for occupancy permit or building approval certificate for registration of strata scheme, plan of re-subdivision (s. 3, 57(3), 49(a), 50(1)(a) and (b) and 50(2)(a) and (b))</w:t>
      </w:r>
      <w:bookmarkEnd w:id="96"/>
      <w:bookmarkEnd w:id="97"/>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keepNext/>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in Gazette 18 Dec 2012 p. 6568; amended in Gazette 21 Jun 2013 p. 2446; 24 Apr 2014 p. 1136.]</w:t>
      </w:r>
    </w:p>
    <w:p>
      <w:pPr>
        <w:pStyle w:val="Heading5"/>
        <w:spacing w:before="240"/>
      </w:pPr>
      <w:bookmarkStart w:id="98" w:name="_Toc504135859"/>
      <w:bookmarkStart w:id="99" w:name="_Toc501631849"/>
      <w:r>
        <w:rPr>
          <w:rStyle w:val="CharSectno"/>
        </w:rPr>
        <w:t>31G</w:t>
      </w:r>
      <w:r>
        <w:t>.</w:t>
      </w:r>
      <w:r>
        <w:tab/>
        <w:t>Applicable building standards for occupancy permit for unauthorised work to building, or for building approval certificate for unauthorised work to building or incidental structure (s. 3, 57(3) and 51(2) and (3))</w:t>
      </w:r>
      <w:bookmarkEnd w:id="98"/>
      <w:bookmarkEnd w:id="99"/>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 31BA otherwise provides,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Code pool barrier requirement unless the performance solution is an approved barrier solution.</w:t>
      </w:r>
    </w:p>
    <w:p>
      <w:pPr>
        <w:pStyle w:val="Footnotesection"/>
      </w:pPr>
      <w:r>
        <w:tab/>
        <w:t>[Regulation 31G inserted in Gazette 18 Dec 2012 p. 6568-9; amended in Gazette 21 Jun 2013 p. 2446; 7 Dec 2015 p. 4901; 15 Apr 2016 p. 1169; 8 Aug 2017 p. 4345; 22 Dec 2017 p. 5975.]</w:t>
      </w:r>
    </w:p>
    <w:p>
      <w:pPr>
        <w:pStyle w:val="Heading5"/>
      </w:pPr>
      <w:bookmarkStart w:id="100" w:name="_Toc504135860"/>
      <w:bookmarkStart w:id="101" w:name="_Toc501631850"/>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100"/>
      <w:bookmarkEnd w:id="101"/>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in Gazette 18 Dec 2012 p. 6569-70.]</w:t>
      </w:r>
    </w:p>
    <w:p>
      <w:pPr>
        <w:pStyle w:val="Heading4"/>
      </w:pPr>
      <w:bookmarkStart w:id="102" w:name="_Toc504135861"/>
      <w:bookmarkStart w:id="103" w:name="_Toc501631851"/>
      <w:r>
        <w:t>Subdivision 2 — Building standards in relation to demolition</w:t>
      </w:r>
      <w:bookmarkEnd w:id="102"/>
      <w:bookmarkEnd w:id="103"/>
    </w:p>
    <w:p>
      <w:pPr>
        <w:pStyle w:val="Footnoteheading"/>
      </w:pPr>
      <w:r>
        <w:tab/>
        <w:t>[Heading inserted in Gazette 18 Dec 2012 p. 6570.]</w:t>
      </w:r>
    </w:p>
    <w:p>
      <w:pPr>
        <w:pStyle w:val="Heading5"/>
        <w:spacing w:before="240"/>
      </w:pPr>
      <w:bookmarkStart w:id="104" w:name="_Toc504135862"/>
      <w:bookmarkStart w:id="105" w:name="_Toc501631852"/>
      <w:r>
        <w:rPr>
          <w:rStyle w:val="CharSectno"/>
        </w:rPr>
        <w:t>31I</w:t>
      </w:r>
      <w:r>
        <w:t>.</w:t>
      </w:r>
      <w:r>
        <w:tab/>
        <w:t>Applicable building standards in relation to demolition work (s. 3 and 38)</w:t>
      </w:r>
      <w:bookmarkEnd w:id="104"/>
      <w:bookmarkEnd w:id="105"/>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in Gazette 18 Dec 2012 p. 6570-1; amended in Gazette 24 Apr 2014 p. 1136</w:t>
      </w:r>
      <w:r>
        <w:noBreakHyphen/>
        <w:t>7; 8 Aug 2017 p. 4344.]</w:t>
      </w:r>
    </w:p>
    <w:p>
      <w:pPr>
        <w:pStyle w:val="Heading3"/>
      </w:pPr>
      <w:bookmarkStart w:id="106" w:name="_Toc504135863"/>
      <w:bookmarkStart w:id="107" w:name="_Toc501631853"/>
      <w:r>
        <w:rPr>
          <w:rStyle w:val="CharDivNo"/>
        </w:rPr>
        <w:t>Division 2</w:t>
      </w:r>
      <w:r>
        <w:t> — </w:t>
      </w:r>
      <w:r>
        <w:rPr>
          <w:rStyle w:val="CharDivText"/>
        </w:rPr>
        <w:t>Demonstrating compliance with building standards</w:t>
      </w:r>
      <w:bookmarkEnd w:id="106"/>
      <w:bookmarkEnd w:id="107"/>
    </w:p>
    <w:p>
      <w:pPr>
        <w:pStyle w:val="Footnoteheading"/>
      </w:pPr>
      <w:r>
        <w:tab/>
        <w:t>[Heading inserted in Gazette 18 Dec 2012 p. 6571.]</w:t>
      </w:r>
    </w:p>
    <w:p>
      <w:pPr>
        <w:pStyle w:val="Heading5"/>
      </w:pPr>
      <w:bookmarkStart w:id="108" w:name="_Toc504135864"/>
      <w:bookmarkStart w:id="109" w:name="_Toc501631854"/>
      <w:r>
        <w:rPr>
          <w:rStyle w:val="CharSectno"/>
        </w:rPr>
        <w:t>31J</w:t>
      </w:r>
      <w:r>
        <w:t>.</w:t>
      </w:r>
      <w:r>
        <w:tab/>
        <w:t>Compliance with building standards — CodeMark certificates</w:t>
      </w:r>
      <w:bookmarkEnd w:id="108"/>
      <w:bookmarkEnd w:id="109"/>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Footnotesection"/>
      </w:pPr>
      <w:r>
        <w:tab/>
        <w:t>[Regulation 31J inserted in Gazette 18 Dec 2012 p. 6571.]</w:t>
      </w:r>
    </w:p>
    <w:p>
      <w:pPr>
        <w:pStyle w:val="Heading3"/>
        <w:spacing w:before="160"/>
      </w:pPr>
      <w:bookmarkStart w:id="110" w:name="_Toc504135865"/>
      <w:bookmarkStart w:id="111" w:name="_Toc501631855"/>
      <w:r>
        <w:rPr>
          <w:rStyle w:val="CharDivNo"/>
        </w:rPr>
        <w:t>Division 3</w:t>
      </w:r>
      <w:r>
        <w:t> — </w:t>
      </w:r>
      <w:r>
        <w:rPr>
          <w:rStyle w:val="CharDivText"/>
        </w:rPr>
        <w:t>Non</w:t>
      </w:r>
      <w:r>
        <w:rPr>
          <w:rStyle w:val="CharDivText"/>
        </w:rPr>
        <w:noBreakHyphen/>
        <w:t>application, modification, of building standards</w:t>
      </w:r>
      <w:bookmarkEnd w:id="110"/>
      <w:bookmarkEnd w:id="111"/>
    </w:p>
    <w:p>
      <w:pPr>
        <w:pStyle w:val="Footnoteheading"/>
      </w:pPr>
      <w:r>
        <w:tab/>
        <w:t>[Heading inserted in Gazette 18 Dec 2012 p. 6571.]</w:t>
      </w:r>
    </w:p>
    <w:p>
      <w:pPr>
        <w:pStyle w:val="Heading5"/>
      </w:pPr>
      <w:bookmarkStart w:id="112" w:name="_Toc504135866"/>
      <w:bookmarkStart w:id="113" w:name="_Toc501631856"/>
      <w:r>
        <w:rPr>
          <w:rStyle w:val="CharSectno"/>
        </w:rPr>
        <w:t>31</w:t>
      </w:r>
      <w:r>
        <w:t>.</w:t>
      </w:r>
      <w:r>
        <w:tab/>
        <w:t>Terms used</w:t>
      </w:r>
      <w:bookmarkEnd w:id="112"/>
      <w:bookmarkEnd w:id="113"/>
    </w:p>
    <w:p>
      <w:pPr>
        <w:pStyle w:val="Subsection"/>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May 2019; and</w:t>
      </w:r>
    </w:p>
    <w:p>
      <w:pPr>
        <w:pStyle w:val="Defpara"/>
      </w:pPr>
      <w:r>
        <w:tab/>
        <w:t>(b)</w:t>
      </w:r>
      <w:r>
        <w:tab/>
        <w:t>in respect of a Class 1a building or an associated Class 10a building or deck that is located less than 6 metres from a Class 1a building.</w:t>
      </w:r>
    </w:p>
    <w:p>
      <w:pPr>
        <w:pStyle w:val="Footnotesection"/>
      </w:pPr>
      <w:r>
        <w:tab/>
        <w:t>[Regulation 31 amended in Gazette 18 Dec 2012 p. 6572; 7 Feb 2017 p. 1160</w:t>
      </w:r>
      <w:r>
        <w:noBreakHyphen/>
        <w:t>1.]</w:t>
      </w:r>
    </w:p>
    <w:p>
      <w:pPr>
        <w:pStyle w:val="Heading5"/>
      </w:pPr>
      <w:bookmarkStart w:id="114" w:name="_Toc504135867"/>
      <w:bookmarkStart w:id="115" w:name="_Toc501631857"/>
      <w:r>
        <w:rPr>
          <w:rStyle w:val="CharSectno"/>
        </w:rPr>
        <w:t>32</w:t>
      </w:r>
      <w:r>
        <w:t>.</w:t>
      </w:r>
      <w:r>
        <w:tab/>
        <w:t>Statements to accompany application (s. 39(8)(b))</w:t>
      </w:r>
      <w:bookmarkEnd w:id="114"/>
      <w:bookmarkEnd w:id="115"/>
    </w:p>
    <w:p>
      <w:pPr>
        <w:pStyle w:val="Subsection"/>
      </w:pPr>
      <w:r>
        <w:tab/>
        <w:t>(1)</w:t>
      </w:r>
      <w:r>
        <w:tab/>
        <w:t xml:space="preserve">An application in relation to a building standard, other than a transitional bush fire application,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pPr>
      <w:r>
        <w:tab/>
        <w:t>[Regulation 32 amended in Gazette 7 Feb 2017 p. 1161.]</w:t>
      </w:r>
    </w:p>
    <w:p>
      <w:pPr>
        <w:pStyle w:val="Heading5"/>
      </w:pPr>
      <w:bookmarkStart w:id="116" w:name="_Toc504135868"/>
      <w:bookmarkStart w:id="117" w:name="_Toc501631858"/>
      <w:r>
        <w:rPr>
          <w:rStyle w:val="CharSectno"/>
        </w:rPr>
        <w:t>32A</w:t>
      </w:r>
      <w:r>
        <w:t>.</w:t>
      </w:r>
      <w:r>
        <w:tab/>
        <w:t>Statement to accompany transitional bush fire application (s. 39(8)(b))</w:t>
      </w:r>
      <w:bookmarkEnd w:id="116"/>
      <w:bookmarkEnd w:id="117"/>
    </w:p>
    <w:p>
      <w:pPr>
        <w:pStyle w:val="Subsection"/>
      </w:pPr>
      <w:r>
        <w:tab/>
        <w:t>(1)</w:t>
      </w:r>
      <w:r>
        <w:tab/>
        <w:t xml:space="preserve">A transitional bush fire application must be accompanied by — </w:t>
      </w:r>
    </w:p>
    <w:p>
      <w:pPr>
        <w:pStyle w:val="Indenta"/>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pPr>
      <w:r>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pPr>
      <w:r>
        <w:tab/>
        <w:t>(3)</w:t>
      </w:r>
      <w:r>
        <w:tab/>
        <w:t xml:space="preserve">This regulation does not limit the information that the Building Commissioner may take into account in determining an application. </w:t>
      </w:r>
    </w:p>
    <w:p>
      <w:pPr>
        <w:pStyle w:val="Footnotesection"/>
      </w:pPr>
      <w:r>
        <w:tab/>
        <w:t>[Regulation 32A inserted in Gazette 7 Feb 2017 p. 1161</w:t>
      </w:r>
      <w:r>
        <w:noBreakHyphen/>
        <w:t>2.]</w:t>
      </w:r>
    </w:p>
    <w:p>
      <w:pPr>
        <w:pStyle w:val="Heading5"/>
      </w:pPr>
      <w:bookmarkStart w:id="118" w:name="_Toc504135869"/>
      <w:bookmarkStart w:id="119" w:name="_Toc501631859"/>
      <w:r>
        <w:rPr>
          <w:rStyle w:val="CharSectno"/>
        </w:rPr>
        <w:t>33</w:t>
      </w:r>
      <w:r>
        <w:t>.</w:t>
      </w:r>
      <w:r>
        <w:tab/>
        <w:t>Decisions on applications (s. 39(9)(a))</w:t>
      </w:r>
      <w:bookmarkEnd w:id="118"/>
      <w:bookmarkEnd w:id="119"/>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120" w:name="_Toc504135870"/>
      <w:bookmarkStart w:id="121" w:name="_Toc501631860"/>
      <w:r>
        <w:rPr>
          <w:rStyle w:val="CharSectno"/>
        </w:rPr>
        <w:t>34</w:t>
      </w:r>
      <w:r>
        <w:t>.</w:t>
      </w:r>
      <w:r>
        <w:tab/>
        <w:t>Revoking or amending declarations (s. 39(9)(b))</w:t>
      </w:r>
      <w:bookmarkEnd w:id="120"/>
      <w:bookmarkEnd w:id="121"/>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122" w:name="_Toc504135871"/>
      <w:bookmarkStart w:id="123" w:name="_Toc501631861"/>
      <w:r>
        <w:rPr>
          <w:rStyle w:val="CharPartNo"/>
        </w:rPr>
        <w:t>Part 5</w:t>
      </w:r>
      <w:r>
        <w:rPr>
          <w:rStyle w:val="CharDivNo"/>
        </w:rPr>
        <w:t> </w:t>
      </w:r>
      <w:r>
        <w:t>—</w:t>
      </w:r>
      <w:r>
        <w:rPr>
          <w:rStyle w:val="CharDivText"/>
        </w:rPr>
        <w:t> </w:t>
      </w:r>
      <w:r>
        <w:rPr>
          <w:rStyle w:val="CharPartText"/>
        </w:rPr>
        <w:t>Occupancy permits and building approval certificates</w:t>
      </w:r>
      <w:bookmarkEnd w:id="122"/>
      <w:bookmarkEnd w:id="123"/>
    </w:p>
    <w:p>
      <w:pPr>
        <w:pStyle w:val="Heading5"/>
      </w:pPr>
      <w:bookmarkStart w:id="124" w:name="_Toc504135872"/>
      <w:bookmarkStart w:id="125" w:name="_Toc501631862"/>
      <w:r>
        <w:rPr>
          <w:rStyle w:val="CharSectno"/>
        </w:rPr>
        <w:t>35</w:t>
      </w:r>
      <w:r>
        <w:t>.</w:t>
      </w:r>
      <w:r>
        <w:tab/>
        <w:t>Display of occupancy permit details (s. 42(a))</w:t>
      </w:r>
      <w:bookmarkEnd w:id="124"/>
      <w:bookmarkEnd w:id="125"/>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126" w:name="_Toc504135873"/>
      <w:bookmarkStart w:id="127" w:name="_Toc501631863"/>
      <w:r>
        <w:rPr>
          <w:rStyle w:val="CharSectno"/>
        </w:rPr>
        <w:t>36A</w:t>
      </w:r>
      <w:r>
        <w:t>.</w:t>
      </w:r>
      <w:r>
        <w:tab/>
        <w:t>Further information (s. 55(3) and (4))</w:t>
      </w:r>
      <w:bookmarkEnd w:id="126"/>
      <w:bookmarkEnd w:id="127"/>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in Gazette 18 Dec 2012 p. 6572.]</w:t>
      </w:r>
    </w:p>
    <w:p>
      <w:pPr>
        <w:pStyle w:val="Heading5"/>
      </w:pPr>
      <w:bookmarkStart w:id="128" w:name="_Toc504135874"/>
      <w:bookmarkStart w:id="129" w:name="_Toc501631864"/>
      <w:r>
        <w:rPr>
          <w:rStyle w:val="CharSectno"/>
        </w:rPr>
        <w:t>36</w:t>
      </w:r>
      <w:r>
        <w:t>.</w:t>
      </w:r>
      <w:r>
        <w:tab/>
        <w:t>Certificate of building compliance (s. 57)</w:t>
      </w:r>
      <w:bookmarkEnd w:id="128"/>
      <w:bookmarkEnd w:id="129"/>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in Gazette 5 Apr 2016 p. 1019</w:t>
      </w:r>
      <w:r>
        <w:noBreakHyphen/>
        <w:t>20; 10 Jan 2017 p. 182; 8 Aug 2017 p. 4345; 22 Dec 2017 p. 5975.]</w:t>
      </w:r>
    </w:p>
    <w:p>
      <w:pPr>
        <w:pStyle w:val="Heading5"/>
      </w:pPr>
      <w:bookmarkStart w:id="130" w:name="_Toc504135875"/>
      <w:bookmarkStart w:id="131" w:name="_Toc501631865"/>
      <w:r>
        <w:rPr>
          <w:rStyle w:val="CharSectno"/>
        </w:rPr>
        <w:t>37</w:t>
      </w:r>
      <w:r>
        <w:t>.</w:t>
      </w:r>
      <w:r>
        <w:tab/>
        <w:t>Grant of occupancy permit or building approval certificate (s. 58)</w:t>
      </w:r>
      <w:bookmarkEnd w:id="130"/>
      <w:bookmarkEnd w:id="131"/>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Footnotesection"/>
      </w:pPr>
      <w:r>
        <w:tab/>
        <w:t>[Regulation 37 amended in Gazette 10 Jan 2017 p. 182.]</w:t>
      </w:r>
    </w:p>
    <w:p>
      <w:pPr>
        <w:pStyle w:val="Heading5"/>
      </w:pPr>
      <w:bookmarkStart w:id="132" w:name="_Toc504135876"/>
      <w:bookmarkStart w:id="133" w:name="_Toc501631866"/>
      <w:r>
        <w:rPr>
          <w:rStyle w:val="CharSectno"/>
        </w:rPr>
        <w:t>38</w:t>
      </w:r>
      <w:r>
        <w:t>.</w:t>
      </w:r>
      <w:r>
        <w:tab/>
        <w:t>Time for granting occupancy permit or building approval certificate (s. 59)</w:t>
      </w:r>
      <w:bookmarkEnd w:id="132"/>
      <w:bookmarkEnd w:id="133"/>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134" w:name="_Toc504135877"/>
      <w:bookmarkStart w:id="135" w:name="_Toc501631867"/>
      <w:r>
        <w:rPr>
          <w:rStyle w:val="CharSectno"/>
        </w:rPr>
        <w:t>39</w:t>
      </w:r>
      <w:r>
        <w:t>.</w:t>
      </w:r>
      <w:r>
        <w:tab/>
        <w:t>Occupancy permit and building approval certificates (s. 61(2))</w:t>
      </w:r>
      <w:bookmarkEnd w:id="134"/>
      <w:bookmarkEnd w:id="135"/>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136" w:name="_Toc504135878"/>
      <w:bookmarkStart w:id="137" w:name="_Toc501631868"/>
      <w:r>
        <w:rPr>
          <w:rStyle w:val="CharSectno"/>
        </w:rPr>
        <w:t>40</w:t>
      </w:r>
      <w:r>
        <w:t>.</w:t>
      </w:r>
      <w:r>
        <w:tab/>
        <w:t>Extension of period of duration of time limited occupancy permit or building approval certificate (s. 65)</w:t>
      </w:r>
      <w:bookmarkEnd w:id="136"/>
      <w:bookmarkEnd w:id="137"/>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138" w:name="_Toc504135879"/>
      <w:bookmarkStart w:id="139" w:name="_Toc501631869"/>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138"/>
      <w:bookmarkEnd w:id="139"/>
    </w:p>
    <w:p>
      <w:pPr>
        <w:pStyle w:val="Heading5"/>
      </w:pPr>
      <w:bookmarkStart w:id="140" w:name="_Toc504135880"/>
      <w:bookmarkStart w:id="141" w:name="_Toc501631870"/>
      <w:r>
        <w:rPr>
          <w:rStyle w:val="CharSectno"/>
        </w:rPr>
        <w:t>41</w:t>
      </w:r>
      <w:r>
        <w:t>.</w:t>
      </w:r>
      <w:r>
        <w:tab/>
        <w:t>Building work for which building permit not required (s. 9(b))</w:t>
      </w:r>
      <w:bookmarkEnd w:id="140"/>
      <w:bookmarkEnd w:id="141"/>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142" w:name="_Toc504135881"/>
      <w:bookmarkStart w:id="143" w:name="_Toc501631871"/>
      <w:r>
        <w:rPr>
          <w:rStyle w:val="CharSectno"/>
        </w:rPr>
        <w:t>42</w:t>
      </w:r>
      <w:r>
        <w:t>.</w:t>
      </w:r>
      <w:r>
        <w:tab/>
        <w:t>Demolition work for which demolition permit not required (s. 10(c))</w:t>
      </w:r>
      <w:bookmarkEnd w:id="142"/>
      <w:bookmarkEnd w:id="143"/>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144" w:name="_Toc504135882"/>
      <w:bookmarkStart w:id="145" w:name="_Toc501631872"/>
      <w:r>
        <w:rPr>
          <w:rStyle w:val="CharSectno"/>
        </w:rPr>
        <w:t>43</w:t>
      </w:r>
      <w:r>
        <w:t>.</w:t>
      </w:r>
      <w:r>
        <w:tab/>
        <w:t>Buildings for which occupancy permit not required (s. 41(2))</w:t>
      </w:r>
      <w:bookmarkEnd w:id="144"/>
      <w:bookmarkEnd w:id="145"/>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in Gazette 18 Dec 2012 p. 6573-4; amended in Gazette 30 Jun 2015 p. 2328.]</w:t>
      </w:r>
    </w:p>
    <w:p>
      <w:pPr>
        <w:pStyle w:val="Heading2"/>
        <w:rPr>
          <w:rStyle w:val="CharPartText"/>
        </w:rPr>
      </w:pPr>
      <w:bookmarkStart w:id="146" w:name="_Toc504135883"/>
      <w:bookmarkStart w:id="147" w:name="_Toc501631873"/>
      <w:r>
        <w:rPr>
          <w:rStyle w:val="CharPartNo"/>
        </w:rPr>
        <w:t>Part 7</w:t>
      </w:r>
      <w:r>
        <w:rPr>
          <w:rStyle w:val="CharDivNo"/>
        </w:rPr>
        <w:t> </w:t>
      </w:r>
      <w:r>
        <w:t>—</w:t>
      </w:r>
      <w:r>
        <w:rPr>
          <w:rStyle w:val="CharDivText"/>
        </w:rPr>
        <w:t> </w:t>
      </w:r>
      <w:r>
        <w:rPr>
          <w:rStyle w:val="CharPartText"/>
        </w:rPr>
        <w:t>Work affecting other land</w:t>
      </w:r>
      <w:bookmarkEnd w:id="146"/>
      <w:bookmarkEnd w:id="147"/>
    </w:p>
    <w:p>
      <w:pPr>
        <w:pStyle w:val="Heading5"/>
      </w:pPr>
      <w:bookmarkStart w:id="148" w:name="_Toc504135884"/>
      <w:bookmarkStart w:id="149" w:name="_Toc501631874"/>
      <w:r>
        <w:rPr>
          <w:rStyle w:val="CharSectno"/>
        </w:rPr>
        <w:t>44A</w:t>
      </w:r>
      <w:r>
        <w:t>.</w:t>
      </w:r>
      <w:r>
        <w:tab/>
        <w:t>Terms used</w:t>
      </w:r>
      <w:bookmarkEnd w:id="148"/>
      <w:bookmarkEnd w:id="149"/>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in Gazette 24 Apr 2014 p. 1137.]</w:t>
      </w:r>
    </w:p>
    <w:p>
      <w:pPr>
        <w:pStyle w:val="Heading5"/>
      </w:pPr>
      <w:bookmarkStart w:id="150" w:name="_Toc504135885"/>
      <w:bookmarkStart w:id="151" w:name="_Toc501631875"/>
      <w:r>
        <w:rPr>
          <w:rStyle w:val="CharSectno"/>
        </w:rPr>
        <w:t>44</w:t>
      </w:r>
      <w:r>
        <w:t>.</w:t>
      </w:r>
      <w:r>
        <w:tab/>
        <w:t>Owner of land for purposes of Part 6 of Act</w:t>
      </w:r>
      <w:bookmarkEnd w:id="150"/>
      <w:bookmarkEnd w:id="151"/>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152" w:name="_Toc504135886"/>
      <w:bookmarkStart w:id="153" w:name="_Toc501631876"/>
      <w:r>
        <w:rPr>
          <w:rStyle w:val="CharSectno"/>
        </w:rPr>
        <w:t>45A</w:t>
      </w:r>
      <w:r>
        <w:t>.</w:t>
      </w:r>
      <w:r>
        <w:tab/>
        <w:t>Minor encroachments (s. 76(1)(c))</w:t>
      </w:r>
      <w:bookmarkEnd w:id="152"/>
      <w:bookmarkEnd w:id="153"/>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in Gazette 24 Apr 2014 p. 1137.]</w:t>
      </w:r>
    </w:p>
    <w:p>
      <w:pPr>
        <w:pStyle w:val="Heading5"/>
      </w:pPr>
      <w:bookmarkStart w:id="154" w:name="_Toc504135887"/>
      <w:bookmarkStart w:id="155" w:name="_Toc501631877"/>
      <w:r>
        <w:rPr>
          <w:rStyle w:val="CharSectno"/>
        </w:rPr>
        <w:t>45B</w:t>
      </w:r>
      <w:r>
        <w:t>.</w:t>
      </w:r>
      <w:r>
        <w:tab/>
        <w:t>Circumstances prescribed for purposes of section 76(1)(e)</w:t>
      </w:r>
      <w:bookmarkEnd w:id="154"/>
      <w:bookmarkEnd w:id="155"/>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in Gazette 24 Apr 2014 p. 1137</w:t>
      </w:r>
      <w:r>
        <w:noBreakHyphen/>
        <w:t>8.]</w:t>
      </w:r>
    </w:p>
    <w:p>
      <w:pPr>
        <w:pStyle w:val="Heading5"/>
      </w:pPr>
      <w:bookmarkStart w:id="156" w:name="_Toc504135888"/>
      <w:bookmarkStart w:id="157" w:name="_Toc501631878"/>
      <w:r>
        <w:rPr>
          <w:rStyle w:val="CharSectno"/>
        </w:rPr>
        <w:t>45</w:t>
      </w:r>
      <w:r>
        <w:t>.</w:t>
      </w:r>
      <w:r>
        <w:tab/>
        <w:t>Content of notice about effect on other land (s. 85)</w:t>
      </w:r>
      <w:bookmarkEnd w:id="156"/>
      <w:bookmarkEnd w:id="157"/>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158" w:name="_Toc504135889"/>
      <w:bookmarkStart w:id="159" w:name="_Toc501631879"/>
      <w:r>
        <w:rPr>
          <w:rStyle w:val="CharPartNo"/>
        </w:rPr>
        <w:t>Part 8</w:t>
      </w:r>
      <w:r>
        <w:t> — </w:t>
      </w:r>
      <w:r>
        <w:rPr>
          <w:rStyle w:val="CharPartText"/>
        </w:rPr>
        <w:t>Existing buildings</w:t>
      </w:r>
      <w:bookmarkEnd w:id="158"/>
      <w:bookmarkEnd w:id="159"/>
    </w:p>
    <w:p>
      <w:pPr>
        <w:pStyle w:val="Heading3"/>
      </w:pPr>
      <w:bookmarkStart w:id="160" w:name="_Toc504135890"/>
      <w:bookmarkStart w:id="161" w:name="_Toc501631880"/>
      <w:r>
        <w:rPr>
          <w:rStyle w:val="CharDivNo"/>
        </w:rPr>
        <w:t>Division 1</w:t>
      </w:r>
      <w:r>
        <w:t> — </w:t>
      </w:r>
      <w:r>
        <w:rPr>
          <w:rStyle w:val="CharDivText"/>
        </w:rPr>
        <w:t>General</w:t>
      </w:r>
      <w:bookmarkEnd w:id="160"/>
      <w:bookmarkEnd w:id="161"/>
    </w:p>
    <w:p>
      <w:pPr>
        <w:pStyle w:val="Ednotesection"/>
        <w:spacing w:before="240"/>
      </w:pPr>
      <w:r>
        <w:t>[</w:t>
      </w:r>
      <w:r>
        <w:rPr>
          <w:b/>
        </w:rPr>
        <w:t>46.</w:t>
      </w:r>
      <w:r>
        <w:tab/>
        <w:t>Deleted in Gazette 18 Dec 2012 p. 6574.]</w:t>
      </w:r>
    </w:p>
    <w:p>
      <w:pPr>
        <w:pStyle w:val="Heading5"/>
        <w:spacing w:before="240"/>
      </w:pPr>
      <w:bookmarkStart w:id="162" w:name="_Toc504135891"/>
      <w:bookmarkStart w:id="163" w:name="_Toc501631881"/>
      <w:r>
        <w:rPr>
          <w:rStyle w:val="CharSectno"/>
        </w:rPr>
        <w:t>47</w:t>
      </w:r>
      <w:r>
        <w:t>.</w:t>
      </w:r>
      <w:r>
        <w:tab/>
        <w:t>Notification of change of classification of certain buildings and incidental structures</w:t>
      </w:r>
      <w:bookmarkEnd w:id="162"/>
      <w:bookmarkEnd w:id="163"/>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Classes 2 to 10</w:t>
            </w:r>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in Gazette 24 Apr 2014 p. 1138; 5 Apr 2016 p. 1020</w:t>
      </w:r>
      <w:r>
        <w:noBreakHyphen/>
        <w:t>1.]</w:t>
      </w:r>
    </w:p>
    <w:p>
      <w:pPr>
        <w:pStyle w:val="Heading3"/>
        <w:pageBreakBefore/>
        <w:spacing w:before="0"/>
      </w:pPr>
      <w:bookmarkStart w:id="164" w:name="_Toc504135892"/>
      <w:bookmarkStart w:id="165" w:name="_Toc501631882"/>
      <w:r>
        <w:rPr>
          <w:rStyle w:val="CharDivNo"/>
        </w:rPr>
        <w:t>Division 2A</w:t>
      </w:r>
      <w:r>
        <w:t> — </w:t>
      </w:r>
      <w:r>
        <w:rPr>
          <w:rStyle w:val="CharDivText"/>
        </w:rPr>
        <w:t>Maintenance</w:t>
      </w:r>
      <w:bookmarkEnd w:id="164"/>
      <w:bookmarkEnd w:id="165"/>
    </w:p>
    <w:p>
      <w:pPr>
        <w:pStyle w:val="Footnoteheading"/>
        <w:keepNext/>
      </w:pPr>
      <w:r>
        <w:tab/>
        <w:t>[Heading inserted in Gazette 24 Apr 2014 p. 1138.]</w:t>
      </w:r>
    </w:p>
    <w:p>
      <w:pPr>
        <w:pStyle w:val="Heading5"/>
      </w:pPr>
      <w:bookmarkStart w:id="166" w:name="_Toc504135893"/>
      <w:bookmarkStart w:id="167" w:name="_Toc501631883"/>
      <w:r>
        <w:rPr>
          <w:rStyle w:val="CharSectno"/>
        </w:rPr>
        <w:t>48A</w:t>
      </w:r>
      <w:r>
        <w:t>.</w:t>
      </w:r>
      <w:r>
        <w:tab/>
        <w:t>Maintenance of buildings</w:t>
      </w:r>
      <w:bookmarkEnd w:id="166"/>
      <w:bookmarkEnd w:id="167"/>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in Gazette 24 Apr 2014 p. 1138</w:t>
      </w:r>
      <w:r>
        <w:noBreakHyphen/>
        <w:t>9; amended in Gazette 30 Jun 2015 p. 2328</w:t>
      </w:r>
      <w:r>
        <w:noBreakHyphen/>
        <w:t>9.]</w:t>
      </w:r>
    </w:p>
    <w:p>
      <w:pPr>
        <w:pStyle w:val="Heading3"/>
        <w:pageBreakBefore/>
        <w:spacing w:before="0"/>
      </w:pPr>
      <w:bookmarkStart w:id="168" w:name="_Toc504135894"/>
      <w:bookmarkStart w:id="169" w:name="_Toc501631884"/>
      <w:r>
        <w:rPr>
          <w:rStyle w:val="CharDivNo"/>
        </w:rPr>
        <w:t>Division 2</w:t>
      </w:r>
      <w:r>
        <w:t> — </w:t>
      </w:r>
      <w:r>
        <w:rPr>
          <w:rStyle w:val="CharDivText"/>
        </w:rPr>
        <w:t>Private swimming pools</w:t>
      </w:r>
      <w:bookmarkEnd w:id="168"/>
      <w:bookmarkEnd w:id="169"/>
    </w:p>
    <w:p>
      <w:pPr>
        <w:pStyle w:val="Heading5"/>
        <w:spacing w:before="180"/>
      </w:pPr>
      <w:bookmarkStart w:id="170" w:name="_Toc504135895"/>
      <w:bookmarkStart w:id="171" w:name="_Toc501631885"/>
      <w:r>
        <w:rPr>
          <w:rStyle w:val="CharSectno"/>
        </w:rPr>
        <w:t>48</w:t>
      </w:r>
      <w:r>
        <w:t>.</w:t>
      </w:r>
      <w:r>
        <w:tab/>
        <w:t>Terms used</w:t>
      </w:r>
      <w:bookmarkEnd w:id="170"/>
      <w:bookmarkEnd w:id="171"/>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in Gazette 15 Apr 2016 p. 1169.]</w:t>
      </w:r>
    </w:p>
    <w:p>
      <w:pPr>
        <w:pStyle w:val="Heading5"/>
      </w:pPr>
      <w:bookmarkStart w:id="172" w:name="_Toc504135896"/>
      <w:bookmarkStart w:id="173" w:name="_Toc501631886"/>
      <w:r>
        <w:rPr>
          <w:rStyle w:val="CharSectno"/>
        </w:rPr>
        <w:t>49</w:t>
      </w:r>
      <w:r>
        <w:t>.</w:t>
      </w:r>
      <w:r>
        <w:tab/>
        <w:t>Application of this Division</w:t>
      </w:r>
      <w:bookmarkEnd w:id="172"/>
      <w:bookmarkEnd w:id="173"/>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174" w:name="_Toc504135897"/>
      <w:bookmarkStart w:id="175" w:name="_Toc501631887"/>
      <w:r>
        <w:rPr>
          <w:rStyle w:val="CharSectno"/>
        </w:rPr>
        <w:t>50</w:t>
      </w:r>
      <w:r>
        <w:t>.</w:t>
      </w:r>
      <w:r>
        <w:tab/>
        <w:t>Barrier to private swimming pool</w:t>
      </w:r>
      <w:bookmarkEnd w:id="174"/>
      <w:bookmarkEnd w:id="175"/>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in Gazette 15 Apr 2016 p. 1169</w:t>
      </w:r>
      <w:r>
        <w:noBreakHyphen/>
        <w:t>71; amended in Gazette 8 Aug 2017 p. 4345; 22 Dec 2017 p. 5975.]</w:t>
      </w:r>
    </w:p>
    <w:p>
      <w:pPr>
        <w:pStyle w:val="Heading5"/>
        <w:spacing w:before="240"/>
      </w:pPr>
      <w:bookmarkStart w:id="176" w:name="_Toc504135898"/>
      <w:bookmarkStart w:id="177" w:name="_Toc501631888"/>
      <w:r>
        <w:rPr>
          <w:rStyle w:val="CharSectno"/>
        </w:rPr>
        <w:t>51</w:t>
      </w:r>
      <w:r>
        <w:t>.</w:t>
      </w:r>
      <w:r>
        <w:tab/>
        <w:t>Approvals by permit authority</w:t>
      </w:r>
      <w:bookmarkEnd w:id="176"/>
      <w:bookmarkEnd w:id="177"/>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in Gazette 15 Apr 2016 p. 1171; 8 Aug 2017 p. 4345; 22 Dec 2017 p. 5975.]</w:t>
      </w:r>
    </w:p>
    <w:p>
      <w:pPr>
        <w:pStyle w:val="Heading5"/>
      </w:pPr>
      <w:bookmarkStart w:id="178" w:name="_Toc504135899"/>
      <w:bookmarkStart w:id="179" w:name="_Toc501631889"/>
      <w:r>
        <w:rPr>
          <w:rStyle w:val="CharSectno"/>
        </w:rPr>
        <w:t>52</w:t>
      </w:r>
      <w:r>
        <w:t>.</w:t>
      </w:r>
      <w:r>
        <w:tab/>
        <w:t>Concessions for pre</w:t>
      </w:r>
      <w:r>
        <w:noBreakHyphen/>
        <w:t>November 2001 private swimming pools</w:t>
      </w:r>
      <w:bookmarkEnd w:id="178"/>
      <w:bookmarkEnd w:id="179"/>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in Gazette 15 Apr 2016 p. 1171.]</w:t>
      </w:r>
    </w:p>
    <w:p>
      <w:pPr>
        <w:pStyle w:val="Heading5"/>
      </w:pPr>
      <w:bookmarkStart w:id="180" w:name="_Toc504135900"/>
      <w:bookmarkStart w:id="181" w:name="_Toc501631890"/>
      <w:r>
        <w:rPr>
          <w:rStyle w:val="CharSectno"/>
        </w:rPr>
        <w:t>53</w:t>
      </w:r>
      <w:r>
        <w:t>.</w:t>
      </w:r>
      <w:r>
        <w:tab/>
        <w:t>Inspection of barrier to private swimming pool</w:t>
      </w:r>
      <w:bookmarkEnd w:id="180"/>
      <w:bookmarkEnd w:id="181"/>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in Gazette 15 Jun 2012 p. 2515; 27 Jun 2014 p. 2309; 23 Jun 2015 p. 2162; 15 Apr 2016 p. 1171; 22 Dec 2017 p. 5971.]</w:t>
      </w:r>
    </w:p>
    <w:p>
      <w:pPr>
        <w:pStyle w:val="Heading5"/>
      </w:pPr>
      <w:bookmarkStart w:id="182" w:name="_Toc504135901"/>
      <w:bookmarkStart w:id="183" w:name="_Toc501631891"/>
      <w:r>
        <w:rPr>
          <w:rStyle w:val="CharSectno"/>
        </w:rPr>
        <w:t>54A</w:t>
      </w:r>
      <w:r>
        <w:t>.</w:t>
      </w:r>
      <w:r>
        <w:tab/>
        <w:t>Temporary pool barriers</w:t>
      </w:r>
      <w:bookmarkEnd w:id="182"/>
      <w:bookmarkEnd w:id="183"/>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in Gazette 24 Apr 2014 p. 1140; amended in Gazette 15 Apr 2016 p. 1171.]</w:t>
      </w:r>
    </w:p>
    <w:p>
      <w:pPr>
        <w:pStyle w:val="Heading5"/>
      </w:pPr>
      <w:bookmarkStart w:id="184" w:name="_Toc504135902"/>
      <w:bookmarkStart w:id="185" w:name="_Toc501631892"/>
      <w:r>
        <w:rPr>
          <w:rStyle w:val="CharSectno"/>
        </w:rPr>
        <w:t>54</w:t>
      </w:r>
      <w:r>
        <w:t>.</w:t>
      </w:r>
      <w:r>
        <w:tab/>
        <w:t>Transitional provisions — persons authorised to carry out inspections of private swimming pools</w:t>
      </w:r>
      <w:bookmarkEnd w:id="184"/>
      <w:bookmarkEnd w:id="185"/>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2</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in Gazette 18 Dec 2012 p. 6574; 15 Apr 2016 p. 1172.]</w:t>
      </w:r>
    </w:p>
    <w:p>
      <w:pPr>
        <w:pStyle w:val="Heading3"/>
      </w:pPr>
      <w:bookmarkStart w:id="186" w:name="_Toc504135903"/>
      <w:bookmarkStart w:id="187" w:name="_Toc501631893"/>
      <w:r>
        <w:rPr>
          <w:rStyle w:val="CharDivNo"/>
        </w:rPr>
        <w:t>Division 3</w:t>
      </w:r>
      <w:r>
        <w:t> — </w:t>
      </w:r>
      <w:r>
        <w:rPr>
          <w:rStyle w:val="CharDivText"/>
        </w:rPr>
        <w:t>Smoke alarms</w:t>
      </w:r>
      <w:bookmarkEnd w:id="186"/>
      <w:bookmarkEnd w:id="187"/>
    </w:p>
    <w:p>
      <w:pPr>
        <w:pStyle w:val="Heading5"/>
      </w:pPr>
      <w:bookmarkStart w:id="188" w:name="_Toc504135904"/>
      <w:bookmarkStart w:id="189" w:name="_Toc501631894"/>
      <w:r>
        <w:rPr>
          <w:rStyle w:val="CharSectno"/>
        </w:rPr>
        <w:t>55</w:t>
      </w:r>
      <w:r>
        <w:t>.</w:t>
      </w:r>
      <w:r>
        <w:tab/>
        <w:t>Terms used</w:t>
      </w:r>
      <w:bookmarkEnd w:id="188"/>
      <w:bookmarkEnd w:id="189"/>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rPr>
          <w:ins w:id="190" w:author="Master Repository Process" w:date="2021-07-31T11:11:00Z"/>
        </w:rPr>
      </w:pPr>
      <w:ins w:id="191" w:author="Master Repository Process" w:date="2021-07-31T11:11:00Z">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ins>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rPr>
          <w:ins w:id="192" w:author="Master Repository Process" w:date="2021-07-31T11:11:00Z"/>
        </w:rPr>
      </w:pPr>
      <w:ins w:id="193" w:author="Master Repository Process" w:date="2021-07-31T11:11:00Z">
        <w:r>
          <w:tab/>
        </w:r>
        <w:r>
          <w:rPr>
            <w:rStyle w:val="CharDefText"/>
          </w:rPr>
          <w:t>transfer day</w:t>
        </w:r>
        <w:r>
          <w:t>, in relation to a dwelling the ownership of which is transferred, means the day on which the ownership is transferred;</w:t>
        </w:r>
      </w:ins>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rPr>
          <w:ins w:id="194" w:author="Master Repository Process" w:date="2021-07-31T11:11:00Z"/>
        </w:rPr>
      </w:pPr>
      <w:ins w:id="195" w:author="Master Repository Process" w:date="2021-07-31T11:11:00Z">
        <w:r>
          <w:tab/>
          <w:t>[Regulation 55 amended in Gazette 22 Dec 2017 p. 5971</w:t>
        </w:r>
        <w:r>
          <w:noBreakHyphen/>
          <w:t>2.]</w:t>
        </w:r>
      </w:ins>
    </w:p>
    <w:p>
      <w:pPr>
        <w:pStyle w:val="Heading5"/>
        <w:keepNext w:val="0"/>
        <w:keepLines w:val="0"/>
        <w:spacing w:before="180"/>
      </w:pPr>
      <w:bookmarkStart w:id="196" w:name="_Toc504135905"/>
      <w:bookmarkStart w:id="197" w:name="_Toc501631895"/>
      <w:r>
        <w:rPr>
          <w:rStyle w:val="CharSectno"/>
        </w:rPr>
        <w:t>56</w:t>
      </w:r>
      <w:r>
        <w:t>.</w:t>
      </w:r>
      <w:r>
        <w:tab/>
        <w:t>Requirement to have smoke alarms or similar prior to transfer of dwelling</w:t>
      </w:r>
      <w:bookmarkEnd w:id="196"/>
      <w:bookmarkEnd w:id="197"/>
    </w:p>
    <w:p>
      <w:pPr>
        <w:pStyle w:val="Subsection"/>
        <w:keepNext/>
      </w:pPr>
      <w:r>
        <w:tab/>
      </w:r>
      <w:ins w:id="198" w:author="Master Repository Process" w:date="2021-07-31T11:11:00Z">
        <w:r>
          <w:t>(1)</w:t>
        </w:r>
      </w:ins>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w:t>
      </w:r>
      <w:ins w:id="199" w:author="Master Repository Process" w:date="2021-07-31T11:11:00Z">
        <w:r>
          <w:t xml:space="preserve"> for this subregulation</w:t>
        </w:r>
      </w:ins>
      <w:r>
        <w:t>: a fine of $5 000.</w:t>
      </w:r>
    </w:p>
    <w:p>
      <w:pPr>
        <w:pStyle w:val="Subsection"/>
        <w:rPr>
          <w:ins w:id="200" w:author="Master Repository Process" w:date="2021-07-31T11:11:00Z"/>
        </w:rPr>
      </w:pPr>
      <w:ins w:id="201" w:author="Master Repository Process" w:date="2021-07-31T11:11:00Z">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ins>
    </w:p>
    <w:p>
      <w:pPr>
        <w:pStyle w:val="Footnotesection"/>
        <w:rPr>
          <w:ins w:id="202" w:author="Master Repository Process" w:date="2021-07-31T11:11:00Z"/>
        </w:rPr>
      </w:pPr>
      <w:ins w:id="203" w:author="Master Repository Process" w:date="2021-07-31T11:11:00Z">
        <w:r>
          <w:tab/>
          <w:t>[Regulation 56 amended in Gazette 22 Dec 2017 p. 5972.]</w:t>
        </w:r>
      </w:ins>
    </w:p>
    <w:p>
      <w:pPr>
        <w:pStyle w:val="Heading5"/>
      </w:pPr>
      <w:bookmarkStart w:id="204" w:name="_Toc504135906"/>
      <w:bookmarkStart w:id="205" w:name="_Toc501631896"/>
      <w:r>
        <w:rPr>
          <w:rStyle w:val="CharSectno"/>
        </w:rPr>
        <w:t>57</w:t>
      </w:r>
      <w:r>
        <w:t>.</w:t>
      </w:r>
      <w:r>
        <w:tab/>
        <w:t>New owner must install smoke alarms or similar, and right to recover costs</w:t>
      </w:r>
      <w:bookmarkEnd w:id="204"/>
      <w:bookmarkEnd w:id="205"/>
    </w:p>
    <w:p>
      <w:pPr>
        <w:pStyle w:val="Subsection"/>
      </w:pPr>
      <w:r>
        <w:tab/>
        <w:t>(1)</w:t>
      </w:r>
      <w:r>
        <w:tab/>
        <w:t xml:space="preserve">If an owner of a dwelling (the </w:t>
      </w:r>
      <w:r>
        <w:rPr>
          <w:rStyle w:val="CharDefText"/>
        </w:rPr>
        <w:t>prior owner</w:t>
      </w:r>
      <w:r>
        <w:t>) transfers the ownership of it and fails to comply with regulation 56</w:t>
      </w:r>
      <w:del w:id="206" w:author="Master Repository Process" w:date="2021-07-31T11:11:00Z">
        <w:r>
          <w:delText>,</w:delText>
        </w:r>
      </w:del>
      <w:ins w:id="207" w:author="Master Repository Process" w:date="2021-07-31T11:11:00Z">
        <w:r>
          <w:t>(1),</w:t>
        </w:r>
      </w:ins>
      <w:r>
        <w:t xml:space="preserve"> the person to whom the ownership is transferred (the </w:t>
      </w:r>
      <w:r>
        <w:rPr>
          <w:rStyle w:val="CharDefText"/>
        </w:rPr>
        <w:t>new owner</w:t>
      </w:r>
      <w:r>
        <w:t xml:space="preserve">) must, within </w:t>
      </w:r>
      <w:del w:id="208" w:author="Master Repository Process" w:date="2021-07-31T11:11:00Z">
        <w:r>
          <w:delText>12 months of the ownership being transferred</w:delText>
        </w:r>
      </w:del>
      <w:ins w:id="209" w:author="Master Repository Process" w:date="2021-07-31T11:11:00Z">
        <w:r>
          <w:t>the post</w:t>
        </w:r>
        <w:r>
          <w:noBreakHyphen/>
          <w:t>transfer period</w:t>
        </w:r>
      </w:ins>
      <w:r>
        <w:t>,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w:t>
      </w:r>
      <w:ins w:id="210" w:author="Master Repository Process" w:date="2021-07-31T11:11:00Z">
        <w:r>
          <w:t xml:space="preserve"> for this subregulation</w:t>
        </w:r>
      </w:ins>
      <w:r>
        <w:t>: a fine of $5 000.</w:t>
      </w:r>
    </w:p>
    <w:p>
      <w:pPr>
        <w:pStyle w:val="Subsection"/>
        <w:rPr>
          <w:ins w:id="211" w:author="Master Repository Process" w:date="2021-07-31T11:11:00Z"/>
        </w:rPr>
      </w:pPr>
      <w:del w:id="212" w:author="Master Repository Process" w:date="2021-07-31T11:11:00Z">
        <w:r>
          <w:tab/>
          <w:delText>(2)</w:delText>
        </w:r>
        <w:r>
          <w:tab/>
          <w:delText>The new owner</w:delText>
        </w:r>
      </w:del>
      <w:ins w:id="213" w:author="Master Repository Process" w:date="2021-07-31T11:11:00Z">
        <w:r>
          <w:tab/>
          <w:t>(1A)</w:t>
        </w:r>
        <w:r>
          <w:tab/>
          <w:t xml:space="preserve">In subregulation (1) — </w:t>
        </w:r>
      </w:ins>
    </w:p>
    <w:p>
      <w:pPr>
        <w:pStyle w:val="Defstart"/>
        <w:rPr>
          <w:ins w:id="214" w:author="Master Repository Process" w:date="2021-07-31T11:11:00Z"/>
        </w:rPr>
      </w:pPr>
      <w:ins w:id="215" w:author="Master Repository Process" w:date="2021-07-31T11:11:00Z">
        <w:r>
          <w:tab/>
        </w:r>
        <w:r>
          <w:rPr>
            <w:rStyle w:val="CharDefText"/>
          </w:rPr>
          <w:t>post</w:t>
        </w:r>
        <w:r>
          <w:rPr>
            <w:rStyle w:val="CharDefText"/>
          </w:rPr>
          <w:noBreakHyphen/>
          <w:t>transfer period</w:t>
        </w:r>
        <w:r>
          <w:t xml:space="preserve">, in relation to a dwelling, means — </w:t>
        </w:r>
      </w:ins>
    </w:p>
    <w:p>
      <w:pPr>
        <w:pStyle w:val="Defpara"/>
        <w:rPr>
          <w:ins w:id="216" w:author="Master Repository Process" w:date="2021-07-31T11:11:00Z"/>
        </w:rPr>
      </w:pPr>
      <w:ins w:id="217" w:author="Master Repository Process" w:date="2021-07-31T11:11:00Z">
        <w:r>
          <w:tab/>
          <w:t>(a)</w:t>
        </w:r>
        <w:r>
          <w:tab/>
          <w:t>if the new owner gave the prior owner a declaration of intended demolition for the dwelling before the time of the transfer — the period of 6 months beginning on the transfer day; or</w:t>
        </w:r>
      </w:ins>
    </w:p>
    <w:p>
      <w:pPr>
        <w:pStyle w:val="Defpara"/>
        <w:rPr>
          <w:ins w:id="218" w:author="Master Repository Process" w:date="2021-07-31T11:11:00Z"/>
        </w:rPr>
      </w:pPr>
      <w:ins w:id="219" w:author="Master Repository Process" w:date="2021-07-31T11:11:00Z">
        <w:r>
          <w:tab/>
          <w:t>(b)</w:t>
        </w:r>
        <w:r>
          <w:tab/>
          <w:t>if the new owner did not give the prior owner a declaration of intended demolition for the dwelling before the time of the transfer — the period of 12 months beginning on the transfer day.</w:t>
        </w:r>
      </w:ins>
    </w:p>
    <w:p>
      <w:pPr>
        <w:pStyle w:val="Subsection"/>
      </w:pPr>
      <w:ins w:id="220" w:author="Master Repository Process" w:date="2021-07-31T11:11:00Z">
        <w:r>
          <w:tab/>
          <w:t>(2)</w:t>
        </w:r>
        <w:r>
          <w:tab/>
          <w:t>If the new owner did not give the prior owner a declaration of intended demolition for the dwelling before the time of the transfer, the new owner</w:t>
        </w:r>
      </w:ins>
      <w:r>
        <w:t xml:space="preserve"> may recover, in a court of competent jurisdiction, the reasonable costs of complying with subregulation (1) as a debt due from the prior owner.</w:t>
      </w:r>
    </w:p>
    <w:p>
      <w:pPr>
        <w:pStyle w:val="Subsection"/>
        <w:rPr>
          <w:ins w:id="221" w:author="Master Repository Process" w:date="2021-07-31T11:11:00Z"/>
        </w:rPr>
      </w:pPr>
      <w:ins w:id="222" w:author="Master Repository Process" w:date="2021-07-31T11:11:00Z">
        <w:r>
          <w:tab/>
          <w:t>(3)</w:t>
        </w:r>
        <w:r>
          <w:tab/>
          <w:t>It is a defence to a charge of an offence under subregulation (1) for the accused to prove that the dwelling was demolished within the post</w:t>
        </w:r>
        <w:r>
          <w:noBreakHyphen/>
          <w:t>transfer period.</w:t>
        </w:r>
      </w:ins>
    </w:p>
    <w:p>
      <w:pPr>
        <w:pStyle w:val="Footnotesection"/>
        <w:rPr>
          <w:ins w:id="223" w:author="Master Repository Process" w:date="2021-07-31T11:11:00Z"/>
        </w:rPr>
      </w:pPr>
      <w:ins w:id="224" w:author="Master Repository Process" w:date="2021-07-31T11:11:00Z">
        <w:r>
          <w:tab/>
          <w:t>[Regulation 57 amended in Gazette 22 Dec 2017 p. 5972</w:t>
        </w:r>
        <w:r>
          <w:noBreakHyphen/>
          <w:t>3.]</w:t>
        </w:r>
      </w:ins>
    </w:p>
    <w:p>
      <w:pPr>
        <w:pStyle w:val="Heading5"/>
        <w:spacing w:before="180"/>
      </w:pPr>
      <w:bookmarkStart w:id="225" w:name="_Toc504135907"/>
      <w:bookmarkStart w:id="226" w:name="_Toc501631897"/>
      <w:r>
        <w:rPr>
          <w:rStyle w:val="CharSectno"/>
        </w:rPr>
        <w:t>58</w:t>
      </w:r>
      <w:r>
        <w:t>.</w:t>
      </w:r>
      <w:r>
        <w:tab/>
        <w:t>Requirement to have smoke alarms or similar prior to tenancy</w:t>
      </w:r>
      <w:bookmarkEnd w:id="225"/>
      <w:bookmarkEnd w:id="226"/>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227" w:name="_Toc504135908"/>
      <w:bookmarkStart w:id="228" w:name="_Toc501631898"/>
      <w:r>
        <w:rPr>
          <w:rStyle w:val="CharSectno"/>
        </w:rPr>
        <w:t>59</w:t>
      </w:r>
      <w:r>
        <w:t>.</w:t>
      </w:r>
      <w:r>
        <w:tab/>
        <w:t>Requirement to have smoke alarms or similar prior to hire of dwelling</w:t>
      </w:r>
      <w:bookmarkEnd w:id="227"/>
      <w:bookmarkEnd w:id="228"/>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229" w:name="_Toc504135909"/>
      <w:bookmarkStart w:id="230" w:name="_Toc501631899"/>
      <w:r>
        <w:rPr>
          <w:rStyle w:val="CharSectno"/>
        </w:rPr>
        <w:t>60</w:t>
      </w:r>
      <w:r>
        <w:t>.</w:t>
      </w:r>
      <w:r>
        <w:tab/>
        <w:t>Requirements for smoke alarms</w:t>
      </w:r>
      <w:bookmarkEnd w:id="229"/>
      <w:bookmarkEnd w:id="230"/>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w:t>
      </w:r>
      <w:ins w:id="231" w:author="Master Repository Process" w:date="2021-07-31T11:11:00Z">
        <w:r>
          <w:t>1)(</w:t>
        </w:r>
      </w:ins>
      <w:r>
        <w:t>a),</w:t>
      </w:r>
      <w:del w:id="232" w:author="Master Repository Process" w:date="2021-07-31T11:11:00Z">
        <w:r>
          <w:delText> </w:delText>
        </w:r>
      </w:del>
      <w:ins w:id="233" w:author="Master Repository Process" w:date="2021-07-31T11:11:00Z">
        <w:r>
          <w:t xml:space="preserve"> </w:t>
        </w:r>
      </w:ins>
      <w:r>
        <w:t>57(1)(a),</w:t>
      </w:r>
      <w:del w:id="234" w:author="Master Repository Process" w:date="2021-07-31T11:11:00Z">
        <w:r>
          <w:delText> </w:delText>
        </w:r>
      </w:del>
      <w:ins w:id="235" w:author="Master Repository Process" w:date="2021-07-31T11:11:00Z">
        <w:r>
          <w:t xml:space="preserve"> </w:t>
        </w:r>
      </w:ins>
      <w:r>
        <w:t>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in Gazette 24 Apr 2014 p. 1140; 30 Jun 2015 p. 2329</w:t>
      </w:r>
      <w:ins w:id="236" w:author="Master Repository Process" w:date="2021-07-31T11:11:00Z">
        <w:r>
          <w:t>; 22 Dec 2017 p. 5973</w:t>
        </w:r>
      </w:ins>
      <w:r>
        <w:t>.]</w:t>
      </w:r>
    </w:p>
    <w:p>
      <w:pPr>
        <w:pStyle w:val="Heading5"/>
        <w:spacing w:before="180"/>
      </w:pPr>
      <w:bookmarkStart w:id="237" w:name="_Toc504135910"/>
      <w:bookmarkStart w:id="238" w:name="_Toc501631900"/>
      <w:r>
        <w:rPr>
          <w:rStyle w:val="CharSectno"/>
        </w:rPr>
        <w:t>61</w:t>
      </w:r>
      <w:r>
        <w:t>.</w:t>
      </w:r>
      <w:r>
        <w:tab/>
        <w:t>Local government approval of battery powered smoke alarms</w:t>
      </w:r>
      <w:bookmarkEnd w:id="237"/>
      <w:bookmarkEnd w:id="238"/>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in Gazette 23 Jun 2015 p. 2162; 3 Jun 2016 p. 1754; 23 Jun 2017 p. 3222.]</w:t>
      </w:r>
    </w:p>
    <w:p>
      <w:pPr>
        <w:pStyle w:val="Heading5"/>
      </w:pPr>
      <w:bookmarkStart w:id="239" w:name="_Toc504135911"/>
      <w:bookmarkStart w:id="240" w:name="_Toc501631901"/>
      <w:r>
        <w:rPr>
          <w:rStyle w:val="CharSectno"/>
        </w:rPr>
        <w:t>62</w:t>
      </w:r>
      <w:r>
        <w:t>.</w:t>
      </w:r>
      <w:r>
        <w:tab/>
        <w:t>Requirement to maintain certain smoke alarms</w:t>
      </w:r>
      <w:bookmarkEnd w:id="239"/>
      <w:bookmarkEnd w:id="240"/>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in Gazette 18 Dec 2012 p. 6574; 24 Apr 2014 p. 1140</w:t>
      </w:r>
      <w:r>
        <w:noBreakHyphen/>
        <w:t>1.]</w:t>
      </w:r>
    </w:p>
    <w:p>
      <w:pPr>
        <w:pStyle w:val="Ednotepart"/>
      </w:pPr>
      <w:r>
        <w:t>[Part 9</w:t>
      </w:r>
      <w:r>
        <w:rPr>
          <w:vertAlign w:val="superscript"/>
        </w:rPr>
        <w:t> 3</w:t>
      </w:r>
      <w:r>
        <w:t xml:space="preserve"> (r. 63-68) omitted under the Reprints Act 1984 s. 7(4)(e).]</w:t>
      </w:r>
    </w:p>
    <w:p>
      <w:pPr>
        <w:pStyle w:val="Heading2"/>
      </w:pPr>
      <w:bookmarkStart w:id="241" w:name="_Toc504135912"/>
      <w:bookmarkStart w:id="242" w:name="_Toc501631902"/>
      <w:r>
        <w:rPr>
          <w:rStyle w:val="CharPartNo"/>
        </w:rPr>
        <w:t>Part 10</w:t>
      </w:r>
      <w:r>
        <w:rPr>
          <w:rStyle w:val="CharDivNo"/>
        </w:rPr>
        <w:t> </w:t>
      </w:r>
      <w:r>
        <w:t>—</w:t>
      </w:r>
      <w:r>
        <w:rPr>
          <w:rStyle w:val="CharDivText"/>
        </w:rPr>
        <w:t> </w:t>
      </w:r>
      <w:r>
        <w:rPr>
          <w:rStyle w:val="CharPartText"/>
        </w:rPr>
        <w:t>Infringement notices</w:t>
      </w:r>
      <w:bookmarkEnd w:id="241"/>
      <w:bookmarkEnd w:id="242"/>
    </w:p>
    <w:p>
      <w:pPr>
        <w:pStyle w:val="Footnoteheading"/>
      </w:pPr>
      <w:r>
        <w:tab/>
        <w:t>[Heading inserted in Gazette 18 Dec 2012 p. 6575.]</w:t>
      </w:r>
    </w:p>
    <w:p>
      <w:pPr>
        <w:pStyle w:val="Heading5"/>
      </w:pPr>
      <w:bookmarkStart w:id="243" w:name="_Toc504135913"/>
      <w:bookmarkStart w:id="244" w:name="_Toc501631903"/>
      <w:r>
        <w:rPr>
          <w:rStyle w:val="CharSectno"/>
        </w:rPr>
        <w:t>69</w:t>
      </w:r>
      <w:r>
        <w:t>.</w:t>
      </w:r>
      <w:r>
        <w:tab/>
        <w:t>Prescribed offences and modified penalties</w:t>
      </w:r>
      <w:bookmarkEnd w:id="243"/>
      <w:bookmarkEnd w:id="244"/>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in Gazette 18 Dec 2012 p. 6575.]</w:t>
      </w:r>
    </w:p>
    <w:p>
      <w:pPr>
        <w:pStyle w:val="Heading5"/>
      </w:pPr>
      <w:bookmarkStart w:id="245" w:name="_Toc504135914"/>
      <w:bookmarkStart w:id="246" w:name="_Toc501631904"/>
      <w:r>
        <w:rPr>
          <w:rStyle w:val="CharSectno"/>
        </w:rPr>
        <w:t>70</w:t>
      </w:r>
      <w:r>
        <w:t>.</w:t>
      </w:r>
      <w:r>
        <w:tab/>
        <w:t>Approved officers and authorised officers</w:t>
      </w:r>
      <w:bookmarkEnd w:id="245"/>
      <w:bookmarkEnd w:id="246"/>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person appointed under the </w:t>
      </w:r>
      <w:r>
        <w:rPr>
          <w:i/>
        </w:rPr>
        <w:t>Local Government Act 1995</w:t>
      </w:r>
      <w:r>
        <w:t xml:space="preserve"> section 9.10(1) and authorised for the purpose of performing functions under section 9.19 or 9.20 of that Act.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in Gazette 18 Dec 2012 p. 6575-6.]</w:t>
      </w:r>
    </w:p>
    <w:p>
      <w:pPr>
        <w:pStyle w:val="Heading5"/>
      </w:pPr>
      <w:bookmarkStart w:id="247" w:name="_Toc504135915"/>
      <w:bookmarkStart w:id="248" w:name="_Toc501631905"/>
      <w:r>
        <w:rPr>
          <w:rStyle w:val="CharSectno"/>
        </w:rPr>
        <w:t>71</w:t>
      </w:r>
      <w:r>
        <w:t>.</w:t>
      </w:r>
      <w:r>
        <w:tab/>
        <w:t>Forms</w:t>
      </w:r>
      <w:bookmarkEnd w:id="247"/>
      <w:bookmarkEnd w:id="248"/>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in Gazette 18 Dec 2012 p. 6576.]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49" w:name="_Toc504135916"/>
      <w:bookmarkStart w:id="250" w:name="_Toc501631906"/>
      <w:r>
        <w:rPr>
          <w:rStyle w:val="CharSchNo"/>
        </w:rPr>
        <w:t>Schedule 1</w:t>
      </w:r>
      <w:r>
        <w:rPr>
          <w:rStyle w:val="CharSDivNo"/>
        </w:rPr>
        <w:t> </w:t>
      </w:r>
      <w:r>
        <w:t>—</w:t>
      </w:r>
      <w:r>
        <w:rPr>
          <w:rStyle w:val="CharSDivText"/>
        </w:rPr>
        <w:t> </w:t>
      </w:r>
      <w:r>
        <w:rPr>
          <w:rStyle w:val="CharSchText"/>
        </w:rPr>
        <w:t>Estimated value of building work</w:t>
      </w:r>
      <w:bookmarkEnd w:id="249"/>
      <w:bookmarkEnd w:id="250"/>
    </w:p>
    <w:p>
      <w:pPr>
        <w:pStyle w:val="yShoulderClause"/>
      </w:pPr>
      <w:r>
        <w:t>[r. 3]</w:t>
      </w:r>
    </w:p>
    <w:p>
      <w:pPr>
        <w:pStyle w:val="yHeading5"/>
        <w:spacing w:before="180"/>
      </w:pPr>
      <w:bookmarkStart w:id="251" w:name="_Toc504135917"/>
      <w:bookmarkStart w:id="252" w:name="_Toc501631907"/>
      <w:r>
        <w:rPr>
          <w:rStyle w:val="CharSClsNo"/>
        </w:rPr>
        <w:t>1</w:t>
      </w:r>
      <w:r>
        <w:t>.</w:t>
      </w:r>
      <w:r>
        <w:tab/>
        <w:t>Terms used</w:t>
      </w:r>
      <w:bookmarkEnd w:id="251"/>
      <w:bookmarkEnd w:id="252"/>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253" w:name="_Toc504135918"/>
      <w:bookmarkStart w:id="254" w:name="_Toc501631908"/>
      <w:r>
        <w:rPr>
          <w:rStyle w:val="CharSClsNo"/>
        </w:rPr>
        <w:t>2</w:t>
      </w:r>
      <w:r>
        <w:t>.</w:t>
      </w:r>
      <w:r>
        <w:tab/>
        <w:t>Estimated value of building work</w:t>
      </w:r>
      <w:bookmarkEnd w:id="253"/>
      <w:bookmarkEnd w:id="254"/>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255" w:name="_Toc504135919"/>
      <w:bookmarkStart w:id="256" w:name="_Toc501631909"/>
      <w:r>
        <w:rPr>
          <w:rStyle w:val="CharSClsNo"/>
        </w:rPr>
        <w:t>3</w:t>
      </w:r>
      <w:r>
        <w:t>.</w:t>
      </w:r>
      <w:r>
        <w:tab/>
        <w:t>Estimated value of unauthorised building work</w:t>
      </w:r>
      <w:bookmarkEnd w:id="255"/>
      <w:bookmarkEnd w:id="256"/>
    </w:p>
    <w:p>
      <w:pPr>
        <w:pStyle w:val="ySubsection"/>
      </w:pPr>
      <w:r>
        <w:tab/>
      </w:r>
      <w:r>
        <w:tab/>
        <w:t>The estimated value of unauthorised building work is the sum of the estimated current value (including GST) of the relevant components.</w:t>
      </w:r>
    </w:p>
    <w:p>
      <w:pPr>
        <w:sectPr>
          <w:headerReference w:type="even" r:id="rId21"/>
          <w:headerReference w:type="default" r:id="rId22"/>
          <w:pgSz w:w="11907" w:h="16840" w:code="9"/>
          <w:pgMar w:top="2381" w:right="2410" w:bottom="3544" w:left="2410" w:header="720" w:footer="3380" w:gutter="0"/>
          <w:cols w:space="720"/>
          <w:docGrid w:linePitch="326"/>
        </w:sectPr>
      </w:pPr>
    </w:p>
    <w:p>
      <w:pPr>
        <w:pStyle w:val="yScheduleHeading"/>
      </w:pPr>
      <w:bookmarkStart w:id="258" w:name="_Toc504135920"/>
      <w:bookmarkStart w:id="259" w:name="_Toc501631910"/>
      <w:r>
        <w:rPr>
          <w:rStyle w:val="CharSchNo"/>
        </w:rPr>
        <w:t>Schedule 2</w:t>
      </w:r>
      <w:r>
        <w:t> — </w:t>
      </w:r>
      <w:r>
        <w:rPr>
          <w:rStyle w:val="CharSchText"/>
        </w:rPr>
        <w:t>Fees</w:t>
      </w:r>
      <w:bookmarkEnd w:id="258"/>
      <w:bookmarkEnd w:id="259"/>
    </w:p>
    <w:p>
      <w:pPr>
        <w:pStyle w:val="yShoulderClause"/>
      </w:pPr>
      <w:r>
        <w:t>[r. 11]</w:t>
      </w:r>
    </w:p>
    <w:p>
      <w:pPr>
        <w:pStyle w:val="yFootnoteheading"/>
      </w:pPr>
      <w:r>
        <w:tab/>
        <w:t>[Heading inserted in Gazette 23 Jun 2017 p. 3222.]</w:t>
      </w:r>
    </w:p>
    <w:p>
      <w:pPr>
        <w:pStyle w:val="yHeading3"/>
        <w:jc w:val="left"/>
        <w:rPr>
          <w:rStyle w:val="CharSDivText"/>
          <w:snapToGrid w:val="0"/>
        </w:rPr>
      </w:pPr>
      <w:bookmarkStart w:id="260" w:name="_Toc504135921"/>
      <w:bookmarkStart w:id="261" w:name="_Toc501631911"/>
      <w:r>
        <w:rPr>
          <w:rStyle w:val="CharSDivNo"/>
        </w:rPr>
        <w:t>Division 1</w:t>
      </w:r>
      <w:r>
        <w:t> — </w:t>
      </w:r>
      <w:r>
        <w:rPr>
          <w:rStyle w:val="CharSDivText"/>
        </w:rPr>
        <w:t>Applications for building permits, demolition permits</w:t>
      </w:r>
      <w:bookmarkEnd w:id="260"/>
      <w:bookmarkEnd w:id="261"/>
    </w:p>
    <w:p>
      <w:pPr>
        <w:pStyle w:val="yFootnoteheading"/>
        <w:spacing w:after="60"/>
      </w:pPr>
      <w:r>
        <w:tab/>
        <w:t>[Heading inserted in Gazette 23 Jun 2017 p. 3222.]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$97.70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$97.70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$97.70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$97.70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$97.70 </w:t>
            </w:r>
            <w:r>
              <w:t xml:space="preserve">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$97.70</w:t>
            </w:r>
          </w:p>
        </w:tc>
      </w:tr>
    </w:tbl>
    <w:p>
      <w:pPr>
        <w:pStyle w:val="yFootnotesection"/>
      </w:pPr>
      <w:r>
        <w:tab/>
        <w:t>[Division 1 inserted in Gazette 23 Jun 2017 p. 3222</w:t>
      </w:r>
      <w:r>
        <w:noBreakHyphen/>
        <w:t>3.]</w:t>
      </w:r>
    </w:p>
    <w:p>
      <w:pPr>
        <w:pStyle w:val="yHeading3"/>
      </w:pPr>
      <w:bookmarkStart w:id="262" w:name="_Toc504135922"/>
      <w:bookmarkStart w:id="263" w:name="_Toc501631912"/>
      <w:r>
        <w:rPr>
          <w:rStyle w:val="CharSDivNo"/>
        </w:rPr>
        <w:t>Division 2</w:t>
      </w:r>
      <w:r>
        <w:t> — </w:t>
      </w:r>
      <w:r>
        <w:rPr>
          <w:rStyle w:val="CharSDivText"/>
        </w:rPr>
        <w:t>Application for occupancy permits, building approval certificates</w:t>
      </w:r>
      <w:bookmarkEnd w:id="262"/>
      <w:bookmarkEnd w:id="263"/>
    </w:p>
    <w:p>
      <w:pPr>
        <w:pStyle w:val="yFootnoteheading"/>
        <w:spacing w:after="60"/>
      </w:pPr>
      <w:r>
        <w:tab/>
        <w:t>[Heading inserted in Gazette 23 Jun 2017 p. 3223.]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Application</w:t>
            </w:r>
          </w:p>
        </w:tc>
        <w:tc>
          <w:tcPr>
            <w:tcW w:w="1880"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4390" w:type="dxa"/>
            <w:tcBorders>
              <w:top w:val="single" w:sz="4" w:space="0" w:color="auto"/>
            </w:tcBorders>
          </w:tcPr>
          <w:p>
            <w:pPr>
              <w:pStyle w:val="yTableNAm"/>
            </w:pPr>
            <w:r>
              <w:t>Application for an occupancy permit for a completed building (s. 46)</w:t>
            </w:r>
          </w:p>
        </w:tc>
        <w:tc>
          <w:tcPr>
            <w:tcW w:w="1880" w:type="dxa"/>
            <w:tcBorders>
              <w:top w:val="single" w:sz="4" w:space="0" w:color="auto"/>
            </w:tcBorders>
          </w:tcPr>
          <w:p>
            <w:pPr>
              <w:pStyle w:val="yTableNAm"/>
            </w:pPr>
            <w:r>
              <w:rPr>
                <w:szCs w:val="22"/>
              </w:rPr>
              <w:t>$97.70</w:t>
            </w:r>
          </w:p>
        </w:tc>
      </w:tr>
      <w:tr>
        <w:trPr>
          <w:cantSplit/>
        </w:trPr>
        <w:tc>
          <w:tcPr>
            <w:tcW w:w="855" w:type="dxa"/>
          </w:tcPr>
          <w:p>
            <w:pPr>
              <w:pStyle w:val="yTableNAm"/>
            </w:pPr>
            <w:r>
              <w:t>2.</w:t>
            </w:r>
          </w:p>
        </w:tc>
        <w:tc>
          <w:tcPr>
            <w:tcW w:w="4390" w:type="dxa"/>
          </w:tcPr>
          <w:p>
            <w:pPr>
              <w:pStyle w:val="yTableNAm"/>
              <w:rPr>
                <w:rStyle w:val="DraftersNotes"/>
                <w:b w:val="0"/>
                <w:i w:val="0"/>
                <w:sz w:val="22"/>
              </w:rPr>
            </w:pPr>
            <w:r>
              <w:t>Application for an occupancy permit for an incomplete building (s. 47)</w:t>
            </w:r>
          </w:p>
        </w:tc>
        <w:tc>
          <w:tcPr>
            <w:tcW w:w="1880" w:type="dxa"/>
          </w:tcPr>
          <w:p>
            <w:pPr>
              <w:pStyle w:val="yTableNAm"/>
            </w:pPr>
            <w:r>
              <w:rPr>
                <w:szCs w:val="22"/>
              </w:rPr>
              <w:t>$97.70</w:t>
            </w:r>
          </w:p>
        </w:tc>
      </w:tr>
      <w:tr>
        <w:trPr>
          <w:cantSplit/>
        </w:trPr>
        <w:tc>
          <w:tcPr>
            <w:tcW w:w="855" w:type="dxa"/>
          </w:tcPr>
          <w:p>
            <w:pPr>
              <w:pStyle w:val="yTableNAm"/>
              <w:keepNext/>
            </w:pPr>
            <w:r>
              <w:t>3.</w:t>
            </w:r>
          </w:p>
        </w:tc>
        <w:tc>
          <w:tcPr>
            <w:tcW w:w="4390" w:type="dxa"/>
          </w:tcPr>
          <w:p>
            <w:pPr>
              <w:pStyle w:val="yTableNAm"/>
              <w:keepNext/>
            </w:pPr>
            <w:r>
              <w:t>Application for modification of an occupancy permit for additional use of a building on a temporary basis (s. 48)</w:t>
            </w:r>
          </w:p>
        </w:tc>
        <w:tc>
          <w:tcPr>
            <w:tcW w:w="1880" w:type="dxa"/>
          </w:tcPr>
          <w:p>
            <w:pPr>
              <w:pStyle w:val="yTableNAm"/>
              <w:keepNext/>
            </w:pPr>
            <w:r>
              <w:rPr>
                <w:szCs w:val="22"/>
              </w:rPr>
              <w:t>$97.70</w:t>
            </w:r>
          </w:p>
        </w:tc>
      </w:tr>
      <w:tr>
        <w:trPr>
          <w:cantSplit/>
        </w:trPr>
        <w:tc>
          <w:tcPr>
            <w:tcW w:w="855" w:type="dxa"/>
          </w:tcPr>
          <w:p>
            <w:pPr>
              <w:pStyle w:val="yTableNAm"/>
            </w:pPr>
            <w:r>
              <w:t>4.</w:t>
            </w:r>
          </w:p>
        </w:tc>
        <w:tc>
          <w:tcPr>
            <w:tcW w:w="4390" w:type="dxa"/>
          </w:tcPr>
          <w:p>
            <w:pPr>
              <w:pStyle w:val="yTableNAm"/>
            </w:pPr>
            <w:r>
              <w:t>Application for a replacement occupancy permit for permanent change of the building’s use or classification (s. 49)</w:t>
            </w:r>
          </w:p>
        </w:tc>
        <w:tc>
          <w:tcPr>
            <w:tcW w:w="1880" w:type="dxa"/>
          </w:tcPr>
          <w:p>
            <w:pPr>
              <w:pStyle w:val="yTableNAm"/>
            </w:pPr>
            <w:r>
              <w:rPr>
                <w:szCs w:val="22"/>
              </w:rPr>
              <w:t>$97.70</w:t>
            </w:r>
          </w:p>
        </w:tc>
      </w:tr>
      <w:tr>
        <w:trPr>
          <w:cantSplit/>
        </w:trPr>
        <w:tc>
          <w:tcPr>
            <w:tcW w:w="855" w:type="dxa"/>
          </w:tcPr>
          <w:p>
            <w:pPr>
              <w:pStyle w:val="yTableNAm"/>
            </w:pPr>
            <w:r>
              <w:t>5.</w:t>
            </w:r>
          </w:p>
        </w:tc>
        <w:tc>
          <w:tcPr>
            <w:tcW w:w="4390" w:type="dxa"/>
          </w:tcPr>
          <w:p>
            <w:pPr>
              <w:pStyle w:val="yTableNAm"/>
            </w:pPr>
            <w:r>
              <w:t>Application for an occupancy permit or building approval certificate for registration of strata scheme or plan of re</w:t>
            </w:r>
            <w:r>
              <w:noBreakHyphen/>
              <w:t>subdivision (s. 50(1) or (2))</w:t>
            </w:r>
          </w:p>
        </w:tc>
        <w:tc>
          <w:tcPr>
            <w:tcW w:w="1880" w:type="dxa"/>
          </w:tcPr>
          <w:p>
            <w:pPr>
              <w:pStyle w:val="yTableNAm"/>
            </w:pPr>
            <w:r>
              <w:rPr>
                <w:szCs w:val="22"/>
              </w:rPr>
              <w:t>$10.80 for each strata unit covered by the application, but not less than $107.70</w:t>
            </w:r>
          </w:p>
        </w:tc>
      </w:tr>
      <w:tr>
        <w:trPr>
          <w:cantSplit/>
        </w:trPr>
        <w:tc>
          <w:tcPr>
            <w:tcW w:w="855" w:type="dxa"/>
          </w:tcPr>
          <w:p>
            <w:pPr>
              <w:pStyle w:val="yTableNAm"/>
            </w:pPr>
            <w:r>
              <w:t>6.</w:t>
            </w:r>
          </w:p>
        </w:tc>
        <w:tc>
          <w:tcPr>
            <w:tcW w:w="4390" w:type="dxa"/>
          </w:tcPr>
          <w:p>
            <w:pPr>
              <w:pStyle w:val="yTableNAm"/>
            </w:pPr>
            <w:r>
              <w:t>Application for an occupancy permit for a building in respect of which unauthorised work has been done (s. 51(2))</w:t>
            </w:r>
          </w:p>
        </w:tc>
        <w:tc>
          <w:tcPr>
            <w:tcW w:w="1880" w:type="dxa"/>
          </w:tcPr>
          <w:p>
            <w:pPr>
              <w:pStyle w:val="yTableNAm"/>
            </w:pPr>
            <w:r>
              <w:t xml:space="preserve">0.18% of the estimated value of the unauthorised work as determined by the relevant permit authority, but not less than </w:t>
            </w:r>
            <w:r>
              <w:rPr>
                <w:szCs w:val="22"/>
              </w:rPr>
              <w:t>$97.70</w:t>
            </w:r>
          </w:p>
        </w:tc>
      </w:tr>
      <w:tr>
        <w:trPr>
          <w:cantSplit/>
        </w:trPr>
        <w:tc>
          <w:tcPr>
            <w:tcW w:w="855" w:type="dxa"/>
          </w:tcPr>
          <w:p>
            <w:pPr>
              <w:pStyle w:val="yTableNAm"/>
            </w:pPr>
            <w:r>
              <w:t>7.</w:t>
            </w:r>
          </w:p>
        </w:tc>
        <w:tc>
          <w:tcPr>
            <w:tcW w:w="4390" w:type="dxa"/>
          </w:tcPr>
          <w:p>
            <w:pPr>
              <w:pStyle w:val="yTableNAm"/>
            </w:pPr>
            <w:r>
              <w:t>Application for a building approval certificate for a building or an incidental structure in respect of which unauthorised work has been done (s. 51(3))</w:t>
            </w:r>
          </w:p>
        </w:tc>
        <w:tc>
          <w:tcPr>
            <w:tcW w:w="1880" w:type="dxa"/>
          </w:tcPr>
          <w:p>
            <w:pPr>
              <w:pStyle w:val="yTableNAm"/>
            </w:pPr>
            <w:r>
              <w:t xml:space="preserve">0.38% of the estimated value of the unauthorised work as determined by the relevant permit authority, but not less than </w:t>
            </w:r>
            <w:r>
              <w:rPr>
                <w:szCs w:val="22"/>
              </w:rPr>
              <w:t>$97.70</w:t>
            </w:r>
          </w:p>
        </w:tc>
      </w:tr>
      <w:tr>
        <w:trPr>
          <w:cantSplit/>
        </w:trPr>
        <w:tc>
          <w:tcPr>
            <w:tcW w:w="855" w:type="dxa"/>
          </w:tcPr>
          <w:p>
            <w:pPr>
              <w:pStyle w:val="yTableNAm"/>
            </w:pPr>
            <w:r>
              <w:t>8.</w:t>
            </w:r>
          </w:p>
        </w:tc>
        <w:tc>
          <w:tcPr>
            <w:tcW w:w="4390" w:type="dxa"/>
          </w:tcPr>
          <w:p>
            <w:pPr>
              <w:pStyle w:val="yTableNAm"/>
            </w:pPr>
            <w:r>
              <w:t>Application to replace an occupancy permit for an existing building (s. 52(1))</w:t>
            </w:r>
          </w:p>
        </w:tc>
        <w:tc>
          <w:tcPr>
            <w:tcW w:w="1880" w:type="dxa"/>
          </w:tcPr>
          <w:p>
            <w:pPr>
              <w:pStyle w:val="yTableNAm"/>
            </w:pPr>
            <w:r>
              <w:t>$97.70</w:t>
            </w:r>
          </w:p>
        </w:tc>
      </w:tr>
      <w:tr>
        <w:trPr>
          <w:cantSplit/>
        </w:trPr>
        <w:tc>
          <w:tcPr>
            <w:tcW w:w="855" w:type="dxa"/>
          </w:tcPr>
          <w:p>
            <w:pPr>
              <w:pStyle w:val="yTableNAm"/>
            </w:pPr>
            <w:r>
              <w:t>9.</w:t>
            </w:r>
          </w:p>
        </w:tc>
        <w:tc>
          <w:tcPr>
            <w:tcW w:w="4390" w:type="dxa"/>
          </w:tcPr>
          <w:p>
            <w:pPr>
              <w:pStyle w:val="yTableNAm"/>
            </w:pPr>
            <w:r>
              <w:t>Application for a building approval certificate for an existing building or an incidental structure where unauthorised work has not been done (s. 52(2))</w:t>
            </w:r>
          </w:p>
        </w:tc>
        <w:tc>
          <w:tcPr>
            <w:tcW w:w="1880" w:type="dxa"/>
          </w:tcPr>
          <w:p>
            <w:pPr>
              <w:pStyle w:val="yTableNAm"/>
            </w:pPr>
            <w:r>
              <w:rPr>
                <w:szCs w:val="22"/>
              </w:rPr>
              <w:t>$97.70</w:t>
            </w:r>
          </w:p>
        </w:tc>
      </w:tr>
      <w:tr>
        <w:trPr>
          <w:cantSplit/>
        </w:trPr>
        <w:tc>
          <w:tcPr>
            <w:tcW w:w="855" w:type="dxa"/>
            <w:tcBorders>
              <w:bottom w:val="single" w:sz="4" w:space="0" w:color="auto"/>
            </w:tcBorders>
          </w:tcPr>
          <w:p>
            <w:pPr>
              <w:pStyle w:val="yTableNAm"/>
            </w:pPr>
            <w:r>
              <w:t>10.</w:t>
            </w:r>
          </w:p>
        </w:tc>
        <w:tc>
          <w:tcPr>
            <w:tcW w:w="4390" w:type="dxa"/>
            <w:tcBorders>
              <w:bottom w:val="single" w:sz="4" w:space="0" w:color="auto"/>
            </w:tcBorders>
          </w:tcPr>
          <w:p>
            <w:pPr>
              <w:pStyle w:val="yTableNAm"/>
            </w:pPr>
            <w:r>
              <w:t>Application to extend the time during which an occupancy permit or building approval certificate has effect (s. 65(3)(a))</w:t>
            </w:r>
          </w:p>
        </w:tc>
        <w:tc>
          <w:tcPr>
            <w:tcW w:w="1880" w:type="dxa"/>
            <w:tcBorders>
              <w:bottom w:val="single" w:sz="4" w:space="0" w:color="auto"/>
            </w:tcBorders>
          </w:tcPr>
          <w:p>
            <w:pPr>
              <w:pStyle w:val="yTableNAm"/>
            </w:pPr>
            <w:r>
              <w:rPr>
                <w:szCs w:val="22"/>
              </w:rPr>
              <w:t>$97.70</w:t>
            </w:r>
          </w:p>
        </w:tc>
      </w:tr>
    </w:tbl>
    <w:p>
      <w:pPr>
        <w:pStyle w:val="yFootnotesection"/>
      </w:pPr>
      <w:r>
        <w:tab/>
        <w:t>[Division 2 inserted in Gazette 23 Jun 2017 p. 3223</w:t>
      </w:r>
      <w:r>
        <w:noBreakHyphen/>
        <w:t>5.]</w:t>
      </w:r>
    </w:p>
    <w:p>
      <w:pPr>
        <w:pStyle w:val="yHeading3"/>
      </w:pPr>
      <w:bookmarkStart w:id="264" w:name="_Toc504135923"/>
      <w:bookmarkStart w:id="265" w:name="_Toc501631913"/>
      <w:r>
        <w:rPr>
          <w:rStyle w:val="CharSDivNo"/>
        </w:rPr>
        <w:t>Division 3</w:t>
      </w:r>
      <w:r>
        <w:t> — </w:t>
      </w:r>
      <w:r>
        <w:rPr>
          <w:rStyle w:val="CharSDivText"/>
        </w:rPr>
        <w:t>Other applications</w:t>
      </w:r>
      <w:bookmarkEnd w:id="264"/>
      <w:bookmarkEnd w:id="265"/>
    </w:p>
    <w:p>
      <w:pPr>
        <w:pStyle w:val="yFootnoteheading"/>
        <w:spacing w:after="60"/>
      </w:pPr>
      <w:r>
        <w:tab/>
        <w:t>[Heading inserted in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Application</w:t>
            </w:r>
          </w:p>
        </w:tc>
        <w:tc>
          <w:tcPr>
            <w:tcW w:w="1880"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4390"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yTableNAm"/>
              <w:keepNext/>
              <w:keepLines/>
            </w:pPr>
            <w:r>
              <w:rPr>
                <w:szCs w:val="22"/>
              </w:rPr>
              <w:t>$2 160.15</w:t>
            </w:r>
          </w:p>
        </w:tc>
      </w:tr>
    </w:tbl>
    <w:p>
      <w:pPr>
        <w:pStyle w:val="yFootnotesection"/>
      </w:pPr>
      <w:r>
        <w:tab/>
        <w:t>[Division 3 inserted in Gazette 23 Jun 2017 p. 3225.]</w:t>
      </w:r>
    </w:p>
    <w:p/>
    <w:p/>
    <w:p>
      <w:pPr>
        <w:sectPr>
          <w:headerReference w:type="even" r:id="rId23"/>
          <w:headerReference w:type="default" r:id="rId24"/>
          <w:pgSz w:w="11907" w:h="16840" w:code="9"/>
          <w:pgMar w:top="2381" w:right="2410" w:bottom="3544" w:left="2410" w:header="720" w:footer="3380" w:gutter="0"/>
          <w:cols w:space="720"/>
          <w:docGrid w:linePitch="326"/>
        </w:sectPr>
      </w:pPr>
    </w:p>
    <w:p>
      <w:pPr>
        <w:pStyle w:val="yScheduleHeading"/>
      </w:pPr>
      <w:bookmarkStart w:id="266" w:name="_Toc504135924"/>
      <w:bookmarkStart w:id="267" w:name="_Toc501631914"/>
      <w:r>
        <w:rPr>
          <w:rStyle w:val="CharSchNo"/>
        </w:rPr>
        <w:t>Schedule 3</w:t>
      </w:r>
      <w:r>
        <w:t> — </w:t>
      </w:r>
      <w:r>
        <w:rPr>
          <w:rStyle w:val="CharSchText"/>
        </w:rPr>
        <w:t>Inspections or tests of systems</w:t>
      </w:r>
      <w:bookmarkEnd w:id="266"/>
      <w:bookmarkEnd w:id="267"/>
    </w:p>
    <w:p>
      <w:pPr>
        <w:pStyle w:val="yShoulderClause"/>
      </w:pPr>
      <w:r>
        <w:t>[r. 27]</w:t>
      </w:r>
    </w:p>
    <w:p>
      <w:pPr>
        <w:pStyle w:val="yHeading5"/>
      </w:pPr>
      <w:bookmarkStart w:id="268" w:name="_Toc504135925"/>
      <w:bookmarkStart w:id="269" w:name="_Toc501631915"/>
      <w:r>
        <w:rPr>
          <w:rStyle w:val="CharSClsNo"/>
        </w:rPr>
        <w:t>1</w:t>
      </w:r>
      <w:r>
        <w:t>.</w:t>
      </w:r>
      <w:r>
        <w:tab/>
        <w:t>Term used: EP</w:t>
      </w:r>
      <w:bookmarkEnd w:id="268"/>
      <w:bookmarkEnd w:id="269"/>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Sound systems and intercom systems for emergency purposes required under EP4.3</w:t>
            </w:r>
          </w:p>
        </w:tc>
        <w:tc>
          <w:tcPr>
            <w:tcW w:w="3581" w:type="dxa"/>
          </w:tcPr>
          <w:p>
            <w:pPr>
              <w:pStyle w:val="yTableNAm"/>
            </w:pPr>
            <w:r>
              <w:t>On completion of the installation of the system</w:t>
            </w:r>
          </w:p>
        </w:tc>
      </w:tr>
    </w:tbl>
    <w:p>
      <w:pPr>
        <w:pStyle w:val="yFootnotesection"/>
      </w:pPr>
      <w:r>
        <w:tab/>
        <w:t>[Schedule 3 amended in Gazette 24 Apr 2014 p. 1141.]</w:t>
      </w:r>
    </w:p>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yScheduleHeading"/>
      </w:pPr>
      <w:bookmarkStart w:id="270" w:name="_Toc504135926"/>
      <w:bookmarkStart w:id="271" w:name="_Toc501631916"/>
      <w:r>
        <w:rPr>
          <w:rStyle w:val="CharSchNo"/>
        </w:rPr>
        <w:t>Schedule 4</w:t>
      </w:r>
      <w:r>
        <w:t> — </w:t>
      </w:r>
      <w:r>
        <w:rPr>
          <w:rStyle w:val="CharSchText"/>
        </w:rPr>
        <w:t>Building work that does not require building permit</w:t>
      </w:r>
      <w:bookmarkEnd w:id="270"/>
      <w:bookmarkEnd w:id="271"/>
    </w:p>
    <w:p>
      <w:pPr>
        <w:pStyle w:val="yShoulderClause"/>
      </w:pPr>
      <w:r>
        <w:t>[r. 41]</w:t>
      </w:r>
    </w:p>
    <w:p>
      <w:pPr>
        <w:pStyle w:val="yHeading5"/>
        <w:rPr>
          <w:rStyle w:val="CharSDivText"/>
        </w:rPr>
      </w:pPr>
      <w:bookmarkStart w:id="272" w:name="_Toc504135927"/>
      <w:bookmarkStart w:id="273" w:name="_Toc501631917"/>
      <w:r>
        <w:rPr>
          <w:rStyle w:val="CharSClsNo"/>
        </w:rPr>
        <w:t>1</w:t>
      </w:r>
      <w:r>
        <w:t>.</w:t>
      </w:r>
      <w:r>
        <w:tab/>
      </w:r>
      <w:r>
        <w:rPr>
          <w:rStyle w:val="CharSDivText"/>
        </w:rPr>
        <w:t>Areas where building permit not required for certain work</w:t>
      </w:r>
      <w:bookmarkEnd w:id="272"/>
      <w:bookmarkEnd w:id="273"/>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0"/>
            </w:pPr>
            <w:r>
              <w:t>Broomehill</w:t>
            </w:r>
            <w:r>
              <w:noBreakHyphen/>
            </w:r>
            <w:r>
              <w:br/>
              <w:t>Tambellup</w:t>
            </w:r>
          </w:p>
        </w:tc>
        <w:tc>
          <w:tcPr>
            <w:tcW w:w="2627" w:type="dxa"/>
            <w:tcBorders>
              <w:top w:val="nil"/>
              <w:bottom w:val="single" w:sz="4" w:space="0" w:color="auto"/>
            </w:tcBorders>
          </w:tcPr>
          <w:p>
            <w:r>
              <w:t xml:space="preserve">Whole district other than — </w:t>
            </w:r>
          </w:p>
          <w:p>
            <w:pPr>
              <w:ind w:left="535" w:hanging="535"/>
            </w:pPr>
            <w:r>
              <w:t>(a)</w:t>
            </w:r>
            <w:r>
              <w:tab/>
              <w:t>townsites;</w:t>
            </w:r>
          </w:p>
          <w:p>
            <w:pPr>
              <w:ind w:left="535" w:hanging="535"/>
            </w:pPr>
            <w:r>
              <w:t>(b)</w:t>
            </w:r>
            <w:r>
              <w:tab/>
              <w:t>Broomehill Suburban Lots 362, 363, 372 to 423, 427 to 432, 438, 445, 446, 603 to 605, 609 and 610;</w:t>
            </w:r>
          </w:p>
          <w:p>
            <w:pPr>
              <w:ind w:left="535" w:hanging="535"/>
            </w:pPr>
            <w:r>
              <w:t>(c)</w:t>
            </w:r>
            <w:r>
              <w:tab/>
              <w:t>Lots 17 to 24 being portion of Kojonup Location 256;</w:t>
            </w:r>
          </w:p>
          <w:p>
            <w:pPr>
              <w:ind w:left="535" w:hanging="535"/>
            </w:pPr>
            <w:r>
              <w:t>(d)</w:t>
            </w:r>
            <w:r>
              <w:tab/>
              <w:t>Kojonup Location 1671;</w:t>
            </w:r>
          </w:p>
          <w:p>
            <w:pPr>
              <w:ind w:left="535" w:hanging="535"/>
            </w:pPr>
            <w:r>
              <w:t>(e)</w:t>
            </w:r>
            <w:r>
              <w:tab/>
              <w:t>Reserves 8163, 10285, 10431 and 17230;</w:t>
            </w:r>
          </w:p>
          <w:p>
            <w:pPr>
              <w:pStyle w:val="yTableNAm"/>
              <w:tabs>
                <w:tab w:val="clear" w:pos="567"/>
                <w:tab w:val="left" w:pos="459"/>
              </w:tabs>
              <w:spacing w:before="0"/>
              <w:ind w:left="459" w:hanging="459"/>
            </w:pPr>
            <w:r>
              <w:t>(f)</w:t>
            </w:r>
            <w:r>
              <w:tab/>
              <w:t>area that was district of Tambellup immediately before 1 July 2008</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Avon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del w:id="274" w:author="Master Repository Process" w:date="2021-07-31T11:11:00Z">
              <w:r>
                <w:delText>Whole district other than townsites</w:delText>
              </w:r>
            </w:del>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del w:id="275" w:author="Master Repository Process" w:date="2021-07-31T11:11:00Z">
              <w:r>
                <w:delText>Whole district other than townsites</w:delText>
              </w:r>
            </w:del>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59"/>
              </w:tabs>
              <w:spacing w:before="80"/>
            </w:pPr>
            <w:r>
              <w:t>(a)</w:t>
            </w:r>
            <w:r>
              <w:tab/>
              <w:t>townsites;</w:t>
            </w:r>
          </w:p>
          <w:p>
            <w:pPr>
              <w:pStyle w:val="yTableNAm"/>
              <w:tabs>
                <w:tab w:val="clear" w:pos="567"/>
                <w:tab w:val="left" w:pos="459"/>
              </w:tabs>
              <w:spacing w:before="80"/>
              <w:ind w:left="459" w:hanging="459"/>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 in Town Ward;</w:t>
            </w:r>
          </w:p>
          <w:p>
            <w:pPr>
              <w:pStyle w:val="yTableNAm"/>
              <w:tabs>
                <w:tab w:val="clear" w:pos="567"/>
                <w:tab w:val="left" w:pos="459"/>
              </w:tabs>
              <w:spacing w:before="80"/>
              <w:ind w:left="459" w:hanging="459"/>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 of Wandering;</w:t>
            </w:r>
          </w:p>
          <w:p>
            <w:pPr>
              <w:pStyle w:val="yTableNAm"/>
              <w:tabs>
                <w:tab w:val="clear" w:pos="567"/>
                <w:tab w:val="left" w:pos="459"/>
              </w:tabs>
              <w:spacing w:before="0"/>
              <w:ind w:left="459" w:hanging="459"/>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del w:id="276" w:author="Master Repository Process" w:date="2021-07-31T11:11:00Z">
              <w:r>
                <w:delText>Whole district other than townsite of Wiluna</w:delText>
              </w:r>
            </w:del>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Footnotesection"/>
      </w:pPr>
      <w:r>
        <w:tab/>
        <w:t>[Clause 1 amended in Gazette 22 Dec 2017 p. 5973</w:t>
      </w:r>
      <w:r>
        <w:noBreakHyphen/>
        <w:t>4.]</w:t>
      </w:r>
    </w:p>
    <w:p>
      <w:pPr>
        <w:pStyle w:val="yHeading5"/>
        <w:rPr>
          <w:rStyle w:val="CharSDivText"/>
        </w:rPr>
      </w:pPr>
      <w:bookmarkStart w:id="277" w:name="_Toc504135928"/>
      <w:bookmarkStart w:id="278" w:name="_Toc501631918"/>
      <w:r>
        <w:rPr>
          <w:rStyle w:val="CharSClsNo"/>
        </w:rPr>
        <w:t>2</w:t>
      </w:r>
      <w:r>
        <w:t>.</w:t>
      </w:r>
      <w:r>
        <w:tab/>
      </w:r>
      <w:r>
        <w:rPr>
          <w:rStyle w:val="CharSDivText"/>
        </w:rPr>
        <w:t>Kinds of building work for which a building permit is not required</w:t>
      </w:r>
      <w:bookmarkEnd w:id="277"/>
      <w:bookmarkEnd w:id="278"/>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in Gazette 15 Jun 2012 p. 2515; 18 Dec 2012 p. 6576; 24 Apr 2014 p. 1141; 5 Apr 2016 p. 1021; 15 Apr 2016 p. 1172.]</w:t>
      </w:r>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279" w:name="_Toc504135929"/>
      <w:bookmarkStart w:id="280" w:name="_Toc501631919"/>
      <w:r>
        <w:rPr>
          <w:rStyle w:val="CharSchNo"/>
        </w:rPr>
        <w:t>Schedule 5</w:t>
      </w:r>
      <w:r>
        <w:rPr>
          <w:rStyle w:val="CharSDivNo"/>
        </w:rPr>
        <w:t> </w:t>
      </w:r>
      <w:r>
        <w:t>—</w:t>
      </w:r>
      <w:r>
        <w:rPr>
          <w:rStyle w:val="CharSDivText"/>
        </w:rPr>
        <w:t> </w:t>
      </w:r>
      <w:r>
        <w:rPr>
          <w:rStyle w:val="CharSchText"/>
        </w:rPr>
        <w:t>Areas of State where Part 8 Division 2 applies</w:t>
      </w:r>
      <w:bookmarkEnd w:id="279"/>
      <w:bookmarkEnd w:id="280"/>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in Gazette 24 Apr 2014 p. 1141; 22 Dec 2017 p. 5974</w:t>
      </w:r>
      <w:r>
        <w:noBreakHyphen/>
        <w:t>5.]</w:t>
      </w:r>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yScheduleHeading"/>
      </w:pPr>
      <w:bookmarkStart w:id="281" w:name="_Toc504135930"/>
      <w:bookmarkStart w:id="282" w:name="_Toc501631920"/>
      <w:r>
        <w:rPr>
          <w:rStyle w:val="CharSchNo"/>
        </w:rPr>
        <w:t>Schedule 6</w:t>
      </w:r>
      <w:r>
        <w:rPr>
          <w:rStyle w:val="CharSDivNo"/>
        </w:rPr>
        <w:t> </w:t>
      </w:r>
      <w:r>
        <w:t>—</w:t>
      </w:r>
      <w:r>
        <w:rPr>
          <w:rStyle w:val="CharSDivText"/>
        </w:rPr>
        <w:t> </w:t>
      </w:r>
      <w:r>
        <w:rPr>
          <w:rStyle w:val="CharSchText"/>
        </w:rPr>
        <w:t>Prescribed offences and modified penalties</w:t>
      </w:r>
      <w:bookmarkEnd w:id="281"/>
      <w:bookmarkEnd w:id="282"/>
    </w:p>
    <w:p>
      <w:pPr>
        <w:pStyle w:val="yShoulderClause"/>
      </w:pPr>
      <w:r>
        <w:t>[r. 69(1) and (2)]</w:t>
      </w:r>
    </w:p>
    <w:p>
      <w:pPr>
        <w:pStyle w:val="yFootnoteheading"/>
        <w:spacing w:after="100"/>
      </w:pPr>
      <w:r>
        <w:tab/>
        <w:t>[Heading inserted in Gazette 18 Dec 2012 p. 6577.]</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83"/>
        <w:gridCol w:w="4788"/>
        <w:gridCol w:w="1254"/>
      </w:tblGrid>
      <w:tr>
        <w:trPr>
          <w:tblHeader/>
        </w:trPr>
        <w:tc>
          <w:tcPr>
            <w:tcW w:w="5871" w:type="dxa"/>
            <w:gridSpan w:val="2"/>
          </w:tcPr>
          <w:p>
            <w:pPr>
              <w:pStyle w:val="yTableNAm"/>
              <w:jc w:val="center"/>
            </w:pPr>
            <w:r>
              <w:rPr>
                <w:b/>
                <w:bCs/>
              </w:rPr>
              <w:t>Offences</w:t>
            </w:r>
          </w:p>
        </w:tc>
        <w:tc>
          <w:tcPr>
            <w:tcW w:w="1254" w:type="dxa"/>
          </w:tcPr>
          <w:p>
            <w:pPr>
              <w:pStyle w:val="yTableNAm"/>
              <w:jc w:val="center"/>
            </w:pPr>
            <w:r>
              <w:rPr>
                <w:b/>
                <w:bCs/>
              </w:rPr>
              <w:t>Modified penalty</w:t>
            </w:r>
          </w:p>
          <w:p>
            <w:pPr>
              <w:pStyle w:val="yTableNAm"/>
              <w:jc w:val="center"/>
            </w:pPr>
            <w:r>
              <w:t>($)</w:t>
            </w:r>
          </w:p>
        </w:tc>
      </w:tr>
      <w:tr>
        <w:tc>
          <w:tcPr>
            <w:tcW w:w="1083" w:type="dxa"/>
          </w:tcPr>
          <w:p>
            <w:pPr>
              <w:pStyle w:val="yTableNAm"/>
            </w:pPr>
            <w:r>
              <w:t>r. 50(1)</w:t>
            </w:r>
          </w:p>
        </w:tc>
        <w:tc>
          <w:tcPr>
            <w:tcW w:w="4788" w:type="dxa"/>
          </w:tcPr>
          <w:p>
            <w:pPr>
              <w:pStyle w:val="yTableNAm"/>
            </w:pPr>
            <w:r>
              <w:t>Barrier to private swimming pool</w:t>
            </w:r>
          </w:p>
        </w:tc>
        <w:tc>
          <w:tcPr>
            <w:tcW w:w="1254" w:type="dxa"/>
          </w:tcPr>
          <w:p>
            <w:pPr>
              <w:pStyle w:val="yTableNAm"/>
              <w:jc w:val="center"/>
            </w:pPr>
            <w:r>
              <w:t>750</w:t>
            </w:r>
          </w:p>
        </w:tc>
      </w:tr>
      <w:tr>
        <w:tc>
          <w:tcPr>
            <w:tcW w:w="1083" w:type="dxa"/>
          </w:tcPr>
          <w:p>
            <w:pPr>
              <w:pStyle w:val="yTableNAm"/>
            </w:pPr>
            <w:r>
              <w:t>r. 56</w:t>
            </w:r>
            <w:ins w:id="283" w:author="Master Repository Process" w:date="2021-07-31T11:11:00Z">
              <w:r>
                <w:t>(1)</w:t>
              </w:r>
            </w:ins>
          </w:p>
        </w:tc>
        <w:tc>
          <w:tcPr>
            <w:tcW w:w="4788" w:type="dxa"/>
          </w:tcPr>
          <w:p>
            <w:pPr>
              <w:pStyle w:val="yTableNAm"/>
            </w:pPr>
            <w:r>
              <w:t>Requirement to have smoke alarms or similar prior to transfer of dwelling</w:t>
            </w:r>
          </w:p>
        </w:tc>
        <w:tc>
          <w:tcPr>
            <w:tcW w:w="1254" w:type="dxa"/>
          </w:tcPr>
          <w:p>
            <w:pPr>
              <w:pStyle w:val="yTableNAm"/>
              <w:jc w:val="center"/>
            </w:pPr>
            <w:r>
              <w:br/>
              <w:t>1 000</w:t>
            </w:r>
          </w:p>
        </w:tc>
      </w:tr>
      <w:tr>
        <w:tc>
          <w:tcPr>
            <w:tcW w:w="1083" w:type="dxa"/>
          </w:tcPr>
          <w:p>
            <w:pPr>
              <w:pStyle w:val="yTableNAm"/>
            </w:pPr>
            <w:r>
              <w:t>r. 58</w:t>
            </w:r>
          </w:p>
        </w:tc>
        <w:tc>
          <w:tcPr>
            <w:tcW w:w="4788" w:type="dxa"/>
          </w:tcPr>
          <w:p>
            <w:pPr>
              <w:pStyle w:val="yTableNAm"/>
            </w:pPr>
            <w:r>
              <w:t>Requirement to have smoke alarms or similar prior to tenancy</w:t>
            </w:r>
          </w:p>
        </w:tc>
        <w:tc>
          <w:tcPr>
            <w:tcW w:w="1254" w:type="dxa"/>
          </w:tcPr>
          <w:p>
            <w:pPr>
              <w:pStyle w:val="yTableNAm"/>
              <w:jc w:val="center"/>
            </w:pPr>
            <w:r>
              <w:br/>
              <w:t>1 000</w:t>
            </w:r>
          </w:p>
        </w:tc>
      </w:tr>
      <w:tr>
        <w:tc>
          <w:tcPr>
            <w:tcW w:w="1083" w:type="dxa"/>
          </w:tcPr>
          <w:p>
            <w:pPr>
              <w:pStyle w:val="yTableNAm"/>
            </w:pPr>
            <w:r>
              <w:t>r. 59</w:t>
            </w:r>
          </w:p>
        </w:tc>
        <w:tc>
          <w:tcPr>
            <w:tcW w:w="4788" w:type="dxa"/>
          </w:tcPr>
          <w:p>
            <w:pPr>
              <w:pStyle w:val="yTableNAm"/>
            </w:pPr>
            <w:r>
              <w:t>Requirement to have smoke alarms or similar prior to hire of dwelling</w:t>
            </w:r>
          </w:p>
        </w:tc>
        <w:tc>
          <w:tcPr>
            <w:tcW w:w="1254" w:type="dxa"/>
          </w:tcPr>
          <w:p>
            <w:pPr>
              <w:pStyle w:val="yTableNAm"/>
              <w:jc w:val="center"/>
            </w:pPr>
            <w:r>
              <w:br/>
              <w:t>1 000</w:t>
            </w:r>
          </w:p>
        </w:tc>
      </w:tr>
    </w:tbl>
    <w:p>
      <w:pPr>
        <w:pStyle w:val="yFootnotesection"/>
      </w:pPr>
      <w:r>
        <w:tab/>
        <w:t>[Schedule 6 inserted in Gazette 18 Dec 2012 p. 6577; amended in Gazette 24 Apr 2014 p. 1141; 15 Apr 2016 p. 1172</w:t>
      </w:r>
      <w:ins w:id="284" w:author="Master Repository Process" w:date="2021-07-31T11:11:00Z">
        <w:r>
          <w:t>; 22 Dec 2017 p. 5975</w:t>
        </w:r>
      </w:ins>
      <w:r>
        <w:t>.]</w:t>
      </w:r>
    </w:p>
    <w:p>
      <w:pPr>
        <w:pStyle w:val="yScheduleHeading"/>
        <w:rPr>
          <w:rStyle w:val="CharSchNo"/>
        </w:rPr>
        <w:sectPr>
          <w:headerReference w:type="even" r:id="rId31"/>
          <w:endnotePr>
            <w:numFmt w:val="decimal"/>
          </w:endnotePr>
          <w:pgSz w:w="11907" w:h="16840" w:code="9"/>
          <w:pgMar w:top="2381" w:right="2410" w:bottom="3544" w:left="2410" w:header="720" w:footer="3380" w:gutter="0"/>
          <w:cols w:space="720"/>
          <w:docGrid w:linePitch="326"/>
        </w:sectPr>
      </w:pPr>
    </w:p>
    <w:p>
      <w:pPr>
        <w:pStyle w:val="yScheduleHeading"/>
      </w:pPr>
      <w:bookmarkStart w:id="285" w:name="_Toc504135931"/>
      <w:bookmarkStart w:id="286" w:name="_Toc501631921"/>
      <w:r>
        <w:rPr>
          <w:rStyle w:val="CharSchNo"/>
        </w:rPr>
        <w:t>Schedule 7</w:t>
      </w:r>
      <w:r>
        <w:rPr>
          <w:rStyle w:val="CharSDivNo"/>
        </w:rPr>
        <w:t> </w:t>
      </w:r>
      <w:r>
        <w:t>—</w:t>
      </w:r>
      <w:r>
        <w:rPr>
          <w:rStyle w:val="CharSDivText"/>
        </w:rPr>
        <w:t> </w:t>
      </w:r>
      <w:r>
        <w:rPr>
          <w:rStyle w:val="CharSchText"/>
        </w:rPr>
        <w:t>Forms</w:t>
      </w:r>
      <w:bookmarkEnd w:id="285"/>
      <w:bookmarkEnd w:id="286"/>
    </w:p>
    <w:p>
      <w:pPr>
        <w:pStyle w:val="yShoulderClause"/>
      </w:pPr>
      <w:r>
        <w:t>[r. 71]</w:t>
      </w:r>
    </w:p>
    <w:p>
      <w:pPr>
        <w:pStyle w:val="yFootnoteheading"/>
        <w:spacing w:after="100"/>
      </w:pPr>
      <w:r>
        <w:tab/>
        <w:t>[Heading inserted in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in Gazette 18 Dec 2012 p. 6577-80; amended in Gazette 20 Aug 2013 p. 3822.]</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in Gazette 18 Dec 2012 p. 6580-1.]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33"/>
          <w:headerReference w:type="default" r:id="rId34"/>
          <w:endnotePr>
            <w:numFmt w:val="decimal"/>
          </w:endnotePr>
          <w:pgSz w:w="11907" w:h="16840" w:code="9"/>
          <w:pgMar w:top="2381" w:right="2410" w:bottom="3544" w:left="2410" w:header="720" w:footer="3380" w:gutter="0"/>
          <w:cols w:space="720"/>
          <w:docGrid w:linePitch="326"/>
        </w:sectPr>
      </w:pPr>
    </w:p>
    <w:p>
      <w:pPr>
        <w:pStyle w:val="nHeading2"/>
      </w:pPr>
      <w:bookmarkStart w:id="287" w:name="_Toc504135932"/>
      <w:bookmarkStart w:id="288" w:name="_Toc501631922"/>
      <w:r>
        <w:t>Notes</w:t>
      </w:r>
      <w:bookmarkEnd w:id="287"/>
      <w:bookmarkEnd w:id="288"/>
    </w:p>
    <w:p>
      <w:pPr>
        <w:pStyle w:val="nSubsection"/>
      </w:pPr>
      <w:r>
        <w:rPr>
          <w:vertAlign w:val="superscript"/>
        </w:rPr>
        <w:t>1</w:t>
      </w:r>
      <w:r>
        <w:tab/>
        <w:t xml:space="preserve">This is a compilation of the </w:t>
      </w:r>
      <w:r>
        <w:rPr>
          <w:rFonts w:ascii="Times" w:hAnsi="Times"/>
          <w:i/>
          <w:noProof/>
          <w:snapToGrid w:val="0"/>
        </w:rPr>
        <w:t xml:space="preserve">Building Regulations 2012 </w:t>
      </w:r>
      <w:r>
        <w:t>and includes the amendments made by the other written laws referred to in the following table</w:t>
      </w:r>
      <w:del w:id="289" w:author="Master Repository Process" w:date="2021-07-31T11:11:00Z">
        <w:r>
          <w:delText> </w:delText>
        </w:r>
        <w:r>
          <w:rPr>
            <w:vertAlign w:val="superscript"/>
          </w:rPr>
          <w:delText>1a</w:delText>
        </w:r>
      </w:del>
      <w:r>
        <w:t>.  The table also contains information about any reprint.</w:t>
      </w:r>
    </w:p>
    <w:p>
      <w:pPr>
        <w:pStyle w:val="nHeading3"/>
      </w:pPr>
      <w:bookmarkStart w:id="290" w:name="_Toc504135933"/>
      <w:bookmarkStart w:id="291" w:name="_Toc501631923"/>
      <w:r>
        <w:t>Compilation table</w:t>
      </w:r>
      <w:bookmarkEnd w:id="290"/>
      <w:bookmarkEnd w:id="291"/>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rFonts w:ascii="Times" w:hAnsi="Times"/>
                <w:i/>
                <w:noProof/>
                <w:snapToGrid w:val="0"/>
              </w:rPr>
            </w:pPr>
            <w:r>
              <w:rPr>
                <w:rFonts w:ascii="Times" w:hAnsi="Times"/>
                <w:i/>
                <w:noProof/>
                <w:snapToGrid w:val="0"/>
              </w:rPr>
              <w:t>Building Regulations 2012</w:t>
            </w:r>
          </w:p>
        </w:tc>
        <w:tc>
          <w:tcPr>
            <w:tcW w:w="1276" w:type="dxa"/>
            <w:tcBorders>
              <w:top w:val="single" w:sz="8" w:space="0" w:color="auto"/>
              <w:bottom w:val="nil"/>
            </w:tcBorders>
          </w:tcPr>
          <w:p>
            <w:pPr>
              <w:pStyle w:val="nTable"/>
              <w:spacing w:after="40"/>
              <w:rPr>
                <w:rFonts w:ascii="Times" w:hAnsi="Times"/>
              </w:rPr>
            </w:pPr>
            <w:r>
              <w:rPr>
                <w:rFonts w:ascii="Times" w:hAnsi="Times"/>
              </w:rPr>
              <w:t>13 Mar 2012 p. 1055-137</w:t>
            </w:r>
          </w:p>
        </w:tc>
        <w:tc>
          <w:tcPr>
            <w:tcW w:w="2693" w:type="dxa"/>
            <w:tcBorders>
              <w:top w:val="single" w:sz="8" w:space="0" w:color="auto"/>
              <w:bottom w:val="nil"/>
            </w:tcBorders>
          </w:tcPr>
          <w:p>
            <w:pPr>
              <w:pStyle w:val="nTable"/>
              <w:spacing w:after="40"/>
              <w:rPr>
                <w:rFonts w:ascii="Times" w:hAnsi="Times"/>
              </w:rPr>
            </w:pPr>
            <w:r>
              <w:rPr>
                <w:rFonts w:ascii="Times" w:hAnsi="Times"/>
              </w:rPr>
              <w:t>r. 1 and 2: 13 Mar 2012 (see r. 2(a));</w:t>
            </w:r>
            <w:r>
              <w:rPr>
                <w:rFonts w:ascii="Times" w:hAnsi="Times"/>
              </w:rPr>
              <w:br/>
              <w:t xml:space="preserve">Regulations other than r. 1 and 2: 2 Apr 2012 (see r. 2(b) and </w:t>
            </w:r>
            <w:r>
              <w:rPr>
                <w:rFonts w:ascii="Times" w:hAnsi="Times"/>
                <w:i/>
              </w:rPr>
              <w:t>Gazette</w:t>
            </w:r>
            <w:r>
              <w:rPr>
                <w:rFonts w:ascii="Times" w:hAnsi="Times"/>
              </w:rPr>
              <w:t xml:space="preserve"> 13 Mar 2012 p. 1033)</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2012</w:t>
            </w:r>
          </w:p>
        </w:tc>
        <w:tc>
          <w:tcPr>
            <w:tcW w:w="1276" w:type="dxa"/>
            <w:tcBorders>
              <w:top w:val="nil"/>
              <w:bottom w:val="nil"/>
            </w:tcBorders>
          </w:tcPr>
          <w:p>
            <w:pPr>
              <w:pStyle w:val="nTable"/>
              <w:spacing w:after="40"/>
              <w:rPr>
                <w:rFonts w:ascii="Times" w:hAnsi="Times"/>
              </w:rPr>
            </w:pPr>
            <w:r>
              <w:rPr>
                <w:rFonts w:ascii="Times" w:hAnsi="Times"/>
              </w:rPr>
              <w:t>15 Jun 2012 p. 2513</w:t>
            </w:r>
            <w:r>
              <w:rPr>
                <w:rFonts w:ascii="Times" w:hAnsi="Times"/>
              </w:rPr>
              <w:noBreakHyphen/>
              <w:t>15</w:t>
            </w:r>
          </w:p>
        </w:tc>
        <w:tc>
          <w:tcPr>
            <w:tcW w:w="2693" w:type="dxa"/>
            <w:tcBorders>
              <w:top w:val="nil"/>
              <w:bottom w:val="nil"/>
            </w:tcBorders>
          </w:tcPr>
          <w:p>
            <w:pPr>
              <w:pStyle w:val="nTable"/>
              <w:spacing w:after="40"/>
              <w:rPr>
                <w:rFonts w:ascii="Times" w:hAnsi="Times"/>
              </w:rPr>
            </w:pPr>
            <w:r>
              <w:rPr>
                <w:rFonts w:ascii="Times" w:hAnsi="Times"/>
                <w:snapToGrid w:val="0"/>
              </w:rPr>
              <w:t>r. 1 and 2: 15 Jun 2012 (see r. 2(a));</w:t>
            </w:r>
            <w:r>
              <w:rPr>
                <w:rFonts w:ascii="Times" w:hAnsi="Times"/>
                <w:snapToGrid w:val="0"/>
              </w:rPr>
              <w:br/>
              <w:t>Regulations other than r. 1 and 2: 16 Jun 2012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(No. 3) 2012</w:t>
            </w:r>
          </w:p>
        </w:tc>
        <w:tc>
          <w:tcPr>
            <w:tcW w:w="1276" w:type="dxa"/>
            <w:tcBorders>
              <w:top w:val="nil"/>
              <w:bottom w:val="nil"/>
            </w:tcBorders>
          </w:tcPr>
          <w:p>
            <w:pPr>
              <w:pStyle w:val="nTable"/>
              <w:spacing w:after="40"/>
              <w:rPr>
                <w:rFonts w:ascii="Times" w:hAnsi="Times"/>
              </w:rPr>
            </w:pPr>
            <w:r>
              <w:rPr>
                <w:rFonts w:ascii="Times" w:hAnsi="Times"/>
              </w:rPr>
              <w:t>30 Nov 2012 p. 5782</w:t>
            </w:r>
            <w:r>
              <w:rPr>
                <w:rFonts w:ascii="Times" w:hAnsi="Times"/>
              </w:rPr>
              <w:noBreakHyphen/>
              <w:t>3</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2012</w:t>
            </w:r>
          </w:p>
        </w:tc>
        <w:tc>
          <w:tcPr>
            <w:tcW w:w="1276" w:type="dxa"/>
            <w:tcBorders>
              <w:top w:val="nil"/>
              <w:bottom w:val="nil"/>
            </w:tcBorders>
            <w:shd w:val="clear" w:color="auto" w:fill="auto"/>
          </w:tcPr>
          <w:p>
            <w:pPr>
              <w:pStyle w:val="nTable"/>
              <w:spacing w:after="40"/>
              <w:rPr>
                <w:rFonts w:ascii="Times" w:hAnsi="Times"/>
              </w:rPr>
            </w:pPr>
            <w:r>
              <w:rPr>
                <w:rFonts w:ascii="Times" w:hAnsi="Times"/>
              </w:rPr>
              <w:t>18 Dec 2012 p. 6555-81</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18 Dec 2012 (see r. 2(a));</w:t>
            </w:r>
            <w:r>
              <w:rPr>
                <w:rFonts w:ascii="Times" w:hAnsi="Times"/>
                <w:snapToGrid w:val="0"/>
              </w:rPr>
              <w:br/>
              <w:t xml:space="preserve">Regulations other than r. 1 and 2: 19 Dec 2012 (see r. 2(b) and </w:t>
            </w:r>
            <w:r>
              <w:rPr>
                <w:rFonts w:ascii="Times" w:hAnsi="Times"/>
                <w:i/>
                <w:snapToGrid w:val="0"/>
              </w:rPr>
              <w:t>Gazette</w:t>
            </w:r>
            <w:r>
              <w:rPr>
                <w:rFonts w:ascii="Times" w:hAnsi="Times"/>
                <w:snapToGrid w:val="0"/>
              </w:rPr>
              <w:t xml:space="preserve"> 18 Dec 2012 p. 6585)</w:t>
            </w:r>
          </w:p>
        </w:tc>
      </w:tr>
      <w:tr>
        <w:tc>
          <w:tcPr>
            <w:tcW w:w="7087" w:type="dxa"/>
            <w:gridSpan w:val="3"/>
            <w:tcBorders>
              <w:top w:val="nil"/>
              <w:bottom w:val="nil"/>
            </w:tcBorders>
            <w:shd w:val="clear" w:color="auto" w:fill="auto"/>
          </w:tcPr>
          <w:p>
            <w:pPr>
              <w:pStyle w:val="nTable"/>
              <w:spacing w:after="40"/>
              <w:rPr>
                <w:rFonts w:ascii="Times" w:hAnsi="Times"/>
                <w:snapToGrid w:val="0"/>
              </w:rPr>
            </w:pPr>
            <w:r>
              <w:rPr>
                <w:rFonts w:ascii="Times" w:hAnsi="Times"/>
                <w:b/>
                <w:snapToGrid w:val="0"/>
              </w:rPr>
              <w:t xml:space="preserve">Reprint 1: The </w:t>
            </w:r>
            <w:r>
              <w:rPr>
                <w:rFonts w:ascii="Times" w:hAnsi="Times"/>
                <w:b/>
                <w:i/>
                <w:noProof/>
                <w:snapToGrid w:val="0"/>
              </w:rPr>
              <w:t>Building Regulations 2012</w:t>
            </w:r>
            <w:r>
              <w:rPr>
                <w:rFonts w:ascii="Times" w:hAnsi="Times"/>
                <w:b/>
                <w:snapToGrid w:val="0"/>
              </w:rPr>
              <w:t xml:space="preserve"> as at 24 May 2013</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2013</w:t>
            </w:r>
          </w:p>
        </w:tc>
        <w:tc>
          <w:tcPr>
            <w:tcW w:w="1276" w:type="dxa"/>
            <w:tcBorders>
              <w:top w:val="nil"/>
              <w:bottom w:val="nil"/>
            </w:tcBorders>
            <w:shd w:val="clear" w:color="auto" w:fill="auto"/>
          </w:tcPr>
          <w:p>
            <w:pPr>
              <w:pStyle w:val="nTable"/>
              <w:spacing w:after="40"/>
              <w:rPr>
                <w:rFonts w:ascii="Times" w:hAnsi="Times"/>
              </w:rPr>
            </w:pPr>
            <w:r>
              <w:rPr>
                <w:rFonts w:ascii="Times" w:hAnsi="Times"/>
              </w:rPr>
              <w:t>21 Jun 2013 p. 2445-6</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21 Jun 2013 (see r. 2(a));</w:t>
            </w:r>
            <w:r>
              <w:rPr>
                <w:rFonts w:ascii="Times" w:hAnsi="Times"/>
                <w:snapToGrid w:val="0"/>
              </w:rPr>
              <w:br/>
              <w:t>Regulations other than r. 1 and 2: 22 Jun 2013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2013</w:t>
            </w:r>
          </w:p>
        </w:tc>
        <w:tc>
          <w:tcPr>
            <w:tcW w:w="1276" w:type="dxa"/>
            <w:tcBorders>
              <w:top w:val="nil"/>
              <w:bottom w:val="nil"/>
            </w:tcBorders>
            <w:shd w:val="clear" w:color="auto" w:fill="auto"/>
          </w:tcPr>
          <w:p>
            <w:pPr>
              <w:pStyle w:val="nTable"/>
              <w:spacing w:after="40"/>
              <w:rPr>
                <w:rFonts w:ascii="Times" w:hAnsi="Times"/>
              </w:rPr>
            </w:pPr>
            <w:r>
              <w:rPr>
                <w:rFonts w:ascii="Times" w:hAnsi="Times"/>
              </w:rPr>
              <w:t>20 Aug 2013 p. 3822</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Borders>
              <w:top w:val="nil"/>
              <w:bottom w:val="nil"/>
            </w:tcBorders>
            <w:shd w:val="clear" w:color="auto" w:fill="auto"/>
          </w:tcPr>
          <w:p>
            <w:pPr>
              <w:pStyle w:val="nTable"/>
              <w:keepNext/>
              <w:spacing w:after="40"/>
              <w:rPr>
                <w:rFonts w:ascii="Times" w:hAnsi="Times"/>
                <w:i/>
                <w:noProof/>
                <w:snapToGrid w:val="0"/>
              </w:rPr>
            </w:pPr>
            <w:r>
              <w:rPr>
                <w:rFonts w:ascii="Times" w:hAnsi="Times"/>
                <w:i/>
                <w:noProof/>
                <w:snapToGrid w:val="0"/>
              </w:rPr>
              <w:t>Building Amendment Regulations 2014</w:t>
            </w:r>
          </w:p>
        </w:tc>
        <w:tc>
          <w:tcPr>
            <w:tcW w:w="1276" w:type="dxa"/>
            <w:tcBorders>
              <w:top w:val="nil"/>
              <w:bottom w:val="nil"/>
            </w:tcBorders>
            <w:shd w:val="clear" w:color="auto" w:fill="auto"/>
          </w:tcPr>
          <w:p>
            <w:pPr>
              <w:pStyle w:val="nTable"/>
              <w:keepNext/>
              <w:spacing w:after="40"/>
              <w:rPr>
                <w:rFonts w:ascii="Times" w:hAnsi="Times"/>
              </w:rPr>
            </w:pPr>
            <w:r>
              <w:rPr>
                <w:rFonts w:ascii="Times" w:hAnsi="Times"/>
              </w:rPr>
              <w:t>24 Apr 2014 p. 1135</w:t>
            </w:r>
            <w:r>
              <w:rPr>
                <w:rFonts w:ascii="Times" w:hAnsi="Times"/>
              </w:rPr>
              <w:noBreakHyphen/>
              <w:t>41</w:t>
            </w:r>
          </w:p>
        </w:tc>
        <w:tc>
          <w:tcPr>
            <w:tcW w:w="2693" w:type="dxa"/>
            <w:tcBorders>
              <w:top w:val="nil"/>
              <w:bottom w:val="nil"/>
            </w:tcBorders>
            <w:shd w:val="clear" w:color="auto" w:fill="auto"/>
          </w:tcPr>
          <w:p>
            <w:pPr>
              <w:pStyle w:val="nTable"/>
              <w:keepNext/>
              <w:spacing w:after="40"/>
              <w:rPr>
                <w:rFonts w:ascii="Times" w:hAnsi="Times"/>
                <w:snapToGrid w:val="0"/>
              </w:rPr>
            </w:pPr>
            <w:r>
              <w:rPr>
                <w:rFonts w:ascii="Times" w:hAnsi="Times"/>
                <w:snapToGrid w:val="0"/>
              </w:rPr>
              <w:t>r. 1 and 2: 24 Apr 2014 (see r. 2(a));</w:t>
            </w:r>
            <w:r>
              <w:rPr>
                <w:rFonts w:ascii="Times" w:hAnsi="Times"/>
                <w:snapToGrid w:val="0"/>
              </w:rPr>
              <w:br/>
              <w:t>Regulations other than r. 1 and 2: 25 Apr 2014 (see r. 2(b))</w:t>
            </w:r>
          </w:p>
        </w:tc>
      </w:tr>
      <w:tr>
        <w:trPr>
          <w:cantSplit/>
        </w:trPr>
        <w:tc>
          <w:tcPr>
            <w:tcW w:w="3118" w:type="dxa"/>
            <w:tcBorders>
              <w:top w:val="nil"/>
              <w:bottom w:val="nil"/>
            </w:tcBorders>
            <w:shd w:val="clear" w:color="auto" w:fill="auto"/>
          </w:tcPr>
          <w:p>
            <w:pPr>
              <w:pStyle w:val="nTable"/>
              <w:spacing w:after="40"/>
              <w:rPr>
                <w:rFonts w:ascii="Times" w:hAnsi="Times"/>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rPr>
                <w:rFonts w:ascii="Times" w:hAnsi="Times"/>
              </w:rPr>
            </w:pPr>
            <w:r>
              <w:rPr>
                <w:rFonts w:ascii="Times" w:hAnsi="Times"/>
                <w:spacing w:val="-4"/>
              </w:rPr>
              <w:t>17 Jun 2014 p. 1</w:t>
            </w:r>
            <w:r>
              <w:rPr>
                <w:rFonts w:ascii="Times" w:hAnsi="Times"/>
              </w:rPr>
              <w:t>957</w:t>
            </w:r>
            <w:r>
              <w:rPr>
                <w:rFonts w:ascii="Times" w:hAnsi="Times"/>
              </w:rPr>
              <w:noBreakHyphen/>
              <w:t>8</w:t>
            </w:r>
          </w:p>
        </w:tc>
        <w:tc>
          <w:tcPr>
            <w:tcW w:w="2693" w:type="dxa"/>
            <w:tcBorders>
              <w:top w:val="nil"/>
              <w:bottom w:val="nil"/>
            </w:tcBorders>
            <w:shd w:val="clear" w:color="auto" w:fill="auto"/>
          </w:tcPr>
          <w:p>
            <w:pPr>
              <w:pStyle w:val="nTable"/>
              <w:keepNext/>
              <w:spacing w:after="40"/>
              <w:rPr>
                <w:rFonts w:ascii="Times" w:hAnsi="Times"/>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27 Jun 2014 p. 2308-9</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7087" w:type="dxa"/>
            <w:gridSpan w:val="3"/>
            <w:tcBorders>
              <w:top w:val="nil"/>
              <w:bottom w:val="nil"/>
            </w:tcBorders>
            <w:shd w:val="clear" w:color="auto" w:fill="auto"/>
          </w:tcPr>
          <w:p>
            <w:pPr>
              <w:pStyle w:val="nTable"/>
              <w:spacing w:after="40"/>
              <w:rPr>
                <w:rFonts w:ascii="Times" w:hAnsi="Times"/>
                <w:bCs/>
                <w:snapToGrid w:val="0"/>
              </w:rPr>
            </w:pPr>
            <w:r>
              <w:rPr>
                <w:rFonts w:ascii="Times" w:hAnsi="Times"/>
                <w:b/>
                <w:snapToGrid w:val="0"/>
              </w:rPr>
              <w:t xml:space="preserve">Reprint 2: The </w:t>
            </w:r>
            <w:r>
              <w:rPr>
                <w:rFonts w:ascii="Times" w:hAnsi="Times"/>
                <w:b/>
                <w:i/>
                <w:noProof/>
                <w:snapToGrid w:val="0"/>
              </w:rPr>
              <w:t>Building Regulations 2012</w:t>
            </w:r>
            <w:r>
              <w:rPr>
                <w:rFonts w:ascii="Times" w:hAnsi="Times"/>
                <w:b/>
                <w:snapToGrid w:val="0"/>
              </w:rPr>
              <w:t xml:space="preserve"> as at 21 Nov 2014</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b/>
                <w:snapToGrid w:val="0"/>
              </w:rPr>
            </w:pPr>
            <w:r>
              <w:rPr>
                <w:i/>
              </w:rPr>
              <w:t>Building Amendment Regulations (No. 4) 2015</w:t>
            </w:r>
          </w:p>
        </w:tc>
        <w:tc>
          <w:tcPr>
            <w:tcW w:w="1276" w:type="dxa"/>
            <w:tcBorders>
              <w:top w:val="nil"/>
              <w:bottom w:val="nil"/>
            </w:tcBorders>
            <w:shd w:val="clear" w:color="auto" w:fill="auto"/>
          </w:tcPr>
          <w:p>
            <w:pPr>
              <w:pStyle w:val="nTable"/>
              <w:spacing w:after="40"/>
              <w:rPr>
                <w:rFonts w:ascii="Times" w:hAnsi="Times"/>
                <w:b/>
                <w:snapToGrid w:val="0"/>
              </w:rPr>
            </w:pPr>
            <w:r>
              <w:rPr>
                <w:rFonts w:ascii="Times" w:hAnsi="Times"/>
                <w:spacing w:val="-4"/>
              </w:rPr>
              <w:t>23 Jun 2015 p. 2161-4</w:t>
            </w:r>
          </w:p>
        </w:tc>
        <w:tc>
          <w:tcPr>
            <w:tcW w:w="2693" w:type="dxa"/>
            <w:tcBorders>
              <w:top w:val="nil"/>
              <w:bottom w:val="nil"/>
            </w:tcBorders>
            <w:shd w:val="clear" w:color="auto" w:fill="auto"/>
          </w:tcPr>
          <w:p>
            <w:pPr>
              <w:pStyle w:val="nTable"/>
              <w:spacing w:after="40"/>
              <w:rPr>
                <w:rFonts w:ascii="Times" w:hAnsi="Times"/>
                <w:b/>
                <w:snapToGrid w:val="0"/>
              </w:rPr>
            </w:pPr>
            <w:r>
              <w:rPr>
                <w:rFonts w:ascii="Times" w:hAnsi="Times"/>
                <w:bCs/>
                <w:snapToGrid w:val="0"/>
              </w:rPr>
              <w:t xml:space="preserve">r. 1 and 2: </w:t>
            </w:r>
            <w:r>
              <w:rPr>
                <w:rFonts w:ascii="Times" w:hAnsi="Times"/>
                <w:spacing w:val="-4"/>
              </w:rPr>
              <w:t>23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30 Jun 2015 p. 2328</w:t>
            </w:r>
            <w:r>
              <w:rPr>
                <w:rFonts w:ascii="Times" w:hAnsi="Times"/>
                <w:spacing w:val="-4"/>
              </w:rPr>
              <w:noBreakHyphen/>
              <w:t>9</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 xml:space="preserve">r. 1 and 2: </w:t>
            </w:r>
            <w:r>
              <w:rPr>
                <w:rFonts w:ascii="Times" w:hAnsi="Times"/>
                <w:spacing w:val="-4"/>
              </w:rPr>
              <w:t>30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15 Sep 2015 p. 3783</w:t>
            </w:r>
            <w:r>
              <w:rPr>
                <w:rFonts w:ascii="Times" w:hAnsi="Times"/>
                <w:spacing w:val="-4"/>
              </w:rPr>
              <w:noBreakHyphen/>
              <w:t>4</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15</w:t>
            </w:r>
            <w:r>
              <w:rPr>
                <w:rFonts w:ascii="Times" w:hAnsi="Times"/>
                <w:spacing w:val="-4"/>
              </w:rPr>
              <w:t> Sep 2015</w:t>
            </w:r>
            <w:r>
              <w:rPr>
                <w:rFonts w:ascii="Times" w:hAnsi="Times"/>
                <w:bCs/>
                <w:snapToGrid w:val="0"/>
              </w:rPr>
              <w:t xml:space="preserve"> (see r. 2(a));</w:t>
            </w:r>
            <w:r>
              <w:rPr>
                <w:rFonts w:ascii="Times" w:hAnsi="Times"/>
                <w:bCs/>
                <w:snapToGrid w:val="0"/>
              </w:rPr>
              <w:br/>
              <w:t xml:space="preserve">Regulations other than r. 1 and 2: </w:t>
            </w:r>
            <w:r>
              <w:rPr>
                <w:rFonts w:ascii="Times" w:hAnsi="Times"/>
                <w:spacing w:val="-4"/>
              </w:rPr>
              <w:t>1 Oct 2015</w:t>
            </w:r>
            <w:r>
              <w:rPr>
                <w:rFonts w:ascii="Times" w:hAnsi="Times"/>
                <w:bCs/>
                <w:snapToGrid w:val="0"/>
              </w:rPr>
              <w:t xml:space="preserve"> (see r. 2(b))</w:t>
            </w:r>
          </w:p>
        </w:tc>
      </w:tr>
      <w:tr>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7 Dec 2015 p. 4897</w:t>
            </w:r>
            <w:r>
              <w:rPr>
                <w:rFonts w:ascii="Times" w:hAnsi="Times"/>
                <w:spacing w:val="-4"/>
              </w:rPr>
              <w:noBreakHyphen/>
              <w:t>901</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7 Dec 2015 (see r. 2(a));</w:t>
            </w:r>
            <w:r>
              <w:rPr>
                <w:rFonts w:ascii="Times" w:hAnsi="Times"/>
                <w:bCs/>
                <w:snapToGrid w:val="0"/>
              </w:rPr>
              <w:br/>
              <w:t xml:space="preserve">Regulations other than r. 1 and 2: 8 Dec 2015 (see r. 2(b) and </w:t>
            </w:r>
            <w:r>
              <w:rPr>
                <w:rFonts w:ascii="Times" w:hAnsi="Times"/>
                <w:bCs/>
                <w:i/>
                <w:snapToGrid w:val="0"/>
              </w:rPr>
              <w:t>Gazette</w:t>
            </w:r>
            <w:r>
              <w:rPr>
                <w:rFonts w:ascii="Times" w:hAnsi="Times"/>
                <w:bCs/>
                <w:snapToGrid w:val="0"/>
              </w:rPr>
              <w:t xml:space="preserve"> 7 Dec 2015 p. 4881)</w:t>
            </w:r>
          </w:p>
        </w:tc>
      </w:tr>
      <w:tr>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5 Apr 2016 p. 1015</w:t>
            </w:r>
            <w:r>
              <w:rPr>
                <w:rFonts w:ascii="Times" w:hAnsi="Times"/>
                <w:spacing w:val="-4"/>
              </w:rPr>
              <w:noBreakHyphen/>
              <w:t>21</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5</w:t>
            </w:r>
            <w:r>
              <w:rPr>
                <w:rFonts w:ascii="Times" w:hAnsi="Times"/>
                <w:spacing w:val="-4"/>
              </w:rPr>
              <w:t> Apr 2016</w:t>
            </w:r>
            <w:r>
              <w:rPr>
                <w:rFonts w:ascii="Times" w:hAnsi="Times"/>
                <w:bCs/>
                <w:snapToGrid w:val="0"/>
              </w:rPr>
              <w:t xml:space="preserve"> (see r. 2(a));</w:t>
            </w:r>
            <w:r>
              <w:rPr>
                <w:rFonts w:ascii="Times" w:hAnsi="Times"/>
                <w:bCs/>
                <w:snapToGrid w:val="0"/>
              </w:rPr>
              <w:br/>
              <w:t>Regulations other than r. 1 and 2: 8</w:t>
            </w:r>
            <w:r>
              <w:rPr>
                <w:rFonts w:ascii="Times" w:hAnsi="Times"/>
                <w:spacing w:val="-4"/>
              </w:rPr>
              <w:t> Apr 2016</w:t>
            </w:r>
            <w:r>
              <w:rPr>
                <w:rFonts w:ascii="Times" w:hAnsi="Times"/>
                <w:bCs/>
                <w:snapToGrid w:val="0"/>
              </w:rPr>
              <w:t xml:space="preserve"> (see r. 2(b))</w:t>
            </w:r>
          </w:p>
        </w:tc>
      </w:tr>
      <w:tr>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rFonts w:ascii="Times" w:hAnsi="Times"/>
                <w:spacing w:val="-4"/>
              </w:rPr>
            </w:pPr>
            <w:r>
              <w:t>15 Apr 2016 p. 1165</w:t>
            </w:r>
            <w:r>
              <w:noBreakHyphen/>
              <w:t>72</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15</w:t>
            </w:r>
            <w:r>
              <w:rPr>
                <w:rFonts w:ascii="Times" w:hAnsi="Times"/>
                <w:spacing w:val="-4"/>
              </w:rPr>
              <w:t> Apr 2016</w:t>
            </w:r>
            <w:r>
              <w:rPr>
                <w:rFonts w:ascii="Times" w:hAnsi="Times"/>
                <w:bCs/>
                <w:snapToGrid w:val="0"/>
              </w:rPr>
              <w:t xml:space="preserve"> (see r. 2(a));</w:t>
            </w:r>
            <w:r>
              <w:rPr>
                <w:rFonts w:ascii="Times" w:hAnsi="Times"/>
                <w:bCs/>
                <w:snapToGrid w:val="0"/>
              </w:rPr>
              <w:br/>
            </w:r>
            <w:r>
              <w:t>Regulations other than r. 1 and 2: 1 May 2016 (see r. 2(b))</w:t>
            </w:r>
          </w:p>
        </w:tc>
      </w:tr>
      <w:tr>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c>
          <w:tcPr>
            <w:tcW w:w="7087" w:type="dxa"/>
            <w:gridSpan w:val="3"/>
            <w:tcBorders>
              <w:top w:val="nil"/>
              <w:bottom w:val="nil"/>
            </w:tcBorders>
            <w:shd w:val="clear" w:color="auto" w:fill="auto"/>
          </w:tcPr>
          <w:p>
            <w:pPr>
              <w:pStyle w:val="nTable"/>
              <w:spacing w:after="40"/>
              <w:rPr>
                <w:rFonts w:ascii="Times" w:hAnsi="Times"/>
                <w:bCs/>
                <w:snapToGrid w:val="0"/>
              </w:rPr>
            </w:pPr>
            <w:r>
              <w:rPr>
                <w:rFonts w:ascii="Times" w:hAnsi="Times"/>
                <w:b/>
                <w:bCs/>
                <w:snapToGrid w:val="0"/>
              </w:rPr>
              <w:t xml:space="preserve">Reprint 3: The </w:t>
            </w:r>
            <w:r>
              <w:rPr>
                <w:rFonts w:ascii="Times" w:hAnsi="Times"/>
                <w:b/>
                <w:bCs/>
                <w:i/>
                <w:noProof/>
                <w:snapToGrid w:val="0"/>
              </w:rPr>
              <w:t>Building Regulations 2012</w:t>
            </w:r>
            <w:r>
              <w:rPr>
                <w:rFonts w:ascii="Times" w:hAnsi="Times"/>
                <w:b/>
                <w:bCs/>
                <w:snapToGrid w:val="0"/>
              </w:rPr>
              <w:t xml:space="preserve"> as at 12 Aug 2016</w:t>
            </w:r>
            <w:r>
              <w:rPr>
                <w:rFonts w:ascii="Times" w:hAnsi="Times"/>
                <w:bCs/>
                <w:snapToGrid w:val="0"/>
              </w:rPr>
              <w:t xml:space="preserve"> (includes amendments listed above)</w:t>
            </w:r>
          </w:p>
        </w:tc>
      </w:tr>
      <w:tr>
        <w:tblPrEx>
          <w:tblBorders>
            <w:top w:val="single" w:sz="8" w:space="0" w:color="auto"/>
            <w:insideH w:val="single" w:sz="8" w:space="0" w:color="auto"/>
          </w:tblBorders>
        </w:tblPrEx>
        <w:tc>
          <w:tcPr>
            <w:tcW w:w="3118" w:type="dxa"/>
            <w:tcBorders>
              <w:top w:val="nil"/>
              <w:bottom w:val="nil"/>
            </w:tcBorders>
          </w:tcPr>
          <w:p>
            <w:pPr>
              <w:pStyle w:val="nTable"/>
              <w:spacing w:after="40"/>
            </w:pPr>
            <w:r>
              <w:rPr>
                <w:i/>
              </w:rPr>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blPrEx>
          <w:tblBorders>
            <w:top w:val="single" w:sz="8" w:space="0" w:color="auto"/>
            <w:insideH w:val="single" w:sz="8" w:space="0" w:color="auto"/>
          </w:tblBorders>
        </w:tblPrEx>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rFonts w:ascii="Times" w:hAnsi="Times"/>
                <w:bCs/>
                <w:snapToGrid w:val="0"/>
              </w:rPr>
              <w:t>r. 1 and 2: 7 Feb 2017 (see r. 2(a));</w:t>
            </w:r>
            <w:r>
              <w:rPr>
                <w:rFonts w:ascii="Times" w:hAnsi="Times"/>
                <w:bCs/>
                <w:snapToGrid w:val="0"/>
              </w:rPr>
              <w:br/>
            </w:r>
            <w:r>
              <w:t>Regulations other than r. 1 and 2: 8 Feb 2017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c>
          <w:tcPr>
            <w:tcW w:w="3118" w:type="dxa"/>
            <w:tcBorders>
              <w:top w:val="nil"/>
              <w:bottom w:val="single" w:sz="4" w:space="0" w:color="auto"/>
            </w:tcBorders>
          </w:tcPr>
          <w:p>
            <w:pPr>
              <w:pStyle w:val="nTable"/>
              <w:spacing w:after="40"/>
              <w:rPr>
                <w:i/>
                <w:vertAlign w:val="superscript"/>
              </w:rPr>
            </w:pPr>
            <w:r>
              <w:rPr>
                <w:i/>
              </w:rPr>
              <w:t xml:space="preserve">Building Amendment Regulations (No. 3) 2017 </w:t>
            </w:r>
            <w:del w:id="292" w:author="Master Repository Process" w:date="2021-07-31T11:11:00Z">
              <w:r>
                <w:delText>(other than r. 5</w:delText>
              </w:r>
              <w:r>
                <w:noBreakHyphen/>
                <w:delText>8, 9(2), (3) and (5) and 11) </w:delText>
              </w:r>
            </w:del>
          </w:p>
        </w:tc>
        <w:tc>
          <w:tcPr>
            <w:tcW w:w="1276" w:type="dxa"/>
            <w:tcBorders>
              <w:top w:val="nil"/>
              <w:bottom w:val="single" w:sz="4" w:space="0" w:color="auto"/>
            </w:tcBorders>
          </w:tcPr>
          <w:p>
            <w:pPr>
              <w:pStyle w:val="nTable"/>
              <w:spacing w:after="40"/>
            </w:pPr>
            <w:r>
              <w:t>22 Dec 2017 p. 5971</w:t>
            </w:r>
            <w:r>
              <w:noBreakHyphen/>
              <w:t>5</w:t>
            </w:r>
          </w:p>
        </w:tc>
        <w:tc>
          <w:tcPr>
            <w:tcW w:w="2693" w:type="dxa"/>
            <w:tcBorders>
              <w:top w:val="nil"/>
              <w:bottom w:val="single" w:sz="4" w:space="0" w:color="auto"/>
            </w:tcBorders>
          </w:tcPr>
          <w:p>
            <w:pPr>
              <w:pStyle w:val="nTable"/>
              <w:spacing w:after="40"/>
            </w:pPr>
            <w:r>
              <w:rPr>
                <w:rFonts w:ascii="Times" w:hAnsi="Times"/>
                <w:bCs/>
                <w:snapToGrid w:val="0"/>
                <w:spacing w:val="-2"/>
              </w:rPr>
              <w:t xml:space="preserve">r. 1 </w:t>
            </w:r>
            <w:r>
              <w:t>and</w:t>
            </w:r>
            <w:r>
              <w:rPr>
                <w:rFonts w:ascii="Times" w:hAnsi="Times"/>
                <w:bCs/>
                <w:snapToGrid w:val="0"/>
                <w:spacing w:val="-2"/>
              </w:rPr>
              <w:t xml:space="preserve"> 2: 22 Dec 2017 (see r. 2(a));</w:t>
            </w:r>
            <w:r>
              <w:rPr>
                <w:rFonts w:ascii="Times" w:hAnsi="Times"/>
                <w:bCs/>
                <w:snapToGrid w:val="0"/>
                <w:spacing w:val="-2"/>
              </w:rPr>
              <w:br/>
              <w:t>Regulations other than r. 1, 2,</w:t>
            </w:r>
            <w:r>
              <w:t> 5</w:t>
            </w:r>
            <w:r>
              <w:noBreakHyphen/>
              <w:t>8, 9(2), (3) and (5) and 11</w:t>
            </w:r>
            <w:r>
              <w:rPr>
                <w:rFonts w:ascii="Times" w:hAnsi="Times"/>
                <w:bCs/>
                <w:snapToGrid w:val="0"/>
                <w:spacing w:val="-2"/>
              </w:rPr>
              <w:t>: 23 Dec 2017 (see r. 2(c</w:t>
            </w:r>
            <w:del w:id="293" w:author="Master Repository Process" w:date="2021-07-31T11:11:00Z">
              <w:r>
                <w:rPr>
                  <w:rFonts w:ascii="Times" w:hAnsi="Times"/>
                  <w:bCs/>
                  <w:snapToGrid w:val="0"/>
                  <w:spacing w:val="-2"/>
                </w:rPr>
                <w:delText>))</w:delText>
              </w:r>
            </w:del>
            <w:ins w:id="294" w:author="Master Repository Process" w:date="2021-07-31T11:11:00Z">
              <w:r>
                <w:rPr>
                  <w:rFonts w:ascii="Times" w:hAnsi="Times"/>
                  <w:bCs/>
                  <w:snapToGrid w:val="0"/>
                  <w:spacing w:val="-2"/>
                </w:rPr>
                <w:t>));</w:t>
              </w:r>
              <w:r>
                <w:rPr>
                  <w:rFonts w:ascii="Times" w:hAnsi="Times"/>
                  <w:bCs/>
                  <w:snapToGrid w:val="0"/>
                  <w:spacing w:val="-2"/>
                </w:rPr>
                <w:br/>
              </w:r>
              <w:r>
                <w:t>r. 5</w:t>
              </w:r>
              <w:r>
                <w:noBreakHyphen/>
                <w:t>8, 9(2), (3) and (5) and 11</w:t>
              </w:r>
              <w:r>
                <w:rPr>
                  <w:rFonts w:ascii="Times" w:hAnsi="Times"/>
                  <w:bCs/>
                  <w:snapToGrid w:val="0"/>
                  <w:spacing w:val="-2"/>
                </w:rPr>
                <w:t xml:space="preserve">: </w:t>
              </w:r>
              <w:r>
                <w:t>23 Jan 2018 (see r. 2(b))</w:t>
              </w:r>
            </w:ins>
          </w:p>
        </w:tc>
      </w:tr>
    </w:tbl>
    <w:p>
      <w:pPr>
        <w:pStyle w:val="nSubsection"/>
        <w:spacing w:before="360"/>
        <w:rPr>
          <w:del w:id="295" w:author="Master Repository Process" w:date="2021-07-31T11:11:00Z"/>
        </w:rPr>
      </w:pPr>
      <w:del w:id="296" w:author="Master Repository Process" w:date="2021-07-31T11:11: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97" w:author="Master Repository Process" w:date="2021-07-31T11:11:00Z"/>
        </w:rPr>
      </w:pPr>
      <w:bookmarkStart w:id="298" w:name="_Toc501631924"/>
      <w:del w:id="299" w:author="Master Repository Process" w:date="2021-07-31T11:11:00Z">
        <w:r>
          <w:delText>Provisions that have not come into operation</w:delText>
        </w:r>
        <w:bookmarkEnd w:id="298"/>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00" w:author="Master Repository Process" w:date="2021-07-31T11:11:00Z"/>
        </w:trPr>
        <w:tc>
          <w:tcPr>
            <w:tcW w:w="3118" w:type="dxa"/>
          </w:tcPr>
          <w:p>
            <w:pPr>
              <w:pStyle w:val="nTable"/>
              <w:spacing w:after="40"/>
              <w:rPr>
                <w:del w:id="301" w:author="Master Repository Process" w:date="2021-07-31T11:11:00Z"/>
                <w:b/>
              </w:rPr>
            </w:pPr>
            <w:del w:id="302" w:author="Master Repository Process" w:date="2021-07-31T11:11:00Z">
              <w:r>
                <w:rPr>
                  <w:b/>
                </w:rPr>
                <w:delText>Citation</w:delText>
              </w:r>
            </w:del>
          </w:p>
        </w:tc>
        <w:tc>
          <w:tcPr>
            <w:tcW w:w="1276" w:type="dxa"/>
          </w:tcPr>
          <w:p>
            <w:pPr>
              <w:pStyle w:val="nTable"/>
              <w:spacing w:after="40"/>
              <w:rPr>
                <w:del w:id="303" w:author="Master Repository Process" w:date="2021-07-31T11:11:00Z"/>
                <w:b/>
              </w:rPr>
            </w:pPr>
            <w:del w:id="304" w:author="Master Repository Process" w:date="2021-07-31T11:11:00Z">
              <w:r>
                <w:rPr>
                  <w:b/>
                </w:rPr>
                <w:delText>Gazettal</w:delText>
              </w:r>
            </w:del>
          </w:p>
        </w:tc>
        <w:tc>
          <w:tcPr>
            <w:tcW w:w="2693" w:type="dxa"/>
          </w:tcPr>
          <w:p>
            <w:pPr>
              <w:pStyle w:val="nTable"/>
              <w:spacing w:after="40"/>
              <w:rPr>
                <w:del w:id="305" w:author="Master Repository Process" w:date="2021-07-31T11:11:00Z"/>
                <w:b/>
              </w:rPr>
            </w:pPr>
            <w:del w:id="306" w:author="Master Repository Process" w:date="2021-07-31T11:11:00Z">
              <w:r>
                <w:rPr>
                  <w:b/>
                </w:rPr>
                <w:delText>Commencement</w:delText>
              </w:r>
            </w:del>
          </w:p>
        </w:tc>
      </w:tr>
      <w:tr>
        <w:trPr>
          <w:del w:id="307" w:author="Master Repository Process" w:date="2021-07-31T11:11:00Z"/>
        </w:trPr>
        <w:tc>
          <w:tcPr>
            <w:tcW w:w="3118" w:type="dxa"/>
          </w:tcPr>
          <w:p>
            <w:pPr>
              <w:pStyle w:val="nTable"/>
              <w:spacing w:after="40"/>
              <w:rPr>
                <w:del w:id="308" w:author="Master Repository Process" w:date="2021-07-31T11:11:00Z"/>
              </w:rPr>
            </w:pPr>
            <w:del w:id="309" w:author="Master Repository Process" w:date="2021-07-31T11:11:00Z">
              <w:r>
                <w:rPr>
                  <w:i/>
                </w:rPr>
                <w:delText xml:space="preserve">Building Amendment Regulations (No. 3) 2017 </w:delText>
              </w:r>
              <w:r>
                <w:delText>r. 5</w:delText>
              </w:r>
              <w:r>
                <w:noBreakHyphen/>
                <w:delText>8, 9(2), (3) and (5) and 11 </w:delText>
              </w:r>
              <w:r>
                <w:rPr>
                  <w:vertAlign w:val="superscript"/>
                </w:rPr>
                <w:delText>4</w:delText>
              </w:r>
            </w:del>
          </w:p>
        </w:tc>
        <w:tc>
          <w:tcPr>
            <w:tcW w:w="1276" w:type="dxa"/>
          </w:tcPr>
          <w:p>
            <w:pPr>
              <w:pStyle w:val="nTable"/>
              <w:spacing w:after="40"/>
              <w:rPr>
                <w:del w:id="310" w:author="Master Repository Process" w:date="2021-07-31T11:11:00Z"/>
              </w:rPr>
            </w:pPr>
            <w:del w:id="311" w:author="Master Repository Process" w:date="2021-07-31T11:11:00Z">
              <w:r>
                <w:delText>22 Dec 2017 p. 5971</w:delText>
              </w:r>
              <w:r>
                <w:noBreakHyphen/>
                <w:delText>5</w:delText>
              </w:r>
            </w:del>
          </w:p>
        </w:tc>
        <w:tc>
          <w:tcPr>
            <w:tcW w:w="2693" w:type="dxa"/>
          </w:tcPr>
          <w:p>
            <w:pPr>
              <w:pStyle w:val="nTable"/>
              <w:spacing w:after="40"/>
              <w:rPr>
                <w:del w:id="312" w:author="Master Repository Process" w:date="2021-07-31T11:11:00Z"/>
              </w:rPr>
            </w:pPr>
            <w:del w:id="313" w:author="Master Repository Process" w:date="2021-07-31T11:11:00Z">
              <w:r>
                <w:delText>23 Jan 2018 (see r. 2(b))</w:delText>
              </w:r>
            </w:del>
          </w:p>
        </w:tc>
      </w:tr>
    </w:tbl>
    <w:p>
      <w:pPr>
        <w:pStyle w:val="nSubsection"/>
        <w:keepNext/>
        <w:keepLines/>
      </w:pPr>
      <w:r>
        <w:rPr>
          <w:snapToGrid w:val="0"/>
          <w:vertAlign w:val="superscript"/>
        </w:rPr>
        <w:t>3</w:t>
      </w:r>
      <w:r>
        <w:rPr>
          <w:snapToGrid w:val="0"/>
        </w:rPr>
        <w:tab/>
        <w:t xml:space="preserve">Part 9 (r. 63-68) expired </w:t>
      </w:r>
      <w:r>
        <w:t xml:space="preserve">on the day that is one year after 2 April 2012. Part 9 was omitted under the </w:t>
      </w:r>
      <w:r>
        <w:rPr>
          <w:i/>
        </w:rPr>
        <w:t>Reprints Act 1984</w:t>
      </w:r>
      <w:r>
        <w:t xml:space="preserve"> s. 7(4)(e).</w:t>
      </w:r>
    </w:p>
    <w:p>
      <w:pPr>
        <w:pStyle w:val="nSubsection"/>
        <w:keepLines/>
        <w:rPr>
          <w:del w:id="314" w:author="Master Repository Process" w:date="2021-07-31T11:11:00Z"/>
          <w:snapToGrid w:val="0"/>
        </w:rPr>
      </w:pPr>
      <w:del w:id="315" w:author="Master Repository Process" w:date="2021-07-31T11:11:00Z">
        <w:r>
          <w:rPr>
            <w:snapToGrid w:val="0"/>
            <w:vertAlign w:val="superscript"/>
          </w:rPr>
          <w:delText>4</w:delText>
        </w:r>
        <w:r>
          <w:rPr>
            <w:snapToGrid w:val="0"/>
          </w:rPr>
          <w:delText xml:space="preserve"> </w:delText>
        </w:r>
        <w:r>
          <w:rPr>
            <w:snapToGrid w:val="0"/>
          </w:rPr>
          <w:tab/>
          <w:delText>On the date as at which this compilation was prepared, the</w:delText>
        </w:r>
        <w:r>
          <w:delText xml:space="preserve"> </w:delText>
        </w:r>
        <w:r>
          <w:rPr>
            <w:i/>
          </w:rPr>
          <w:delText xml:space="preserve">Building Amendment Regulations (No. 3) 2017 </w:delText>
        </w:r>
        <w:r>
          <w:delText>r. 5</w:delText>
        </w:r>
        <w:r>
          <w:noBreakHyphen/>
          <w:delText>8, 9(2), (3) and (5) and 11</w:delText>
        </w:r>
        <w:r>
          <w:rPr>
            <w:snapToGrid w:val="0"/>
          </w:rPr>
          <w:delText xml:space="preserve"> had not come into operation.  They read as follows:</w:delText>
        </w:r>
      </w:del>
    </w:p>
    <w:p>
      <w:pPr>
        <w:pStyle w:val="BlankOpen"/>
        <w:rPr>
          <w:del w:id="316" w:author="Master Repository Process" w:date="2021-07-31T11:11:00Z"/>
          <w:snapToGrid w:val="0"/>
        </w:rPr>
      </w:pPr>
    </w:p>
    <w:p>
      <w:pPr>
        <w:pStyle w:val="nzHeading5"/>
        <w:rPr>
          <w:del w:id="317" w:author="Master Repository Process" w:date="2021-07-31T11:11:00Z"/>
        </w:rPr>
      </w:pPr>
      <w:bookmarkStart w:id="318" w:name="_Toc499294817"/>
      <w:bookmarkStart w:id="319" w:name="_Toc499295070"/>
      <w:del w:id="320" w:author="Master Repository Process" w:date="2021-07-31T11:11:00Z">
        <w:r>
          <w:rPr>
            <w:rStyle w:val="CharSectno"/>
          </w:rPr>
          <w:delText>5</w:delText>
        </w:r>
        <w:r>
          <w:delText>.</w:delText>
        </w:r>
        <w:r>
          <w:tab/>
          <w:delText>Regulation 55 amended</w:delText>
        </w:r>
        <w:bookmarkEnd w:id="318"/>
        <w:bookmarkEnd w:id="319"/>
      </w:del>
    </w:p>
    <w:p>
      <w:pPr>
        <w:pStyle w:val="nzSubsection"/>
        <w:rPr>
          <w:del w:id="321" w:author="Master Repository Process" w:date="2021-07-31T11:11:00Z"/>
        </w:rPr>
      </w:pPr>
      <w:del w:id="322" w:author="Master Repository Process" w:date="2021-07-31T11:11:00Z">
        <w:r>
          <w:tab/>
        </w:r>
        <w:r>
          <w:tab/>
          <w:delText>In regulation 55(1) insert in alphabetical order:</w:delText>
        </w:r>
      </w:del>
    </w:p>
    <w:p>
      <w:pPr>
        <w:pStyle w:val="BlankOpen"/>
        <w:rPr>
          <w:del w:id="323" w:author="Master Repository Process" w:date="2021-07-31T11:11:00Z"/>
        </w:rPr>
      </w:pPr>
    </w:p>
    <w:p>
      <w:pPr>
        <w:pStyle w:val="nzDefstart"/>
        <w:rPr>
          <w:del w:id="324" w:author="Master Repository Process" w:date="2021-07-31T11:11:00Z"/>
        </w:rPr>
      </w:pPr>
      <w:del w:id="325" w:author="Master Repository Process" w:date="2021-07-31T11:11:00Z">
        <w:r>
          <w:tab/>
        </w:r>
        <w:r>
          <w:rPr>
            <w:rStyle w:val="CharDefText"/>
          </w:rPr>
          <w:delText>declaration of intended demolition</w:delText>
        </w:r>
        <w:r>
          <w:delText>, in relation to a dwelling the ownership of which is transferred, means a statutory declaration made by the person to whom the ownership is transferred declaring that the person intends to demolish the dwelling within the period of 6 months beginning on the transfer day;</w:delText>
        </w:r>
      </w:del>
    </w:p>
    <w:p>
      <w:pPr>
        <w:pStyle w:val="nzDefstart"/>
        <w:rPr>
          <w:del w:id="326" w:author="Master Repository Process" w:date="2021-07-31T11:11:00Z"/>
        </w:rPr>
      </w:pPr>
      <w:del w:id="327" w:author="Master Repository Process" w:date="2021-07-31T11:11:00Z">
        <w:r>
          <w:tab/>
        </w:r>
        <w:r>
          <w:rPr>
            <w:rStyle w:val="CharDefText"/>
          </w:rPr>
          <w:delText>transfer day</w:delText>
        </w:r>
        <w:r>
          <w:delText>, in relation to a dwelling the ownership of which is transferred, means the day on which the ownership is transferred;</w:delText>
        </w:r>
      </w:del>
    </w:p>
    <w:p>
      <w:pPr>
        <w:pStyle w:val="BlankClose"/>
        <w:rPr>
          <w:del w:id="328" w:author="Master Repository Process" w:date="2021-07-31T11:11:00Z"/>
        </w:rPr>
      </w:pPr>
    </w:p>
    <w:p>
      <w:pPr>
        <w:pStyle w:val="nzHeading5"/>
        <w:rPr>
          <w:del w:id="329" w:author="Master Repository Process" w:date="2021-07-31T11:11:00Z"/>
        </w:rPr>
      </w:pPr>
      <w:bookmarkStart w:id="330" w:name="_Toc499294818"/>
      <w:bookmarkStart w:id="331" w:name="_Toc499295071"/>
      <w:del w:id="332" w:author="Master Repository Process" w:date="2021-07-31T11:11:00Z">
        <w:r>
          <w:rPr>
            <w:rStyle w:val="CharSectno"/>
          </w:rPr>
          <w:delText>6</w:delText>
        </w:r>
        <w:r>
          <w:delText>.</w:delText>
        </w:r>
        <w:r>
          <w:tab/>
          <w:delText>Regulation 56 amended</w:delText>
        </w:r>
        <w:bookmarkEnd w:id="330"/>
        <w:bookmarkEnd w:id="331"/>
      </w:del>
    </w:p>
    <w:p>
      <w:pPr>
        <w:pStyle w:val="nzSubsection"/>
        <w:rPr>
          <w:del w:id="333" w:author="Master Repository Process" w:date="2021-07-31T11:11:00Z"/>
        </w:rPr>
      </w:pPr>
      <w:del w:id="334" w:author="Master Repository Process" w:date="2021-07-31T11:11:00Z">
        <w:r>
          <w:tab/>
          <w:delText>(1)</w:delText>
        </w:r>
        <w:r>
          <w:tab/>
          <w:delText>In regulation 56 delete “If an owner” and insert:</w:delText>
        </w:r>
      </w:del>
    </w:p>
    <w:p>
      <w:pPr>
        <w:pStyle w:val="BlankOpen"/>
        <w:rPr>
          <w:del w:id="335" w:author="Master Repository Process" w:date="2021-07-31T11:11:00Z"/>
        </w:rPr>
      </w:pPr>
    </w:p>
    <w:p>
      <w:pPr>
        <w:pStyle w:val="nzSubsection"/>
        <w:rPr>
          <w:del w:id="336" w:author="Master Repository Process" w:date="2021-07-31T11:11:00Z"/>
        </w:rPr>
      </w:pPr>
      <w:del w:id="337" w:author="Master Repository Process" w:date="2021-07-31T11:11:00Z">
        <w:r>
          <w:tab/>
        </w:r>
        <w:r>
          <w:tab/>
          <w:delText>(1)</w:delText>
        </w:r>
        <w:r>
          <w:tab/>
          <w:delText>If an owner</w:delText>
        </w:r>
      </w:del>
    </w:p>
    <w:p>
      <w:pPr>
        <w:pStyle w:val="BlankClose"/>
        <w:rPr>
          <w:del w:id="338" w:author="Master Repository Process" w:date="2021-07-31T11:11:00Z"/>
        </w:rPr>
      </w:pPr>
    </w:p>
    <w:p>
      <w:pPr>
        <w:pStyle w:val="nzSubsection"/>
        <w:rPr>
          <w:del w:id="339" w:author="Master Repository Process" w:date="2021-07-31T11:11:00Z"/>
        </w:rPr>
      </w:pPr>
      <w:del w:id="340" w:author="Master Repository Process" w:date="2021-07-31T11:11:00Z">
        <w:r>
          <w:tab/>
          <w:delText>(2)</w:delText>
        </w:r>
        <w:r>
          <w:tab/>
          <w:delText>In regulation 56 in the Penalty delete “Penalty:” and insert:</w:delText>
        </w:r>
      </w:del>
    </w:p>
    <w:p>
      <w:pPr>
        <w:pStyle w:val="BlankOpen"/>
        <w:rPr>
          <w:del w:id="341" w:author="Master Repository Process" w:date="2021-07-31T11:11:00Z"/>
        </w:rPr>
      </w:pPr>
    </w:p>
    <w:p>
      <w:pPr>
        <w:pStyle w:val="nzSubsection"/>
        <w:rPr>
          <w:del w:id="342" w:author="Master Repository Process" w:date="2021-07-31T11:11:00Z"/>
        </w:rPr>
      </w:pPr>
      <w:del w:id="343" w:author="Master Repository Process" w:date="2021-07-31T11:11:00Z">
        <w:r>
          <w:tab/>
        </w:r>
        <w:r>
          <w:tab/>
          <w:delText>Penalty for this subregulation:</w:delText>
        </w:r>
        <w:r>
          <w:tab/>
        </w:r>
      </w:del>
    </w:p>
    <w:p>
      <w:pPr>
        <w:pStyle w:val="BlankClose"/>
        <w:rPr>
          <w:del w:id="344" w:author="Master Repository Process" w:date="2021-07-31T11:11:00Z"/>
        </w:rPr>
      </w:pPr>
    </w:p>
    <w:p>
      <w:pPr>
        <w:pStyle w:val="nzSubsection"/>
        <w:rPr>
          <w:del w:id="345" w:author="Master Repository Process" w:date="2021-07-31T11:11:00Z"/>
        </w:rPr>
      </w:pPr>
      <w:del w:id="346" w:author="Master Repository Process" w:date="2021-07-31T11:11:00Z">
        <w:r>
          <w:tab/>
          <w:delText>(3)</w:delText>
        </w:r>
        <w:r>
          <w:tab/>
          <w:delText>At the end of regulation 56 insert:</w:delText>
        </w:r>
      </w:del>
    </w:p>
    <w:p>
      <w:pPr>
        <w:pStyle w:val="BlankOpen"/>
        <w:rPr>
          <w:del w:id="347" w:author="Master Repository Process" w:date="2021-07-31T11:11:00Z"/>
        </w:rPr>
      </w:pPr>
    </w:p>
    <w:p>
      <w:pPr>
        <w:pStyle w:val="nzSubsection"/>
        <w:rPr>
          <w:del w:id="348" w:author="Master Repository Process" w:date="2021-07-31T11:11:00Z"/>
        </w:rPr>
      </w:pPr>
      <w:del w:id="349" w:author="Master Repository Process" w:date="2021-07-31T11:11:00Z">
        <w:r>
          <w:tab/>
          <w:delText>(2)</w:delText>
        </w:r>
        <w:r>
          <w:tab/>
          <w:delText>It is a defence to a charge of an offence under subregulation (1) for the accused to prove that the person to whom the ownership of the dwelling is transferred gave the accused a declaration of intended demolition for the dwelling before the time of the transfer.</w:delText>
        </w:r>
      </w:del>
    </w:p>
    <w:p>
      <w:pPr>
        <w:pStyle w:val="BlankClose"/>
        <w:rPr>
          <w:del w:id="350" w:author="Master Repository Process" w:date="2021-07-31T11:11:00Z"/>
        </w:rPr>
      </w:pPr>
    </w:p>
    <w:p>
      <w:pPr>
        <w:pStyle w:val="nzHeading5"/>
        <w:rPr>
          <w:del w:id="351" w:author="Master Repository Process" w:date="2021-07-31T11:11:00Z"/>
        </w:rPr>
      </w:pPr>
      <w:bookmarkStart w:id="352" w:name="_Toc499294819"/>
      <w:bookmarkStart w:id="353" w:name="_Toc499295072"/>
      <w:del w:id="354" w:author="Master Repository Process" w:date="2021-07-31T11:11:00Z">
        <w:r>
          <w:rPr>
            <w:rStyle w:val="CharSectno"/>
          </w:rPr>
          <w:delText>7</w:delText>
        </w:r>
        <w:r>
          <w:delText>.</w:delText>
        </w:r>
        <w:r>
          <w:tab/>
          <w:delText>Regulation 57 amended</w:delText>
        </w:r>
        <w:bookmarkEnd w:id="352"/>
        <w:bookmarkEnd w:id="353"/>
      </w:del>
    </w:p>
    <w:p>
      <w:pPr>
        <w:pStyle w:val="nzSubsection"/>
        <w:rPr>
          <w:del w:id="355" w:author="Master Repository Process" w:date="2021-07-31T11:11:00Z"/>
        </w:rPr>
      </w:pPr>
      <w:del w:id="356" w:author="Master Repository Process" w:date="2021-07-31T11:11:00Z">
        <w:r>
          <w:tab/>
          <w:delText>(1)</w:delText>
        </w:r>
        <w:r>
          <w:tab/>
          <w:delText>In regulation 57(1):</w:delText>
        </w:r>
      </w:del>
    </w:p>
    <w:p>
      <w:pPr>
        <w:pStyle w:val="nzIndenta"/>
        <w:rPr>
          <w:del w:id="357" w:author="Master Repository Process" w:date="2021-07-31T11:11:00Z"/>
        </w:rPr>
      </w:pPr>
      <w:del w:id="358" w:author="Master Repository Process" w:date="2021-07-31T11:11:00Z">
        <w:r>
          <w:tab/>
          <w:delText>(a)</w:delText>
        </w:r>
        <w:r>
          <w:tab/>
          <w:delText>delete “56,” and insert:</w:delText>
        </w:r>
      </w:del>
    </w:p>
    <w:p>
      <w:pPr>
        <w:pStyle w:val="BlankOpen"/>
        <w:rPr>
          <w:del w:id="359" w:author="Master Repository Process" w:date="2021-07-31T11:11:00Z"/>
        </w:rPr>
      </w:pPr>
    </w:p>
    <w:p>
      <w:pPr>
        <w:pStyle w:val="nzIndenta"/>
        <w:rPr>
          <w:del w:id="360" w:author="Master Repository Process" w:date="2021-07-31T11:11:00Z"/>
        </w:rPr>
      </w:pPr>
      <w:del w:id="361" w:author="Master Repository Process" w:date="2021-07-31T11:11:00Z">
        <w:r>
          <w:tab/>
        </w:r>
        <w:r>
          <w:tab/>
          <w:delText>56(1),</w:delText>
        </w:r>
      </w:del>
    </w:p>
    <w:p>
      <w:pPr>
        <w:pStyle w:val="BlankClose"/>
        <w:rPr>
          <w:del w:id="362" w:author="Master Repository Process" w:date="2021-07-31T11:11:00Z"/>
        </w:rPr>
      </w:pPr>
    </w:p>
    <w:p>
      <w:pPr>
        <w:pStyle w:val="nzIndenta"/>
        <w:rPr>
          <w:del w:id="363" w:author="Master Repository Process" w:date="2021-07-31T11:11:00Z"/>
        </w:rPr>
      </w:pPr>
      <w:del w:id="364" w:author="Master Repository Process" w:date="2021-07-31T11:11:00Z">
        <w:r>
          <w:tab/>
          <w:delText>(b)</w:delText>
        </w:r>
        <w:r>
          <w:tab/>
          <w:delText>delete “12 months of the ownership being transferred,” and insert:</w:delText>
        </w:r>
      </w:del>
    </w:p>
    <w:p>
      <w:pPr>
        <w:pStyle w:val="BlankOpen"/>
        <w:rPr>
          <w:del w:id="365" w:author="Master Repository Process" w:date="2021-07-31T11:11:00Z"/>
        </w:rPr>
      </w:pPr>
    </w:p>
    <w:p>
      <w:pPr>
        <w:pStyle w:val="nzIndenta"/>
        <w:rPr>
          <w:del w:id="366" w:author="Master Repository Process" w:date="2021-07-31T11:11:00Z"/>
        </w:rPr>
      </w:pPr>
      <w:del w:id="367" w:author="Master Repository Process" w:date="2021-07-31T11:11:00Z">
        <w:r>
          <w:tab/>
        </w:r>
        <w:r>
          <w:tab/>
          <w:delText>the post</w:delText>
        </w:r>
        <w:r>
          <w:noBreakHyphen/>
          <w:delText xml:space="preserve">transfer period, </w:delText>
        </w:r>
      </w:del>
    </w:p>
    <w:p>
      <w:pPr>
        <w:pStyle w:val="BlankClose"/>
        <w:rPr>
          <w:del w:id="368" w:author="Master Repository Process" w:date="2021-07-31T11:11:00Z"/>
        </w:rPr>
      </w:pPr>
    </w:p>
    <w:p>
      <w:pPr>
        <w:pStyle w:val="nzSubsection"/>
        <w:rPr>
          <w:del w:id="369" w:author="Master Repository Process" w:date="2021-07-31T11:11:00Z"/>
        </w:rPr>
      </w:pPr>
      <w:del w:id="370" w:author="Master Repository Process" w:date="2021-07-31T11:11:00Z">
        <w:r>
          <w:tab/>
          <w:delText>(2)</w:delText>
        </w:r>
        <w:r>
          <w:tab/>
          <w:delText>In regulation 57(1) in the Penalty delete “Penalty:” and insert:</w:delText>
        </w:r>
      </w:del>
    </w:p>
    <w:p>
      <w:pPr>
        <w:pStyle w:val="BlankOpen"/>
        <w:rPr>
          <w:del w:id="371" w:author="Master Repository Process" w:date="2021-07-31T11:11:00Z"/>
        </w:rPr>
      </w:pPr>
    </w:p>
    <w:p>
      <w:pPr>
        <w:pStyle w:val="nzSubsection"/>
        <w:rPr>
          <w:del w:id="372" w:author="Master Repository Process" w:date="2021-07-31T11:11:00Z"/>
        </w:rPr>
      </w:pPr>
      <w:del w:id="373" w:author="Master Repository Process" w:date="2021-07-31T11:11:00Z">
        <w:r>
          <w:tab/>
        </w:r>
        <w:r>
          <w:tab/>
          <w:delText xml:space="preserve">Penalty for this subregulation: </w:delText>
        </w:r>
      </w:del>
    </w:p>
    <w:p>
      <w:pPr>
        <w:pStyle w:val="BlankClose"/>
        <w:rPr>
          <w:del w:id="374" w:author="Master Repository Process" w:date="2021-07-31T11:11:00Z"/>
        </w:rPr>
      </w:pPr>
    </w:p>
    <w:p>
      <w:pPr>
        <w:pStyle w:val="nzSubsection"/>
        <w:rPr>
          <w:del w:id="375" w:author="Master Repository Process" w:date="2021-07-31T11:11:00Z"/>
        </w:rPr>
      </w:pPr>
      <w:del w:id="376" w:author="Master Repository Process" w:date="2021-07-31T11:11:00Z">
        <w:r>
          <w:tab/>
          <w:delText>(3)</w:delText>
        </w:r>
        <w:r>
          <w:tab/>
          <w:delText>After regulation 57(1) insert:</w:delText>
        </w:r>
      </w:del>
    </w:p>
    <w:p>
      <w:pPr>
        <w:pStyle w:val="BlankOpen"/>
        <w:rPr>
          <w:del w:id="377" w:author="Master Repository Process" w:date="2021-07-31T11:11:00Z"/>
        </w:rPr>
      </w:pPr>
    </w:p>
    <w:p>
      <w:pPr>
        <w:pStyle w:val="nzSubsection"/>
        <w:rPr>
          <w:del w:id="378" w:author="Master Repository Process" w:date="2021-07-31T11:11:00Z"/>
        </w:rPr>
      </w:pPr>
      <w:del w:id="379" w:author="Master Repository Process" w:date="2021-07-31T11:11:00Z">
        <w:r>
          <w:tab/>
          <w:delText>(1A)</w:delText>
        </w:r>
        <w:r>
          <w:tab/>
          <w:delText xml:space="preserve">In subregulation (1) — </w:delText>
        </w:r>
      </w:del>
    </w:p>
    <w:p>
      <w:pPr>
        <w:pStyle w:val="nzDefstart"/>
        <w:rPr>
          <w:del w:id="380" w:author="Master Repository Process" w:date="2021-07-31T11:11:00Z"/>
        </w:rPr>
      </w:pPr>
      <w:del w:id="381" w:author="Master Repository Process" w:date="2021-07-31T11:11:00Z">
        <w:r>
          <w:tab/>
        </w:r>
        <w:r>
          <w:rPr>
            <w:rStyle w:val="CharDefText"/>
          </w:rPr>
          <w:delText>post</w:delText>
        </w:r>
        <w:r>
          <w:rPr>
            <w:rStyle w:val="CharDefText"/>
          </w:rPr>
          <w:noBreakHyphen/>
          <w:delText>transfer period</w:delText>
        </w:r>
        <w:r>
          <w:delText xml:space="preserve">, in relation to a dwelling, means — </w:delText>
        </w:r>
      </w:del>
    </w:p>
    <w:p>
      <w:pPr>
        <w:pStyle w:val="nzDefpara"/>
        <w:rPr>
          <w:del w:id="382" w:author="Master Repository Process" w:date="2021-07-31T11:11:00Z"/>
        </w:rPr>
      </w:pPr>
      <w:del w:id="383" w:author="Master Repository Process" w:date="2021-07-31T11:11:00Z">
        <w:r>
          <w:tab/>
          <w:delText>(a)</w:delText>
        </w:r>
        <w:r>
          <w:tab/>
          <w:delText>if the new owner gave the prior owner a declaration of intended demolition for the dwelling before the time of the transfer — the period of 6 months beginning on the transfer day; or</w:delText>
        </w:r>
      </w:del>
    </w:p>
    <w:p>
      <w:pPr>
        <w:pStyle w:val="nzDefpara"/>
        <w:rPr>
          <w:del w:id="384" w:author="Master Repository Process" w:date="2021-07-31T11:11:00Z"/>
        </w:rPr>
      </w:pPr>
      <w:del w:id="385" w:author="Master Repository Process" w:date="2021-07-31T11:11:00Z">
        <w:r>
          <w:tab/>
          <w:delText>(b)</w:delText>
        </w:r>
        <w:r>
          <w:tab/>
          <w:delText>if the new owner did not give the prior owner a declaration of intended demolition for the dwelling before the time of the transfer — the period of 12 months beginning on the transfer day.</w:delText>
        </w:r>
      </w:del>
    </w:p>
    <w:p>
      <w:pPr>
        <w:pStyle w:val="BlankClose"/>
        <w:rPr>
          <w:del w:id="386" w:author="Master Repository Process" w:date="2021-07-31T11:11:00Z"/>
        </w:rPr>
      </w:pPr>
    </w:p>
    <w:p>
      <w:pPr>
        <w:pStyle w:val="nzSubsection"/>
        <w:rPr>
          <w:del w:id="387" w:author="Master Repository Process" w:date="2021-07-31T11:11:00Z"/>
        </w:rPr>
      </w:pPr>
      <w:del w:id="388" w:author="Master Repository Process" w:date="2021-07-31T11:11:00Z">
        <w:r>
          <w:tab/>
          <w:delText>(4)</w:delText>
        </w:r>
        <w:r>
          <w:tab/>
          <w:delText>In regulation 57(2) delete “The new owner” and insert:</w:delText>
        </w:r>
      </w:del>
    </w:p>
    <w:p>
      <w:pPr>
        <w:pStyle w:val="BlankOpen"/>
        <w:rPr>
          <w:del w:id="389" w:author="Master Repository Process" w:date="2021-07-31T11:11:00Z"/>
        </w:rPr>
      </w:pPr>
    </w:p>
    <w:p>
      <w:pPr>
        <w:pStyle w:val="nzSubsection"/>
        <w:rPr>
          <w:del w:id="390" w:author="Master Repository Process" w:date="2021-07-31T11:11:00Z"/>
        </w:rPr>
      </w:pPr>
      <w:del w:id="391" w:author="Master Repository Process" w:date="2021-07-31T11:11:00Z">
        <w:r>
          <w:tab/>
        </w:r>
        <w:r>
          <w:tab/>
          <w:delText>If the new owner did not give the prior owner a declaration of intended demolition for the dwelling before the time of the transfer, the new owner</w:delText>
        </w:r>
      </w:del>
    </w:p>
    <w:p>
      <w:pPr>
        <w:pStyle w:val="BlankClose"/>
        <w:rPr>
          <w:del w:id="392" w:author="Master Repository Process" w:date="2021-07-31T11:11:00Z"/>
        </w:rPr>
      </w:pPr>
    </w:p>
    <w:p>
      <w:pPr>
        <w:pStyle w:val="nzSubsection"/>
        <w:rPr>
          <w:del w:id="393" w:author="Master Repository Process" w:date="2021-07-31T11:11:00Z"/>
        </w:rPr>
      </w:pPr>
      <w:del w:id="394" w:author="Master Repository Process" w:date="2021-07-31T11:11:00Z">
        <w:r>
          <w:tab/>
          <w:delText>(5)</w:delText>
        </w:r>
        <w:r>
          <w:tab/>
          <w:delText>After regulation 57(2) insert:</w:delText>
        </w:r>
      </w:del>
    </w:p>
    <w:p>
      <w:pPr>
        <w:pStyle w:val="BlankOpen"/>
        <w:rPr>
          <w:del w:id="395" w:author="Master Repository Process" w:date="2021-07-31T11:11:00Z"/>
        </w:rPr>
      </w:pPr>
    </w:p>
    <w:p>
      <w:pPr>
        <w:pStyle w:val="nzSubsection"/>
        <w:rPr>
          <w:del w:id="396" w:author="Master Repository Process" w:date="2021-07-31T11:11:00Z"/>
        </w:rPr>
      </w:pPr>
      <w:del w:id="397" w:author="Master Repository Process" w:date="2021-07-31T11:11:00Z">
        <w:r>
          <w:tab/>
          <w:delText>(3)</w:delText>
        </w:r>
        <w:r>
          <w:tab/>
          <w:delText>It is a defence to a charge of an offence under subregulation (1) for the accused to prove that the dwelling was demolished within the post</w:delText>
        </w:r>
        <w:r>
          <w:noBreakHyphen/>
          <w:delText>transfer period.</w:delText>
        </w:r>
      </w:del>
    </w:p>
    <w:p>
      <w:pPr>
        <w:pStyle w:val="BlankClose"/>
        <w:rPr>
          <w:del w:id="398" w:author="Master Repository Process" w:date="2021-07-31T11:11:00Z"/>
        </w:rPr>
      </w:pPr>
    </w:p>
    <w:p>
      <w:pPr>
        <w:pStyle w:val="nzHeading5"/>
        <w:rPr>
          <w:del w:id="399" w:author="Master Repository Process" w:date="2021-07-31T11:11:00Z"/>
        </w:rPr>
      </w:pPr>
      <w:bookmarkStart w:id="400" w:name="_Toc499294820"/>
      <w:bookmarkStart w:id="401" w:name="_Toc499295073"/>
      <w:del w:id="402" w:author="Master Repository Process" w:date="2021-07-31T11:11:00Z">
        <w:r>
          <w:rPr>
            <w:rStyle w:val="CharSectno"/>
          </w:rPr>
          <w:delText>8</w:delText>
        </w:r>
        <w:r>
          <w:delText>.</w:delText>
        </w:r>
        <w:r>
          <w:tab/>
          <w:delText>Regulation 60 amended</w:delText>
        </w:r>
        <w:bookmarkEnd w:id="400"/>
        <w:bookmarkEnd w:id="401"/>
      </w:del>
    </w:p>
    <w:p>
      <w:pPr>
        <w:pStyle w:val="nzSubsection"/>
        <w:rPr>
          <w:del w:id="403" w:author="Master Repository Process" w:date="2021-07-31T11:11:00Z"/>
        </w:rPr>
      </w:pPr>
      <w:del w:id="404" w:author="Master Repository Process" w:date="2021-07-31T11:11:00Z">
        <w:r>
          <w:tab/>
        </w:r>
        <w:r>
          <w:tab/>
          <w:delText>In regulation 60(2) delete “56(a),” and insert:</w:delText>
        </w:r>
      </w:del>
    </w:p>
    <w:p>
      <w:pPr>
        <w:pStyle w:val="BlankOpen"/>
        <w:rPr>
          <w:del w:id="405" w:author="Master Repository Process" w:date="2021-07-31T11:11:00Z"/>
        </w:rPr>
      </w:pPr>
    </w:p>
    <w:p>
      <w:pPr>
        <w:pStyle w:val="nzSubsection"/>
        <w:rPr>
          <w:del w:id="406" w:author="Master Repository Process" w:date="2021-07-31T11:11:00Z"/>
        </w:rPr>
      </w:pPr>
      <w:del w:id="407" w:author="Master Repository Process" w:date="2021-07-31T11:11:00Z">
        <w:r>
          <w:tab/>
        </w:r>
        <w:r>
          <w:tab/>
          <w:delText>56(1)(a),</w:delText>
        </w:r>
      </w:del>
    </w:p>
    <w:p>
      <w:pPr>
        <w:pStyle w:val="BlankClose"/>
        <w:rPr>
          <w:del w:id="408" w:author="Master Repository Process" w:date="2021-07-31T11:11:00Z"/>
        </w:rPr>
      </w:pPr>
    </w:p>
    <w:p>
      <w:pPr>
        <w:pStyle w:val="nzHeading5"/>
        <w:rPr>
          <w:del w:id="409" w:author="Master Repository Process" w:date="2021-07-31T11:11:00Z"/>
        </w:rPr>
      </w:pPr>
      <w:bookmarkStart w:id="410" w:name="_Toc499294821"/>
      <w:bookmarkStart w:id="411" w:name="_Toc499295074"/>
      <w:del w:id="412" w:author="Master Repository Process" w:date="2021-07-31T11:11:00Z">
        <w:r>
          <w:rPr>
            <w:rStyle w:val="CharSectno"/>
          </w:rPr>
          <w:delText>9</w:delText>
        </w:r>
        <w:r>
          <w:delText>.</w:delText>
        </w:r>
        <w:r>
          <w:tab/>
          <w:delText>Schedule 4 amended</w:delText>
        </w:r>
        <w:bookmarkEnd w:id="410"/>
        <w:bookmarkEnd w:id="411"/>
      </w:del>
    </w:p>
    <w:p>
      <w:pPr>
        <w:pStyle w:val="nzSubsection"/>
        <w:rPr>
          <w:del w:id="413" w:author="Master Repository Process" w:date="2021-07-31T11:11:00Z"/>
        </w:rPr>
      </w:pPr>
      <w:del w:id="414" w:author="Master Repository Process" w:date="2021-07-31T11:11:00Z">
        <w:r>
          <w:tab/>
          <w:delText>(2)</w:delText>
        </w:r>
        <w:r>
          <w:tab/>
          <w:delText>In Schedule 4 clause 1 in the Table delete the item relating to Laverton and insert:</w:delText>
        </w:r>
      </w:del>
    </w:p>
    <w:p>
      <w:pPr>
        <w:pStyle w:val="BlankOpen"/>
        <w:rPr>
          <w:del w:id="415" w:author="Master Repository Process" w:date="2021-07-31T11:11:00Z"/>
        </w:rPr>
      </w:pP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25"/>
        <w:gridCol w:w="2627"/>
        <w:gridCol w:w="2552"/>
      </w:tblGrid>
      <w:tr>
        <w:trPr>
          <w:cantSplit/>
          <w:del w:id="416" w:author="Master Repository Process" w:date="2021-07-31T11:11:00Z"/>
        </w:trPr>
        <w:tc>
          <w:tcPr>
            <w:tcW w:w="1625" w:type="dxa"/>
          </w:tcPr>
          <w:p>
            <w:pPr>
              <w:pStyle w:val="zyTableNAmBefore55pt"/>
              <w:rPr>
                <w:del w:id="417" w:author="Master Repository Process" w:date="2021-07-31T11:11:00Z"/>
                <w:sz w:val="20"/>
              </w:rPr>
            </w:pPr>
            <w:del w:id="418" w:author="Master Repository Process" w:date="2021-07-31T11:11:00Z">
              <w:r>
                <w:rPr>
                  <w:sz w:val="20"/>
                </w:rPr>
                <w:delText>Laverton</w:delText>
              </w:r>
            </w:del>
          </w:p>
        </w:tc>
        <w:tc>
          <w:tcPr>
            <w:tcW w:w="2627" w:type="dxa"/>
          </w:tcPr>
          <w:p>
            <w:pPr>
              <w:pStyle w:val="zyTableNAmBefore55pt"/>
              <w:rPr>
                <w:del w:id="419" w:author="Master Repository Process" w:date="2021-07-31T11:11:00Z"/>
                <w:sz w:val="20"/>
              </w:rPr>
            </w:pPr>
            <w:del w:id="420" w:author="Master Repository Process" w:date="2021-07-31T11:11:00Z">
              <w:r>
                <w:rPr>
                  <w:sz w:val="20"/>
                </w:rPr>
                <w:delText>Whole district other than townsites</w:delText>
              </w:r>
            </w:del>
          </w:p>
        </w:tc>
        <w:tc>
          <w:tcPr>
            <w:tcW w:w="2552" w:type="dxa"/>
          </w:tcPr>
          <w:p>
            <w:pPr>
              <w:pStyle w:val="zyTableNAmBefore55pt"/>
              <w:rPr>
                <w:del w:id="421" w:author="Master Repository Process" w:date="2021-07-31T11:11:00Z"/>
                <w:sz w:val="20"/>
              </w:rPr>
            </w:pPr>
          </w:p>
        </w:tc>
      </w:tr>
    </w:tbl>
    <w:p>
      <w:pPr>
        <w:pStyle w:val="BlankClose"/>
        <w:rPr>
          <w:del w:id="422" w:author="Master Repository Process" w:date="2021-07-31T11:11:00Z"/>
        </w:rPr>
      </w:pPr>
    </w:p>
    <w:p>
      <w:pPr>
        <w:pStyle w:val="nzSubsection"/>
        <w:rPr>
          <w:del w:id="423" w:author="Master Repository Process" w:date="2021-07-31T11:11:00Z"/>
        </w:rPr>
      </w:pPr>
      <w:del w:id="424" w:author="Master Repository Process" w:date="2021-07-31T11:11:00Z">
        <w:r>
          <w:tab/>
          <w:delText>(3)</w:delText>
        </w:r>
        <w:r>
          <w:tab/>
          <w:delText>In Schedule 4 clause 1 in the Table delete the item relating to Menzies and insert:</w:delText>
        </w:r>
      </w:del>
    </w:p>
    <w:p>
      <w:pPr>
        <w:pStyle w:val="BlankOpen"/>
        <w:rPr>
          <w:del w:id="425" w:author="Master Repository Process" w:date="2021-07-31T11:11:00Z"/>
        </w:rPr>
      </w:pP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25"/>
        <w:gridCol w:w="2627"/>
        <w:gridCol w:w="2552"/>
      </w:tblGrid>
      <w:tr>
        <w:trPr>
          <w:cantSplit/>
          <w:del w:id="426" w:author="Master Repository Process" w:date="2021-07-31T11:11:00Z"/>
        </w:trPr>
        <w:tc>
          <w:tcPr>
            <w:tcW w:w="1625" w:type="dxa"/>
          </w:tcPr>
          <w:p>
            <w:pPr>
              <w:pStyle w:val="zyTableNAmBefore55pt"/>
              <w:rPr>
                <w:del w:id="427" w:author="Master Repository Process" w:date="2021-07-31T11:11:00Z"/>
                <w:sz w:val="20"/>
              </w:rPr>
            </w:pPr>
            <w:del w:id="428" w:author="Master Repository Process" w:date="2021-07-31T11:11:00Z">
              <w:r>
                <w:rPr>
                  <w:sz w:val="20"/>
                </w:rPr>
                <w:delText>Menzies</w:delText>
              </w:r>
            </w:del>
          </w:p>
        </w:tc>
        <w:tc>
          <w:tcPr>
            <w:tcW w:w="2627" w:type="dxa"/>
          </w:tcPr>
          <w:p>
            <w:pPr>
              <w:pStyle w:val="zyTableNAmBefore55pt"/>
              <w:rPr>
                <w:del w:id="429" w:author="Master Repository Process" w:date="2021-07-31T11:11:00Z"/>
                <w:sz w:val="20"/>
              </w:rPr>
            </w:pPr>
            <w:del w:id="430" w:author="Master Repository Process" w:date="2021-07-31T11:11:00Z">
              <w:r>
                <w:rPr>
                  <w:sz w:val="20"/>
                </w:rPr>
                <w:delText>Whole district other than townsites</w:delText>
              </w:r>
            </w:del>
          </w:p>
        </w:tc>
        <w:tc>
          <w:tcPr>
            <w:tcW w:w="2552" w:type="dxa"/>
          </w:tcPr>
          <w:p>
            <w:pPr>
              <w:pStyle w:val="zyTableNAmBefore55pt"/>
              <w:rPr>
                <w:del w:id="431" w:author="Master Repository Process" w:date="2021-07-31T11:11:00Z"/>
                <w:sz w:val="20"/>
              </w:rPr>
            </w:pPr>
          </w:p>
        </w:tc>
      </w:tr>
    </w:tbl>
    <w:p>
      <w:pPr>
        <w:pStyle w:val="nzSubsection"/>
        <w:rPr>
          <w:del w:id="432" w:author="Master Repository Process" w:date="2021-07-31T11:11:00Z"/>
        </w:rPr>
      </w:pPr>
      <w:del w:id="433" w:author="Master Repository Process" w:date="2021-07-31T11:11:00Z">
        <w:r>
          <w:tab/>
          <w:delText>(5)</w:delText>
        </w:r>
        <w:r>
          <w:tab/>
          <w:delText>In Schedule 4 clause 1 in the Table delete the item relating to Wiluna and insert:</w:delText>
        </w:r>
      </w:del>
    </w:p>
    <w:p>
      <w:pPr>
        <w:pStyle w:val="BlankOpen"/>
        <w:rPr>
          <w:del w:id="434" w:author="Master Repository Process" w:date="2021-07-31T11:11:00Z"/>
        </w:rPr>
      </w:pP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25"/>
        <w:gridCol w:w="2627"/>
        <w:gridCol w:w="2552"/>
      </w:tblGrid>
      <w:tr>
        <w:trPr>
          <w:cantSplit/>
          <w:del w:id="435" w:author="Master Repository Process" w:date="2021-07-31T11:11:00Z"/>
        </w:trPr>
        <w:tc>
          <w:tcPr>
            <w:tcW w:w="1625" w:type="dxa"/>
          </w:tcPr>
          <w:p>
            <w:pPr>
              <w:pStyle w:val="zyTableNAmBefore55pt"/>
              <w:rPr>
                <w:del w:id="436" w:author="Master Repository Process" w:date="2021-07-31T11:11:00Z"/>
                <w:sz w:val="20"/>
              </w:rPr>
            </w:pPr>
            <w:del w:id="437" w:author="Master Repository Process" w:date="2021-07-31T11:11:00Z">
              <w:r>
                <w:rPr>
                  <w:sz w:val="20"/>
                </w:rPr>
                <w:delText>Wiluna</w:delText>
              </w:r>
            </w:del>
          </w:p>
        </w:tc>
        <w:tc>
          <w:tcPr>
            <w:tcW w:w="2627" w:type="dxa"/>
          </w:tcPr>
          <w:p>
            <w:pPr>
              <w:pStyle w:val="zyTableNAmBefore55pt"/>
              <w:rPr>
                <w:del w:id="438" w:author="Master Repository Process" w:date="2021-07-31T11:11:00Z"/>
                <w:sz w:val="20"/>
              </w:rPr>
            </w:pPr>
            <w:del w:id="439" w:author="Master Repository Process" w:date="2021-07-31T11:11:00Z">
              <w:r>
                <w:rPr>
                  <w:sz w:val="20"/>
                </w:rPr>
                <w:delText>Whole district other than townsite of Wiluna</w:delText>
              </w:r>
            </w:del>
          </w:p>
        </w:tc>
        <w:tc>
          <w:tcPr>
            <w:tcW w:w="2552" w:type="dxa"/>
          </w:tcPr>
          <w:p>
            <w:pPr>
              <w:pStyle w:val="zyTableNAmBefore55pt"/>
              <w:rPr>
                <w:del w:id="440" w:author="Master Repository Process" w:date="2021-07-31T11:11:00Z"/>
              </w:rPr>
            </w:pPr>
          </w:p>
        </w:tc>
      </w:tr>
    </w:tbl>
    <w:p>
      <w:pPr>
        <w:pStyle w:val="BlankClose"/>
        <w:rPr>
          <w:del w:id="441" w:author="Master Repository Process" w:date="2021-07-31T11:11:00Z"/>
        </w:rPr>
      </w:pPr>
    </w:p>
    <w:p>
      <w:pPr>
        <w:pStyle w:val="nzHeading5"/>
        <w:rPr>
          <w:del w:id="442" w:author="Master Repository Process" w:date="2021-07-31T11:11:00Z"/>
        </w:rPr>
      </w:pPr>
      <w:bookmarkStart w:id="443" w:name="_Toc499294823"/>
      <w:bookmarkStart w:id="444" w:name="_Toc499295076"/>
      <w:del w:id="445" w:author="Master Repository Process" w:date="2021-07-31T11:11:00Z">
        <w:r>
          <w:rPr>
            <w:rStyle w:val="CharSectno"/>
          </w:rPr>
          <w:delText>11</w:delText>
        </w:r>
        <w:r>
          <w:delText>.</w:delText>
        </w:r>
        <w:r>
          <w:tab/>
          <w:delText>Schedule 6 amended</w:delText>
        </w:r>
        <w:bookmarkEnd w:id="443"/>
        <w:bookmarkEnd w:id="444"/>
      </w:del>
    </w:p>
    <w:p>
      <w:pPr>
        <w:pStyle w:val="nzSubsection"/>
        <w:rPr>
          <w:del w:id="446" w:author="Master Repository Process" w:date="2021-07-31T11:11:00Z"/>
        </w:rPr>
      </w:pPr>
      <w:del w:id="447" w:author="Master Repository Process" w:date="2021-07-31T11:11:00Z">
        <w:r>
          <w:tab/>
        </w:r>
        <w:r>
          <w:tab/>
          <w:delText>In Schedule 6 delete “</w:delText>
        </w:r>
        <w:r>
          <w:rPr>
            <w:sz w:val="22"/>
          </w:rPr>
          <w:delText>r. 56</w:delText>
        </w:r>
        <w:r>
          <w:delText>” and insert:</w:delText>
        </w:r>
      </w:del>
    </w:p>
    <w:p>
      <w:pPr>
        <w:pStyle w:val="BlankOpen"/>
        <w:rPr>
          <w:del w:id="448" w:author="Master Repository Process" w:date="2021-07-31T11:11:00Z"/>
        </w:rPr>
      </w:pPr>
    </w:p>
    <w:p>
      <w:pPr>
        <w:pStyle w:val="nzSubsection"/>
        <w:rPr>
          <w:del w:id="449" w:author="Master Repository Process" w:date="2021-07-31T11:11:00Z"/>
        </w:rPr>
      </w:pPr>
      <w:del w:id="450" w:author="Master Repository Process" w:date="2021-07-31T11:11:00Z">
        <w:r>
          <w:tab/>
        </w:r>
        <w:r>
          <w:tab/>
        </w:r>
        <w:r>
          <w:rPr>
            <w:sz w:val="22"/>
          </w:rPr>
          <w:delText xml:space="preserve">r. 56(1) </w:delText>
        </w:r>
      </w:del>
    </w:p>
    <w:p>
      <w:pPr>
        <w:pStyle w:val="BlankClose"/>
        <w:rPr>
          <w:del w:id="451" w:author="Master Repository Process" w:date="2021-07-31T11:11:00Z"/>
        </w:rPr>
      </w:pPr>
    </w:p>
    <w:p>
      <w:pPr>
        <w:pStyle w:val="BlankClose"/>
      </w:pPr>
    </w:p>
    <w:p>
      <w:pPr>
        <w:pStyle w:val="nSubsection"/>
        <w:keepNext/>
        <w:keepLines/>
        <w:spacing w:before="140"/>
        <w:rPr>
          <w:snapToGrid w:val="0"/>
          <w:vertAlign w:val="superscript"/>
        </w:rPr>
      </w:pPr>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257" w:name="Schedule"/>
    <w:bookmarkEnd w:id="25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2</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Inspections or tests of systems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Inspections or tests of systems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52" w:name="Compilation"/>
    <w:bookmarkEnd w:id="452"/>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53" w:name="Coversheet"/>
    <w:bookmarkEnd w:id="4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119115919"/>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C7D514E7-7F4D-439A-AA33-66D42AEEA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zyTableNAmBefore55pt">
    <w:name w:val="zyTableNAm + Before:  5.5 pt"/>
    <w:basedOn w:val="yTableNAm"/>
    <w:pPr>
      <w:spacing w:before="110"/>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header" Target="header22.xml"/><Relationship Id="rId40" Type="http://schemas.openxmlformats.org/officeDocument/2006/relationships/footer" Target="footer7.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041F5A-345C-4424-A175-B0DD357E2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23002</Words>
  <Characters>113401</Characters>
  <Application>Microsoft Office Word</Application>
  <DocSecurity>0</DocSecurity>
  <Lines>3910</Lines>
  <Paragraphs>2098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134305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03-g0-00 - 03-h0-00</dc:title>
  <dc:subject/>
  <dc:creator/>
  <cp:keywords/>
  <dc:description/>
  <cp:lastModifiedBy>Master Repository Process</cp:lastModifiedBy>
  <cp:revision>2</cp:revision>
  <cp:lastPrinted>2017-06-23T08:00:00Z</cp:lastPrinted>
  <dcterms:created xsi:type="dcterms:W3CDTF">2021-07-31T03:10:00Z</dcterms:created>
  <dcterms:modified xsi:type="dcterms:W3CDTF">2021-07-31T03:11:00Z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2016-08-11T16:00:00Z</vt:filetime>
  </property>
  <property fmtid="{D5CDD505-2E9C-101B-9397-08002B2CF9AE}" pid="5" name="ReprintNo">
    <vt:lpwstr>3</vt:lpwstr>
  </property>
  <property fmtid="{D5CDD505-2E9C-101B-9397-08002B2CF9AE}" pid="6" name="CommencementDate">
    <vt:lpwstr>20180123</vt:lpwstr>
  </property>
  <property fmtid="{D5CDD505-2E9C-101B-9397-08002B2CF9AE}" pid="7" name="FromSuffix">
    <vt:lpwstr>03-g0-00</vt:lpwstr>
  </property>
  <property fmtid="{D5CDD505-2E9C-101B-9397-08002B2CF9AE}" pid="8" name="FromAsAtDate">
    <vt:lpwstr>23 Dec 2017</vt:lpwstr>
  </property>
  <property fmtid="{D5CDD505-2E9C-101B-9397-08002B2CF9AE}" pid="9" name="ToSuffix">
    <vt:lpwstr>03-h0-00</vt:lpwstr>
  </property>
  <property fmtid="{D5CDD505-2E9C-101B-9397-08002B2CF9AE}" pid="10" name="ToAsAtDate">
    <vt:lpwstr>23 Jan 2018</vt:lpwstr>
  </property>
</Properties>
</file>