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2017</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08 Jun 2018</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4T13:05:00Z"/>
        </w:trPr>
        <w:tc>
          <w:tcPr>
            <w:tcW w:w="2434" w:type="dxa"/>
            <w:vMerge w:val="restart"/>
          </w:tcPr>
          <w:p>
            <w:pPr>
              <w:rPr>
                <w:ins w:id="2" w:author="svcMRProcess" w:date="2020-02-24T13:05:00Z"/>
              </w:rPr>
            </w:pPr>
          </w:p>
        </w:tc>
        <w:tc>
          <w:tcPr>
            <w:tcW w:w="2434" w:type="dxa"/>
            <w:vMerge w:val="restart"/>
          </w:tcPr>
          <w:p>
            <w:pPr>
              <w:jc w:val="center"/>
              <w:rPr>
                <w:ins w:id="3" w:author="svcMRProcess" w:date="2020-02-24T13:05:00Z"/>
              </w:rPr>
            </w:pPr>
            <w:ins w:id="4" w:author="svcMRProcess" w:date="2020-02-24T13:0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4T13:05:00Z"/>
              </w:rPr>
            </w:pPr>
            <w:ins w:id="6" w:author="svcMRProcess" w:date="2020-02-24T13:05:00Z">
              <w:r>
                <w:rPr>
                  <w:b/>
                  <w:sz w:val="22"/>
                </w:rPr>
                <w:t xml:space="preserve">Reprinted under the </w:t>
              </w:r>
              <w:r>
                <w:rPr>
                  <w:b/>
                  <w:i/>
                  <w:sz w:val="22"/>
                </w:rPr>
                <w:t>Reprints Act 1984</w:t>
              </w:r>
              <w:r>
                <w:rPr>
                  <w:b/>
                  <w:sz w:val="22"/>
                </w:rPr>
                <w:t xml:space="preserve"> as</w:t>
              </w:r>
            </w:ins>
          </w:p>
        </w:tc>
      </w:tr>
      <w:tr>
        <w:trPr>
          <w:cantSplit/>
          <w:ins w:id="7" w:author="svcMRProcess" w:date="2020-02-24T13:05:00Z"/>
        </w:trPr>
        <w:tc>
          <w:tcPr>
            <w:tcW w:w="2434" w:type="dxa"/>
            <w:vMerge/>
          </w:tcPr>
          <w:p>
            <w:pPr>
              <w:rPr>
                <w:ins w:id="8" w:author="svcMRProcess" w:date="2020-02-24T13:05:00Z"/>
              </w:rPr>
            </w:pPr>
          </w:p>
        </w:tc>
        <w:tc>
          <w:tcPr>
            <w:tcW w:w="2434" w:type="dxa"/>
            <w:vMerge/>
          </w:tcPr>
          <w:p>
            <w:pPr>
              <w:jc w:val="center"/>
              <w:rPr>
                <w:ins w:id="9" w:author="svcMRProcess" w:date="2020-02-24T13:05:00Z"/>
              </w:rPr>
            </w:pPr>
          </w:p>
        </w:tc>
        <w:tc>
          <w:tcPr>
            <w:tcW w:w="2434" w:type="dxa"/>
          </w:tcPr>
          <w:p>
            <w:pPr>
              <w:keepNext/>
              <w:rPr>
                <w:ins w:id="10" w:author="svcMRProcess" w:date="2020-02-24T13:05:00Z"/>
                <w:b/>
                <w:sz w:val="22"/>
              </w:rPr>
            </w:pPr>
            <w:ins w:id="11" w:author="svcMRProcess" w:date="2020-02-24T13:05:00Z">
              <w:r>
                <w:rPr>
                  <w:b/>
                  <w:sz w:val="22"/>
                </w:rPr>
                <w:t>at 8 June 2018</w:t>
              </w:r>
            </w:ins>
          </w:p>
        </w:tc>
      </w:tr>
    </w:tbl>
    <w:p>
      <w:pPr>
        <w:pStyle w:val="WA"/>
        <w:spacing w:before="12"/>
      </w:pPr>
      <w:r>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12" w:name="_GoBack"/>
      <w:bookmarkEnd w:id="12"/>
      <w:r>
        <w:rPr>
          <w:snapToGrid w:val="0"/>
        </w:rPr>
        <w:t xml:space="preserve">n Act to establish and incorporate Edith Cowan University and for incidental and other purposes. </w:t>
      </w:r>
    </w:p>
    <w:p>
      <w:pPr>
        <w:pStyle w:val="Footnotelongtitle"/>
      </w:pPr>
      <w:r>
        <w:tab/>
        <w:t>[Long title inserted</w:t>
      </w:r>
      <w:del w:id="13" w:author="svcMRProcess" w:date="2020-02-24T13:05:00Z">
        <w:r>
          <w:delText xml:space="preserve"> by</w:delText>
        </w:r>
      </w:del>
      <w:ins w:id="14" w:author="svcMRProcess" w:date="2020-02-24T13:05:00Z">
        <w:r>
          <w:t>:</w:t>
        </w:r>
      </w:ins>
      <w:r>
        <w:t xml:space="preserve"> No. 63 of 1990 s. 4; amended</w:t>
      </w:r>
      <w:del w:id="15" w:author="svcMRProcess" w:date="2020-02-24T13:05:00Z">
        <w:r>
          <w:delText xml:space="preserve"> by</w:delText>
        </w:r>
      </w:del>
      <w:ins w:id="16" w:author="svcMRProcess" w:date="2020-02-24T13:05:00Z">
        <w:r>
          <w:t>:</w:t>
        </w:r>
      </w:ins>
      <w:r>
        <w:t xml:space="preserve"> No. 32 of 2016 s. 49.]</w:t>
      </w:r>
    </w:p>
    <w:p>
      <w:pPr>
        <w:pStyle w:val="Heading2"/>
      </w:pPr>
      <w:bookmarkStart w:id="17" w:name="_Toc32485731"/>
      <w:bookmarkStart w:id="18" w:name="_Toc32485842"/>
      <w:bookmarkStart w:id="19" w:name="_Toc494452081"/>
      <w:r>
        <w:rPr>
          <w:rStyle w:val="CharPartNo"/>
        </w:rPr>
        <w:lastRenderedPageBreak/>
        <w:t>Part I</w:t>
      </w:r>
      <w:r>
        <w:rPr>
          <w:rStyle w:val="CharDivNo"/>
        </w:rPr>
        <w:t> </w:t>
      </w:r>
      <w:r>
        <w:t>—</w:t>
      </w:r>
      <w:r>
        <w:rPr>
          <w:rStyle w:val="CharDivText"/>
        </w:rPr>
        <w:t> </w:t>
      </w:r>
      <w:r>
        <w:rPr>
          <w:rStyle w:val="CharPartText"/>
        </w:rPr>
        <w:t>Preliminary</w:t>
      </w:r>
      <w:bookmarkEnd w:id="17"/>
      <w:bookmarkEnd w:id="18"/>
      <w:bookmarkEnd w:id="19"/>
      <w:r>
        <w:rPr>
          <w:rStyle w:val="CharPartText"/>
        </w:rPr>
        <w:t xml:space="preserve"> </w:t>
      </w:r>
    </w:p>
    <w:p>
      <w:pPr>
        <w:pStyle w:val="Heading5"/>
        <w:rPr>
          <w:snapToGrid w:val="0"/>
        </w:rPr>
      </w:pPr>
      <w:bookmarkStart w:id="20" w:name="_Toc32485843"/>
      <w:bookmarkStart w:id="21" w:name="_Toc494452082"/>
      <w:r>
        <w:rPr>
          <w:rStyle w:val="CharSectno"/>
        </w:rPr>
        <w:t>1</w:t>
      </w:r>
      <w:r>
        <w:rPr>
          <w:snapToGrid w:val="0"/>
        </w:rPr>
        <w:t>.</w:t>
      </w:r>
      <w:r>
        <w:rPr>
          <w:snapToGrid w:val="0"/>
        </w:rPr>
        <w:tab/>
        <w:t>Short title</w:t>
      </w:r>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del w:id="22" w:author="svcMRProcess" w:date="2020-02-24T13:05:00Z">
        <w:r>
          <w:rPr>
            <w:snapToGrid w:val="0"/>
            <w:vertAlign w:val="superscript"/>
          </w:rPr>
          <w:delText xml:space="preserve"> 1</w:delText>
        </w:r>
      </w:del>
      <w:r>
        <w:rPr>
          <w:snapToGrid w:val="0"/>
        </w:rPr>
        <w:t>.</w:t>
      </w:r>
    </w:p>
    <w:p>
      <w:pPr>
        <w:pStyle w:val="Footnotesection"/>
      </w:pPr>
      <w:r>
        <w:tab/>
        <w:t>[Section 1 amended</w:t>
      </w:r>
      <w:del w:id="23" w:author="svcMRProcess" w:date="2020-02-24T13:05:00Z">
        <w:r>
          <w:delText xml:space="preserve"> by</w:delText>
        </w:r>
      </w:del>
      <w:ins w:id="24" w:author="svcMRProcess" w:date="2020-02-24T13:05:00Z">
        <w:r>
          <w:t>:</w:t>
        </w:r>
      </w:ins>
      <w:r>
        <w:t xml:space="preserve"> No. 63 of 1990 s. 19.] </w:t>
      </w:r>
    </w:p>
    <w:p>
      <w:pPr>
        <w:pStyle w:val="Heading5"/>
        <w:rPr>
          <w:snapToGrid w:val="0"/>
        </w:rPr>
      </w:pPr>
      <w:bookmarkStart w:id="25" w:name="_Toc32485844"/>
      <w:bookmarkStart w:id="26" w:name="_Toc494452083"/>
      <w:r>
        <w:rPr>
          <w:rStyle w:val="CharSectno"/>
        </w:rPr>
        <w:t>2</w:t>
      </w:r>
      <w:r>
        <w:rPr>
          <w:snapToGrid w:val="0"/>
        </w:rPr>
        <w:t>.</w:t>
      </w:r>
      <w:r>
        <w:rPr>
          <w:snapToGrid w:val="0"/>
        </w:rPr>
        <w:tab/>
        <w:t>Commencement</w:t>
      </w:r>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del w:id="27" w:author="svcMRProcess" w:date="2020-02-24T13:05:00Z">
        <w:r>
          <w:rPr>
            <w:snapToGrid w:val="0"/>
            <w:vertAlign w:val="superscript"/>
          </w:rPr>
          <w:delText xml:space="preserve"> 1</w:delText>
        </w:r>
      </w:del>
      <w:r>
        <w:rPr>
          <w:snapToGrid w:val="0"/>
        </w:rPr>
        <w:t>.</w:t>
      </w:r>
    </w:p>
    <w:p>
      <w:pPr>
        <w:pStyle w:val="Heading5"/>
        <w:rPr>
          <w:snapToGrid w:val="0"/>
        </w:rPr>
      </w:pPr>
      <w:bookmarkStart w:id="28" w:name="_Toc32485845"/>
      <w:bookmarkStart w:id="29" w:name="_Toc494452084"/>
      <w:r>
        <w:rPr>
          <w:rStyle w:val="CharSectno"/>
        </w:rPr>
        <w:t>3</w:t>
      </w:r>
      <w:r>
        <w:rPr>
          <w:snapToGrid w:val="0"/>
        </w:rPr>
        <w:t>.</w:t>
      </w:r>
      <w:r>
        <w:rPr>
          <w:snapToGrid w:val="0"/>
        </w:rPr>
        <w:tab/>
        <w:t>Interpretation</w:t>
      </w:r>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tab/>
      </w:r>
      <w:r>
        <w:rPr>
          <w:rStyle w:val="CharDefText"/>
        </w:rPr>
        <w:t>Advisory Board</w:t>
      </w:r>
      <w:r>
        <w:t xml:space="preserve"> means — </w:t>
      </w:r>
    </w:p>
    <w:p>
      <w:pPr>
        <w:pStyle w:val="Defpara"/>
      </w:pPr>
      <w:r>
        <w:tab/>
        <w:t>(a)</w:t>
      </w:r>
      <w:r>
        <w:tab/>
        <w:t>the ECU South West Campus (Bunbury) Advisory Board referred to in section 20(1); or</w:t>
      </w:r>
    </w:p>
    <w:p>
      <w:pPr>
        <w:pStyle w:val="Indenta"/>
      </w:pPr>
      <w:r>
        <w:tab/>
        <w:t>(b)</w:t>
      </w:r>
      <w:r>
        <w:tab/>
        <w:t>the Advisory Board of the Academy referred to in section 25(1);</w:t>
      </w:r>
    </w:p>
    <w:p>
      <w:pPr>
        <w:pStyle w:val="Defstart"/>
      </w:pPr>
      <w:r>
        <w:rPr>
          <w:b/>
        </w:rPr>
        <w:tab/>
      </w:r>
      <w:r>
        <w:rPr>
          <w:rStyle w:val="CharDefText"/>
        </w:rPr>
        <w:t>Alumni</w:t>
      </w:r>
      <w:r>
        <w:t xml:space="preserve"> means graduates of — </w:t>
      </w:r>
    </w:p>
    <w:p>
      <w:pPr>
        <w:pStyle w:val="Defpara"/>
      </w:pPr>
      <w:r>
        <w:tab/>
        <w:t>(a)</w:t>
      </w:r>
      <w:r>
        <w:tab/>
        <w:t>the University;</w:t>
      </w:r>
      <w:ins w:id="30" w:author="svcMRProcess" w:date="2020-02-24T13:05:00Z">
        <w:r>
          <w:t xml:space="preserve"> or</w:t>
        </w:r>
      </w:ins>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w:t>
      </w:r>
      <w:r>
        <w:rPr>
          <w:vertAlign w:val="superscript"/>
        </w:rPr>
        <w:t> </w:t>
      </w:r>
      <w:del w:id="31" w:author="svcMRProcess" w:date="2020-02-24T13:05:00Z">
        <w:r>
          <w:rPr>
            <w:iCs/>
            <w:vertAlign w:val="superscript"/>
          </w:rPr>
          <w:delText>2</w:delText>
        </w:r>
      </w:del>
      <w:ins w:id="32" w:author="svcMRProcess" w:date="2020-02-24T13:05:00Z">
        <w:r>
          <w:rPr>
            <w:vertAlign w:val="superscript"/>
          </w:rPr>
          <w:t>1</w:t>
        </w:r>
      </w:ins>
      <w:r>
        <w:t xml:space="preserve"> as in force immediately before the appointed day as defined in section 4 of the </w:t>
      </w:r>
      <w:r>
        <w:rPr>
          <w:i/>
        </w:rPr>
        <w:t>Teacher Education Act 1972</w:t>
      </w:r>
      <w:r>
        <w:rPr>
          <w:vertAlign w:val="superscript"/>
        </w:rPr>
        <w:t> </w:t>
      </w:r>
      <w:del w:id="33" w:author="svcMRProcess" w:date="2020-02-24T13:05:00Z">
        <w:r>
          <w:rPr>
            <w:vertAlign w:val="superscript"/>
          </w:rPr>
          <w:delText>3</w:delText>
        </w:r>
      </w:del>
      <w:ins w:id="34" w:author="svcMRProcess" w:date="2020-02-24T13:05:00Z">
        <w:r>
          <w:rPr>
            <w:vertAlign w:val="superscript"/>
          </w:rPr>
          <w:t>2</w:t>
        </w:r>
      </w:ins>
      <w:r>
        <w:t>;</w:t>
      </w:r>
    </w:p>
    <w:p>
      <w:pPr>
        <w:pStyle w:val="Defstart"/>
      </w:pPr>
      <w:r>
        <w:rPr>
          <w:b/>
        </w:rPr>
        <w:lastRenderedPageBreak/>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Colleges Act</w:t>
      </w:r>
      <w:r>
        <w:t xml:space="preserve"> means the </w:t>
      </w:r>
      <w:r>
        <w:rPr>
          <w:i/>
        </w:rPr>
        <w:t>Colleges Act 1978</w:t>
      </w:r>
      <w:del w:id="35" w:author="svcMRProcess" w:date="2020-02-24T13:05:00Z">
        <w:r>
          <w:rPr>
            <w:vertAlign w:val="superscript"/>
          </w:rPr>
          <w:delText xml:space="preserve">  4</w:delText>
        </w:r>
      </w:del>
      <w:ins w:id="36" w:author="svcMRProcess" w:date="2020-02-24T13:05:00Z">
        <w:r>
          <w:rPr>
            <w:vertAlign w:val="superscript"/>
          </w:rPr>
          <w:t> 3</w:t>
        </w:r>
      </w:ins>
      <w:r>
        <w:t>;</w:t>
      </w:r>
    </w:p>
    <w:p>
      <w:pPr>
        <w:pStyle w:val="Defstart"/>
      </w:pPr>
      <w:r>
        <w:rPr>
          <w:b/>
        </w:rPr>
        <w:tab/>
      </w:r>
      <w:r>
        <w:rPr>
          <w:rStyle w:val="CharDefText"/>
        </w:rPr>
        <w:t>commencement date</w:t>
      </w:r>
      <w:r>
        <w:t xml:space="preserve"> means the date on which this Act comes into operation</w:t>
      </w:r>
      <w:del w:id="37" w:author="svcMRProcess" w:date="2020-02-24T13:05:00Z">
        <w:r>
          <w:rPr>
            <w:vertAlign w:val="superscript"/>
          </w:rPr>
          <w:delText xml:space="preserve"> 1</w:delText>
        </w:r>
      </w:del>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Deputy Chancellor</w:t>
      </w:r>
      <w:r>
        <w:t xml:space="preserve"> means the Deputy Chancellor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Vice</w:t>
      </w:r>
      <w:r>
        <w:noBreakHyphen/>
        <w:t>Chancellor,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members of the staff,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lastRenderedPageBreak/>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Edith Cowan University referred to in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[Section 3 amended</w:t>
      </w:r>
      <w:del w:id="38" w:author="svcMRProcess" w:date="2020-02-24T13:05:00Z">
        <w:r>
          <w:delText xml:space="preserve"> by</w:delText>
        </w:r>
      </w:del>
      <w:ins w:id="39" w:author="svcMRProcess" w:date="2020-02-24T13:05:00Z">
        <w:r>
          <w:t>:</w:t>
        </w:r>
      </w:ins>
      <w:r>
        <w:t xml:space="preserve"> No. 77 of 1985 s. 11; No. 48 of 1989 s. 21; No. 63 of 1990 s. 5 and 19; No. 32 of 2016 s. 50.] </w:t>
      </w:r>
    </w:p>
    <w:p>
      <w:pPr>
        <w:pStyle w:val="Heading2"/>
      </w:pPr>
      <w:bookmarkStart w:id="40" w:name="_Toc32485735"/>
      <w:bookmarkStart w:id="41" w:name="_Toc32485846"/>
      <w:bookmarkStart w:id="42" w:name="_Toc494452085"/>
      <w:r>
        <w:rPr>
          <w:rStyle w:val="CharPartNo"/>
        </w:rPr>
        <w:t>Part II</w:t>
      </w:r>
      <w:r>
        <w:rPr>
          <w:rStyle w:val="CharDivNo"/>
        </w:rPr>
        <w:t> </w:t>
      </w:r>
      <w:r>
        <w:t>—</w:t>
      </w:r>
      <w:r>
        <w:rPr>
          <w:rStyle w:val="CharDivText"/>
        </w:rPr>
        <w:t> </w:t>
      </w:r>
      <w:r>
        <w:rPr>
          <w:rStyle w:val="CharPartText"/>
        </w:rPr>
        <w:t>Edith Cowan University</w:t>
      </w:r>
      <w:bookmarkEnd w:id="40"/>
      <w:bookmarkEnd w:id="41"/>
      <w:bookmarkEnd w:id="42"/>
      <w:r>
        <w:rPr>
          <w:rStyle w:val="CharPartText"/>
        </w:rPr>
        <w:t xml:space="preserve"> </w:t>
      </w:r>
    </w:p>
    <w:p>
      <w:pPr>
        <w:pStyle w:val="Footnoteheading"/>
        <w:ind w:left="890"/>
        <w:rPr>
          <w:snapToGrid w:val="0"/>
        </w:rPr>
      </w:pPr>
      <w:r>
        <w:rPr>
          <w:snapToGrid w:val="0"/>
        </w:rPr>
        <w:tab/>
        <w:t>[Heading amended</w:t>
      </w:r>
      <w:del w:id="43" w:author="svcMRProcess" w:date="2020-02-24T13:05:00Z">
        <w:r>
          <w:rPr>
            <w:snapToGrid w:val="0"/>
          </w:rPr>
          <w:delText xml:space="preserve"> by</w:delText>
        </w:r>
      </w:del>
      <w:ins w:id="44" w:author="svcMRProcess" w:date="2020-02-24T13:05:00Z">
        <w:r>
          <w:rPr>
            <w:snapToGrid w:val="0"/>
          </w:rPr>
          <w:t>:</w:t>
        </w:r>
      </w:ins>
      <w:r>
        <w:rPr>
          <w:snapToGrid w:val="0"/>
        </w:rPr>
        <w:t xml:space="preserve"> No. 63 of 1990 s. 19; No. 32 of 2016 s. 51.] </w:t>
      </w:r>
    </w:p>
    <w:p>
      <w:pPr>
        <w:pStyle w:val="Heading5"/>
        <w:rPr>
          <w:snapToGrid w:val="0"/>
        </w:rPr>
      </w:pPr>
      <w:bookmarkStart w:id="45" w:name="_Toc32485847"/>
      <w:bookmarkStart w:id="46" w:name="_Toc494452086"/>
      <w:r>
        <w:rPr>
          <w:rStyle w:val="CharSectno"/>
        </w:rPr>
        <w:t>4</w:t>
      </w:r>
      <w:r>
        <w:rPr>
          <w:snapToGrid w:val="0"/>
        </w:rPr>
        <w:t>.</w:t>
      </w:r>
      <w:r>
        <w:rPr>
          <w:snapToGrid w:val="0"/>
        </w:rPr>
        <w:tab/>
        <w:t>Establishment</w:t>
      </w:r>
      <w:bookmarkEnd w:id="45"/>
      <w:bookmarkEnd w:id="46"/>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del w:id="47" w:author="svcMRProcess" w:date="2020-02-24T13:05:00Z">
        <w:r>
          <w:rPr>
            <w:snapToGrid w:val="0"/>
            <w:vertAlign w:val="superscript"/>
          </w:rPr>
          <w:delText> 1</w:delText>
        </w:r>
      </w:del>
      <w:r>
        <w:rPr>
          <w:snapToGrid w:val="0"/>
        </w:rPr>
        <w:t xml:space="preserve"> (in this section referred to as </w:t>
      </w:r>
      <w:r>
        <w:t>the</w:t>
      </w:r>
      <w:r>
        <w:rPr>
          <w:rStyle w:val="CharDefText"/>
        </w:rPr>
        <w:t xml:space="preserve"> commencement day</w:t>
      </w:r>
      <w:r>
        <w:rPr>
          <w:snapToGrid w:val="0"/>
        </w:rPr>
        <w:t xml:space="preserve">)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w:t>
      </w:r>
      <w:r>
        <w:t>called</w:t>
      </w:r>
      <w:r>
        <w:rPr>
          <w:snapToGrid w:val="0"/>
        </w:rPr>
        <w:t xml:space="preserv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 or</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 xml:space="preserve">shall be construed as if it had been amended to be a reference to </w:t>
      </w:r>
      <w:r>
        <w:t>Edith</w:t>
      </w:r>
      <w:r>
        <w:rPr>
          <w:snapToGrid w:val="0"/>
        </w:rPr>
        <w:t xml:space="preserve"> Cowan University, unless because of the context it would be inappropriate to construe the reference in that manner.</w:t>
      </w:r>
    </w:p>
    <w:p>
      <w:pPr>
        <w:pStyle w:val="Footnotesection"/>
      </w:pPr>
      <w:r>
        <w:tab/>
        <w:t>[Section 4 inserted</w:t>
      </w:r>
      <w:del w:id="48" w:author="svcMRProcess" w:date="2020-02-24T13:05:00Z">
        <w:r>
          <w:delText xml:space="preserve"> by</w:delText>
        </w:r>
      </w:del>
      <w:ins w:id="49" w:author="svcMRProcess" w:date="2020-02-24T13:05:00Z">
        <w:r>
          <w:t>:</w:t>
        </w:r>
      </w:ins>
      <w:r>
        <w:t xml:space="preserve"> No. 63 of 1990 s. 6; amended</w:t>
      </w:r>
      <w:del w:id="50" w:author="svcMRProcess" w:date="2020-02-24T13:05:00Z">
        <w:r>
          <w:delText xml:space="preserve"> by</w:delText>
        </w:r>
      </w:del>
      <w:ins w:id="51" w:author="svcMRProcess" w:date="2020-02-24T13:05:00Z">
        <w:r>
          <w:t>:</w:t>
        </w:r>
      </w:ins>
      <w:r>
        <w:t xml:space="preserve"> No. 32 of 2016 s. 52.] </w:t>
      </w:r>
    </w:p>
    <w:p>
      <w:pPr>
        <w:pStyle w:val="Heading5"/>
        <w:rPr>
          <w:snapToGrid w:val="0"/>
        </w:rPr>
      </w:pPr>
      <w:bookmarkStart w:id="52" w:name="_Toc32485848"/>
      <w:bookmarkStart w:id="53" w:name="_Toc494452087"/>
      <w:r>
        <w:rPr>
          <w:rStyle w:val="CharSectno"/>
        </w:rPr>
        <w:t>5</w:t>
      </w:r>
      <w:r>
        <w:rPr>
          <w:snapToGrid w:val="0"/>
        </w:rPr>
        <w:t>.</w:t>
      </w:r>
      <w:r>
        <w:rPr>
          <w:snapToGrid w:val="0"/>
        </w:rPr>
        <w:tab/>
        <w:t>Constitution and powers</w:t>
      </w:r>
      <w:bookmarkEnd w:id="52"/>
      <w:bookmarkEnd w:id="53"/>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r>
        <w:t xml:space="preserve"> and</w:t>
      </w:r>
    </w:p>
    <w:p>
      <w:pPr>
        <w:pStyle w:val="Indenta"/>
        <w:spacing w:before="100"/>
        <w:rPr>
          <w:snapToGrid w:val="0"/>
        </w:rPr>
      </w:pPr>
      <w:r>
        <w:rPr>
          <w:snapToGrid w:val="0"/>
        </w:rPr>
        <w:tab/>
        <w:t>(b)</w:t>
      </w:r>
      <w:r>
        <w:rPr>
          <w:snapToGrid w:val="0"/>
        </w:rPr>
        <w:tab/>
        <w:t>shall have a common seal;</w:t>
      </w:r>
      <w:r>
        <w:t xml:space="preserve"> and</w:t>
      </w:r>
    </w:p>
    <w:p>
      <w:pPr>
        <w:pStyle w:val="Indenta"/>
        <w:spacing w:before="100"/>
        <w:rPr>
          <w:snapToGrid w:val="0"/>
        </w:rPr>
      </w:pPr>
      <w:r>
        <w:rPr>
          <w:snapToGrid w:val="0"/>
        </w:rPr>
        <w:tab/>
        <w:t>(c)</w:t>
      </w:r>
      <w:r>
        <w:rPr>
          <w:snapToGrid w:val="0"/>
        </w:rPr>
        <w:tab/>
        <w:t>may sue and be sued in any court;</w:t>
      </w:r>
      <w:r>
        <w:t xml:space="preserve"> and</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r>
        <w:t xml:space="preserve"> and</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r>
        <w:t xml:space="preserve"> and</w:t>
      </w:r>
    </w:p>
    <w:p>
      <w:pPr>
        <w:pStyle w:val="Indenta"/>
        <w:spacing w:before="100"/>
        <w:rPr>
          <w:snapToGrid w:val="0"/>
        </w:rPr>
      </w:pPr>
      <w:r>
        <w:rPr>
          <w:snapToGrid w:val="0"/>
        </w:rPr>
        <w:tab/>
        <w:t>(ea)</w:t>
      </w:r>
      <w:r>
        <w:rPr>
          <w:snapToGrid w:val="0"/>
        </w:rPr>
        <w:tab/>
        <w:t xml:space="preserve">may grant leases of land vested in the University under section 28 for a term not exceeding 99 years subject, where the term exceeds 21 years, to the approval of the </w:t>
      </w:r>
      <w:r>
        <w:t>Minister; and</w:t>
      </w:r>
    </w:p>
    <w:p>
      <w:pPr>
        <w:pStyle w:val="Indenta"/>
      </w:pPr>
      <w:r>
        <w:tab/>
        <w:t>(eb)</w:t>
      </w:r>
      <w:r>
        <w:tab/>
        <w:t>may enter into business arrangements; and</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w:t>
      </w:r>
      <w:del w:id="54" w:author="svcMRProcess" w:date="2020-02-24T13:05:00Z">
        <w:r>
          <w:delText xml:space="preserve"> by</w:delText>
        </w:r>
      </w:del>
      <w:ins w:id="55" w:author="svcMRProcess" w:date="2020-02-24T13:05:00Z">
        <w:r>
          <w:t>:</w:t>
        </w:r>
      </w:ins>
      <w:r>
        <w:t xml:space="preserve"> No. 63 of 1990 s. 7 and 19; No.</w:t>
      </w:r>
      <w:r>
        <w:rPr>
          <w:sz w:val="28"/>
        </w:rPr>
        <w:t> </w:t>
      </w:r>
      <w:r>
        <w:t xml:space="preserve">8 of 2005 s. 14; No. 32 of 2016 s. 53.] </w:t>
      </w:r>
    </w:p>
    <w:p>
      <w:pPr>
        <w:pStyle w:val="Heading5"/>
        <w:rPr>
          <w:snapToGrid w:val="0"/>
        </w:rPr>
      </w:pPr>
      <w:bookmarkStart w:id="56" w:name="_Toc32485849"/>
      <w:bookmarkStart w:id="57" w:name="_Toc494452088"/>
      <w:r>
        <w:rPr>
          <w:rStyle w:val="CharSectno"/>
        </w:rPr>
        <w:t>6</w:t>
      </w:r>
      <w:r>
        <w:rPr>
          <w:snapToGrid w:val="0"/>
        </w:rPr>
        <w:t>.</w:t>
      </w:r>
      <w:r>
        <w:rPr>
          <w:snapToGrid w:val="0"/>
        </w:rPr>
        <w:tab/>
        <w:t>Common seal</w:t>
      </w:r>
      <w:bookmarkEnd w:id="56"/>
      <w:bookmarkEnd w:id="57"/>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[Section 6 amended</w:t>
      </w:r>
      <w:del w:id="58" w:author="svcMRProcess" w:date="2020-02-24T13:05:00Z">
        <w:r>
          <w:delText xml:space="preserve"> by</w:delText>
        </w:r>
      </w:del>
      <w:ins w:id="59" w:author="svcMRProcess" w:date="2020-02-24T13:05:00Z">
        <w:r>
          <w:t>:</w:t>
        </w:r>
      </w:ins>
      <w:r>
        <w:t xml:space="preserve"> No. 63 of 1990 s. 19.] </w:t>
      </w:r>
    </w:p>
    <w:p>
      <w:pPr>
        <w:pStyle w:val="Heading5"/>
      </w:pPr>
      <w:bookmarkStart w:id="60" w:name="_Toc32485850"/>
      <w:bookmarkStart w:id="61" w:name="_Toc494452089"/>
      <w:r>
        <w:rPr>
          <w:rStyle w:val="CharSectno"/>
        </w:rPr>
        <w:t>7</w:t>
      </w:r>
      <w:r>
        <w:t>.</w:t>
      </w:r>
      <w:r>
        <w:tab/>
        <w:t>Functions of the University</w:t>
      </w:r>
      <w:bookmarkEnd w:id="60"/>
      <w:bookmarkEnd w:id="61"/>
      <w:r>
        <w:t xml:space="preserve"> </w:t>
      </w:r>
    </w:p>
    <w:p>
      <w:pPr>
        <w:pStyle w:val="Subsection"/>
      </w:pPr>
      <w:r>
        <w:tab/>
        <w:t>(1)</w:t>
      </w:r>
      <w:r>
        <w:tab/>
        <w:t>The functions of the University include the following — </w:t>
      </w:r>
    </w:p>
    <w:p>
      <w:pPr>
        <w:pStyle w:val="Indenta"/>
      </w:pPr>
      <w:r>
        <w:tab/>
        <w:t>(a)</w:t>
      </w:r>
      <w:r>
        <w:tab/>
        <w:t>to provide, on a full</w:t>
      </w:r>
      <w:r>
        <w:noBreakHyphen/>
        <w:t>time or part</w:t>
      </w:r>
      <w:r>
        <w:noBreakHyphen/>
        <w:t>time basis, courses of study appropriate to a university, and other tertiary courses;</w:t>
      </w:r>
    </w:p>
    <w:p>
      <w:pPr>
        <w:pStyle w:val="Indenta"/>
      </w:pPr>
      <w:r>
        <w:tab/>
        <w:t>(b)</w:t>
      </w:r>
      <w:r>
        <w:tab/>
        <w:t>to encourage and participate in the development and improvement of tertiary education;</w:t>
      </w:r>
    </w:p>
    <w:p>
      <w:pPr>
        <w:pStyle w:val="Indenta"/>
      </w:pPr>
      <w:r>
        <w:tab/>
        <w:t>(c)</w:t>
      </w:r>
      <w:r>
        <w:tab/>
        <w:t>to provide other courses of study approved by the Council;</w:t>
      </w:r>
    </w:p>
    <w:p>
      <w:pPr>
        <w:pStyle w:val="Indenta"/>
      </w:pPr>
      <w:r>
        <w:tab/>
        <w:t>(d)</w:t>
      </w:r>
      <w:r>
        <w:tab/>
        <w:t xml:space="preserve">to undertake, aid or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p>
    <w:p>
      <w:pPr>
        <w:pStyle w:val="Indenta"/>
      </w:pPr>
      <w:r>
        <w:tab/>
        <w:t>(f)</w:t>
      </w:r>
      <w:r>
        <w:tab/>
        <w:t>to generate revenue for the purposes of funding the carrying out of its functions;</w:t>
      </w:r>
    </w:p>
    <w:p>
      <w:pPr>
        <w:pStyle w:val="Indenta"/>
      </w:pPr>
      <w:r>
        <w:tab/>
        <w:t>(g)</w:t>
      </w:r>
      <w:r>
        <w:tab/>
        <w:t>to foster the general welfare and development of all enrolled students;</w:t>
      </w:r>
    </w:p>
    <w:p>
      <w:pPr>
        <w:pStyle w:val="Indenta"/>
      </w:pPr>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p>
    <w:p>
      <w:pPr>
        <w:pStyle w:val="Indenta"/>
      </w:pPr>
      <w:r>
        <w:tab/>
        <w:t>(i)</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international,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(j)</w:t>
      </w:r>
      <w:r>
        <w:tab/>
        <w:t>to provide whatever facilities relating to its functions the Council thinks necessary or conducive to their attainment.</w:t>
      </w:r>
    </w:p>
    <w:p>
      <w:pPr>
        <w:pStyle w:val="Subsection"/>
      </w:pPr>
      <w:r>
        <w:tab/>
        <w:t>(2)</w:t>
      </w:r>
      <w:r>
        <w:tab/>
        <w:t>The University has all the powers, rights and privileges it reasonably needs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[Section 7 inserted</w:t>
      </w:r>
      <w:del w:id="62" w:author="svcMRProcess" w:date="2020-02-24T13:05:00Z">
        <w:r>
          <w:delText xml:space="preserve"> by</w:delText>
        </w:r>
      </w:del>
      <w:ins w:id="63" w:author="svcMRProcess" w:date="2020-02-24T13:05:00Z">
        <w:r>
          <w:t>:</w:t>
        </w:r>
      </w:ins>
      <w:r>
        <w:t xml:space="preserve"> No. 32 of 2016 s. 54.] </w:t>
      </w:r>
    </w:p>
    <w:p>
      <w:pPr>
        <w:pStyle w:val="Heading2"/>
      </w:pPr>
      <w:bookmarkStart w:id="64" w:name="_Toc32485740"/>
      <w:bookmarkStart w:id="65" w:name="_Toc32485851"/>
      <w:bookmarkStart w:id="66" w:name="_Toc494452090"/>
      <w:r>
        <w:rPr>
          <w:rStyle w:val="CharPartNo"/>
        </w:rPr>
        <w:t>Part III</w:t>
      </w:r>
      <w:r>
        <w:rPr>
          <w:rStyle w:val="CharDivNo"/>
        </w:rPr>
        <w:t> </w:t>
      </w:r>
      <w:r>
        <w:t>—</w:t>
      </w:r>
      <w:r>
        <w:rPr>
          <w:rStyle w:val="CharDivText"/>
        </w:rPr>
        <w:t> </w:t>
      </w:r>
      <w:r>
        <w:rPr>
          <w:rStyle w:val="CharPartText"/>
        </w:rPr>
        <w:t>The Council of the University</w:t>
      </w:r>
      <w:bookmarkEnd w:id="64"/>
      <w:bookmarkEnd w:id="65"/>
      <w:bookmarkEnd w:id="66"/>
      <w:r>
        <w:rPr>
          <w:rStyle w:val="CharPartText"/>
        </w:rPr>
        <w:t xml:space="preserve"> </w:t>
      </w:r>
    </w:p>
    <w:p>
      <w:pPr>
        <w:pStyle w:val="Footnoteheading"/>
        <w:ind w:left="890"/>
        <w:rPr>
          <w:snapToGrid w:val="0"/>
        </w:rPr>
      </w:pPr>
      <w:r>
        <w:rPr>
          <w:snapToGrid w:val="0"/>
        </w:rPr>
        <w:tab/>
        <w:t>[Heading amended</w:t>
      </w:r>
      <w:del w:id="67" w:author="svcMRProcess" w:date="2020-02-24T13:05:00Z">
        <w:r>
          <w:rPr>
            <w:snapToGrid w:val="0"/>
          </w:rPr>
          <w:delText xml:space="preserve"> by</w:delText>
        </w:r>
      </w:del>
      <w:ins w:id="68" w:author="svcMRProcess" w:date="2020-02-24T13:05:00Z">
        <w:r>
          <w:rPr>
            <w:snapToGrid w:val="0"/>
          </w:rPr>
          <w:t>:</w:t>
        </w:r>
      </w:ins>
      <w:r>
        <w:rPr>
          <w:snapToGrid w:val="0"/>
        </w:rPr>
        <w:t xml:space="preserve"> No. 63 of 1990 s. 19.] </w:t>
      </w:r>
    </w:p>
    <w:p>
      <w:pPr>
        <w:pStyle w:val="Heading5"/>
        <w:spacing w:before="240"/>
        <w:rPr>
          <w:snapToGrid w:val="0"/>
        </w:rPr>
      </w:pPr>
      <w:bookmarkStart w:id="69" w:name="_Toc32485852"/>
      <w:bookmarkStart w:id="70" w:name="_Toc494452091"/>
      <w:r>
        <w:rPr>
          <w:rStyle w:val="CharSectno"/>
        </w:rPr>
        <w:t>8</w:t>
      </w:r>
      <w:r>
        <w:rPr>
          <w:snapToGrid w:val="0"/>
        </w:rPr>
        <w:t>.</w:t>
      </w:r>
      <w:r>
        <w:rPr>
          <w:snapToGrid w:val="0"/>
        </w:rPr>
        <w:tab/>
        <w:t>The Council</w:t>
      </w:r>
      <w:bookmarkEnd w:id="69"/>
      <w:bookmarkEnd w:id="70"/>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[Section 8 amended</w:t>
      </w:r>
      <w:del w:id="71" w:author="svcMRProcess" w:date="2020-02-24T13:05:00Z">
        <w:r>
          <w:delText xml:space="preserve"> by</w:delText>
        </w:r>
      </w:del>
      <w:ins w:id="72" w:author="svcMRProcess" w:date="2020-02-24T13:05:00Z">
        <w:r>
          <w:t>:</w:t>
        </w:r>
      </w:ins>
      <w:r>
        <w:t xml:space="preserve"> No. 63 of 1990 s. 19.] </w:t>
      </w:r>
    </w:p>
    <w:p>
      <w:pPr>
        <w:pStyle w:val="Heading5"/>
        <w:spacing w:before="240"/>
        <w:rPr>
          <w:snapToGrid w:val="0"/>
        </w:rPr>
      </w:pPr>
      <w:bookmarkStart w:id="73" w:name="_Toc32485853"/>
      <w:bookmarkStart w:id="74" w:name="_Toc494452092"/>
      <w:r>
        <w:rPr>
          <w:rStyle w:val="CharSectno"/>
        </w:rPr>
        <w:t>9</w:t>
      </w:r>
      <w:r>
        <w:rPr>
          <w:snapToGrid w:val="0"/>
        </w:rPr>
        <w:t>.</w:t>
      </w:r>
      <w:r>
        <w:rPr>
          <w:snapToGrid w:val="0"/>
        </w:rPr>
        <w:tab/>
        <w:t>Constitution of the Council</w:t>
      </w:r>
      <w:bookmarkEnd w:id="73"/>
      <w:bookmarkEnd w:id="74"/>
      <w:r>
        <w:rPr>
          <w:snapToGrid w:val="0"/>
        </w:rPr>
        <w:t xml:space="preserve"> </w:t>
      </w:r>
    </w:p>
    <w:p>
      <w:pPr>
        <w:pStyle w:val="Subsection"/>
      </w:pPr>
      <w:r>
        <w:tab/>
        <w:t>(1)</w:t>
      </w:r>
      <w:r>
        <w:tab/>
        <w:t>The Council consists of the following members — </w:t>
      </w:r>
    </w:p>
    <w:p>
      <w:pPr>
        <w:pStyle w:val="Indenta"/>
      </w:pPr>
      <w:r>
        <w:tab/>
        <w:t>(a)</w:t>
      </w:r>
      <w:r>
        <w:tab/>
        <w:t xml:space="preserve">3 persons appointed by the Governor on the recommendation of the Minister; </w:t>
      </w:r>
    </w:p>
    <w:p>
      <w:pPr>
        <w:pStyle w:val="Indenta"/>
      </w:pPr>
      <w:r>
        <w:tab/>
        <w:t>(b)</w:t>
      </w:r>
      <w:r>
        <w:tab/>
        <w:t xml:space="preserve">the person for the time being the chairperson of the Academic Board; </w:t>
      </w:r>
    </w:p>
    <w:p>
      <w:pPr>
        <w:pStyle w:val="Indenta"/>
      </w:pPr>
      <w:r>
        <w:tab/>
        <w:t>(c)</w:t>
      </w:r>
      <w:r>
        <w:tab/>
        <w:t>the Vice</w:t>
      </w:r>
      <w:r>
        <w:noBreakHyphen/>
        <w:t xml:space="preserve">Chancellor; </w:t>
      </w:r>
    </w:p>
    <w:p>
      <w:pPr>
        <w:pStyle w:val="Indenta"/>
      </w:pPr>
      <w:r>
        <w:tab/>
        <w:t>(d)</w:t>
      </w:r>
      <w:r>
        <w:tab/>
        <w:t xml:space="preserve">one person who is a member of the academic staff of the University and who is elected by the academic staff of the University in the manner prescribed by Statute; </w:t>
      </w:r>
    </w:p>
    <w:p>
      <w:pPr>
        <w:pStyle w:val="Indenta"/>
      </w:pPr>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(f)</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(g)</w:t>
      </w:r>
      <w:r>
        <w:tab/>
        <w:t>2 persons who are Alumni of the University and who are elected by the Alumni of the University in the manner prescribed by Statute;</w:t>
      </w:r>
    </w:p>
    <w:p>
      <w:pPr>
        <w:pStyle w:val="Indenta"/>
      </w:pPr>
      <w:r>
        <w:tab/>
        <w:t>(h)</w:t>
      </w:r>
      <w:r>
        <w:tab/>
        <w:t>not more than 5 persons appointed from time to time by co</w:t>
      </w:r>
      <w:r>
        <w:noBreakHyphen/>
        <w:t xml:space="preserve">option by the Council; </w:t>
      </w:r>
    </w:p>
    <w:p>
      <w:pPr>
        <w:pStyle w:val="Indenta"/>
      </w:pPr>
      <w:r>
        <w:tab/>
        <w:t>(i)</w:t>
      </w:r>
      <w:r>
        <w:tab/>
        <w:t>if they are not already a member under paragraphs (a) to (h), the Chancellor.</w:t>
      </w:r>
    </w:p>
    <w:p>
      <w:pPr>
        <w:pStyle w:val="Subsection"/>
      </w:pPr>
      <w:r>
        <w:tab/>
        <w:t>(2)</w:t>
      </w:r>
      <w:r>
        <w:tab/>
        <w:t>The fact that a person holds an elective office (for example, an elective office of the Student Guild) does not disqualify that person being appointed or holding office under subsection (1).</w:t>
      </w:r>
    </w:p>
    <w:p>
      <w:pPr>
        <w:pStyle w:val="Subsection"/>
      </w:pPr>
      <w:r>
        <w:tab/>
        <w:t>(3)</w:t>
      </w:r>
      <w:r>
        <w:tab/>
        <w:t>The following persons are not eligible to be a member under subsection (1)(a) or (h)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The following persons are not eligible to be a member under subsection (1)(f)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The following persons are not eligible to be a member under subsection (1)(g)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w:t>
      </w:r>
      <w:del w:id="75" w:author="svcMRProcess" w:date="2020-02-24T13:05:00Z">
        <w:r>
          <w:delText xml:space="preserve"> by</w:delText>
        </w:r>
      </w:del>
      <w:ins w:id="76" w:author="svcMRProcess" w:date="2020-02-24T13:05:00Z">
        <w:r>
          <w:t>:</w:t>
        </w:r>
      </w:ins>
      <w:r>
        <w:t xml:space="preserve"> No. 63 of 1990 s. 9 and 19; No. 22 of 1996 s. 16(4); No. 10 of 1998 s. 30(1); No. 36 of 1999 s. 247; No. 74 of 2003 s. 46(4); No.</w:t>
      </w:r>
      <w:r>
        <w:rPr>
          <w:sz w:val="28"/>
        </w:rPr>
        <w:t> </w:t>
      </w:r>
      <w:r>
        <w:t xml:space="preserve">8 of 2005 s. 15; No. 32 of 2016 s. 55.] </w:t>
      </w:r>
    </w:p>
    <w:p>
      <w:pPr>
        <w:pStyle w:val="Heading5"/>
      </w:pPr>
      <w:bookmarkStart w:id="77" w:name="_Toc32485854"/>
      <w:bookmarkStart w:id="78" w:name="_Toc494452093"/>
      <w:r>
        <w:rPr>
          <w:rStyle w:val="CharSectno"/>
        </w:rPr>
        <w:t>9A</w:t>
      </w:r>
      <w:r>
        <w:t>.</w:t>
      </w:r>
      <w:r>
        <w:tab/>
        <w:t>Nominations Committee</w:t>
      </w:r>
      <w:bookmarkEnd w:id="77"/>
      <w:bookmarkEnd w:id="78"/>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of the Council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chairperson of the Academic Board;</w:t>
      </w:r>
    </w:p>
    <w:p>
      <w:pPr>
        <w:pStyle w:val="Indenta"/>
      </w:pPr>
      <w:r>
        <w:tab/>
        <w:t>(c)</w:t>
      </w:r>
      <w:r>
        <w:tab/>
        <w:t>the member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members referred to in section 9(1)(g).</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an Advisory Board who is appointed by the Council;</w:t>
      </w:r>
    </w:p>
    <w:p>
      <w:pPr>
        <w:pStyle w:val="Indenta"/>
      </w:pPr>
      <w:r>
        <w:tab/>
        <w:t>(b)</w:t>
      </w:r>
      <w:r>
        <w:tab/>
        <w:t>to recommend to the Minister suitable candidates to a vacancy or casual vacancy in the office of any member who is appointed under section 9(1)(a);</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does not prevent the person from being appointed or holding office under section 9(1).</w:t>
      </w:r>
    </w:p>
    <w:p>
      <w:pPr>
        <w:pStyle w:val="Subsection"/>
      </w:pPr>
      <w:r>
        <w:tab/>
        <w:t>(6)</w:t>
      </w:r>
      <w:r>
        <w:tab/>
        <w:t>The Nominations Committee may regulate its own procedure, but it must comply with any direction given by Council.</w:t>
      </w:r>
    </w:p>
    <w:p>
      <w:pPr>
        <w:pStyle w:val="Footnotesection"/>
      </w:pPr>
      <w:r>
        <w:tab/>
        <w:t>[Section 9A inserted</w:t>
      </w:r>
      <w:del w:id="79" w:author="svcMRProcess" w:date="2020-02-24T13:05:00Z">
        <w:r>
          <w:delText xml:space="preserve"> by</w:delText>
        </w:r>
      </w:del>
      <w:ins w:id="80" w:author="svcMRProcess" w:date="2020-02-24T13:05:00Z">
        <w:r>
          <w:t>:</w:t>
        </w:r>
      </w:ins>
      <w:r>
        <w:t xml:space="preserve"> No. 32 of 2016 s. 56.] </w:t>
      </w:r>
    </w:p>
    <w:p>
      <w:pPr>
        <w:pStyle w:val="Heading5"/>
      </w:pPr>
      <w:bookmarkStart w:id="81" w:name="_Toc32485855"/>
      <w:bookmarkStart w:id="82" w:name="_Toc494452094"/>
      <w:r>
        <w:rPr>
          <w:rStyle w:val="CharSectno"/>
        </w:rPr>
        <w:t>10</w:t>
      </w:r>
      <w:r>
        <w:t>.</w:t>
      </w:r>
      <w:r>
        <w:tab/>
        <w:t>Term of office</w:t>
      </w:r>
      <w:bookmarkEnd w:id="81"/>
      <w:bookmarkEnd w:id="82"/>
      <w:r>
        <w:t xml:space="preserve"> </w:t>
      </w:r>
    </w:p>
    <w:p>
      <w:pPr>
        <w:pStyle w:val="Subsection"/>
      </w:pPr>
      <w:r>
        <w:tab/>
        <w:t>(1)</w:t>
      </w:r>
      <w:r>
        <w:tab/>
        <w:t xml:space="preserve">Subject to section 11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9(1)(d), (e) or (g) holds office for a period of 3 years, commencing on the day their election takes effect, unless a shorter term of office is specified under subsection (5);</w:t>
      </w:r>
    </w:p>
    <w:p>
      <w:pPr>
        <w:pStyle w:val="Indenta"/>
      </w:pPr>
      <w:r>
        <w:tab/>
        <w:t>(c)</w:t>
      </w:r>
      <w:r>
        <w:tab/>
        <w:t>a member elected under section 9(1)(f) holds office for a period of one year commencing on the day their election takes effect, unless a shorter term of office is specified under subsection (5).</w:t>
      </w:r>
    </w:p>
    <w:p>
      <w:pPr>
        <w:pStyle w:val="Subsection"/>
      </w:pPr>
      <w:r>
        <w:tab/>
        <w:t>(2)</w:t>
      </w:r>
      <w:r>
        <w:tab/>
        <w:t>All retiring members are, unless otherwise disqualified, eligible for reappointment or re</w:t>
      </w:r>
      <w:r>
        <w:noBreakHyphen/>
        <w:t>election.</w:t>
      </w:r>
    </w:p>
    <w:p>
      <w:pPr>
        <w:pStyle w:val="Subsection"/>
      </w:pPr>
      <w:r>
        <w:tab/>
        <w:t>(3)</w:t>
      </w:r>
      <w:r>
        <w:tab/>
        <w:t xml:space="preserve">However — </w:t>
      </w:r>
    </w:p>
    <w:p>
      <w:pPr>
        <w:pStyle w:val="Indenta"/>
      </w:pPr>
      <w:r>
        <w:tab/>
        <w:t>(a)</w:t>
      </w:r>
      <w:r>
        <w:tab/>
        <w:t>a member elected under section 9(1)(f) is not eligible for re</w:t>
      </w:r>
      <w:r>
        <w:noBreakHyphen/>
        <w:t>election more than once;</w:t>
      </w:r>
    </w:p>
    <w:p>
      <w:pPr>
        <w:pStyle w:val="Indenta"/>
      </w:pPr>
      <w:r>
        <w:tab/>
        <w:t>(b)</w:t>
      </w:r>
      <w:r>
        <w:tab/>
        <w:t>a member other than a member elected under section 9(1)(f) is not eligible to be reappointed or re</w:t>
      </w:r>
      <w:r>
        <w:noBreakHyphen/>
        <w:t>elected on the expiry of a third successive term of office until 12 months have elapsed after that expiry;</w:t>
      </w:r>
    </w:p>
    <w:p>
      <w:pPr>
        <w:pStyle w:val="Indenta"/>
      </w:pPr>
      <w:r>
        <w:tab/>
        <w:t>(c)</w:t>
      </w:r>
      <w:r>
        <w:tab/>
        <w:t>a member who is removed from office by the Council under section 11A is not eligible to be a member again until 5 years have elapsed since the removal.</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[Section 10 inserted</w:t>
      </w:r>
      <w:del w:id="83" w:author="svcMRProcess" w:date="2020-02-24T13:05:00Z">
        <w:r>
          <w:delText xml:space="preserve"> by</w:delText>
        </w:r>
      </w:del>
      <w:ins w:id="84" w:author="svcMRProcess" w:date="2020-02-24T13:05:00Z">
        <w:r>
          <w:t>:</w:t>
        </w:r>
      </w:ins>
      <w:r>
        <w:t xml:space="preserve"> No. 32 of 2016 s. 56.] </w:t>
      </w:r>
    </w:p>
    <w:p>
      <w:pPr>
        <w:pStyle w:val="Heading5"/>
      </w:pPr>
      <w:bookmarkStart w:id="85" w:name="_Toc32485856"/>
      <w:bookmarkStart w:id="86" w:name="_Toc494452095"/>
      <w:r>
        <w:rPr>
          <w:rStyle w:val="CharSectno"/>
        </w:rPr>
        <w:t>10A</w:t>
      </w:r>
      <w:r>
        <w:t>.</w:t>
      </w:r>
      <w:r>
        <w:tab/>
        <w:t>Members’ duties</w:t>
      </w:r>
      <w:bookmarkEnd w:id="85"/>
      <w:bookmarkEnd w:id="86"/>
    </w:p>
    <w:p>
      <w:pPr>
        <w:pStyle w:val="Subsection"/>
      </w:pPr>
      <w:r>
        <w:tab/>
      </w:r>
      <w:r>
        <w:tab/>
        <w:t>Schedule 1 Division 1 has effect.</w:t>
      </w:r>
    </w:p>
    <w:p>
      <w:pPr>
        <w:pStyle w:val="Footnotesection"/>
      </w:pPr>
      <w:r>
        <w:tab/>
        <w:t>[Section 10A inserted</w:t>
      </w:r>
      <w:del w:id="87" w:author="svcMRProcess" w:date="2020-02-24T13:05:00Z">
        <w:r>
          <w:delText xml:space="preserve"> by</w:delText>
        </w:r>
      </w:del>
      <w:ins w:id="88" w:author="svcMRProcess" w:date="2020-02-24T13:05:00Z">
        <w:r>
          <w:t>:</w:t>
        </w:r>
      </w:ins>
      <w:r>
        <w:t xml:space="preserve"> No.</w:t>
      </w:r>
      <w:r>
        <w:rPr>
          <w:sz w:val="28"/>
        </w:rPr>
        <w:t> </w:t>
      </w:r>
      <w:r>
        <w:t>8 of 2005 s. 18.]</w:t>
      </w:r>
    </w:p>
    <w:p>
      <w:pPr>
        <w:pStyle w:val="Heading5"/>
      </w:pPr>
      <w:bookmarkStart w:id="89" w:name="_Toc32485857"/>
      <w:bookmarkStart w:id="90" w:name="_Toc494452096"/>
      <w:r>
        <w:rPr>
          <w:rStyle w:val="CharSectno"/>
        </w:rPr>
        <w:t>11</w:t>
      </w:r>
      <w:r>
        <w:t>.</w:t>
      </w:r>
      <w:r>
        <w:tab/>
        <w:t>Vacation of office</w:t>
      </w:r>
      <w:bookmarkEnd w:id="89"/>
      <w:bookmarkEnd w:id="90"/>
    </w:p>
    <w:p>
      <w:pPr>
        <w:pStyle w:val="Subsection"/>
      </w:pPr>
      <w:r>
        <w:tab/>
      </w:r>
      <w:r>
        <w:tab/>
        <w:t>The office of a member becomes vacant if — </w:t>
      </w:r>
    </w:p>
    <w:p>
      <w:pPr>
        <w:pStyle w:val="Indenta"/>
      </w:pPr>
      <w:r>
        <w:tab/>
        <w:t>(a)</w:t>
      </w:r>
      <w:r>
        <w:tab/>
        <w:t>the member resigns their office by written notice given to the Minister; or</w:t>
      </w:r>
    </w:p>
    <w:p>
      <w:pPr>
        <w:pStyle w:val="Indenta"/>
      </w:pPr>
      <w:r>
        <w:tab/>
        <w:t>(b)</w:t>
      </w:r>
      <w:r>
        <w:tab/>
        <w:t xml:space="preserve">the member is a person in respect of whom an administration order is in force under the </w:t>
      </w:r>
      <w:r>
        <w:rPr>
          <w:i/>
        </w:rPr>
        <w:t>Guardianship and Administration Act 1990</w:t>
      </w:r>
      <w:r>
        <w:t xml:space="preserve"> Part 6;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pPr>
      <w:r>
        <w:tab/>
        <w:t>(d)</w:t>
      </w:r>
      <w:r>
        <w:tab/>
        <w:t>the member is convicted of an indictable offence; or</w:t>
      </w:r>
    </w:p>
    <w:p>
      <w:pPr>
        <w:pStyle w:val="Indenta"/>
      </w:pPr>
      <w:r>
        <w:tab/>
        <w:t>(e)</w:t>
      </w:r>
      <w:r>
        <w:tab/>
        <w:t>the member is removed from office by the Council under section 11A; or</w:t>
      </w:r>
    </w:p>
    <w:p>
      <w:pPr>
        <w:pStyle w:val="Indenta"/>
      </w:pPr>
      <w:r>
        <w:tab/>
        <w:t>(f)</w:t>
      </w:r>
      <w:r>
        <w:tab/>
        <w:t xml:space="preserve">the member is, or becomes, disqualified from managing corporations under the </w:t>
      </w:r>
      <w:r>
        <w:rPr>
          <w:i/>
        </w:rPr>
        <w:t>Corporations Act 2001</w:t>
      </w:r>
      <w:r>
        <w:t xml:space="preserve"> (Commonwealth) Part 2D.6; or</w:t>
      </w:r>
    </w:p>
    <w:p>
      <w:pPr>
        <w:pStyle w:val="Indenta"/>
      </w:pPr>
      <w:r>
        <w:tab/>
        <w:t>(g)</w:t>
      </w:r>
      <w:r>
        <w:tab/>
        <w:t>the member is absent without leave of the Council from 3 consecutive meetings of the Council; or</w:t>
      </w:r>
    </w:p>
    <w:p>
      <w:pPr>
        <w:pStyle w:val="Indenta"/>
      </w:pPr>
      <w:r>
        <w:tab/>
        <w:t>(h)</w:t>
      </w:r>
      <w:r>
        <w:tab/>
        <w:t>the member ceases to hold any qualification required for becoming or being a member; or</w:t>
      </w:r>
    </w:p>
    <w:p>
      <w:pPr>
        <w:pStyle w:val="Indenta"/>
      </w:pPr>
      <w:r>
        <w:tab/>
        <w:t>(i)</w:t>
      </w:r>
      <w:r>
        <w:tab/>
        <w:t>the member dies.</w:t>
      </w:r>
    </w:p>
    <w:p>
      <w:pPr>
        <w:pStyle w:val="Footnotesection"/>
      </w:pPr>
      <w:r>
        <w:tab/>
        <w:t>[Section 11 inserted</w:t>
      </w:r>
      <w:del w:id="91" w:author="svcMRProcess" w:date="2020-02-24T13:05:00Z">
        <w:r>
          <w:delText xml:space="preserve"> by</w:delText>
        </w:r>
      </w:del>
      <w:ins w:id="92" w:author="svcMRProcess" w:date="2020-02-24T13:05:00Z">
        <w:r>
          <w:t>:</w:t>
        </w:r>
      </w:ins>
      <w:r>
        <w:t xml:space="preserve"> No. 32 of 2016 s. 57.] </w:t>
      </w:r>
    </w:p>
    <w:p>
      <w:pPr>
        <w:pStyle w:val="Heading5"/>
      </w:pPr>
      <w:bookmarkStart w:id="93" w:name="_Toc32485858"/>
      <w:bookmarkStart w:id="94" w:name="_Toc494452097"/>
      <w:r>
        <w:rPr>
          <w:rStyle w:val="CharSectno"/>
        </w:rPr>
        <w:t>11A</w:t>
      </w:r>
      <w:r>
        <w:t>.</w:t>
      </w:r>
      <w:r>
        <w:tab/>
        <w:t>Removal of members for breach of certain duties and suspension pending removal</w:t>
      </w:r>
      <w:bookmarkEnd w:id="93"/>
      <w:bookmarkEnd w:id="94"/>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spacing w:before="120"/>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spacing w:before="120"/>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20"/>
      </w:pPr>
      <w:r>
        <w:tab/>
        <w:t>(6)</w:t>
      </w:r>
      <w:r>
        <w:tab/>
        <w:t>The Council cannot remove or suspend from office a member for breach of a duty mentioned in Schedule 1 clause 1(1), 2(1) or 3 except in accordance with this section.</w:t>
      </w:r>
    </w:p>
    <w:p>
      <w:pPr>
        <w:pStyle w:val="Subsection"/>
        <w:spacing w:before="120"/>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del w:id="95" w:author="svcMRProcess" w:date="2020-02-24T13:05:00Z">
        <w:r>
          <w:rPr>
            <w:vertAlign w:val="superscript"/>
          </w:rPr>
          <w:delText> 1</w:delText>
        </w:r>
      </w:del>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w:t>
      </w:r>
      <w:del w:id="96" w:author="svcMRProcess" w:date="2020-02-24T13:05:00Z">
        <w:r>
          <w:delText xml:space="preserve"> by</w:delText>
        </w:r>
      </w:del>
      <w:ins w:id="97" w:author="svcMRProcess" w:date="2020-02-24T13:05:00Z">
        <w:r>
          <w:t>:</w:t>
        </w:r>
      </w:ins>
      <w:r>
        <w:t xml:space="preserve"> No.</w:t>
      </w:r>
      <w:r>
        <w:rPr>
          <w:sz w:val="28"/>
        </w:rPr>
        <w:t> </w:t>
      </w:r>
      <w:r>
        <w:t>8 of 2005 s. 20; amended</w:t>
      </w:r>
      <w:del w:id="98" w:author="svcMRProcess" w:date="2020-02-24T13:05:00Z">
        <w:r>
          <w:delText xml:space="preserve"> by</w:delText>
        </w:r>
      </w:del>
      <w:ins w:id="99" w:author="svcMRProcess" w:date="2020-02-24T13:05:00Z">
        <w:r>
          <w:t>:</w:t>
        </w:r>
      </w:ins>
      <w:r>
        <w:t xml:space="preserve"> No. 32 of 2016 s. 58.]</w:t>
      </w:r>
    </w:p>
    <w:p>
      <w:pPr>
        <w:pStyle w:val="Heading5"/>
      </w:pPr>
      <w:bookmarkStart w:id="100" w:name="_Toc32485859"/>
      <w:bookmarkStart w:id="101" w:name="_Toc494452098"/>
      <w:r>
        <w:rPr>
          <w:rStyle w:val="CharSectno"/>
        </w:rPr>
        <w:t>11B</w:t>
      </w:r>
      <w:r>
        <w:t>.</w:t>
      </w:r>
      <w:r>
        <w:tab/>
        <w:t>Casual vacancies</w:t>
      </w:r>
      <w:bookmarkEnd w:id="100"/>
      <w:bookmarkEnd w:id="101"/>
    </w:p>
    <w:p>
      <w:pPr>
        <w:pStyle w:val="Subsection"/>
      </w:pPr>
      <w:r>
        <w:tab/>
      </w:r>
      <w:r>
        <w:tab/>
        <w:t>If a casual vacancy occurs in the office of a member, the vacancy is to be filled in the same way as if that member’s term of office had expired.</w:t>
      </w:r>
    </w:p>
    <w:p>
      <w:pPr>
        <w:pStyle w:val="Footnotesection"/>
      </w:pPr>
      <w:r>
        <w:tab/>
        <w:t>[Section 11B inserted</w:t>
      </w:r>
      <w:del w:id="102" w:author="svcMRProcess" w:date="2020-02-24T13:05:00Z">
        <w:r>
          <w:delText xml:space="preserve"> by</w:delText>
        </w:r>
      </w:del>
      <w:ins w:id="103" w:author="svcMRProcess" w:date="2020-02-24T13:05:00Z">
        <w:r>
          <w:t>:</w:t>
        </w:r>
      </w:ins>
      <w:r>
        <w:t xml:space="preserve"> No. 32 of 2016 s. 59.]</w:t>
      </w:r>
    </w:p>
    <w:p>
      <w:pPr>
        <w:pStyle w:val="Heading5"/>
        <w:rPr>
          <w:snapToGrid w:val="0"/>
        </w:rPr>
      </w:pPr>
      <w:bookmarkStart w:id="104" w:name="_Toc32485860"/>
      <w:bookmarkStart w:id="105" w:name="_Toc494452099"/>
      <w:r>
        <w:rPr>
          <w:rStyle w:val="CharSectno"/>
        </w:rPr>
        <w:t>12</w:t>
      </w:r>
      <w:r>
        <w:rPr>
          <w:snapToGrid w:val="0"/>
        </w:rPr>
        <w:t>.</w:t>
      </w:r>
      <w:r>
        <w:rPr>
          <w:snapToGrid w:val="0"/>
        </w:rPr>
        <w:tab/>
        <w:t>Chancellor and meetings of Council</w:t>
      </w:r>
      <w:bookmarkEnd w:id="104"/>
      <w:bookmarkEnd w:id="105"/>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 xml:space="preserve">elect one of their number to be the </w:t>
      </w:r>
      <w:r>
        <w:t>Deputy Chancellor</w:t>
      </w:r>
      <w:r>
        <w:rPr>
          <w:snapToGrid w:val="0"/>
        </w:rPr>
        <w:t xml:space="preserve"> of the University for a term not exceeding 3 years.</w:t>
      </w:r>
    </w:p>
    <w:p>
      <w:pPr>
        <w:pStyle w:val="Subsection"/>
        <w:rPr>
          <w:snapToGrid w:val="0"/>
        </w:rPr>
      </w:pPr>
      <w:r>
        <w:rPr>
          <w:snapToGrid w:val="0"/>
        </w:rPr>
        <w:tab/>
        <w:t>(2)</w:t>
      </w:r>
      <w:r>
        <w:rPr>
          <w:snapToGrid w:val="0"/>
        </w:rPr>
        <w:tab/>
        <w:t xml:space="preserve">A person whose whole or principal employment is that of a member of the staff is not eligible to be elected Chancellor or </w:t>
      </w:r>
      <w:r>
        <w:t>Deputy Chancellor</w:t>
      </w:r>
      <w:r>
        <w:rPr>
          <w:snapToGrid w:val="0"/>
        </w:rPr>
        <w:t xml:space="preserve">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 xml:space="preserve">the Chancellor is not present, the </w:t>
      </w:r>
      <w:r>
        <w:t>Deputy Chancellor</w:t>
      </w:r>
      <w:r>
        <w:rPr>
          <w:snapToGrid w:val="0"/>
        </w:rPr>
        <w:t xml:space="preserve"> of the University shall preside at the meeting;</w:t>
      </w:r>
    </w:p>
    <w:p>
      <w:pPr>
        <w:pStyle w:val="Indenta"/>
        <w:rPr>
          <w:snapToGrid w:val="0"/>
        </w:rPr>
      </w:pPr>
      <w:r>
        <w:rPr>
          <w:snapToGrid w:val="0"/>
        </w:rPr>
        <w:tab/>
        <w:t>(b)</w:t>
      </w:r>
      <w:r>
        <w:rPr>
          <w:snapToGrid w:val="0"/>
        </w:rPr>
        <w:tab/>
        <w:t xml:space="preserve">the Chancellor and the </w:t>
      </w:r>
      <w:r>
        <w:t>Deputy Chancellor</w:t>
      </w:r>
      <w:r>
        <w:rPr>
          <w:snapToGrid w:val="0"/>
        </w:rPr>
        <w:t xml:space="preserve"> of the University are not present, the members present at the meeting shall elect a member to preside at that meeting,</w:t>
      </w:r>
    </w:p>
    <w:p>
      <w:pPr>
        <w:pStyle w:val="Subsection"/>
        <w:rPr>
          <w:snapToGrid w:val="0"/>
        </w:rPr>
      </w:pPr>
      <w:r>
        <w:rPr>
          <w:snapToGrid w:val="0"/>
        </w:rPr>
        <w:tab/>
      </w:r>
      <w:r>
        <w:rPr>
          <w:snapToGrid w:val="0"/>
        </w:rPr>
        <w:tab/>
        <w:t xml:space="preserve">and while so presiding the </w:t>
      </w:r>
      <w:r>
        <w:t>Deputy Chancellor</w:t>
      </w:r>
      <w:r>
        <w:rPr>
          <w:snapToGrid w:val="0"/>
        </w:rPr>
        <w:t xml:space="preserve">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[Section 12 amended</w:t>
      </w:r>
      <w:del w:id="106" w:author="svcMRProcess" w:date="2020-02-24T13:05:00Z">
        <w:r>
          <w:delText xml:space="preserve"> by</w:delText>
        </w:r>
      </w:del>
      <w:ins w:id="107" w:author="svcMRProcess" w:date="2020-02-24T13:05:00Z">
        <w:r>
          <w:t>:</w:t>
        </w:r>
      </w:ins>
      <w:r>
        <w:t xml:space="preserve"> No. 63 of 1990 s. 19; No. 32 of 2016 s. 60.] </w:t>
      </w:r>
    </w:p>
    <w:p>
      <w:pPr>
        <w:pStyle w:val="Heading5"/>
      </w:pPr>
      <w:bookmarkStart w:id="108" w:name="_Toc32485861"/>
      <w:bookmarkStart w:id="109" w:name="_Toc494452100"/>
      <w:r>
        <w:rPr>
          <w:rStyle w:val="CharSectno"/>
        </w:rPr>
        <w:t>13</w:t>
      </w:r>
      <w:r>
        <w:t>.</w:t>
      </w:r>
      <w:r>
        <w:tab/>
        <w:t>Disclosure of interests</w:t>
      </w:r>
      <w:bookmarkEnd w:id="108"/>
      <w:bookmarkEnd w:id="109"/>
    </w:p>
    <w:p>
      <w:pPr>
        <w:pStyle w:val="Subsection"/>
        <w:spacing w:before="140"/>
      </w:pPr>
      <w:r>
        <w:tab/>
      </w:r>
      <w:r>
        <w:tab/>
        <w:t>Schedule 1 Division 2 has effect.</w:t>
      </w:r>
    </w:p>
    <w:p>
      <w:pPr>
        <w:pStyle w:val="Footnotesection"/>
      </w:pPr>
      <w:r>
        <w:tab/>
        <w:t>[Section 13 inserted</w:t>
      </w:r>
      <w:del w:id="110" w:author="svcMRProcess" w:date="2020-02-24T13:05:00Z">
        <w:r>
          <w:delText xml:space="preserve"> by</w:delText>
        </w:r>
      </w:del>
      <w:ins w:id="111" w:author="svcMRProcess" w:date="2020-02-24T13:05:00Z">
        <w:r>
          <w:t>:</w:t>
        </w:r>
      </w:ins>
      <w:r>
        <w:t xml:space="preserve"> No.</w:t>
      </w:r>
      <w:r>
        <w:rPr>
          <w:sz w:val="28"/>
        </w:rPr>
        <w:t> </w:t>
      </w:r>
      <w:r>
        <w:t>8 of 2005 s. 21.]</w:t>
      </w:r>
    </w:p>
    <w:p>
      <w:pPr>
        <w:pStyle w:val="Heading5"/>
        <w:spacing w:before="180"/>
        <w:rPr>
          <w:snapToGrid w:val="0"/>
        </w:rPr>
      </w:pPr>
      <w:bookmarkStart w:id="112" w:name="_Toc32485862"/>
      <w:bookmarkStart w:id="113" w:name="_Toc494452101"/>
      <w:r>
        <w:rPr>
          <w:rStyle w:val="CharSectno"/>
        </w:rPr>
        <w:t>14</w:t>
      </w:r>
      <w:r>
        <w:rPr>
          <w:snapToGrid w:val="0"/>
        </w:rPr>
        <w:t>.</w:t>
      </w:r>
      <w:r>
        <w:rPr>
          <w:snapToGrid w:val="0"/>
        </w:rPr>
        <w:tab/>
        <w:t>Quorum</w:t>
      </w:r>
      <w:bookmarkEnd w:id="112"/>
      <w:bookmarkEnd w:id="113"/>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pPr>
      <w:bookmarkStart w:id="114" w:name="_Toc32485863"/>
      <w:bookmarkStart w:id="115" w:name="_Toc443919740"/>
      <w:bookmarkStart w:id="116" w:name="_Toc449099779"/>
      <w:bookmarkStart w:id="117" w:name="_Toc464449831"/>
      <w:bookmarkStart w:id="118" w:name="_Toc494452102"/>
      <w:r>
        <w:rPr>
          <w:rStyle w:val="CharSectno"/>
        </w:rPr>
        <w:t>15A</w:t>
      </w:r>
      <w:r>
        <w:t>.</w:t>
      </w:r>
      <w:r>
        <w:tab/>
        <w:t>Remuneration and allowances for Council members</w:t>
      </w:r>
      <w:bookmarkEnd w:id="114"/>
      <w:bookmarkEnd w:id="115"/>
      <w:bookmarkEnd w:id="116"/>
      <w:bookmarkEnd w:id="117"/>
      <w:bookmarkEnd w:id="118"/>
    </w:p>
    <w:p>
      <w:pPr>
        <w:pStyle w:val="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Subsection"/>
        <w:keepNext/>
      </w:pPr>
      <w:r>
        <w:tab/>
        <w:t>(2)</w:t>
      </w:r>
      <w:r>
        <w:tab/>
        <w:t>Any remuneration and allowances payable are to be paid out of the funds available to the Council under section 36.</w:t>
      </w:r>
    </w:p>
    <w:p>
      <w:pPr>
        <w:pStyle w:val="Footnotesection"/>
      </w:pPr>
      <w:r>
        <w:tab/>
        <w:t>[Section 15A inserted</w:t>
      </w:r>
      <w:del w:id="119" w:author="svcMRProcess" w:date="2020-02-24T13:05:00Z">
        <w:r>
          <w:delText xml:space="preserve"> by</w:delText>
        </w:r>
      </w:del>
      <w:ins w:id="120" w:author="svcMRProcess" w:date="2020-02-24T13:05:00Z">
        <w:r>
          <w:t>:</w:t>
        </w:r>
      </w:ins>
      <w:r>
        <w:t xml:space="preserve"> No. 32 of 2016 s. 61.]</w:t>
      </w:r>
    </w:p>
    <w:p>
      <w:pPr>
        <w:pStyle w:val="Heading5"/>
        <w:spacing w:before="180"/>
        <w:rPr>
          <w:snapToGrid w:val="0"/>
        </w:rPr>
      </w:pPr>
      <w:bookmarkStart w:id="121" w:name="_Toc32485864"/>
      <w:bookmarkStart w:id="122" w:name="_Toc494452103"/>
      <w:r>
        <w:rPr>
          <w:rStyle w:val="CharSectno"/>
        </w:rPr>
        <w:t>15</w:t>
      </w:r>
      <w:r>
        <w:rPr>
          <w:snapToGrid w:val="0"/>
        </w:rPr>
        <w:t>.</w:t>
      </w:r>
      <w:r>
        <w:rPr>
          <w:snapToGrid w:val="0"/>
        </w:rPr>
        <w:tab/>
        <w:t>Delegation by Council</w:t>
      </w:r>
      <w:bookmarkEnd w:id="121"/>
      <w:bookmarkEnd w:id="122"/>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pPr>
      <w:r>
        <w:tab/>
        <w:t>(2)</w:t>
      </w:r>
      <w:r>
        <w:tab/>
        <w:t xml:space="preserve">The Council may by resolution revoke a delegation given under this section. </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spacing w:before="80"/>
        <w:ind w:left="890" w:hanging="890"/>
      </w:pPr>
      <w:r>
        <w:tab/>
        <w:t>[Section 15 amended</w:t>
      </w:r>
      <w:del w:id="123" w:author="svcMRProcess" w:date="2020-02-24T13:05:00Z">
        <w:r>
          <w:delText xml:space="preserve"> by</w:delText>
        </w:r>
      </w:del>
      <w:ins w:id="124" w:author="svcMRProcess" w:date="2020-02-24T13:05:00Z">
        <w:r>
          <w:t>:</w:t>
        </w:r>
      </w:ins>
      <w:r>
        <w:t xml:space="preserve"> No. 63 of 1990 s. 19; No. 32 of 2016 s. 62.] </w:t>
      </w:r>
    </w:p>
    <w:p>
      <w:pPr>
        <w:pStyle w:val="Heading2"/>
      </w:pPr>
      <w:bookmarkStart w:id="125" w:name="_Toc32485754"/>
      <w:bookmarkStart w:id="126" w:name="_Toc32485865"/>
      <w:bookmarkStart w:id="127" w:name="_Toc494452104"/>
      <w:r>
        <w:rPr>
          <w:rStyle w:val="CharPartNo"/>
        </w:rPr>
        <w:t>Part IV</w:t>
      </w:r>
      <w:r>
        <w:rPr>
          <w:rStyle w:val="CharDivNo"/>
        </w:rPr>
        <w:t> </w:t>
      </w:r>
      <w:r>
        <w:t>—</w:t>
      </w:r>
      <w:r>
        <w:rPr>
          <w:rStyle w:val="CharDivText"/>
        </w:rPr>
        <w:t> </w:t>
      </w:r>
      <w:r>
        <w:rPr>
          <w:rStyle w:val="CharPartText"/>
        </w:rPr>
        <w:t>Functions, duties and powers of the Council</w:t>
      </w:r>
      <w:bookmarkEnd w:id="125"/>
      <w:bookmarkEnd w:id="126"/>
      <w:bookmarkEnd w:id="127"/>
      <w:r>
        <w:rPr>
          <w:rStyle w:val="CharPartText"/>
        </w:rPr>
        <w:t xml:space="preserve"> </w:t>
      </w:r>
    </w:p>
    <w:p>
      <w:pPr>
        <w:pStyle w:val="Heading5"/>
        <w:rPr>
          <w:snapToGrid w:val="0"/>
        </w:rPr>
      </w:pPr>
      <w:bookmarkStart w:id="128" w:name="_Toc32485866"/>
      <w:bookmarkStart w:id="129" w:name="_Toc494452105"/>
      <w:r>
        <w:rPr>
          <w:rStyle w:val="CharSectno"/>
        </w:rPr>
        <w:t>16</w:t>
      </w:r>
      <w:r>
        <w:rPr>
          <w:snapToGrid w:val="0"/>
        </w:rPr>
        <w:t>.</w:t>
      </w:r>
      <w:r>
        <w:rPr>
          <w:snapToGrid w:val="0"/>
        </w:rPr>
        <w:tab/>
        <w:t>Functions and duties of the Council</w:t>
      </w:r>
      <w:bookmarkEnd w:id="128"/>
      <w:bookmarkEnd w:id="129"/>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ins w:id="130" w:author="svcMRProcess" w:date="2020-02-24T13:05:00Z">
        <w:r>
          <w:rPr>
            <w:snapToGrid w:val="0"/>
          </w:rPr>
          <w:t xml:space="preserve"> and</w:t>
        </w:r>
      </w:ins>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[Section 16 amended</w:t>
      </w:r>
      <w:del w:id="131" w:author="svcMRProcess" w:date="2020-02-24T13:05:00Z">
        <w:r>
          <w:delText xml:space="preserve"> by</w:delText>
        </w:r>
      </w:del>
      <w:ins w:id="132" w:author="svcMRProcess" w:date="2020-02-24T13:05:00Z">
        <w:r>
          <w:t>:</w:t>
        </w:r>
      </w:ins>
      <w:r>
        <w:t xml:space="preserve"> No. 48 of 1989 s. 22; No. 63 of 1990 s. 10 and 19.] </w:t>
      </w:r>
    </w:p>
    <w:p>
      <w:pPr>
        <w:pStyle w:val="Heading5"/>
        <w:rPr>
          <w:snapToGrid w:val="0"/>
        </w:rPr>
      </w:pPr>
      <w:bookmarkStart w:id="133" w:name="_Toc32485867"/>
      <w:bookmarkStart w:id="134" w:name="_Toc494452106"/>
      <w:r>
        <w:rPr>
          <w:rStyle w:val="CharSectno"/>
        </w:rPr>
        <w:t>17</w:t>
      </w:r>
      <w:r>
        <w:rPr>
          <w:snapToGrid w:val="0"/>
        </w:rPr>
        <w:t>.</w:t>
      </w:r>
      <w:r>
        <w:rPr>
          <w:snapToGrid w:val="0"/>
        </w:rPr>
        <w:tab/>
        <w:t>Powers of Council</w:t>
      </w:r>
      <w:bookmarkEnd w:id="133"/>
      <w:bookmarkEnd w:id="134"/>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 and</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 and</w:t>
      </w:r>
    </w:p>
    <w:p>
      <w:pPr>
        <w:pStyle w:val="Indenta"/>
        <w:rPr>
          <w:snapToGrid w:val="0"/>
        </w:rPr>
      </w:pPr>
      <w:r>
        <w:rPr>
          <w:snapToGrid w:val="0"/>
        </w:rPr>
        <w:tab/>
        <w:t>(c)</w:t>
      </w:r>
      <w:r>
        <w:rPr>
          <w:snapToGrid w:val="0"/>
        </w:rPr>
        <w:tab/>
        <w:t xml:space="preserve">may provide courses of study appropriate to a </w:t>
      </w:r>
      <w:r>
        <w:t xml:space="preserve">university, or other tertiary courses, </w:t>
      </w:r>
      <w:r>
        <w:rPr>
          <w:snapToGrid w:val="0"/>
        </w:rPr>
        <w:t>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 and</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 and</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pPr>
      <w:r>
        <w:tab/>
        <w:t>(fa)</w:t>
      </w:r>
      <w:r>
        <w:tab/>
        <w:t>may provide residential accommodation for members of staff, or enrolled students, or both;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[Section 17 amended</w:t>
      </w:r>
      <w:del w:id="135" w:author="svcMRProcess" w:date="2020-02-24T13:05:00Z">
        <w:r>
          <w:delText xml:space="preserve"> by</w:delText>
        </w:r>
      </w:del>
      <w:ins w:id="136" w:author="svcMRProcess" w:date="2020-02-24T13:05:00Z">
        <w:r>
          <w:t>:</w:t>
        </w:r>
      </w:ins>
      <w:r>
        <w:t xml:space="preserve"> No. 48 of 1989 s. 23; No. 63 of 1990 s. 11 and 19; No. 32 of 2016 s. 63.] </w:t>
      </w:r>
    </w:p>
    <w:p>
      <w:pPr>
        <w:pStyle w:val="Heading5"/>
      </w:pPr>
      <w:bookmarkStart w:id="137" w:name="_Toc32485868"/>
      <w:bookmarkStart w:id="138" w:name="_Toc494452107"/>
      <w:r>
        <w:rPr>
          <w:rStyle w:val="CharSectno"/>
        </w:rPr>
        <w:t>17A</w:t>
      </w:r>
      <w:r>
        <w:t>.</w:t>
      </w:r>
      <w:r>
        <w:tab/>
        <w:t>Relief of members from liability</w:t>
      </w:r>
      <w:bookmarkEnd w:id="137"/>
      <w:bookmarkEnd w:id="13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ins w:id="139" w:author="svcMRProcess" w:date="2020-02-24T13:05:00Z">
        <w:r>
          <w:t xml:space="preserve"> and</w:t>
        </w:r>
      </w:ins>
    </w:p>
    <w:p>
      <w:pPr>
        <w:pStyle w:val="Indenta"/>
      </w:pPr>
      <w:r>
        <w:tab/>
        <w:t>(b)</w:t>
      </w:r>
      <w:r>
        <w:tab/>
        <w:t>has acted honestly; and</w:t>
      </w:r>
    </w:p>
    <w:p>
      <w:pPr>
        <w:pStyle w:val="Indenta"/>
        <w:keepNext/>
        <w:keepLines/>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w:t>
      </w:r>
      <w:del w:id="140" w:author="svcMRProcess" w:date="2020-02-24T13:05:00Z">
        <w:r>
          <w:delText xml:space="preserve"> by</w:delText>
        </w:r>
      </w:del>
      <w:ins w:id="141" w:author="svcMRProcess" w:date="2020-02-24T13:05:00Z">
        <w:r>
          <w:t>:</w:t>
        </w:r>
      </w:ins>
      <w:r>
        <w:t xml:space="preserve"> No.</w:t>
      </w:r>
      <w:r>
        <w:rPr>
          <w:sz w:val="28"/>
        </w:rPr>
        <w:t> </w:t>
      </w:r>
      <w:r>
        <w:t>8 of 2005 s. 22.]</w:t>
      </w:r>
    </w:p>
    <w:p>
      <w:pPr>
        <w:pStyle w:val="Heading5"/>
        <w:rPr>
          <w:snapToGrid w:val="0"/>
        </w:rPr>
      </w:pPr>
      <w:bookmarkStart w:id="142" w:name="_Toc32485869"/>
      <w:bookmarkStart w:id="143" w:name="_Toc494452108"/>
      <w:r>
        <w:rPr>
          <w:rStyle w:val="CharSectno"/>
        </w:rPr>
        <w:t>18</w:t>
      </w:r>
      <w:r>
        <w:rPr>
          <w:snapToGrid w:val="0"/>
        </w:rPr>
        <w:t>.</w:t>
      </w:r>
      <w:r>
        <w:rPr>
          <w:snapToGrid w:val="0"/>
        </w:rPr>
        <w:tab/>
        <w:t>Academic Board</w:t>
      </w:r>
      <w:bookmarkEnd w:id="142"/>
      <w:bookmarkEnd w:id="143"/>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ins w:id="144" w:author="svcMRProcess" w:date="2020-02-24T13:05:00Z">
        <w:r>
          <w:rPr>
            <w:snapToGrid w:val="0"/>
          </w:rPr>
          <w:t xml:space="preserve"> and</w:t>
        </w:r>
      </w:ins>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[Section 18 inserted</w:t>
      </w:r>
      <w:del w:id="145" w:author="svcMRProcess" w:date="2020-02-24T13:05:00Z">
        <w:r>
          <w:delText xml:space="preserve"> by</w:delText>
        </w:r>
      </w:del>
      <w:ins w:id="146" w:author="svcMRProcess" w:date="2020-02-24T13:05:00Z">
        <w:r>
          <w:t>:</w:t>
        </w:r>
      </w:ins>
      <w:r>
        <w:t xml:space="preserve"> No. 63 of 1990 s. 12.] </w:t>
      </w:r>
    </w:p>
    <w:p>
      <w:pPr>
        <w:pStyle w:val="Heading5"/>
      </w:pPr>
      <w:bookmarkStart w:id="147" w:name="_Toc32485870"/>
      <w:bookmarkStart w:id="148" w:name="_Toc494452109"/>
      <w:r>
        <w:rPr>
          <w:rStyle w:val="CharSectno"/>
        </w:rPr>
        <w:t>19</w:t>
      </w:r>
      <w:r>
        <w:t>.</w:t>
      </w:r>
      <w:r>
        <w:tab/>
        <w:t>ECU South West Campus (Bunbury)</w:t>
      </w:r>
      <w:bookmarkEnd w:id="147"/>
      <w:bookmarkEnd w:id="148"/>
    </w:p>
    <w:p>
      <w:pPr>
        <w:pStyle w:val="Subsection"/>
      </w:pPr>
      <w:r>
        <w:tab/>
        <w:t>(1)</w:t>
      </w:r>
      <w:r>
        <w:tab/>
        <w:t xml:space="preserve">On and after the day on which section 46 of the </w:t>
      </w:r>
      <w:r>
        <w:rPr>
          <w:i/>
        </w:rPr>
        <w:t xml:space="preserve">Statutes (Repeals and Minor Amendments) Act 2003 </w:t>
      </w:r>
      <w:r>
        <w:t>comes into operation</w:t>
      </w:r>
      <w:del w:id="149" w:author="svcMRProcess" w:date="2020-02-24T13:05:00Z">
        <w:r>
          <w:rPr>
            <w:vertAlign w:val="superscript"/>
          </w:rPr>
          <w:delText> 1</w:delText>
        </w:r>
      </w:del>
      <w:r>
        <w:t xml:space="preserve"> (in this section referred to as the </w:t>
      </w:r>
      <w:r>
        <w:rPr>
          <w:rStyle w:val="CharDefText"/>
        </w:rPr>
        <w:t>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ins w:id="150" w:author="svcMRProcess" w:date="2020-02-24T13:05:00Z">
        <w:r>
          <w:t xml:space="preserve"> or</w:t>
        </w:r>
      </w:ins>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w:t>
      </w:r>
      <w:del w:id="151" w:author="svcMRProcess" w:date="2020-02-24T13:05:00Z">
        <w:r>
          <w:delText xml:space="preserve"> by</w:delText>
        </w:r>
      </w:del>
      <w:ins w:id="152" w:author="svcMRProcess" w:date="2020-02-24T13:05:00Z">
        <w:r>
          <w:t>:</w:t>
        </w:r>
      </w:ins>
      <w:r>
        <w:t xml:space="preserve"> No. 74 of 2003 s. 46(2).]</w:t>
      </w:r>
    </w:p>
    <w:p>
      <w:pPr>
        <w:pStyle w:val="Heading5"/>
        <w:spacing w:before="180"/>
        <w:rPr>
          <w:snapToGrid w:val="0"/>
        </w:rPr>
      </w:pPr>
      <w:bookmarkStart w:id="153" w:name="_Toc32485871"/>
      <w:bookmarkStart w:id="154" w:name="_Toc494452110"/>
      <w:r>
        <w:rPr>
          <w:rStyle w:val="CharSectno"/>
        </w:rPr>
        <w:t>20</w:t>
      </w:r>
      <w:r>
        <w:rPr>
          <w:snapToGrid w:val="0"/>
        </w:rPr>
        <w:t>.</w:t>
      </w:r>
      <w:r>
        <w:rPr>
          <w:snapToGrid w:val="0"/>
        </w:rPr>
        <w:tab/>
      </w:r>
      <w:r>
        <w:t xml:space="preserve">ECU South West Campus (Bunbury) </w:t>
      </w:r>
      <w:r>
        <w:rPr>
          <w:snapToGrid w:val="0"/>
        </w:rPr>
        <w:t>Advisory Board</w:t>
      </w:r>
      <w:bookmarkEnd w:id="153"/>
      <w:bookmarkEnd w:id="154"/>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pPr>
      <w:r>
        <w:tab/>
        <w:t>(2)</w:t>
      </w:r>
      <w:r>
        <w:tab/>
        <w:t xml:space="preserve">The Council may make Statutes — </w:t>
      </w:r>
    </w:p>
    <w:p>
      <w:pPr>
        <w:pStyle w:val="Indenta"/>
      </w:pPr>
      <w:r>
        <w:tab/>
        <w:t>(a)</w:t>
      </w:r>
      <w:r>
        <w:tab/>
        <w:t>prescribing the method of the appointment and selection of the members of the ECU South West Campus (Bunbury) Advisory Board by the Council;</w:t>
      </w:r>
    </w:p>
    <w:p>
      <w:pPr>
        <w:pStyle w:val="Indenta"/>
      </w:pPr>
      <w:r>
        <w:tab/>
        <w:t>(b)</w:t>
      </w:r>
      <w:r>
        <w:tab/>
        <w:t>prescribing the terms of office of the members of the ECU South West Campus (Bunbury) Advisory Board;</w:t>
      </w:r>
    </w:p>
    <w:p>
      <w:pPr>
        <w:pStyle w:val="Indenta"/>
      </w:pPr>
      <w:r>
        <w:tab/>
        <w:t>(c)</w:t>
      </w:r>
      <w:r>
        <w:tab/>
        <w:t>prescribing the circumstances in which an office of member of the ECU South West Campus (Bunbury) Advisory Board becomes vacant;</w:t>
      </w:r>
    </w:p>
    <w:p>
      <w:pPr>
        <w:pStyle w:val="Indenta"/>
      </w:pPr>
      <w:r>
        <w:tab/>
        <w:t>(d)</w:t>
      </w:r>
      <w:r>
        <w:tab/>
        <w:t>providing for meetings of the ECU South West Campus (Bunbury) Advisory Board;</w:t>
      </w:r>
    </w:p>
    <w:p>
      <w:pPr>
        <w:pStyle w:val="Indenta"/>
      </w:pPr>
      <w:r>
        <w:tab/>
        <w:t>(e)</w:t>
      </w:r>
      <w:r>
        <w:tab/>
        <w:t>providing for any other matters necessary or desirable to ensure the effective exercise of the functions of the ECU South West Campus (Bunbury) Advisory Board.</w:t>
      </w:r>
    </w:p>
    <w:p>
      <w:pPr>
        <w:pStyle w:val="Subsection"/>
      </w:pPr>
      <w:r>
        <w:tab/>
        <w:t>(3)</w:t>
      </w:r>
      <w:r>
        <w:tab/>
        <w:t xml:space="preserve">The functions of the ECU South West Campus (Bunbury) Advisory Board are — </w:t>
      </w:r>
    </w:p>
    <w:p>
      <w:pPr>
        <w:pStyle w:val="Indenta"/>
      </w:pPr>
      <w:r>
        <w:tab/>
        <w:t>(a)</w:t>
      </w:r>
      <w:r>
        <w:tab/>
        <w:t>to provide the Council with strategic advice in relation to the ECU South West Campus (Bunbury) and education matters relevant to the south</w:t>
      </w:r>
      <w:r>
        <w:noBreakHyphen/>
        <w:t>west region of the State; and</w:t>
      </w:r>
    </w:p>
    <w:p>
      <w:pPr>
        <w:pStyle w:val="Indenta"/>
      </w:pPr>
      <w:r>
        <w:tab/>
        <w:t>(b)</w:t>
      </w:r>
      <w:r>
        <w:tab/>
        <w:t>any other functions relating to the ECU South West Campus (Bunbury) and education matters relevant to the south</w:t>
      </w:r>
      <w:r>
        <w:noBreakHyphen/>
        <w:t>west region of the State determined by the Council.</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[Section 20 inserted</w:t>
      </w:r>
      <w:del w:id="155" w:author="svcMRProcess" w:date="2020-02-24T13:05:00Z">
        <w:r>
          <w:delText xml:space="preserve"> by</w:delText>
        </w:r>
      </w:del>
      <w:ins w:id="156" w:author="svcMRProcess" w:date="2020-02-24T13:05:00Z">
        <w:r>
          <w:t>:</w:t>
        </w:r>
      </w:ins>
      <w:r>
        <w:t xml:space="preserve"> No. 63 of 1990 s. 12; amended</w:t>
      </w:r>
      <w:del w:id="157" w:author="svcMRProcess" w:date="2020-02-24T13:05:00Z">
        <w:r>
          <w:delText xml:space="preserve"> by</w:delText>
        </w:r>
      </w:del>
      <w:ins w:id="158" w:author="svcMRProcess" w:date="2020-02-24T13:05:00Z">
        <w:r>
          <w:t>:</w:t>
        </w:r>
      </w:ins>
      <w:r>
        <w:t xml:space="preserve"> No. 74 of 2003 s. 46(3) and (4); No. 32 of 2016 s. 64.] </w:t>
      </w:r>
    </w:p>
    <w:p>
      <w:pPr>
        <w:pStyle w:val="Ednotesection"/>
        <w:spacing w:before="180"/>
      </w:pPr>
      <w:r>
        <w:t>[</w:t>
      </w:r>
      <w:r>
        <w:rPr>
          <w:b/>
        </w:rPr>
        <w:t>21</w:t>
      </w:r>
      <w:r>
        <w:rPr>
          <w:b/>
        </w:rPr>
        <w:noBreakHyphen/>
        <w:t>23.</w:t>
      </w:r>
      <w:r>
        <w:tab/>
        <w:t>Deleted</w:t>
      </w:r>
      <w:del w:id="159" w:author="svcMRProcess" w:date="2020-02-24T13:05:00Z">
        <w:r>
          <w:delText xml:space="preserve"> by</w:delText>
        </w:r>
      </w:del>
      <w:ins w:id="160" w:author="svcMRProcess" w:date="2020-02-24T13:05:00Z">
        <w:r>
          <w:t>:</w:t>
        </w:r>
      </w:ins>
      <w:r>
        <w:t xml:space="preserve"> No. 63 of 1990 s. 12.] </w:t>
      </w:r>
    </w:p>
    <w:p>
      <w:pPr>
        <w:pStyle w:val="Heading5"/>
        <w:spacing w:before="180"/>
        <w:rPr>
          <w:snapToGrid w:val="0"/>
        </w:rPr>
      </w:pPr>
      <w:bookmarkStart w:id="161" w:name="_Toc32485872"/>
      <w:bookmarkStart w:id="162" w:name="_Toc494452111"/>
      <w:r>
        <w:rPr>
          <w:rStyle w:val="CharSectno"/>
        </w:rPr>
        <w:t>24</w:t>
      </w:r>
      <w:r>
        <w:rPr>
          <w:snapToGrid w:val="0"/>
        </w:rPr>
        <w:t>.</w:t>
      </w:r>
      <w:r>
        <w:rPr>
          <w:snapToGrid w:val="0"/>
        </w:rPr>
        <w:tab/>
        <w:t>Western Australian Academy of Performing Arts</w:t>
      </w:r>
      <w:bookmarkEnd w:id="161"/>
      <w:bookmarkEnd w:id="162"/>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pPr>
      <w:r>
        <w:tab/>
        <w:t>(2)</w:t>
      </w:r>
      <w:r>
        <w:tab/>
        <w:t>The Council may make Statutes providing for the control and management of the affairs and concerns of the Academy.</w:t>
      </w:r>
    </w:p>
    <w:p>
      <w:pPr>
        <w:pStyle w:val="Ednotesubsection"/>
        <w:rPr>
          <w:del w:id="163" w:author="svcMRProcess" w:date="2020-02-24T13:05:00Z"/>
        </w:rPr>
      </w:pPr>
      <w:del w:id="164" w:author="svcMRProcess" w:date="2020-02-24T13:05:00Z">
        <w:r>
          <w:tab/>
          <w:delText>[(3)</w:delText>
        </w:r>
        <w:r>
          <w:tab/>
          <w:delText xml:space="preserve">deleted] </w:delText>
        </w:r>
      </w:del>
    </w:p>
    <w:p>
      <w:pPr>
        <w:pStyle w:val="Footnotesection"/>
      </w:pPr>
      <w:r>
        <w:tab/>
        <w:t>[Section 24 amended</w:t>
      </w:r>
      <w:del w:id="165" w:author="svcMRProcess" w:date="2020-02-24T13:05:00Z">
        <w:r>
          <w:delText xml:space="preserve"> by</w:delText>
        </w:r>
      </w:del>
      <w:ins w:id="166" w:author="svcMRProcess" w:date="2020-02-24T13:05:00Z">
        <w:r>
          <w:t>:</w:t>
        </w:r>
      </w:ins>
      <w:r>
        <w:t xml:space="preserve"> No. 63 of 1990 s. 19; No. 32 of 2016 s. 65.] </w:t>
      </w:r>
    </w:p>
    <w:p>
      <w:pPr>
        <w:pStyle w:val="Heading5"/>
      </w:pPr>
      <w:bookmarkStart w:id="167" w:name="_Toc32485873"/>
      <w:bookmarkStart w:id="168" w:name="_Toc494452112"/>
      <w:r>
        <w:rPr>
          <w:rStyle w:val="CharSectno"/>
        </w:rPr>
        <w:t>25</w:t>
      </w:r>
      <w:r>
        <w:t>.</w:t>
      </w:r>
      <w:r>
        <w:tab/>
        <w:t>Advisory Board of Academy</w:t>
      </w:r>
      <w:bookmarkEnd w:id="167"/>
      <w:bookmarkEnd w:id="168"/>
    </w:p>
    <w:p>
      <w:pPr>
        <w:pStyle w:val="Subsection"/>
      </w:pPr>
      <w:r>
        <w:tab/>
        <w:t>(1)</w:t>
      </w:r>
      <w:r>
        <w:tab/>
        <w:t>There is to be an Advisory Board of the Academy.</w:t>
      </w:r>
    </w:p>
    <w:p>
      <w:pPr>
        <w:pStyle w:val="Subsection"/>
      </w:pPr>
      <w:r>
        <w:tab/>
        <w:t>(2)</w:t>
      </w:r>
      <w:r>
        <w:tab/>
        <w:t xml:space="preserve">Without limiting section 24(2), the Council may make Statutes — </w:t>
      </w:r>
    </w:p>
    <w:p>
      <w:pPr>
        <w:pStyle w:val="Indenta"/>
      </w:pPr>
      <w:r>
        <w:tab/>
        <w:t>(a)</w:t>
      </w:r>
      <w:r>
        <w:tab/>
        <w:t>prescribing the method of the appointment and selection of the members of the Advisory Board of the Academy by the Council;</w:t>
      </w:r>
    </w:p>
    <w:p>
      <w:pPr>
        <w:pStyle w:val="Indenta"/>
      </w:pPr>
      <w:r>
        <w:tab/>
        <w:t>(b)</w:t>
      </w:r>
      <w:r>
        <w:tab/>
        <w:t>prescribing the terms of office of the members of the Advisory Board of the Academy;</w:t>
      </w:r>
    </w:p>
    <w:p>
      <w:pPr>
        <w:pStyle w:val="Indenta"/>
      </w:pPr>
      <w:r>
        <w:tab/>
        <w:t>(c)</w:t>
      </w:r>
      <w:r>
        <w:tab/>
        <w:t>prescribing the circumstances in which an office of member of the Advisory Board of the Academy becomes vacant;</w:t>
      </w:r>
    </w:p>
    <w:p>
      <w:pPr>
        <w:pStyle w:val="Indenta"/>
      </w:pPr>
      <w:r>
        <w:tab/>
        <w:t>(d)</w:t>
      </w:r>
      <w:r>
        <w:tab/>
        <w:t>providing for meetings of the Advisory Board of the Academy;</w:t>
      </w:r>
    </w:p>
    <w:p>
      <w:pPr>
        <w:pStyle w:val="Indenta"/>
      </w:pPr>
      <w:r>
        <w:tab/>
        <w:t>(e)</w:t>
      </w:r>
      <w:r>
        <w:tab/>
        <w:t>providing for any other matters necessary or desirable to ensure the effective exercise of the functions of the Advisory Board of the Academy.</w:t>
      </w:r>
    </w:p>
    <w:p>
      <w:pPr>
        <w:pStyle w:val="Subsection"/>
      </w:pPr>
      <w:r>
        <w:tab/>
        <w:t>(3)</w:t>
      </w:r>
      <w:r>
        <w:tab/>
        <w:t xml:space="preserve">The functions of the Advisory Board of the Academy are — </w:t>
      </w:r>
    </w:p>
    <w:p>
      <w:pPr>
        <w:pStyle w:val="Indenta"/>
      </w:pPr>
      <w:r>
        <w:tab/>
        <w:t>(a)</w:t>
      </w:r>
      <w:r>
        <w:tab/>
        <w:t>to provide the Council with strategic advice in relation to the Academy; and</w:t>
      </w:r>
    </w:p>
    <w:p>
      <w:pPr>
        <w:pStyle w:val="Indenta"/>
      </w:pPr>
      <w:r>
        <w:tab/>
        <w:t>(b)</w:t>
      </w:r>
      <w:r>
        <w:tab/>
        <w:t>any other functions relating to the Academy determined by the Council.</w:t>
      </w:r>
    </w:p>
    <w:p>
      <w:pPr>
        <w:pStyle w:val="Subsection"/>
      </w:pPr>
      <w:r>
        <w:tab/>
        <w:t>(4)</w:t>
      </w:r>
      <w:r>
        <w:tab/>
        <w:t>The Advisory Board of the Academy is subject to the direction and control of the Council.</w:t>
      </w:r>
    </w:p>
    <w:p>
      <w:pPr>
        <w:pStyle w:val="Footnotesection"/>
      </w:pPr>
      <w:r>
        <w:tab/>
        <w:t>[Section 25 inserted</w:t>
      </w:r>
      <w:del w:id="169" w:author="svcMRProcess" w:date="2020-02-24T13:05:00Z">
        <w:r>
          <w:delText xml:space="preserve"> by</w:delText>
        </w:r>
      </w:del>
      <w:ins w:id="170" w:author="svcMRProcess" w:date="2020-02-24T13:05:00Z">
        <w:r>
          <w:t>:</w:t>
        </w:r>
      </w:ins>
      <w:r>
        <w:t xml:space="preserve"> No. 32 of 2016 s. 66.]</w:t>
      </w:r>
    </w:p>
    <w:p>
      <w:pPr>
        <w:pStyle w:val="Heading5"/>
      </w:pPr>
      <w:bookmarkStart w:id="171" w:name="_Toc32485874"/>
      <w:bookmarkStart w:id="172" w:name="_Toc494452113"/>
      <w:r>
        <w:rPr>
          <w:rStyle w:val="CharSectno"/>
        </w:rPr>
        <w:t>25A</w:t>
      </w:r>
      <w:r>
        <w:t>.</w:t>
      </w:r>
      <w:r>
        <w:tab/>
        <w:t>Remuneration and allowances for Advisory Board members</w:t>
      </w:r>
      <w:bookmarkEnd w:id="171"/>
      <w:bookmarkEnd w:id="172"/>
    </w:p>
    <w:p>
      <w:pPr>
        <w:pStyle w:val="Subsection"/>
      </w:pPr>
      <w:r>
        <w:tab/>
        <w:t>(1)</w:t>
      </w:r>
      <w:r>
        <w:tab/>
        <w:t xml:space="preserve">A member of an Advisory Board is entitled to be paid the remuneration (if any) and allowances (if any) determined by the Salaries and Allowances Tribunal under the </w:t>
      </w:r>
      <w:r>
        <w:rPr>
          <w:i/>
        </w:rPr>
        <w:t>Salaries and Allowances Act 1975</w:t>
      </w:r>
      <w:r>
        <w:t>.</w:t>
      </w:r>
    </w:p>
    <w:p>
      <w:pPr>
        <w:pStyle w:val="Subsection"/>
      </w:pPr>
      <w:r>
        <w:tab/>
        <w:t>(2)</w:t>
      </w:r>
      <w:r>
        <w:tab/>
        <w:t>Any remuneration and allowances payable are to be paid out of the funds available to the Council under section 36.</w:t>
      </w:r>
    </w:p>
    <w:p>
      <w:pPr>
        <w:pStyle w:val="Footnotesection"/>
      </w:pPr>
      <w:r>
        <w:tab/>
        <w:t>[Section 25A inserted</w:t>
      </w:r>
      <w:del w:id="173" w:author="svcMRProcess" w:date="2020-02-24T13:05:00Z">
        <w:r>
          <w:delText xml:space="preserve"> by</w:delText>
        </w:r>
      </w:del>
      <w:ins w:id="174" w:author="svcMRProcess" w:date="2020-02-24T13:05:00Z">
        <w:r>
          <w:t>:</w:t>
        </w:r>
      </w:ins>
      <w:r>
        <w:t xml:space="preserve"> No. 32 of 2016 s. 66.]</w:t>
      </w:r>
    </w:p>
    <w:p>
      <w:pPr>
        <w:pStyle w:val="Heading2"/>
      </w:pPr>
      <w:bookmarkStart w:id="175" w:name="_Toc32485764"/>
      <w:bookmarkStart w:id="176" w:name="_Toc32485875"/>
      <w:bookmarkStart w:id="177" w:name="_Toc494452114"/>
      <w:r>
        <w:rPr>
          <w:rStyle w:val="CharPartNo"/>
        </w:rPr>
        <w:t>Part V</w:t>
      </w:r>
      <w:r>
        <w:rPr>
          <w:rStyle w:val="CharDivNo"/>
        </w:rPr>
        <w:t> </w:t>
      </w:r>
      <w:r>
        <w:t>—</w:t>
      </w:r>
      <w:r>
        <w:rPr>
          <w:rStyle w:val="CharDivText"/>
        </w:rPr>
        <w:t> </w:t>
      </w:r>
      <w:r>
        <w:rPr>
          <w:rStyle w:val="CharPartText"/>
        </w:rPr>
        <w:t>Statutes</w:t>
      </w:r>
      <w:bookmarkEnd w:id="175"/>
      <w:bookmarkEnd w:id="176"/>
      <w:bookmarkEnd w:id="177"/>
      <w:r>
        <w:rPr>
          <w:rStyle w:val="CharPartText"/>
        </w:rPr>
        <w:t xml:space="preserve"> </w:t>
      </w:r>
    </w:p>
    <w:p>
      <w:pPr>
        <w:pStyle w:val="Heading5"/>
        <w:rPr>
          <w:snapToGrid w:val="0"/>
        </w:rPr>
      </w:pPr>
      <w:bookmarkStart w:id="178" w:name="_Toc32485876"/>
      <w:bookmarkStart w:id="179" w:name="_Toc494452115"/>
      <w:r>
        <w:rPr>
          <w:rStyle w:val="CharSectno"/>
        </w:rPr>
        <w:t>26</w:t>
      </w:r>
      <w:r>
        <w:rPr>
          <w:snapToGrid w:val="0"/>
        </w:rPr>
        <w:t>.</w:t>
      </w:r>
      <w:r>
        <w:rPr>
          <w:snapToGrid w:val="0"/>
        </w:rPr>
        <w:tab/>
        <w:t>Power to make Statutes</w:t>
      </w:r>
      <w:bookmarkEnd w:id="178"/>
      <w:bookmarkEnd w:id="179"/>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academic and other staff, officers and employees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Council;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41A; and</w:t>
      </w:r>
    </w:p>
    <w:p>
      <w:pPr>
        <w:pStyle w:val="Indenta"/>
      </w:pPr>
      <w:r>
        <w:tab/>
        <w:t>(jb)</w:t>
      </w:r>
      <w:r>
        <w:tab/>
        <w:t>the matters required by section 41B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 and</w:t>
      </w:r>
    </w:p>
    <w:p>
      <w:pPr>
        <w:pStyle w:val="Indenta"/>
      </w:pPr>
      <w:r>
        <w:tab/>
        <w:t>(l)</w:t>
      </w:r>
      <w:r>
        <w:tab/>
        <w:t>the establishment by the Council of residential accommodation for members of the staff, or enrolled students, or both, and the management, control and closing of any residential accommodation; and</w:t>
      </w:r>
    </w:p>
    <w:p>
      <w:pPr>
        <w:pStyle w:val="Indenta"/>
      </w:pPr>
      <w:r>
        <w:tab/>
        <w:t>(m)</w:t>
      </w:r>
      <w:r>
        <w:tab/>
        <w:t>the affiliation of residential accommodation for members of the staff, or enrolled students, or both, where the residential accommodation is not under the control of the Council; and</w:t>
      </w:r>
    </w:p>
    <w:p>
      <w:pPr>
        <w:pStyle w:val="Indenta"/>
      </w:pPr>
      <w:r>
        <w:tab/>
        <w:t>(na)</w:t>
      </w:r>
      <w:r>
        <w:tab/>
        <w:t>the licensing and supervision of residential accommodation for members of the staff, or enrolled students, or both, and for the revocation of the licensing of that accommodation; and</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rPr>
          <w:snapToGrid w:val="0"/>
        </w:rPr>
      </w:pPr>
      <w:r>
        <w:rPr>
          <w:snapToGrid w:val="0"/>
        </w:rPr>
        <w:tab/>
        <w:t>(d)</w:t>
      </w:r>
      <w:r>
        <w:rPr>
          <w:snapToGrid w:val="0"/>
        </w:rPr>
        <w:tab/>
        <w:t xml:space="preserve">provide, in addition to penalties, for restitution to the University not exceeding </w:t>
      </w:r>
      <w:r>
        <w:t xml:space="preserve">$1 000 </w:t>
      </w:r>
      <w:r>
        <w:rPr>
          <w:snapToGrid w:val="0"/>
        </w:rPr>
        <w:t>for loss, damage or destruction of university property arising out of the commission of a disciplinary offence; and</w:t>
      </w:r>
    </w:p>
    <w:p>
      <w:pPr>
        <w:pStyle w:val="Indenta"/>
        <w:rPr>
          <w:snapToGrid w:val="0"/>
        </w:rPr>
      </w:pPr>
      <w:r>
        <w:rPr>
          <w:snapToGrid w:val="0"/>
        </w:rPr>
        <w:tab/>
        <w:t>(e)</w:t>
      </w:r>
      <w:r>
        <w:rPr>
          <w:snapToGrid w:val="0"/>
        </w:rPr>
        <w:tab/>
        <w:t>prescribe rights of appeal against decisions made in the exercise or purported exercise of disciplinary powers; and</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ins w:id="180" w:author="svcMRProcess" w:date="2020-02-24T13:05:00Z">
        <w:r>
          <w:rPr>
            <w:snapToGrid w:val="0"/>
          </w:rPr>
          <w:t xml:space="preserve"> or</w:t>
        </w:r>
      </w:ins>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keepNext/>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ins w:id="181" w:author="svcMRProcess" w:date="2020-02-24T13:05:00Z">
        <w:r>
          <w:rPr>
            <w:snapToGrid w:val="0"/>
          </w:rPr>
          <w:t xml:space="preserve"> and</w:t>
        </w:r>
      </w:ins>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pPr>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p>
    <w:p>
      <w:pPr>
        <w:pStyle w:val="Indenta"/>
      </w:pPr>
      <w:r>
        <w:tab/>
        <w:t>(a)</w:t>
      </w:r>
      <w:r>
        <w:tab/>
        <w:t>a disciplinary power;</w:t>
      </w:r>
    </w:p>
    <w:p>
      <w:pPr>
        <w:pStyle w:val="Indenta"/>
      </w:pPr>
      <w:r>
        <w:tab/>
        <w:t>(b)</w:t>
      </w:r>
      <w:r>
        <w:tab/>
        <w:t>a power to hear and determine appeals from decisions made in the exercise or purported exercise of disciplinary powers;</w:t>
      </w:r>
    </w:p>
    <w:p>
      <w:pPr>
        <w:pStyle w:val="Indenta"/>
      </w:pPr>
      <w:r>
        <w:tab/>
        <w:t>(c)</w:t>
      </w:r>
      <w:r>
        <w:tab/>
        <w:t>a power to award or fix costs.</w:t>
      </w:r>
    </w:p>
    <w:p>
      <w:pPr>
        <w:pStyle w:val="Subsection"/>
        <w:rPr>
          <w:snapToGrid w:val="0"/>
        </w:rPr>
      </w:pPr>
      <w:r>
        <w:rPr>
          <w:snapToGrid w:val="0"/>
        </w:rPr>
        <w:tab/>
        <w:t>(5)</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w:t>
      </w:r>
      <w:ins w:id="182" w:author="svcMRProcess" w:date="2020-02-24T13:05:00Z">
        <w:r>
          <w:rPr>
            <w:snapToGrid w:val="0"/>
          </w:rPr>
          <w:t xml:space="preserve"> and</w:t>
        </w:r>
      </w:ins>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(8)</w:t>
      </w:r>
      <w:r>
        <w:rPr>
          <w:snapToGrid w:val="0"/>
        </w:rPr>
        <w:tab/>
        <w:t>The production of a verified copy of any rule made under subsection (7) under the common seal of the University is evidence of the making and authenticity of the rule in all courts and before all persons acting judicially.</w:t>
      </w:r>
    </w:p>
    <w:p>
      <w:pPr>
        <w:pStyle w:val="Footnotesection"/>
      </w:pPr>
      <w:r>
        <w:tab/>
        <w:t>[Section 26 amended</w:t>
      </w:r>
      <w:del w:id="183" w:author="svcMRProcess" w:date="2020-02-24T13:05:00Z">
        <w:r>
          <w:delText xml:space="preserve"> by</w:delText>
        </w:r>
      </w:del>
      <w:ins w:id="184" w:author="svcMRProcess" w:date="2020-02-24T13:05:00Z">
        <w:r>
          <w:t>:</w:t>
        </w:r>
      </w:ins>
      <w:r>
        <w:t xml:space="preserve"> No. 63 of 1990 s. 14 and 19; No. 32 of 2016 s. 67.] </w:t>
      </w:r>
    </w:p>
    <w:p>
      <w:pPr>
        <w:pStyle w:val="Heading5"/>
      </w:pPr>
      <w:bookmarkStart w:id="185" w:name="_Toc32485877"/>
      <w:bookmarkStart w:id="186" w:name="_Toc494452116"/>
      <w:r>
        <w:rPr>
          <w:rStyle w:val="CharSectno"/>
        </w:rPr>
        <w:t>27</w:t>
      </w:r>
      <w:r>
        <w:t>.</w:t>
      </w:r>
      <w:r>
        <w:tab/>
        <w:t>Approval, publication, disallowance and proof of Statutes</w:t>
      </w:r>
      <w:bookmarkEnd w:id="185"/>
      <w:bookmarkEnd w:id="186"/>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27 inserted</w:t>
      </w:r>
      <w:del w:id="187" w:author="svcMRProcess" w:date="2020-02-24T13:05:00Z">
        <w:r>
          <w:delText xml:space="preserve"> by</w:delText>
        </w:r>
      </w:del>
      <w:ins w:id="188" w:author="svcMRProcess" w:date="2020-02-24T13:05:00Z">
        <w:r>
          <w:t>:</w:t>
        </w:r>
      </w:ins>
      <w:r>
        <w:t xml:space="preserve"> No. 32 of 2016 s. 68.]</w:t>
      </w:r>
    </w:p>
    <w:p>
      <w:pPr>
        <w:pStyle w:val="Heading5"/>
      </w:pPr>
      <w:bookmarkStart w:id="189" w:name="_Toc32485878"/>
      <w:bookmarkStart w:id="190" w:name="_Toc494452117"/>
      <w:r>
        <w:rPr>
          <w:rStyle w:val="CharSectno"/>
        </w:rPr>
        <w:t>28A</w:t>
      </w:r>
      <w:r>
        <w:t>.</w:t>
      </w:r>
      <w:r>
        <w:tab/>
        <w:t>Statutes to be made readily available to public</w:t>
      </w:r>
      <w:bookmarkEnd w:id="189"/>
      <w:bookmarkEnd w:id="190"/>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27(1);</w:t>
      </w:r>
    </w:p>
    <w:p>
      <w:pPr>
        <w:pStyle w:val="Indenta"/>
      </w:pPr>
      <w:r>
        <w:tab/>
        <w:t>(b)</w:t>
      </w:r>
      <w:r>
        <w:tab/>
        <w:t xml:space="preserve">all Statutes that are in effect immediately before the </w:t>
      </w:r>
      <w:r>
        <w:rPr>
          <w:i/>
        </w:rPr>
        <w:t xml:space="preserve">Universities Legislation Amendment Act 2016 </w:t>
      </w:r>
      <w:r>
        <w:t>section 68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28A inserted</w:t>
      </w:r>
      <w:del w:id="191" w:author="svcMRProcess" w:date="2020-02-24T13:05:00Z">
        <w:r>
          <w:delText xml:space="preserve"> by</w:delText>
        </w:r>
      </w:del>
      <w:ins w:id="192" w:author="svcMRProcess" w:date="2020-02-24T13:05:00Z">
        <w:r>
          <w:t>:</w:t>
        </w:r>
      </w:ins>
      <w:r>
        <w:t xml:space="preserve"> No. 32 of 2016 s. 68.]</w:t>
      </w:r>
    </w:p>
    <w:p>
      <w:pPr>
        <w:pStyle w:val="Heading2"/>
      </w:pPr>
      <w:bookmarkStart w:id="193" w:name="_Toc32485768"/>
      <w:bookmarkStart w:id="194" w:name="_Toc32485879"/>
      <w:bookmarkStart w:id="195" w:name="_Toc494452118"/>
      <w:r>
        <w:rPr>
          <w:rStyle w:val="CharPartNo"/>
        </w:rPr>
        <w:t>Part VI</w:t>
      </w:r>
      <w:r>
        <w:t> — </w:t>
      </w:r>
      <w:r>
        <w:rPr>
          <w:rStyle w:val="CharPartText"/>
        </w:rPr>
        <w:t>University lands</w:t>
      </w:r>
      <w:bookmarkEnd w:id="193"/>
      <w:bookmarkEnd w:id="194"/>
      <w:bookmarkEnd w:id="195"/>
      <w:r>
        <w:rPr>
          <w:rStyle w:val="CharPartText"/>
        </w:rPr>
        <w:t xml:space="preserve"> </w:t>
      </w:r>
    </w:p>
    <w:p>
      <w:pPr>
        <w:pStyle w:val="Footnoteheading"/>
        <w:ind w:left="890"/>
        <w:rPr>
          <w:snapToGrid w:val="0"/>
        </w:rPr>
      </w:pPr>
      <w:r>
        <w:rPr>
          <w:snapToGrid w:val="0"/>
        </w:rPr>
        <w:tab/>
        <w:t>[Heading amended</w:t>
      </w:r>
      <w:del w:id="196" w:author="svcMRProcess" w:date="2020-02-24T13:05:00Z">
        <w:r>
          <w:rPr>
            <w:snapToGrid w:val="0"/>
          </w:rPr>
          <w:delText xml:space="preserve"> by</w:delText>
        </w:r>
      </w:del>
      <w:ins w:id="197" w:author="svcMRProcess" w:date="2020-02-24T13:05:00Z">
        <w:r>
          <w:rPr>
            <w:snapToGrid w:val="0"/>
          </w:rPr>
          <w:t>:</w:t>
        </w:r>
      </w:ins>
      <w:r>
        <w:rPr>
          <w:snapToGrid w:val="0"/>
        </w:rPr>
        <w:t xml:space="preserve"> No. 63 of 1990 s. 19.] </w:t>
      </w:r>
    </w:p>
    <w:p>
      <w:pPr>
        <w:pStyle w:val="Heading3"/>
      </w:pPr>
      <w:bookmarkStart w:id="198" w:name="_Toc32485769"/>
      <w:bookmarkStart w:id="199" w:name="_Toc32485880"/>
      <w:bookmarkStart w:id="200" w:name="_Toc494452119"/>
      <w:r>
        <w:rPr>
          <w:rStyle w:val="CharDivNo"/>
        </w:rPr>
        <w:t>Division 1</w:t>
      </w:r>
      <w:r>
        <w:t> — </w:t>
      </w:r>
      <w:r>
        <w:rPr>
          <w:rStyle w:val="CharDivText"/>
        </w:rPr>
        <w:t>Vesting of land in University and by</w:t>
      </w:r>
      <w:r>
        <w:rPr>
          <w:rStyle w:val="CharDivText"/>
        </w:rPr>
        <w:noBreakHyphen/>
        <w:t>laws applicable to University lands</w:t>
      </w:r>
      <w:bookmarkEnd w:id="198"/>
      <w:bookmarkEnd w:id="199"/>
      <w:bookmarkEnd w:id="200"/>
    </w:p>
    <w:p>
      <w:pPr>
        <w:pStyle w:val="Footnoteheading"/>
        <w:ind w:left="890"/>
        <w:rPr>
          <w:snapToGrid w:val="0"/>
        </w:rPr>
      </w:pPr>
      <w:r>
        <w:rPr>
          <w:snapToGrid w:val="0"/>
        </w:rPr>
        <w:tab/>
        <w:t>[Heading inserted</w:t>
      </w:r>
      <w:del w:id="201" w:author="svcMRProcess" w:date="2020-02-24T13:05:00Z">
        <w:r>
          <w:rPr>
            <w:snapToGrid w:val="0"/>
          </w:rPr>
          <w:delText xml:space="preserve"> by</w:delText>
        </w:r>
      </w:del>
      <w:ins w:id="202" w:author="svcMRProcess" w:date="2020-02-24T13:05:00Z">
        <w:r>
          <w:rPr>
            <w:snapToGrid w:val="0"/>
          </w:rPr>
          <w:t>:</w:t>
        </w:r>
      </w:ins>
      <w:r>
        <w:rPr>
          <w:snapToGrid w:val="0"/>
        </w:rPr>
        <w:t xml:space="preserve"> No. 32 of 2016 s. 69.] </w:t>
      </w:r>
    </w:p>
    <w:p>
      <w:pPr>
        <w:pStyle w:val="Heading5"/>
        <w:rPr>
          <w:snapToGrid w:val="0"/>
        </w:rPr>
      </w:pPr>
      <w:bookmarkStart w:id="203" w:name="_Toc32485881"/>
      <w:bookmarkStart w:id="204" w:name="_Toc494452120"/>
      <w:r>
        <w:rPr>
          <w:rStyle w:val="CharSectno"/>
        </w:rPr>
        <w:t>28</w:t>
      </w:r>
      <w:r>
        <w:rPr>
          <w:snapToGrid w:val="0"/>
        </w:rPr>
        <w:t>.</w:t>
      </w:r>
      <w:r>
        <w:rPr>
          <w:snapToGrid w:val="0"/>
        </w:rPr>
        <w:tab/>
        <w:t>Land may be vested in the University</w:t>
      </w:r>
      <w:bookmarkEnd w:id="203"/>
      <w:bookmarkEnd w:id="204"/>
      <w:r>
        <w:rPr>
          <w:snapToGrid w:val="0"/>
        </w:rPr>
        <w:t xml:space="preserve"> </w:t>
      </w:r>
    </w:p>
    <w:p>
      <w:pPr>
        <w:pStyle w:val="Subsection"/>
        <w:rPr>
          <w:snapToGrid w:val="0"/>
        </w:rPr>
      </w:pPr>
      <w:r>
        <w:rPr>
          <w:snapToGrid w:val="0"/>
        </w:rPr>
        <w:tab/>
        <w:t>(1)</w:t>
      </w:r>
      <w:r>
        <w:rPr>
          <w:snapToGrid w:val="0"/>
        </w:rPr>
        <w:tab/>
        <w:t xml:space="preserve">On the recommendation of the Minister the Governor, by Order in Council, may transfer to the </w:t>
      </w:r>
      <w:r>
        <w:t xml:space="preserve">care, </w:t>
      </w:r>
      <w:r>
        <w:rPr>
          <w:snapToGrid w:val="0"/>
        </w:rPr>
        <w:t>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pPr>
      <w:r>
        <w:tab/>
        <w:t>(3)</w:t>
      </w:r>
      <w:r>
        <w:tab/>
        <w:t>Where any land in the care, management and control of, or vested in, the University under this Act is no longer required for the purposes of this Act, the Governor, by Order in Council, may revest it in the State.</w:t>
      </w:r>
    </w:p>
    <w:p>
      <w:pPr>
        <w:pStyle w:val="Subsection"/>
      </w:pPr>
      <w:r>
        <w:tab/>
        <w:t>(4)</w:t>
      </w:r>
      <w:r>
        <w:tab/>
        <w:t>The restrictions imposed by section 5(2)(ea) do not apply to the lease of any part of the land referred to in section 5(2)(ea) if the purpose of the lease is the provision of residential accommodation in accordance with section 17(1)(fa).</w:t>
      </w:r>
    </w:p>
    <w:p>
      <w:pPr>
        <w:pStyle w:val="Footnotesection"/>
      </w:pPr>
      <w:r>
        <w:tab/>
        <w:t>[Section 28 amended</w:t>
      </w:r>
      <w:del w:id="205" w:author="svcMRProcess" w:date="2020-02-24T13:05:00Z">
        <w:r>
          <w:delText xml:space="preserve"> by</w:delText>
        </w:r>
      </w:del>
      <w:ins w:id="206" w:author="svcMRProcess" w:date="2020-02-24T13:05:00Z">
        <w:r>
          <w:t>:</w:t>
        </w:r>
      </w:ins>
      <w:r>
        <w:t xml:space="preserve"> No. 63 of 1990 s. 15 and 19; No. 31 of 1997 s. 24; No. 36 of 1999 s. 247; No. 32 of 2016 s. 70.] </w:t>
      </w:r>
    </w:p>
    <w:p>
      <w:pPr>
        <w:pStyle w:val="Heading5"/>
        <w:rPr>
          <w:snapToGrid w:val="0"/>
        </w:rPr>
      </w:pPr>
      <w:bookmarkStart w:id="207" w:name="_Toc32485882"/>
      <w:bookmarkStart w:id="208" w:name="_Toc494452121"/>
      <w:r>
        <w:rPr>
          <w:rStyle w:val="CharSectno"/>
        </w:rPr>
        <w:t>29</w:t>
      </w:r>
      <w:r>
        <w:rPr>
          <w:snapToGrid w:val="0"/>
        </w:rPr>
        <w:t>.</w:t>
      </w:r>
      <w:r>
        <w:rPr>
          <w:snapToGrid w:val="0"/>
        </w:rPr>
        <w:tab/>
        <w:t>Power to make by</w:t>
      </w:r>
      <w:r>
        <w:rPr>
          <w:snapToGrid w:val="0"/>
        </w:rPr>
        <w:noBreakHyphen/>
        <w:t>laws applicable to lands</w:t>
      </w:r>
      <w:bookmarkEnd w:id="207"/>
      <w:bookmarkEnd w:id="208"/>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(3)(k) or (7A); and</w:t>
      </w:r>
    </w:p>
    <w:p>
      <w:pPr>
        <w:pStyle w:val="Indenta"/>
      </w:pPr>
      <w:r>
        <w:tab/>
        <w:t>(b)</w:t>
      </w:r>
      <w:r>
        <w:tab/>
        <w:t>authorise a contractor to be an authorised person for the purposes of either or both of subsection (3)(k) or (7A);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keepNext/>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pPr>
      <w:r>
        <w:tab/>
        <w:t>(a)</w:t>
      </w:r>
      <w:r>
        <w:tab/>
        <w:t>declare any land vested in, held by, leased to or under the care, management and control of the University to be University lands; or</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r>
        <w:t xml:space="preserve">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r>
        <w:t xml:space="preserve"> and</w:t>
      </w:r>
    </w:p>
    <w:p>
      <w:pPr>
        <w:pStyle w:val="Indenta"/>
        <w:rPr>
          <w:snapToGrid w:val="0"/>
        </w:rPr>
      </w:pPr>
      <w:r>
        <w:rPr>
          <w:snapToGrid w:val="0"/>
        </w:rPr>
        <w:tab/>
        <w:t>(c)</w:t>
      </w:r>
      <w:r>
        <w:rPr>
          <w:snapToGrid w:val="0"/>
        </w:rPr>
        <w:tab/>
        <w:t>prescribe fees to be charged to all or any persons for admission to or use of such lands;</w:t>
      </w:r>
      <w:r>
        <w:t xml:space="preserve">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w:t>
      </w:r>
      <w:r>
        <w:t xml:space="preserve"> and</w:t>
      </w:r>
    </w:p>
    <w:p>
      <w:pPr>
        <w:pStyle w:val="Indenta"/>
        <w:rPr>
          <w:snapToGrid w:val="0"/>
        </w:rPr>
      </w:pPr>
      <w:r>
        <w:rPr>
          <w:snapToGrid w:val="0"/>
        </w:rPr>
        <w:tab/>
        <w:t>(e)</w:t>
      </w:r>
      <w:r>
        <w:rPr>
          <w:snapToGrid w:val="0"/>
        </w:rPr>
        <w:tab/>
        <w:t>regulate the conduct of persons using or being in or upon such lands;</w:t>
      </w:r>
      <w:r>
        <w:t xml:space="preserve"> and</w:t>
      </w:r>
    </w:p>
    <w:p>
      <w:pPr>
        <w:pStyle w:val="Indenta"/>
        <w:rPr>
          <w:snapToGrid w:val="0"/>
        </w:rPr>
      </w:pPr>
      <w:r>
        <w:rPr>
          <w:snapToGrid w:val="0"/>
        </w:rPr>
        <w:tab/>
        <w:t>(f)</w:t>
      </w:r>
      <w:r>
        <w:rPr>
          <w:snapToGrid w:val="0"/>
        </w:rPr>
        <w:tab/>
        <w:t>prohibit any nuisance, or any offensive, indecent, or improper act, conduct, or behaviour on such lands;</w:t>
      </w:r>
      <w:r>
        <w:t xml:space="preserve"> and</w:t>
      </w:r>
    </w:p>
    <w:p>
      <w:pPr>
        <w:pStyle w:val="Indenta"/>
        <w:rPr>
          <w:snapToGrid w:val="0"/>
        </w:rPr>
      </w:pPr>
      <w:r>
        <w:rPr>
          <w:snapToGrid w:val="0"/>
        </w:rPr>
        <w:tab/>
        <w:t>(g)</w:t>
      </w:r>
      <w:r>
        <w:rPr>
          <w:snapToGrid w:val="0"/>
        </w:rPr>
        <w:tab/>
        <w:t>prohibit the use of abusive or insulting language on such lands;</w:t>
      </w:r>
      <w:r>
        <w:t xml:space="preserve">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r>
        <w:t xml:space="preserve">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r>
        <w:t xml:space="preserve">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r>
        <w:t xml:space="preserve"> and</w:t>
      </w:r>
    </w:p>
    <w:p>
      <w:pPr>
        <w:pStyle w:val="Indenta"/>
        <w:rPr>
          <w:snapToGrid w:val="0"/>
        </w:rPr>
      </w:pPr>
      <w:r>
        <w:rPr>
          <w:snapToGrid w:val="0"/>
        </w:rPr>
        <w:tab/>
        <w:t>(k)</w:t>
      </w:r>
      <w:r>
        <w:rPr>
          <w:snapToGrid w:val="0"/>
        </w:rPr>
        <w:tab/>
        <w:t xml:space="preserve">prescribe the circumstances under which an authorised person may remove a vehicle, or cause it to be removed, from University lands to a specified place, prescribe </w:t>
      </w:r>
      <w:r>
        <w:t>the authorised person’s</w:t>
      </w:r>
      <w:r>
        <w:rPr>
          <w:snapToGrid w:val="0"/>
        </w:rPr>
        <w:t xml:space="preserve"> further powers in relation thereto, prescribe the scale of charges to be paid to recover the vehicle from that place, and authorise the Council to hold the vehicle until the prescribed charges are paid;</w:t>
      </w:r>
      <w:r>
        <w:t xml:space="preserve"> and</w:t>
      </w:r>
    </w:p>
    <w:p>
      <w:pPr>
        <w:pStyle w:val="Indenta"/>
        <w:rPr>
          <w:snapToGrid w:val="0"/>
        </w:rPr>
      </w:pPr>
      <w:r>
        <w:rPr>
          <w:snapToGrid w:val="0"/>
        </w:rPr>
        <w:tab/>
        <w:t>(l)</w:t>
      </w:r>
      <w:r>
        <w:rPr>
          <w:snapToGrid w:val="0"/>
        </w:rPr>
        <w:tab/>
        <w:t xml:space="preserve">prescribe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provide that the due payment of a modified penalty is a defence to a charge of the breach in respect of which that modified penalty was paid;</w:t>
      </w:r>
      <w:r>
        <w:t xml:space="preserve">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w:t>
      </w:r>
      <w:r>
        <w:t xml:space="preserve"> and</w:t>
      </w:r>
    </w:p>
    <w:p>
      <w:pPr>
        <w:pStyle w:val="Indenta"/>
        <w:rPr>
          <w:snapToGrid w:val="0"/>
        </w:rPr>
      </w:pPr>
      <w:r>
        <w:rPr>
          <w:snapToGrid w:val="0"/>
        </w:rPr>
        <w:tab/>
        <w:t>(n)</w:t>
      </w:r>
      <w:r>
        <w:rPr>
          <w:snapToGrid w:val="0"/>
        </w:rPr>
        <w:tab/>
        <w:t xml:space="preserve">require any person using such lands to give </w:t>
      </w:r>
      <w:r>
        <w:t>the person’s</w:t>
      </w:r>
      <w:r>
        <w:rPr>
          <w:snapToGrid w:val="0"/>
        </w:rPr>
        <w:t xml:space="preserve">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Ednotesubsection"/>
      </w:pPr>
      <w:r>
        <w:tab/>
        <w:t>[(4)</w:t>
      </w:r>
      <w:r>
        <w:tab/>
        <w:t>deleted]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pPr>
      <w:r>
        <w:tab/>
        <w:t>(6)</w:t>
      </w:r>
      <w:r>
        <w:tab/>
        <w:t>A by</w:t>
      </w:r>
      <w:r>
        <w:noBreakHyphen/>
        <w:t>law may impose a penalty of a fine not exceeding $1 000 for a breach of the by</w:t>
      </w:r>
      <w:r>
        <w:noBreakHyphen/>
        <w:t>law.</w:t>
      </w:r>
    </w:p>
    <w:p>
      <w:pPr>
        <w:pStyle w:val="Subsection"/>
      </w:pPr>
      <w:r>
        <w:tab/>
        <w:t>(7A)</w:t>
      </w:r>
      <w:r>
        <w:tab/>
        <w:t>Proceedings for the breach of a by</w:t>
      </w:r>
      <w:r>
        <w:noBreakHyphen/>
        <w:t>law may be taken by an authorised person in the name of the authorised person.</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 xml:space="preserve">law by an enrolled student is a disciplinary offence proceedings for which may be commenced, heard, and determined under the disciplinary </w:t>
      </w:r>
      <w:r>
        <w:t xml:space="preserve">Statutes </w:t>
      </w:r>
      <w:r>
        <w:rPr>
          <w:snapToGrid w:val="0"/>
        </w:rPr>
        <w:t>and rules of the University instead of before a court of summary jurisdiction.</w:t>
      </w:r>
    </w:p>
    <w:p>
      <w:pPr>
        <w:pStyle w:val="Subsection"/>
      </w:pPr>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p>
    <w:p>
      <w:pPr>
        <w:pStyle w:val="Footnotesection"/>
      </w:pPr>
      <w:r>
        <w:tab/>
        <w:t>[Section 29 amended</w:t>
      </w:r>
      <w:del w:id="209" w:author="svcMRProcess" w:date="2020-02-24T13:05:00Z">
        <w:r>
          <w:delText xml:space="preserve"> by</w:delText>
        </w:r>
      </w:del>
      <w:ins w:id="210" w:author="svcMRProcess" w:date="2020-02-24T13:05:00Z">
        <w:r>
          <w:t>:</w:t>
        </w:r>
      </w:ins>
      <w:r>
        <w:t xml:space="preserve"> No. 63 of 1990 s. 19; No. 78 of 1995 s. 34; No. 84 of 2004 s. 80; No. 32 of 2016 s. 71.] </w:t>
      </w:r>
    </w:p>
    <w:p>
      <w:pPr>
        <w:pStyle w:val="Heading3"/>
      </w:pPr>
      <w:bookmarkStart w:id="211" w:name="_Toc32485772"/>
      <w:bookmarkStart w:id="212" w:name="_Toc32485883"/>
      <w:bookmarkStart w:id="213" w:name="_Toc494452122"/>
      <w:r>
        <w:rPr>
          <w:rStyle w:val="CharDivNo"/>
        </w:rPr>
        <w:t>Division 2</w:t>
      </w:r>
      <w:r>
        <w:t> — </w:t>
      </w:r>
      <w:r>
        <w:rPr>
          <w:rStyle w:val="CharDivText"/>
        </w:rPr>
        <w:t>Leasing University land for commercial purposes</w:t>
      </w:r>
      <w:bookmarkEnd w:id="211"/>
      <w:bookmarkEnd w:id="212"/>
      <w:bookmarkEnd w:id="213"/>
    </w:p>
    <w:p>
      <w:pPr>
        <w:pStyle w:val="Footnoteheading"/>
        <w:ind w:left="890"/>
        <w:rPr>
          <w:snapToGrid w:val="0"/>
        </w:rPr>
      </w:pPr>
      <w:r>
        <w:rPr>
          <w:snapToGrid w:val="0"/>
        </w:rPr>
        <w:tab/>
        <w:t>[Heading inserted</w:t>
      </w:r>
      <w:del w:id="214" w:author="svcMRProcess" w:date="2020-02-24T13:05:00Z">
        <w:r>
          <w:rPr>
            <w:snapToGrid w:val="0"/>
          </w:rPr>
          <w:delText xml:space="preserve"> by</w:delText>
        </w:r>
      </w:del>
      <w:ins w:id="215" w:author="svcMRProcess" w:date="2020-02-24T13:05:00Z">
        <w:r>
          <w:rPr>
            <w:snapToGrid w:val="0"/>
          </w:rPr>
          <w:t>:</w:t>
        </w:r>
      </w:ins>
      <w:r>
        <w:rPr>
          <w:snapToGrid w:val="0"/>
        </w:rPr>
        <w:t xml:space="preserve"> No. 32 of 2016 s. 72.] </w:t>
      </w:r>
    </w:p>
    <w:p>
      <w:pPr>
        <w:pStyle w:val="Heading4"/>
      </w:pPr>
      <w:bookmarkStart w:id="216" w:name="_Toc32485773"/>
      <w:bookmarkStart w:id="217" w:name="_Toc32485884"/>
      <w:bookmarkStart w:id="218" w:name="_Toc494452123"/>
      <w:r>
        <w:t>Subdivision 1 — Preliminary</w:t>
      </w:r>
      <w:bookmarkEnd w:id="216"/>
      <w:bookmarkEnd w:id="217"/>
      <w:bookmarkEnd w:id="218"/>
    </w:p>
    <w:p>
      <w:pPr>
        <w:pStyle w:val="Footnoteheading"/>
        <w:ind w:left="890"/>
        <w:rPr>
          <w:snapToGrid w:val="0"/>
        </w:rPr>
      </w:pPr>
      <w:r>
        <w:rPr>
          <w:snapToGrid w:val="0"/>
        </w:rPr>
        <w:tab/>
        <w:t>[Heading inserted</w:t>
      </w:r>
      <w:del w:id="219" w:author="svcMRProcess" w:date="2020-02-24T13:05:00Z">
        <w:r>
          <w:rPr>
            <w:snapToGrid w:val="0"/>
          </w:rPr>
          <w:delText xml:space="preserve"> by</w:delText>
        </w:r>
      </w:del>
      <w:ins w:id="220" w:author="svcMRProcess" w:date="2020-02-24T13:05:00Z">
        <w:r>
          <w:rPr>
            <w:snapToGrid w:val="0"/>
          </w:rPr>
          <w:t>:</w:t>
        </w:r>
      </w:ins>
      <w:r>
        <w:rPr>
          <w:snapToGrid w:val="0"/>
        </w:rPr>
        <w:t xml:space="preserve"> No. 32 of 2016 s. 72.] </w:t>
      </w:r>
    </w:p>
    <w:p>
      <w:pPr>
        <w:pStyle w:val="Heading5"/>
      </w:pPr>
      <w:bookmarkStart w:id="221" w:name="_Toc32485885"/>
      <w:bookmarkStart w:id="222" w:name="_Toc494452124"/>
      <w:r>
        <w:rPr>
          <w:rStyle w:val="CharSectno"/>
        </w:rPr>
        <w:t>30A</w:t>
      </w:r>
      <w:r>
        <w:t>.</w:t>
      </w:r>
      <w:r>
        <w:tab/>
        <w:t>Terms used</w:t>
      </w:r>
      <w:bookmarkEnd w:id="221"/>
      <w:bookmarkEnd w:id="222"/>
      <w:r>
        <w:t xml:space="preserve"> </w:t>
      </w:r>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30H;</w:t>
      </w:r>
    </w:p>
    <w:p>
      <w:pPr>
        <w:pStyle w:val="Defstart"/>
      </w:pPr>
      <w:r>
        <w:tab/>
      </w:r>
      <w:r>
        <w:rPr>
          <w:rStyle w:val="CharDefText"/>
        </w:rPr>
        <w:t>approval</w:t>
      </w:r>
      <w:r>
        <w:t xml:space="preserve"> means an approval granted under section 30I;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30L;</w:t>
      </w:r>
    </w:p>
    <w:p>
      <w:pPr>
        <w:pStyle w:val="Defstart"/>
        <w:rPr>
          <w:del w:id="223" w:author="svcMRProcess" w:date="2020-02-24T13:05:00Z"/>
        </w:rPr>
      </w:pPr>
      <w:del w:id="224" w:author="svcMRProcess" w:date="2020-02-24T13:05:00Z">
        <w:r>
          <w:tab/>
        </w:r>
        <w:r>
          <w:rPr>
            <w:rStyle w:val="CharDefText"/>
          </w:rPr>
          <w:delText>University land</w:delText>
        </w:r>
        <w:r>
          <w:delText xml:space="preserve"> means land vested in the University under section 28;</w:delText>
        </w:r>
      </w:del>
    </w:p>
    <w:p>
      <w:pPr>
        <w:pStyle w:val="Defstart"/>
      </w:pPr>
      <w:r>
        <w:tab/>
      </w:r>
      <w:r>
        <w:rPr>
          <w:rStyle w:val="CharDefText"/>
        </w:rPr>
        <w:t>university development proposal</w:t>
      </w:r>
      <w:r>
        <w:t xml:space="preserve"> means a proposal in respect of which the University intends to seek an approval under section 30I to do either or both of the things set out in section 30D(1</w:t>
      </w:r>
      <w:del w:id="225" w:author="svcMRProcess" w:date="2020-02-24T13:05:00Z">
        <w:r>
          <w:delText>).</w:delText>
        </w:r>
      </w:del>
      <w:ins w:id="226" w:author="svcMRProcess" w:date="2020-02-24T13:05:00Z">
        <w:r>
          <w:t>);</w:t>
        </w:r>
      </w:ins>
    </w:p>
    <w:p>
      <w:pPr>
        <w:pStyle w:val="Defstart"/>
        <w:rPr>
          <w:ins w:id="227" w:author="svcMRProcess" w:date="2020-02-24T13:05:00Z"/>
        </w:rPr>
      </w:pPr>
      <w:ins w:id="228" w:author="svcMRProcess" w:date="2020-02-24T13:05:00Z">
        <w:r>
          <w:tab/>
        </w:r>
        <w:r>
          <w:rPr>
            <w:rStyle w:val="CharDefText"/>
          </w:rPr>
          <w:t>University land</w:t>
        </w:r>
        <w:r>
          <w:t xml:space="preserve"> means land vested in the University under section 28.</w:t>
        </w:r>
      </w:ins>
    </w:p>
    <w:p>
      <w:pPr>
        <w:pStyle w:val="Footnotesection"/>
      </w:pPr>
      <w:r>
        <w:tab/>
        <w:t>[Section 30A inserted</w:t>
      </w:r>
      <w:del w:id="229" w:author="svcMRProcess" w:date="2020-02-24T13:05:00Z">
        <w:r>
          <w:delText xml:space="preserve"> by</w:delText>
        </w:r>
      </w:del>
      <w:ins w:id="230" w:author="svcMRProcess" w:date="2020-02-24T13:05:00Z">
        <w:r>
          <w:t>:</w:t>
        </w:r>
      </w:ins>
      <w:r>
        <w:t xml:space="preserve"> No. 32 of 2016 s. 72.]</w:t>
      </w:r>
    </w:p>
    <w:p>
      <w:pPr>
        <w:pStyle w:val="Heading5"/>
      </w:pPr>
      <w:bookmarkStart w:id="231" w:name="_Toc32485886"/>
      <w:bookmarkStart w:id="232" w:name="_Toc494452125"/>
      <w:r>
        <w:rPr>
          <w:rStyle w:val="CharSectno"/>
        </w:rPr>
        <w:t>30B</w:t>
      </w:r>
      <w:r>
        <w:t>.</w:t>
      </w:r>
      <w:r>
        <w:tab/>
        <w:t>Object of this Division</w:t>
      </w:r>
      <w:bookmarkEnd w:id="231"/>
      <w:bookmarkEnd w:id="232"/>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30B inserted</w:t>
      </w:r>
      <w:del w:id="233" w:author="svcMRProcess" w:date="2020-02-24T13:05:00Z">
        <w:r>
          <w:delText xml:space="preserve"> by</w:delText>
        </w:r>
      </w:del>
      <w:ins w:id="234" w:author="svcMRProcess" w:date="2020-02-24T13:05:00Z">
        <w:r>
          <w:t>:</w:t>
        </w:r>
      </w:ins>
      <w:r>
        <w:t xml:space="preserve"> No. 32 of 2016 s. 72.]</w:t>
      </w:r>
    </w:p>
    <w:p>
      <w:pPr>
        <w:pStyle w:val="Heading5"/>
        <w:pageBreakBefore/>
        <w:spacing w:before="0"/>
      </w:pPr>
      <w:bookmarkStart w:id="235" w:name="_Toc32485887"/>
      <w:bookmarkStart w:id="236" w:name="_Toc494452126"/>
      <w:r>
        <w:rPr>
          <w:rStyle w:val="CharSectno"/>
        </w:rPr>
        <w:t>30C</w:t>
      </w:r>
      <w:r>
        <w:t>.</w:t>
      </w:r>
      <w:r>
        <w:tab/>
        <w:t>Effect of Division on University functions, powers and obligations</w:t>
      </w:r>
      <w:bookmarkEnd w:id="235"/>
      <w:bookmarkEnd w:id="236"/>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30C inserted</w:t>
      </w:r>
      <w:del w:id="237" w:author="svcMRProcess" w:date="2020-02-24T13:05:00Z">
        <w:r>
          <w:delText xml:space="preserve"> by</w:delText>
        </w:r>
      </w:del>
      <w:ins w:id="238" w:author="svcMRProcess" w:date="2020-02-24T13:05:00Z">
        <w:r>
          <w:t>:</w:t>
        </w:r>
      </w:ins>
      <w:r>
        <w:t xml:space="preserve"> No. 32 of 2016 s. 72.]</w:t>
      </w:r>
    </w:p>
    <w:p>
      <w:pPr>
        <w:pStyle w:val="Heading4"/>
      </w:pPr>
      <w:bookmarkStart w:id="239" w:name="_Toc32485777"/>
      <w:bookmarkStart w:id="240" w:name="_Toc32485888"/>
      <w:bookmarkStart w:id="241" w:name="_Toc494452127"/>
      <w:r>
        <w:t>Subdivision 2 — Power to lease University land for commercial purposes</w:t>
      </w:r>
      <w:bookmarkEnd w:id="239"/>
      <w:bookmarkEnd w:id="240"/>
      <w:bookmarkEnd w:id="241"/>
    </w:p>
    <w:p>
      <w:pPr>
        <w:pStyle w:val="Footnoteheading"/>
        <w:ind w:left="890"/>
        <w:rPr>
          <w:snapToGrid w:val="0"/>
        </w:rPr>
      </w:pPr>
      <w:r>
        <w:rPr>
          <w:snapToGrid w:val="0"/>
        </w:rPr>
        <w:tab/>
        <w:t>[Heading inserted</w:t>
      </w:r>
      <w:del w:id="242" w:author="svcMRProcess" w:date="2020-02-24T13:05:00Z">
        <w:r>
          <w:rPr>
            <w:snapToGrid w:val="0"/>
          </w:rPr>
          <w:delText xml:space="preserve"> by</w:delText>
        </w:r>
      </w:del>
      <w:ins w:id="243" w:author="svcMRProcess" w:date="2020-02-24T13:05:00Z">
        <w:r>
          <w:rPr>
            <w:snapToGrid w:val="0"/>
          </w:rPr>
          <w:t>:</w:t>
        </w:r>
      </w:ins>
      <w:r>
        <w:rPr>
          <w:snapToGrid w:val="0"/>
        </w:rPr>
        <w:t xml:space="preserve"> No. 32 of 2016 s. 72.] </w:t>
      </w:r>
    </w:p>
    <w:p>
      <w:pPr>
        <w:pStyle w:val="Heading5"/>
      </w:pPr>
      <w:bookmarkStart w:id="244" w:name="_Toc32485889"/>
      <w:bookmarkStart w:id="245" w:name="_Toc494452128"/>
      <w:r>
        <w:rPr>
          <w:rStyle w:val="CharSectno"/>
        </w:rPr>
        <w:t>30D</w:t>
      </w:r>
      <w:r>
        <w:t>.</w:t>
      </w:r>
      <w:r>
        <w:tab/>
        <w:t>University may lease University land for commercial purposes with Ministerial approval</w:t>
      </w:r>
      <w:bookmarkEnd w:id="244"/>
      <w:bookmarkEnd w:id="245"/>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30D inserted</w:t>
      </w:r>
      <w:del w:id="246" w:author="svcMRProcess" w:date="2020-02-24T13:05:00Z">
        <w:r>
          <w:delText xml:space="preserve"> by</w:delText>
        </w:r>
      </w:del>
      <w:ins w:id="247" w:author="svcMRProcess" w:date="2020-02-24T13:05:00Z">
        <w:r>
          <w:t>:</w:t>
        </w:r>
      </w:ins>
      <w:r>
        <w:t xml:space="preserve"> No. 32 of 2016 s. 72.]</w:t>
      </w:r>
    </w:p>
    <w:p>
      <w:pPr>
        <w:pStyle w:val="Heading5"/>
      </w:pPr>
      <w:bookmarkStart w:id="248" w:name="_Toc32485890"/>
      <w:bookmarkStart w:id="249" w:name="_Toc494452129"/>
      <w:r>
        <w:rPr>
          <w:rStyle w:val="CharSectno"/>
        </w:rPr>
        <w:t>30E</w:t>
      </w:r>
      <w:r>
        <w:t>.</w:t>
      </w:r>
      <w:r>
        <w:tab/>
        <w:t>Effect of approval to lease University land</w:t>
      </w:r>
      <w:bookmarkEnd w:id="248"/>
      <w:bookmarkEnd w:id="249"/>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30E inserted</w:t>
      </w:r>
      <w:del w:id="250" w:author="svcMRProcess" w:date="2020-02-24T13:05:00Z">
        <w:r>
          <w:delText xml:space="preserve"> by</w:delText>
        </w:r>
      </w:del>
      <w:ins w:id="251" w:author="svcMRProcess" w:date="2020-02-24T13:05:00Z">
        <w:r>
          <w:t>:</w:t>
        </w:r>
      </w:ins>
      <w:r>
        <w:t xml:space="preserve"> No. 32 of 2016 s. 72.]</w:t>
      </w:r>
    </w:p>
    <w:p>
      <w:pPr>
        <w:pStyle w:val="Heading5"/>
      </w:pPr>
      <w:bookmarkStart w:id="252" w:name="_Toc32485891"/>
      <w:bookmarkStart w:id="253" w:name="_Toc494452130"/>
      <w:r>
        <w:rPr>
          <w:rStyle w:val="CharSectno"/>
        </w:rPr>
        <w:t>30F</w:t>
      </w:r>
      <w:r>
        <w:t>.</w:t>
      </w:r>
      <w:r>
        <w:tab/>
        <w:t>Approval in principle of university development proposal</w:t>
      </w:r>
      <w:bookmarkEnd w:id="252"/>
      <w:bookmarkEnd w:id="253"/>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30I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30F inserted</w:t>
      </w:r>
      <w:del w:id="254" w:author="svcMRProcess" w:date="2020-02-24T13:05:00Z">
        <w:r>
          <w:delText xml:space="preserve"> by</w:delText>
        </w:r>
      </w:del>
      <w:ins w:id="255" w:author="svcMRProcess" w:date="2020-02-24T13:05:00Z">
        <w:r>
          <w:t>:</w:t>
        </w:r>
      </w:ins>
      <w:r>
        <w:t xml:space="preserve"> No. 32 of 2016 s. 72.]</w:t>
      </w:r>
    </w:p>
    <w:p>
      <w:pPr>
        <w:pStyle w:val="Heading5"/>
      </w:pPr>
      <w:bookmarkStart w:id="256" w:name="_Toc32485892"/>
      <w:bookmarkStart w:id="257" w:name="_Toc494452131"/>
      <w:r>
        <w:rPr>
          <w:rStyle w:val="CharSectno"/>
        </w:rPr>
        <w:t>30G</w:t>
      </w:r>
      <w:r>
        <w:t>.</w:t>
      </w:r>
      <w:r>
        <w:tab/>
        <w:t>Application for advance determination of approval</w:t>
      </w:r>
      <w:bookmarkEnd w:id="256"/>
      <w:bookmarkEnd w:id="257"/>
    </w:p>
    <w:p>
      <w:pPr>
        <w:pStyle w:val="Subsection"/>
      </w:pPr>
      <w:r>
        <w:tab/>
        <w:t>(1)</w:t>
      </w:r>
      <w:r>
        <w:tab/>
        <w:t>The University may apply to the Minister for a determination that, if an application is made for an approval under section 30I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30F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30I,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p>
    <w:p>
      <w:pPr>
        <w:pStyle w:val="Subsection"/>
        <w:keepNext/>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30G inserted</w:t>
      </w:r>
      <w:del w:id="258" w:author="svcMRProcess" w:date="2020-02-24T13:05:00Z">
        <w:r>
          <w:delText xml:space="preserve"> by</w:delText>
        </w:r>
      </w:del>
      <w:ins w:id="259" w:author="svcMRProcess" w:date="2020-02-24T13:05:00Z">
        <w:r>
          <w:t>:</w:t>
        </w:r>
      </w:ins>
      <w:r>
        <w:t xml:space="preserve"> No. 32 of 2016 s. 72.]</w:t>
      </w:r>
    </w:p>
    <w:p>
      <w:pPr>
        <w:pStyle w:val="Heading5"/>
      </w:pPr>
      <w:bookmarkStart w:id="260" w:name="_Toc32485893"/>
      <w:bookmarkStart w:id="261" w:name="_Toc494452132"/>
      <w:r>
        <w:rPr>
          <w:rStyle w:val="CharSectno"/>
        </w:rPr>
        <w:t>30H</w:t>
      </w:r>
      <w:r>
        <w:t>.</w:t>
      </w:r>
      <w:r>
        <w:tab/>
        <w:t>Advance determination of approval</w:t>
      </w:r>
      <w:bookmarkEnd w:id="260"/>
      <w:bookmarkEnd w:id="261"/>
    </w:p>
    <w:p>
      <w:pPr>
        <w:pStyle w:val="Subsection"/>
      </w:pPr>
      <w:r>
        <w:tab/>
        <w:t>(1)</w:t>
      </w:r>
      <w:r>
        <w:tab/>
        <w:t>If the University applies under section 30G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30F in relation to the proposal; and</w:t>
      </w:r>
    </w:p>
    <w:p>
      <w:pPr>
        <w:pStyle w:val="Indenta"/>
      </w:pPr>
      <w:r>
        <w:tab/>
        <w:t>(b)</w:t>
      </w:r>
      <w:r>
        <w:tab/>
        <w:t>the Minister is satisfied that, in respect of the matters referred to in section 30F(2)(a)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30H inserted</w:t>
      </w:r>
      <w:del w:id="262" w:author="svcMRProcess" w:date="2020-02-24T13:05:00Z">
        <w:r>
          <w:delText xml:space="preserve"> by</w:delText>
        </w:r>
      </w:del>
      <w:ins w:id="263" w:author="svcMRProcess" w:date="2020-02-24T13:05:00Z">
        <w:r>
          <w:t>:</w:t>
        </w:r>
      </w:ins>
      <w:r>
        <w:t xml:space="preserve"> No. 32 of 2016 s. 72.]</w:t>
      </w:r>
    </w:p>
    <w:p>
      <w:pPr>
        <w:pStyle w:val="Heading5"/>
      </w:pPr>
      <w:bookmarkStart w:id="264" w:name="_Toc32485894"/>
      <w:bookmarkStart w:id="265" w:name="_Toc494452133"/>
      <w:r>
        <w:rPr>
          <w:rStyle w:val="CharSectno"/>
        </w:rPr>
        <w:t>30I</w:t>
      </w:r>
      <w:r>
        <w:t>.</w:t>
      </w:r>
      <w:r>
        <w:tab/>
        <w:t>Approvals</w:t>
      </w:r>
      <w:bookmarkEnd w:id="264"/>
      <w:bookmarkEnd w:id="265"/>
    </w:p>
    <w:p>
      <w:pPr>
        <w:pStyle w:val="Subsection"/>
      </w:pPr>
      <w:r>
        <w:tab/>
        <w:t>(1)</w:t>
      </w:r>
      <w:r>
        <w:tab/>
        <w:t>The University may apply to the Minister for approval to do either or both of the things set out in section 30D(1).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30F,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30H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30I inserted</w:t>
      </w:r>
      <w:del w:id="266" w:author="svcMRProcess" w:date="2020-02-24T13:05:00Z">
        <w:r>
          <w:delText xml:space="preserve"> by</w:delText>
        </w:r>
      </w:del>
      <w:ins w:id="267" w:author="svcMRProcess" w:date="2020-02-24T13:05:00Z">
        <w:r>
          <w:t>:</w:t>
        </w:r>
      </w:ins>
      <w:r>
        <w:t xml:space="preserve"> No. 32 of 2016 s. 72.]</w:t>
      </w:r>
    </w:p>
    <w:p>
      <w:pPr>
        <w:pStyle w:val="Heading5"/>
      </w:pPr>
      <w:bookmarkStart w:id="268" w:name="_Toc32485895"/>
      <w:bookmarkStart w:id="269" w:name="_Toc494452134"/>
      <w:r>
        <w:rPr>
          <w:rStyle w:val="CharSectno"/>
        </w:rPr>
        <w:t>30J</w:t>
      </w:r>
      <w:r>
        <w:t>.</w:t>
      </w:r>
      <w:r>
        <w:tab/>
        <w:t>Notification of decision on application for approval</w:t>
      </w:r>
      <w:bookmarkEnd w:id="268"/>
      <w:bookmarkEnd w:id="269"/>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30J inserted</w:t>
      </w:r>
      <w:del w:id="270" w:author="svcMRProcess" w:date="2020-02-24T13:05:00Z">
        <w:r>
          <w:delText xml:space="preserve"> by</w:delText>
        </w:r>
      </w:del>
      <w:ins w:id="271" w:author="svcMRProcess" w:date="2020-02-24T13:05:00Z">
        <w:r>
          <w:t>:</w:t>
        </w:r>
      </w:ins>
      <w:r>
        <w:t xml:space="preserve"> No. 32 of 2016 s. 72.]</w:t>
      </w:r>
    </w:p>
    <w:p>
      <w:pPr>
        <w:pStyle w:val="Heading5"/>
      </w:pPr>
      <w:bookmarkStart w:id="272" w:name="_Toc32485896"/>
      <w:bookmarkStart w:id="273" w:name="_Toc494452135"/>
      <w:r>
        <w:rPr>
          <w:rStyle w:val="CharSectno"/>
        </w:rPr>
        <w:t>30K</w:t>
      </w:r>
      <w:r>
        <w:t>.</w:t>
      </w:r>
      <w:r>
        <w:tab/>
        <w:t>Alteration of approval</w:t>
      </w:r>
      <w:bookmarkEnd w:id="272"/>
      <w:bookmarkEnd w:id="273"/>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30K inserted</w:t>
      </w:r>
      <w:del w:id="274" w:author="svcMRProcess" w:date="2020-02-24T13:05:00Z">
        <w:r>
          <w:delText xml:space="preserve"> by</w:delText>
        </w:r>
      </w:del>
      <w:ins w:id="275" w:author="svcMRProcess" w:date="2020-02-24T13:05:00Z">
        <w:r>
          <w:t>:</w:t>
        </w:r>
      </w:ins>
      <w:r>
        <w:t xml:space="preserve"> No. 32 of 2016 s. 72.]</w:t>
      </w:r>
    </w:p>
    <w:p>
      <w:pPr>
        <w:pStyle w:val="Heading5"/>
      </w:pPr>
      <w:bookmarkStart w:id="276" w:name="_Toc32485897"/>
      <w:bookmarkStart w:id="277" w:name="_Toc494452136"/>
      <w:r>
        <w:rPr>
          <w:rStyle w:val="CharSectno"/>
        </w:rPr>
        <w:t>30L</w:t>
      </w:r>
      <w:r>
        <w:t>.</w:t>
      </w:r>
      <w:r>
        <w:tab/>
        <w:t>Payment agreements</w:t>
      </w:r>
      <w:bookmarkEnd w:id="276"/>
      <w:bookmarkEnd w:id="277"/>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30L inserted</w:t>
      </w:r>
      <w:del w:id="278" w:author="svcMRProcess" w:date="2020-02-24T13:05:00Z">
        <w:r>
          <w:delText xml:space="preserve"> by</w:delText>
        </w:r>
      </w:del>
      <w:ins w:id="279" w:author="svcMRProcess" w:date="2020-02-24T13:05:00Z">
        <w:r>
          <w:t>:</w:t>
        </w:r>
      </w:ins>
      <w:r>
        <w:t xml:space="preserve"> No. 32 of 2016 s. 72.]</w:t>
      </w:r>
    </w:p>
    <w:p>
      <w:pPr>
        <w:pStyle w:val="Heading5"/>
      </w:pPr>
      <w:bookmarkStart w:id="280" w:name="_Toc32485898"/>
      <w:bookmarkStart w:id="281" w:name="_Toc494452137"/>
      <w:r>
        <w:rPr>
          <w:rStyle w:val="CharSectno"/>
        </w:rPr>
        <w:t>30M</w:t>
      </w:r>
      <w:r>
        <w:t>.</w:t>
      </w:r>
      <w:r>
        <w:tab/>
        <w:t>Minister may delegate functions under this Division</w:t>
      </w:r>
      <w:bookmarkEnd w:id="280"/>
      <w:bookmarkEnd w:id="281"/>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30M inserted</w:t>
      </w:r>
      <w:del w:id="282" w:author="svcMRProcess" w:date="2020-02-24T13:05:00Z">
        <w:r>
          <w:delText xml:space="preserve"> by</w:delText>
        </w:r>
      </w:del>
      <w:ins w:id="283" w:author="svcMRProcess" w:date="2020-02-24T13:05:00Z">
        <w:r>
          <w:t>:</w:t>
        </w:r>
      </w:ins>
      <w:r>
        <w:t xml:space="preserve"> No. 32 of 2016 s. 72.]</w:t>
      </w:r>
    </w:p>
    <w:p>
      <w:pPr>
        <w:pStyle w:val="Heading2"/>
      </w:pPr>
      <w:bookmarkStart w:id="284" w:name="_Toc32485788"/>
      <w:bookmarkStart w:id="285" w:name="_Toc32485899"/>
      <w:bookmarkStart w:id="286" w:name="_Toc494452138"/>
      <w:r>
        <w:rPr>
          <w:rStyle w:val="CharPartNo"/>
        </w:rPr>
        <w:t>Part VII</w:t>
      </w:r>
      <w:r>
        <w:rPr>
          <w:rStyle w:val="CharDivNo"/>
        </w:rPr>
        <w:t> </w:t>
      </w:r>
      <w:r>
        <w:t>—</w:t>
      </w:r>
      <w:r>
        <w:rPr>
          <w:rStyle w:val="CharDivText"/>
        </w:rPr>
        <w:t> </w:t>
      </w:r>
      <w:r>
        <w:rPr>
          <w:rStyle w:val="CharPartText"/>
        </w:rPr>
        <w:t>Staff</w:t>
      </w:r>
      <w:bookmarkEnd w:id="284"/>
      <w:bookmarkEnd w:id="285"/>
      <w:bookmarkEnd w:id="286"/>
      <w:r>
        <w:rPr>
          <w:rStyle w:val="CharPartText"/>
        </w:rPr>
        <w:t xml:space="preserve"> </w:t>
      </w:r>
    </w:p>
    <w:p>
      <w:pPr>
        <w:pStyle w:val="Heading5"/>
      </w:pPr>
      <w:bookmarkStart w:id="287" w:name="_Toc32485900"/>
      <w:bookmarkStart w:id="288" w:name="_Toc494452139"/>
      <w:r>
        <w:rPr>
          <w:rStyle w:val="CharSectno"/>
        </w:rPr>
        <w:t>30</w:t>
      </w:r>
      <w:r>
        <w:t>.</w:t>
      </w:r>
      <w:r>
        <w:tab/>
        <w:t>Vice</w:t>
      </w:r>
      <w:r>
        <w:noBreakHyphen/>
        <w:t>Chancellor</w:t>
      </w:r>
      <w:bookmarkEnd w:id="287"/>
      <w:bookmarkEnd w:id="288"/>
      <w:r>
        <w:t xml:space="preserve"> </w:t>
      </w:r>
    </w:p>
    <w:p>
      <w:pPr>
        <w:pStyle w:val="Subsection"/>
      </w:pPr>
      <w:r>
        <w:tab/>
        <w:t>(1)</w:t>
      </w:r>
      <w:r>
        <w:tab/>
        <w:t>The Council must appoint and may terminate the appointment of a Vice</w:t>
      </w:r>
      <w:r>
        <w:noBreakHyphen/>
        <w:t xml:space="preserve">Chancellor. </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as such for the period and on the conditions the Council determines.</w:t>
      </w:r>
    </w:p>
    <w:p>
      <w:pPr>
        <w:pStyle w:val="Subsection"/>
      </w:pPr>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30 inserted</w:t>
      </w:r>
      <w:del w:id="289" w:author="svcMRProcess" w:date="2020-02-24T13:05:00Z">
        <w:r>
          <w:delText xml:space="preserve"> by</w:delText>
        </w:r>
      </w:del>
      <w:ins w:id="290" w:author="svcMRProcess" w:date="2020-02-24T13:05:00Z">
        <w:r>
          <w:t>:</w:t>
        </w:r>
      </w:ins>
      <w:r>
        <w:t xml:space="preserve"> No. 32 of 2016 s. 73.]</w:t>
      </w:r>
    </w:p>
    <w:p>
      <w:pPr>
        <w:pStyle w:val="Heading5"/>
        <w:rPr>
          <w:snapToGrid w:val="0"/>
        </w:rPr>
      </w:pPr>
      <w:bookmarkStart w:id="291" w:name="_Toc32485901"/>
      <w:bookmarkStart w:id="292" w:name="_Toc494452140"/>
      <w:r>
        <w:rPr>
          <w:rStyle w:val="CharSectno"/>
        </w:rPr>
        <w:t>31</w:t>
      </w:r>
      <w:r>
        <w:rPr>
          <w:snapToGrid w:val="0"/>
        </w:rPr>
        <w:t>.</w:t>
      </w:r>
      <w:r>
        <w:rPr>
          <w:snapToGrid w:val="0"/>
        </w:rPr>
        <w:tab/>
        <w:t>Academic and other staff</w:t>
      </w:r>
      <w:bookmarkEnd w:id="291"/>
      <w:bookmarkEnd w:id="292"/>
      <w:r>
        <w:rPr>
          <w:snapToGrid w:val="0"/>
        </w:rPr>
        <w:t xml:space="preserve"> </w:t>
      </w:r>
    </w:p>
    <w:p>
      <w:pPr>
        <w:pStyle w:val="Subsection"/>
        <w:rPr>
          <w:snapToGrid w:val="0"/>
        </w:rPr>
      </w:pPr>
      <w:r>
        <w:rPr>
          <w:snapToGrid w:val="0"/>
        </w:rPr>
        <w:tab/>
        <w:t>(1)</w:t>
      </w:r>
      <w:r>
        <w:rPr>
          <w:snapToGrid w:val="0"/>
        </w:rPr>
        <w:tab/>
        <w:t xml:space="preserve">Subject to this </w:t>
      </w:r>
      <w:r>
        <w:t>Act, any relevant written law and any relevant industrial award or industrial agreement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[Section 31 amended</w:t>
      </w:r>
      <w:del w:id="293" w:author="svcMRProcess" w:date="2020-02-24T13:05:00Z">
        <w:r>
          <w:delText xml:space="preserve"> by</w:delText>
        </w:r>
      </w:del>
      <w:ins w:id="294" w:author="svcMRProcess" w:date="2020-02-24T13:05:00Z">
        <w:r>
          <w:t>:</w:t>
        </w:r>
      </w:ins>
      <w:r>
        <w:t xml:space="preserve"> No. 63 of 1991 s. 19; No. 39 of 2010 s. 89; No. 32 of 2016 s. 74.] </w:t>
      </w:r>
    </w:p>
    <w:p>
      <w:pPr>
        <w:pStyle w:val="Heading5"/>
        <w:rPr>
          <w:snapToGrid w:val="0"/>
        </w:rPr>
      </w:pPr>
      <w:bookmarkStart w:id="295" w:name="_Toc32485902"/>
      <w:bookmarkStart w:id="296" w:name="_Toc494452141"/>
      <w:r>
        <w:rPr>
          <w:rStyle w:val="CharSectno"/>
        </w:rPr>
        <w:t>32</w:t>
      </w:r>
      <w:r>
        <w:rPr>
          <w:snapToGrid w:val="0"/>
        </w:rPr>
        <w:t>.</w:t>
      </w:r>
      <w:r>
        <w:rPr>
          <w:snapToGrid w:val="0"/>
        </w:rPr>
        <w:tab/>
        <w:t>Continuation of existing rights</w:t>
      </w:r>
      <w:bookmarkEnd w:id="295"/>
      <w:bookmarkEnd w:id="296"/>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del w:id="297" w:author="svcMRProcess" w:date="2020-02-24T13:05:00Z">
        <w:r>
          <w:rPr>
            <w:snapToGrid w:val="0"/>
          </w:rPr>
          <w:delText xml:space="preserve"> </w:delText>
        </w:r>
        <w:r>
          <w:rPr>
            <w:snapToGrid w:val="0"/>
            <w:vertAlign w:val="superscript"/>
          </w:rPr>
          <w:delText>2</w:delText>
        </w:r>
      </w:del>
      <w:ins w:id="298" w:author="svcMRProcess" w:date="2020-02-24T13:05:00Z">
        <w:r>
          <w:rPr>
            <w:snapToGrid w:val="0"/>
            <w:vertAlign w:val="superscript"/>
          </w:rPr>
          <w:t> 1</w:t>
        </w:r>
      </w:ins>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del w:id="299" w:author="svcMRProcess" w:date="2020-02-24T13:05:00Z">
        <w:r>
          <w:rPr>
            <w:rFonts w:ascii="Times" w:hAnsi="Times"/>
            <w:snapToGrid w:val="0"/>
            <w:vertAlign w:val="superscript"/>
          </w:rPr>
          <w:delText>4</w:delText>
        </w:r>
      </w:del>
      <w:ins w:id="300" w:author="svcMRProcess" w:date="2020-02-24T13:05:00Z">
        <w:r>
          <w:rPr>
            <w:rFonts w:ascii="Times" w:hAnsi="Times"/>
            <w:iCs/>
            <w:snapToGrid w:val="0"/>
            <w:vertAlign w:val="superscript"/>
          </w:rPr>
          <w:t>3</w:t>
        </w:r>
      </w:ins>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del w:id="301" w:author="svcMRProcess" w:date="2020-02-24T13:05:00Z">
        <w:r>
          <w:rPr>
            <w:rFonts w:ascii="Times" w:hAnsi="Times"/>
            <w:snapToGrid w:val="0"/>
            <w:vertAlign w:val="superscript"/>
          </w:rPr>
          <w:delText>5</w:delText>
        </w:r>
      </w:del>
      <w:ins w:id="302" w:author="svcMRProcess" w:date="2020-02-24T13:05:00Z">
        <w:r>
          <w:rPr>
            <w:snapToGrid w:val="0"/>
            <w:vertAlign w:val="superscript"/>
          </w:rPr>
          <w:t>4</w:t>
        </w:r>
      </w:ins>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w:t>
      </w:r>
      <w:del w:id="303" w:author="svcMRProcess" w:date="2020-02-24T13:05:00Z">
        <w:r>
          <w:rPr>
            <w:iCs/>
            <w:snapToGrid w:val="0"/>
            <w:vertAlign w:val="superscript"/>
          </w:rPr>
          <w:delText>6</w:delText>
        </w:r>
      </w:del>
      <w:ins w:id="304" w:author="svcMRProcess" w:date="2020-02-24T13:05:00Z">
        <w:r>
          <w:rPr>
            <w:iCs/>
            <w:snapToGrid w:val="0"/>
            <w:vertAlign w:val="superscript"/>
          </w:rPr>
          <w:t>5</w:t>
        </w:r>
      </w:ins>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w:t>
      </w:r>
      <w:del w:id="305" w:author="svcMRProcess" w:date="2020-02-24T13:05:00Z">
        <w:r>
          <w:rPr>
            <w:iCs/>
            <w:snapToGrid w:val="0"/>
            <w:vertAlign w:val="superscript"/>
          </w:rPr>
          <w:delText>5</w:delText>
        </w:r>
      </w:del>
      <w:ins w:id="306" w:author="svcMRProcess" w:date="2020-02-24T13:05:00Z">
        <w:r>
          <w:rPr>
            <w:iCs/>
            <w:snapToGrid w:val="0"/>
            <w:vertAlign w:val="superscript"/>
          </w:rPr>
          <w:t>4</w:t>
        </w:r>
      </w:ins>
      <w:r>
        <w:rPr>
          <w:snapToGrid w:val="0"/>
        </w:rPr>
        <w:t xml:space="preserve"> or the </w:t>
      </w:r>
      <w:r>
        <w:rPr>
          <w:i/>
          <w:snapToGrid w:val="0"/>
        </w:rPr>
        <w:t>Government Employees Superannuation Act 1987</w:t>
      </w:r>
      <w:r>
        <w:rPr>
          <w:iCs/>
          <w:snapToGrid w:val="0"/>
          <w:vertAlign w:val="superscript"/>
        </w:rPr>
        <w:t> </w:t>
      </w:r>
      <w:del w:id="307" w:author="svcMRProcess" w:date="2020-02-24T13:05:00Z">
        <w:r>
          <w:rPr>
            <w:iCs/>
            <w:snapToGrid w:val="0"/>
            <w:vertAlign w:val="superscript"/>
          </w:rPr>
          <w:delText>6</w:delText>
        </w:r>
      </w:del>
      <w:ins w:id="308" w:author="svcMRProcess" w:date="2020-02-24T13:05:00Z">
        <w:r>
          <w:rPr>
            <w:iCs/>
            <w:snapToGrid w:val="0"/>
            <w:vertAlign w:val="superscript"/>
          </w:rPr>
          <w:t>5</w:t>
        </w:r>
      </w:ins>
      <w:r>
        <w:rPr>
          <w:snapToGrid w:val="0"/>
        </w:rPr>
        <w:t>.</w:t>
      </w:r>
    </w:p>
    <w:p>
      <w:pPr>
        <w:pStyle w:val="Footnotesection"/>
      </w:pPr>
      <w:r>
        <w:tab/>
        <w:t>[Section 32 amended</w:t>
      </w:r>
      <w:del w:id="309" w:author="svcMRProcess" w:date="2020-02-24T13:05:00Z">
        <w:r>
          <w:delText xml:space="preserve"> by</w:delText>
        </w:r>
      </w:del>
      <w:ins w:id="310" w:author="svcMRProcess" w:date="2020-02-24T13:05:00Z">
        <w:r>
          <w:t>:</w:t>
        </w:r>
      </w:ins>
      <w:r>
        <w:t xml:space="preserve"> No. 77 of 1985 s. 12; No. 36 of 1999 s. 247.] </w:t>
      </w:r>
    </w:p>
    <w:p>
      <w:pPr>
        <w:pStyle w:val="Ednotesection"/>
        <w:spacing w:before="120"/>
        <w:ind w:left="890" w:hanging="890"/>
      </w:pPr>
      <w:r>
        <w:t>[</w:t>
      </w:r>
      <w:r>
        <w:rPr>
          <w:b/>
        </w:rPr>
        <w:t>33.</w:t>
      </w:r>
      <w:r>
        <w:tab/>
      </w:r>
      <w:r>
        <w:tab/>
        <w:t>Deleted</w:t>
      </w:r>
      <w:del w:id="311" w:author="svcMRProcess" w:date="2020-02-24T13:05:00Z">
        <w:r>
          <w:delText xml:space="preserve"> by</w:delText>
        </w:r>
      </w:del>
      <w:ins w:id="312" w:author="svcMRProcess" w:date="2020-02-24T13:05:00Z">
        <w:r>
          <w:t>:</w:t>
        </w:r>
      </w:ins>
      <w:r>
        <w:t xml:space="preserve"> No. 1 of 1995 s. 35.] </w:t>
      </w:r>
    </w:p>
    <w:p>
      <w:pPr>
        <w:pStyle w:val="Heading5"/>
        <w:pageBreakBefore/>
        <w:spacing w:before="0"/>
        <w:rPr>
          <w:snapToGrid w:val="0"/>
        </w:rPr>
      </w:pPr>
      <w:bookmarkStart w:id="313" w:name="_Toc32485903"/>
      <w:bookmarkStart w:id="314" w:name="_Toc494452142"/>
      <w:r>
        <w:rPr>
          <w:rStyle w:val="CharSectno"/>
        </w:rPr>
        <w:t>34</w:t>
      </w:r>
      <w:r>
        <w:rPr>
          <w:snapToGrid w:val="0"/>
        </w:rPr>
        <w:t>.</w:t>
      </w:r>
      <w:r>
        <w:rPr>
          <w:snapToGrid w:val="0"/>
        </w:rPr>
        <w:tab/>
        <w:t>Superannuation</w:t>
      </w:r>
      <w:bookmarkEnd w:id="313"/>
      <w:bookmarkEnd w:id="31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del w:id="315" w:author="svcMRProcess" w:date="2020-02-24T13:05:00Z">
        <w:r>
          <w:rPr>
            <w:snapToGrid w:val="0"/>
            <w:vertAlign w:val="superscript"/>
          </w:rPr>
          <w:delText> 1</w:delText>
        </w:r>
      </w:del>
      <w:r>
        <w:rPr>
          <w:snapToGrid w:val="0"/>
        </w:rPr>
        <w:t xml:space="preserve"> or a contributor for pension, superannuation or benefits under the </w:t>
      </w:r>
      <w:r>
        <w:rPr>
          <w:i/>
          <w:snapToGrid w:val="0"/>
        </w:rPr>
        <w:t>Superannuation and Family Benefits Act 1938</w:t>
      </w:r>
      <w:r>
        <w:rPr>
          <w:iCs/>
          <w:snapToGrid w:val="0"/>
          <w:vertAlign w:val="superscript"/>
        </w:rPr>
        <w:t> </w:t>
      </w:r>
      <w:del w:id="316" w:author="svcMRProcess" w:date="2020-02-24T13:05:00Z">
        <w:r>
          <w:rPr>
            <w:iCs/>
            <w:snapToGrid w:val="0"/>
            <w:vertAlign w:val="superscript"/>
          </w:rPr>
          <w:delText>5</w:delText>
        </w:r>
      </w:del>
      <w:ins w:id="317" w:author="svcMRProcess" w:date="2020-02-24T13:05:00Z">
        <w:r>
          <w:rPr>
            <w:iCs/>
            <w:snapToGrid w:val="0"/>
            <w:vertAlign w:val="superscript"/>
          </w:rPr>
          <w:t>4</w:t>
        </w:r>
      </w:ins>
      <w:r>
        <w:rPr>
          <w:snapToGrid w:val="0"/>
        </w:rPr>
        <w:t>.</w:t>
      </w:r>
    </w:p>
    <w:p>
      <w:pPr>
        <w:pStyle w:val="Footnotesection"/>
      </w:pPr>
      <w:r>
        <w:tab/>
        <w:t>[Section 34 inserted</w:t>
      </w:r>
      <w:del w:id="318" w:author="svcMRProcess" w:date="2020-02-24T13:05:00Z">
        <w:r>
          <w:delText xml:space="preserve"> by</w:delText>
        </w:r>
      </w:del>
      <w:ins w:id="319" w:author="svcMRProcess" w:date="2020-02-24T13:05:00Z">
        <w:r>
          <w:t>:</w:t>
        </w:r>
      </w:ins>
      <w:r>
        <w:t xml:space="preserve"> No. 77 of 1985 s. 13; amended</w:t>
      </w:r>
      <w:del w:id="320" w:author="svcMRProcess" w:date="2020-02-24T13:05:00Z">
        <w:r>
          <w:delText xml:space="preserve"> by</w:delText>
        </w:r>
      </w:del>
      <w:ins w:id="321" w:author="svcMRProcess" w:date="2020-02-24T13:05:00Z">
        <w:r>
          <w:t>:</w:t>
        </w:r>
      </w:ins>
      <w:r>
        <w:t xml:space="preserve"> No. 63 of 1990 s. 19.] </w:t>
      </w:r>
    </w:p>
    <w:p>
      <w:pPr>
        <w:pStyle w:val="Heading5"/>
        <w:pageBreakBefore/>
        <w:spacing w:before="0"/>
        <w:rPr>
          <w:snapToGrid w:val="0"/>
        </w:rPr>
      </w:pPr>
      <w:bookmarkStart w:id="322" w:name="_Toc32485904"/>
      <w:bookmarkStart w:id="323" w:name="_Toc494452143"/>
      <w:r>
        <w:rPr>
          <w:rStyle w:val="CharSectno"/>
        </w:rPr>
        <w:t>35</w:t>
      </w:r>
      <w:r>
        <w:rPr>
          <w:snapToGrid w:val="0"/>
        </w:rPr>
        <w:t>.</w:t>
      </w:r>
      <w:r>
        <w:rPr>
          <w:snapToGrid w:val="0"/>
        </w:rPr>
        <w:tab/>
        <w:t>Staff associations</w:t>
      </w:r>
      <w:bookmarkEnd w:id="322"/>
      <w:bookmarkEnd w:id="323"/>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[Section 35 amended</w:t>
      </w:r>
      <w:del w:id="324" w:author="svcMRProcess" w:date="2020-02-24T13:05:00Z">
        <w:r>
          <w:delText xml:space="preserve"> by</w:delText>
        </w:r>
      </w:del>
      <w:ins w:id="325" w:author="svcMRProcess" w:date="2020-02-24T13:05:00Z">
        <w:r>
          <w:t>:</w:t>
        </w:r>
      </w:ins>
      <w:r>
        <w:t xml:space="preserve"> No. 63 of 1990 s. 19.] </w:t>
      </w:r>
    </w:p>
    <w:p>
      <w:pPr>
        <w:pStyle w:val="Heading2"/>
      </w:pPr>
      <w:bookmarkStart w:id="326" w:name="_Toc32485794"/>
      <w:bookmarkStart w:id="327" w:name="_Toc32485905"/>
      <w:bookmarkStart w:id="328" w:name="_Toc494452144"/>
      <w:r>
        <w:rPr>
          <w:rStyle w:val="CharPartNo"/>
        </w:rPr>
        <w:t>Part VIII</w:t>
      </w:r>
      <w:r>
        <w:rPr>
          <w:rStyle w:val="CharDivNo"/>
        </w:rPr>
        <w:t> </w:t>
      </w:r>
      <w:r>
        <w:t>—</w:t>
      </w:r>
      <w:r>
        <w:rPr>
          <w:rStyle w:val="CharDivText"/>
        </w:rPr>
        <w:t> </w:t>
      </w:r>
      <w:r>
        <w:rPr>
          <w:rStyle w:val="CharPartText"/>
        </w:rPr>
        <w:t>Financial provisions</w:t>
      </w:r>
      <w:bookmarkEnd w:id="326"/>
      <w:bookmarkEnd w:id="327"/>
      <w:bookmarkEnd w:id="328"/>
      <w:r>
        <w:rPr>
          <w:rStyle w:val="CharPartText"/>
        </w:rPr>
        <w:t xml:space="preserve"> </w:t>
      </w:r>
    </w:p>
    <w:p>
      <w:pPr>
        <w:pStyle w:val="Heading5"/>
        <w:rPr>
          <w:snapToGrid w:val="0"/>
        </w:rPr>
      </w:pPr>
      <w:bookmarkStart w:id="329" w:name="_Toc32485906"/>
      <w:bookmarkStart w:id="330" w:name="_Toc494452145"/>
      <w:r>
        <w:rPr>
          <w:rStyle w:val="CharSectno"/>
        </w:rPr>
        <w:t>36</w:t>
      </w:r>
      <w:r>
        <w:rPr>
          <w:snapToGrid w:val="0"/>
        </w:rPr>
        <w:t>.</w:t>
      </w:r>
      <w:r>
        <w:rPr>
          <w:snapToGrid w:val="0"/>
        </w:rPr>
        <w:tab/>
        <w:t>Funds of the University</w:t>
      </w:r>
      <w:bookmarkEnd w:id="329"/>
      <w:bookmarkEnd w:id="330"/>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30I; and</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[Section 36 amended</w:t>
      </w:r>
      <w:del w:id="331" w:author="svcMRProcess" w:date="2020-02-24T13:05:00Z">
        <w:r>
          <w:delText xml:space="preserve"> by</w:delText>
        </w:r>
      </w:del>
      <w:ins w:id="332" w:author="svcMRProcess" w:date="2020-02-24T13:05:00Z">
        <w:r>
          <w:t>:</w:t>
        </w:r>
      </w:ins>
      <w:r>
        <w:t xml:space="preserve"> No. 63 of 1990 s. 19; No. 49 of 1996 s. 53; No. 77 of 2006 s. 17; No. 32 of 2016 s. 75.] </w:t>
      </w:r>
    </w:p>
    <w:p>
      <w:pPr>
        <w:pStyle w:val="Heading5"/>
      </w:pPr>
      <w:bookmarkStart w:id="333" w:name="_Toc32485907"/>
      <w:bookmarkStart w:id="334" w:name="_Toc494452146"/>
      <w:r>
        <w:rPr>
          <w:rStyle w:val="CharSectno"/>
        </w:rPr>
        <w:t>37</w:t>
      </w:r>
      <w:r>
        <w:t>.</w:t>
      </w:r>
      <w:r>
        <w:tab/>
        <w:t>Borrowing and other ways of raising money</w:t>
      </w:r>
      <w:bookmarkEnd w:id="333"/>
      <w:bookmarkEnd w:id="334"/>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Subsection"/>
      </w:pPr>
      <w:r>
        <w:tab/>
        <w:t>(5)</w:t>
      </w:r>
      <w:r>
        <w:tab/>
        <w:t>Nothing in this section or section 37A or 37B affects or applies to moneys that are applied under section 38A(b).</w:t>
      </w:r>
    </w:p>
    <w:p>
      <w:pPr>
        <w:pStyle w:val="Footnotesection"/>
      </w:pPr>
      <w:r>
        <w:tab/>
        <w:t>[Section 37 inserted</w:t>
      </w:r>
      <w:del w:id="335" w:author="svcMRProcess" w:date="2020-02-24T13:05:00Z">
        <w:r>
          <w:delText xml:space="preserve"> by</w:delText>
        </w:r>
      </w:del>
      <w:ins w:id="336" w:author="svcMRProcess" w:date="2020-02-24T13:05:00Z">
        <w:r>
          <w:t>:</w:t>
        </w:r>
      </w:ins>
      <w:r>
        <w:t xml:space="preserve"> No. 32 of 2016 s. 76.]</w:t>
      </w:r>
    </w:p>
    <w:p>
      <w:pPr>
        <w:pStyle w:val="Heading5"/>
        <w:pageBreakBefore/>
        <w:spacing w:before="0"/>
      </w:pPr>
      <w:bookmarkStart w:id="337" w:name="_Toc32485908"/>
      <w:bookmarkStart w:id="338" w:name="_Toc494452147"/>
      <w:r>
        <w:rPr>
          <w:rStyle w:val="CharSectno"/>
        </w:rPr>
        <w:t>37A</w:t>
      </w:r>
      <w:r>
        <w:t>.</w:t>
      </w:r>
      <w:r>
        <w:tab/>
        <w:t>Notice of borrowing</w:t>
      </w:r>
      <w:bookmarkEnd w:id="337"/>
      <w:bookmarkEnd w:id="338"/>
    </w:p>
    <w:p>
      <w:pPr>
        <w:pStyle w:val="Subsection"/>
      </w:pPr>
      <w:r>
        <w:tab/>
        <w:t>(1)</w:t>
      </w:r>
      <w:r>
        <w:tab/>
        <w:t xml:space="preserve">If the University intends to borrow money and seek a guarantee under section 37B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37A inserted</w:t>
      </w:r>
      <w:del w:id="339" w:author="svcMRProcess" w:date="2020-02-24T13:05:00Z">
        <w:r>
          <w:delText xml:space="preserve"> by</w:delText>
        </w:r>
      </w:del>
      <w:ins w:id="340" w:author="svcMRProcess" w:date="2020-02-24T13:05:00Z">
        <w:r>
          <w:t>:</w:t>
        </w:r>
      </w:ins>
      <w:r>
        <w:t xml:space="preserve"> No. 32 of 2016 s. 76.]</w:t>
      </w:r>
    </w:p>
    <w:p>
      <w:pPr>
        <w:pStyle w:val="Heading5"/>
      </w:pPr>
      <w:bookmarkStart w:id="341" w:name="_Toc32485909"/>
      <w:bookmarkStart w:id="342" w:name="_Toc494452148"/>
      <w:r>
        <w:rPr>
          <w:rStyle w:val="CharSectno"/>
        </w:rPr>
        <w:t>37B</w:t>
      </w:r>
      <w:r>
        <w:t>.</w:t>
      </w:r>
      <w:r>
        <w:tab/>
        <w:t>Guarantees</w:t>
      </w:r>
      <w:bookmarkEnd w:id="341"/>
      <w:bookmarkEnd w:id="342"/>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37B inserted</w:t>
      </w:r>
      <w:del w:id="343" w:author="svcMRProcess" w:date="2020-02-24T13:05:00Z">
        <w:r>
          <w:delText xml:space="preserve"> by</w:delText>
        </w:r>
      </w:del>
      <w:ins w:id="344" w:author="svcMRProcess" w:date="2020-02-24T13:05:00Z">
        <w:r>
          <w:t>:</w:t>
        </w:r>
      </w:ins>
      <w:r>
        <w:t xml:space="preserve"> No. 32 of 2016 s. 76.]</w:t>
      </w:r>
    </w:p>
    <w:p>
      <w:pPr>
        <w:pStyle w:val="Heading5"/>
      </w:pPr>
      <w:bookmarkStart w:id="345" w:name="_Toc32485910"/>
      <w:bookmarkStart w:id="346" w:name="_Toc494452149"/>
      <w:r>
        <w:rPr>
          <w:rStyle w:val="CharSectno"/>
        </w:rPr>
        <w:t>37C</w:t>
      </w:r>
      <w:r>
        <w:t>.</w:t>
      </w:r>
      <w:r>
        <w:tab/>
        <w:t>Charges for guarantee</w:t>
      </w:r>
      <w:bookmarkEnd w:id="345"/>
      <w:bookmarkEnd w:id="346"/>
    </w:p>
    <w:p>
      <w:pPr>
        <w:pStyle w:val="Subsection"/>
      </w:pPr>
      <w:r>
        <w:tab/>
        <w:t>(1)</w:t>
      </w:r>
      <w:r>
        <w:tab/>
        <w:t>The Treasurer may, from time to time, after consultation with the University, fix charges to be paid by the University in respect of a guarantee under section 37B.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37C inserted</w:t>
      </w:r>
      <w:del w:id="347" w:author="svcMRProcess" w:date="2020-02-24T13:05:00Z">
        <w:r>
          <w:delText xml:space="preserve"> by</w:delText>
        </w:r>
      </w:del>
      <w:ins w:id="348" w:author="svcMRProcess" w:date="2020-02-24T13:05:00Z">
        <w:r>
          <w:t>:</w:t>
        </w:r>
      </w:ins>
      <w:r>
        <w:t xml:space="preserve"> No. 32 of 2016 s. 76.]</w:t>
      </w:r>
    </w:p>
    <w:p>
      <w:pPr>
        <w:pStyle w:val="Heading5"/>
      </w:pPr>
      <w:bookmarkStart w:id="349" w:name="_Toc32485911"/>
      <w:bookmarkStart w:id="350" w:name="_Toc494452150"/>
      <w:r>
        <w:rPr>
          <w:rStyle w:val="CharSectno"/>
        </w:rPr>
        <w:t>38</w:t>
      </w:r>
      <w:r>
        <w:t>.</w:t>
      </w:r>
      <w:r>
        <w:tab/>
        <w:t>Powers of Council to invest</w:t>
      </w:r>
      <w:bookmarkEnd w:id="349"/>
      <w:bookmarkEnd w:id="350"/>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w:t>
      </w:r>
      <w:del w:id="351" w:author="svcMRProcess" w:date="2020-02-24T13:05:00Z">
        <w:r>
          <w:delText xml:space="preserve"> by</w:delText>
        </w:r>
      </w:del>
      <w:ins w:id="352" w:author="svcMRProcess" w:date="2020-02-24T13:05:00Z">
        <w:r>
          <w:t>:</w:t>
        </w:r>
      </w:ins>
      <w:r>
        <w:t xml:space="preserve"> No. 70 of 2003 s. 26.]</w:t>
      </w:r>
    </w:p>
    <w:p>
      <w:pPr>
        <w:pStyle w:val="Heading5"/>
      </w:pPr>
      <w:bookmarkStart w:id="353" w:name="_Toc32485912"/>
      <w:bookmarkStart w:id="354" w:name="_Toc494452151"/>
      <w:r>
        <w:rPr>
          <w:rStyle w:val="CharSectno"/>
        </w:rPr>
        <w:t>38A</w:t>
      </w:r>
      <w:r>
        <w:t>.</w:t>
      </w:r>
      <w:r>
        <w:tab/>
        <w:t>Trust property and trust moneys</w:t>
      </w:r>
      <w:bookmarkEnd w:id="353"/>
      <w:bookmarkEnd w:id="354"/>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w:t>
      </w:r>
      <w:del w:id="355" w:author="svcMRProcess" w:date="2020-02-24T13:05:00Z">
        <w:r>
          <w:delText xml:space="preserve"> by</w:delText>
        </w:r>
      </w:del>
      <w:ins w:id="356" w:author="svcMRProcess" w:date="2020-02-24T13:05:00Z">
        <w:r>
          <w:t>:</w:t>
        </w:r>
      </w:ins>
      <w:r>
        <w:t xml:space="preserve"> No. 70 of 2003 s. 26.]</w:t>
      </w:r>
    </w:p>
    <w:p>
      <w:pPr>
        <w:pStyle w:val="Heading5"/>
      </w:pPr>
      <w:bookmarkStart w:id="357" w:name="_Toc32485913"/>
      <w:bookmarkStart w:id="358" w:name="_Toc494452152"/>
      <w:r>
        <w:rPr>
          <w:rStyle w:val="CharSectno"/>
        </w:rPr>
        <w:t>38B</w:t>
      </w:r>
      <w:r>
        <w:t>.</w:t>
      </w:r>
      <w:r>
        <w:tab/>
        <w:t>Repayment of trust moneys</w:t>
      </w:r>
      <w:bookmarkEnd w:id="357"/>
      <w:bookmarkEnd w:id="358"/>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Subsection"/>
      </w:pPr>
      <w:r>
        <w:tab/>
        <w:t>(3)</w:t>
      </w:r>
      <w:r>
        <w:tab/>
        <w:t>Sections 37, 37A and 37B do not apply to or affect moneys that are applied under section 38A(b).</w:t>
      </w:r>
    </w:p>
    <w:p>
      <w:pPr>
        <w:pStyle w:val="Footnotesection"/>
      </w:pPr>
      <w:r>
        <w:tab/>
        <w:t>[Section 38B inserted</w:t>
      </w:r>
      <w:del w:id="359" w:author="svcMRProcess" w:date="2020-02-24T13:05:00Z">
        <w:r>
          <w:delText xml:space="preserve"> by</w:delText>
        </w:r>
      </w:del>
      <w:ins w:id="360" w:author="svcMRProcess" w:date="2020-02-24T13:05:00Z">
        <w:r>
          <w:t>:</w:t>
        </w:r>
      </w:ins>
      <w:r>
        <w:t xml:space="preserve"> No. 70 of 2003 s. 26; amended</w:t>
      </w:r>
      <w:del w:id="361" w:author="svcMRProcess" w:date="2020-02-24T13:05:00Z">
        <w:r>
          <w:delText xml:space="preserve"> by</w:delText>
        </w:r>
      </w:del>
      <w:ins w:id="362" w:author="svcMRProcess" w:date="2020-02-24T13:05:00Z">
        <w:r>
          <w:t>:</w:t>
        </w:r>
      </w:ins>
      <w:r>
        <w:t xml:space="preserve"> No. 32 of 2016 s. 77.]</w:t>
      </w:r>
    </w:p>
    <w:p>
      <w:pPr>
        <w:pStyle w:val="Heading5"/>
        <w:rPr>
          <w:snapToGrid w:val="0"/>
        </w:rPr>
      </w:pPr>
      <w:bookmarkStart w:id="363" w:name="_Toc32485914"/>
      <w:bookmarkStart w:id="364" w:name="_Toc494452153"/>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63"/>
      <w:bookmarkEnd w:id="364"/>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[Section 39 inserted</w:t>
      </w:r>
      <w:del w:id="365" w:author="svcMRProcess" w:date="2020-02-24T13:05:00Z">
        <w:r>
          <w:delText xml:space="preserve"> by</w:delText>
        </w:r>
      </w:del>
      <w:ins w:id="366" w:author="svcMRProcess" w:date="2020-02-24T13:05:00Z">
        <w:r>
          <w:t>:</w:t>
        </w:r>
      </w:ins>
      <w:r>
        <w:t xml:space="preserve"> No. 32 of 1991 s. 3; amended</w:t>
      </w:r>
      <w:del w:id="367" w:author="svcMRProcess" w:date="2020-02-24T13:05:00Z">
        <w:r>
          <w:delText xml:space="preserve"> by</w:delText>
        </w:r>
      </w:del>
      <w:ins w:id="368" w:author="svcMRProcess" w:date="2020-02-24T13:05:00Z">
        <w:r>
          <w:t>:</w:t>
        </w:r>
      </w:ins>
      <w:r>
        <w:t xml:space="preserve"> No. 77 of 2006 s. 17.] </w:t>
      </w:r>
    </w:p>
    <w:p>
      <w:pPr>
        <w:pStyle w:val="Ednotesection"/>
      </w:pPr>
      <w:r>
        <w:t>[</w:t>
      </w:r>
      <w:r>
        <w:rPr>
          <w:b/>
        </w:rPr>
        <w:t>40.</w:t>
      </w:r>
      <w:r>
        <w:tab/>
        <w:t>Deleted</w:t>
      </w:r>
      <w:del w:id="369" w:author="svcMRProcess" w:date="2020-02-24T13:05:00Z">
        <w:r>
          <w:delText xml:space="preserve"> by</w:delText>
        </w:r>
      </w:del>
      <w:ins w:id="370" w:author="svcMRProcess" w:date="2020-02-24T13:05:00Z">
        <w:r>
          <w:t>:</w:t>
        </w:r>
      </w:ins>
      <w:r>
        <w:t xml:space="preserve"> No. 98 of 1985 s. 3.]</w:t>
      </w:r>
    </w:p>
    <w:p>
      <w:pPr>
        <w:pStyle w:val="Heading2"/>
      </w:pPr>
      <w:bookmarkStart w:id="371" w:name="_Toc32485804"/>
      <w:bookmarkStart w:id="372" w:name="_Toc32485915"/>
      <w:bookmarkStart w:id="373" w:name="_Toc494452154"/>
      <w:r>
        <w:rPr>
          <w:rStyle w:val="CharPartNo"/>
        </w:rPr>
        <w:t>Part IX</w:t>
      </w:r>
      <w:r>
        <w:rPr>
          <w:rStyle w:val="CharDivNo"/>
        </w:rPr>
        <w:t> </w:t>
      </w:r>
      <w:r>
        <w:t>—</w:t>
      </w:r>
      <w:r>
        <w:rPr>
          <w:rStyle w:val="CharDivText"/>
        </w:rPr>
        <w:t> </w:t>
      </w:r>
      <w:r>
        <w:rPr>
          <w:rStyle w:val="CharPartText"/>
        </w:rPr>
        <w:t>Student Guild</w:t>
      </w:r>
      <w:bookmarkEnd w:id="371"/>
      <w:bookmarkEnd w:id="372"/>
      <w:bookmarkEnd w:id="373"/>
      <w:r>
        <w:rPr>
          <w:rStyle w:val="CharPartText"/>
        </w:rPr>
        <w:t xml:space="preserve"> </w:t>
      </w:r>
    </w:p>
    <w:p>
      <w:pPr>
        <w:pStyle w:val="Heading5"/>
        <w:rPr>
          <w:snapToGrid w:val="0"/>
        </w:rPr>
      </w:pPr>
      <w:bookmarkStart w:id="374" w:name="_Toc32485916"/>
      <w:bookmarkStart w:id="375" w:name="_Toc494452155"/>
      <w:r>
        <w:rPr>
          <w:rStyle w:val="CharSectno"/>
        </w:rPr>
        <w:t>41</w:t>
      </w:r>
      <w:r>
        <w:rPr>
          <w:snapToGrid w:val="0"/>
        </w:rPr>
        <w:t>.</w:t>
      </w:r>
      <w:r>
        <w:rPr>
          <w:snapToGrid w:val="0"/>
        </w:rPr>
        <w:tab/>
        <w:t>Establishment of Student Guild</w:t>
      </w:r>
      <w:bookmarkEnd w:id="374"/>
      <w:bookmarkEnd w:id="375"/>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del w:id="376" w:author="svcMRProcess" w:date="2020-02-24T13:05:00Z">
        <w:r>
          <w:rPr>
            <w:snapToGrid w:val="0"/>
            <w:vertAlign w:val="superscript"/>
          </w:rPr>
          <w:delText> 1</w:delText>
        </w:r>
      </w:del>
      <w:r>
        <w:rPr>
          <w:snapToGrid w:val="0"/>
        </w:rPr>
        <w:t xml:space="preserve"> (in this section referred to as </w:t>
      </w:r>
      <w:r>
        <w:t>the</w:t>
      </w:r>
      <w:r>
        <w:rPr>
          <w:rStyle w:val="CharDefText"/>
        </w:rPr>
        <w:t xml:space="preserv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ins w:id="377" w:author="svcMRProcess" w:date="2020-02-24T13:05:00Z">
        <w:r>
          <w:rPr>
            <w:snapToGrid w:val="0"/>
          </w:rPr>
          <w:t xml:space="preserve"> or</w:t>
        </w:r>
      </w:ins>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ins w:id="378" w:author="svcMRProcess" w:date="2020-02-24T13:05:00Z">
        <w:r>
          <w:rPr>
            <w:snapToGrid w:val="0"/>
          </w:rPr>
          <w:t xml:space="preserve"> and</w:t>
        </w:r>
      </w:ins>
    </w:p>
    <w:p>
      <w:pPr>
        <w:pStyle w:val="Indenta"/>
        <w:rPr>
          <w:snapToGrid w:val="0"/>
        </w:rPr>
      </w:pPr>
      <w:r>
        <w:rPr>
          <w:snapToGrid w:val="0"/>
        </w:rPr>
        <w:tab/>
        <w:t>(b)</w:t>
      </w:r>
      <w:r>
        <w:rPr>
          <w:snapToGrid w:val="0"/>
        </w:rPr>
        <w:tab/>
        <w:t>shall have a common seal;</w:t>
      </w:r>
      <w:ins w:id="379" w:author="svcMRProcess" w:date="2020-02-24T13:05:00Z">
        <w:r>
          <w:rPr>
            <w:snapToGrid w:val="0"/>
          </w:rPr>
          <w:t xml:space="preserve"> and</w:t>
        </w:r>
      </w:ins>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 xml:space="preserve">No academic benefit, right or privilege shall be denied to or withheld from any enrolled student by reason of that student </w:t>
      </w:r>
      <w:r>
        <w:t>being or</w:t>
      </w:r>
      <w:r>
        <w:rPr>
          <w:snapToGrid w:val="0"/>
        </w:rPr>
        <w:t xml:space="preserve">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ins w:id="380" w:author="svcMRProcess" w:date="2020-02-24T13:05:00Z">
        <w:r>
          <w:rPr>
            <w:snapToGrid w:val="0"/>
          </w:rPr>
          <w:t xml:space="preserve"> and</w:t>
        </w:r>
      </w:ins>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[Section 41 amended</w:t>
      </w:r>
      <w:del w:id="381" w:author="svcMRProcess" w:date="2020-02-24T13:05:00Z">
        <w:r>
          <w:delText xml:space="preserve"> by</w:delText>
        </w:r>
      </w:del>
      <w:ins w:id="382" w:author="svcMRProcess" w:date="2020-02-24T13:05:00Z">
        <w:r>
          <w:t>:</w:t>
        </w:r>
      </w:ins>
      <w:r>
        <w:t xml:space="preserve"> No. 63 of 1990 s. 18 and 19; No. 91 of 1994 s. 10; No. 44 of 2002 s. 7; No. 32 of 2016 s. 78.] </w:t>
      </w:r>
    </w:p>
    <w:p>
      <w:pPr>
        <w:pStyle w:val="Heading5"/>
      </w:pPr>
      <w:bookmarkStart w:id="383" w:name="_Toc32485917"/>
      <w:bookmarkStart w:id="384" w:name="_Toc494452156"/>
      <w:r>
        <w:rPr>
          <w:rStyle w:val="CharSectno"/>
        </w:rPr>
        <w:t>41A</w:t>
      </w:r>
      <w:r>
        <w:t>.</w:t>
      </w:r>
      <w:r>
        <w:tab/>
        <w:t>Amenities and services fee</w:t>
      </w:r>
      <w:bookmarkEnd w:id="383"/>
      <w:bookmarkEnd w:id="384"/>
    </w:p>
    <w:p>
      <w:pPr>
        <w:pStyle w:val="Subsection"/>
      </w:pPr>
      <w:r>
        <w:tab/>
        <w:t>(1)</w:t>
      </w:r>
      <w:r>
        <w:tab/>
        <w:t xml:space="preserve">A Statute made under section 26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26.</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 36(1)(b) and (3).</w:t>
      </w:r>
    </w:p>
    <w:p>
      <w:pPr>
        <w:pStyle w:val="Footnotesection"/>
      </w:pPr>
      <w:r>
        <w:tab/>
        <w:t>[Section 41A inserted</w:t>
      </w:r>
      <w:del w:id="385" w:author="svcMRProcess" w:date="2020-02-24T13:05:00Z">
        <w:r>
          <w:delText xml:space="preserve"> by</w:delText>
        </w:r>
      </w:del>
      <w:ins w:id="386" w:author="svcMRProcess" w:date="2020-02-24T13:05:00Z">
        <w:r>
          <w:t>:</w:t>
        </w:r>
      </w:ins>
      <w:r>
        <w:t xml:space="preserve"> No. 32 of 2016 s. 79.] </w:t>
      </w:r>
    </w:p>
    <w:p>
      <w:pPr>
        <w:pStyle w:val="Heading5"/>
      </w:pPr>
      <w:bookmarkStart w:id="387" w:name="_Toc32485918"/>
      <w:bookmarkStart w:id="388" w:name="_Toc494452157"/>
      <w:r>
        <w:rPr>
          <w:rStyle w:val="CharSectno"/>
        </w:rPr>
        <w:t>41B</w:t>
      </w:r>
      <w:r>
        <w:t>.</w:t>
      </w:r>
      <w:r>
        <w:tab/>
        <w:t>Council to include detail in Statute</w:t>
      </w:r>
      <w:bookmarkEnd w:id="387"/>
      <w:bookmarkEnd w:id="388"/>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and the Council must specify, by Statute — </w:t>
      </w:r>
    </w:p>
    <w:p>
      <w:pPr>
        <w:pStyle w:val="Indenta"/>
      </w:pPr>
      <w:r>
        <w:tab/>
        <w:t>(a)</w:t>
      </w:r>
      <w:r>
        <w:tab/>
        <w:t>the broad categories of amenities and services within which the fees are to be expended; and</w:t>
      </w:r>
    </w:p>
    <w:p>
      <w:pPr>
        <w:pStyle w:val="Indenta"/>
      </w:pPr>
      <w:r>
        <w:tab/>
        <w:t>(b)</w:t>
      </w:r>
      <w:r>
        <w:tab/>
        <w:t xml:space="preserve">the process for determining those categories. </w:t>
      </w:r>
    </w:p>
    <w:p>
      <w:pPr>
        <w:pStyle w:val="Subsection"/>
      </w:pPr>
      <w:r>
        <w:tab/>
        <w:t>(3)</w:t>
      </w:r>
      <w:r>
        <w:tab/>
        <w:t xml:space="preserve">The Council shall prescribe, by Statute, the measures by which the Student Guild is to account for any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w:t>
      </w:r>
      <w:del w:id="389" w:author="svcMRProcess" w:date="2020-02-24T13:05:00Z">
        <w:r>
          <w:delText xml:space="preserve"> by</w:delText>
        </w:r>
      </w:del>
      <w:ins w:id="390" w:author="svcMRProcess" w:date="2020-02-24T13:05:00Z">
        <w:r>
          <w:t>:</w:t>
        </w:r>
      </w:ins>
      <w:r>
        <w:t xml:space="preserve"> No. 44 of 2002 s. 8; amended</w:t>
      </w:r>
      <w:del w:id="391" w:author="svcMRProcess" w:date="2020-02-24T13:05:00Z">
        <w:r>
          <w:delText xml:space="preserve"> by</w:delText>
        </w:r>
      </w:del>
      <w:ins w:id="392" w:author="svcMRProcess" w:date="2020-02-24T13:05:00Z">
        <w:r>
          <w:t>:</w:t>
        </w:r>
      </w:ins>
      <w:r>
        <w:t xml:space="preserve"> No. 32 of 2016 s. 80.]</w:t>
      </w:r>
    </w:p>
    <w:p>
      <w:pPr>
        <w:pStyle w:val="Heading2"/>
      </w:pPr>
      <w:bookmarkStart w:id="393" w:name="_Toc32485808"/>
      <w:bookmarkStart w:id="394" w:name="_Toc32485919"/>
      <w:bookmarkStart w:id="395" w:name="_Toc494452158"/>
      <w:r>
        <w:rPr>
          <w:rStyle w:val="CharPartNo"/>
        </w:rPr>
        <w:t>Part X</w:t>
      </w:r>
      <w:r>
        <w:rPr>
          <w:rStyle w:val="CharDivNo"/>
        </w:rPr>
        <w:t> </w:t>
      </w:r>
      <w:r>
        <w:t>—</w:t>
      </w:r>
      <w:r>
        <w:rPr>
          <w:rStyle w:val="CharDivText"/>
        </w:rPr>
        <w:t> </w:t>
      </w:r>
      <w:r>
        <w:rPr>
          <w:rStyle w:val="CharPartText"/>
        </w:rPr>
        <w:t>Miscellaneous</w:t>
      </w:r>
      <w:bookmarkEnd w:id="393"/>
      <w:bookmarkEnd w:id="394"/>
      <w:bookmarkEnd w:id="395"/>
      <w:r>
        <w:rPr>
          <w:rStyle w:val="CharPartText"/>
        </w:rPr>
        <w:t xml:space="preserve"> </w:t>
      </w:r>
    </w:p>
    <w:p>
      <w:pPr>
        <w:pStyle w:val="Heading5"/>
        <w:rPr>
          <w:snapToGrid w:val="0"/>
        </w:rPr>
      </w:pPr>
      <w:bookmarkStart w:id="396" w:name="_Toc32485920"/>
      <w:bookmarkStart w:id="397" w:name="_Toc494452159"/>
      <w:r>
        <w:rPr>
          <w:rStyle w:val="CharSectno"/>
        </w:rPr>
        <w:t>42</w:t>
      </w:r>
      <w:r>
        <w:rPr>
          <w:snapToGrid w:val="0"/>
        </w:rPr>
        <w:t>.</w:t>
      </w:r>
      <w:r>
        <w:rPr>
          <w:snapToGrid w:val="0"/>
        </w:rPr>
        <w:tab/>
        <w:t>Governor to be Visitor</w:t>
      </w:r>
      <w:bookmarkEnd w:id="396"/>
      <w:bookmarkEnd w:id="397"/>
      <w:r>
        <w:rPr>
          <w:snapToGrid w:val="0"/>
        </w:rPr>
        <w:t xml:space="preserve"> </w:t>
      </w:r>
    </w:p>
    <w:p>
      <w:pPr>
        <w:pStyle w:val="Subsection"/>
      </w:pPr>
      <w:r>
        <w:tab/>
        <w:t>(1)</w:t>
      </w:r>
      <w:r>
        <w:tab/>
        <w:t xml:space="preserve">The Governor is the Visitor of the University, and has the functions that Visitors usually have. </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[Section 42 amended</w:t>
      </w:r>
      <w:del w:id="398" w:author="svcMRProcess" w:date="2020-02-24T13:05:00Z">
        <w:r>
          <w:delText xml:space="preserve"> by</w:delText>
        </w:r>
      </w:del>
      <w:ins w:id="399" w:author="svcMRProcess" w:date="2020-02-24T13:05:00Z">
        <w:r>
          <w:t>:</w:t>
        </w:r>
      </w:ins>
      <w:r>
        <w:t xml:space="preserve"> No. 63 of 1990 s. 19; No. 32 of 2016 s. 81.] </w:t>
      </w:r>
    </w:p>
    <w:p>
      <w:pPr>
        <w:pStyle w:val="Heading5"/>
      </w:pPr>
      <w:bookmarkStart w:id="400" w:name="_Toc32485921"/>
      <w:bookmarkStart w:id="401" w:name="_Toc494452160"/>
      <w:r>
        <w:rPr>
          <w:rStyle w:val="CharSectno"/>
        </w:rPr>
        <w:t>43</w:t>
      </w:r>
      <w:r>
        <w:t>.</w:t>
      </w:r>
      <w:r>
        <w:tab/>
        <w:t>Exemption from rate or tax</w:t>
      </w:r>
      <w:bookmarkEnd w:id="400"/>
      <w:bookmarkEnd w:id="401"/>
      <w:r>
        <w:t xml:space="preserve"> </w:t>
      </w:r>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ordinarily occupied by any other person — </w:t>
      </w:r>
    </w:p>
    <w:p>
      <w:pPr>
        <w:pStyle w:val="Indenta"/>
      </w:pPr>
      <w:r>
        <w:tab/>
        <w:t>(a)</w:t>
      </w:r>
      <w:r>
        <w:tab/>
        <w:t>for any private purpose; or</w:t>
      </w:r>
    </w:p>
    <w:p>
      <w:pPr>
        <w:pStyle w:val="Indenta"/>
      </w:pPr>
      <w:r>
        <w:tab/>
        <w:t>(b)</w:t>
      </w:r>
      <w:r>
        <w:tab/>
        <w:t>for a commercial purpose (as defined in section 30A(1)) under an approval given under section 30I.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43 inserted</w:t>
      </w:r>
      <w:del w:id="402" w:author="svcMRProcess" w:date="2020-02-24T13:05:00Z">
        <w:r>
          <w:delText xml:space="preserve"> by</w:delText>
        </w:r>
      </w:del>
      <w:ins w:id="403" w:author="svcMRProcess" w:date="2020-02-24T13:05:00Z">
        <w:r>
          <w:t>:</w:t>
        </w:r>
      </w:ins>
      <w:r>
        <w:t xml:space="preserve"> No. 32 of 2016 s. 82.] </w:t>
      </w:r>
    </w:p>
    <w:p>
      <w:pPr>
        <w:pStyle w:val="Heading5"/>
      </w:pPr>
      <w:bookmarkStart w:id="404" w:name="_Toc32485922"/>
      <w:bookmarkStart w:id="405" w:name="_Toc494452161"/>
      <w:r>
        <w:rPr>
          <w:rStyle w:val="CharSectno"/>
        </w:rPr>
        <w:t>44A</w:t>
      </w:r>
      <w:r>
        <w:t>.</w:t>
      </w:r>
      <w:r>
        <w:tab/>
        <w:t>Regulations</w:t>
      </w:r>
      <w:bookmarkEnd w:id="404"/>
      <w:bookmarkEnd w:id="405"/>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Council.</w:t>
      </w:r>
    </w:p>
    <w:p>
      <w:pPr>
        <w:pStyle w:val="Footnotesection"/>
      </w:pPr>
      <w:r>
        <w:tab/>
        <w:t>[Section 44A inserted</w:t>
      </w:r>
      <w:del w:id="406" w:author="svcMRProcess" w:date="2020-02-24T13:05:00Z">
        <w:r>
          <w:delText xml:space="preserve"> by</w:delText>
        </w:r>
      </w:del>
      <w:ins w:id="407" w:author="svcMRProcess" w:date="2020-02-24T13:05:00Z">
        <w:r>
          <w:t>:</w:t>
        </w:r>
      </w:ins>
      <w:r>
        <w:t xml:space="preserve"> No. 32 of 2016 s. 82.] </w:t>
      </w:r>
    </w:p>
    <w:p>
      <w:pPr>
        <w:pStyle w:val="Ednotesection"/>
        <w:spacing w:before="180"/>
      </w:pPr>
      <w:r>
        <w:t>[</w:t>
      </w:r>
      <w:r>
        <w:rPr>
          <w:b/>
        </w:rPr>
        <w:t>44.</w:t>
      </w:r>
      <w:r>
        <w:tab/>
        <w:t>Deleted</w:t>
      </w:r>
      <w:del w:id="408" w:author="svcMRProcess" w:date="2020-02-24T13:05:00Z">
        <w:r>
          <w:delText xml:space="preserve"> by</w:delText>
        </w:r>
      </w:del>
      <w:ins w:id="409" w:author="svcMRProcess" w:date="2020-02-24T13:05:00Z">
        <w:r>
          <w:t>:</w:t>
        </w:r>
      </w:ins>
      <w:r>
        <w:t xml:space="preserve"> No. 32 of 2016 s. 82.] </w:t>
      </w:r>
    </w:p>
    <w:p>
      <w:pPr>
        <w:pStyle w:val="Heading2"/>
      </w:pPr>
      <w:bookmarkStart w:id="410" w:name="_Toc32485812"/>
      <w:bookmarkStart w:id="411" w:name="_Toc32485923"/>
      <w:bookmarkStart w:id="412" w:name="_Toc494452162"/>
      <w:r>
        <w:rPr>
          <w:rStyle w:val="CharPartNo"/>
        </w:rPr>
        <w:t>Part XI</w:t>
      </w:r>
      <w:r>
        <w:t> — </w:t>
      </w:r>
      <w:r>
        <w:rPr>
          <w:rStyle w:val="CharPartText"/>
        </w:rPr>
        <w:t>Transitional and savings</w:t>
      </w:r>
      <w:bookmarkEnd w:id="410"/>
      <w:bookmarkEnd w:id="411"/>
      <w:bookmarkEnd w:id="412"/>
      <w:r>
        <w:rPr>
          <w:rStyle w:val="CharPartText"/>
        </w:rPr>
        <w:t xml:space="preserve"> </w:t>
      </w:r>
    </w:p>
    <w:p>
      <w:pPr>
        <w:pStyle w:val="Heading3"/>
      </w:pPr>
      <w:bookmarkStart w:id="413" w:name="_Toc32485813"/>
      <w:bookmarkStart w:id="414" w:name="_Toc32485924"/>
      <w:bookmarkStart w:id="415" w:name="_Toc494452163"/>
      <w:r>
        <w:rPr>
          <w:rStyle w:val="CharDivNo"/>
        </w:rPr>
        <w:t>Division 1</w:t>
      </w:r>
      <w:r>
        <w:t> — </w:t>
      </w:r>
      <w:r>
        <w:rPr>
          <w:rStyle w:val="CharDivText"/>
        </w:rPr>
        <w:t>General</w:t>
      </w:r>
      <w:bookmarkEnd w:id="413"/>
      <w:bookmarkEnd w:id="414"/>
      <w:bookmarkEnd w:id="415"/>
    </w:p>
    <w:p>
      <w:pPr>
        <w:pStyle w:val="Footnoteheading"/>
        <w:ind w:left="890"/>
        <w:rPr>
          <w:snapToGrid w:val="0"/>
        </w:rPr>
      </w:pPr>
      <w:r>
        <w:rPr>
          <w:snapToGrid w:val="0"/>
        </w:rPr>
        <w:tab/>
        <w:t>[Heading inserted</w:t>
      </w:r>
      <w:del w:id="416" w:author="svcMRProcess" w:date="2020-02-24T13:05:00Z">
        <w:r>
          <w:rPr>
            <w:snapToGrid w:val="0"/>
          </w:rPr>
          <w:delText xml:space="preserve"> by</w:delText>
        </w:r>
      </w:del>
      <w:ins w:id="417" w:author="svcMRProcess" w:date="2020-02-24T13:05:00Z">
        <w:r>
          <w:rPr>
            <w:snapToGrid w:val="0"/>
          </w:rPr>
          <w:t>:</w:t>
        </w:r>
      </w:ins>
      <w:r>
        <w:rPr>
          <w:snapToGrid w:val="0"/>
        </w:rPr>
        <w:t xml:space="preserve"> No. 32 of 2016 s. 83.] </w:t>
      </w:r>
    </w:p>
    <w:p>
      <w:pPr>
        <w:pStyle w:val="Ednotesection"/>
        <w:spacing w:before="180"/>
      </w:pPr>
      <w:r>
        <w:t>[</w:t>
      </w:r>
      <w:r>
        <w:rPr>
          <w:b/>
        </w:rPr>
        <w:t>45, 46.</w:t>
      </w:r>
      <w:r>
        <w:tab/>
        <w:t>Deleted</w:t>
      </w:r>
      <w:del w:id="418" w:author="svcMRProcess" w:date="2020-02-24T13:05:00Z">
        <w:r>
          <w:delText xml:space="preserve"> by</w:delText>
        </w:r>
      </w:del>
      <w:ins w:id="419" w:author="svcMRProcess" w:date="2020-02-24T13:05:00Z">
        <w:r>
          <w:t>:</w:t>
        </w:r>
      </w:ins>
      <w:r>
        <w:t xml:space="preserve"> No. 32 of 2016 s. 84.] </w:t>
      </w:r>
    </w:p>
    <w:p>
      <w:pPr>
        <w:pStyle w:val="Heading5"/>
        <w:rPr>
          <w:snapToGrid w:val="0"/>
        </w:rPr>
      </w:pPr>
      <w:bookmarkStart w:id="420" w:name="_Toc32485925"/>
      <w:bookmarkStart w:id="421" w:name="_Toc494452164"/>
      <w:r>
        <w:rPr>
          <w:rStyle w:val="CharSectno"/>
        </w:rPr>
        <w:t>47</w:t>
      </w:r>
      <w:r>
        <w:rPr>
          <w:snapToGrid w:val="0"/>
        </w:rPr>
        <w:t>.</w:t>
      </w:r>
      <w:r>
        <w:rPr>
          <w:snapToGrid w:val="0"/>
        </w:rPr>
        <w:tab/>
        <w:t>Continuation of Statutes, by</w:t>
      </w:r>
      <w:r>
        <w:rPr>
          <w:snapToGrid w:val="0"/>
        </w:rPr>
        <w:noBreakHyphen/>
        <w:t>laws and rules</w:t>
      </w:r>
      <w:bookmarkEnd w:id="420"/>
      <w:bookmarkEnd w:id="421"/>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[Section 47 amended</w:t>
      </w:r>
      <w:del w:id="422" w:author="svcMRProcess" w:date="2020-02-24T13:05:00Z">
        <w:r>
          <w:delText xml:space="preserve"> by</w:delText>
        </w:r>
      </w:del>
      <w:ins w:id="423" w:author="svcMRProcess" w:date="2020-02-24T13:05:00Z">
        <w:r>
          <w:t>:</w:t>
        </w:r>
      </w:ins>
      <w:r>
        <w:t xml:space="preserve"> No. 63 of 1990 s. 19.] </w:t>
      </w:r>
    </w:p>
    <w:p>
      <w:pPr>
        <w:pStyle w:val="Heading5"/>
        <w:rPr>
          <w:snapToGrid w:val="0"/>
        </w:rPr>
      </w:pPr>
      <w:bookmarkStart w:id="424" w:name="_Toc32485926"/>
      <w:bookmarkStart w:id="425" w:name="_Toc494452165"/>
      <w:r>
        <w:rPr>
          <w:rStyle w:val="CharSectno"/>
        </w:rPr>
        <w:t>48</w:t>
      </w:r>
      <w:r>
        <w:rPr>
          <w:snapToGrid w:val="0"/>
        </w:rPr>
        <w:t>.</w:t>
      </w:r>
      <w:r>
        <w:rPr>
          <w:snapToGrid w:val="0"/>
        </w:rPr>
        <w:tab/>
        <w:t>Staff</w:t>
      </w:r>
      <w:bookmarkEnd w:id="424"/>
      <w:bookmarkEnd w:id="425"/>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[Section 48 amended</w:t>
      </w:r>
      <w:del w:id="426" w:author="svcMRProcess" w:date="2020-02-24T13:05:00Z">
        <w:r>
          <w:delText xml:space="preserve"> by</w:delText>
        </w:r>
      </w:del>
      <w:ins w:id="427" w:author="svcMRProcess" w:date="2020-02-24T13:05:00Z">
        <w:r>
          <w:t>:</w:t>
        </w:r>
      </w:ins>
      <w:r>
        <w:t xml:space="preserve"> No. 63 of 1990 s. 19.] </w:t>
      </w:r>
    </w:p>
    <w:p>
      <w:pPr>
        <w:pStyle w:val="Heading5"/>
        <w:rPr>
          <w:snapToGrid w:val="0"/>
        </w:rPr>
      </w:pPr>
      <w:bookmarkStart w:id="428" w:name="_Toc32485927"/>
      <w:bookmarkStart w:id="429" w:name="_Toc494452166"/>
      <w:r>
        <w:rPr>
          <w:rStyle w:val="CharSectno"/>
        </w:rPr>
        <w:t>49</w:t>
      </w:r>
      <w:r>
        <w:rPr>
          <w:snapToGrid w:val="0"/>
        </w:rPr>
        <w:t>.</w:t>
      </w:r>
      <w:r>
        <w:rPr>
          <w:snapToGrid w:val="0"/>
        </w:rPr>
        <w:tab/>
        <w:t>Property</w:t>
      </w:r>
      <w:bookmarkEnd w:id="428"/>
      <w:bookmarkEnd w:id="429"/>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[Section 49 amended</w:t>
      </w:r>
      <w:del w:id="430" w:author="svcMRProcess" w:date="2020-02-24T13:05:00Z">
        <w:r>
          <w:delText xml:space="preserve"> by</w:delText>
        </w:r>
      </w:del>
      <w:ins w:id="431" w:author="svcMRProcess" w:date="2020-02-24T13:05:00Z">
        <w:r>
          <w:t>:</w:t>
        </w:r>
      </w:ins>
      <w:r>
        <w:t xml:space="preserve"> No. 63 of 1990 s. 19.] </w:t>
      </w:r>
    </w:p>
    <w:p>
      <w:pPr>
        <w:pStyle w:val="Heading5"/>
        <w:rPr>
          <w:snapToGrid w:val="0"/>
        </w:rPr>
      </w:pPr>
      <w:bookmarkStart w:id="432" w:name="_Toc32485928"/>
      <w:bookmarkStart w:id="433" w:name="_Toc494452167"/>
      <w:r>
        <w:rPr>
          <w:rStyle w:val="CharSectno"/>
        </w:rPr>
        <w:t>50</w:t>
      </w:r>
      <w:r>
        <w:rPr>
          <w:snapToGrid w:val="0"/>
        </w:rPr>
        <w:t>.</w:t>
      </w:r>
      <w:r>
        <w:rPr>
          <w:snapToGrid w:val="0"/>
        </w:rPr>
        <w:tab/>
        <w:t>Superannuation</w:t>
      </w:r>
      <w:bookmarkEnd w:id="432"/>
      <w:bookmarkEnd w:id="433"/>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434" w:name="_Toc32485929"/>
      <w:bookmarkStart w:id="435" w:name="_Toc494452168"/>
      <w:r>
        <w:rPr>
          <w:rStyle w:val="CharSectno"/>
        </w:rPr>
        <w:t>51</w:t>
      </w:r>
      <w:r>
        <w:rPr>
          <w:snapToGrid w:val="0"/>
        </w:rPr>
        <w:t>.</w:t>
      </w:r>
      <w:r>
        <w:rPr>
          <w:snapToGrid w:val="0"/>
        </w:rPr>
        <w:tab/>
        <w:t>Associations continued</w:t>
      </w:r>
      <w:bookmarkEnd w:id="434"/>
      <w:bookmarkEnd w:id="435"/>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Ednotesection"/>
        <w:spacing w:before="180"/>
      </w:pPr>
      <w:r>
        <w:t>[</w:t>
      </w:r>
      <w:r>
        <w:rPr>
          <w:b/>
        </w:rPr>
        <w:t>52.</w:t>
      </w:r>
      <w:r>
        <w:tab/>
        <w:t>Deleted</w:t>
      </w:r>
      <w:del w:id="436" w:author="svcMRProcess" w:date="2020-02-24T13:05:00Z">
        <w:r>
          <w:delText xml:space="preserve"> by</w:delText>
        </w:r>
      </w:del>
      <w:ins w:id="437" w:author="svcMRProcess" w:date="2020-02-24T13:05:00Z">
        <w:r>
          <w:t>:</w:t>
        </w:r>
      </w:ins>
      <w:r>
        <w:t xml:space="preserve"> No. 32 of 2016 s. 85.] </w:t>
      </w:r>
    </w:p>
    <w:p>
      <w:pPr>
        <w:pStyle w:val="Heading5"/>
        <w:rPr>
          <w:snapToGrid w:val="0"/>
        </w:rPr>
      </w:pPr>
      <w:bookmarkStart w:id="438" w:name="_Toc32485930"/>
      <w:bookmarkStart w:id="439" w:name="_Toc494452169"/>
      <w:r>
        <w:rPr>
          <w:rStyle w:val="CharSectno"/>
        </w:rPr>
        <w:t>53</w:t>
      </w:r>
      <w:r>
        <w:rPr>
          <w:snapToGrid w:val="0"/>
        </w:rPr>
        <w:t>.</w:t>
      </w:r>
      <w:r>
        <w:rPr>
          <w:snapToGrid w:val="0"/>
        </w:rPr>
        <w:tab/>
        <w:t>Continuation of rights of students</w:t>
      </w:r>
      <w:bookmarkEnd w:id="438"/>
      <w:bookmarkEnd w:id="439"/>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[Section 53 amended</w:t>
      </w:r>
      <w:del w:id="440" w:author="svcMRProcess" w:date="2020-02-24T13:05:00Z">
        <w:r>
          <w:delText xml:space="preserve"> by</w:delText>
        </w:r>
      </w:del>
      <w:ins w:id="441" w:author="svcMRProcess" w:date="2020-02-24T13:05:00Z">
        <w:r>
          <w:t>:</w:t>
        </w:r>
      </w:ins>
      <w:r>
        <w:t xml:space="preserve"> No. 63 of 1990 s. 19.] </w:t>
      </w:r>
    </w:p>
    <w:p>
      <w:pPr>
        <w:pStyle w:val="Heading3"/>
      </w:pPr>
      <w:bookmarkStart w:id="442" w:name="_Toc32485820"/>
      <w:bookmarkStart w:id="443" w:name="_Toc32485931"/>
      <w:bookmarkStart w:id="444" w:name="_Toc494452170"/>
      <w:r>
        <w:rPr>
          <w:rStyle w:val="CharDivNo"/>
        </w:rPr>
        <w:t>Division 2</w:t>
      </w:r>
      <w:r>
        <w:t> — </w:t>
      </w:r>
      <w:r>
        <w:rPr>
          <w:rStyle w:val="CharDivText"/>
        </w:rPr>
        <w:t xml:space="preserve">Transitional provisions for </w:t>
      </w:r>
      <w:r>
        <w:rPr>
          <w:rStyle w:val="CharDivText"/>
          <w:i/>
        </w:rPr>
        <w:t>Universities Legislation Amendment Act 2016</w:t>
      </w:r>
      <w:bookmarkEnd w:id="442"/>
      <w:bookmarkEnd w:id="443"/>
      <w:bookmarkEnd w:id="444"/>
    </w:p>
    <w:p>
      <w:pPr>
        <w:pStyle w:val="Footnoteheading"/>
        <w:ind w:left="890"/>
        <w:rPr>
          <w:snapToGrid w:val="0"/>
        </w:rPr>
      </w:pPr>
      <w:r>
        <w:rPr>
          <w:snapToGrid w:val="0"/>
        </w:rPr>
        <w:tab/>
        <w:t>[Heading inserted</w:t>
      </w:r>
      <w:del w:id="445" w:author="svcMRProcess" w:date="2020-02-24T13:05:00Z">
        <w:r>
          <w:rPr>
            <w:snapToGrid w:val="0"/>
          </w:rPr>
          <w:delText xml:space="preserve"> by</w:delText>
        </w:r>
      </w:del>
      <w:ins w:id="446" w:author="svcMRProcess" w:date="2020-02-24T13:05:00Z">
        <w:r>
          <w:rPr>
            <w:snapToGrid w:val="0"/>
          </w:rPr>
          <w:t>:</w:t>
        </w:r>
      </w:ins>
      <w:r>
        <w:rPr>
          <w:snapToGrid w:val="0"/>
        </w:rPr>
        <w:t xml:space="preserve"> No. 32 of 2016 s. 86.] </w:t>
      </w:r>
    </w:p>
    <w:p>
      <w:pPr>
        <w:pStyle w:val="Heading5"/>
      </w:pPr>
      <w:bookmarkStart w:id="447" w:name="_Toc32485932"/>
      <w:bookmarkStart w:id="448" w:name="_Toc494452171"/>
      <w:r>
        <w:rPr>
          <w:rStyle w:val="CharSectno"/>
        </w:rPr>
        <w:t>54</w:t>
      </w:r>
      <w:r>
        <w:t>.</w:t>
      </w:r>
      <w:r>
        <w:tab/>
        <w:t>Term used: commencement day</w:t>
      </w:r>
      <w:bookmarkEnd w:id="447"/>
      <w:bookmarkEnd w:id="448"/>
    </w:p>
    <w:p>
      <w:pPr>
        <w:pStyle w:val="Subsection"/>
      </w:pPr>
      <w:r>
        <w:tab/>
      </w:r>
      <w:r>
        <w:tab/>
        <w:t xml:space="preserve">In this Division — </w:t>
      </w:r>
    </w:p>
    <w:p>
      <w:pPr>
        <w:pStyle w:val="Defstart"/>
        <w:rPr>
          <w:spacing w:val="-4"/>
        </w:rPr>
      </w:pPr>
      <w:r>
        <w:tab/>
      </w:r>
      <w:r>
        <w:rPr>
          <w:rStyle w:val="CharDefText"/>
          <w:spacing w:val="-4"/>
        </w:rPr>
        <w:t>commencement day</w:t>
      </w:r>
      <w:r>
        <w:rPr>
          <w:spacing w:val="-4"/>
        </w:rPr>
        <w:t xml:space="preserve"> means the day on which the </w:t>
      </w:r>
      <w:r>
        <w:rPr>
          <w:i/>
          <w:spacing w:val="-4"/>
        </w:rPr>
        <w:t>Universities Legislation Amendment Act 2016</w:t>
      </w:r>
      <w:r>
        <w:rPr>
          <w:spacing w:val="-4"/>
        </w:rPr>
        <w:t xml:space="preserve"> section 48 comes into operation.</w:t>
      </w:r>
    </w:p>
    <w:p>
      <w:pPr>
        <w:pStyle w:val="Footnotesection"/>
      </w:pPr>
      <w:r>
        <w:tab/>
        <w:t>[Section 54 inserted</w:t>
      </w:r>
      <w:del w:id="449" w:author="svcMRProcess" w:date="2020-02-24T13:05:00Z">
        <w:r>
          <w:delText xml:space="preserve"> by</w:delText>
        </w:r>
      </w:del>
      <w:ins w:id="450" w:author="svcMRProcess" w:date="2020-02-24T13:05:00Z">
        <w:r>
          <w:t>:</w:t>
        </w:r>
      </w:ins>
      <w:r>
        <w:t xml:space="preserve"> No. 32 of 2016 s. 86.] </w:t>
      </w:r>
    </w:p>
    <w:p>
      <w:pPr>
        <w:pStyle w:val="Heading5"/>
      </w:pPr>
      <w:bookmarkStart w:id="451" w:name="_Toc32485933"/>
      <w:bookmarkStart w:id="452" w:name="_Toc494452172"/>
      <w:r>
        <w:rPr>
          <w:rStyle w:val="CharSectno"/>
        </w:rPr>
        <w:t>55</w:t>
      </w:r>
      <w:r>
        <w:t>.</w:t>
      </w:r>
      <w:r>
        <w:tab/>
        <w:t>Transitional provisions (Council)</w:t>
      </w:r>
      <w:bookmarkEnd w:id="451"/>
      <w:bookmarkEnd w:id="452"/>
    </w:p>
    <w:p>
      <w:pPr>
        <w:pStyle w:val="Subsection"/>
      </w:pPr>
      <w:r>
        <w:tab/>
        <w:t>(1)</w:t>
      </w:r>
      <w:r>
        <w:tab/>
        <w:t xml:space="preserve">This section applies despite the amendments made to section 9, and the replacement of section 10 by the </w:t>
      </w:r>
      <w:r>
        <w:rPr>
          <w:i/>
        </w:rPr>
        <w:t>Universities Legislation Amendment Act 2016</w:t>
      </w:r>
      <w:r>
        <w:t xml:space="preserve"> sections 55 and 56.</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III;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11 as that section is in effect immediately before commencement day.</w:t>
      </w:r>
    </w:p>
    <w:p>
      <w:pPr>
        <w:pStyle w:val="Subsection"/>
        <w:spacing w:before="120"/>
      </w:pPr>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p>
    <w:p>
      <w:pPr>
        <w:pStyle w:val="Subsection"/>
        <w:spacing w:before="120"/>
      </w:pPr>
      <w:r>
        <w:tab/>
        <w:t>(4)</w:t>
      </w:r>
      <w:r>
        <w:tab/>
        <w:t>If a question arises under this section as to the balance of a person’s term of office remaining immediately before commencement day, the question is to be determined by the Minister.</w:t>
      </w:r>
    </w:p>
    <w:p>
      <w:pPr>
        <w:pStyle w:val="Footnotesection"/>
      </w:pPr>
      <w:r>
        <w:tab/>
        <w:t>[Section 55 inserted</w:t>
      </w:r>
      <w:del w:id="453" w:author="svcMRProcess" w:date="2020-02-24T13:05:00Z">
        <w:r>
          <w:delText xml:space="preserve"> by</w:delText>
        </w:r>
      </w:del>
      <w:ins w:id="454" w:author="svcMRProcess" w:date="2020-02-24T13:05:00Z">
        <w:r>
          <w:t>:</w:t>
        </w:r>
      </w:ins>
      <w:r>
        <w:t xml:space="preserve"> No. 32 of 2016 s. 86.] </w:t>
      </w:r>
    </w:p>
    <w:p>
      <w:pPr>
        <w:pStyle w:val="Heading5"/>
        <w:spacing w:before="120"/>
      </w:pPr>
      <w:bookmarkStart w:id="455" w:name="_Toc32485934"/>
      <w:bookmarkStart w:id="456" w:name="_Toc494452173"/>
      <w:r>
        <w:rPr>
          <w:rStyle w:val="CharSectno"/>
        </w:rPr>
        <w:t>56</w:t>
      </w:r>
      <w:r>
        <w:t>.</w:t>
      </w:r>
      <w:r>
        <w:tab/>
        <w:t>Transitional provisions (Deputy Chancellor)</w:t>
      </w:r>
      <w:bookmarkEnd w:id="455"/>
      <w:bookmarkEnd w:id="456"/>
    </w:p>
    <w:p>
      <w:pPr>
        <w:pStyle w:val="Subsection"/>
        <w:spacing w:before="120"/>
      </w:pPr>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p>
    <w:p>
      <w:pPr>
        <w:pStyle w:val="Subsection"/>
        <w:spacing w:before="120"/>
      </w:pPr>
      <w:r>
        <w:tab/>
        <w:t>(2)</w:t>
      </w:r>
      <w:r>
        <w:tab/>
        <w:t>Subsection (3) applies to a reference to the Pro</w:t>
      </w:r>
      <w:r>
        <w:noBreakHyphen/>
        <w:t xml:space="preserve">Chancellor of the University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spacing w:before="120"/>
      </w:pPr>
      <w:r>
        <w:tab/>
        <w:t>(3)</w:t>
      </w:r>
      <w:r>
        <w:tab/>
        <w:t>A reference to the Pro</w:t>
      </w:r>
      <w:r>
        <w:noBreakHyphen/>
        <w:t>Chancellor of the University is to be read and construed as a reference to the Deputy Chancellor, unless because of the context it would be incorrect or inappropriate to do so.</w:t>
      </w:r>
    </w:p>
    <w:p>
      <w:pPr>
        <w:pStyle w:val="Footnotesection"/>
      </w:pPr>
      <w:r>
        <w:tab/>
        <w:t>[Section 56 inserted</w:t>
      </w:r>
      <w:del w:id="457" w:author="svcMRProcess" w:date="2020-02-24T13:05:00Z">
        <w:r>
          <w:delText xml:space="preserve"> by</w:delText>
        </w:r>
      </w:del>
      <w:ins w:id="458" w:author="svcMRProcess" w:date="2020-02-24T13:05:00Z">
        <w:r>
          <w:t>:</w:t>
        </w:r>
      </w:ins>
      <w:r>
        <w:t xml:space="preserve"> No. 32 of 2016 s. 86.] </w:t>
      </w:r>
    </w:p>
    <w:p>
      <w:pPr>
        <w:pStyle w:val="Heading5"/>
        <w:pageBreakBefore/>
        <w:spacing w:before="0"/>
      </w:pPr>
      <w:bookmarkStart w:id="459" w:name="_Toc32485935"/>
      <w:bookmarkStart w:id="460" w:name="_Toc494452174"/>
      <w:r>
        <w:rPr>
          <w:rStyle w:val="CharSectno"/>
        </w:rPr>
        <w:t>57</w:t>
      </w:r>
      <w:r>
        <w:t>.</w:t>
      </w:r>
      <w:r>
        <w:tab/>
        <w:t>Transitional provisions (Vice</w:t>
      </w:r>
      <w:r>
        <w:noBreakHyphen/>
        <w:t>Chancellor)</w:t>
      </w:r>
      <w:bookmarkEnd w:id="459"/>
      <w:bookmarkEnd w:id="460"/>
    </w:p>
    <w:p>
      <w:pPr>
        <w:pStyle w:val="Subsection"/>
      </w:pPr>
      <w:r>
        <w:tab/>
        <w:t>(1)</w:t>
      </w:r>
      <w:r>
        <w:tab/>
        <w:t>The person who, immediately before commencement day, holds office as chief executive officer of the University under section 30 (as in effect immediately before commencement day) continues to hold office as Vice</w:t>
      </w:r>
      <w:r>
        <w:noBreakHyphen/>
        <w:t>Chancellor.</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pPr>
      <w:r>
        <w:tab/>
        <w:t>[Section 57 inserted</w:t>
      </w:r>
      <w:del w:id="461" w:author="svcMRProcess" w:date="2020-02-24T13:05:00Z">
        <w:r>
          <w:delText xml:space="preserve"> by</w:delText>
        </w:r>
      </w:del>
      <w:ins w:id="462" w:author="svcMRProcess" w:date="2020-02-24T13:05:00Z">
        <w:r>
          <w:t>:</w:t>
        </w:r>
      </w:ins>
      <w:r>
        <w:t xml:space="preserve"> No. 32 of 2016 s. 86.] </w:t>
      </w:r>
    </w:p>
    <w:p>
      <w:pPr>
        <w:pStyle w:val="Heading5"/>
      </w:pPr>
      <w:bookmarkStart w:id="463" w:name="_Toc32485936"/>
      <w:bookmarkStart w:id="464" w:name="_Toc494452175"/>
      <w:r>
        <w:rPr>
          <w:rStyle w:val="CharSectno"/>
        </w:rPr>
        <w:t>58</w:t>
      </w:r>
      <w:r>
        <w:t>.</w:t>
      </w:r>
      <w:r>
        <w:tab/>
        <w:t>Transitional provisions (Advisory Board of the Academy)</w:t>
      </w:r>
      <w:bookmarkEnd w:id="463"/>
      <w:bookmarkEnd w:id="464"/>
    </w:p>
    <w:p>
      <w:pPr>
        <w:pStyle w:val="Subsection"/>
      </w:pPr>
      <w:r>
        <w:tab/>
        <w:t>(1)</w:t>
      </w:r>
      <w:r>
        <w:tab/>
        <w:t xml:space="preserve">In this section — </w:t>
      </w:r>
    </w:p>
    <w:p>
      <w:pPr>
        <w:pStyle w:val="Defstart"/>
      </w:pPr>
      <w:r>
        <w:tab/>
      </w:r>
      <w:r>
        <w:rPr>
          <w:rStyle w:val="CharDefText"/>
        </w:rPr>
        <w:t>Advisory Board of the Academy</w:t>
      </w:r>
      <w:r>
        <w:t xml:space="preserve"> means the Advisory Board of the Academy referred to in section 25(1);</w:t>
      </w:r>
    </w:p>
    <w:p>
      <w:pPr>
        <w:pStyle w:val="Defstart"/>
      </w:pPr>
      <w:r>
        <w:tab/>
      </w:r>
      <w:r>
        <w:rPr>
          <w:rStyle w:val="CharDefText"/>
        </w:rPr>
        <w:t>former Board</w:t>
      </w:r>
      <w:r>
        <w:t xml:space="preserve"> means the Board of the Academy constituted by a Statute made under section 24(2) (as in effect immediately before commencement day).</w:t>
      </w:r>
    </w:p>
    <w:p>
      <w:pPr>
        <w:pStyle w:val="Subsection"/>
      </w:pPr>
      <w:r>
        <w:tab/>
        <w:t>(2)</w:t>
      </w:r>
      <w:r>
        <w:tab/>
        <w:t>Any person who, immediately before commencement day, holds office as a member of the former Board continues to hold office as member of the Advisory Board of the Academy for the balance of their term of office.</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Subsection"/>
      </w:pPr>
      <w:r>
        <w:tab/>
        <w:t>(4)</w:t>
      </w:r>
      <w:r>
        <w:tab/>
        <w:t xml:space="preserve">Subsection (5) applies to a reference to the former Board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(5)</w:t>
      </w:r>
      <w:r>
        <w:tab/>
        <w:t>A reference to the former Board is to be read and construed as a reference to the Advisory Board of the Academy, unless because of the context it would be incorrect or inappropriate to do so.</w:t>
      </w:r>
    </w:p>
    <w:p>
      <w:pPr>
        <w:pStyle w:val="Footnotesection"/>
      </w:pPr>
      <w:r>
        <w:tab/>
        <w:t>[Section 58 inserted</w:t>
      </w:r>
      <w:del w:id="465" w:author="svcMRProcess" w:date="2020-02-24T13:05:00Z">
        <w:r>
          <w:delText xml:space="preserve"> by</w:delText>
        </w:r>
      </w:del>
      <w:ins w:id="466" w:author="svcMRProcess" w:date="2020-02-24T13:05:00Z">
        <w:r>
          <w:t>:</w:t>
        </w:r>
      </w:ins>
      <w:r>
        <w:t xml:space="preserve"> No. 32 of 2016 s. 86.] </w:t>
      </w:r>
    </w:p>
    <w:p>
      <w:pPr>
        <w:pStyle w:val="Heading5"/>
      </w:pPr>
      <w:bookmarkStart w:id="467" w:name="_Toc32485937"/>
      <w:bookmarkStart w:id="468" w:name="_Toc494452176"/>
      <w:r>
        <w:rPr>
          <w:rStyle w:val="CharSectno"/>
        </w:rPr>
        <w:t>59</w:t>
      </w:r>
      <w:r>
        <w:t>.</w:t>
      </w:r>
      <w:r>
        <w:tab/>
        <w:t>Transitional provisions (Statutes)</w:t>
      </w:r>
      <w:bookmarkEnd w:id="467"/>
      <w:bookmarkEnd w:id="468"/>
    </w:p>
    <w:p>
      <w:pPr>
        <w:pStyle w:val="Subsection"/>
      </w:pPr>
      <w:r>
        <w:tab/>
        <w:t>(1)</w:t>
      </w:r>
      <w:r>
        <w:tab/>
        <w:t xml:space="preserve">In this section — </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p>
    <w:p>
      <w:pPr>
        <w:pStyle w:val="Subsection"/>
      </w:pPr>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27(2) does not apply to and in relation to that Statute; and</w:t>
      </w:r>
    </w:p>
    <w:p>
      <w:pPr>
        <w:pStyle w:val="Indenta"/>
      </w:pPr>
      <w:r>
        <w:tab/>
        <w:t>(b)</w:t>
      </w:r>
      <w:r>
        <w:tab/>
        <w:t>former section 27(2) and (3) apply instead as if the former section 27 had not been deleted.</w:t>
      </w:r>
    </w:p>
    <w:p>
      <w:pPr>
        <w:pStyle w:val="Footnotesection"/>
      </w:pPr>
      <w:r>
        <w:tab/>
        <w:t>[Section 59 inserted</w:t>
      </w:r>
      <w:del w:id="469" w:author="svcMRProcess" w:date="2020-02-24T13:05:00Z">
        <w:r>
          <w:delText xml:space="preserve"> by</w:delText>
        </w:r>
      </w:del>
      <w:ins w:id="470" w:author="svcMRProcess" w:date="2020-02-24T13:05:00Z">
        <w:r>
          <w:t>:</w:t>
        </w:r>
      </w:ins>
      <w:r>
        <w:t xml:space="preserve"> No. 32 of 2016 s. 86.] </w:t>
      </w:r>
    </w:p>
    <w:p>
      <w:pPr>
        <w:pStyle w:val="Heading5"/>
      </w:pPr>
      <w:bookmarkStart w:id="471" w:name="_Toc32485938"/>
      <w:bookmarkStart w:id="472" w:name="_Toc494452177"/>
      <w:r>
        <w:rPr>
          <w:rStyle w:val="CharSectno"/>
        </w:rPr>
        <w:t>60</w:t>
      </w:r>
      <w:r>
        <w:t>.</w:t>
      </w:r>
      <w:r>
        <w:tab/>
        <w:t>Transitional provisions (guarantees)</w:t>
      </w:r>
      <w:bookmarkEnd w:id="471"/>
      <w:bookmarkEnd w:id="472"/>
    </w:p>
    <w:p>
      <w:pPr>
        <w:pStyle w:val="Subsection"/>
      </w:pPr>
      <w:r>
        <w:tab/>
      </w:r>
      <w:r>
        <w:tab/>
        <w:t>A guarantee given under section 37 (as in effect immediately before commencement day) and in force immediately before commencement day continues as if it had been given under section 37B.</w:t>
      </w:r>
    </w:p>
    <w:p>
      <w:pPr>
        <w:pStyle w:val="Footnotesection"/>
      </w:pPr>
      <w:r>
        <w:tab/>
        <w:t>[Section 60 inserted</w:t>
      </w:r>
      <w:del w:id="473" w:author="svcMRProcess" w:date="2020-02-24T13:05:00Z">
        <w:r>
          <w:delText xml:space="preserve"> by</w:delText>
        </w:r>
      </w:del>
      <w:ins w:id="474" w:author="svcMRProcess" w:date="2020-02-24T13:05:00Z">
        <w:r>
          <w:t>:</w:t>
        </w:r>
      </w:ins>
      <w:r>
        <w:t xml:space="preserve"> No. 32 of 2016 s. 86.] </w:t>
      </w:r>
    </w:p>
    <w:p>
      <w:pPr>
        <w:pStyle w:val="Heading5"/>
      </w:pPr>
      <w:bookmarkStart w:id="475" w:name="_Toc32485939"/>
      <w:bookmarkStart w:id="476" w:name="_Toc494452178"/>
      <w:r>
        <w:rPr>
          <w:rStyle w:val="CharSectno"/>
        </w:rPr>
        <w:t>61</w:t>
      </w:r>
      <w:r>
        <w:t>.</w:t>
      </w:r>
      <w:r>
        <w:tab/>
        <w:t>Transitional provisions (amenities and services fee)</w:t>
      </w:r>
      <w:bookmarkEnd w:id="475"/>
      <w:bookmarkEnd w:id="476"/>
    </w:p>
    <w:p>
      <w:pPr>
        <w:pStyle w:val="Subsection"/>
      </w:pPr>
      <w:r>
        <w:tab/>
        <w:t>(1)</w:t>
      </w:r>
      <w:r>
        <w:tab/>
        <w:t xml:space="preserve">In this section — </w:t>
      </w:r>
    </w:p>
    <w:p>
      <w:pPr>
        <w:pStyle w:val="Defstart"/>
      </w:pPr>
      <w:r>
        <w:tab/>
      </w:r>
      <w:r>
        <w:rPr>
          <w:rStyle w:val="CharDefText"/>
        </w:rPr>
        <w:t>former section 41A</w:t>
      </w:r>
      <w:r>
        <w:t xml:space="preserve"> means section 41A as in effect immediately before it was deleted by the </w:t>
      </w:r>
      <w:r>
        <w:rPr>
          <w:i/>
        </w:rPr>
        <w:t>Universities Legislation Amendment Act 2016</w:t>
      </w:r>
      <w:r>
        <w:t xml:space="preserve"> section 79;</w:t>
      </w:r>
    </w:p>
    <w:p>
      <w:pPr>
        <w:pStyle w:val="Defstart"/>
      </w:pPr>
      <w:r>
        <w:tab/>
      </w:r>
      <w:r>
        <w:rPr>
          <w:rStyle w:val="CharDefText"/>
        </w:rPr>
        <w:t>transition period</w:t>
      </w:r>
      <w:r>
        <w:t xml:space="preserve"> means the remainder of the calendar year beginning on commencement day.</w:t>
      </w:r>
    </w:p>
    <w:p>
      <w:pPr>
        <w:pStyle w:val="Subsection"/>
      </w:pPr>
      <w:r>
        <w:tab/>
        <w:t>(2)</w:t>
      </w:r>
      <w:r>
        <w:tab/>
        <w:t xml:space="preserve">During the transition period — </w:t>
      </w:r>
    </w:p>
    <w:p>
      <w:pPr>
        <w:pStyle w:val="Indenta"/>
      </w:pPr>
      <w:r>
        <w:tab/>
        <w:t>(a)</w:t>
      </w:r>
      <w:r>
        <w:tab/>
        <w:t xml:space="preserve">section 41A does not apply to the annual amenities and services fee set under former section 41A; and </w:t>
      </w:r>
    </w:p>
    <w:p>
      <w:pPr>
        <w:pStyle w:val="Indenta"/>
      </w:pPr>
      <w:r>
        <w:tab/>
        <w:t>(b)</w:t>
      </w:r>
      <w:r>
        <w:tab/>
        <w:t>former section 41A applies instead to that annual amenities and services fee as if former section 41A had not been deleted.</w:t>
      </w:r>
    </w:p>
    <w:p>
      <w:pPr>
        <w:pStyle w:val="Footnotesection"/>
      </w:pPr>
      <w:r>
        <w:tab/>
        <w:t>[Section 61 inserted</w:t>
      </w:r>
      <w:del w:id="477" w:author="svcMRProcess" w:date="2020-02-24T13:05:00Z">
        <w:r>
          <w:delText xml:space="preserve"> by</w:delText>
        </w:r>
      </w:del>
      <w:ins w:id="478" w:author="svcMRProcess" w:date="2020-02-24T13:05:00Z">
        <w:r>
          <w:t>:</w:t>
        </w:r>
      </w:ins>
      <w:r>
        <w:t xml:space="preserve"> No. 32 of 2016 s. 86.]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79" w:name="_Toc32485829"/>
      <w:bookmarkStart w:id="480" w:name="_Toc32485940"/>
      <w:bookmarkStart w:id="481" w:name="_Toc494452179"/>
      <w:r>
        <w:rPr>
          <w:rStyle w:val="CharSchNo"/>
        </w:rPr>
        <w:t>Schedule 1</w:t>
      </w:r>
      <w:r>
        <w:t> — </w:t>
      </w:r>
      <w:r>
        <w:rPr>
          <w:rStyle w:val="CharSchText"/>
        </w:rPr>
        <w:t>Council members</w:t>
      </w:r>
      <w:bookmarkEnd w:id="479"/>
      <w:bookmarkEnd w:id="480"/>
      <w:bookmarkEnd w:id="481"/>
    </w:p>
    <w:p>
      <w:pPr>
        <w:pStyle w:val="yShoulderClause"/>
      </w:pPr>
      <w:r>
        <w:t>[s. 10A, 11A, 13]</w:t>
      </w:r>
    </w:p>
    <w:p>
      <w:pPr>
        <w:pStyle w:val="yFootnoteheading"/>
      </w:pPr>
      <w:r>
        <w:tab/>
        <w:t>[Heading inserted</w:t>
      </w:r>
      <w:del w:id="482" w:author="svcMRProcess" w:date="2020-02-24T13:05:00Z">
        <w:r>
          <w:delText xml:space="preserve"> by</w:delText>
        </w:r>
      </w:del>
      <w:ins w:id="483" w:author="svcMRProcess" w:date="2020-02-24T13:05:00Z">
        <w:r>
          <w:t>:</w:t>
        </w:r>
      </w:ins>
      <w:r>
        <w:t xml:space="preserve"> No. 8 of 2005 s. 23.]</w:t>
      </w:r>
    </w:p>
    <w:p>
      <w:pPr>
        <w:pStyle w:val="yHeading3"/>
      </w:pPr>
      <w:bookmarkStart w:id="484" w:name="_Toc32485830"/>
      <w:bookmarkStart w:id="485" w:name="_Toc32485941"/>
      <w:bookmarkStart w:id="486" w:name="_Toc494452180"/>
      <w:r>
        <w:rPr>
          <w:rStyle w:val="CharSDivNo"/>
        </w:rPr>
        <w:t>Division 1</w:t>
      </w:r>
      <w:r>
        <w:rPr>
          <w:b w:val="0"/>
        </w:rPr>
        <w:t> — </w:t>
      </w:r>
      <w:r>
        <w:rPr>
          <w:rStyle w:val="CharSDivText"/>
        </w:rPr>
        <w:t>Duties</w:t>
      </w:r>
      <w:bookmarkEnd w:id="484"/>
      <w:bookmarkEnd w:id="485"/>
      <w:bookmarkEnd w:id="486"/>
    </w:p>
    <w:p>
      <w:pPr>
        <w:pStyle w:val="yFootnoteheading"/>
      </w:pPr>
      <w:r>
        <w:tab/>
        <w:t>[Heading inserted</w:t>
      </w:r>
      <w:del w:id="487" w:author="svcMRProcess" w:date="2020-02-24T13:05:00Z">
        <w:r>
          <w:delText xml:space="preserve"> by</w:delText>
        </w:r>
      </w:del>
      <w:ins w:id="488" w:author="svcMRProcess" w:date="2020-02-24T13:05:00Z">
        <w:r>
          <w:t>:</w:t>
        </w:r>
      </w:ins>
      <w:r>
        <w:t xml:space="preserve"> No. 8 of 2005 s. 23.]</w:t>
      </w:r>
    </w:p>
    <w:p>
      <w:pPr>
        <w:pStyle w:val="yHeading5"/>
        <w:outlineLvl w:val="9"/>
      </w:pPr>
      <w:bookmarkStart w:id="489" w:name="_Toc32485942"/>
      <w:bookmarkStart w:id="490" w:name="_Toc494452181"/>
      <w:r>
        <w:rPr>
          <w:rStyle w:val="CharSClsNo"/>
        </w:rPr>
        <w:t>1</w:t>
      </w:r>
      <w:r>
        <w:t>.</w:t>
      </w:r>
      <w:r>
        <w:rPr>
          <w:b w:val="0"/>
        </w:rPr>
        <w:tab/>
      </w:r>
      <w:r>
        <w:t>Duties</w:t>
      </w:r>
      <w:bookmarkEnd w:id="489"/>
      <w:bookmarkEnd w:id="490"/>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w:t>
      </w:r>
      <w:del w:id="491" w:author="svcMRProcess" w:date="2020-02-24T13:05:00Z">
        <w:r>
          <w:delText xml:space="preserve"> by</w:delText>
        </w:r>
      </w:del>
      <w:ins w:id="492" w:author="svcMRProcess" w:date="2020-02-24T13:05:00Z">
        <w:r>
          <w:t>:</w:t>
        </w:r>
      </w:ins>
      <w:r>
        <w:t xml:space="preserve"> No.</w:t>
      </w:r>
      <w:r>
        <w:rPr>
          <w:sz w:val="28"/>
        </w:rPr>
        <w:t> </w:t>
      </w:r>
      <w:r>
        <w:t>8 of 2005 s. 23.]</w:t>
      </w:r>
    </w:p>
    <w:p>
      <w:pPr>
        <w:pStyle w:val="yHeading3"/>
        <w:keepLines/>
      </w:pPr>
      <w:bookmarkStart w:id="493" w:name="_Toc32485832"/>
      <w:bookmarkStart w:id="494" w:name="_Toc32485943"/>
      <w:bookmarkStart w:id="495" w:name="_Toc494452182"/>
      <w:r>
        <w:rPr>
          <w:rStyle w:val="CharSDivNo"/>
        </w:rPr>
        <w:t>Division 2</w:t>
      </w:r>
      <w:r>
        <w:t> — </w:t>
      </w:r>
      <w:r>
        <w:rPr>
          <w:rStyle w:val="CharSDivText"/>
        </w:rPr>
        <w:t>Disclosure of interests</w:t>
      </w:r>
      <w:bookmarkEnd w:id="493"/>
      <w:bookmarkEnd w:id="494"/>
      <w:bookmarkEnd w:id="495"/>
    </w:p>
    <w:p>
      <w:pPr>
        <w:pStyle w:val="yFootnoteheading"/>
        <w:keepNext/>
        <w:keepLines/>
      </w:pPr>
      <w:r>
        <w:tab/>
        <w:t>[Heading inserted</w:t>
      </w:r>
      <w:del w:id="496" w:author="svcMRProcess" w:date="2020-02-24T13:05:00Z">
        <w:r>
          <w:delText xml:space="preserve"> by</w:delText>
        </w:r>
      </w:del>
      <w:ins w:id="497" w:author="svcMRProcess" w:date="2020-02-24T13:05:00Z">
        <w:r>
          <w:t>:</w:t>
        </w:r>
      </w:ins>
      <w:r>
        <w:t xml:space="preserve"> No. 8 of 2005 s. 23.]</w:t>
      </w:r>
    </w:p>
    <w:p>
      <w:pPr>
        <w:pStyle w:val="yHeading5"/>
      </w:pPr>
      <w:bookmarkStart w:id="498" w:name="_Toc32485944"/>
      <w:bookmarkStart w:id="499" w:name="_Toc494452183"/>
      <w:r>
        <w:rPr>
          <w:rStyle w:val="CharSClsNo"/>
        </w:rPr>
        <w:t>2</w:t>
      </w:r>
      <w:r>
        <w:t>.</w:t>
      </w:r>
      <w:r>
        <w:rPr>
          <w:b w:val="0"/>
        </w:rPr>
        <w:tab/>
      </w:r>
      <w:r>
        <w:t>Disclosure of interests</w:t>
      </w:r>
      <w:bookmarkEnd w:id="498"/>
      <w:bookmarkEnd w:id="499"/>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w:t>
      </w:r>
      <w:del w:id="500" w:author="svcMRProcess" w:date="2020-02-24T13:05:00Z">
        <w:r>
          <w:delText xml:space="preserve"> by</w:delText>
        </w:r>
      </w:del>
      <w:ins w:id="501" w:author="svcMRProcess" w:date="2020-02-24T13:05:00Z">
        <w:r>
          <w:t>:</w:t>
        </w:r>
      </w:ins>
      <w:r>
        <w:t xml:space="preserve"> No. 8 of 2005 s. 23.]</w:t>
      </w:r>
    </w:p>
    <w:p>
      <w:pPr>
        <w:pStyle w:val="yHeading5"/>
      </w:pPr>
      <w:bookmarkStart w:id="502" w:name="_Toc32485945"/>
      <w:bookmarkStart w:id="503" w:name="_Toc494452184"/>
      <w:r>
        <w:rPr>
          <w:rStyle w:val="CharSClsNo"/>
        </w:rPr>
        <w:t>3</w:t>
      </w:r>
      <w:r>
        <w:t>.</w:t>
      </w:r>
      <w:r>
        <w:rPr>
          <w:b w:val="0"/>
        </w:rPr>
        <w:tab/>
      </w:r>
      <w:r>
        <w:t>Voting by interested members</w:t>
      </w:r>
      <w:bookmarkEnd w:id="502"/>
      <w:bookmarkEnd w:id="503"/>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w:t>
      </w:r>
      <w:del w:id="504" w:author="svcMRProcess" w:date="2020-02-24T13:05:00Z">
        <w:r>
          <w:delText xml:space="preserve"> by</w:delText>
        </w:r>
      </w:del>
      <w:ins w:id="505" w:author="svcMRProcess" w:date="2020-02-24T13:05:00Z">
        <w:r>
          <w:t>:</w:t>
        </w:r>
      </w:ins>
      <w:r>
        <w:t xml:space="preserve"> No. 8 of 2005 s. 23.]</w:t>
      </w:r>
    </w:p>
    <w:p>
      <w:pPr>
        <w:pStyle w:val="yHeading5"/>
      </w:pPr>
      <w:bookmarkStart w:id="506" w:name="_Toc32485946"/>
      <w:bookmarkStart w:id="507" w:name="_Toc494452185"/>
      <w:r>
        <w:rPr>
          <w:rStyle w:val="CharSClsNo"/>
        </w:rPr>
        <w:t>4</w:t>
      </w:r>
      <w:r>
        <w:t>.</w:t>
      </w:r>
      <w:r>
        <w:rPr>
          <w:b w:val="0"/>
        </w:rPr>
        <w:tab/>
      </w:r>
      <w:r>
        <w:t>Clause 3 may be declared inapplicable</w:t>
      </w:r>
      <w:bookmarkEnd w:id="506"/>
      <w:bookmarkEnd w:id="507"/>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w:t>
      </w:r>
      <w:del w:id="508" w:author="svcMRProcess" w:date="2020-02-24T13:05:00Z">
        <w:r>
          <w:delText xml:space="preserve"> by</w:delText>
        </w:r>
      </w:del>
      <w:ins w:id="509" w:author="svcMRProcess" w:date="2020-02-24T13:05:00Z">
        <w:r>
          <w:t>:</w:t>
        </w:r>
      </w:ins>
      <w:r>
        <w:t xml:space="preserve"> No. 8 of 2005 s. 23.]</w:t>
      </w:r>
    </w:p>
    <w:p>
      <w:pPr>
        <w:pStyle w:val="yEdnotesection"/>
      </w:pPr>
      <w:r>
        <w:t>[</w:t>
      </w:r>
      <w:r>
        <w:rPr>
          <w:b/>
        </w:rPr>
        <w:t>5.</w:t>
      </w:r>
      <w:r>
        <w:tab/>
        <w:t>Deleted</w:t>
      </w:r>
      <w:del w:id="510" w:author="svcMRProcess" w:date="2020-02-24T13:05:00Z">
        <w:r>
          <w:delText xml:space="preserve"> by</w:delText>
        </w:r>
      </w:del>
      <w:ins w:id="511" w:author="svcMRProcess" w:date="2020-02-24T13:05:00Z">
        <w:r>
          <w:t>:</w:t>
        </w:r>
      </w:ins>
      <w:r>
        <w:t xml:space="preserve"> No. 32 of 2016 s. 87.]</w:t>
      </w:r>
    </w:p>
    <w:p>
      <w:pPr>
        <w:pStyle w:val="yHeading5"/>
      </w:pPr>
      <w:bookmarkStart w:id="512" w:name="_Toc32485947"/>
      <w:bookmarkStart w:id="513" w:name="_Toc494452186"/>
      <w:r>
        <w:rPr>
          <w:rStyle w:val="CharSClsNo"/>
        </w:rPr>
        <w:t>6</w:t>
      </w:r>
      <w:r>
        <w:t>.</w:t>
      </w:r>
      <w:r>
        <w:rPr>
          <w:b w:val="0"/>
        </w:rPr>
        <w:tab/>
      </w:r>
      <w:r>
        <w:t>Minister may declare clause 3 inapplicable</w:t>
      </w:r>
      <w:bookmarkEnd w:id="512"/>
      <w:bookmarkEnd w:id="513"/>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w:t>
      </w:r>
      <w:del w:id="514" w:author="svcMRProcess" w:date="2020-02-24T13:05:00Z">
        <w:r>
          <w:delText xml:space="preserve"> by</w:delText>
        </w:r>
      </w:del>
      <w:ins w:id="515" w:author="svcMRProcess" w:date="2020-02-24T13:05:00Z">
        <w:r>
          <w:t>:</w:t>
        </w:r>
      </w:ins>
      <w:r>
        <w:t xml:space="preserve"> No. 8 of 2005 s. 23; amended</w:t>
      </w:r>
      <w:del w:id="516" w:author="svcMRProcess" w:date="2020-02-24T13:05:00Z">
        <w:r>
          <w:delText xml:space="preserve"> by</w:delText>
        </w:r>
      </w:del>
      <w:ins w:id="517" w:author="svcMRProcess" w:date="2020-02-24T13:05:00Z">
        <w:r>
          <w:t>:</w:t>
        </w:r>
      </w:ins>
      <w:r>
        <w:t xml:space="preserve"> No. 32 of 2016 s. 88.]</w:t>
      </w:r>
    </w:p>
    <w:p>
      <w:pPr>
        <w:rPr>
          <w:ins w:id="518" w:author="svcMRProcess" w:date="2020-02-24T13:05:00Z"/>
        </w:rPr>
      </w:pPr>
    </w:p>
    <w:p>
      <w:pPr>
        <w:pStyle w:val="CentredBaseLine"/>
        <w:jc w:val="center"/>
        <w:rPr>
          <w:ins w:id="519" w:author="svcMRProcess" w:date="2020-02-24T13:05:00Z"/>
        </w:rPr>
      </w:pPr>
      <w:ins w:id="520" w:author="svcMRProcess" w:date="2020-02-24T13:0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nHeading2"/>
      </w:pPr>
      <w:bookmarkStart w:id="521" w:name="_Toc32485837"/>
      <w:bookmarkStart w:id="522" w:name="_Toc32485948"/>
      <w:bookmarkStart w:id="523" w:name="_Toc494452187"/>
      <w:r>
        <w:t>Notes</w:t>
      </w:r>
      <w:bookmarkEnd w:id="521"/>
      <w:bookmarkEnd w:id="522"/>
      <w:bookmarkEnd w:id="523"/>
    </w:p>
    <w:p>
      <w:pPr>
        <w:pStyle w:val="nStatement"/>
      </w:pPr>
      <w:del w:id="524" w:author="svcMRProcess" w:date="2020-02-24T13:05:00Z">
        <w:r>
          <w:rPr>
            <w:snapToGrid w:val="0"/>
            <w:vertAlign w:val="superscript"/>
          </w:rPr>
          <w:delText>1</w:delText>
        </w:r>
        <w:r>
          <w:rPr>
            <w:snapToGrid w:val="0"/>
          </w:rPr>
          <w:tab/>
        </w:r>
      </w:del>
      <w:r>
        <w:t xml:space="preserve">This </w:t>
      </w:r>
      <w:ins w:id="525" w:author="svcMRProcess" w:date="2020-02-24T13:05:00Z">
        <w:r>
          <w:t xml:space="preserve">reprint </w:t>
        </w:r>
      </w:ins>
      <w:r>
        <w:t xml:space="preserve">is a compilation </w:t>
      </w:r>
      <w:ins w:id="526" w:author="svcMRProcess" w:date="2020-02-24T13:05:00Z">
        <w:r>
          <w:t xml:space="preserve">as at 8 June 2018 </w:t>
        </w:r>
      </w:ins>
      <w:r>
        <w:t xml:space="preserve">of the </w:t>
      </w:r>
      <w:r>
        <w:rPr>
          <w:i/>
          <w:noProof/>
        </w:rPr>
        <w:t>Edith Cowan University Act</w:t>
      </w:r>
      <w:del w:id="527" w:author="svcMRProcess" w:date="2020-02-24T13:05:00Z">
        <w:r>
          <w:rPr>
            <w:i/>
            <w:noProof/>
            <w:snapToGrid w:val="0"/>
          </w:rPr>
          <w:delText xml:space="preserve"> </w:delText>
        </w:r>
      </w:del>
      <w:ins w:id="528" w:author="svcMRProcess" w:date="2020-02-24T13:05:00Z">
        <w:r>
          <w:rPr>
            <w:i/>
            <w:noProof/>
          </w:rPr>
          <w:t> </w:t>
        </w:r>
      </w:ins>
      <w:r>
        <w:rPr>
          <w:i/>
          <w:noProof/>
        </w:rPr>
        <w:t>1984</w:t>
      </w:r>
      <w:r>
        <w:t xml:space="preserve"> and includes </w:t>
      </w:r>
      <w:del w:id="529" w:author="svcMRProcess" w:date="2020-02-24T13:05:00Z">
        <w:r>
          <w:rPr>
            <w:snapToGrid w:val="0"/>
          </w:rPr>
          <w:delText xml:space="preserve">the </w:delText>
        </w:r>
      </w:del>
      <w:r>
        <w:t xml:space="preserve">amendments made by </w:t>
      </w:r>
      <w:del w:id="530" w:author="svcMRProcess" w:date="2020-02-24T13:05:00Z">
        <w:r>
          <w:rPr>
            <w:snapToGrid w:val="0"/>
          </w:rPr>
          <w:delText xml:space="preserve">the </w:delText>
        </w:r>
      </w:del>
      <w:r>
        <w:t>other written laws</w:t>
      </w:r>
      <w:del w:id="531" w:author="svcMRProcess" w:date="2020-02-24T13:05:00Z">
        <w:r>
          <w:rPr>
            <w:snapToGrid w:val="0"/>
          </w:rPr>
          <w:delText xml:space="preserve"> referred to in the following table</w:delText>
        </w:r>
        <w:r>
          <w:rPr>
            <w:snapToGrid w:val="0"/>
            <w:vertAlign w:val="superscript"/>
          </w:rPr>
          <w:delText> 1a</w:delText>
        </w:r>
        <w:r>
          <w:rPr>
            <w:snapToGrid w:val="0"/>
          </w:rPr>
          <w:delText>.  The table also contains</w:delText>
        </w:r>
      </w:del>
      <w:ins w:id="532" w:author="svcMRProcess" w:date="2020-02-24T13:05:00Z">
        <w:r>
          <w:t>. For provisions that have come into operation, and for</w:t>
        </w:r>
      </w:ins>
      <w:r>
        <w:t xml:space="preserve"> information about any </w:t>
      </w:r>
      <w:del w:id="533" w:author="svcMRProcess" w:date="2020-02-24T13:05:00Z">
        <w:r>
          <w:rPr>
            <w:snapToGrid w:val="0"/>
          </w:rPr>
          <w:delText>reprint</w:delText>
        </w:r>
      </w:del>
      <w:ins w:id="534" w:author="svcMRProcess" w:date="2020-02-24T13:05:00Z">
        <w:r>
          <w:t>reprints, see the compilation table. For provisions that have not yet come into operation see the uncommenced provisions table</w:t>
        </w:r>
      </w:ins>
      <w:r>
        <w:t>.</w:t>
      </w:r>
    </w:p>
    <w:p>
      <w:pPr>
        <w:pStyle w:val="nHeading3"/>
      </w:pPr>
      <w:bookmarkStart w:id="535" w:name="_Toc32485949"/>
      <w:bookmarkStart w:id="536" w:name="_Toc494452188"/>
      <w:r>
        <w:t>Compilation table</w:t>
      </w:r>
      <w:bookmarkEnd w:id="535"/>
      <w:bookmarkEnd w:id="53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37" w:author="svcMRProcess" w:date="2020-02-24T13:05:00Z">
              <w:r>
                <w:rPr>
                  <w:b/>
                </w:rPr>
                <w:delText xml:space="preserve"> </w:delText>
              </w:r>
            </w:del>
            <w:ins w:id="538" w:author="svcMRProcess" w:date="2020-02-24T13:05: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vertAlign w:val="superscript"/>
              </w:rPr>
            </w:pPr>
            <w:r>
              <w:rPr>
                <w:i/>
              </w:rPr>
              <w:t>Western Australian College of Advanced Education Act 1984</w:t>
            </w:r>
            <w:r>
              <w:rPr>
                <w:iCs/>
                <w:vertAlign w:val="superscript"/>
              </w:rPr>
              <w:t> </w:t>
            </w:r>
            <w:del w:id="539" w:author="svcMRProcess" w:date="2020-02-24T13:05:00Z">
              <w:r>
                <w:rPr>
                  <w:iCs/>
                  <w:vertAlign w:val="superscript"/>
                </w:rPr>
                <w:delText>7</w:delText>
              </w:r>
            </w:del>
            <w:ins w:id="540" w:author="svcMRProcess" w:date="2020-02-24T13:05:00Z">
              <w:r>
                <w:rPr>
                  <w:iCs/>
                  <w:vertAlign w:val="superscript"/>
                </w:rPr>
                <w:t>6</w:t>
              </w:r>
            </w:ins>
          </w:p>
        </w:tc>
        <w:tc>
          <w:tcPr>
            <w:tcW w:w="1134" w:type="dxa"/>
          </w:tcPr>
          <w:p>
            <w:pPr>
              <w:pStyle w:val="nTable"/>
              <w:spacing w:after="40"/>
            </w:pPr>
            <w:r>
              <w:t>18 of 1984</w:t>
            </w:r>
          </w:p>
        </w:tc>
        <w:tc>
          <w:tcPr>
            <w:tcW w:w="1134" w:type="dxa"/>
          </w:tcPr>
          <w:p>
            <w:pPr>
              <w:pStyle w:val="nTable"/>
              <w:spacing w:after="40"/>
            </w:pPr>
            <w:r>
              <w:t>31 May 1984</w:t>
            </w:r>
          </w:p>
        </w:tc>
        <w:tc>
          <w:tcPr>
            <w:tcW w:w="2552" w:type="dxa"/>
          </w:tcPr>
          <w:p>
            <w:pPr>
              <w:pStyle w:val="nTable"/>
              <w:spacing w:after="40"/>
            </w:pPr>
            <w:r>
              <w:t xml:space="preserve">1 Sep 1984 (see s. 2 and </w:t>
            </w:r>
            <w:r>
              <w:rPr>
                <w:i/>
              </w:rPr>
              <w:t>Gazette</w:t>
            </w:r>
            <w:r>
              <w:t xml:space="preserve"> 24 Aug 1984 p. 2567)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(Educational Institutions Superannuation) Act 1985 </w:t>
            </w:r>
            <w:r>
              <w:t>Pt. III</w:t>
            </w:r>
            <w:r>
              <w:rPr>
                <w:vertAlign w:val="superscript"/>
              </w:rPr>
              <w:t> </w:t>
            </w:r>
            <w:del w:id="541" w:author="svcMRProcess" w:date="2020-02-24T13:05:00Z">
              <w:r>
                <w:rPr>
                  <w:vertAlign w:val="superscript"/>
                </w:rPr>
                <w:delText>8</w:delText>
              </w:r>
            </w:del>
            <w:ins w:id="542" w:author="svcMRProcess" w:date="2020-02-24T13:05:00Z">
              <w:r>
                <w:rPr>
                  <w:vertAlign w:val="superscript"/>
                </w:rPr>
                <w:t>7</w:t>
              </w:r>
            </w:ins>
          </w:p>
        </w:tc>
        <w:tc>
          <w:tcPr>
            <w:tcW w:w="1134" w:type="dxa"/>
          </w:tcPr>
          <w:p>
            <w:pPr>
              <w:pStyle w:val="nTable"/>
              <w:spacing w:after="40"/>
            </w:pPr>
            <w:r>
              <w:t>77 of 1985</w:t>
            </w:r>
            <w:r>
              <w:br/>
              <w:t>(as amended by No. 63 of 1990 s. 22)</w:t>
            </w:r>
          </w:p>
        </w:tc>
        <w:tc>
          <w:tcPr>
            <w:tcW w:w="1134" w:type="dxa"/>
          </w:tcPr>
          <w:p>
            <w:pPr>
              <w:pStyle w:val="nTable"/>
              <w:spacing w:after="40"/>
            </w:pPr>
            <w:r>
              <w:t>20 Nov 1985</w:t>
            </w:r>
          </w:p>
        </w:tc>
        <w:tc>
          <w:tcPr>
            <w:tcW w:w="2552" w:type="dxa"/>
          </w:tcPr>
          <w:p>
            <w:pPr>
              <w:pStyle w:val="nTable"/>
              <w:spacing w:after="40"/>
            </w:pPr>
            <w:r>
              <w:t xml:space="preserve">16 Dec 1985 (see s. 2 and </w:t>
            </w:r>
            <w:r>
              <w:rPr>
                <w:i/>
              </w:rPr>
              <w:t xml:space="preserve">Gazette </w:t>
            </w:r>
            <w:r>
              <w:t>13 Dec 1985 p. 4758)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 xml:space="preserve">Gazette </w:t>
            </w:r>
            <w:r>
              <w:t>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(Post</w:t>
            </w:r>
            <w:r>
              <w:rPr>
                <w:i/>
              </w:rPr>
              <w:noBreakHyphen/>
              <w:t xml:space="preserve">Secondary Education) Act 1989 </w:t>
            </w:r>
            <w:r>
              <w:t>Pt. 8</w:t>
            </w:r>
          </w:p>
        </w:tc>
        <w:tc>
          <w:tcPr>
            <w:tcW w:w="1134" w:type="dxa"/>
          </w:tcPr>
          <w:p>
            <w:pPr>
              <w:pStyle w:val="nTable"/>
              <w:spacing w:after="40"/>
            </w:pPr>
            <w:r>
              <w:t>48 of 1989</w:t>
            </w:r>
          </w:p>
        </w:tc>
        <w:tc>
          <w:tcPr>
            <w:tcW w:w="1134" w:type="dxa"/>
          </w:tcPr>
          <w:p>
            <w:pPr>
              <w:pStyle w:val="nTable"/>
              <w:spacing w:after="40"/>
            </w:pPr>
            <w:r>
              <w:t>9 Jan 1990</w:t>
            </w:r>
          </w:p>
        </w:tc>
        <w:tc>
          <w:tcPr>
            <w:tcW w:w="2552" w:type="dxa"/>
          </w:tcPr>
          <w:p>
            <w:pPr>
              <w:pStyle w:val="nTable"/>
              <w:spacing w:after="40"/>
            </w:pPr>
            <w:r>
              <w:t>1 Jan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College of Advanced Education Amendment Act 1990</w:t>
            </w:r>
          </w:p>
        </w:tc>
        <w:tc>
          <w:tcPr>
            <w:tcW w:w="1134" w:type="dxa"/>
          </w:tcPr>
          <w:p>
            <w:pPr>
              <w:pStyle w:val="nTable"/>
              <w:spacing w:after="40"/>
            </w:pPr>
            <w:r>
              <w:t>63 of 1990</w:t>
            </w:r>
          </w:p>
        </w:tc>
        <w:tc>
          <w:tcPr>
            <w:tcW w:w="1134" w:type="dxa"/>
          </w:tcPr>
          <w:p>
            <w:pPr>
              <w:pStyle w:val="nTable"/>
              <w:spacing w:after="40"/>
            </w:pPr>
            <w:r>
              <w:t>17 Dec 1990</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1991</w:t>
            </w:r>
            <w:r>
              <w:t xml:space="preserve"> Pt. 3</w:t>
            </w:r>
          </w:p>
        </w:tc>
        <w:tc>
          <w:tcPr>
            <w:tcW w:w="1134" w:type="dxa"/>
          </w:tcPr>
          <w:p>
            <w:pPr>
              <w:pStyle w:val="nTable"/>
              <w:spacing w:after="40"/>
            </w:pPr>
            <w:r>
              <w:t>32 of 1991</w:t>
            </w:r>
          </w:p>
        </w:tc>
        <w:tc>
          <w:tcPr>
            <w:tcW w:w="1134" w:type="dxa"/>
          </w:tcPr>
          <w:p>
            <w:pPr>
              <w:pStyle w:val="nTable"/>
              <w:spacing w:after="40"/>
            </w:pPr>
            <w:r>
              <w:t>4 Dec 1991</w:t>
            </w:r>
          </w:p>
        </w:tc>
        <w:tc>
          <w:tcPr>
            <w:tcW w:w="2552" w:type="dxa"/>
          </w:tcPr>
          <w:p>
            <w:pPr>
              <w:pStyle w:val="nTable"/>
              <w:spacing w:after="40"/>
            </w:pPr>
            <w:r>
              <w:t>1 Jan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2" w:type="dxa"/>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Voluntary Membership of Student Guilds and Associations Act 1994</w:t>
            </w:r>
            <w:r>
              <w:t xml:space="preserve"> Pt. 4</w:t>
            </w:r>
          </w:p>
        </w:tc>
        <w:tc>
          <w:tcPr>
            <w:tcW w:w="1134" w:type="dxa"/>
          </w:tcPr>
          <w:p>
            <w:pPr>
              <w:pStyle w:val="nTable"/>
              <w:spacing w:after="40"/>
            </w:pPr>
            <w:r>
              <w:t>91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1 Jan 1996 (see s. 2(2) and</w:t>
            </w:r>
            <w:r>
              <w:rPr>
                <w:i/>
              </w:rPr>
              <w:t xml:space="preserve"> Gazette </w:t>
            </w:r>
            <w:r>
              <w:t>24 Nov 1995 p. 5389)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25</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Education Amendment Act 1996</w:t>
            </w:r>
            <w:r>
              <w:t xml:space="preserve"> s. 16(4)</w:t>
            </w:r>
          </w:p>
        </w:tc>
        <w:tc>
          <w:tcPr>
            <w:tcW w:w="1134" w:type="dxa"/>
          </w:tcPr>
          <w:p>
            <w:pPr>
              <w:pStyle w:val="nTable"/>
              <w:spacing w:after="40"/>
            </w:pPr>
            <w:r>
              <w:t>22 of 1996</w:t>
            </w:r>
          </w:p>
        </w:tc>
        <w:tc>
          <w:tcPr>
            <w:tcW w:w="1134" w:type="dxa"/>
          </w:tcPr>
          <w:p>
            <w:pPr>
              <w:pStyle w:val="nTable"/>
              <w:spacing w:after="40"/>
            </w:pPr>
            <w:r>
              <w:t>11 Jul 1996</w:t>
            </w:r>
          </w:p>
        </w:tc>
        <w:tc>
          <w:tcPr>
            <w:tcW w:w="2552" w:type="dxa"/>
          </w:tcPr>
          <w:p>
            <w:pPr>
              <w:pStyle w:val="nTable"/>
              <w:spacing w:after="40"/>
            </w:pPr>
            <w:r>
              <w:t>11 Jul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53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 xml:space="preserve">Gazette </w:t>
            </w:r>
            <w:r>
              <w:t>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Statutes (Repeals and Minor Amendments) Act (No. 2) 1998</w:t>
            </w:r>
            <w:r>
              <w:t xml:space="preserve"> s. 30</w:t>
            </w:r>
            <w:r>
              <w:rPr>
                <w:vertAlign w:val="superscript"/>
              </w:rPr>
              <w:t> </w:t>
            </w:r>
            <w:del w:id="543" w:author="svcMRProcess" w:date="2020-02-24T13:05:00Z">
              <w:r>
                <w:rPr>
                  <w:vertAlign w:val="superscript"/>
                </w:rPr>
                <w:delText>9</w:delText>
              </w:r>
            </w:del>
            <w:ins w:id="544" w:author="svcMRProcess" w:date="2020-02-24T13:05:00Z">
              <w:r>
                <w:rPr>
                  <w:vertAlign w:val="superscript"/>
                </w:rPr>
                <w:t>8</w:t>
              </w:r>
            </w:ins>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3</w:t>
            </w:r>
          </w:p>
        </w:tc>
        <w:tc>
          <w:tcPr>
            <w:tcW w:w="1134" w:type="dxa"/>
          </w:tcPr>
          <w:p>
            <w:pPr>
              <w:pStyle w:val="nTable"/>
              <w:spacing w:after="40"/>
            </w:pPr>
            <w:r>
              <w:t>44 of 2002</w:t>
            </w:r>
          </w:p>
        </w:tc>
        <w:tc>
          <w:tcPr>
            <w:tcW w:w="1134" w:type="dxa"/>
          </w:tcPr>
          <w:p>
            <w:pPr>
              <w:pStyle w:val="nTable"/>
              <w:spacing w:after="40"/>
            </w:pPr>
            <w:r>
              <w:t>3 Jan 2003</w:t>
            </w:r>
          </w:p>
        </w:tc>
        <w:tc>
          <w:tcPr>
            <w:tcW w:w="2552" w:type="dxa"/>
          </w:tcPr>
          <w:p>
            <w:pPr>
              <w:pStyle w:val="nTable"/>
              <w:spacing w:after="40"/>
            </w:pPr>
            <w:r>
              <w:t xml:space="preserve">25 Jan 2003 (see s. 2 and </w:t>
            </w:r>
            <w:r>
              <w:rPr>
                <w:i/>
              </w:rPr>
              <w:t>Gazette</w:t>
            </w:r>
            <w:r>
              <w:t xml:space="preserve"> 24 Jan 2003 p. 141)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w:t>
            </w:r>
            <w:del w:id="545" w:author="svcMRProcess" w:date="2020-02-24T13:05:00Z">
              <w:r>
                <w:rPr>
                  <w:snapToGrid w:val="0"/>
                  <w:vertAlign w:val="superscript"/>
                </w:rPr>
                <w:delText>10</w:delText>
              </w:r>
            </w:del>
            <w:ins w:id="546" w:author="svcMRProcess" w:date="2020-02-24T13:05:00Z">
              <w:r>
                <w:rPr>
                  <w:snapToGrid w:val="0"/>
                  <w:vertAlign w:val="superscript"/>
                </w:rPr>
                <w:t>9</w:t>
              </w:r>
            </w:ins>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Universities Legislation Amendment Act 2005 </w:t>
            </w:r>
            <w:r>
              <w:rPr>
                <w:iCs/>
                <w:snapToGrid w:val="0"/>
              </w:rPr>
              <w:t>Pt. 3</w:t>
            </w:r>
            <w:r>
              <w:rPr>
                <w:iCs/>
                <w:snapToGrid w:val="0"/>
                <w:vertAlign w:val="superscript"/>
              </w:rPr>
              <w:t> </w:t>
            </w:r>
            <w:del w:id="547" w:author="svcMRProcess" w:date="2020-02-24T13:05:00Z">
              <w:r>
                <w:rPr>
                  <w:iCs/>
                  <w:snapToGrid w:val="0"/>
                  <w:vertAlign w:val="superscript"/>
                </w:rPr>
                <w:delText>11</w:delText>
              </w:r>
            </w:del>
            <w:ins w:id="548" w:author="svcMRProcess" w:date="2020-02-24T13:05:00Z">
              <w:r>
                <w:rPr>
                  <w:iCs/>
                  <w:snapToGrid w:val="0"/>
                  <w:vertAlign w:val="superscript"/>
                </w:rPr>
                <w:t>10</w:t>
              </w:r>
            </w:ins>
          </w:p>
        </w:tc>
        <w:tc>
          <w:tcPr>
            <w:tcW w:w="1134"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2" w:type="dxa"/>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iCs/>
                <w:snapToGrid w:val="0"/>
              </w:rPr>
            </w:pPr>
            <w:r>
              <w:rPr>
                <w:i/>
                <w:snapToGrid w:val="0"/>
              </w:rPr>
              <w:t xml:space="preserve">Financial Legislation Amendment and Repeal Act 2006 </w:t>
            </w:r>
            <w:r>
              <w:rPr>
                <w:iCs/>
                <w:snapToGrid w:val="0"/>
              </w:rPr>
              <w:t>s. 4</w:t>
            </w:r>
            <w:ins w:id="549" w:author="svcMRProcess" w:date="2020-02-24T13:05:00Z">
              <w:r>
                <w:rPr>
                  <w:iCs/>
                  <w:snapToGrid w:val="0"/>
                </w:rPr>
                <w:t>, 17</w:t>
              </w:r>
            </w:ins>
            <w:r>
              <w:rPr>
                <w:iCs/>
                <w:snapToGrid w:val="0"/>
              </w:rPr>
              <w:t xml:space="preserve"> and </w:t>
            </w:r>
            <w:del w:id="550" w:author="svcMRProcess" w:date="2020-02-24T13:05:00Z">
              <w:r>
                <w:rPr>
                  <w:iCs/>
                  <w:snapToGrid w:val="0"/>
                </w:rPr>
                <w:delText>17</w:delText>
              </w:r>
            </w:del>
            <w:ins w:id="551" w:author="svcMRProcess" w:date="2020-02-24T13:05:00Z">
              <w:r>
                <w:rPr>
                  <w:iCs/>
                  <w:snapToGrid w:val="0"/>
                </w:rPr>
                <w:t>Sch. 1 cl. 49</w:t>
              </w:r>
            </w:ins>
          </w:p>
        </w:tc>
        <w:tc>
          <w:tcPr>
            <w:tcW w:w="1134" w:type="dxa"/>
          </w:tcPr>
          <w:p>
            <w:pPr>
              <w:pStyle w:val="nTable"/>
              <w:keepNext/>
              <w:spacing w:after="40"/>
              <w:rPr>
                <w:snapToGrid w:val="0"/>
              </w:rPr>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rPr>
                <w:snapToGrid w:val="0"/>
              </w:rPr>
            </w:pPr>
            <w:r>
              <w:rPr>
                <w:snapToGrid w:val="0"/>
              </w:rPr>
              <w:t>1 Feb 2007 (see s. 2</w:t>
            </w:r>
            <w:ins w:id="552" w:author="svcMRProcess" w:date="2020-02-24T13:05:00Z">
              <w:r>
                <w:rPr>
                  <w:snapToGrid w:val="0"/>
                </w:rPr>
                <w:t>(1)</w:t>
              </w:r>
            </w:ins>
            <w:r>
              <w:rPr>
                <w:snapToGrid w:val="0"/>
              </w:rPr>
              <w:t xml:space="preserve">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Universities Legislation Amendment Act 2016</w:t>
            </w:r>
            <w:r>
              <w:rPr>
                <w:snapToGrid w:val="0"/>
              </w:rPr>
              <w:t xml:space="preserve"> Pt. 3 </w:t>
            </w:r>
          </w:p>
        </w:tc>
        <w:tc>
          <w:tcPr>
            <w:tcW w:w="1134" w:type="dxa"/>
          </w:tcPr>
          <w:p>
            <w:pPr>
              <w:pStyle w:val="nTable"/>
              <w:spacing w:after="40"/>
              <w:rPr>
                <w:snapToGrid w:val="0"/>
              </w:rPr>
            </w:pPr>
            <w:r>
              <w:t>32 of 2016</w:t>
            </w:r>
          </w:p>
        </w:tc>
        <w:tc>
          <w:tcPr>
            <w:tcW w:w="1134" w:type="dxa"/>
          </w:tcPr>
          <w:p>
            <w:pPr>
              <w:pStyle w:val="nTable"/>
              <w:spacing w:after="40"/>
            </w:pPr>
            <w:r>
              <w:t>19 Oct 2016</w:t>
            </w:r>
          </w:p>
        </w:tc>
        <w:tc>
          <w:tcPr>
            <w:tcW w:w="2552" w:type="dxa"/>
          </w:tcPr>
          <w:p>
            <w:pPr>
              <w:pStyle w:val="nTable"/>
              <w:spacing w:after="40"/>
              <w:rPr>
                <w:snapToGrid w:val="0"/>
              </w:rPr>
            </w:pPr>
            <w:r>
              <w:t xml:space="preserve">Pt. 3 (other than s. 61): 2 Jan 2017 (see s. 2(b) and </w:t>
            </w:r>
            <w:r>
              <w:rPr>
                <w:i/>
              </w:rPr>
              <w:t>Gazette</w:t>
            </w:r>
            <w:r>
              <w:t xml:space="preserve"> 9 Dec 2016 p. 5557);</w:t>
            </w:r>
            <w:r>
              <w:br/>
              <w:t xml:space="preserve">s. 61: 1 Oct 2017 (see s. 2(b) and </w:t>
            </w:r>
            <w:r>
              <w:rPr>
                <w:i/>
              </w:rPr>
              <w:t>Gazette</w:t>
            </w:r>
            <w:r>
              <w:t xml:space="preserve"> 9 Dec 2016 p. 5557)</w:t>
            </w:r>
          </w:p>
        </w:tc>
      </w:tr>
    </w:tbl>
    <w:p>
      <w:pPr>
        <w:pStyle w:val="nSubsection"/>
        <w:spacing w:before="360"/>
        <w:ind w:left="482" w:hanging="482"/>
        <w:rPr>
          <w:del w:id="553" w:author="svcMRProcess" w:date="2020-02-24T13:05:00Z"/>
        </w:rPr>
      </w:pPr>
      <w:del w:id="554" w:author="svcMRProcess" w:date="2020-02-24T13:05: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5" w:author="svcMRProcess" w:date="2020-02-24T13:05:00Z"/>
        </w:rPr>
      </w:pPr>
      <w:bookmarkStart w:id="556" w:name="_Toc494452189"/>
      <w:del w:id="557" w:author="svcMRProcess" w:date="2020-02-24T13:05:00Z">
        <w:r>
          <w:delText>Provisions that have not come into operation</w:delText>
        </w:r>
        <w:bookmarkEnd w:id="556"/>
      </w:del>
    </w:p>
    <w:tbl>
      <w:tblPr>
        <w:tblW w:w="0" w:type="auto"/>
        <w:tblInd w:w="56" w:type="dxa"/>
        <w:tblLayout w:type="fixed"/>
        <w:tblCellMar>
          <w:left w:w="56" w:type="dxa"/>
          <w:right w:w="56" w:type="dxa"/>
        </w:tblCellMar>
        <w:tblLook w:val="0000" w:firstRow="0" w:lastRow="0" w:firstColumn="0" w:lastColumn="0" w:noHBand="0" w:noVBand="0"/>
      </w:tblPr>
      <w:tblGrid>
        <w:gridCol w:w="7088"/>
        <w:gridCol w:w="1135"/>
        <w:gridCol w:w="1135"/>
        <w:gridCol w:w="1135"/>
        <w:gridCol w:w="2564"/>
      </w:tblGrid>
      <w:tr>
        <w:trPr>
          <w:cantSplit/>
          <w:tblHeader/>
          <w:del w:id="558" w:author="svcMRProcess" w:date="2020-02-24T13:05:00Z"/>
        </w:trPr>
        <w:tc>
          <w:tcPr>
            <w:tcW w:w="2246" w:type="dxa"/>
            <w:gridSpan w:val="2"/>
            <w:tcBorders>
              <w:top w:val="single" w:sz="8" w:space="0" w:color="auto"/>
              <w:bottom w:val="single" w:sz="4" w:space="0" w:color="auto"/>
            </w:tcBorders>
          </w:tcPr>
          <w:p>
            <w:pPr>
              <w:pStyle w:val="nTable"/>
              <w:keepNext/>
              <w:keepLines/>
              <w:spacing w:after="40"/>
              <w:ind w:right="113"/>
              <w:rPr>
                <w:del w:id="559" w:author="svcMRProcess" w:date="2020-02-24T13:05:00Z"/>
                <w:b/>
              </w:rPr>
            </w:pPr>
            <w:del w:id="560" w:author="svcMRProcess" w:date="2020-02-24T13:05:00Z">
              <w:r>
                <w:rPr>
                  <w:b/>
                </w:rPr>
                <w:delText>Short title</w:delText>
              </w:r>
            </w:del>
          </w:p>
        </w:tc>
        <w:tc>
          <w:tcPr>
            <w:tcW w:w="1135" w:type="dxa"/>
            <w:tcBorders>
              <w:top w:val="single" w:sz="8" w:space="0" w:color="auto"/>
              <w:bottom w:val="single" w:sz="4" w:space="0" w:color="auto"/>
            </w:tcBorders>
          </w:tcPr>
          <w:p>
            <w:pPr>
              <w:pStyle w:val="nTable"/>
              <w:keepNext/>
              <w:keepLines/>
              <w:spacing w:after="40"/>
              <w:rPr>
                <w:del w:id="561" w:author="svcMRProcess" w:date="2020-02-24T13:05:00Z"/>
                <w:b/>
              </w:rPr>
            </w:pPr>
            <w:del w:id="562" w:author="svcMRProcess" w:date="2020-02-24T13:05:00Z">
              <w:r>
                <w:rPr>
                  <w:b/>
                </w:rPr>
                <w:delText>Number and year</w:delText>
              </w:r>
            </w:del>
          </w:p>
        </w:tc>
        <w:tc>
          <w:tcPr>
            <w:tcW w:w="1135" w:type="dxa"/>
            <w:tcBorders>
              <w:top w:val="single" w:sz="8" w:space="0" w:color="auto"/>
              <w:bottom w:val="single" w:sz="4" w:space="0" w:color="auto"/>
            </w:tcBorders>
          </w:tcPr>
          <w:p>
            <w:pPr>
              <w:pStyle w:val="nTable"/>
              <w:keepNext/>
              <w:keepLines/>
              <w:spacing w:after="40"/>
              <w:rPr>
                <w:del w:id="563" w:author="svcMRProcess" w:date="2020-02-24T13:05:00Z"/>
                <w:b/>
              </w:rPr>
            </w:pPr>
            <w:del w:id="564" w:author="svcMRProcess" w:date="2020-02-24T13:05:00Z">
              <w:r>
                <w:rPr>
                  <w:b/>
                </w:rPr>
                <w:delText>Assent</w:delText>
              </w:r>
            </w:del>
          </w:p>
        </w:tc>
        <w:tc>
          <w:tcPr>
            <w:tcW w:w="2564" w:type="dxa"/>
            <w:tcBorders>
              <w:top w:val="single" w:sz="8" w:space="0" w:color="auto"/>
              <w:bottom w:val="single" w:sz="4" w:space="0" w:color="auto"/>
            </w:tcBorders>
          </w:tcPr>
          <w:p>
            <w:pPr>
              <w:pStyle w:val="nTable"/>
              <w:keepNext/>
              <w:keepLines/>
              <w:spacing w:after="40"/>
              <w:rPr>
                <w:del w:id="565" w:author="svcMRProcess" w:date="2020-02-24T13:05:00Z"/>
                <w:b/>
              </w:rPr>
            </w:pPr>
            <w:del w:id="566" w:author="svcMRProcess" w:date="2020-02-24T13:05:00Z">
              <w:r>
                <w:rPr>
                  <w:b/>
                </w:rPr>
                <w:delText>Commencement</w:delText>
              </w:r>
            </w:del>
          </w:p>
        </w:tc>
      </w:tr>
      <w:tr>
        <w:trPr>
          <w:cantSplit/>
        </w:trPr>
        <w:tc>
          <w:tcPr>
            <w:tcW w:w="7088" w:type="dxa"/>
            <w:tcBorders>
              <w:bottom w:val="single" w:sz="8" w:space="0" w:color="auto"/>
            </w:tcBorders>
            <w:shd w:val="clear" w:color="auto" w:fill="auto"/>
          </w:tcPr>
          <w:p>
            <w:pPr>
              <w:pStyle w:val="nTable"/>
              <w:spacing w:after="40"/>
            </w:pPr>
            <w:del w:id="567" w:author="svcMRProcess" w:date="2020-02-24T13:05:00Z">
              <w:r>
                <w:rPr>
                  <w:i/>
                  <w:snapToGrid w:val="0"/>
                </w:rPr>
                <w:delText xml:space="preserve">State Superannuation (Transitional and Consequential Provisions) Act 2000 </w:delText>
              </w:r>
              <w:r>
                <w:rPr>
                  <w:snapToGrid w:val="0"/>
                </w:rPr>
                <w:delText>s. 40</w:delText>
              </w:r>
              <w:r>
                <w:rPr>
                  <w:snapToGrid w:val="0"/>
                  <w:vertAlign w:val="superscript"/>
                </w:rPr>
                <w:delText> 12</w:delText>
              </w:r>
            </w:del>
            <w:ins w:id="568" w:author="svcMRProcess" w:date="2020-02-24T13:05:00Z">
              <w:r>
                <w:rPr>
                  <w:b/>
                </w:rPr>
                <w:t xml:space="preserve">Reprint 5: The </w:t>
              </w:r>
              <w:r>
                <w:rPr>
                  <w:b/>
                  <w:i/>
                  <w:noProof/>
                </w:rPr>
                <w:t>Edith Cowan University Act 1984</w:t>
              </w:r>
              <w:r>
                <w:rPr>
                  <w:b/>
                </w:rPr>
                <w:t xml:space="preserve"> as at 8 Jun 2018</w:t>
              </w:r>
              <w:r>
                <w:t xml:space="preserve"> (includes amendments listed above)</w:t>
              </w:r>
            </w:ins>
          </w:p>
        </w:tc>
        <w:tc>
          <w:tcPr>
            <w:tcW w:w="1135" w:type="dxa"/>
            <w:tcBorders>
              <w:top w:val="single" w:sz="4" w:space="0" w:color="auto"/>
              <w:bottom w:val="single" w:sz="4" w:space="0" w:color="auto"/>
            </w:tcBorders>
            <w:cellDel w:id="569" w:author="svcMRProcess" w:date="2020-02-24T13:05:00Z"/>
          </w:tcPr>
          <w:p>
            <w:pPr>
              <w:pStyle w:val="nTable"/>
              <w:keepNext/>
              <w:keepLines/>
              <w:spacing w:after="40"/>
            </w:pPr>
            <w:del w:id="570" w:author="svcMRProcess" w:date="2020-02-24T13:05:00Z">
              <w:r>
                <w:delText>43 of 2000</w:delText>
              </w:r>
            </w:del>
          </w:p>
        </w:tc>
        <w:tc>
          <w:tcPr>
            <w:tcW w:w="1135" w:type="dxa"/>
            <w:tcBorders>
              <w:top w:val="single" w:sz="4" w:space="0" w:color="auto"/>
              <w:bottom w:val="single" w:sz="4" w:space="0" w:color="auto"/>
            </w:tcBorders>
            <w:cellDel w:id="571" w:author="svcMRProcess" w:date="2020-02-24T13:05:00Z"/>
          </w:tcPr>
          <w:p>
            <w:pPr>
              <w:pStyle w:val="nTable"/>
              <w:keepNext/>
              <w:keepLines/>
              <w:spacing w:after="40"/>
            </w:pPr>
            <w:del w:id="572" w:author="svcMRProcess" w:date="2020-02-24T13:05:00Z">
              <w:r>
                <w:delText>2 Nov 2000</w:delText>
              </w:r>
            </w:del>
          </w:p>
        </w:tc>
        <w:tc>
          <w:tcPr>
            <w:tcW w:w="2564" w:type="dxa"/>
            <w:gridSpan w:val="2"/>
            <w:tcBorders>
              <w:top w:val="single" w:sz="4" w:space="0" w:color="auto"/>
              <w:bottom w:val="single" w:sz="4" w:space="0" w:color="auto"/>
            </w:tcBorders>
            <w:cellDel w:id="573" w:author="svcMRProcess" w:date="2020-02-24T13:05:00Z"/>
          </w:tcPr>
          <w:p>
            <w:pPr>
              <w:pStyle w:val="nTable"/>
              <w:keepNext/>
              <w:keepLines/>
              <w:spacing w:after="40"/>
            </w:pPr>
            <w:del w:id="574" w:author="svcMRProcess" w:date="2020-02-24T13:05:00Z">
              <w:r>
                <w:delText>To be proclaimed (see s. 2(2))</w:delText>
              </w:r>
            </w:del>
          </w:p>
        </w:tc>
      </w:tr>
    </w:tbl>
    <w:p>
      <w:pPr>
        <w:pStyle w:val="nHeading3"/>
        <w:rPr>
          <w:ins w:id="575" w:author="svcMRProcess" w:date="2020-02-24T13:05:00Z"/>
        </w:rPr>
      </w:pPr>
      <w:bookmarkStart w:id="576" w:name="_Toc32485950"/>
      <w:del w:id="577" w:author="svcMRProcess" w:date="2020-02-24T13:05:00Z">
        <w:r>
          <w:rPr>
            <w:snapToGrid w:val="0"/>
            <w:vertAlign w:val="superscript"/>
          </w:rPr>
          <w:delText>2</w:delText>
        </w:r>
      </w:del>
      <w:ins w:id="578" w:author="svcMRProcess" w:date="2020-02-24T13:05:00Z">
        <w:r>
          <w:t>Uncommenced provisions table</w:t>
        </w:r>
        <w:bookmarkEnd w:id="576"/>
      </w:ins>
    </w:p>
    <w:p>
      <w:pPr>
        <w:pStyle w:val="nStatement"/>
        <w:keepNext/>
        <w:spacing w:after="240"/>
        <w:rPr>
          <w:ins w:id="579" w:author="svcMRProcess" w:date="2020-02-24T13:05:00Z"/>
        </w:rPr>
      </w:pPr>
      <w:ins w:id="580" w:author="svcMRProcess" w:date="2020-02-24T13:0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81" w:author="svcMRProcess" w:date="2020-02-24T13:05:00Z"/>
        </w:trPr>
        <w:tc>
          <w:tcPr>
            <w:tcW w:w="2268" w:type="dxa"/>
          </w:tcPr>
          <w:p>
            <w:pPr>
              <w:pStyle w:val="nTable"/>
              <w:spacing w:after="40"/>
              <w:rPr>
                <w:ins w:id="582" w:author="svcMRProcess" w:date="2020-02-24T13:05:00Z"/>
                <w:b/>
              </w:rPr>
            </w:pPr>
            <w:ins w:id="583" w:author="svcMRProcess" w:date="2020-02-24T13:05:00Z">
              <w:r>
                <w:rPr>
                  <w:b/>
                </w:rPr>
                <w:t>Short title</w:t>
              </w:r>
            </w:ins>
          </w:p>
        </w:tc>
        <w:tc>
          <w:tcPr>
            <w:tcW w:w="1134" w:type="dxa"/>
          </w:tcPr>
          <w:p>
            <w:pPr>
              <w:pStyle w:val="nTable"/>
              <w:spacing w:after="40"/>
              <w:rPr>
                <w:ins w:id="584" w:author="svcMRProcess" w:date="2020-02-24T13:05:00Z"/>
                <w:b/>
              </w:rPr>
            </w:pPr>
            <w:ins w:id="585" w:author="svcMRProcess" w:date="2020-02-24T13:05:00Z">
              <w:r>
                <w:rPr>
                  <w:b/>
                </w:rPr>
                <w:t>Number and year</w:t>
              </w:r>
            </w:ins>
          </w:p>
        </w:tc>
        <w:tc>
          <w:tcPr>
            <w:tcW w:w="1134" w:type="dxa"/>
          </w:tcPr>
          <w:p>
            <w:pPr>
              <w:pStyle w:val="nTable"/>
              <w:spacing w:after="40"/>
              <w:rPr>
                <w:ins w:id="586" w:author="svcMRProcess" w:date="2020-02-24T13:05:00Z"/>
                <w:b/>
              </w:rPr>
            </w:pPr>
            <w:ins w:id="587" w:author="svcMRProcess" w:date="2020-02-24T13:05:00Z">
              <w:r>
                <w:rPr>
                  <w:b/>
                </w:rPr>
                <w:t>Assent</w:t>
              </w:r>
            </w:ins>
          </w:p>
        </w:tc>
        <w:tc>
          <w:tcPr>
            <w:tcW w:w="2552" w:type="dxa"/>
          </w:tcPr>
          <w:p>
            <w:pPr>
              <w:pStyle w:val="nTable"/>
              <w:spacing w:after="40"/>
              <w:rPr>
                <w:ins w:id="588" w:author="svcMRProcess" w:date="2020-02-24T13:05:00Z"/>
                <w:b/>
              </w:rPr>
            </w:pPr>
            <w:ins w:id="589" w:author="svcMRProcess" w:date="2020-02-24T13:05:00Z">
              <w:r>
                <w:rPr>
                  <w:b/>
                </w:rPr>
                <w:t>Commencement</w:t>
              </w:r>
            </w:ins>
          </w:p>
        </w:tc>
      </w:tr>
      <w:tr>
        <w:trPr>
          <w:ins w:id="590" w:author="svcMRProcess" w:date="2020-02-24T13:05:00Z"/>
        </w:trPr>
        <w:tc>
          <w:tcPr>
            <w:tcW w:w="2268" w:type="dxa"/>
          </w:tcPr>
          <w:p>
            <w:pPr>
              <w:pStyle w:val="nTable"/>
              <w:spacing w:after="40"/>
              <w:ind w:right="113"/>
              <w:rPr>
                <w:ins w:id="591" w:author="svcMRProcess" w:date="2020-02-24T13:05:00Z"/>
                <w:vertAlign w:val="superscript"/>
              </w:rPr>
            </w:pPr>
            <w:ins w:id="592" w:author="svcMRProcess" w:date="2020-02-24T13:05:00Z">
              <w:r>
                <w:rPr>
                  <w:i/>
                  <w:snapToGrid w:val="0"/>
                </w:rPr>
                <w:t xml:space="preserve">State Superannuation (Transitional and Consequential Provisions) Act 2000 </w:t>
              </w:r>
              <w:r>
                <w:rPr>
                  <w:snapToGrid w:val="0"/>
                </w:rPr>
                <w:t>s. 40</w:t>
              </w:r>
            </w:ins>
          </w:p>
        </w:tc>
        <w:tc>
          <w:tcPr>
            <w:tcW w:w="1134" w:type="dxa"/>
          </w:tcPr>
          <w:p>
            <w:pPr>
              <w:pStyle w:val="nTable"/>
              <w:keepNext/>
              <w:keepLines/>
              <w:spacing w:after="40"/>
              <w:rPr>
                <w:ins w:id="593" w:author="svcMRProcess" w:date="2020-02-24T13:05:00Z"/>
              </w:rPr>
            </w:pPr>
            <w:ins w:id="594" w:author="svcMRProcess" w:date="2020-02-24T13:05:00Z">
              <w:r>
                <w:t>43 of 2000</w:t>
              </w:r>
            </w:ins>
          </w:p>
        </w:tc>
        <w:tc>
          <w:tcPr>
            <w:tcW w:w="1134" w:type="dxa"/>
          </w:tcPr>
          <w:p>
            <w:pPr>
              <w:pStyle w:val="nTable"/>
              <w:keepNext/>
              <w:keepLines/>
              <w:spacing w:after="40"/>
              <w:rPr>
                <w:ins w:id="595" w:author="svcMRProcess" w:date="2020-02-24T13:05:00Z"/>
              </w:rPr>
            </w:pPr>
            <w:ins w:id="596" w:author="svcMRProcess" w:date="2020-02-24T13:05:00Z">
              <w:r>
                <w:t>2 Nov 2000</w:t>
              </w:r>
            </w:ins>
          </w:p>
        </w:tc>
        <w:tc>
          <w:tcPr>
            <w:tcW w:w="2552" w:type="dxa"/>
          </w:tcPr>
          <w:p>
            <w:pPr>
              <w:pStyle w:val="nTable"/>
              <w:keepNext/>
              <w:keepLines/>
              <w:spacing w:after="40"/>
              <w:rPr>
                <w:ins w:id="597" w:author="svcMRProcess" w:date="2020-02-24T13:05:00Z"/>
              </w:rPr>
            </w:pPr>
            <w:ins w:id="598" w:author="svcMRProcess" w:date="2020-02-24T13:05:00Z">
              <w:r>
                <w:t>To be proclaimed (see s. 2(2))</w:t>
              </w:r>
            </w:ins>
          </w:p>
        </w:tc>
      </w:tr>
    </w:tbl>
    <w:p>
      <w:pPr>
        <w:pStyle w:val="nHeading3"/>
        <w:rPr>
          <w:ins w:id="599" w:author="svcMRProcess" w:date="2020-02-24T13:05:00Z"/>
        </w:rPr>
      </w:pPr>
      <w:bookmarkStart w:id="600" w:name="_Toc32485951"/>
      <w:ins w:id="601" w:author="svcMRProcess" w:date="2020-02-24T13:05:00Z">
        <w:r>
          <w:t>Other notes</w:t>
        </w:r>
        <w:bookmarkEnd w:id="600"/>
      </w:ins>
    </w:p>
    <w:p>
      <w:pPr>
        <w:pStyle w:val="nNote"/>
        <w:spacing w:before="160"/>
        <w:rPr>
          <w:i/>
          <w:iCs/>
          <w:snapToGrid w:val="0"/>
        </w:rPr>
      </w:pPr>
      <w:ins w:id="602" w:author="svcMRProcess" w:date="2020-02-24T13:05:00Z">
        <w:r>
          <w:rPr>
            <w:snapToGrid w:val="0"/>
            <w:vertAlign w:val="superscript"/>
          </w:rPr>
          <w:t>1</w:t>
        </w:r>
      </w:ins>
      <w:r>
        <w:rPr>
          <w:snapToGrid w:val="0"/>
        </w:rPr>
        <w:tab/>
        <w:t xml:space="preserve">Repealed by the </w:t>
      </w:r>
      <w:r>
        <w:rPr>
          <w:i/>
          <w:iCs/>
          <w:snapToGrid w:val="0"/>
        </w:rPr>
        <w:t>School Education Act 1999.</w:t>
      </w:r>
    </w:p>
    <w:p>
      <w:pPr>
        <w:pStyle w:val="nNote"/>
        <w:rPr>
          <w:snapToGrid w:val="0"/>
        </w:rPr>
      </w:pPr>
      <w:del w:id="603" w:author="svcMRProcess" w:date="2020-02-24T13:05:00Z">
        <w:r>
          <w:rPr>
            <w:snapToGrid w:val="0"/>
            <w:vertAlign w:val="superscript"/>
          </w:rPr>
          <w:delText>3</w:delText>
        </w:r>
      </w:del>
      <w:ins w:id="604" w:author="svcMRProcess" w:date="2020-02-24T13:05:00Z">
        <w:r>
          <w:rPr>
            <w:snapToGrid w:val="0"/>
            <w:vertAlign w:val="superscript"/>
          </w:rPr>
          <w:t>2</w:t>
        </w:r>
      </w:ins>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Note"/>
        <w:rPr>
          <w:snapToGrid w:val="0"/>
        </w:rPr>
      </w:pPr>
      <w:del w:id="605" w:author="svcMRProcess" w:date="2020-02-24T13:05:00Z">
        <w:r>
          <w:rPr>
            <w:snapToGrid w:val="0"/>
            <w:vertAlign w:val="superscript"/>
          </w:rPr>
          <w:delText>4</w:delText>
        </w:r>
      </w:del>
      <w:ins w:id="606" w:author="svcMRProcess" w:date="2020-02-24T13:05:00Z">
        <w:r>
          <w:rPr>
            <w:snapToGrid w:val="0"/>
            <w:vertAlign w:val="superscript"/>
          </w:rPr>
          <w:t>3</w:t>
        </w:r>
      </w:ins>
      <w:r>
        <w:rPr>
          <w:snapToGrid w:val="0"/>
        </w:rPr>
        <w:tab/>
        <w:t xml:space="preserve">Repealed by the </w:t>
      </w:r>
      <w:r>
        <w:rPr>
          <w:i/>
          <w:snapToGrid w:val="0"/>
        </w:rPr>
        <w:t>Vocational Education and Training Act 1996</w:t>
      </w:r>
      <w:r>
        <w:rPr>
          <w:snapToGrid w:val="0"/>
        </w:rPr>
        <w:t>.</w:t>
      </w:r>
    </w:p>
    <w:p>
      <w:pPr>
        <w:pStyle w:val="nNote"/>
        <w:rPr>
          <w:iCs/>
          <w:snapToGrid w:val="0"/>
        </w:rPr>
      </w:pPr>
      <w:del w:id="607" w:author="svcMRProcess" w:date="2020-02-24T13:05:00Z">
        <w:r>
          <w:rPr>
            <w:iCs/>
            <w:snapToGrid w:val="0"/>
            <w:vertAlign w:val="superscript"/>
          </w:rPr>
          <w:delText>5</w:delText>
        </w:r>
      </w:del>
      <w:ins w:id="608" w:author="svcMRProcess" w:date="2020-02-24T13:05:00Z">
        <w:r>
          <w:rPr>
            <w:iCs/>
            <w:snapToGrid w:val="0"/>
            <w:vertAlign w:val="superscript"/>
          </w:rPr>
          <w:t>4</w:t>
        </w:r>
      </w:ins>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Note"/>
        <w:rPr>
          <w:i/>
          <w:snapToGrid w:val="0"/>
        </w:rPr>
      </w:pPr>
      <w:del w:id="609" w:author="svcMRProcess" w:date="2020-02-24T13:05:00Z">
        <w:r>
          <w:rPr>
            <w:iCs/>
            <w:snapToGrid w:val="0"/>
            <w:vertAlign w:val="superscript"/>
          </w:rPr>
          <w:delText>6</w:delText>
        </w:r>
      </w:del>
      <w:ins w:id="610" w:author="svcMRProcess" w:date="2020-02-24T13:05:00Z">
        <w:r>
          <w:rPr>
            <w:iCs/>
            <w:snapToGrid w:val="0"/>
            <w:vertAlign w:val="superscript"/>
          </w:rPr>
          <w:t>5</w:t>
        </w:r>
      </w:ins>
      <w:r>
        <w:rPr>
          <w:iCs/>
          <w:snapToGrid w:val="0"/>
        </w:rPr>
        <w:tab/>
        <w:t xml:space="preserve">Repealed by the </w:t>
      </w:r>
      <w:r>
        <w:rPr>
          <w:i/>
          <w:snapToGrid w:val="0"/>
        </w:rPr>
        <w:t xml:space="preserve">State Superannuation Act 2000 </w:t>
      </w:r>
      <w:r>
        <w:rPr>
          <w:iCs/>
          <w:snapToGrid w:val="0"/>
        </w:rPr>
        <w:t>(see also endnote 12).</w:t>
      </w:r>
    </w:p>
    <w:p>
      <w:pPr>
        <w:pStyle w:val="nNote"/>
        <w:rPr>
          <w:iCs/>
          <w:snapToGrid w:val="0"/>
        </w:rPr>
      </w:pPr>
      <w:del w:id="611" w:author="svcMRProcess" w:date="2020-02-24T13:05:00Z">
        <w:r>
          <w:rPr>
            <w:iCs/>
            <w:snapToGrid w:val="0"/>
            <w:vertAlign w:val="superscript"/>
          </w:rPr>
          <w:delText>7</w:delText>
        </w:r>
      </w:del>
      <w:ins w:id="612" w:author="svcMRProcess" w:date="2020-02-24T13:05:00Z">
        <w:r>
          <w:rPr>
            <w:iCs/>
            <w:snapToGrid w:val="0"/>
            <w:vertAlign w:val="superscript"/>
          </w:rPr>
          <w:t>6</w:t>
        </w:r>
      </w:ins>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Note"/>
        <w:keepNext/>
        <w:keepLines/>
        <w:rPr>
          <w:snapToGrid w:val="0"/>
        </w:rPr>
      </w:pPr>
      <w:del w:id="613" w:author="svcMRProcess" w:date="2020-02-24T13:05:00Z">
        <w:r>
          <w:rPr>
            <w:snapToGrid w:val="0"/>
            <w:vertAlign w:val="superscript"/>
          </w:rPr>
          <w:delText>8</w:delText>
        </w:r>
      </w:del>
      <w:ins w:id="614" w:author="svcMRProcess" w:date="2020-02-24T13:05:00Z">
        <w:r>
          <w:rPr>
            <w:snapToGrid w:val="0"/>
            <w:vertAlign w:val="superscript"/>
          </w:rPr>
          <w:t>7</w:t>
        </w:r>
      </w:ins>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BlankOpen"/>
        <w:rPr>
          <w:snapToGrid w:val="0"/>
        </w:rPr>
      </w:pPr>
      <w:del w:id="615" w:author="svcMRProcess" w:date="2020-02-24T13:05:00Z">
        <w:r>
          <w:rPr>
            <w:snapToGrid w:val="0"/>
          </w:rPr>
          <w:delText>“</w:delText>
        </w:r>
      </w:del>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del w:id="616" w:author="svcMRProcess" w:date="2020-02-24T13:05:00Z"/>
          <w:snapToGrid w:val="0"/>
          <w:vertAlign w:val="superscript"/>
        </w:rPr>
      </w:pPr>
      <w:del w:id="617" w:author="svcMRProcess" w:date="2020-02-24T13:05:00Z">
        <w:r>
          <w:rPr>
            <w:snapToGrid w:val="0"/>
          </w:rPr>
          <w:delText>”.</w:delText>
        </w:r>
      </w:del>
    </w:p>
    <w:p>
      <w:pPr>
        <w:pStyle w:val="BlankClose"/>
        <w:rPr>
          <w:ins w:id="618" w:author="svcMRProcess" w:date="2020-02-24T13:05:00Z"/>
          <w:snapToGrid w:val="0"/>
          <w:vertAlign w:val="superscript"/>
        </w:rPr>
      </w:pPr>
      <w:del w:id="619" w:author="svcMRProcess" w:date="2020-02-24T13:05:00Z">
        <w:r>
          <w:rPr>
            <w:snapToGrid w:val="0"/>
            <w:vertAlign w:val="superscript"/>
          </w:rPr>
          <w:delText>9</w:delText>
        </w:r>
      </w:del>
    </w:p>
    <w:p>
      <w:pPr>
        <w:pStyle w:val="nNote"/>
        <w:rPr>
          <w:snapToGrid w:val="0"/>
        </w:rPr>
      </w:pPr>
      <w:ins w:id="620" w:author="svcMRProcess" w:date="2020-02-24T13:05:00Z">
        <w:r>
          <w:rPr>
            <w:snapToGrid w:val="0"/>
            <w:vertAlign w:val="superscript"/>
          </w:rPr>
          <w:t>8</w:t>
        </w:r>
      </w:ins>
      <w:r>
        <w:rPr>
          <w:snapToGrid w:val="0"/>
        </w:rPr>
        <w:tab/>
        <w:t xml:space="preserve">The </w:t>
      </w:r>
      <w:r>
        <w:rPr>
          <w:i/>
          <w:snapToGrid w:val="0"/>
        </w:rPr>
        <w:t>Statutes (Repeals and Minor Amendments) Act (No. 2) 1998</w:t>
      </w:r>
      <w:r>
        <w:rPr>
          <w:snapToGrid w:val="0"/>
        </w:rPr>
        <w:t xml:space="preserve"> s. 30(2) reads as follows:</w:t>
      </w:r>
    </w:p>
    <w:p>
      <w:pPr>
        <w:pStyle w:val="BlankOpen"/>
        <w:rPr>
          <w:snapToGrid w:val="0"/>
        </w:rPr>
      </w:pPr>
      <w:del w:id="621" w:author="svcMRProcess" w:date="2020-02-24T13:05:00Z">
        <w:r>
          <w:rPr>
            <w:snapToGrid w:val="0"/>
          </w:rPr>
          <w:delText>“</w:delText>
        </w:r>
      </w:del>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del w:id="622" w:author="svcMRProcess" w:date="2020-02-24T13:05:00Z"/>
          <w:snapToGrid w:val="0"/>
        </w:rPr>
      </w:pPr>
      <w:del w:id="623" w:author="svcMRProcess" w:date="2020-02-24T13:05:00Z">
        <w:r>
          <w:rPr>
            <w:snapToGrid w:val="0"/>
          </w:rPr>
          <w:delText>”.</w:delText>
        </w:r>
      </w:del>
    </w:p>
    <w:p>
      <w:pPr>
        <w:pStyle w:val="BlankClose"/>
        <w:rPr>
          <w:ins w:id="624" w:author="svcMRProcess" w:date="2020-02-24T13:05:00Z"/>
          <w:snapToGrid w:val="0"/>
        </w:rPr>
      </w:pPr>
      <w:del w:id="625" w:author="svcMRProcess" w:date="2020-02-24T13:05:00Z">
        <w:r>
          <w:rPr>
            <w:vertAlign w:val="superscript"/>
          </w:rPr>
          <w:delText>10</w:delText>
        </w:r>
      </w:del>
    </w:p>
    <w:p>
      <w:pPr>
        <w:pStyle w:val="nNote"/>
      </w:pPr>
      <w:ins w:id="626" w:author="svcMRProcess" w:date="2020-02-24T13:05:00Z">
        <w:r>
          <w:rPr>
            <w:vertAlign w:val="superscript"/>
          </w:rPr>
          <w:t>9</w:t>
        </w:r>
      </w:ins>
      <w:r>
        <w:tab/>
        <w:t xml:space="preserve">The </w:t>
      </w:r>
      <w:r>
        <w:rPr>
          <w:i/>
        </w:rPr>
        <w:t>Statutes (Repeals and Minor Amendments) Act 2003</w:t>
      </w:r>
      <w:r>
        <w:t xml:space="preserve"> s. 46(5) reads as follows:</w:t>
      </w:r>
    </w:p>
    <w:p>
      <w:pPr>
        <w:pStyle w:val="BlankOpen"/>
      </w:pPr>
      <w:del w:id="627" w:author="svcMRProcess" w:date="2020-02-24T13:05:00Z">
        <w:r>
          <w:delText>“</w:delText>
        </w:r>
      </w:del>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rPr>
          <w:del w:id="628" w:author="svcMRProcess" w:date="2020-02-24T13:05:00Z"/>
        </w:rPr>
      </w:pPr>
      <w:del w:id="629" w:author="svcMRProcess" w:date="2020-02-24T13:05:00Z">
        <w:r>
          <w:delText>”.</w:delText>
        </w:r>
      </w:del>
    </w:p>
    <w:p>
      <w:pPr>
        <w:pStyle w:val="BlankClose"/>
        <w:rPr>
          <w:ins w:id="630" w:author="svcMRProcess" w:date="2020-02-24T13:05:00Z"/>
        </w:rPr>
      </w:pPr>
      <w:del w:id="631" w:author="svcMRProcess" w:date="2020-02-24T13:05:00Z">
        <w:r>
          <w:rPr>
            <w:snapToGrid w:val="0"/>
            <w:vertAlign w:val="superscript"/>
          </w:rPr>
          <w:delText>11</w:delText>
        </w:r>
      </w:del>
    </w:p>
    <w:p>
      <w:pPr>
        <w:pStyle w:val="nNote"/>
        <w:keepNext/>
      </w:pPr>
      <w:ins w:id="632" w:author="svcMRProcess" w:date="2020-02-24T13:05:00Z">
        <w:r>
          <w:rPr>
            <w:snapToGrid w:val="0"/>
            <w:vertAlign w:val="superscript"/>
          </w:rPr>
          <w:t>10</w:t>
        </w:r>
      </w:ins>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BlankOpen"/>
        <w:rPr>
          <w:snapToGrid w:val="0"/>
        </w:rPr>
      </w:pPr>
      <w:del w:id="633" w:author="svcMRProcess" w:date="2020-02-24T13:05:00Z">
        <w:r>
          <w:rPr>
            <w:snapToGrid w:val="0"/>
          </w:rPr>
          <w:delText>“</w:delText>
        </w:r>
      </w:del>
    </w:p>
    <w:p>
      <w:pPr>
        <w:pStyle w:val="nzHeading5"/>
        <w:spacing w:before="0"/>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rPr>
          <w:del w:id="634" w:author="svcMRProcess" w:date="2020-02-24T13:05:00Z"/>
        </w:rPr>
      </w:pPr>
      <w:del w:id="635" w:author="svcMRProcess" w:date="2020-02-24T13:05:00Z">
        <w:r>
          <w:delText xml:space="preserve">    ”.</w:delText>
        </w:r>
      </w:del>
    </w:p>
    <w:p>
      <w:pPr>
        <w:pStyle w:val="nSubsection"/>
        <w:keepNext/>
        <w:rPr>
          <w:del w:id="636" w:author="svcMRProcess" w:date="2020-02-24T13:05:00Z"/>
        </w:rPr>
      </w:pPr>
      <w:del w:id="637" w:author="svcMRProcess" w:date="2020-02-24T13:05:00Z">
        <w:r>
          <w:rPr>
            <w:snapToGrid w:val="0"/>
            <w:vertAlign w:val="superscript"/>
          </w:rPr>
          <w:delText>12</w:delText>
        </w:r>
        <w:r>
          <w:rPr>
            <w:snapToGrid w:val="0"/>
          </w:rPr>
          <w:tab/>
          <w:delText xml:space="preserve">On the date on which this compilation was prepared, the </w:delText>
        </w:r>
        <w:r>
          <w:rPr>
            <w:i/>
            <w:snapToGrid w:val="0"/>
          </w:rPr>
          <w:delText>State Superannuation (Transitional and Consequential Provisions) Act 2000</w:delText>
        </w:r>
        <w:r>
          <w:rPr>
            <w:snapToGrid w:val="0"/>
          </w:rPr>
          <w:delText xml:space="preserve"> s. 40 had not come into operation.  It reads as follows:</w:delText>
        </w:r>
      </w:del>
    </w:p>
    <w:p>
      <w:pPr>
        <w:pStyle w:val="MiscOpen"/>
        <w:rPr>
          <w:del w:id="638" w:author="svcMRProcess" w:date="2020-02-24T13:05:00Z"/>
          <w:snapToGrid w:val="0"/>
        </w:rPr>
      </w:pPr>
      <w:del w:id="639" w:author="svcMRProcess" w:date="2020-02-24T13:05:00Z">
        <w:r>
          <w:rPr>
            <w:snapToGrid w:val="0"/>
          </w:rPr>
          <w:delText>“</w:delText>
        </w:r>
      </w:del>
    </w:p>
    <w:p>
      <w:pPr>
        <w:pStyle w:val="nzHeading5"/>
        <w:ind w:right="618"/>
        <w:rPr>
          <w:del w:id="640" w:author="svcMRProcess" w:date="2020-02-24T13:05:00Z"/>
        </w:rPr>
      </w:pPr>
      <w:del w:id="641" w:author="svcMRProcess" w:date="2020-02-24T13:05:00Z">
        <w:r>
          <w:rPr>
            <w:rStyle w:val="CharSectno"/>
          </w:rPr>
          <w:delText>40</w:delText>
        </w:r>
        <w:r>
          <w:delText>.</w:delText>
        </w:r>
        <w:r>
          <w:tab/>
        </w:r>
        <w:r>
          <w:rPr>
            <w:i/>
          </w:rPr>
          <w:delText>Edith Cowan University Act 1984</w:delText>
        </w:r>
        <w:r>
          <w:delText xml:space="preserve"> amended</w:delText>
        </w:r>
      </w:del>
    </w:p>
    <w:p>
      <w:pPr>
        <w:pStyle w:val="nzSubsection"/>
        <w:ind w:right="618"/>
        <w:rPr>
          <w:del w:id="642" w:author="svcMRProcess" w:date="2020-02-24T13:05:00Z"/>
        </w:rPr>
      </w:pPr>
      <w:del w:id="643" w:author="svcMRProcess" w:date="2020-02-24T13:05:00Z">
        <w:r>
          <w:tab/>
        </w:r>
        <w:r>
          <w:tab/>
          <w:delText xml:space="preserve">The </w:delText>
        </w:r>
        <w:r>
          <w:rPr>
            <w:i/>
          </w:rPr>
          <w:delText>Edith Cowan University Act 1984</w:delText>
        </w:r>
        <w:r>
          <w:delText xml:space="preserve"> is amended as follows:</w:delText>
        </w:r>
      </w:del>
    </w:p>
    <w:p>
      <w:pPr>
        <w:pStyle w:val="nzIndenta"/>
        <w:ind w:right="618"/>
        <w:rPr>
          <w:del w:id="644" w:author="svcMRProcess" w:date="2020-02-24T13:05:00Z"/>
        </w:rPr>
      </w:pPr>
      <w:del w:id="645" w:author="svcMRProcess" w:date="2020-02-24T13:05:00Z">
        <w:r>
          <w:tab/>
          <w:delText>(a)</w:delText>
        </w:r>
        <w:r>
          <w:tab/>
          <w:delText xml:space="preserve">in section 32(1) by deleting “, retirement and his rights if any under the </w:delText>
        </w:r>
        <w:r>
          <w:rPr>
            <w:i/>
          </w:rPr>
          <w:delText>Superannuation and Family Benefits Act 1938</w:delText>
        </w:r>
        <w:r>
          <w:delText>.” and inserting instead —</w:delText>
        </w:r>
      </w:del>
    </w:p>
    <w:p>
      <w:pPr>
        <w:pStyle w:val="nzIndenta"/>
        <w:ind w:right="618"/>
        <w:rPr>
          <w:del w:id="646" w:author="svcMRProcess" w:date="2020-02-24T13:05:00Z"/>
        </w:rPr>
      </w:pPr>
      <w:del w:id="647" w:author="svcMRProcess" w:date="2020-02-24T13:05:00Z">
        <w:r>
          <w:tab/>
        </w:r>
        <w:r>
          <w:tab/>
          <w:delText>“    and retirement.    ”;</w:delText>
        </w:r>
      </w:del>
    </w:p>
    <w:p>
      <w:pPr>
        <w:pStyle w:val="nzIndenta"/>
        <w:ind w:right="618"/>
        <w:rPr>
          <w:del w:id="648" w:author="svcMRProcess" w:date="2020-02-24T13:05:00Z"/>
        </w:rPr>
      </w:pPr>
      <w:del w:id="649" w:author="svcMRProcess" w:date="2020-02-24T13:05:00Z">
        <w:r>
          <w:tab/>
          <w:delText>(b)</w:delText>
        </w:r>
        <w:r>
          <w:tab/>
          <w:delText xml:space="preserve">by repealing section 32(2);  </w:delText>
        </w:r>
      </w:del>
    </w:p>
    <w:p>
      <w:pPr>
        <w:pStyle w:val="nzIndenta"/>
        <w:ind w:right="618"/>
        <w:rPr>
          <w:del w:id="650" w:author="svcMRProcess" w:date="2020-02-24T13:05:00Z"/>
        </w:rPr>
      </w:pPr>
      <w:del w:id="651" w:author="svcMRProcess" w:date="2020-02-24T13:05:00Z">
        <w:r>
          <w:tab/>
          <w:delText>(c)</w:delText>
        </w:r>
        <w:r>
          <w:tab/>
          <w:delText xml:space="preserve">in section 34(3) by deleting “contributor for pension, superannuation or benefits under the </w:delText>
        </w:r>
        <w:r>
          <w:rPr>
            <w:i/>
          </w:rPr>
          <w:delText>Superannuation and Family Benefits Act 1938</w:delText>
        </w:r>
        <w:r>
          <w:delText>.” and inserting instead —</w:delText>
        </w:r>
      </w:del>
    </w:p>
    <w:p>
      <w:pPr>
        <w:pStyle w:val="MiscOpen"/>
        <w:tabs>
          <w:tab w:val="clear" w:pos="893"/>
          <w:tab w:val="left" w:pos="1440"/>
        </w:tabs>
        <w:ind w:left="879" w:right="618"/>
        <w:rPr>
          <w:del w:id="652" w:author="svcMRProcess" w:date="2020-02-24T13:05:00Z"/>
          <w:sz w:val="20"/>
        </w:rPr>
      </w:pPr>
      <w:del w:id="653" w:author="svcMRProcess" w:date="2020-02-24T13:05:00Z">
        <w:r>
          <w:rPr>
            <w:sz w:val="20"/>
          </w:rPr>
          <w:tab/>
          <w:delText xml:space="preserve">“    </w:delText>
        </w:r>
      </w:del>
    </w:p>
    <w:p>
      <w:pPr>
        <w:pStyle w:val="nzSubsection"/>
        <w:ind w:left="2160" w:right="498" w:hanging="1565"/>
        <w:rPr>
          <w:del w:id="654" w:author="svcMRProcess" w:date="2020-02-24T13:05:00Z"/>
        </w:rPr>
      </w:pPr>
      <w:del w:id="655" w:author="svcMRProcess" w:date="2020-02-24T13:05:00Z">
        <w:r>
          <w:tab/>
        </w:r>
        <w:r>
          <w:tab/>
        </w:r>
        <w:r>
          <w:tab/>
          <w:delText xml:space="preserve">Member of a superannuation scheme continued by section 29(c) or (d) of the </w:delText>
        </w:r>
        <w:r>
          <w:rPr>
            <w:i/>
          </w:rPr>
          <w:delText>State Superannuation Act 2000</w:delText>
        </w:r>
        <w:r>
          <w:delText>.</w:delText>
        </w:r>
      </w:del>
    </w:p>
    <w:p>
      <w:pPr>
        <w:pStyle w:val="MiscClose"/>
        <w:ind w:right="258"/>
        <w:rPr>
          <w:del w:id="656" w:author="svcMRProcess" w:date="2020-02-24T13:05:00Z"/>
          <w:sz w:val="20"/>
        </w:rPr>
      </w:pPr>
      <w:del w:id="657" w:author="svcMRProcess" w:date="2020-02-24T13:05:00Z">
        <w:r>
          <w:rPr>
            <w:sz w:val="20"/>
          </w:rPr>
          <w:delText xml:space="preserve">    ”.</w:delText>
        </w:r>
      </w:del>
    </w:p>
    <w:p>
      <w:pPr>
        <w:pStyle w:val="MiscClose"/>
        <w:rPr>
          <w:del w:id="658" w:author="svcMRProcess" w:date="2020-02-24T13:05:00Z"/>
        </w:rPr>
      </w:pPr>
      <w:del w:id="659" w:author="svcMRProcess" w:date="2020-02-24T13:05:00Z">
        <w:r>
          <w:delText>”.</w:delText>
        </w:r>
      </w:del>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0" w:name="Compilation"/>
    <w:bookmarkEnd w:id="66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1" w:name="Coversheet"/>
    <w:bookmarkEnd w:id="6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12504"/>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 w:name="WAFER_20170929100721" w:val="RemoveTocBookmarks,RemoveUnusedBookmarks,RemoveLanguageTags,UsedStyles,ResetPageSize"/>
    <w:docVar w:name="WAFER_20170929100721_GUID" w:val="dac3adba-95a2-4d79-ba3d-1025eb705c5e"/>
    <w:docVar w:name="WAFER_202002131125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2504_GUID" w:val="3b41f976-7e2d-418f-8d44-4d9706a08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rPr>
      <w:rFonts w:ascii="Arial" w:hAnsi="Arial"/>
      <w:sz w:val="18"/>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rPr>
      <w:rFonts w:ascii="Arial" w:hAnsi="Arial"/>
      <w:sz w:val="18"/>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18626</Words>
  <Characters>89410</Characters>
  <Application>Microsoft Office Word</Application>
  <DocSecurity>0</DocSecurity>
  <Lines>2483</Lines>
  <Paragraphs>1317</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106719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04-i0-00 - 05-a0-03</dc:title>
  <dc:subject/>
  <dc:creator/>
  <cp:keywords/>
  <dc:description/>
  <cp:lastModifiedBy>svcMRProcess</cp:lastModifiedBy>
  <cp:revision>2</cp:revision>
  <cp:lastPrinted>2018-04-04T07:53:00Z</cp:lastPrinted>
  <dcterms:created xsi:type="dcterms:W3CDTF">2020-02-24T05:05:00Z</dcterms:created>
  <dcterms:modified xsi:type="dcterms:W3CDTF">2020-02-24T05:05:00Z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ReprintedAsAt">
    <vt:filetime>2018-06-07T16:00:00Z</vt:filetime>
  </property>
  <property fmtid="{D5CDD505-2E9C-101B-9397-08002B2CF9AE}" pid="6" name="ReprintNo">
    <vt:lpwstr>5</vt:lpwstr>
  </property>
  <property fmtid="{D5CDD505-2E9C-101B-9397-08002B2CF9AE}" pid="7" name="CommencementDate">
    <vt:lpwstr>20180608</vt:lpwstr>
  </property>
  <property fmtid="{D5CDD505-2E9C-101B-9397-08002B2CF9AE}" pid="8" name="FromSuffix">
    <vt:lpwstr>04-i0-00</vt:lpwstr>
  </property>
  <property fmtid="{D5CDD505-2E9C-101B-9397-08002B2CF9AE}" pid="9" name="FromAsAtDate">
    <vt:lpwstr>01 Oct 2017</vt:lpwstr>
  </property>
  <property fmtid="{D5CDD505-2E9C-101B-9397-08002B2CF9AE}" pid="10" name="ToSuffix">
    <vt:lpwstr>05-a0-03</vt:lpwstr>
  </property>
  <property fmtid="{D5CDD505-2E9C-101B-9397-08002B2CF9AE}" pid="11" name="ToAsAtDate">
    <vt:lpwstr>08 Jun 2018</vt:lpwstr>
  </property>
</Properties>
</file>