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02-m0-01</w:t>
      </w:r>
      <w:r>
        <w:fldChar w:fldCharType="end"/>
      </w:r>
      <w:r>
        <w:t>] and [</w:t>
      </w:r>
      <w:r>
        <w:fldChar w:fldCharType="begin"/>
      </w:r>
      <w:r>
        <w:instrText xml:space="preserve"> DocProperty ToAsAtDate</w:instrText>
      </w:r>
      <w:r>
        <w:fldChar w:fldCharType="separate"/>
      </w:r>
      <w:r>
        <w:t>01 Jun 2018</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w:t>
      </w:r>
      <w:del w:id="2" w:author="svcMRProcess" w:date="2020-02-25T13:56:00Z">
        <w:r>
          <w:delText xml:space="preserve"> by</w:delText>
        </w:r>
      </w:del>
      <w:ins w:id="3" w:author="svcMRProcess" w:date="2020-02-25T13:56:00Z">
        <w:r>
          <w:t>:</w:t>
        </w:r>
      </w:ins>
      <w:r>
        <w:t xml:space="preserve"> No. 76 of 2004 s. 3.]</w:t>
      </w:r>
    </w:p>
    <w:p>
      <w:pPr>
        <w:pStyle w:val="Heading2"/>
      </w:pPr>
      <w:bookmarkStart w:id="4" w:name="_Toc32401719"/>
      <w:bookmarkStart w:id="5" w:name="_Toc32401786"/>
      <w:bookmarkStart w:id="6" w:name="_Toc473106731"/>
      <w:bookmarkStart w:id="7" w:name="_Toc473298497"/>
      <w:bookmarkStart w:id="8" w:name="_Toc493591713"/>
      <w:bookmarkStart w:id="9" w:name="_Toc493603093"/>
      <w:r>
        <w:rPr>
          <w:rStyle w:val="CharPartNo"/>
        </w:rPr>
        <w:lastRenderedPageBreak/>
        <w:t>Part I</w:t>
      </w:r>
      <w:r>
        <w:rPr>
          <w:rStyle w:val="CharDivNo"/>
        </w:rPr>
        <w:t> </w:t>
      </w:r>
      <w:r>
        <w:t>—</w:t>
      </w:r>
      <w:r>
        <w:rPr>
          <w:rStyle w:val="CharDivText"/>
        </w:rPr>
        <w:t> </w:t>
      </w:r>
      <w:r>
        <w:rPr>
          <w:rStyle w:val="CharPartText"/>
        </w:rPr>
        <w:t>Introductory provisions</w:t>
      </w:r>
      <w:bookmarkEnd w:id="4"/>
      <w:bookmarkEnd w:id="5"/>
      <w:bookmarkEnd w:id="6"/>
      <w:bookmarkEnd w:id="7"/>
      <w:bookmarkEnd w:id="8"/>
      <w:bookmarkEnd w:id="9"/>
      <w:r>
        <w:rPr>
          <w:rStyle w:val="CharPartText"/>
        </w:rPr>
        <w:t xml:space="preserve"> </w:t>
      </w:r>
    </w:p>
    <w:p>
      <w:pPr>
        <w:pStyle w:val="Heading5"/>
        <w:rPr>
          <w:snapToGrid w:val="0"/>
        </w:rPr>
      </w:pPr>
      <w:bookmarkStart w:id="10" w:name="_Toc32401787"/>
      <w:bookmarkStart w:id="11" w:name="_Toc49360309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del w:id="12" w:author="svcMRProcess" w:date="2020-02-25T13:56:00Z">
        <w:r>
          <w:delText> </w:delText>
        </w:r>
        <w:r>
          <w:rPr>
            <w:snapToGrid w:val="0"/>
            <w:vertAlign w:val="superscript"/>
          </w:rPr>
          <w:delText>1</w:delText>
        </w:r>
      </w:del>
      <w:r>
        <w:rPr>
          <w:snapToGrid w:val="0"/>
        </w:rPr>
        <w:t>.</w:t>
      </w:r>
    </w:p>
    <w:p>
      <w:pPr>
        <w:pStyle w:val="Footnotesection"/>
      </w:pPr>
      <w:r>
        <w:tab/>
        <w:t>[Section 1 amended</w:t>
      </w:r>
      <w:del w:id="13" w:author="svcMRProcess" w:date="2020-02-25T13:56:00Z">
        <w:r>
          <w:delText xml:space="preserve"> by</w:delText>
        </w:r>
      </w:del>
      <w:ins w:id="14" w:author="svcMRProcess" w:date="2020-02-25T13:56:00Z">
        <w:r>
          <w:t>:</w:t>
        </w:r>
      </w:ins>
      <w:r>
        <w:t xml:space="preserve"> No. 76 of 2004 s. 4(1).]</w:t>
      </w:r>
    </w:p>
    <w:p>
      <w:pPr>
        <w:pStyle w:val="Heading5"/>
        <w:rPr>
          <w:snapToGrid w:val="0"/>
        </w:rPr>
      </w:pPr>
      <w:bookmarkStart w:id="15" w:name="_Toc32401788"/>
      <w:bookmarkStart w:id="16" w:name="_Toc493603095"/>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del w:id="17" w:author="svcMRProcess" w:date="2020-02-25T13:56:00Z">
        <w:r>
          <w:rPr>
            <w:snapToGrid w:val="0"/>
            <w:vertAlign w:val="superscript"/>
          </w:rPr>
          <w:delText xml:space="preserve"> 1</w:delText>
        </w:r>
      </w:del>
      <w:r>
        <w:rPr>
          <w:snapToGrid w:val="0"/>
        </w:rPr>
        <w:t>.</w:t>
      </w:r>
    </w:p>
    <w:p>
      <w:pPr>
        <w:pStyle w:val="Ednotesection"/>
      </w:pPr>
      <w:r>
        <w:t>[</w:t>
      </w:r>
      <w:r>
        <w:rPr>
          <w:b/>
          <w:bCs/>
        </w:rPr>
        <w:t>3.</w:t>
      </w:r>
      <w:r>
        <w:tab/>
        <w:t>Omitted under the Reprints Act 1984 s.7(4)(f) and (g).]</w:t>
      </w:r>
    </w:p>
    <w:p>
      <w:pPr>
        <w:pStyle w:val="Ednotesection"/>
      </w:pPr>
      <w:r>
        <w:t>[</w:t>
      </w:r>
      <w:r>
        <w:rPr>
          <w:b/>
        </w:rPr>
        <w:t>4.</w:t>
      </w:r>
      <w:r>
        <w:tab/>
        <w:t>Deleted</w:t>
      </w:r>
      <w:del w:id="18" w:author="svcMRProcess" w:date="2020-02-25T13:56:00Z">
        <w:r>
          <w:delText xml:space="preserve"> by</w:delText>
        </w:r>
      </w:del>
      <w:ins w:id="19" w:author="svcMRProcess" w:date="2020-02-25T13:56:00Z">
        <w:r>
          <w:t>:</w:t>
        </w:r>
      </w:ins>
      <w:r>
        <w:t xml:space="preserve"> No. 20 of 1993 s. 4.] </w:t>
      </w:r>
    </w:p>
    <w:p>
      <w:pPr>
        <w:pStyle w:val="Heading5"/>
        <w:rPr>
          <w:snapToGrid w:val="0"/>
        </w:rPr>
      </w:pPr>
      <w:bookmarkStart w:id="20" w:name="_Toc493603096"/>
      <w:bookmarkStart w:id="21" w:name="_Toc32401789"/>
      <w:r>
        <w:rPr>
          <w:rStyle w:val="CharSectno"/>
        </w:rPr>
        <w:t>5</w:t>
      </w:r>
      <w:r>
        <w:rPr>
          <w:snapToGrid w:val="0"/>
        </w:rPr>
        <w:t>.</w:t>
      </w:r>
      <w:r>
        <w:rPr>
          <w:snapToGrid w:val="0"/>
        </w:rPr>
        <w:tab/>
      </w:r>
      <w:del w:id="22" w:author="svcMRProcess" w:date="2020-02-25T13:56:00Z">
        <w:r>
          <w:rPr>
            <w:snapToGrid w:val="0"/>
          </w:rPr>
          <w:delText>Interpretation</w:delText>
        </w:r>
      </w:del>
      <w:bookmarkEnd w:id="20"/>
      <w:ins w:id="23" w:author="svcMRProcess" w:date="2020-02-25T13:56:00Z">
        <w:r>
          <w:rPr>
            <w:snapToGrid w:val="0"/>
          </w:rPr>
          <w:t>Terms used</w:t>
        </w:r>
      </w:ins>
      <w:bookmarkEnd w:id="21"/>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ins w:id="24" w:author="svcMRProcess" w:date="2020-02-25T13:56:00Z">
        <w:r>
          <w:t xml:space="preserve"> or</w:t>
        </w:r>
      </w:ins>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rPr>
          <w:ins w:id="25" w:author="svcMRProcess" w:date="2020-02-25T13:56:00Z"/>
        </w:rPr>
      </w:pPr>
      <w:ins w:id="26" w:author="svcMRProcess" w:date="2020-02-25T13:56:00Z">
        <w:r>
          <w:tab/>
        </w:r>
        <w:r>
          <w:rPr>
            <w:rStyle w:val="CharDefText"/>
          </w:rPr>
          <w:t>Director</w:t>
        </w:r>
        <w:r>
          <w:t xml:space="preserve"> means the Director</w:t>
        </w:r>
        <w:r>
          <w:noBreakHyphen/>
          <w:t>General of the Department of Agriculture;</w:t>
        </w:r>
      </w:ins>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ins w:id="27" w:author="svcMRProcess" w:date="2020-02-25T13:56:00Z">
        <w:r>
          <w:t xml:space="preserve"> and</w:t>
        </w:r>
      </w:ins>
    </w:p>
    <w:p>
      <w:pPr>
        <w:pStyle w:val="Defpara"/>
      </w:pPr>
      <w:r>
        <w:tab/>
        <w:t>(b)</w:t>
      </w:r>
      <w:r>
        <w:tab/>
        <w:t>bargaining, barter or exchange;</w:t>
      </w:r>
      <w:ins w:id="28" w:author="svcMRProcess" w:date="2020-02-25T13:56:00Z">
        <w:r>
          <w:t xml:space="preserve"> and</w:t>
        </w:r>
      </w:ins>
    </w:p>
    <w:p>
      <w:pPr>
        <w:pStyle w:val="Defpara"/>
      </w:pPr>
      <w:r>
        <w:tab/>
        <w:t>(c)</w:t>
      </w:r>
      <w:r>
        <w:tab/>
        <w:t>supply and use of any product under a contract for work and materials;</w:t>
      </w:r>
      <w:ins w:id="29" w:author="svcMRProcess" w:date="2020-02-25T13:56:00Z">
        <w:r>
          <w:t xml:space="preserve"> and</w:t>
        </w:r>
      </w:ins>
    </w:p>
    <w:p>
      <w:pPr>
        <w:pStyle w:val="Defpara"/>
      </w:pPr>
      <w:r>
        <w:tab/>
        <w:t>(d)</w:t>
      </w:r>
      <w:r>
        <w:tab/>
        <w:t>offering, exposing, receiving, supplying or possessing for the purposes of sale;</w:t>
      </w:r>
      <w:ins w:id="30" w:author="svcMRProcess" w:date="2020-02-25T13:56:00Z">
        <w:r>
          <w:t xml:space="preserve"> and</w:t>
        </w:r>
      </w:ins>
    </w:p>
    <w:p>
      <w:pPr>
        <w:pStyle w:val="Defpara"/>
      </w:pPr>
      <w:r>
        <w:tab/>
        <w:t>(e)</w:t>
      </w:r>
      <w:r>
        <w:tab/>
        <w:t>delivery for sale or on sale with or without consideration;</w:t>
      </w:r>
      <w:ins w:id="31" w:author="svcMRProcess" w:date="2020-02-25T13:56:00Z">
        <w:r>
          <w:t xml:space="preserve"> and</w:t>
        </w:r>
      </w:ins>
    </w:p>
    <w:p>
      <w:pPr>
        <w:pStyle w:val="Defpara"/>
      </w:pPr>
      <w:r>
        <w:tab/>
        <w:t>(f)</w:t>
      </w:r>
      <w:r>
        <w:tab/>
        <w:t>wholesale, bulk and retail trading;</w:t>
      </w:r>
      <w:ins w:id="32" w:author="svcMRProcess" w:date="2020-02-25T13:56:00Z">
        <w:r>
          <w:t xml:space="preserve"> and</w:t>
        </w:r>
      </w:ins>
    </w:p>
    <w:p>
      <w:pPr>
        <w:pStyle w:val="Defpara"/>
      </w:pPr>
      <w:r>
        <w:tab/>
        <w:t>(g)</w:t>
      </w:r>
      <w:r>
        <w:tab/>
        <w:t>disposal or offer for disposal under hire purchase or credit sale terms;</w:t>
      </w:r>
      <w:ins w:id="33" w:author="svcMRProcess" w:date="2020-02-25T13:56:00Z">
        <w:r>
          <w:t xml:space="preserve"> and</w:t>
        </w:r>
      </w:ins>
    </w:p>
    <w:p>
      <w:pPr>
        <w:pStyle w:val="Defpara"/>
      </w:pPr>
      <w:r>
        <w:tab/>
        <w:t>(h)</w:t>
      </w:r>
      <w:r>
        <w:tab/>
        <w:t>dealing in or agreeing to sell;</w:t>
      </w:r>
      <w:ins w:id="34" w:author="svcMRProcess" w:date="2020-02-25T13:56:00Z">
        <w:r>
          <w:t xml:space="preserve"> and</w:t>
        </w:r>
      </w:ins>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rPr>
          <w:del w:id="35" w:author="svcMRProcess" w:date="2020-02-25T13:56:00Z"/>
        </w:rPr>
      </w:pPr>
      <w:del w:id="36" w:author="svcMRProcess" w:date="2020-02-25T13:56:00Z">
        <w:r>
          <w:rPr>
            <w:b/>
          </w:rPr>
          <w:tab/>
        </w:r>
        <w:r>
          <w:rPr>
            <w:rStyle w:val="CharDefText"/>
          </w:rPr>
          <w:delText>the Director</w:delText>
        </w:r>
        <w:r>
          <w:delText xml:space="preserve"> means the Director</w:delText>
        </w:r>
        <w:r>
          <w:noBreakHyphen/>
          <w:delText>General of the Department of Agriculture;</w:delText>
        </w:r>
      </w:del>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w:t>
      </w:r>
      <w:del w:id="37" w:author="svcMRProcess" w:date="2020-02-25T13:56:00Z">
        <w:r>
          <w:delText xml:space="preserve"> by</w:delText>
        </w:r>
      </w:del>
      <w:ins w:id="38" w:author="svcMRProcess" w:date="2020-02-25T13:56:00Z">
        <w:r>
          <w:t>:</w:t>
        </w:r>
      </w:ins>
      <w:r>
        <w:t xml:space="preserve"> No. 54 of 1981 s. 2; No. 20 of 1993 s. 6; No. 3 of 1995 s. 39; No. 9 of 1998 s. 23; No. 76 of 2004 s. 5 and 27(1); No. 35 of 2010 s. 159.] </w:t>
      </w:r>
    </w:p>
    <w:p>
      <w:pPr>
        <w:pStyle w:val="Heading2"/>
      </w:pPr>
      <w:bookmarkStart w:id="39" w:name="_Toc32401723"/>
      <w:bookmarkStart w:id="40" w:name="_Toc32401790"/>
      <w:bookmarkStart w:id="41" w:name="_Toc473106735"/>
      <w:bookmarkStart w:id="42" w:name="_Toc473298501"/>
      <w:bookmarkStart w:id="43" w:name="_Toc493591717"/>
      <w:bookmarkStart w:id="44" w:name="_Toc493603097"/>
      <w:r>
        <w:rPr>
          <w:rStyle w:val="CharPartNo"/>
        </w:rPr>
        <w:t>Part II</w:t>
      </w:r>
      <w:r>
        <w:rPr>
          <w:rStyle w:val="CharDivNo"/>
        </w:rPr>
        <w:t> </w:t>
      </w:r>
      <w:r>
        <w:t>—</w:t>
      </w:r>
      <w:r>
        <w:rPr>
          <w:rStyle w:val="CharDivText"/>
        </w:rPr>
        <w:t> </w:t>
      </w:r>
      <w:r>
        <w:rPr>
          <w:rStyle w:val="CharPartText"/>
        </w:rPr>
        <w:t>Exemptions, prohibitions and construction</w:t>
      </w:r>
      <w:bookmarkEnd w:id="39"/>
      <w:bookmarkEnd w:id="40"/>
      <w:bookmarkEnd w:id="41"/>
      <w:bookmarkEnd w:id="42"/>
      <w:bookmarkEnd w:id="43"/>
      <w:bookmarkEnd w:id="44"/>
    </w:p>
    <w:p>
      <w:pPr>
        <w:pStyle w:val="Heading5"/>
        <w:rPr>
          <w:snapToGrid w:val="0"/>
        </w:rPr>
      </w:pPr>
      <w:bookmarkStart w:id="45" w:name="_Toc32401791"/>
      <w:bookmarkStart w:id="46" w:name="_Toc493603098"/>
      <w:r>
        <w:rPr>
          <w:rStyle w:val="CharSectno"/>
        </w:rPr>
        <w:t>6</w:t>
      </w:r>
      <w:r>
        <w:rPr>
          <w:snapToGrid w:val="0"/>
        </w:rPr>
        <w:t>.</w:t>
      </w:r>
      <w:r>
        <w:rPr>
          <w:snapToGrid w:val="0"/>
        </w:rPr>
        <w:tab/>
        <w:t>Application</w:t>
      </w:r>
      <w:bookmarkEnd w:id="45"/>
      <w:bookmarkEnd w:id="4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ins w:id="47" w:author="svcMRProcess" w:date="2020-02-25T13:56:00Z">
        <w:r>
          <w:rPr>
            <w:snapToGrid w:val="0"/>
          </w:rPr>
          <w:t xml:space="preserve"> and</w:t>
        </w:r>
      </w:ins>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[Section 6 amended</w:t>
      </w:r>
      <w:del w:id="48" w:author="svcMRProcess" w:date="2020-02-25T13:56:00Z">
        <w:r>
          <w:delText xml:space="preserve"> by</w:delText>
        </w:r>
      </w:del>
      <w:ins w:id="49" w:author="svcMRProcess" w:date="2020-02-25T13:56:00Z">
        <w:r>
          <w:t>:</w:t>
        </w:r>
      </w:ins>
      <w:r>
        <w:t xml:space="preserve"> No. 20 of 1993 s. 7; No. 3 of 1995 s. 40 and 56; No. 9 of 1998 s. 23; No. 76 of 2004 s. 6 and 27(2).] </w:t>
      </w:r>
    </w:p>
    <w:p>
      <w:pPr>
        <w:pStyle w:val="Heading5"/>
        <w:rPr>
          <w:snapToGrid w:val="0"/>
        </w:rPr>
      </w:pPr>
      <w:bookmarkStart w:id="50" w:name="_Toc32401792"/>
      <w:bookmarkStart w:id="51" w:name="_Toc493603099"/>
      <w:r>
        <w:rPr>
          <w:rStyle w:val="CharSectno"/>
        </w:rPr>
        <w:t>7</w:t>
      </w:r>
      <w:r>
        <w:rPr>
          <w:snapToGrid w:val="0"/>
        </w:rPr>
        <w:t>.</w:t>
      </w:r>
      <w:r>
        <w:rPr>
          <w:snapToGrid w:val="0"/>
        </w:rPr>
        <w:tab/>
        <w:t>Exemptions by Order</w:t>
      </w:r>
      <w:bookmarkEnd w:id="50"/>
      <w:bookmarkEnd w:id="5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[Section 7 amended</w:t>
      </w:r>
      <w:del w:id="52" w:author="svcMRProcess" w:date="2020-02-25T13:56:00Z">
        <w:r>
          <w:delText xml:space="preserve"> by</w:delText>
        </w:r>
      </w:del>
      <w:ins w:id="53" w:author="svcMRProcess" w:date="2020-02-25T13:56:00Z">
        <w:r>
          <w:t>:</w:t>
        </w:r>
      </w:ins>
      <w:r>
        <w:t xml:space="preserve"> No. 20 of 1993 s. 8; No. 76 of 2004 s. 7 and 27(3).] </w:t>
      </w:r>
    </w:p>
    <w:p>
      <w:pPr>
        <w:pStyle w:val="Heading5"/>
        <w:rPr>
          <w:snapToGrid w:val="0"/>
        </w:rPr>
      </w:pPr>
      <w:bookmarkStart w:id="54" w:name="_Toc32401793"/>
      <w:bookmarkStart w:id="55" w:name="_Toc493603100"/>
      <w:r>
        <w:rPr>
          <w:rStyle w:val="CharSectno"/>
        </w:rPr>
        <w:t>8</w:t>
      </w:r>
      <w:r>
        <w:rPr>
          <w:snapToGrid w:val="0"/>
        </w:rPr>
        <w:t>.</w:t>
      </w:r>
      <w:r>
        <w:rPr>
          <w:snapToGrid w:val="0"/>
        </w:rPr>
        <w:tab/>
        <w:t>Prohibition</w:t>
      </w:r>
      <w:bookmarkEnd w:id="54"/>
      <w:bookmarkEnd w:id="55"/>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ins w:id="56" w:author="svcMRProcess" w:date="2020-02-25T13:56:00Z">
        <w:r>
          <w:rPr>
            <w:snapToGrid w:val="0"/>
          </w:rPr>
          <w:t xml:space="preserve"> or</w:t>
        </w:r>
      </w:ins>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w:t>
      </w:r>
      <w:del w:id="57" w:author="svcMRProcess" w:date="2020-02-25T13:56:00Z">
        <w:r>
          <w:delText xml:space="preserve"> by</w:delText>
        </w:r>
      </w:del>
      <w:ins w:id="58" w:author="svcMRProcess" w:date="2020-02-25T13:56:00Z">
        <w:r>
          <w:t>:</w:t>
        </w:r>
      </w:ins>
      <w:r>
        <w:t xml:space="preserve"> No. 3 of 1995 s. 56; No. 9 of 1998 s. 23.]</w:t>
      </w:r>
    </w:p>
    <w:p>
      <w:pPr>
        <w:pStyle w:val="Heading5"/>
      </w:pPr>
      <w:bookmarkStart w:id="59" w:name="_Toc32401794"/>
      <w:bookmarkStart w:id="60" w:name="_Toc456087673"/>
      <w:bookmarkStart w:id="61" w:name="_Toc457226883"/>
      <w:bookmarkStart w:id="62" w:name="_Toc493603101"/>
      <w:r>
        <w:rPr>
          <w:rStyle w:val="CharSectno"/>
        </w:rPr>
        <w:t>9</w:t>
      </w:r>
      <w:r>
        <w:t>.</w:t>
      </w:r>
      <w:r>
        <w:tab/>
        <w:t>Act to be construed subject to certain laws</w:t>
      </w:r>
      <w:bookmarkEnd w:id="59"/>
      <w:bookmarkEnd w:id="60"/>
      <w:bookmarkEnd w:id="61"/>
      <w:bookmarkEnd w:id="62"/>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w:t>
      </w:r>
      <w:del w:id="63" w:author="svcMRProcess" w:date="2020-02-25T13:56:00Z">
        <w:r>
          <w:delText xml:space="preserve"> by</w:delText>
        </w:r>
      </w:del>
      <w:ins w:id="64" w:author="svcMRProcess" w:date="2020-02-25T13:56:00Z">
        <w:r>
          <w:t>:</w:t>
        </w:r>
      </w:ins>
      <w:r>
        <w:t xml:space="preserve"> No. 19 of 2016 s. 335.]</w:t>
      </w:r>
    </w:p>
    <w:p>
      <w:pPr>
        <w:pStyle w:val="Heading5"/>
        <w:rPr>
          <w:snapToGrid w:val="0"/>
        </w:rPr>
      </w:pPr>
      <w:bookmarkStart w:id="65" w:name="_Toc32401795"/>
      <w:bookmarkStart w:id="66" w:name="_Toc493603102"/>
      <w:r>
        <w:rPr>
          <w:rStyle w:val="CharSectno"/>
        </w:rPr>
        <w:t>10</w:t>
      </w:r>
      <w:r>
        <w:rPr>
          <w:snapToGrid w:val="0"/>
        </w:rPr>
        <w:t>.</w:t>
      </w:r>
      <w:r>
        <w:rPr>
          <w:snapToGrid w:val="0"/>
        </w:rPr>
        <w:tab/>
        <w:t>Administration</w:t>
      </w:r>
      <w:bookmarkEnd w:id="65"/>
      <w:bookmarkEnd w:id="66"/>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[Section 10 amended</w:t>
      </w:r>
      <w:del w:id="67" w:author="svcMRProcess" w:date="2020-02-25T13:56:00Z">
        <w:r>
          <w:delText xml:space="preserve"> by</w:delText>
        </w:r>
      </w:del>
      <w:ins w:id="68" w:author="svcMRProcess" w:date="2020-02-25T13:56:00Z">
        <w:r>
          <w:t>:</w:t>
        </w:r>
      </w:ins>
      <w:r>
        <w:t xml:space="preserve"> No. 20 of 1993 s. 9; No. 45 of 2005 s. 45; No. 77 of 2006 s. 17.] </w:t>
      </w:r>
    </w:p>
    <w:p>
      <w:pPr>
        <w:pStyle w:val="Heading2"/>
      </w:pPr>
      <w:bookmarkStart w:id="69" w:name="_Toc32401729"/>
      <w:bookmarkStart w:id="70" w:name="_Toc32401796"/>
      <w:bookmarkStart w:id="71" w:name="_Toc473106741"/>
      <w:bookmarkStart w:id="72" w:name="_Toc473298507"/>
      <w:bookmarkStart w:id="73" w:name="_Toc493591723"/>
      <w:bookmarkStart w:id="74" w:name="_Toc493603103"/>
      <w:r>
        <w:rPr>
          <w:rStyle w:val="CharPartNo"/>
        </w:rPr>
        <w:t>Part III</w:t>
      </w:r>
      <w:r>
        <w:rPr>
          <w:rStyle w:val="CharDivNo"/>
        </w:rPr>
        <w:t> </w:t>
      </w:r>
      <w:r>
        <w:t>—</w:t>
      </w:r>
      <w:r>
        <w:rPr>
          <w:rStyle w:val="CharDivText"/>
        </w:rPr>
        <w:t> </w:t>
      </w:r>
      <w:r>
        <w:rPr>
          <w:rStyle w:val="CharPartText"/>
        </w:rPr>
        <w:t>Control of production and sales</w:t>
      </w:r>
      <w:bookmarkEnd w:id="69"/>
      <w:bookmarkEnd w:id="70"/>
      <w:bookmarkEnd w:id="71"/>
      <w:bookmarkEnd w:id="72"/>
      <w:bookmarkEnd w:id="73"/>
      <w:bookmarkEnd w:id="74"/>
      <w:r>
        <w:rPr>
          <w:rStyle w:val="CharPartText"/>
        </w:rPr>
        <w:t xml:space="preserve"> </w:t>
      </w:r>
    </w:p>
    <w:p>
      <w:pPr>
        <w:pStyle w:val="Heading5"/>
      </w:pPr>
      <w:bookmarkStart w:id="75" w:name="_Toc32401797"/>
      <w:bookmarkStart w:id="76" w:name="_Toc493603104"/>
      <w:r>
        <w:rPr>
          <w:rStyle w:val="CharSectno"/>
        </w:rPr>
        <w:t>11</w:t>
      </w:r>
      <w:r>
        <w:t>.</w:t>
      </w:r>
      <w:r>
        <w:tab/>
        <w:t>Unhygienic production etc. of animal feeding stuffs</w:t>
      </w:r>
      <w:bookmarkEnd w:id="75"/>
      <w:bookmarkEnd w:id="76"/>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[Section 11 inserted</w:t>
      </w:r>
      <w:del w:id="77" w:author="svcMRProcess" w:date="2020-02-25T13:56:00Z">
        <w:r>
          <w:delText xml:space="preserve"> by</w:delText>
        </w:r>
      </w:del>
      <w:ins w:id="78" w:author="svcMRProcess" w:date="2020-02-25T13:56:00Z">
        <w:r>
          <w:t>:</w:t>
        </w:r>
      </w:ins>
      <w:r>
        <w:t xml:space="preserve"> No. 9 of 1998 s. 19.] </w:t>
      </w:r>
    </w:p>
    <w:p>
      <w:pPr>
        <w:pStyle w:val="Ednotesection"/>
      </w:pPr>
      <w:r>
        <w:t>[</w:t>
      </w:r>
      <w:r>
        <w:rPr>
          <w:b/>
        </w:rPr>
        <w:t>12.</w:t>
      </w:r>
      <w:r>
        <w:tab/>
        <w:t>Deleted</w:t>
      </w:r>
      <w:del w:id="79" w:author="svcMRProcess" w:date="2020-02-25T13:56:00Z">
        <w:r>
          <w:delText xml:space="preserve"> by</w:delText>
        </w:r>
      </w:del>
      <w:ins w:id="80" w:author="svcMRProcess" w:date="2020-02-25T13:56:00Z">
        <w:r>
          <w:t>:</w:t>
        </w:r>
      </w:ins>
      <w:r>
        <w:t xml:space="preserve"> No. 9 of 1998 s. 23.] </w:t>
      </w:r>
    </w:p>
    <w:p>
      <w:pPr>
        <w:pStyle w:val="Heading5"/>
        <w:spacing w:before="120"/>
        <w:rPr>
          <w:snapToGrid w:val="0"/>
        </w:rPr>
      </w:pPr>
      <w:bookmarkStart w:id="81" w:name="_Toc32401798"/>
      <w:bookmarkStart w:id="82" w:name="_Toc493603105"/>
      <w:r>
        <w:rPr>
          <w:rStyle w:val="CharSectno"/>
        </w:rPr>
        <w:t>13</w:t>
      </w:r>
      <w:r>
        <w:rPr>
          <w:snapToGrid w:val="0"/>
        </w:rPr>
        <w:t>.</w:t>
      </w:r>
      <w:r>
        <w:rPr>
          <w:snapToGrid w:val="0"/>
        </w:rPr>
        <w:tab/>
        <w:t>Prohibition on sale of prohibited products and substances, and use of certain premises</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[Section 13 amended</w:t>
      </w:r>
      <w:del w:id="83" w:author="svcMRProcess" w:date="2020-02-25T13:56:00Z">
        <w:r>
          <w:delText xml:space="preserve"> by</w:delText>
        </w:r>
      </w:del>
      <w:ins w:id="84" w:author="svcMRProcess" w:date="2020-02-25T13:56:00Z">
        <w:r>
          <w:t>:</w:t>
        </w:r>
      </w:ins>
      <w:r>
        <w:t xml:space="preserve"> No. 20 of 1989 s. 3; No. 3 of 1995 s. 56; No. 9 of 1998 s. 23.] </w:t>
      </w:r>
    </w:p>
    <w:p>
      <w:pPr>
        <w:pStyle w:val="Heading5"/>
      </w:pPr>
      <w:bookmarkStart w:id="85" w:name="_Toc32401799"/>
      <w:bookmarkStart w:id="86" w:name="_Toc493603106"/>
      <w:r>
        <w:rPr>
          <w:rStyle w:val="CharSectno"/>
        </w:rPr>
        <w:t>14</w:t>
      </w:r>
      <w:r>
        <w:t>.</w:t>
      </w:r>
      <w:r>
        <w:tab/>
        <w:t>Sale of sub</w:t>
      </w:r>
      <w:r>
        <w:noBreakHyphen/>
        <w:t>standard animal feeding stuff</w:t>
      </w:r>
      <w:bookmarkEnd w:id="85"/>
      <w:bookmarkEnd w:id="86"/>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w:t>
      </w:r>
      <w:del w:id="87" w:author="svcMRProcess" w:date="2020-02-25T13:56:00Z">
        <w:r>
          <w:delText xml:space="preserve"> by</w:delText>
        </w:r>
      </w:del>
      <w:ins w:id="88" w:author="svcMRProcess" w:date="2020-02-25T13:56:00Z">
        <w:r>
          <w:t>:</w:t>
        </w:r>
      </w:ins>
      <w:r>
        <w:t xml:space="preserve"> No. 9 of 1998 s. 20.]</w:t>
      </w:r>
    </w:p>
    <w:p>
      <w:pPr>
        <w:pStyle w:val="Heading2"/>
      </w:pPr>
      <w:bookmarkStart w:id="89" w:name="_Toc32401733"/>
      <w:bookmarkStart w:id="90" w:name="_Toc32401800"/>
      <w:bookmarkStart w:id="91" w:name="_Toc473106745"/>
      <w:bookmarkStart w:id="92" w:name="_Toc473298511"/>
      <w:bookmarkStart w:id="93" w:name="_Toc493591727"/>
      <w:bookmarkStart w:id="94" w:name="_Toc493603107"/>
      <w:r>
        <w:rPr>
          <w:rStyle w:val="CharPartNo"/>
        </w:rPr>
        <w:t>Part IV</w:t>
      </w:r>
      <w:r>
        <w:rPr>
          <w:rStyle w:val="CharDivNo"/>
        </w:rPr>
        <w:t> </w:t>
      </w:r>
      <w:r>
        <w:t>—</w:t>
      </w:r>
      <w:r>
        <w:rPr>
          <w:rStyle w:val="CharDivText"/>
        </w:rPr>
        <w:t> </w:t>
      </w:r>
      <w:r>
        <w:rPr>
          <w:rStyle w:val="CharPartText"/>
        </w:rPr>
        <w:t>Control of use of veterinary chemical products</w:t>
      </w:r>
      <w:bookmarkEnd w:id="89"/>
      <w:bookmarkEnd w:id="90"/>
      <w:bookmarkEnd w:id="91"/>
      <w:bookmarkEnd w:id="92"/>
      <w:bookmarkEnd w:id="93"/>
      <w:bookmarkEnd w:id="94"/>
    </w:p>
    <w:p>
      <w:pPr>
        <w:pStyle w:val="Footnoteheading"/>
        <w:tabs>
          <w:tab w:val="left" w:pos="851"/>
        </w:tabs>
      </w:pPr>
      <w:r>
        <w:tab/>
        <w:t>[Heading inserted</w:t>
      </w:r>
      <w:del w:id="95" w:author="svcMRProcess" w:date="2020-02-25T13:56:00Z">
        <w:r>
          <w:delText xml:space="preserve"> by</w:delText>
        </w:r>
      </w:del>
      <w:ins w:id="96" w:author="svcMRProcess" w:date="2020-02-25T13:56:00Z">
        <w:r>
          <w:t>:</w:t>
        </w:r>
      </w:ins>
      <w:r>
        <w:t xml:space="preserve"> No. 76 of 2004 s. 8.]</w:t>
      </w:r>
    </w:p>
    <w:p>
      <w:pPr>
        <w:pStyle w:val="Heading5"/>
      </w:pPr>
      <w:bookmarkStart w:id="97" w:name="_Toc32401801"/>
      <w:bookmarkStart w:id="98" w:name="_Toc493603108"/>
      <w:r>
        <w:rPr>
          <w:rStyle w:val="CharSectno"/>
        </w:rPr>
        <w:t>15</w:t>
      </w:r>
      <w:r>
        <w:t>.</w:t>
      </w:r>
      <w:r>
        <w:tab/>
        <w:t>Regulations relating to control of use of veterinary chemical products</w:t>
      </w:r>
      <w:bookmarkEnd w:id="97"/>
      <w:bookmarkEnd w:id="9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ins w:id="99" w:author="svcMRProcess" w:date="2020-02-25T13:56:00Z">
        <w:r>
          <w:t xml:space="preserve"> and</w:t>
        </w:r>
      </w:ins>
    </w:p>
    <w:p>
      <w:pPr>
        <w:pStyle w:val="Indenta"/>
      </w:pPr>
      <w:r>
        <w:tab/>
        <w:t>(b)</w:t>
      </w:r>
      <w:r>
        <w:tab/>
        <w:t>may have effect by reference to approved labels or to registration under Part 2 of the Agvet Code of Western Australia;</w:t>
      </w:r>
      <w:ins w:id="100" w:author="svcMRProcess" w:date="2020-02-25T13:56:00Z">
        <w:r>
          <w:t xml:space="preserve"> and</w:t>
        </w:r>
      </w:ins>
    </w:p>
    <w:p>
      <w:pPr>
        <w:pStyle w:val="Indenta"/>
      </w:pPr>
      <w:r>
        <w:tab/>
        <w:t>(c)</w:t>
      </w:r>
      <w:r>
        <w:tab/>
        <w:t>may provide for the duties and obligations of veterinary surgeons or other persons in relation to the use of veterinary chemical products;</w:t>
      </w:r>
      <w:ins w:id="101" w:author="svcMRProcess" w:date="2020-02-25T13:56:00Z">
        <w:r>
          <w:t xml:space="preserve"> and</w:t>
        </w:r>
      </w:ins>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w:t>
      </w:r>
      <w:del w:id="102" w:author="svcMRProcess" w:date="2020-02-25T13:56:00Z">
        <w:r>
          <w:delText xml:space="preserve"> by</w:delText>
        </w:r>
      </w:del>
      <w:ins w:id="103" w:author="svcMRProcess" w:date="2020-02-25T13:56:00Z">
        <w:r>
          <w:t>:</w:t>
        </w:r>
      </w:ins>
      <w:r>
        <w:t xml:space="preserve"> No. 76 of 2004 s. 8.]</w:t>
      </w:r>
    </w:p>
    <w:p>
      <w:pPr>
        <w:pStyle w:val="Heading2"/>
      </w:pPr>
      <w:bookmarkStart w:id="104" w:name="_Toc32401735"/>
      <w:bookmarkStart w:id="105" w:name="_Toc32401802"/>
      <w:bookmarkStart w:id="106" w:name="_Toc473106747"/>
      <w:bookmarkStart w:id="107" w:name="_Toc473298513"/>
      <w:bookmarkStart w:id="108" w:name="_Toc493591729"/>
      <w:bookmarkStart w:id="109" w:name="_Toc493603109"/>
      <w:r>
        <w:rPr>
          <w:rStyle w:val="CharPartNo"/>
        </w:rPr>
        <w:t>Part V</w:t>
      </w:r>
      <w:r>
        <w:rPr>
          <w:rStyle w:val="CharDivNo"/>
        </w:rPr>
        <w:t> </w:t>
      </w:r>
      <w:r>
        <w:t>—</w:t>
      </w:r>
      <w:r>
        <w:rPr>
          <w:rStyle w:val="CharDivText"/>
        </w:rPr>
        <w:t> </w:t>
      </w:r>
      <w:r>
        <w:rPr>
          <w:rStyle w:val="CharPartText"/>
        </w:rPr>
        <w:t>Regulation of sale of certain stock, stock products and carcasses</w:t>
      </w:r>
      <w:bookmarkEnd w:id="104"/>
      <w:bookmarkEnd w:id="105"/>
      <w:bookmarkEnd w:id="106"/>
      <w:bookmarkEnd w:id="107"/>
      <w:bookmarkEnd w:id="108"/>
      <w:bookmarkEnd w:id="109"/>
    </w:p>
    <w:p>
      <w:pPr>
        <w:pStyle w:val="Footnoteheading"/>
        <w:tabs>
          <w:tab w:val="left" w:pos="851"/>
        </w:tabs>
      </w:pPr>
      <w:r>
        <w:tab/>
        <w:t>[Heading inserted</w:t>
      </w:r>
      <w:del w:id="110" w:author="svcMRProcess" w:date="2020-02-25T13:56:00Z">
        <w:r>
          <w:delText xml:space="preserve"> by</w:delText>
        </w:r>
      </w:del>
      <w:ins w:id="111" w:author="svcMRProcess" w:date="2020-02-25T13:56:00Z">
        <w:r>
          <w:t>:</w:t>
        </w:r>
      </w:ins>
      <w:r>
        <w:t xml:space="preserve"> No. 76 of 2004 s. 8.]</w:t>
      </w:r>
    </w:p>
    <w:p>
      <w:pPr>
        <w:pStyle w:val="Heading5"/>
      </w:pPr>
      <w:bookmarkStart w:id="112" w:name="_Toc32401803"/>
      <w:bookmarkStart w:id="113" w:name="_Toc493603110"/>
      <w:r>
        <w:rPr>
          <w:rStyle w:val="CharSectno"/>
        </w:rPr>
        <w:t>16</w:t>
      </w:r>
      <w:r>
        <w:t>.</w:t>
      </w:r>
      <w:r>
        <w:tab/>
        <w:t>Regulations relating to sale of certain stock, stock products and carcasses</w:t>
      </w:r>
      <w:bookmarkEnd w:id="112"/>
      <w:bookmarkEnd w:id="113"/>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ins w:id="114" w:author="svcMRProcess" w:date="2020-02-25T13:56:00Z">
        <w:r>
          <w:t xml:space="preserve"> and</w:t>
        </w:r>
      </w:ins>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w:t>
      </w:r>
      <w:del w:id="115" w:author="svcMRProcess" w:date="2020-02-25T13:56:00Z">
        <w:r>
          <w:delText xml:space="preserve"> by</w:delText>
        </w:r>
      </w:del>
      <w:ins w:id="116" w:author="svcMRProcess" w:date="2020-02-25T13:56:00Z">
        <w:r>
          <w:t>:</w:t>
        </w:r>
      </w:ins>
      <w:r>
        <w:t xml:space="preserve"> No. 76 of 2004 s. 8.]</w:t>
      </w:r>
    </w:p>
    <w:p>
      <w:pPr>
        <w:pStyle w:val="Ednotesection"/>
      </w:pPr>
      <w:r>
        <w:t>[</w:t>
      </w:r>
      <w:r>
        <w:rPr>
          <w:b/>
        </w:rPr>
        <w:t>17</w:t>
      </w:r>
      <w:r>
        <w:rPr>
          <w:b/>
        </w:rPr>
        <w:noBreakHyphen/>
        <w:t>23.</w:t>
      </w:r>
      <w:r>
        <w:rPr>
          <w:b/>
        </w:rPr>
        <w:tab/>
      </w:r>
      <w:r>
        <w:t>Deleted</w:t>
      </w:r>
      <w:del w:id="117" w:author="svcMRProcess" w:date="2020-02-25T13:56:00Z">
        <w:r>
          <w:delText xml:space="preserve"> by</w:delText>
        </w:r>
      </w:del>
      <w:ins w:id="118" w:author="svcMRProcess" w:date="2020-02-25T13:56:00Z">
        <w:r>
          <w:t>:</w:t>
        </w:r>
      </w:ins>
      <w:r>
        <w:t xml:space="preserve"> No. 9 of 1998 s. 21.]</w:t>
      </w:r>
    </w:p>
    <w:p>
      <w:pPr>
        <w:pStyle w:val="Ednotesection"/>
      </w:pPr>
      <w:r>
        <w:t>[</w:t>
      </w:r>
      <w:r>
        <w:rPr>
          <w:b/>
        </w:rPr>
        <w:t>24</w:t>
      </w:r>
      <w:r>
        <w:rPr>
          <w:b/>
        </w:rPr>
        <w:noBreakHyphen/>
        <w:t>36.</w:t>
      </w:r>
      <w:del w:id="119" w:author="svcMRProcess" w:date="2020-02-25T13:56:00Z">
        <w:r>
          <w:delText xml:space="preserve">  </w:delText>
        </w:r>
      </w:del>
      <w:ins w:id="120" w:author="svcMRProcess" w:date="2020-02-25T13:56:00Z">
        <w:r>
          <w:tab/>
        </w:r>
      </w:ins>
      <w:r>
        <w:t>Deleted</w:t>
      </w:r>
      <w:del w:id="121" w:author="svcMRProcess" w:date="2020-02-25T13:56:00Z">
        <w:r>
          <w:delText xml:space="preserve"> by</w:delText>
        </w:r>
      </w:del>
      <w:ins w:id="122" w:author="svcMRProcess" w:date="2020-02-25T13:56:00Z">
        <w:r>
          <w:t>:</w:t>
        </w:r>
      </w:ins>
      <w:r>
        <w:t xml:space="preserve"> No. 9 of 1998 s. 22.]</w:t>
      </w:r>
    </w:p>
    <w:p>
      <w:pPr>
        <w:pStyle w:val="Heading2"/>
      </w:pPr>
      <w:bookmarkStart w:id="123" w:name="_Toc32401737"/>
      <w:bookmarkStart w:id="124" w:name="_Toc32401804"/>
      <w:bookmarkStart w:id="125" w:name="_Toc473106749"/>
      <w:bookmarkStart w:id="126" w:name="_Toc473298515"/>
      <w:bookmarkStart w:id="127" w:name="_Toc493591731"/>
      <w:bookmarkStart w:id="128" w:name="_Toc493603111"/>
      <w:r>
        <w:rPr>
          <w:rStyle w:val="CharPartNo"/>
        </w:rPr>
        <w:t>Part VA</w:t>
      </w:r>
      <w:r>
        <w:rPr>
          <w:rStyle w:val="CharDivNo"/>
        </w:rPr>
        <w:t> </w:t>
      </w:r>
      <w:r>
        <w:t>—</w:t>
      </w:r>
      <w:r>
        <w:rPr>
          <w:rStyle w:val="CharDivText"/>
        </w:rPr>
        <w:t> </w:t>
      </w:r>
      <w:r>
        <w:rPr>
          <w:rStyle w:val="CharPartText"/>
        </w:rPr>
        <w:t>Regulation of prescribed substances</w:t>
      </w:r>
      <w:bookmarkEnd w:id="123"/>
      <w:bookmarkEnd w:id="124"/>
      <w:bookmarkEnd w:id="125"/>
      <w:bookmarkEnd w:id="126"/>
      <w:bookmarkEnd w:id="127"/>
      <w:bookmarkEnd w:id="128"/>
      <w:r>
        <w:rPr>
          <w:rStyle w:val="CharPartText"/>
        </w:rPr>
        <w:t xml:space="preserve"> </w:t>
      </w:r>
    </w:p>
    <w:p>
      <w:pPr>
        <w:pStyle w:val="Footnoteheading"/>
        <w:rPr>
          <w:snapToGrid w:val="0"/>
        </w:rPr>
      </w:pPr>
      <w:r>
        <w:rPr>
          <w:snapToGrid w:val="0"/>
        </w:rPr>
        <w:tab/>
        <w:t>[Heading inserted</w:t>
      </w:r>
      <w:del w:id="129" w:author="svcMRProcess" w:date="2020-02-25T13:56:00Z">
        <w:r>
          <w:rPr>
            <w:snapToGrid w:val="0"/>
          </w:rPr>
          <w:delText xml:space="preserve"> by</w:delText>
        </w:r>
      </w:del>
      <w:ins w:id="130" w:author="svcMRProcess" w:date="2020-02-25T13:56:00Z">
        <w:r>
          <w:rPr>
            <w:snapToGrid w:val="0"/>
          </w:rPr>
          <w:t>:</w:t>
        </w:r>
      </w:ins>
      <w:r>
        <w:rPr>
          <w:snapToGrid w:val="0"/>
        </w:rPr>
        <w:t xml:space="preserve"> No. 20 of 1993 s. 13.] </w:t>
      </w:r>
    </w:p>
    <w:p>
      <w:pPr>
        <w:pStyle w:val="Heading5"/>
      </w:pPr>
      <w:bookmarkStart w:id="131" w:name="_Toc493603112"/>
      <w:bookmarkStart w:id="132" w:name="_Toc32401805"/>
      <w:r>
        <w:rPr>
          <w:rStyle w:val="CharSectno"/>
        </w:rPr>
        <w:t>36AA</w:t>
      </w:r>
      <w:r>
        <w:t>.</w:t>
      </w:r>
      <w:r>
        <w:tab/>
      </w:r>
      <w:del w:id="133" w:author="svcMRProcess" w:date="2020-02-25T13:56:00Z">
        <w:r>
          <w:delText>Definition</w:delText>
        </w:r>
      </w:del>
      <w:bookmarkEnd w:id="131"/>
      <w:ins w:id="134" w:author="svcMRProcess" w:date="2020-02-25T13:56:00Z">
        <w:r>
          <w:t>Term used: treated</w:t>
        </w:r>
      </w:ins>
      <w:bookmarkEnd w:id="132"/>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w:t>
      </w:r>
      <w:del w:id="135" w:author="svcMRProcess" w:date="2020-02-25T13:56:00Z">
        <w:r>
          <w:delText xml:space="preserve"> by</w:delText>
        </w:r>
      </w:del>
      <w:ins w:id="136" w:author="svcMRProcess" w:date="2020-02-25T13:56:00Z">
        <w:r>
          <w:t>:</w:t>
        </w:r>
      </w:ins>
      <w:r>
        <w:t xml:space="preserve"> No. 76 of 2004 s. 9.]</w:t>
      </w:r>
    </w:p>
    <w:p>
      <w:pPr>
        <w:pStyle w:val="Heading5"/>
        <w:rPr>
          <w:snapToGrid w:val="0"/>
        </w:rPr>
      </w:pPr>
      <w:bookmarkStart w:id="137" w:name="_Toc32401806"/>
      <w:bookmarkStart w:id="138" w:name="_Toc493603113"/>
      <w:r>
        <w:rPr>
          <w:rStyle w:val="CharSectno"/>
        </w:rPr>
        <w:t>36A</w:t>
      </w:r>
      <w:r>
        <w:rPr>
          <w:snapToGrid w:val="0"/>
        </w:rPr>
        <w:t>.</w:t>
      </w:r>
      <w:r>
        <w:rPr>
          <w:snapToGrid w:val="0"/>
        </w:rPr>
        <w:tab/>
        <w:t>Regulations relating to prescribed substances</w:t>
      </w:r>
      <w:bookmarkEnd w:id="137"/>
      <w:bookmarkEnd w:id="138"/>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ins w:id="139" w:author="svcMRProcess" w:date="2020-02-25T13:56:00Z">
        <w:r>
          <w:rPr>
            <w:snapToGrid w:val="0"/>
          </w:rPr>
          <w:t xml:space="preserve"> or</w:t>
        </w:r>
      </w:ins>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ins w:id="140" w:author="svcMRProcess" w:date="2020-02-25T13:56:00Z"/>
          <w:snapToGrid w:val="0"/>
        </w:rPr>
      </w:pPr>
      <w:ins w:id="141" w:author="svcMRProcess" w:date="2020-02-25T13:56:00Z">
        <w:r>
          <w:rPr>
            <w:snapToGrid w:val="0"/>
          </w:rPr>
          <w:tab/>
        </w:r>
        <w:r>
          <w:rPr>
            <w:snapToGrid w:val="0"/>
          </w:rPr>
          <w:tab/>
          <w:t>and</w:t>
        </w:r>
      </w:ins>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ins w:id="142" w:author="svcMRProcess" w:date="2020-02-25T13:56:00Z"/>
          <w:snapToGrid w:val="0"/>
        </w:rPr>
      </w:pPr>
      <w:ins w:id="143" w:author="svcMRProcess" w:date="2020-02-25T13:56:00Z">
        <w:r>
          <w:rPr>
            <w:snapToGrid w:val="0"/>
          </w:rPr>
          <w:tab/>
        </w:r>
        <w:r>
          <w:rPr>
            <w:snapToGrid w:val="0"/>
          </w:rPr>
          <w:tab/>
          <w:t>and</w:t>
        </w:r>
      </w:ins>
    </w:p>
    <w:p>
      <w:pPr>
        <w:pStyle w:val="Indenta"/>
        <w:rPr>
          <w:snapToGrid w:val="0"/>
        </w:rPr>
      </w:pPr>
      <w:r>
        <w:rPr>
          <w:snapToGrid w:val="0"/>
        </w:rPr>
        <w:tab/>
        <w:t>(d)</w:t>
      </w:r>
      <w:r>
        <w:rPr>
          <w:snapToGrid w:val="0"/>
        </w:rPr>
        <w:tab/>
        <w:t>the treatment of stock with a prescribed substance;</w:t>
      </w:r>
      <w:ins w:id="144" w:author="svcMRProcess" w:date="2020-02-25T13:56:00Z">
        <w:r>
          <w:rPr>
            <w:snapToGrid w:val="0"/>
          </w:rPr>
          <w:t xml:space="preserve"> and</w:t>
        </w:r>
      </w:ins>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ins w:id="145" w:author="svcMRProcess" w:date="2020-02-25T13:56:00Z">
        <w:r>
          <w:rPr>
            <w:snapToGrid w:val="0"/>
          </w:rPr>
          <w:t xml:space="preserve"> and</w:t>
        </w:r>
      </w:ins>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ins w:id="146" w:author="svcMRProcess" w:date="2020-02-25T13:56:00Z">
        <w:r>
          <w:rPr>
            <w:snapToGrid w:val="0"/>
          </w:rPr>
          <w:t xml:space="preserve"> and</w:t>
        </w:r>
      </w:ins>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ins w:id="147" w:author="svcMRProcess" w:date="2020-02-25T13:56:00Z">
        <w:r>
          <w:rPr>
            <w:snapToGrid w:val="0"/>
          </w:rPr>
          <w:t xml:space="preserve"> or</w:t>
        </w:r>
      </w:ins>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[Section 36A inserted</w:t>
      </w:r>
      <w:del w:id="148" w:author="svcMRProcess" w:date="2020-02-25T13:56:00Z">
        <w:r>
          <w:delText xml:space="preserve"> by</w:delText>
        </w:r>
      </w:del>
      <w:ins w:id="149" w:author="svcMRProcess" w:date="2020-02-25T13:56:00Z">
        <w:r>
          <w:t>:</w:t>
        </w:r>
      </w:ins>
      <w:r>
        <w:t xml:space="preserve"> No. 20 of 1993 s. 13; amended</w:t>
      </w:r>
      <w:del w:id="150" w:author="svcMRProcess" w:date="2020-02-25T13:56:00Z">
        <w:r>
          <w:delText xml:space="preserve"> by</w:delText>
        </w:r>
      </w:del>
      <w:ins w:id="151" w:author="svcMRProcess" w:date="2020-02-25T13:56:00Z">
        <w:r>
          <w:t>:</w:t>
        </w:r>
      </w:ins>
      <w:r>
        <w:t xml:space="preserve"> No. 9 of 1998 s. 23.] </w:t>
      </w:r>
    </w:p>
    <w:p>
      <w:pPr>
        <w:pStyle w:val="Heading5"/>
        <w:rPr>
          <w:snapToGrid w:val="0"/>
        </w:rPr>
      </w:pPr>
      <w:bookmarkStart w:id="152" w:name="_Toc32401807"/>
      <w:bookmarkStart w:id="153" w:name="_Toc493603114"/>
      <w:r>
        <w:rPr>
          <w:rStyle w:val="CharSectno"/>
        </w:rPr>
        <w:t>36B</w:t>
      </w:r>
      <w:r>
        <w:rPr>
          <w:snapToGrid w:val="0"/>
        </w:rPr>
        <w:t>.</w:t>
      </w:r>
      <w:r>
        <w:rPr>
          <w:snapToGrid w:val="0"/>
        </w:rPr>
        <w:tab/>
        <w:t>Certain agreements void</w:t>
      </w:r>
      <w:bookmarkEnd w:id="152"/>
      <w:bookmarkEnd w:id="15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[Section 36B inserted</w:t>
      </w:r>
      <w:del w:id="154" w:author="svcMRProcess" w:date="2020-02-25T13:56:00Z">
        <w:r>
          <w:delText xml:space="preserve"> by</w:delText>
        </w:r>
      </w:del>
      <w:ins w:id="155" w:author="svcMRProcess" w:date="2020-02-25T13:56:00Z">
        <w:r>
          <w:t>:</w:t>
        </w:r>
      </w:ins>
      <w:r>
        <w:t xml:space="preserve"> No. 20 of 1993 s. 13.] </w:t>
      </w:r>
    </w:p>
    <w:p>
      <w:pPr>
        <w:pStyle w:val="Ednotesection"/>
        <w:spacing w:before="100"/>
        <w:ind w:left="890" w:hanging="890"/>
      </w:pPr>
      <w:r>
        <w:t>[</w:t>
      </w:r>
      <w:r>
        <w:rPr>
          <w:b/>
        </w:rPr>
        <w:t>36C.</w:t>
      </w:r>
      <w:r>
        <w:tab/>
        <w:t>Deleted</w:t>
      </w:r>
      <w:del w:id="156" w:author="svcMRProcess" w:date="2020-02-25T13:56:00Z">
        <w:r>
          <w:delText xml:space="preserve"> by</w:delText>
        </w:r>
      </w:del>
      <w:ins w:id="157" w:author="svcMRProcess" w:date="2020-02-25T13:56:00Z">
        <w:r>
          <w:t>:</w:t>
        </w:r>
      </w:ins>
      <w:r>
        <w:t xml:space="preserve"> No. 9 of 1998 s. 23.] </w:t>
      </w:r>
    </w:p>
    <w:p>
      <w:pPr>
        <w:pStyle w:val="Heading5"/>
        <w:spacing w:before="120"/>
        <w:rPr>
          <w:snapToGrid w:val="0"/>
        </w:rPr>
      </w:pPr>
      <w:bookmarkStart w:id="158" w:name="_Toc32401808"/>
      <w:bookmarkStart w:id="159" w:name="_Toc493603115"/>
      <w:r>
        <w:rPr>
          <w:rStyle w:val="CharSectno"/>
        </w:rPr>
        <w:t>36D</w:t>
      </w:r>
      <w:r>
        <w:rPr>
          <w:snapToGrid w:val="0"/>
        </w:rPr>
        <w:t>.</w:t>
      </w:r>
      <w:r>
        <w:rPr>
          <w:snapToGrid w:val="0"/>
        </w:rPr>
        <w:tab/>
        <w:t>False statements as to prescribed substances</w:t>
      </w:r>
      <w:bookmarkEnd w:id="158"/>
      <w:bookmarkEnd w:id="159"/>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[Section 36D inserted</w:t>
      </w:r>
      <w:del w:id="160" w:author="svcMRProcess" w:date="2020-02-25T13:56:00Z">
        <w:r>
          <w:delText xml:space="preserve"> by</w:delText>
        </w:r>
      </w:del>
      <w:ins w:id="161" w:author="svcMRProcess" w:date="2020-02-25T13:56:00Z">
        <w:r>
          <w:t>:</w:t>
        </w:r>
      </w:ins>
      <w:r>
        <w:t xml:space="preserve"> No. 20 of 1993 s. 13.] </w:t>
      </w:r>
    </w:p>
    <w:p>
      <w:pPr>
        <w:pStyle w:val="Heading2"/>
      </w:pPr>
      <w:bookmarkStart w:id="162" w:name="_Toc32401742"/>
      <w:bookmarkStart w:id="163" w:name="_Toc32401809"/>
      <w:bookmarkStart w:id="164" w:name="_Toc473106754"/>
      <w:bookmarkStart w:id="165" w:name="_Toc473298520"/>
      <w:bookmarkStart w:id="166" w:name="_Toc493591736"/>
      <w:bookmarkStart w:id="167" w:name="_Toc493603116"/>
      <w:r>
        <w:rPr>
          <w:rStyle w:val="CharPartNo"/>
        </w:rPr>
        <w:t>Part VI</w:t>
      </w:r>
      <w:r>
        <w:rPr>
          <w:rStyle w:val="CharDivNo"/>
        </w:rPr>
        <w:t> </w:t>
      </w:r>
      <w:r>
        <w:t>—</w:t>
      </w:r>
      <w:r>
        <w:rPr>
          <w:rStyle w:val="CharDivText"/>
        </w:rPr>
        <w:t> </w:t>
      </w:r>
      <w:r>
        <w:rPr>
          <w:rStyle w:val="CharPartText"/>
        </w:rPr>
        <w:t>Inspection, sampling and analysis</w:t>
      </w:r>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32401810"/>
      <w:bookmarkStart w:id="169" w:name="_Toc493603117"/>
      <w:r>
        <w:rPr>
          <w:rStyle w:val="CharSectno"/>
        </w:rPr>
        <w:t>37</w:t>
      </w:r>
      <w:r>
        <w:rPr>
          <w:snapToGrid w:val="0"/>
        </w:rPr>
        <w:t>.</w:t>
      </w:r>
      <w:r>
        <w:rPr>
          <w:snapToGrid w:val="0"/>
        </w:rPr>
        <w:tab/>
        <w:t>Appointment of inspectors</w:t>
      </w:r>
      <w:bookmarkEnd w:id="168"/>
      <w:bookmarkEnd w:id="169"/>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[Section 37 amended</w:t>
      </w:r>
      <w:del w:id="170" w:author="svcMRProcess" w:date="2020-02-25T13:56:00Z">
        <w:r>
          <w:delText xml:space="preserve"> by</w:delText>
        </w:r>
      </w:del>
      <w:ins w:id="171" w:author="svcMRProcess" w:date="2020-02-25T13:56:00Z">
        <w:r>
          <w:t>:</w:t>
        </w:r>
      </w:ins>
      <w:r>
        <w:t xml:space="preserve"> No. 20 of 1987 s. 3.] </w:t>
      </w:r>
    </w:p>
    <w:p>
      <w:pPr>
        <w:pStyle w:val="Heading5"/>
        <w:rPr>
          <w:snapToGrid w:val="0"/>
        </w:rPr>
      </w:pPr>
      <w:bookmarkStart w:id="172" w:name="_Toc32401811"/>
      <w:bookmarkStart w:id="173" w:name="_Toc493603118"/>
      <w:r>
        <w:rPr>
          <w:rStyle w:val="CharSectno"/>
        </w:rPr>
        <w:t>38</w:t>
      </w:r>
      <w:r>
        <w:rPr>
          <w:snapToGrid w:val="0"/>
        </w:rPr>
        <w:t>.</w:t>
      </w:r>
      <w:r>
        <w:rPr>
          <w:snapToGrid w:val="0"/>
        </w:rPr>
        <w:tab/>
        <w:t>Powers of entry, search and in relation to movement of stock</w:t>
      </w:r>
      <w:bookmarkEnd w:id="172"/>
      <w:bookmarkEnd w:id="173"/>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ins w:id="174" w:author="svcMRProcess" w:date="2020-02-25T13:56:00Z"/>
          <w:snapToGrid w:val="0"/>
        </w:rPr>
      </w:pPr>
      <w:ins w:id="175" w:author="svcMRProcess" w:date="2020-02-25T13:56:00Z">
        <w:r>
          <w:rPr>
            <w:snapToGrid w:val="0"/>
          </w:rPr>
          <w:tab/>
        </w:r>
        <w:r>
          <w:rPr>
            <w:snapToGrid w:val="0"/>
          </w:rPr>
          <w:tab/>
          <w:t>and</w:t>
        </w:r>
      </w:ins>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ins w:id="176" w:author="svcMRProcess" w:date="2020-02-25T13:56:00Z">
        <w:r>
          <w:rPr>
            <w:snapToGrid w:val="0"/>
          </w:rPr>
          <w:t xml:space="preserve"> and</w:t>
        </w:r>
      </w:ins>
    </w:p>
    <w:p>
      <w:pPr>
        <w:pStyle w:val="Indenta"/>
        <w:rPr>
          <w:snapToGrid w:val="0"/>
        </w:rPr>
      </w:pPr>
      <w:r>
        <w:rPr>
          <w:snapToGrid w:val="0"/>
        </w:rPr>
        <w:tab/>
        <w:t>(c)</w:t>
      </w:r>
      <w:r>
        <w:rPr>
          <w:snapToGrid w:val="0"/>
        </w:rPr>
        <w:tab/>
        <w:t>break open and search any box or other packaging, or any receptacle (including any thing that could be used as a receptacle);</w:t>
      </w:r>
      <w:ins w:id="177" w:author="svcMRProcess" w:date="2020-02-25T13:56:00Z">
        <w:r>
          <w:rPr>
            <w:snapToGrid w:val="0"/>
          </w:rPr>
          <w:t xml:space="preserve"> and</w:t>
        </w:r>
      </w:ins>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[Section 38 amended</w:t>
      </w:r>
      <w:del w:id="178" w:author="svcMRProcess" w:date="2020-02-25T13:56:00Z">
        <w:r>
          <w:delText xml:space="preserve"> by</w:delText>
        </w:r>
      </w:del>
      <w:ins w:id="179" w:author="svcMRProcess" w:date="2020-02-25T13:56:00Z">
        <w:r>
          <w:t>:</w:t>
        </w:r>
      </w:ins>
      <w:r>
        <w:t xml:space="preserve"> No. 20 of 1989 s. 3; No. 20 of 1993 s. 14; No. 3 of 1995 s. 56; No. 9 of 1998 s. 23; No. 76 of 2004 s. 10.] </w:t>
      </w:r>
    </w:p>
    <w:p>
      <w:pPr>
        <w:pStyle w:val="Heading5"/>
        <w:rPr>
          <w:snapToGrid w:val="0"/>
        </w:rPr>
      </w:pPr>
      <w:bookmarkStart w:id="180" w:name="_Toc32401812"/>
      <w:bookmarkStart w:id="181" w:name="_Toc493603119"/>
      <w:r>
        <w:rPr>
          <w:rStyle w:val="CharSectno"/>
        </w:rPr>
        <w:t>39</w:t>
      </w:r>
      <w:r>
        <w:rPr>
          <w:snapToGrid w:val="0"/>
        </w:rPr>
        <w:t>.</w:t>
      </w:r>
      <w:r>
        <w:rPr>
          <w:snapToGrid w:val="0"/>
        </w:rPr>
        <w:tab/>
        <w:t>Supply of information</w:t>
      </w:r>
      <w:bookmarkEnd w:id="180"/>
      <w:bookmarkEnd w:id="181"/>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ins w:id="182" w:author="svcMRProcess" w:date="2020-02-25T13:56:00Z">
        <w:r>
          <w:rPr>
            <w:snapToGrid w:val="0"/>
          </w:rPr>
          <w:t xml:space="preserve"> and</w:t>
        </w:r>
      </w:ins>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[Section 39 amended</w:t>
      </w:r>
      <w:del w:id="183" w:author="svcMRProcess" w:date="2020-02-25T13:56:00Z">
        <w:r>
          <w:delText xml:space="preserve"> by</w:delText>
        </w:r>
      </w:del>
      <w:ins w:id="184" w:author="svcMRProcess" w:date="2020-02-25T13:56:00Z">
        <w:r>
          <w:t>:</w:t>
        </w:r>
      </w:ins>
      <w:r>
        <w:t xml:space="preserve"> No. 20 of 1993 s. 15; No. 3 of 1995 s. 56; No. 9 of 1998 s. 23; No. 76 of 2004 s. 11.] </w:t>
      </w:r>
    </w:p>
    <w:p>
      <w:pPr>
        <w:pStyle w:val="Heading5"/>
        <w:pageBreakBefore/>
        <w:spacing w:before="0"/>
        <w:rPr>
          <w:snapToGrid w:val="0"/>
        </w:rPr>
      </w:pPr>
      <w:bookmarkStart w:id="185" w:name="_Toc32401813"/>
      <w:bookmarkStart w:id="186" w:name="_Toc493603120"/>
      <w:r>
        <w:rPr>
          <w:rStyle w:val="CharSectno"/>
        </w:rPr>
        <w:t>40</w:t>
      </w:r>
      <w:r>
        <w:rPr>
          <w:snapToGrid w:val="0"/>
        </w:rPr>
        <w:t>.</w:t>
      </w:r>
      <w:r>
        <w:rPr>
          <w:snapToGrid w:val="0"/>
        </w:rPr>
        <w:tab/>
        <w:t>Power to seize and detain</w:t>
      </w:r>
      <w:bookmarkEnd w:id="185"/>
      <w:bookmarkEnd w:id="186"/>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[Section 40 amended</w:t>
      </w:r>
      <w:del w:id="187" w:author="svcMRProcess" w:date="2020-02-25T13:56:00Z">
        <w:r>
          <w:rPr>
            <w:spacing w:val="-4"/>
          </w:rPr>
          <w:delText xml:space="preserve"> by</w:delText>
        </w:r>
      </w:del>
      <w:ins w:id="188" w:author="svcMRProcess" w:date="2020-02-25T13:56:00Z">
        <w:r>
          <w:rPr>
            <w:spacing w:val="-4"/>
          </w:rPr>
          <w:t>:</w:t>
        </w:r>
      </w:ins>
      <w:r>
        <w:rPr>
          <w:spacing w:val="-4"/>
        </w:rPr>
        <w:t xml:space="preserve"> No. 20 of 1993 s. 16; No. 3 of 1995 s. 56; No. 55 of 2004 s. 1273; No. 76 of 2004 s. 12.] </w:t>
      </w:r>
    </w:p>
    <w:p>
      <w:pPr>
        <w:pStyle w:val="Heading5"/>
        <w:pageBreakBefore/>
        <w:spacing w:before="0"/>
        <w:rPr>
          <w:snapToGrid w:val="0"/>
        </w:rPr>
      </w:pPr>
      <w:bookmarkStart w:id="189" w:name="_Toc32401814"/>
      <w:bookmarkStart w:id="190" w:name="_Toc493603121"/>
      <w:r>
        <w:rPr>
          <w:rStyle w:val="CharSectno"/>
        </w:rPr>
        <w:t>40A</w:t>
      </w:r>
      <w:r>
        <w:rPr>
          <w:snapToGrid w:val="0"/>
        </w:rPr>
        <w:t>.</w:t>
      </w:r>
      <w:r>
        <w:rPr>
          <w:snapToGrid w:val="0"/>
        </w:rPr>
        <w:tab/>
        <w:t>Other powers of an inspector</w:t>
      </w:r>
      <w:bookmarkEnd w:id="189"/>
      <w:bookmarkEnd w:id="19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ins w:id="191" w:author="svcMRProcess" w:date="2020-02-25T13:56:00Z">
        <w:r>
          <w:rPr>
            <w:snapToGrid w:val="0"/>
          </w:rPr>
          <w:t xml:space="preserve"> and</w:t>
        </w:r>
      </w:ins>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ins w:id="192" w:author="svcMRProcess" w:date="2020-02-25T13:56:00Z">
        <w:r>
          <w:rPr>
            <w:snapToGrid w:val="0"/>
          </w:rPr>
          <w:t xml:space="preserve"> and</w:t>
        </w:r>
      </w:ins>
    </w:p>
    <w:p>
      <w:pPr>
        <w:pStyle w:val="Indenta"/>
        <w:rPr>
          <w:snapToGrid w:val="0"/>
        </w:rPr>
      </w:pPr>
      <w:r>
        <w:rPr>
          <w:snapToGrid w:val="0"/>
        </w:rPr>
        <w:tab/>
        <w:t>(c)</w:t>
      </w:r>
      <w:r>
        <w:rPr>
          <w:snapToGrid w:val="0"/>
        </w:rPr>
        <w:tab/>
        <w:t>to permit the sampling procedures required for the purposes of Part IV, V or VA;</w:t>
      </w:r>
      <w:ins w:id="193" w:author="svcMRProcess" w:date="2020-02-25T13:56:00Z">
        <w:r>
          <w:rPr>
            <w:snapToGrid w:val="0"/>
          </w:rPr>
          <w:t xml:space="preserve"> and</w:t>
        </w:r>
      </w:ins>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[Section 40A inserted</w:t>
      </w:r>
      <w:del w:id="194" w:author="svcMRProcess" w:date="2020-02-25T13:56:00Z">
        <w:r>
          <w:delText xml:space="preserve"> by</w:delText>
        </w:r>
      </w:del>
      <w:ins w:id="195" w:author="svcMRProcess" w:date="2020-02-25T13:56:00Z">
        <w:r>
          <w:t>:</w:t>
        </w:r>
      </w:ins>
      <w:r>
        <w:t xml:space="preserve"> No. 20 of 1993 s. 17; amended</w:t>
      </w:r>
      <w:del w:id="196" w:author="svcMRProcess" w:date="2020-02-25T13:56:00Z">
        <w:r>
          <w:delText xml:space="preserve"> by</w:delText>
        </w:r>
      </w:del>
      <w:ins w:id="197" w:author="svcMRProcess" w:date="2020-02-25T13:56:00Z">
        <w:r>
          <w:t>:</w:t>
        </w:r>
      </w:ins>
      <w:r>
        <w:t xml:space="preserve"> No. 76 of 2004 s. 13.] </w:t>
      </w:r>
    </w:p>
    <w:p>
      <w:pPr>
        <w:pStyle w:val="Heading5"/>
        <w:spacing w:before="260"/>
        <w:rPr>
          <w:snapToGrid w:val="0"/>
        </w:rPr>
      </w:pPr>
      <w:bookmarkStart w:id="198" w:name="_Toc32401815"/>
      <w:bookmarkStart w:id="199" w:name="_Toc493603122"/>
      <w:r>
        <w:rPr>
          <w:rStyle w:val="CharSectno"/>
        </w:rPr>
        <w:t>40B</w:t>
      </w:r>
      <w:r>
        <w:rPr>
          <w:snapToGrid w:val="0"/>
        </w:rPr>
        <w:t>.</w:t>
      </w:r>
      <w:r>
        <w:rPr>
          <w:snapToGrid w:val="0"/>
        </w:rPr>
        <w:tab/>
        <w:t>Recovery of inspection costs</w:t>
      </w:r>
      <w:bookmarkEnd w:id="198"/>
      <w:bookmarkEnd w:id="19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[Section 40B inserted</w:t>
      </w:r>
      <w:del w:id="200" w:author="svcMRProcess" w:date="2020-02-25T13:56:00Z">
        <w:r>
          <w:delText xml:space="preserve"> by</w:delText>
        </w:r>
      </w:del>
      <w:ins w:id="201" w:author="svcMRProcess" w:date="2020-02-25T13:56:00Z">
        <w:r>
          <w:t>:</w:t>
        </w:r>
      </w:ins>
      <w:r>
        <w:t xml:space="preserve"> No. 20 of 1993 s. 17; amended</w:t>
      </w:r>
      <w:del w:id="202" w:author="svcMRProcess" w:date="2020-02-25T13:56:00Z">
        <w:r>
          <w:delText xml:space="preserve"> by</w:delText>
        </w:r>
      </w:del>
      <w:ins w:id="203" w:author="svcMRProcess" w:date="2020-02-25T13:56:00Z">
        <w:r>
          <w:t>:</w:t>
        </w:r>
      </w:ins>
      <w:r>
        <w:t xml:space="preserve"> No. 76 of 2004 s. 14.] </w:t>
      </w:r>
    </w:p>
    <w:p>
      <w:pPr>
        <w:pStyle w:val="Heading5"/>
        <w:spacing w:before="260"/>
        <w:rPr>
          <w:snapToGrid w:val="0"/>
        </w:rPr>
      </w:pPr>
      <w:bookmarkStart w:id="204" w:name="_Toc32401816"/>
      <w:bookmarkStart w:id="205" w:name="_Toc493603123"/>
      <w:r>
        <w:rPr>
          <w:rStyle w:val="CharSectno"/>
        </w:rPr>
        <w:t>41</w:t>
      </w:r>
      <w:r>
        <w:rPr>
          <w:snapToGrid w:val="0"/>
        </w:rPr>
        <w:t>.</w:t>
      </w:r>
      <w:r>
        <w:rPr>
          <w:snapToGrid w:val="0"/>
        </w:rPr>
        <w:tab/>
        <w:t>Powers of sampling</w:t>
      </w:r>
      <w:bookmarkEnd w:id="204"/>
      <w:bookmarkEnd w:id="205"/>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ins w:id="206" w:author="svcMRProcess" w:date="2020-02-25T13:56:00Z">
        <w:r>
          <w:rPr>
            <w:snapToGrid w:val="0"/>
          </w:rPr>
          <w:t xml:space="preserve"> and</w:t>
        </w:r>
      </w:ins>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[Section 41 amended</w:t>
      </w:r>
      <w:del w:id="207" w:author="svcMRProcess" w:date="2020-02-25T13:56:00Z">
        <w:r>
          <w:delText xml:space="preserve"> by</w:delText>
        </w:r>
      </w:del>
      <w:ins w:id="208" w:author="svcMRProcess" w:date="2020-02-25T13:56:00Z">
        <w:r>
          <w:t>:</w:t>
        </w:r>
      </w:ins>
      <w:r>
        <w:t xml:space="preserve"> No. 20 of 1993 s. 18; No. 3 of 1995 s. 56; No. 76 of 2004 s. 15.] </w:t>
      </w:r>
    </w:p>
    <w:p>
      <w:pPr>
        <w:pStyle w:val="Heading5"/>
        <w:rPr>
          <w:snapToGrid w:val="0"/>
        </w:rPr>
      </w:pPr>
      <w:bookmarkStart w:id="209" w:name="_Toc32401817"/>
      <w:bookmarkStart w:id="210" w:name="_Toc493603124"/>
      <w:r>
        <w:rPr>
          <w:rStyle w:val="CharSectno"/>
        </w:rPr>
        <w:t>42</w:t>
      </w:r>
      <w:r>
        <w:rPr>
          <w:snapToGrid w:val="0"/>
        </w:rPr>
        <w:t>.</w:t>
      </w:r>
      <w:r>
        <w:rPr>
          <w:snapToGrid w:val="0"/>
        </w:rPr>
        <w:tab/>
        <w:t>Duty of dealers to provide samples and information when required</w:t>
      </w:r>
      <w:bookmarkEnd w:id="209"/>
      <w:bookmarkEnd w:id="210"/>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w:t>
      </w:r>
      <w:del w:id="211" w:author="svcMRProcess" w:date="2020-02-25T13:56:00Z">
        <w:r>
          <w:delText xml:space="preserve"> by</w:delText>
        </w:r>
      </w:del>
      <w:ins w:id="212" w:author="svcMRProcess" w:date="2020-02-25T13:56:00Z">
        <w:r>
          <w:t>:</w:t>
        </w:r>
      </w:ins>
      <w:r>
        <w:t xml:space="preserve"> No. 3 of 1995 s. 56; No. 9 of 1998 s. 23.]</w:t>
      </w:r>
    </w:p>
    <w:p>
      <w:pPr>
        <w:pStyle w:val="Heading5"/>
        <w:rPr>
          <w:snapToGrid w:val="0"/>
        </w:rPr>
      </w:pPr>
      <w:bookmarkStart w:id="213" w:name="_Toc32401818"/>
      <w:bookmarkStart w:id="214" w:name="_Toc493603125"/>
      <w:r>
        <w:rPr>
          <w:rStyle w:val="CharSectno"/>
        </w:rPr>
        <w:t>42A</w:t>
      </w:r>
      <w:r>
        <w:rPr>
          <w:snapToGrid w:val="0"/>
        </w:rPr>
        <w:t>.</w:t>
      </w:r>
      <w:r>
        <w:rPr>
          <w:snapToGrid w:val="0"/>
        </w:rPr>
        <w:tab/>
        <w:t>Duty of persons to facilitate the operation of Parts IV, V and VA</w:t>
      </w:r>
      <w:bookmarkEnd w:id="213"/>
      <w:bookmarkEnd w:id="214"/>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ins w:id="215" w:author="svcMRProcess" w:date="2020-02-25T13:56:00Z">
        <w:r>
          <w:t xml:space="preserve"> or</w:t>
        </w:r>
      </w:ins>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[Section 42A inserted</w:t>
      </w:r>
      <w:del w:id="216" w:author="svcMRProcess" w:date="2020-02-25T13:56:00Z">
        <w:r>
          <w:delText xml:space="preserve"> by</w:delText>
        </w:r>
      </w:del>
      <w:ins w:id="217" w:author="svcMRProcess" w:date="2020-02-25T13:56:00Z">
        <w:r>
          <w:t>:</w:t>
        </w:r>
      </w:ins>
      <w:r>
        <w:t xml:space="preserve"> No. 20 of 1993 s. 19; amended</w:t>
      </w:r>
      <w:del w:id="218" w:author="svcMRProcess" w:date="2020-02-25T13:56:00Z">
        <w:r>
          <w:delText xml:space="preserve"> by</w:delText>
        </w:r>
      </w:del>
      <w:ins w:id="219" w:author="svcMRProcess" w:date="2020-02-25T13:56:00Z">
        <w:r>
          <w:t>:</w:t>
        </w:r>
      </w:ins>
      <w:r>
        <w:t xml:space="preserve"> No. 9 of 1998 s. 23; No. 76 of 2004 s. 16.] </w:t>
      </w:r>
    </w:p>
    <w:p>
      <w:pPr>
        <w:pStyle w:val="Heading5"/>
        <w:rPr>
          <w:snapToGrid w:val="0"/>
        </w:rPr>
      </w:pPr>
      <w:bookmarkStart w:id="220" w:name="_Toc32401819"/>
      <w:bookmarkStart w:id="221" w:name="_Toc493603126"/>
      <w:r>
        <w:rPr>
          <w:rStyle w:val="CharSectno"/>
        </w:rPr>
        <w:t>43</w:t>
      </w:r>
      <w:r>
        <w:rPr>
          <w:snapToGrid w:val="0"/>
        </w:rPr>
        <w:t>.</w:t>
      </w:r>
      <w:r>
        <w:rPr>
          <w:snapToGrid w:val="0"/>
        </w:rPr>
        <w:tab/>
        <w:t>Tampering with samples</w:t>
      </w:r>
      <w:bookmarkEnd w:id="220"/>
      <w:bookmarkEnd w:id="221"/>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[Section 43 amended</w:t>
      </w:r>
      <w:del w:id="222" w:author="svcMRProcess" w:date="2020-02-25T13:56:00Z">
        <w:r>
          <w:delText xml:space="preserve"> by</w:delText>
        </w:r>
      </w:del>
      <w:ins w:id="223" w:author="svcMRProcess" w:date="2020-02-25T13:56:00Z">
        <w:r>
          <w:t>:</w:t>
        </w:r>
      </w:ins>
      <w:r>
        <w:t xml:space="preserve"> No. 20 of 1993 s. 20; No. 3 of 1995 s. 48; No. 76 of 2004 s. 17.] </w:t>
      </w:r>
    </w:p>
    <w:p>
      <w:pPr>
        <w:pStyle w:val="Heading5"/>
        <w:rPr>
          <w:snapToGrid w:val="0"/>
        </w:rPr>
      </w:pPr>
      <w:bookmarkStart w:id="224" w:name="_Toc32401820"/>
      <w:bookmarkStart w:id="225" w:name="_Toc493603127"/>
      <w:r>
        <w:rPr>
          <w:rStyle w:val="CharSectno"/>
        </w:rPr>
        <w:t>44</w:t>
      </w:r>
      <w:r>
        <w:rPr>
          <w:snapToGrid w:val="0"/>
        </w:rPr>
        <w:t>.</w:t>
      </w:r>
      <w:r>
        <w:rPr>
          <w:snapToGrid w:val="0"/>
        </w:rPr>
        <w:tab/>
        <w:t>Use of samples for prosecutions</w:t>
      </w:r>
      <w:bookmarkEnd w:id="224"/>
      <w:bookmarkEnd w:id="225"/>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[Section 44 amended</w:t>
      </w:r>
      <w:del w:id="226" w:author="svcMRProcess" w:date="2020-02-25T13:56:00Z">
        <w:r>
          <w:delText xml:space="preserve"> by</w:delText>
        </w:r>
      </w:del>
      <w:ins w:id="227" w:author="svcMRProcess" w:date="2020-02-25T13:56:00Z">
        <w:r>
          <w:t>:</w:t>
        </w:r>
      </w:ins>
      <w:r>
        <w:t xml:space="preserve"> No. 20 of 1993 s. 21; No. 76 of 2004 s. 18; No. 84 of 2004 s. 80.] </w:t>
      </w:r>
    </w:p>
    <w:p>
      <w:pPr>
        <w:pStyle w:val="Heading5"/>
        <w:rPr>
          <w:snapToGrid w:val="0"/>
        </w:rPr>
      </w:pPr>
      <w:bookmarkStart w:id="228" w:name="_Toc32401821"/>
      <w:bookmarkStart w:id="229" w:name="_Toc493603128"/>
      <w:r>
        <w:rPr>
          <w:rStyle w:val="CharSectno"/>
        </w:rPr>
        <w:t>45</w:t>
      </w:r>
      <w:r>
        <w:rPr>
          <w:snapToGrid w:val="0"/>
        </w:rPr>
        <w:t>.</w:t>
      </w:r>
      <w:r>
        <w:rPr>
          <w:snapToGrid w:val="0"/>
        </w:rPr>
        <w:tab/>
        <w:t>Production of part retained for comparison</w:t>
      </w:r>
      <w:bookmarkEnd w:id="228"/>
      <w:bookmarkEnd w:id="229"/>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30" w:name="_Toc32401822"/>
      <w:bookmarkStart w:id="231" w:name="_Toc493603129"/>
      <w:r>
        <w:rPr>
          <w:rStyle w:val="CharSectno"/>
        </w:rPr>
        <w:t>46</w:t>
      </w:r>
      <w:r>
        <w:rPr>
          <w:snapToGrid w:val="0"/>
        </w:rPr>
        <w:t>.</w:t>
      </w:r>
      <w:r>
        <w:rPr>
          <w:snapToGrid w:val="0"/>
        </w:rPr>
        <w:tab/>
        <w:t>Analysts</w:t>
      </w:r>
      <w:bookmarkEnd w:id="230"/>
      <w:bookmarkEnd w:id="23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[Section 46 amended</w:t>
      </w:r>
      <w:del w:id="232" w:author="svcMRProcess" w:date="2020-02-25T13:56:00Z">
        <w:r>
          <w:delText xml:space="preserve"> by</w:delText>
        </w:r>
      </w:del>
      <w:ins w:id="233" w:author="svcMRProcess" w:date="2020-02-25T13:56:00Z">
        <w:r>
          <w:t>:</w:t>
        </w:r>
      </w:ins>
      <w:r>
        <w:t xml:space="preserve"> No. 20 of 1989 s. 3.] </w:t>
      </w:r>
    </w:p>
    <w:p>
      <w:pPr>
        <w:pStyle w:val="Heading5"/>
        <w:rPr>
          <w:snapToGrid w:val="0"/>
        </w:rPr>
      </w:pPr>
      <w:bookmarkStart w:id="234" w:name="_Toc32401823"/>
      <w:bookmarkStart w:id="235" w:name="_Toc493603130"/>
      <w:r>
        <w:rPr>
          <w:rStyle w:val="CharSectno"/>
        </w:rPr>
        <w:t>47</w:t>
      </w:r>
      <w:r>
        <w:rPr>
          <w:snapToGrid w:val="0"/>
        </w:rPr>
        <w:t>.</w:t>
      </w:r>
      <w:r>
        <w:rPr>
          <w:snapToGrid w:val="0"/>
        </w:rPr>
        <w:tab/>
        <w:t>Analysis</w:t>
      </w:r>
      <w:bookmarkEnd w:id="234"/>
      <w:bookmarkEnd w:id="235"/>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[Section 47 amended</w:t>
      </w:r>
      <w:del w:id="236" w:author="svcMRProcess" w:date="2020-02-25T13:56:00Z">
        <w:r>
          <w:delText xml:space="preserve"> by</w:delText>
        </w:r>
      </w:del>
      <w:ins w:id="237" w:author="svcMRProcess" w:date="2020-02-25T13:56:00Z">
        <w:r>
          <w:t>:</w:t>
        </w:r>
      </w:ins>
      <w:r>
        <w:t xml:space="preserve"> No. 20 of 1993 s. 22.] </w:t>
      </w:r>
    </w:p>
    <w:p>
      <w:pPr>
        <w:pStyle w:val="Heading5"/>
        <w:rPr>
          <w:snapToGrid w:val="0"/>
        </w:rPr>
      </w:pPr>
      <w:bookmarkStart w:id="238" w:name="_Toc32401824"/>
      <w:bookmarkStart w:id="239" w:name="_Toc493603131"/>
      <w:r>
        <w:rPr>
          <w:rStyle w:val="CharSectno"/>
        </w:rPr>
        <w:t>48</w:t>
      </w:r>
      <w:r>
        <w:rPr>
          <w:snapToGrid w:val="0"/>
        </w:rPr>
        <w:t>.</w:t>
      </w:r>
      <w:r>
        <w:rPr>
          <w:snapToGrid w:val="0"/>
        </w:rPr>
        <w:tab/>
        <w:t>Results of analysis may be published</w:t>
      </w:r>
      <w:bookmarkEnd w:id="238"/>
      <w:bookmarkEnd w:id="239"/>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[Section 48 amended</w:t>
      </w:r>
      <w:del w:id="240" w:author="svcMRProcess" w:date="2020-02-25T13:56:00Z">
        <w:r>
          <w:delText xml:space="preserve"> by</w:delText>
        </w:r>
      </w:del>
      <w:ins w:id="241" w:author="svcMRProcess" w:date="2020-02-25T13:56:00Z">
        <w:r>
          <w:t>:</w:t>
        </w:r>
      </w:ins>
      <w:r>
        <w:t xml:space="preserve"> No. 20 of 1993 s. 23; No. 3 of 1995 s. 56; No. 9 of 1998 s. 23; No. 76 of 2004 s. 19.] </w:t>
      </w:r>
    </w:p>
    <w:p>
      <w:pPr>
        <w:pStyle w:val="Heading5"/>
        <w:rPr>
          <w:snapToGrid w:val="0"/>
        </w:rPr>
      </w:pPr>
      <w:bookmarkStart w:id="242" w:name="_Toc32401825"/>
      <w:bookmarkStart w:id="243" w:name="_Toc493603132"/>
      <w:r>
        <w:rPr>
          <w:rStyle w:val="CharSectno"/>
        </w:rPr>
        <w:t>49</w:t>
      </w:r>
      <w:r>
        <w:rPr>
          <w:snapToGrid w:val="0"/>
        </w:rPr>
        <w:t>.</w:t>
      </w:r>
      <w:r>
        <w:rPr>
          <w:snapToGrid w:val="0"/>
        </w:rPr>
        <w:tab/>
        <w:t>Evidence of analysis and relation of sample to bulk</w:t>
      </w:r>
      <w:bookmarkEnd w:id="242"/>
      <w:bookmarkEnd w:id="243"/>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ins w:id="244" w:author="svcMRProcess" w:date="2020-02-25T13:56:00Z">
        <w:r>
          <w:rPr>
            <w:snapToGrid w:val="0"/>
          </w:rPr>
          <w:t xml:space="preserve"> and</w:t>
        </w:r>
      </w:ins>
    </w:p>
    <w:p>
      <w:pPr>
        <w:pStyle w:val="Indenta"/>
        <w:rPr>
          <w:snapToGrid w:val="0"/>
        </w:rPr>
      </w:pPr>
      <w:r>
        <w:rPr>
          <w:snapToGrid w:val="0"/>
        </w:rPr>
        <w:tab/>
        <w:t>(b)</w:t>
      </w:r>
      <w:r>
        <w:rPr>
          <w:snapToGrid w:val="0"/>
        </w:rPr>
        <w:tab/>
        <w:t>of the result of the analysis;</w:t>
      </w:r>
      <w:ins w:id="245" w:author="svcMRProcess" w:date="2020-02-25T13:56:00Z">
        <w:r>
          <w:rPr>
            <w:snapToGrid w:val="0"/>
          </w:rPr>
          <w:t xml:space="preserve"> and</w:t>
        </w:r>
      </w:ins>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[Section 49 amended</w:t>
      </w:r>
      <w:del w:id="246" w:author="svcMRProcess" w:date="2020-02-25T13:56:00Z">
        <w:r>
          <w:delText xml:space="preserve"> by</w:delText>
        </w:r>
      </w:del>
      <w:ins w:id="247" w:author="svcMRProcess" w:date="2020-02-25T13:56:00Z">
        <w:r>
          <w:t>:</w:t>
        </w:r>
      </w:ins>
      <w:r>
        <w:t xml:space="preserve"> No. 20 of 1993 s. 24; No. 84 of 2004 s. 80.] </w:t>
      </w:r>
    </w:p>
    <w:p>
      <w:pPr>
        <w:pStyle w:val="Heading5"/>
        <w:rPr>
          <w:snapToGrid w:val="0"/>
        </w:rPr>
      </w:pPr>
      <w:bookmarkStart w:id="248" w:name="_Toc32401826"/>
      <w:bookmarkStart w:id="249" w:name="_Toc493603133"/>
      <w:r>
        <w:rPr>
          <w:rStyle w:val="CharSectno"/>
        </w:rPr>
        <w:t>50</w:t>
      </w:r>
      <w:r>
        <w:rPr>
          <w:snapToGrid w:val="0"/>
        </w:rPr>
        <w:t>.</w:t>
      </w:r>
      <w:r>
        <w:rPr>
          <w:snapToGrid w:val="0"/>
        </w:rPr>
        <w:tab/>
        <w:t>Omissions not to prejudice proceedings</w:t>
      </w:r>
      <w:bookmarkEnd w:id="248"/>
      <w:bookmarkEnd w:id="249"/>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[Section 50 amended</w:t>
      </w:r>
      <w:del w:id="250" w:author="svcMRProcess" w:date="2020-02-25T13:56:00Z">
        <w:r>
          <w:delText xml:space="preserve"> by</w:delText>
        </w:r>
      </w:del>
      <w:ins w:id="251" w:author="svcMRProcess" w:date="2020-02-25T13:56:00Z">
        <w:r>
          <w:t>:</w:t>
        </w:r>
      </w:ins>
      <w:r>
        <w:t xml:space="preserve"> No. 84 of 2004 s. 80 and 82.] </w:t>
      </w:r>
    </w:p>
    <w:p>
      <w:pPr>
        <w:pStyle w:val="Heading2"/>
      </w:pPr>
      <w:bookmarkStart w:id="252" w:name="_Toc32401760"/>
      <w:bookmarkStart w:id="253" w:name="_Toc32401827"/>
      <w:bookmarkStart w:id="254" w:name="_Toc473106772"/>
      <w:bookmarkStart w:id="255" w:name="_Toc473298538"/>
      <w:bookmarkStart w:id="256" w:name="_Toc493591754"/>
      <w:bookmarkStart w:id="257" w:name="_Toc493603134"/>
      <w:r>
        <w:rPr>
          <w:rStyle w:val="CharPartNo"/>
        </w:rPr>
        <w:t>Part VII</w:t>
      </w:r>
      <w:r>
        <w:rPr>
          <w:rStyle w:val="CharDivNo"/>
        </w:rPr>
        <w:t> </w:t>
      </w:r>
      <w:r>
        <w:t>—</w:t>
      </w:r>
      <w:r>
        <w:rPr>
          <w:rStyle w:val="CharDivText"/>
        </w:rPr>
        <w:t> </w:t>
      </w:r>
      <w:r>
        <w:rPr>
          <w:rStyle w:val="CharPartText"/>
        </w:rPr>
        <w:t>Packaging, labelling and standards</w:t>
      </w:r>
      <w:bookmarkEnd w:id="252"/>
      <w:bookmarkEnd w:id="253"/>
      <w:bookmarkEnd w:id="254"/>
      <w:bookmarkEnd w:id="255"/>
      <w:bookmarkEnd w:id="256"/>
      <w:bookmarkEnd w:id="257"/>
      <w:r>
        <w:rPr>
          <w:rStyle w:val="CharPartText"/>
        </w:rPr>
        <w:t xml:space="preserve"> </w:t>
      </w:r>
    </w:p>
    <w:p>
      <w:pPr>
        <w:pStyle w:val="Ednotesection"/>
      </w:pPr>
      <w:r>
        <w:t>[</w:t>
      </w:r>
      <w:r>
        <w:rPr>
          <w:b/>
        </w:rPr>
        <w:t>51.</w:t>
      </w:r>
      <w:r>
        <w:tab/>
        <w:t>Deleted</w:t>
      </w:r>
      <w:del w:id="258" w:author="svcMRProcess" w:date="2020-02-25T13:56:00Z">
        <w:r>
          <w:delText xml:space="preserve"> by</w:delText>
        </w:r>
      </w:del>
      <w:ins w:id="259" w:author="svcMRProcess" w:date="2020-02-25T13:56:00Z">
        <w:r>
          <w:t>:</w:t>
        </w:r>
      </w:ins>
      <w:r>
        <w:t xml:space="preserve"> No. 69 of 1982 s. 5.] </w:t>
      </w:r>
    </w:p>
    <w:p>
      <w:pPr>
        <w:pStyle w:val="Heading5"/>
        <w:rPr>
          <w:snapToGrid w:val="0"/>
        </w:rPr>
      </w:pPr>
      <w:bookmarkStart w:id="260" w:name="_Toc32401828"/>
      <w:bookmarkStart w:id="261" w:name="_Toc493603135"/>
      <w:r>
        <w:rPr>
          <w:rStyle w:val="CharSectno"/>
        </w:rPr>
        <w:t>52</w:t>
      </w:r>
      <w:r>
        <w:rPr>
          <w:snapToGrid w:val="0"/>
        </w:rPr>
        <w:t>.</w:t>
      </w:r>
      <w:r>
        <w:rPr>
          <w:snapToGrid w:val="0"/>
        </w:rPr>
        <w:tab/>
        <w:t>Regulations</w:t>
      </w:r>
      <w:bookmarkEnd w:id="260"/>
      <w:bookmarkEnd w:id="261"/>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ins w:id="262" w:author="svcMRProcess" w:date="2020-02-25T13:56:00Z">
        <w:r>
          <w:rPr>
            <w:snapToGrid w:val="0"/>
          </w:rPr>
          <w:t xml:space="preserve"> or</w:t>
        </w:r>
      </w:ins>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ins w:id="263" w:author="svcMRProcess" w:date="2020-02-25T13:56:00Z">
        <w:r>
          <w:rPr>
            <w:snapToGrid w:val="0"/>
          </w:rPr>
          <w:t xml:space="preserve"> or</w:t>
        </w:r>
      </w:ins>
    </w:p>
    <w:p>
      <w:pPr>
        <w:pStyle w:val="Indenti"/>
        <w:rPr>
          <w:snapToGrid w:val="0"/>
        </w:rPr>
      </w:pPr>
      <w:r>
        <w:rPr>
          <w:snapToGrid w:val="0"/>
        </w:rPr>
        <w:tab/>
        <w:t>(iii)</w:t>
      </w:r>
      <w:r>
        <w:rPr>
          <w:snapToGrid w:val="0"/>
        </w:rPr>
        <w:tab/>
        <w:t>otherwise than in the amounts that are prescribed;</w:t>
      </w:r>
      <w:ins w:id="264" w:author="svcMRProcess" w:date="2020-02-25T13:56:00Z">
        <w:r>
          <w:rPr>
            <w:snapToGrid w:val="0"/>
          </w:rPr>
          <w:t xml:space="preserve"> or</w:t>
        </w:r>
      </w:ins>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ins w:id="265" w:author="svcMRProcess" w:date="2020-02-25T13:56:00Z">
        <w:r>
          <w:rPr>
            <w:snapToGrid w:val="0"/>
          </w:rPr>
          <w:t xml:space="preserve"> or</w:t>
        </w:r>
      </w:ins>
    </w:p>
    <w:p>
      <w:pPr>
        <w:pStyle w:val="Indenti"/>
        <w:rPr>
          <w:snapToGrid w:val="0"/>
        </w:rPr>
      </w:pPr>
      <w:r>
        <w:rPr>
          <w:snapToGrid w:val="0"/>
        </w:rPr>
        <w:tab/>
        <w:t>(v)</w:t>
      </w:r>
      <w:r>
        <w:rPr>
          <w:snapToGrid w:val="0"/>
        </w:rPr>
        <w:tab/>
        <w:t>after the expiration of the prescribed period from the date of manufacture;</w:t>
      </w:r>
      <w:ins w:id="266" w:author="svcMRProcess" w:date="2020-02-25T13:56:00Z">
        <w:r>
          <w:rPr>
            <w:snapToGrid w:val="0"/>
          </w:rPr>
          <w:t xml:space="preserve"> or</w:t>
        </w:r>
      </w:ins>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ins w:id="267" w:author="svcMRProcess" w:date="2020-02-25T13:56:00Z">
        <w:r>
          <w:rPr>
            <w:snapToGrid w:val="0"/>
          </w:rPr>
          <w:t xml:space="preserve"> or</w:t>
        </w:r>
      </w:ins>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ins w:id="268" w:author="svcMRProcess" w:date="2020-02-25T13:56:00Z">
        <w:r>
          <w:rPr>
            <w:snapToGrid w:val="0"/>
          </w:rPr>
          <w:t xml:space="preserve"> or</w:t>
        </w:r>
      </w:ins>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ins w:id="269" w:author="svcMRProcess" w:date="2020-02-25T13:56:00Z">
        <w:r>
          <w:rPr>
            <w:snapToGrid w:val="0"/>
          </w:rPr>
          <w:t xml:space="preserve"> or</w:t>
        </w:r>
      </w:ins>
    </w:p>
    <w:p>
      <w:pPr>
        <w:pStyle w:val="Indenti"/>
        <w:rPr>
          <w:snapToGrid w:val="0"/>
        </w:rPr>
      </w:pPr>
      <w:r>
        <w:rPr>
          <w:snapToGrid w:val="0"/>
        </w:rPr>
        <w:tab/>
        <w:t>(ix)</w:t>
      </w:r>
      <w:r>
        <w:rPr>
          <w:snapToGrid w:val="0"/>
        </w:rPr>
        <w:tab/>
        <w:t>unless, in the case of bulk supply, it has an invoice issued with it;</w:t>
      </w:r>
      <w:ins w:id="270" w:author="svcMRProcess" w:date="2020-02-25T13:56:00Z">
        <w:r>
          <w:rPr>
            <w:snapToGrid w:val="0"/>
          </w:rPr>
          <w:t xml:space="preserve"> or</w:t>
        </w:r>
      </w:ins>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ins w:id="271" w:author="svcMRProcess" w:date="2020-02-25T13:56:00Z"/>
          <w:snapToGrid w:val="0"/>
        </w:rPr>
      </w:pPr>
      <w:ins w:id="272" w:author="svcMRProcess" w:date="2020-02-25T13:56:00Z">
        <w:r>
          <w:rPr>
            <w:snapToGrid w:val="0"/>
          </w:rPr>
          <w:tab/>
        </w:r>
        <w:r>
          <w:rPr>
            <w:snapToGrid w:val="0"/>
          </w:rPr>
          <w:tab/>
          <w:t>and</w:t>
        </w:r>
      </w:ins>
    </w:p>
    <w:p>
      <w:pPr>
        <w:pStyle w:val="Indenta"/>
        <w:rPr>
          <w:snapToGrid w:val="0"/>
        </w:rPr>
      </w:pPr>
      <w:r>
        <w:rPr>
          <w:snapToGrid w:val="0"/>
        </w:rPr>
        <w:tab/>
        <w:t>(b)</w:t>
      </w:r>
      <w:r>
        <w:rPr>
          <w:snapToGrid w:val="0"/>
        </w:rPr>
        <w:tab/>
        <w:t>regulating the advertising of that animal feeding stuff, and the descriptions which may be applied thereto;</w:t>
      </w:r>
      <w:ins w:id="273" w:author="svcMRProcess" w:date="2020-02-25T13:56:00Z">
        <w:r>
          <w:rPr>
            <w:snapToGrid w:val="0"/>
          </w:rPr>
          <w:t xml:space="preserve"> and</w:t>
        </w:r>
      </w:ins>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ins w:id="274" w:author="svcMRProcess" w:date="2020-02-25T13:56:00Z">
        <w:r>
          <w:rPr>
            <w:snapToGrid w:val="0"/>
          </w:rPr>
          <w:t xml:space="preserve"> and</w:t>
        </w:r>
      </w:ins>
    </w:p>
    <w:p>
      <w:pPr>
        <w:pStyle w:val="Indenti"/>
        <w:rPr>
          <w:snapToGrid w:val="0"/>
        </w:rPr>
      </w:pPr>
      <w:r>
        <w:rPr>
          <w:snapToGrid w:val="0"/>
        </w:rPr>
        <w:tab/>
        <w:t>(ii)</w:t>
      </w:r>
      <w:r>
        <w:rPr>
          <w:snapToGrid w:val="0"/>
        </w:rPr>
        <w:tab/>
        <w:t>the prescribing of maximum, minimum or actual percentages, proportions or amounts of ingredients to be used;</w:t>
      </w:r>
      <w:ins w:id="275" w:author="svcMRProcess" w:date="2020-02-25T13:56:00Z">
        <w:r>
          <w:rPr>
            <w:snapToGrid w:val="0"/>
          </w:rPr>
          <w:t xml:space="preserve"> and</w:t>
        </w:r>
      </w:ins>
    </w:p>
    <w:p>
      <w:pPr>
        <w:pStyle w:val="Indenti"/>
        <w:rPr>
          <w:snapToGrid w:val="0"/>
        </w:rPr>
      </w:pPr>
      <w:r>
        <w:rPr>
          <w:snapToGrid w:val="0"/>
        </w:rPr>
        <w:tab/>
        <w:t>(iii)</w:t>
      </w:r>
      <w:r>
        <w:rPr>
          <w:snapToGrid w:val="0"/>
        </w:rPr>
        <w:tab/>
        <w:t>the prescribing of chemical or physical standards or conditions of ingredients;</w:t>
      </w:r>
      <w:ins w:id="276" w:author="svcMRProcess" w:date="2020-02-25T13:56:00Z">
        <w:r>
          <w:rPr>
            <w:snapToGrid w:val="0"/>
          </w:rPr>
          <w:t xml:space="preserve"> and</w:t>
        </w:r>
      </w:ins>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ins w:id="277" w:author="svcMRProcess" w:date="2020-02-25T13:56:00Z"/>
          <w:snapToGrid w:val="0"/>
        </w:rPr>
      </w:pPr>
      <w:ins w:id="278" w:author="svcMRProcess" w:date="2020-02-25T13:56:00Z">
        <w:r>
          <w:rPr>
            <w:snapToGrid w:val="0"/>
          </w:rPr>
          <w:tab/>
        </w:r>
        <w:r>
          <w:rPr>
            <w:snapToGrid w:val="0"/>
          </w:rPr>
          <w:tab/>
          <w:t>and</w:t>
        </w:r>
      </w:ins>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ins w:id="279" w:author="svcMRProcess" w:date="2020-02-25T13:56:00Z">
        <w:r>
          <w:rPr>
            <w:snapToGrid w:val="0"/>
          </w:rPr>
          <w:t xml:space="preserve"> and</w:t>
        </w:r>
      </w:ins>
    </w:p>
    <w:p>
      <w:pPr>
        <w:pStyle w:val="Indenti"/>
        <w:rPr>
          <w:snapToGrid w:val="0"/>
        </w:rPr>
      </w:pPr>
      <w:r>
        <w:rPr>
          <w:snapToGrid w:val="0"/>
        </w:rPr>
        <w:tab/>
        <w:t>(ii)</w:t>
      </w:r>
      <w:r>
        <w:rPr>
          <w:snapToGrid w:val="0"/>
        </w:rPr>
        <w:tab/>
        <w:t>the payment of deposits and charges;</w:t>
      </w:r>
      <w:ins w:id="280" w:author="svcMRProcess" w:date="2020-02-25T13:56:00Z">
        <w:r>
          <w:rPr>
            <w:snapToGrid w:val="0"/>
          </w:rPr>
          <w:t xml:space="preserve"> and</w:t>
        </w:r>
      </w:ins>
    </w:p>
    <w:p>
      <w:pPr>
        <w:pStyle w:val="Indenti"/>
        <w:rPr>
          <w:snapToGrid w:val="0"/>
        </w:rPr>
      </w:pPr>
      <w:r>
        <w:rPr>
          <w:snapToGrid w:val="0"/>
        </w:rPr>
        <w:tab/>
        <w:t>(iii)</w:t>
      </w:r>
      <w:r>
        <w:rPr>
          <w:snapToGrid w:val="0"/>
        </w:rPr>
        <w:tab/>
        <w:t>the provision of information, including recommended usages, treatments and precautions;</w:t>
      </w:r>
      <w:ins w:id="281" w:author="svcMRProcess" w:date="2020-02-25T13:56:00Z">
        <w:r>
          <w:rPr>
            <w:snapToGrid w:val="0"/>
          </w:rPr>
          <w:t xml:space="preserve"> and</w:t>
        </w:r>
      </w:ins>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ins w:id="282" w:author="svcMRProcess" w:date="2020-02-25T13:56:00Z"/>
          <w:snapToGrid w:val="0"/>
        </w:rPr>
      </w:pPr>
      <w:ins w:id="283" w:author="svcMRProcess" w:date="2020-02-25T13:56:00Z">
        <w:r>
          <w:rPr>
            <w:snapToGrid w:val="0"/>
          </w:rPr>
          <w:tab/>
        </w:r>
        <w:r>
          <w:rPr>
            <w:snapToGrid w:val="0"/>
          </w:rPr>
          <w:tab/>
          <w:t>and</w:t>
        </w:r>
      </w:ins>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ins w:id="284" w:author="svcMRProcess" w:date="2020-02-25T13:56:00Z">
        <w:r>
          <w:rPr>
            <w:snapToGrid w:val="0"/>
          </w:rPr>
          <w:t xml:space="preserve"> and</w:t>
        </w:r>
      </w:ins>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[Section 52 amended</w:t>
      </w:r>
      <w:del w:id="285" w:author="svcMRProcess" w:date="2020-02-25T13:56:00Z">
        <w:r>
          <w:delText xml:space="preserve"> by</w:delText>
        </w:r>
      </w:del>
      <w:ins w:id="286" w:author="svcMRProcess" w:date="2020-02-25T13:56:00Z">
        <w:r>
          <w:t>:</w:t>
        </w:r>
      </w:ins>
      <w:r>
        <w:t xml:space="preserve"> No. 69 of 1982 s. 6; No. 3 of 1995 s. 49 and 56; No. 9 of 1998 s. 23.] </w:t>
      </w:r>
    </w:p>
    <w:p>
      <w:pPr>
        <w:pStyle w:val="Heading5"/>
        <w:rPr>
          <w:snapToGrid w:val="0"/>
        </w:rPr>
      </w:pPr>
      <w:bookmarkStart w:id="287" w:name="_Toc32401829"/>
      <w:bookmarkStart w:id="288" w:name="_Toc493603136"/>
      <w:r>
        <w:rPr>
          <w:rStyle w:val="CharSectno"/>
        </w:rPr>
        <w:t>53</w:t>
      </w:r>
      <w:r>
        <w:rPr>
          <w:snapToGrid w:val="0"/>
        </w:rPr>
        <w:t>.</w:t>
      </w:r>
      <w:r>
        <w:rPr>
          <w:snapToGrid w:val="0"/>
        </w:rPr>
        <w:tab/>
        <w:t>Offences relating to labelling</w:t>
      </w:r>
      <w:bookmarkEnd w:id="287"/>
      <w:bookmarkEnd w:id="28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[Section 53 amended</w:t>
      </w:r>
      <w:del w:id="289" w:author="svcMRProcess" w:date="2020-02-25T13:56:00Z">
        <w:r>
          <w:delText xml:space="preserve"> by</w:delText>
        </w:r>
      </w:del>
      <w:ins w:id="290" w:author="svcMRProcess" w:date="2020-02-25T13:56:00Z">
        <w:r>
          <w:t>:</w:t>
        </w:r>
      </w:ins>
      <w:r>
        <w:t xml:space="preserve"> No. 3 of 1995 s. 56; No. 9 of 1998 s. 23.] </w:t>
      </w:r>
    </w:p>
    <w:p>
      <w:pPr>
        <w:pStyle w:val="Heading2"/>
      </w:pPr>
      <w:bookmarkStart w:id="291" w:name="_Toc32401763"/>
      <w:bookmarkStart w:id="292" w:name="_Toc32401830"/>
      <w:bookmarkStart w:id="293" w:name="_Toc473106775"/>
      <w:bookmarkStart w:id="294" w:name="_Toc473298541"/>
      <w:bookmarkStart w:id="295" w:name="_Toc493591757"/>
      <w:bookmarkStart w:id="296" w:name="_Toc493603137"/>
      <w:r>
        <w:rPr>
          <w:rStyle w:val="CharPartNo"/>
        </w:rPr>
        <w:t>Part VIII</w:t>
      </w:r>
      <w:r>
        <w:rPr>
          <w:rStyle w:val="CharDivNo"/>
        </w:rPr>
        <w:t> </w:t>
      </w:r>
      <w:r>
        <w:t>—</w:t>
      </w:r>
      <w:r>
        <w:rPr>
          <w:rStyle w:val="CharDivText"/>
        </w:rPr>
        <w:t> </w:t>
      </w:r>
      <w:r>
        <w:rPr>
          <w:rStyle w:val="CharPartText"/>
        </w:rPr>
        <w:t>Advertisements</w:t>
      </w:r>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32401831"/>
      <w:bookmarkStart w:id="298" w:name="_Toc493603138"/>
      <w:r>
        <w:rPr>
          <w:rStyle w:val="CharSectno"/>
        </w:rPr>
        <w:t>54</w:t>
      </w:r>
      <w:r>
        <w:rPr>
          <w:snapToGrid w:val="0"/>
        </w:rPr>
        <w:t>.</w:t>
      </w:r>
      <w:r>
        <w:rPr>
          <w:snapToGrid w:val="0"/>
        </w:rPr>
        <w:tab/>
        <w:t>Advertisements</w:t>
      </w:r>
      <w:bookmarkEnd w:id="297"/>
      <w:bookmarkEnd w:id="298"/>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[Section 54 amended</w:t>
      </w:r>
      <w:del w:id="299" w:author="svcMRProcess" w:date="2020-02-25T13:56:00Z">
        <w:r>
          <w:delText xml:space="preserve"> by</w:delText>
        </w:r>
      </w:del>
      <w:ins w:id="300" w:author="svcMRProcess" w:date="2020-02-25T13:56:00Z">
        <w:r>
          <w:t>:</w:t>
        </w:r>
      </w:ins>
      <w:r>
        <w:t xml:space="preserve"> No. 69 of 1982 s. 7; No. 3 of 1995 s. 56; No. 9 of 1998 s. 23.] </w:t>
      </w:r>
    </w:p>
    <w:p>
      <w:pPr>
        <w:pStyle w:val="Heading5"/>
        <w:rPr>
          <w:snapToGrid w:val="0"/>
        </w:rPr>
      </w:pPr>
      <w:bookmarkStart w:id="301" w:name="_Toc32401832"/>
      <w:bookmarkStart w:id="302" w:name="_Toc493603139"/>
      <w:r>
        <w:rPr>
          <w:rStyle w:val="CharSectno"/>
        </w:rPr>
        <w:t>55</w:t>
      </w:r>
      <w:r>
        <w:rPr>
          <w:snapToGrid w:val="0"/>
        </w:rPr>
        <w:t>.</w:t>
      </w:r>
      <w:r>
        <w:rPr>
          <w:snapToGrid w:val="0"/>
        </w:rPr>
        <w:tab/>
        <w:t>Prohibited statements</w:t>
      </w:r>
      <w:bookmarkEnd w:id="301"/>
      <w:bookmarkEnd w:id="302"/>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ins w:id="303" w:author="svcMRProcess" w:date="2020-02-25T13:56:00Z">
        <w:r>
          <w:rPr>
            <w:snapToGrid w:val="0"/>
          </w:rPr>
          <w:t xml:space="preserve"> or</w:t>
        </w:r>
      </w:ins>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[Section 55 amended</w:t>
      </w:r>
      <w:del w:id="304" w:author="svcMRProcess" w:date="2020-02-25T13:56:00Z">
        <w:r>
          <w:delText xml:space="preserve"> by</w:delText>
        </w:r>
      </w:del>
      <w:ins w:id="305" w:author="svcMRProcess" w:date="2020-02-25T13:56:00Z">
        <w:r>
          <w:t>:</w:t>
        </w:r>
      </w:ins>
      <w:r>
        <w:t xml:space="preserve"> No. 3 of 1995 s. 56.] </w:t>
      </w:r>
    </w:p>
    <w:p>
      <w:pPr>
        <w:pStyle w:val="Heading2"/>
      </w:pPr>
      <w:bookmarkStart w:id="306" w:name="_Toc32401766"/>
      <w:bookmarkStart w:id="307" w:name="_Toc32401833"/>
      <w:bookmarkStart w:id="308" w:name="_Toc473106778"/>
      <w:bookmarkStart w:id="309" w:name="_Toc473298544"/>
      <w:bookmarkStart w:id="310" w:name="_Toc493591760"/>
      <w:bookmarkStart w:id="311" w:name="_Toc493603140"/>
      <w:r>
        <w:rPr>
          <w:rStyle w:val="CharPartNo"/>
        </w:rPr>
        <w:t>Part IX</w:t>
      </w:r>
      <w:r>
        <w:rPr>
          <w:rStyle w:val="CharDivNo"/>
        </w:rPr>
        <w:t> </w:t>
      </w:r>
      <w:r>
        <w:t>—</w:t>
      </w:r>
      <w:r>
        <w:rPr>
          <w:rStyle w:val="CharDivText"/>
        </w:rPr>
        <w:t> </w:t>
      </w:r>
      <w:r>
        <w:rPr>
          <w:rStyle w:val="CharPartText"/>
        </w:rPr>
        <w:t>Invoices and warranties</w:t>
      </w:r>
      <w:bookmarkEnd w:id="306"/>
      <w:bookmarkEnd w:id="307"/>
      <w:bookmarkEnd w:id="308"/>
      <w:bookmarkEnd w:id="309"/>
      <w:bookmarkEnd w:id="310"/>
      <w:bookmarkEnd w:id="311"/>
      <w:r>
        <w:rPr>
          <w:rStyle w:val="CharPartText"/>
        </w:rPr>
        <w:t xml:space="preserve"> </w:t>
      </w:r>
    </w:p>
    <w:p>
      <w:pPr>
        <w:pStyle w:val="Ednotesection"/>
      </w:pPr>
      <w:r>
        <w:t>[</w:t>
      </w:r>
      <w:r>
        <w:rPr>
          <w:b/>
        </w:rPr>
        <w:t>56.</w:t>
      </w:r>
      <w:r>
        <w:tab/>
        <w:t>Deleted</w:t>
      </w:r>
      <w:del w:id="312" w:author="svcMRProcess" w:date="2020-02-25T13:56:00Z">
        <w:r>
          <w:delText xml:space="preserve"> by</w:delText>
        </w:r>
      </w:del>
      <w:ins w:id="313" w:author="svcMRProcess" w:date="2020-02-25T13:56:00Z">
        <w:r>
          <w:t>:</w:t>
        </w:r>
      </w:ins>
      <w:r>
        <w:t xml:space="preserve"> No. 69 of 1982 s. 8.] </w:t>
      </w:r>
    </w:p>
    <w:p>
      <w:pPr>
        <w:pStyle w:val="Heading5"/>
        <w:rPr>
          <w:snapToGrid w:val="0"/>
        </w:rPr>
      </w:pPr>
      <w:bookmarkStart w:id="314" w:name="_Toc32401834"/>
      <w:bookmarkStart w:id="315" w:name="_Toc493603141"/>
      <w:r>
        <w:rPr>
          <w:rStyle w:val="CharSectno"/>
        </w:rPr>
        <w:t>57</w:t>
      </w:r>
      <w:r>
        <w:rPr>
          <w:snapToGrid w:val="0"/>
        </w:rPr>
        <w:t>.</w:t>
      </w:r>
      <w:r>
        <w:rPr>
          <w:snapToGrid w:val="0"/>
        </w:rPr>
        <w:tab/>
        <w:t>Invoices</w:t>
      </w:r>
      <w:bookmarkEnd w:id="314"/>
      <w:bookmarkEnd w:id="315"/>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ins w:id="316" w:author="svcMRProcess" w:date="2020-02-25T13:56:00Z">
        <w:r>
          <w:rPr>
            <w:snapToGrid w:val="0"/>
          </w:rPr>
          <w:t xml:space="preserve"> and</w:t>
        </w:r>
      </w:ins>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[Section 57 amended</w:t>
      </w:r>
      <w:del w:id="317" w:author="svcMRProcess" w:date="2020-02-25T13:56:00Z">
        <w:r>
          <w:delText xml:space="preserve"> by</w:delText>
        </w:r>
      </w:del>
      <w:ins w:id="318" w:author="svcMRProcess" w:date="2020-02-25T13:56:00Z">
        <w:r>
          <w:t>:</w:t>
        </w:r>
      </w:ins>
      <w:r>
        <w:t xml:space="preserve"> No. 69 of 1982 s. 9; No. 3 of 1995 s. 50 and 56; No. 9 of 1998 s. 23.] </w:t>
      </w:r>
    </w:p>
    <w:p>
      <w:pPr>
        <w:pStyle w:val="Heading5"/>
        <w:rPr>
          <w:snapToGrid w:val="0"/>
        </w:rPr>
      </w:pPr>
      <w:bookmarkStart w:id="319" w:name="_Toc32401835"/>
      <w:bookmarkStart w:id="320" w:name="_Toc493603142"/>
      <w:r>
        <w:rPr>
          <w:rStyle w:val="CharSectno"/>
        </w:rPr>
        <w:t>58</w:t>
      </w:r>
      <w:r>
        <w:rPr>
          <w:snapToGrid w:val="0"/>
        </w:rPr>
        <w:t>.</w:t>
      </w:r>
      <w:r>
        <w:rPr>
          <w:snapToGrid w:val="0"/>
        </w:rPr>
        <w:tab/>
        <w:t>Warranties</w:t>
      </w:r>
      <w:bookmarkEnd w:id="319"/>
      <w:bookmarkEnd w:id="32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[Section 58 amended</w:t>
      </w:r>
      <w:del w:id="321" w:author="svcMRProcess" w:date="2020-02-25T13:56:00Z">
        <w:r>
          <w:delText xml:space="preserve"> by</w:delText>
        </w:r>
      </w:del>
      <w:ins w:id="322" w:author="svcMRProcess" w:date="2020-02-25T13:56:00Z">
        <w:r>
          <w:t>:</w:t>
        </w:r>
      </w:ins>
      <w:r>
        <w:t xml:space="preserve"> No. 69 of 1982 s. 10; No. 3 of 1995 s. 51 and 56; No. 9 of 1998 s. 23.] </w:t>
      </w:r>
    </w:p>
    <w:p>
      <w:pPr>
        <w:pStyle w:val="Heading5"/>
        <w:rPr>
          <w:snapToGrid w:val="0"/>
        </w:rPr>
      </w:pPr>
      <w:bookmarkStart w:id="323" w:name="_Toc32401836"/>
      <w:bookmarkStart w:id="324" w:name="_Toc493603143"/>
      <w:r>
        <w:rPr>
          <w:rStyle w:val="CharSectno"/>
        </w:rPr>
        <w:t>59</w:t>
      </w:r>
      <w:r>
        <w:rPr>
          <w:snapToGrid w:val="0"/>
        </w:rPr>
        <w:t>.</w:t>
      </w:r>
      <w:r>
        <w:rPr>
          <w:snapToGrid w:val="0"/>
        </w:rPr>
        <w:tab/>
        <w:t>Breach of duty by seller is an offence</w:t>
      </w:r>
      <w:bookmarkEnd w:id="323"/>
      <w:bookmarkEnd w:id="32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[Section 59 amended</w:t>
      </w:r>
      <w:del w:id="325" w:author="svcMRProcess" w:date="2020-02-25T13:56:00Z">
        <w:r>
          <w:delText xml:space="preserve"> by</w:delText>
        </w:r>
      </w:del>
      <w:ins w:id="326" w:author="svcMRProcess" w:date="2020-02-25T13:56:00Z">
        <w:r>
          <w:t>:</w:t>
        </w:r>
      </w:ins>
      <w:r>
        <w:t xml:space="preserve"> No. 69 of 1982 s. 11; No. 3 of 1995 s. 52.] </w:t>
      </w:r>
    </w:p>
    <w:p>
      <w:pPr>
        <w:pStyle w:val="Heading2"/>
      </w:pPr>
      <w:bookmarkStart w:id="327" w:name="_Toc32401770"/>
      <w:bookmarkStart w:id="328" w:name="_Toc32401837"/>
      <w:bookmarkStart w:id="329" w:name="_Toc473106782"/>
      <w:bookmarkStart w:id="330" w:name="_Toc473298548"/>
      <w:bookmarkStart w:id="331" w:name="_Toc493591764"/>
      <w:bookmarkStart w:id="332" w:name="_Toc493603144"/>
      <w:r>
        <w:rPr>
          <w:rStyle w:val="CharPartNo"/>
        </w:rPr>
        <w:t>Part X</w:t>
      </w:r>
      <w:r>
        <w:rPr>
          <w:rStyle w:val="CharDivNo"/>
        </w:rPr>
        <w:t> </w:t>
      </w:r>
      <w:r>
        <w:t>—</w:t>
      </w:r>
      <w:r>
        <w:rPr>
          <w:rStyle w:val="CharDivText"/>
        </w:rPr>
        <w:t> </w:t>
      </w:r>
      <w:r>
        <w:rPr>
          <w:rStyle w:val="CharPartText"/>
        </w:rPr>
        <w:t>Miscellaneous and general</w:t>
      </w:r>
      <w:bookmarkEnd w:id="327"/>
      <w:bookmarkEnd w:id="328"/>
      <w:bookmarkEnd w:id="329"/>
      <w:bookmarkEnd w:id="330"/>
      <w:bookmarkEnd w:id="331"/>
      <w:bookmarkEnd w:id="332"/>
    </w:p>
    <w:p>
      <w:pPr>
        <w:pStyle w:val="Heading5"/>
        <w:rPr>
          <w:snapToGrid w:val="0"/>
        </w:rPr>
      </w:pPr>
      <w:bookmarkStart w:id="333" w:name="_Toc32401838"/>
      <w:bookmarkStart w:id="334" w:name="_Toc49360314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333"/>
      <w:bookmarkEnd w:id="33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[Section 59A inserted</w:t>
      </w:r>
      <w:del w:id="335" w:author="svcMRProcess" w:date="2020-02-25T13:56:00Z">
        <w:r>
          <w:delText xml:space="preserve"> by</w:delText>
        </w:r>
      </w:del>
      <w:ins w:id="336" w:author="svcMRProcess" w:date="2020-02-25T13:56:00Z">
        <w:r>
          <w:t>:</w:t>
        </w:r>
      </w:ins>
      <w:r>
        <w:t xml:space="preserve"> No. 98 of 1985 s. 3; amended</w:t>
      </w:r>
      <w:del w:id="337" w:author="svcMRProcess" w:date="2020-02-25T13:56:00Z">
        <w:r>
          <w:delText xml:space="preserve"> by</w:delText>
        </w:r>
      </w:del>
      <w:ins w:id="338" w:author="svcMRProcess" w:date="2020-02-25T13:56:00Z">
        <w:r>
          <w:t>:</w:t>
        </w:r>
      </w:ins>
      <w:r>
        <w:t xml:space="preserve"> No. 77 of 2006 </w:t>
      </w:r>
      <w:del w:id="339" w:author="svcMRProcess" w:date="2020-02-25T13:56:00Z">
        <w:r>
          <w:delText>s. 17</w:delText>
        </w:r>
      </w:del>
      <w:ins w:id="340" w:author="svcMRProcess" w:date="2020-02-25T13:56:00Z">
        <w:r>
          <w:t>Sch. 1 cl. 173</w:t>
        </w:r>
      </w:ins>
      <w:r>
        <w:t xml:space="preserve">.] </w:t>
      </w:r>
    </w:p>
    <w:p>
      <w:pPr>
        <w:pStyle w:val="Heading5"/>
        <w:rPr>
          <w:snapToGrid w:val="0"/>
        </w:rPr>
      </w:pPr>
      <w:bookmarkStart w:id="341" w:name="_Toc32401839"/>
      <w:bookmarkStart w:id="342" w:name="_Toc493603146"/>
      <w:r>
        <w:rPr>
          <w:rStyle w:val="CharSectno"/>
        </w:rPr>
        <w:t>60</w:t>
      </w:r>
      <w:r>
        <w:rPr>
          <w:snapToGrid w:val="0"/>
        </w:rPr>
        <w:t>.</w:t>
      </w:r>
      <w:r>
        <w:rPr>
          <w:snapToGrid w:val="0"/>
        </w:rPr>
        <w:tab/>
        <w:t>Persons obstructing execution of this Act</w:t>
      </w:r>
      <w:bookmarkEnd w:id="341"/>
      <w:bookmarkEnd w:id="3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[Section 60 amended</w:t>
      </w:r>
      <w:del w:id="343" w:author="svcMRProcess" w:date="2020-02-25T13:56:00Z">
        <w:r>
          <w:delText xml:space="preserve"> by</w:delText>
        </w:r>
      </w:del>
      <w:ins w:id="344" w:author="svcMRProcess" w:date="2020-02-25T13:56:00Z">
        <w:r>
          <w:t>:</w:t>
        </w:r>
      </w:ins>
      <w:r>
        <w:t xml:space="preserve"> No. 20 of 1993 s. 25; No. 74 of 2003 s. 124; No. 76 of 2004 s. 20.] </w:t>
      </w:r>
    </w:p>
    <w:p>
      <w:pPr>
        <w:pStyle w:val="Heading5"/>
        <w:rPr>
          <w:snapToGrid w:val="0"/>
        </w:rPr>
      </w:pPr>
      <w:bookmarkStart w:id="345" w:name="_Toc32401840"/>
      <w:bookmarkStart w:id="346" w:name="_Toc493603147"/>
      <w:r>
        <w:rPr>
          <w:rStyle w:val="CharSectno"/>
        </w:rPr>
        <w:t>61</w:t>
      </w:r>
      <w:r>
        <w:rPr>
          <w:snapToGrid w:val="0"/>
        </w:rPr>
        <w:t>.</w:t>
      </w:r>
      <w:r>
        <w:rPr>
          <w:snapToGrid w:val="0"/>
        </w:rPr>
        <w:tab/>
        <w:t>Vicarious liability</w:t>
      </w:r>
      <w:bookmarkEnd w:id="345"/>
      <w:bookmarkEnd w:id="34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[Section 61 amended</w:t>
      </w:r>
      <w:del w:id="347" w:author="svcMRProcess" w:date="2020-02-25T13:56:00Z">
        <w:r>
          <w:delText xml:space="preserve"> by</w:delText>
        </w:r>
      </w:del>
      <w:ins w:id="348" w:author="svcMRProcess" w:date="2020-02-25T13:56:00Z">
        <w:r>
          <w:t>:</w:t>
        </w:r>
      </w:ins>
      <w:r>
        <w:t xml:space="preserve"> No. 20 of 1993 s. 26; No. 3 of 1995 s. 53; No. 9 of 1998 s. 23; No. 76 of 2004 s. 21; No. 84 of 2004 s. 80.] </w:t>
      </w:r>
    </w:p>
    <w:p>
      <w:pPr>
        <w:pStyle w:val="Heading5"/>
        <w:rPr>
          <w:snapToGrid w:val="0"/>
        </w:rPr>
      </w:pPr>
      <w:bookmarkStart w:id="349" w:name="_Toc32401841"/>
      <w:bookmarkStart w:id="350" w:name="_Toc493603148"/>
      <w:r>
        <w:rPr>
          <w:rStyle w:val="CharSectno"/>
        </w:rPr>
        <w:t>62</w:t>
      </w:r>
      <w:r>
        <w:rPr>
          <w:snapToGrid w:val="0"/>
        </w:rPr>
        <w:t>.</w:t>
      </w:r>
      <w:r>
        <w:rPr>
          <w:snapToGrid w:val="0"/>
        </w:rPr>
        <w:tab/>
        <w:t>Forfeiture</w:t>
      </w:r>
      <w:bookmarkEnd w:id="349"/>
      <w:bookmarkEnd w:id="350"/>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[Section 62 amended</w:t>
      </w:r>
      <w:del w:id="351" w:author="svcMRProcess" w:date="2020-02-25T13:56:00Z">
        <w:r>
          <w:delText xml:space="preserve"> by</w:delText>
        </w:r>
      </w:del>
      <w:ins w:id="352" w:author="svcMRProcess" w:date="2020-02-25T13:56:00Z">
        <w:r>
          <w:t>:</w:t>
        </w:r>
      </w:ins>
      <w:r>
        <w:t xml:space="preserve"> No. 20 of 1993 s. 27; No. 3 of 1995 s. 56; No. 76 of 2004 s. 22; No. 84 of 2004 s. 82.] </w:t>
      </w:r>
    </w:p>
    <w:p>
      <w:pPr>
        <w:pStyle w:val="Heading5"/>
        <w:rPr>
          <w:snapToGrid w:val="0"/>
        </w:rPr>
      </w:pPr>
      <w:bookmarkStart w:id="353" w:name="_Toc32401842"/>
      <w:bookmarkStart w:id="354" w:name="_Toc493603149"/>
      <w:r>
        <w:rPr>
          <w:rStyle w:val="CharSectno"/>
        </w:rPr>
        <w:t>63</w:t>
      </w:r>
      <w:r>
        <w:rPr>
          <w:snapToGrid w:val="0"/>
        </w:rPr>
        <w:t>.</w:t>
      </w:r>
      <w:r>
        <w:rPr>
          <w:snapToGrid w:val="0"/>
        </w:rPr>
        <w:tab/>
        <w:t>Offences and penalties</w:t>
      </w:r>
      <w:bookmarkEnd w:id="353"/>
      <w:bookmarkEnd w:id="354"/>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ins w:id="355" w:author="svcMRProcess" w:date="2020-02-25T13:56:00Z"/>
          <w:snapToGrid w:val="0"/>
        </w:rPr>
      </w:pPr>
      <w:ins w:id="356" w:author="svcMRProcess" w:date="2020-02-25T13:56:00Z">
        <w:r>
          <w:rPr>
            <w:snapToGrid w:val="0"/>
          </w:rPr>
          <w:tab/>
        </w:r>
        <w:r>
          <w:rPr>
            <w:snapToGrid w:val="0"/>
          </w:rPr>
          <w:tab/>
          <w:t>and</w:t>
        </w:r>
      </w:ins>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[Section 63 amended</w:t>
      </w:r>
      <w:del w:id="357" w:author="svcMRProcess" w:date="2020-02-25T13:56:00Z">
        <w:r>
          <w:delText xml:space="preserve"> by</w:delText>
        </w:r>
      </w:del>
      <w:ins w:id="358" w:author="svcMRProcess" w:date="2020-02-25T13:56:00Z">
        <w:r>
          <w:t>:</w:t>
        </w:r>
      </w:ins>
      <w:r>
        <w:t xml:space="preserve"> No. 20 of 1989 s. 3; No. 78 of 1995 s. 147.] </w:t>
      </w:r>
    </w:p>
    <w:p>
      <w:pPr>
        <w:pStyle w:val="Heading5"/>
        <w:rPr>
          <w:snapToGrid w:val="0"/>
        </w:rPr>
      </w:pPr>
      <w:bookmarkStart w:id="359" w:name="_Toc32401843"/>
      <w:bookmarkStart w:id="360" w:name="_Toc493603150"/>
      <w:r>
        <w:rPr>
          <w:rStyle w:val="CharSectno"/>
        </w:rPr>
        <w:t>64</w:t>
      </w:r>
      <w:r>
        <w:rPr>
          <w:snapToGrid w:val="0"/>
        </w:rPr>
        <w:t>.</w:t>
      </w:r>
      <w:r>
        <w:rPr>
          <w:snapToGrid w:val="0"/>
        </w:rPr>
        <w:tab/>
        <w:t>Proceedings for offences</w:t>
      </w:r>
      <w:bookmarkEnd w:id="359"/>
      <w:bookmarkEnd w:id="36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w:t>
      </w:r>
      <w:del w:id="361" w:author="svcMRProcess" w:date="2020-02-25T13:56:00Z">
        <w:r>
          <w:delText xml:space="preserve"> by</w:delText>
        </w:r>
      </w:del>
      <w:ins w:id="362" w:author="svcMRProcess" w:date="2020-02-25T13:56:00Z">
        <w:r>
          <w:t>:</w:t>
        </w:r>
      </w:ins>
      <w:r>
        <w:t xml:space="preserve"> No. 59 of 2004 s. 141; No. 76 of 2004 s. 23; No. 84 of 2004 s. 78.]</w:t>
      </w:r>
    </w:p>
    <w:p>
      <w:pPr>
        <w:pStyle w:val="Heading5"/>
        <w:rPr>
          <w:snapToGrid w:val="0"/>
        </w:rPr>
      </w:pPr>
      <w:bookmarkStart w:id="363" w:name="_Toc32401844"/>
      <w:bookmarkStart w:id="364" w:name="_Toc493603151"/>
      <w:r>
        <w:rPr>
          <w:rStyle w:val="CharSectno"/>
        </w:rPr>
        <w:t>65</w:t>
      </w:r>
      <w:r>
        <w:rPr>
          <w:snapToGrid w:val="0"/>
        </w:rPr>
        <w:t>.</w:t>
      </w:r>
      <w:r>
        <w:rPr>
          <w:snapToGrid w:val="0"/>
        </w:rPr>
        <w:tab/>
        <w:t>Evidence of qualifications</w:t>
      </w:r>
      <w:bookmarkEnd w:id="363"/>
      <w:bookmarkEnd w:id="36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[Section 65 amended</w:t>
      </w:r>
      <w:del w:id="365" w:author="svcMRProcess" w:date="2020-02-25T13:56:00Z">
        <w:r>
          <w:delText xml:space="preserve"> by</w:delText>
        </w:r>
      </w:del>
      <w:ins w:id="366" w:author="svcMRProcess" w:date="2020-02-25T13:56:00Z">
        <w:r>
          <w:t>:</w:t>
        </w:r>
      </w:ins>
      <w:r>
        <w:t xml:space="preserve"> No. 69 of 1982 s. 12; No. 20 of 1993 s. 28; No. 3 of 1995 s. 56; No. 9 of 1998 s. 23; No. 76 of 2004 s. 24; No. 84 of 2004 s. 82; No. 35 of 2010 s. 160.] </w:t>
      </w:r>
    </w:p>
    <w:p>
      <w:pPr>
        <w:pStyle w:val="Heading5"/>
        <w:rPr>
          <w:snapToGrid w:val="0"/>
        </w:rPr>
      </w:pPr>
      <w:bookmarkStart w:id="367" w:name="_Toc32401845"/>
      <w:bookmarkStart w:id="368" w:name="_Toc493603152"/>
      <w:r>
        <w:rPr>
          <w:rStyle w:val="CharSectno"/>
        </w:rPr>
        <w:t>66</w:t>
      </w:r>
      <w:r>
        <w:rPr>
          <w:snapToGrid w:val="0"/>
        </w:rPr>
        <w:t>.</w:t>
      </w:r>
      <w:r>
        <w:rPr>
          <w:snapToGrid w:val="0"/>
        </w:rPr>
        <w:tab/>
        <w:t>Onus of proof</w:t>
      </w:r>
      <w:bookmarkEnd w:id="367"/>
      <w:bookmarkEnd w:id="36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[Section 66 amended</w:t>
      </w:r>
      <w:del w:id="369" w:author="svcMRProcess" w:date="2020-02-25T13:56:00Z">
        <w:r>
          <w:delText xml:space="preserve"> by</w:delText>
        </w:r>
      </w:del>
      <w:ins w:id="370" w:author="svcMRProcess" w:date="2020-02-25T13:56:00Z">
        <w:r>
          <w:t>:</w:t>
        </w:r>
      </w:ins>
      <w:r>
        <w:t xml:space="preserve"> No. 20 of 1993 s. 29; No. 3 of 1995 s. 54; No. 76 of 2004 s. 25; No. 84 of 2004 s. 82.] </w:t>
      </w:r>
    </w:p>
    <w:p>
      <w:pPr>
        <w:pStyle w:val="Heading5"/>
        <w:rPr>
          <w:snapToGrid w:val="0"/>
        </w:rPr>
      </w:pPr>
      <w:bookmarkStart w:id="371" w:name="_Toc32401846"/>
      <w:bookmarkStart w:id="372" w:name="_Toc493603153"/>
      <w:r>
        <w:rPr>
          <w:rStyle w:val="CharSectno"/>
        </w:rPr>
        <w:t>67</w:t>
      </w:r>
      <w:r>
        <w:rPr>
          <w:snapToGrid w:val="0"/>
        </w:rPr>
        <w:t>.</w:t>
      </w:r>
      <w:r>
        <w:rPr>
          <w:snapToGrid w:val="0"/>
        </w:rPr>
        <w:tab/>
        <w:t>Protection from liability</w:t>
      </w:r>
      <w:bookmarkEnd w:id="371"/>
      <w:bookmarkEnd w:id="372"/>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w:t>
      </w:r>
      <w:del w:id="373" w:author="svcMRProcess" w:date="2020-02-25T13:56:00Z">
        <w:r>
          <w:delText xml:space="preserve"> by</w:delText>
        </w:r>
      </w:del>
      <w:ins w:id="374" w:author="svcMRProcess" w:date="2020-02-25T13:56:00Z">
        <w:r>
          <w:t>:</w:t>
        </w:r>
      </w:ins>
      <w:r>
        <w:t xml:space="preserve"> No. 9 of 1998 s. 23; No. 42 of 1999 s. 11.]</w:t>
      </w:r>
    </w:p>
    <w:p>
      <w:pPr>
        <w:pStyle w:val="Heading5"/>
        <w:rPr>
          <w:snapToGrid w:val="0"/>
        </w:rPr>
      </w:pPr>
      <w:bookmarkStart w:id="375" w:name="_Toc32401847"/>
      <w:bookmarkStart w:id="376" w:name="_Toc493603154"/>
      <w:r>
        <w:rPr>
          <w:rStyle w:val="CharSectno"/>
        </w:rPr>
        <w:t>68</w:t>
      </w:r>
      <w:r>
        <w:rPr>
          <w:snapToGrid w:val="0"/>
        </w:rPr>
        <w:t>.</w:t>
      </w:r>
      <w:r>
        <w:rPr>
          <w:snapToGrid w:val="0"/>
        </w:rPr>
        <w:tab/>
        <w:t>Regulations</w:t>
      </w:r>
      <w:bookmarkEnd w:id="375"/>
      <w:bookmarkEnd w:id="37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ins w:id="377" w:author="svcMRProcess" w:date="2020-02-25T13:56:00Z">
        <w:r>
          <w:rPr>
            <w:snapToGrid w:val="0"/>
          </w:rPr>
          <w:t xml:space="preserve"> and</w:t>
        </w:r>
      </w:ins>
    </w:p>
    <w:p>
      <w:pPr>
        <w:pStyle w:val="Indenta"/>
      </w:pPr>
      <w:r>
        <w:tab/>
        <w:t>(aa)</w:t>
      </w:r>
      <w:r>
        <w:tab/>
        <w:t>the matters referred to in sections 15 and 16;</w:t>
      </w:r>
      <w:ins w:id="378" w:author="svcMRProcess" w:date="2020-02-25T13:56:00Z">
        <w:r>
          <w:rPr>
            <w:snapToGrid w:val="0"/>
          </w:rPr>
          <w:t xml:space="preserve"> and</w:t>
        </w:r>
      </w:ins>
    </w:p>
    <w:p>
      <w:pPr>
        <w:pStyle w:val="Indenta"/>
        <w:rPr>
          <w:snapToGrid w:val="0"/>
        </w:rPr>
      </w:pPr>
      <w:r>
        <w:rPr>
          <w:snapToGrid w:val="0"/>
        </w:rPr>
        <w:tab/>
        <w:t>(b)</w:t>
      </w:r>
      <w:r>
        <w:rPr>
          <w:snapToGrid w:val="0"/>
        </w:rPr>
        <w:tab/>
        <w:t>the conditions, restrictions and limitations to be imposed on any grant;</w:t>
      </w:r>
      <w:ins w:id="379" w:author="svcMRProcess" w:date="2020-02-25T13:56:00Z">
        <w:r>
          <w:rPr>
            <w:snapToGrid w:val="0"/>
          </w:rPr>
          <w:t xml:space="preserve"> and</w:t>
        </w:r>
      </w:ins>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ins w:id="380" w:author="svcMRProcess" w:date="2020-02-25T13:56:00Z">
        <w:r>
          <w:rPr>
            <w:snapToGrid w:val="0"/>
          </w:rPr>
          <w:t xml:space="preserve"> and</w:t>
        </w:r>
      </w:ins>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ins w:id="381" w:author="svcMRProcess" w:date="2020-02-25T13:56:00Z">
        <w:r>
          <w:rPr>
            <w:snapToGrid w:val="0"/>
          </w:rPr>
          <w:t xml:space="preserve"> and</w:t>
        </w:r>
      </w:ins>
    </w:p>
    <w:p>
      <w:pPr>
        <w:pStyle w:val="Indenta"/>
        <w:rPr>
          <w:snapToGrid w:val="0"/>
        </w:rPr>
      </w:pPr>
      <w:r>
        <w:rPr>
          <w:snapToGrid w:val="0"/>
        </w:rPr>
        <w:tab/>
        <w:t>(h)</w:t>
      </w:r>
      <w:r>
        <w:rPr>
          <w:snapToGrid w:val="0"/>
        </w:rPr>
        <w:tab/>
        <w:t>the accounts and returns to be kept and furnished by wholesalers, salesmen, and others for the purposes of this Act;</w:t>
      </w:r>
      <w:ins w:id="382" w:author="svcMRProcess" w:date="2020-02-25T13:56:00Z">
        <w:r>
          <w:rPr>
            <w:snapToGrid w:val="0"/>
          </w:rPr>
          <w:t xml:space="preserve"> and</w:t>
        </w:r>
      </w:ins>
    </w:p>
    <w:p>
      <w:pPr>
        <w:pStyle w:val="Indenta"/>
        <w:rPr>
          <w:snapToGrid w:val="0"/>
        </w:rPr>
      </w:pPr>
      <w:r>
        <w:rPr>
          <w:snapToGrid w:val="0"/>
        </w:rPr>
        <w:tab/>
        <w:t>(i)</w:t>
      </w:r>
      <w:r>
        <w:rPr>
          <w:snapToGrid w:val="0"/>
        </w:rPr>
        <w:tab/>
        <w:t>controlling the sale of specified products for specified purposes;</w:t>
      </w:r>
      <w:ins w:id="383" w:author="svcMRProcess" w:date="2020-02-25T13:56:00Z">
        <w:r>
          <w:rPr>
            <w:snapToGrid w:val="0"/>
          </w:rPr>
          <w:t xml:space="preserve"> and</w:t>
        </w:r>
      </w:ins>
    </w:p>
    <w:p>
      <w:pPr>
        <w:pStyle w:val="Indenta"/>
        <w:rPr>
          <w:snapToGrid w:val="0"/>
        </w:rPr>
      </w:pPr>
      <w:r>
        <w:rPr>
          <w:snapToGrid w:val="0"/>
        </w:rPr>
        <w:tab/>
        <w:t>(j)</w:t>
      </w:r>
      <w:r>
        <w:rPr>
          <w:snapToGrid w:val="0"/>
        </w:rPr>
        <w:tab/>
        <w:t>controlling the matters included in directions and recommendations for the use of specified products;</w:t>
      </w:r>
      <w:ins w:id="384" w:author="svcMRProcess" w:date="2020-02-25T13:56:00Z">
        <w:r>
          <w:rPr>
            <w:snapToGrid w:val="0"/>
          </w:rPr>
          <w:t xml:space="preserve"> and</w:t>
        </w:r>
      </w:ins>
    </w:p>
    <w:p>
      <w:pPr>
        <w:pStyle w:val="Indenta"/>
        <w:rPr>
          <w:snapToGrid w:val="0"/>
        </w:rPr>
      </w:pPr>
      <w:r>
        <w:rPr>
          <w:snapToGrid w:val="0"/>
        </w:rPr>
        <w:tab/>
        <w:t>(k)</w:t>
      </w:r>
      <w:r>
        <w:rPr>
          <w:snapToGrid w:val="0"/>
        </w:rPr>
        <w:tab/>
        <w:t>the names that may or may not be used with reference to specified substances for the purposes of this Act;</w:t>
      </w:r>
      <w:ins w:id="385" w:author="svcMRProcess" w:date="2020-02-25T13:56:00Z">
        <w:r>
          <w:rPr>
            <w:snapToGrid w:val="0"/>
          </w:rPr>
          <w:t xml:space="preserve"> and</w:t>
        </w:r>
      </w:ins>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ins w:id="386" w:author="svcMRProcess" w:date="2020-02-25T13:56:00Z">
        <w:r>
          <w:rPr>
            <w:snapToGrid w:val="0"/>
          </w:rPr>
          <w:t xml:space="preserve"> and</w:t>
        </w:r>
      </w:ins>
    </w:p>
    <w:p>
      <w:pPr>
        <w:pStyle w:val="Indenta"/>
        <w:rPr>
          <w:snapToGrid w:val="0"/>
        </w:rPr>
      </w:pPr>
      <w:r>
        <w:rPr>
          <w:snapToGrid w:val="0"/>
        </w:rPr>
        <w:tab/>
        <w:t>(m)</w:t>
      </w:r>
      <w:r>
        <w:rPr>
          <w:snapToGrid w:val="0"/>
        </w:rPr>
        <w:tab/>
        <w:t>the investigation as to the efficacy of products or ingredients;</w:t>
      </w:r>
      <w:ins w:id="387" w:author="svcMRProcess" w:date="2020-02-25T13:56:00Z">
        <w:r>
          <w:rPr>
            <w:snapToGrid w:val="0"/>
          </w:rPr>
          <w:t xml:space="preserve"> and</w:t>
        </w:r>
      </w:ins>
    </w:p>
    <w:p>
      <w:pPr>
        <w:pStyle w:val="Indenta"/>
        <w:rPr>
          <w:snapToGrid w:val="0"/>
        </w:rPr>
      </w:pPr>
      <w:r>
        <w:rPr>
          <w:snapToGrid w:val="0"/>
        </w:rPr>
        <w:tab/>
        <w:t>(n)</w:t>
      </w:r>
      <w:r>
        <w:rPr>
          <w:snapToGrid w:val="0"/>
        </w:rPr>
        <w:tab/>
        <w:t>the taking of samples by inspectors and purchasers;</w:t>
      </w:r>
      <w:ins w:id="388" w:author="svcMRProcess" w:date="2020-02-25T13:56:00Z">
        <w:r>
          <w:rPr>
            <w:snapToGrid w:val="0"/>
          </w:rPr>
          <w:t xml:space="preserve"> and</w:t>
        </w:r>
      </w:ins>
    </w:p>
    <w:p>
      <w:pPr>
        <w:pStyle w:val="Indenta"/>
        <w:rPr>
          <w:snapToGrid w:val="0"/>
        </w:rPr>
      </w:pPr>
      <w:r>
        <w:rPr>
          <w:snapToGrid w:val="0"/>
        </w:rPr>
        <w:tab/>
        <w:t>(o)</w:t>
      </w:r>
      <w:r>
        <w:rPr>
          <w:snapToGrid w:val="0"/>
        </w:rPr>
        <w:tab/>
        <w:t>the conduct and methods of analysis;</w:t>
      </w:r>
      <w:ins w:id="389" w:author="svcMRProcess" w:date="2020-02-25T13:56:00Z">
        <w:r>
          <w:rPr>
            <w:snapToGrid w:val="0"/>
          </w:rPr>
          <w:t xml:space="preserve"> and</w:t>
        </w:r>
      </w:ins>
    </w:p>
    <w:p>
      <w:pPr>
        <w:pStyle w:val="Indenta"/>
        <w:rPr>
          <w:snapToGrid w:val="0"/>
        </w:rPr>
      </w:pPr>
      <w:r>
        <w:rPr>
          <w:snapToGrid w:val="0"/>
        </w:rPr>
        <w:tab/>
        <w:t>(p)</w:t>
      </w:r>
      <w:r>
        <w:rPr>
          <w:snapToGrid w:val="0"/>
        </w:rPr>
        <w:tab/>
        <w:t>methods of treatment, processing and storage of products or ingredients;</w:t>
      </w:r>
      <w:ins w:id="390" w:author="svcMRProcess" w:date="2020-02-25T13:56:00Z">
        <w:r>
          <w:rPr>
            <w:snapToGrid w:val="0"/>
          </w:rPr>
          <w:t xml:space="preserve"> and</w:t>
        </w:r>
      </w:ins>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ins w:id="391" w:author="svcMRProcess" w:date="2020-02-25T13:56:00Z">
        <w:r>
          <w:rPr>
            <w:snapToGrid w:val="0"/>
          </w:rPr>
          <w:t xml:space="preserve"> and</w:t>
        </w:r>
      </w:ins>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ins w:id="392" w:author="svcMRProcess" w:date="2020-02-25T13:56:00Z">
        <w:r>
          <w:rPr>
            <w:snapToGrid w:val="0"/>
          </w:rPr>
          <w:t xml:space="preserve"> and</w:t>
        </w:r>
      </w:ins>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ins w:id="393" w:author="svcMRProcess" w:date="2020-02-25T13:56:00Z">
        <w:r>
          <w:rPr>
            <w:snapToGrid w:val="0"/>
          </w:rPr>
          <w:t xml:space="preserve"> and</w:t>
        </w:r>
      </w:ins>
    </w:p>
    <w:p>
      <w:pPr>
        <w:pStyle w:val="Indenta"/>
        <w:rPr>
          <w:snapToGrid w:val="0"/>
        </w:rPr>
      </w:pPr>
      <w:r>
        <w:rPr>
          <w:snapToGrid w:val="0"/>
        </w:rPr>
        <w:tab/>
        <w:t>(t)</w:t>
      </w:r>
      <w:r>
        <w:rPr>
          <w:snapToGrid w:val="0"/>
        </w:rPr>
        <w:tab/>
        <w:t>the definition of terms for the purposes of this Act including the use of chemical and physical expressions;</w:t>
      </w:r>
      <w:ins w:id="394" w:author="svcMRProcess" w:date="2020-02-25T13:56:00Z">
        <w:r>
          <w:rPr>
            <w:snapToGrid w:val="0"/>
          </w:rPr>
          <w:t xml:space="preserve"> and</w:t>
        </w:r>
      </w:ins>
    </w:p>
    <w:p>
      <w:pPr>
        <w:pStyle w:val="Indenta"/>
        <w:rPr>
          <w:snapToGrid w:val="0"/>
        </w:rPr>
      </w:pPr>
      <w:r>
        <w:rPr>
          <w:snapToGrid w:val="0"/>
        </w:rPr>
        <w:tab/>
        <w:t>(u)</w:t>
      </w:r>
      <w:r>
        <w:rPr>
          <w:snapToGrid w:val="0"/>
        </w:rPr>
        <w:tab/>
        <w:t>the manner in which animal feeding stuffs are held or stored for the purposes of sale;</w:t>
      </w:r>
      <w:ins w:id="395" w:author="svcMRProcess" w:date="2020-02-25T13:56:00Z">
        <w:r>
          <w:rPr>
            <w:snapToGrid w:val="0"/>
          </w:rPr>
          <w:t xml:space="preserve"> and</w:t>
        </w:r>
      </w:ins>
    </w:p>
    <w:p>
      <w:pPr>
        <w:pStyle w:val="Indenta"/>
        <w:rPr>
          <w:snapToGrid w:val="0"/>
        </w:rPr>
      </w:pPr>
      <w:r>
        <w:rPr>
          <w:snapToGrid w:val="0"/>
        </w:rPr>
        <w:tab/>
        <w:t>(v)</w:t>
      </w:r>
      <w:r>
        <w:rPr>
          <w:snapToGrid w:val="0"/>
        </w:rPr>
        <w:tab/>
        <w:t>the use of premises for the production of animal feeding stuffs for the purposes of sale;</w:t>
      </w:r>
      <w:ins w:id="396" w:author="svcMRProcess" w:date="2020-02-25T13:56:00Z">
        <w:r>
          <w:rPr>
            <w:snapToGrid w:val="0"/>
          </w:rPr>
          <w:t xml:space="preserve"> and</w:t>
        </w:r>
      </w:ins>
    </w:p>
    <w:p>
      <w:pPr>
        <w:pStyle w:val="Indenta"/>
        <w:rPr>
          <w:snapToGrid w:val="0"/>
        </w:rPr>
      </w:pPr>
      <w:r>
        <w:rPr>
          <w:snapToGrid w:val="0"/>
        </w:rPr>
        <w:tab/>
        <w:t>(w)</w:t>
      </w:r>
      <w:r>
        <w:rPr>
          <w:snapToGrid w:val="0"/>
        </w:rPr>
        <w:tab/>
        <w:t>the sale and use of products the residues of which may have deleterious effects if consumed by humans;</w:t>
      </w:r>
      <w:ins w:id="397" w:author="svcMRProcess" w:date="2020-02-25T13:56:00Z">
        <w:r>
          <w:rPr>
            <w:snapToGrid w:val="0"/>
          </w:rPr>
          <w:t xml:space="preserve"> and</w:t>
        </w:r>
      </w:ins>
    </w:p>
    <w:p>
      <w:pPr>
        <w:pStyle w:val="Indenta"/>
        <w:rPr>
          <w:snapToGrid w:val="0"/>
        </w:rPr>
      </w:pPr>
      <w:r>
        <w:rPr>
          <w:snapToGrid w:val="0"/>
        </w:rPr>
        <w:tab/>
        <w:t>(x)</w:t>
      </w:r>
      <w:r>
        <w:rPr>
          <w:snapToGrid w:val="0"/>
        </w:rPr>
        <w:tab/>
        <w:t>the disposal of any substance or thing seized or forfeited pursuant to the provisions of this Act;</w:t>
      </w:r>
      <w:ins w:id="398" w:author="svcMRProcess" w:date="2020-02-25T13:56:00Z">
        <w:r>
          <w:rPr>
            <w:snapToGrid w:val="0"/>
          </w:rPr>
          <w:t xml:space="preserve"> and</w:t>
        </w:r>
      </w:ins>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[Section 68 amended</w:t>
      </w:r>
      <w:del w:id="399" w:author="svcMRProcess" w:date="2020-02-25T13:56:00Z">
        <w:r>
          <w:delText xml:space="preserve"> by</w:delText>
        </w:r>
      </w:del>
      <w:ins w:id="400" w:author="svcMRProcess" w:date="2020-02-25T13:56:00Z">
        <w:r>
          <w:t>:</w:t>
        </w:r>
      </w:ins>
      <w:r>
        <w:t xml:space="preserve">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rPr>
          <w:ins w:id="401" w:author="svcMRProcess" w:date="2020-02-25T13:56:00Z"/>
        </w:rPr>
      </w:pPr>
      <w:ins w:id="402" w:author="svcMRProcess" w:date="2020-02-25T13:5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403" w:author="svcMRProcess" w:date="2020-02-25T13:56: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04" w:name="_Toc32401781"/>
      <w:bookmarkStart w:id="405" w:name="_Toc32401848"/>
      <w:bookmarkStart w:id="406" w:name="_Toc473106793"/>
      <w:bookmarkStart w:id="407" w:name="_Toc473298559"/>
      <w:bookmarkStart w:id="408" w:name="_Toc493591775"/>
      <w:bookmarkStart w:id="409" w:name="_Toc493603155"/>
      <w:r>
        <w:t>Notes</w:t>
      </w:r>
      <w:bookmarkEnd w:id="404"/>
      <w:bookmarkEnd w:id="405"/>
      <w:bookmarkEnd w:id="406"/>
      <w:bookmarkEnd w:id="407"/>
      <w:bookmarkEnd w:id="408"/>
      <w:bookmarkEnd w:id="409"/>
    </w:p>
    <w:p>
      <w:pPr>
        <w:pStyle w:val="nStatement"/>
      </w:pPr>
      <w:del w:id="410" w:author="svcMRProcess" w:date="2020-02-25T13:56:00Z">
        <w:r>
          <w:rPr>
            <w:snapToGrid w:val="0"/>
            <w:vertAlign w:val="superscript"/>
          </w:rPr>
          <w:delText>1</w:delText>
        </w:r>
        <w:r>
          <w:rPr>
            <w:snapToGrid w:val="0"/>
          </w:rPr>
          <w:tab/>
        </w:r>
      </w:del>
      <w:r>
        <w:t xml:space="preserve">This is a compilation of the </w:t>
      </w:r>
      <w:r>
        <w:rPr>
          <w:i/>
          <w:noProof/>
        </w:rPr>
        <w:t>Veterinary Chemical Control and Animal Feeding Stuffs Act</w:t>
      </w:r>
      <w:del w:id="411" w:author="svcMRProcess" w:date="2020-02-25T13:56:00Z">
        <w:r>
          <w:rPr>
            <w:i/>
            <w:noProof/>
            <w:snapToGrid w:val="0"/>
          </w:rPr>
          <w:delText xml:space="preserve"> </w:delText>
        </w:r>
      </w:del>
      <w:ins w:id="412" w:author="svcMRProcess" w:date="2020-02-25T13:56:00Z">
        <w:r>
          <w:rPr>
            <w:i/>
            <w:noProof/>
          </w:rPr>
          <w:t> </w:t>
        </w:r>
      </w:ins>
      <w:r>
        <w:rPr>
          <w:i/>
          <w:noProof/>
        </w:rPr>
        <w:t>1976</w:t>
      </w:r>
      <w:r>
        <w:t xml:space="preserve"> and includes </w:t>
      </w:r>
      <w:del w:id="413" w:author="svcMRProcess" w:date="2020-02-25T13:56:00Z">
        <w:r>
          <w:rPr>
            <w:snapToGrid w:val="0"/>
          </w:rPr>
          <w:delText xml:space="preserve">the </w:delText>
        </w:r>
      </w:del>
      <w:r>
        <w:t xml:space="preserve">amendments made by </w:t>
      </w:r>
      <w:del w:id="414" w:author="svcMRProcess" w:date="2020-02-25T13:56:00Z">
        <w:r>
          <w:rPr>
            <w:snapToGrid w:val="0"/>
          </w:rPr>
          <w:delText xml:space="preserve">the </w:delText>
        </w:r>
      </w:del>
      <w:r>
        <w:t>other written laws</w:t>
      </w:r>
      <w:del w:id="415" w:author="svcMRProcess" w:date="2020-02-25T13:56:00Z">
        <w:r>
          <w:rPr>
            <w:snapToGrid w:val="0"/>
          </w:rPr>
          <w:delText xml:space="preserve"> referred to in the following table</w:delText>
        </w:r>
        <w:r>
          <w:rPr>
            <w:snapToGrid w:val="0"/>
            <w:vertAlign w:val="superscript"/>
          </w:rPr>
          <w:delText> 1a</w:delText>
        </w:r>
        <w:r>
          <w:rPr>
            <w:snapToGrid w:val="0"/>
          </w:rPr>
          <w:delText>.  The table also contains</w:delText>
        </w:r>
      </w:del>
      <w:ins w:id="416" w:author="svcMRProcess" w:date="2020-02-25T13:56:00Z">
        <w:r>
          <w:t>. For provisions that have come into operation, and for</w:t>
        </w:r>
      </w:ins>
      <w:r>
        <w:t xml:space="preserve"> information about any </w:t>
      </w:r>
      <w:del w:id="417" w:author="svcMRProcess" w:date="2020-02-25T13:56:00Z">
        <w:r>
          <w:rPr>
            <w:snapToGrid w:val="0"/>
          </w:rPr>
          <w:delText>reprint</w:delText>
        </w:r>
      </w:del>
      <w:ins w:id="418" w:author="svcMRProcess" w:date="2020-02-25T13:56:00Z">
        <w:r>
          <w:t>reprints, see the compilation table. For provisions that have not yet come into operation see the uncommenced provisions table</w:t>
        </w:r>
      </w:ins>
      <w:r>
        <w:t>.</w:t>
      </w:r>
    </w:p>
    <w:p>
      <w:pPr>
        <w:pStyle w:val="nHeading3"/>
      </w:pPr>
      <w:bookmarkStart w:id="419" w:name="_Toc32401849"/>
      <w:bookmarkStart w:id="420" w:name="_Toc493603156"/>
      <w:r>
        <w:t>Compilation table</w:t>
      </w:r>
      <w:bookmarkEnd w:id="419"/>
      <w:bookmarkEnd w:id="420"/>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w:t>
            </w:r>
            <w:del w:id="421" w:author="svcMRProcess" w:date="2020-02-25T13:56:00Z">
              <w:r>
                <w:rPr>
                  <w:i/>
                </w:rPr>
                <w:delText>1976</w:delText>
              </w:r>
              <w:r>
                <w:rPr>
                  <w:vertAlign w:val="superscript"/>
                </w:rPr>
                <w:delText>2</w:delText>
              </w:r>
            </w:del>
            <w:ins w:id="422" w:author="svcMRProcess" w:date="2020-02-25T13:56:00Z">
              <w:r>
                <w:rPr>
                  <w:i/>
                </w:rPr>
                <w:t>1976 </w:t>
              </w:r>
              <w:r>
                <w:rPr>
                  <w:vertAlign w:val="superscript"/>
                </w:rPr>
                <w:t>1</w:t>
              </w:r>
            </w:ins>
          </w:p>
        </w:tc>
        <w:tc>
          <w:tcPr>
            <w:tcW w:w="1134" w:type="dxa"/>
          </w:tcPr>
          <w:p>
            <w:pPr>
              <w:pStyle w:val="nTable"/>
              <w:spacing w:after="40"/>
            </w:pPr>
            <w:r>
              <w:t>56 of 1976</w:t>
            </w:r>
          </w:p>
        </w:tc>
        <w:tc>
          <w:tcPr>
            <w:tcW w:w="1136"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6"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6"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w:t>
            </w:r>
            <w:del w:id="423" w:author="svcMRProcess" w:date="2020-02-25T13:56:00Z">
              <w:r>
                <w:rPr>
                  <w:vertAlign w:val="superscript"/>
                </w:rPr>
                <w:delText>3</w:delText>
              </w:r>
            </w:del>
            <w:ins w:id="424" w:author="svcMRProcess" w:date="2020-02-25T13:56:00Z">
              <w:r>
                <w:rPr>
                  <w:vertAlign w:val="superscript"/>
                </w:rPr>
                <w:t>2</w:t>
              </w:r>
            </w:ins>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6" w:type="dxa"/>
          </w:tcPr>
          <w:p>
            <w:pPr>
              <w:pStyle w:val="nTable"/>
              <w:spacing w:after="40"/>
            </w:pPr>
            <w:r>
              <w:t>9 Dec 1993</w:t>
            </w:r>
          </w:p>
        </w:tc>
        <w:tc>
          <w:tcPr>
            <w:tcW w:w="2551" w:type="dxa"/>
          </w:tcPr>
          <w:p>
            <w:pPr>
              <w:pStyle w:val="nTable"/>
              <w:spacing w:after="40"/>
            </w:pPr>
            <w:ins w:id="425" w:author="svcMRProcess" w:date="2020-02-25T13:56:00Z">
              <w:r>
                <w:t>s. 1 and 2: 9 Dec 1993;</w:t>
              </w:r>
              <w:r>
                <w:br/>
                <w:t xml:space="preserve">Act other than s. 1 and 2: </w:t>
              </w:r>
            </w:ins>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6"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w:t>
            </w:r>
            <w:del w:id="426" w:author="svcMRProcess" w:date="2020-02-25T13:56:00Z">
              <w:r>
                <w:rPr>
                  <w:vertAlign w:val="superscript"/>
                </w:rPr>
                <w:delText>4</w:delText>
              </w:r>
            </w:del>
            <w:ins w:id="427" w:author="svcMRProcess" w:date="2020-02-25T13:56:00Z">
              <w:r>
                <w:rPr>
                  <w:vertAlign w:val="superscript"/>
                </w:rPr>
                <w:t>3</w:t>
              </w:r>
            </w:ins>
          </w:p>
        </w:tc>
        <w:tc>
          <w:tcPr>
            <w:tcW w:w="1134" w:type="dxa"/>
          </w:tcPr>
          <w:p>
            <w:pPr>
              <w:pStyle w:val="nTable"/>
              <w:spacing w:after="40"/>
            </w:pPr>
            <w:r>
              <w:t>9 of 1998</w:t>
            </w:r>
          </w:p>
        </w:tc>
        <w:tc>
          <w:tcPr>
            <w:tcW w:w="1136"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w:t>
            </w:r>
            <w:del w:id="428" w:author="svcMRProcess" w:date="2020-02-25T13:56:00Z">
              <w:r>
                <w:rPr>
                  <w:snapToGrid w:val="0"/>
                  <w:vertAlign w:val="superscript"/>
                </w:rPr>
                <w:delText>6</w:delText>
              </w:r>
            </w:del>
            <w:ins w:id="429" w:author="svcMRProcess" w:date="2020-02-25T13:56:00Z">
              <w:r>
                <w:rPr>
                  <w:snapToGrid w:val="0"/>
                  <w:vertAlign w:val="superscript"/>
                </w:rPr>
                <w:t>4</w:t>
              </w:r>
            </w:ins>
          </w:p>
        </w:tc>
        <w:tc>
          <w:tcPr>
            <w:tcW w:w="1134" w:type="dxa"/>
          </w:tcPr>
          <w:p>
            <w:pPr>
              <w:pStyle w:val="nTable"/>
              <w:spacing w:after="40"/>
            </w:pPr>
            <w:r>
              <w:rPr>
                <w:snapToGrid w:val="0"/>
              </w:rPr>
              <w:t>59 of 2004 (as amended by No. 2 of 2008 s. 77(13))</w:t>
            </w:r>
          </w:p>
        </w:tc>
        <w:tc>
          <w:tcPr>
            <w:tcW w:w="1136"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6"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6"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del w:id="430" w:author="svcMRProcess" w:date="2020-02-25T13:56:00Z">
              <w:r>
                <w:rPr>
                  <w:snapToGrid w:val="0"/>
                  <w:vertAlign w:val="superscript"/>
                </w:rPr>
                <w:delText> </w:delText>
              </w:r>
            </w:del>
          </w:p>
        </w:tc>
        <w:tc>
          <w:tcPr>
            <w:tcW w:w="1134" w:type="dxa"/>
          </w:tcPr>
          <w:p>
            <w:pPr>
              <w:pStyle w:val="nTable"/>
              <w:spacing w:after="40"/>
              <w:rPr>
                <w:snapToGrid w:val="0"/>
              </w:rPr>
            </w:pPr>
            <w:r>
              <w:rPr>
                <w:snapToGrid w:val="0"/>
              </w:rPr>
              <w:t>5 of 2005</w:t>
            </w:r>
          </w:p>
        </w:tc>
        <w:tc>
          <w:tcPr>
            <w:tcW w:w="1136"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w:t>
            </w:r>
            <w:del w:id="431" w:author="svcMRProcess" w:date="2020-02-25T13:56:00Z">
              <w:r>
                <w:rPr>
                  <w:snapToGrid w:val="0"/>
                </w:rPr>
                <w:delText>s. 17</w:delText>
              </w:r>
            </w:del>
            <w:ins w:id="432" w:author="svcMRProcess" w:date="2020-02-25T13:56:00Z">
              <w:r>
                <w:rPr>
                  <w:snapToGrid w:val="0"/>
                </w:rPr>
                <w:t>Sch. 1 cl. 173</w:t>
              </w:r>
            </w:ins>
          </w:p>
        </w:tc>
        <w:tc>
          <w:tcPr>
            <w:tcW w:w="1134" w:type="dxa"/>
          </w:tcPr>
          <w:p>
            <w:pPr>
              <w:pStyle w:val="nTable"/>
              <w:spacing w:after="40"/>
              <w:rPr>
                <w:snapToGrid w:val="0"/>
              </w:rPr>
            </w:pPr>
            <w:r>
              <w:rPr>
                <w:snapToGrid w:val="0"/>
              </w:rPr>
              <w:t>77 of 2006</w:t>
            </w:r>
          </w:p>
        </w:tc>
        <w:tc>
          <w:tcPr>
            <w:tcW w:w="1136"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6"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Pr>
          <w:p>
            <w:pPr>
              <w:pStyle w:val="nTable"/>
              <w:spacing w:after="40"/>
              <w:rPr>
                <w:snapToGrid w:val="0"/>
              </w:rPr>
            </w:pPr>
            <w:r>
              <w:rPr>
                <w:snapToGrid w:val="0"/>
              </w:rPr>
              <w:t>19 of 2016</w:t>
            </w:r>
          </w:p>
        </w:tc>
        <w:tc>
          <w:tcPr>
            <w:tcW w:w="1136"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bl>
    <w:p>
      <w:pPr>
        <w:pStyle w:val="nTable"/>
        <w:spacing w:after="40"/>
        <w:rPr>
          <w:del w:id="433" w:author="svcMRProcess" w:date="2020-02-25T13:56:00Z"/>
          <w:b/>
          <w:snapToGrid w:val="0"/>
        </w:rPr>
      </w:pPr>
      <w:del w:id="434" w:author="svcMRProcess" w:date="2020-02-25T13:56:00Z">
        <w:r>
          <w:rPr>
            <w:vertAlign w:val="superscript"/>
          </w:rPr>
          <w:delText>1a</w:delText>
        </w:r>
        <w:r>
          <w:tab/>
          <w:delText>On the date as at which this compilation was prepared,</w:delText>
        </w:r>
      </w:del>
    </w:p>
    <w:tbl>
      <w:tblPr>
        <w:tblW w:w="7089" w:type="dxa"/>
        <w:tblInd w:w="28" w:type="dxa"/>
        <w:tblLayout w:type="fixed"/>
        <w:tblCellMar>
          <w:left w:w="56" w:type="dxa"/>
          <w:right w:w="56" w:type="dxa"/>
        </w:tblCellMar>
        <w:tblLook w:val="0000" w:firstRow="0" w:lastRow="0" w:firstColumn="0" w:lastColumn="0" w:noHBand="0" w:noVBand="0"/>
      </w:tblPr>
      <w:tblGrid>
        <w:gridCol w:w="7089"/>
      </w:tblGrid>
      <w:tr>
        <w:trPr>
          <w:ins w:id="435" w:author="svcMRProcess" w:date="2020-02-25T13:56:00Z"/>
        </w:trPr>
        <w:tc>
          <w:tcPr>
            <w:tcW w:w="7087" w:type="dxa"/>
            <w:tcBorders>
              <w:bottom w:val="single" w:sz="8" w:space="0" w:color="auto"/>
            </w:tcBorders>
            <w:shd w:val="clear" w:color="auto" w:fill="auto"/>
          </w:tcPr>
          <w:p>
            <w:pPr>
              <w:pStyle w:val="nTable"/>
              <w:spacing w:after="40"/>
              <w:rPr>
                <w:ins w:id="436" w:author="svcMRProcess" w:date="2020-02-25T13:56:00Z"/>
                <w:snapToGrid w:val="0"/>
              </w:rPr>
            </w:pPr>
            <w:ins w:id="437" w:author="svcMRProcess" w:date="2020-02-25T13:56:00Z">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ins>
          </w:p>
        </w:tc>
      </w:tr>
    </w:tbl>
    <w:p>
      <w:pPr>
        <w:pStyle w:val="nHeading3"/>
        <w:rPr>
          <w:ins w:id="438" w:author="svcMRProcess" w:date="2020-02-25T13:56:00Z"/>
        </w:rPr>
      </w:pPr>
      <w:bookmarkStart w:id="439" w:name="_Toc32401850"/>
      <w:ins w:id="440" w:author="svcMRProcess" w:date="2020-02-25T13:56:00Z">
        <w:r>
          <w:t>Uncommenced</w:t>
        </w:r>
      </w:ins>
      <w:r>
        <w:t xml:space="preserve"> provisions </w:t>
      </w:r>
      <w:del w:id="441" w:author="svcMRProcess" w:date="2020-02-25T13:56:00Z">
        <w:r>
          <w:delText xml:space="preserve">referred to in the following </w:delText>
        </w:r>
      </w:del>
      <w:r>
        <w:t>table</w:t>
      </w:r>
      <w:bookmarkEnd w:id="439"/>
      <w:del w:id="442" w:author="svcMRProcess" w:date="2020-02-25T13:56:00Z">
        <w:r>
          <w:delText xml:space="preserve"> had not come into operation and were therefore not included in this compilation.  For</w:delText>
        </w:r>
      </w:del>
    </w:p>
    <w:p>
      <w:pPr>
        <w:pStyle w:val="nStatement"/>
        <w:keepNext/>
        <w:spacing w:after="240"/>
      </w:pPr>
      <w:ins w:id="443" w:author="svcMRProcess" w:date="2020-02-25T13:56:00Z">
        <w:r>
          <w:t>To view</w:t>
        </w:r>
      </w:ins>
      <w:r>
        <w:t xml:space="preserve"> the text of the </w:t>
      </w:r>
      <w:ins w:id="444" w:author="svcMRProcess" w:date="2020-02-25T13:56:00Z">
        <w:r>
          <w:t xml:space="preserve">uncommenced </w:t>
        </w:r>
      </w:ins>
      <w:r>
        <w:t xml:space="preserve">provisions see </w:t>
      </w:r>
      <w:del w:id="445" w:author="svcMRProcess" w:date="2020-02-25T13:56:00Z">
        <w:r>
          <w:delText>the endnotes referred to in the table</w:delText>
        </w:r>
      </w:del>
      <w:ins w:id="446" w:author="svcMRProcess" w:date="2020-02-25T13:56:00Z">
        <w:r>
          <w:rPr>
            <w:i/>
          </w:rPr>
          <w:t>Acts as passed</w:t>
        </w:r>
        <w:r>
          <w:t xml:space="preserve"> on the WA Legislation website</w:t>
        </w:r>
      </w:ins>
      <w:r>
        <w:t>.</w:t>
      </w:r>
    </w:p>
    <w:p>
      <w:pPr>
        <w:pStyle w:val="nHeading3"/>
        <w:rPr>
          <w:del w:id="447" w:author="svcMRProcess" w:date="2020-02-25T13:56:00Z"/>
          <w:snapToGrid w:val="0"/>
        </w:rPr>
      </w:pPr>
      <w:bookmarkStart w:id="448" w:name="_Toc493603157"/>
      <w:del w:id="449" w:author="svcMRProcess" w:date="2020-02-25T13:56:00Z">
        <w:r>
          <w:rPr>
            <w:snapToGrid w:val="0"/>
          </w:rPr>
          <w:delText>Provisions that have not come into operation</w:delText>
        </w:r>
        <w:bookmarkEnd w:id="448"/>
      </w:del>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del w:id="450" w:author="svcMRProcess" w:date="2020-02-25T13:56:00Z">
              <w:r>
                <w:rPr>
                  <w:iCs/>
                  <w:snapToGrid w:val="0"/>
                </w:rPr>
                <w:delText> </w:delText>
              </w:r>
              <w:r>
                <w:rPr>
                  <w:iCs/>
                  <w:snapToGrid w:val="0"/>
                  <w:vertAlign w:val="superscript"/>
                </w:rPr>
                <w:delText>7</w:delText>
              </w:r>
            </w:del>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w:t>
            </w:r>
            <w:ins w:id="451" w:author="svcMRProcess" w:date="2020-02-25T13:56:00Z">
              <w:r>
                <w:rPr>
                  <w:snapToGrid w:val="0"/>
                </w:rPr>
                <w:t xml:space="preserve">see </w:t>
              </w:r>
            </w:ins>
            <w:r>
              <w:rPr>
                <w:snapToGrid w:val="0"/>
              </w:rPr>
              <w:t>s. 2(</w:t>
            </w:r>
            <w:del w:id="452" w:author="svcMRProcess" w:date="2020-02-25T13:56:00Z">
              <w:r>
                <w:rPr>
                  <w:snapToGrid w:val="0"/>
                </w:rPr>
                <w:delText>2</w:delText>
              </w:r>
            </w:del>
            <w:ins w:id="453" w:author="svcMRProcess" w:date="2020-02-25T13:56:00Z">
              <w:r>
                <w:rPr>
                  <w:snapToGrid w:val="0"/>
                </w:rPr>
                <w:t>1</w:t>
              </w:r>
            </w:ins>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del w:id="454" w:author="svcMRProcess" w:date="2020-02-25T13:56:00Z">
              <w:r>
                <w:rPr>
                  <w:vertAlign w:val="superscript"/>
                </w:rPr>
                <w:delText> 8</w:delText>
              </w:r>
            </w:del>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w:t>
            </w:r>
            <w:del w:id="455" w:author="svcMRProcess" w:date="2020-02-25T13:56:00Z">
              <w:r>
                <w:rPr>
                  <w:snapToGrid w:val="0"/>
                </w:rPr>
                <w:delText xml:space="preserve"> </w:delText>
              </w:r>
            </w:del>
            <w:ins w:id="456" w:author="svcMRProcess" w:date="2020-02-25T13:56:00Z">
              <w:r>
                <w:rPr>
                  <w:snapToGrid w:val="0"/>
                </w:rPr>
                <w:t> </w:t>
              </w:r>
            </w:ins>
            <w:r>
              <w:rPr>
                <w:snapToGrid w:val="0"/>
              </w:rPr>
              <w:t>s. 2(1)(c))</w:t>
            </w:r>
          </w:p>
        </w:tc>
      </w:tr>
    </w:tbl>
    <w:p>
      <w:pPr>
        <w:pStyle w:val="nHeading3"/>
        <w:rPr>
          <w:ins w:id="457" w:author="svcMRProcess" w:date="2020-02-25T13:56:00Z"/>
        </w:rPr>
      </w:pPr>
      <w:bookmarkStart w:id="458" w:name="_Toc32401851"/>
      <w:del w:id="459" w:author="svcMRProcess" w:date="2020-02-25T13:56:00Z">
        <w:r>
          <w:rPr>
            <w:vertAlign w:val="superscript"/>
          </w:rPr>
          <w:delText>2</w:delText>
        </w:r>
      </w:del>
      <w:ins w:id="460" w:author="svcMRProcess" w:date="2020-02-25T13:56:00Z">
        <w:r>
          <w:t>Other notes</w:t>
        </w:r>
        <w:bookmarkEnd w:id="458"/>
      </w:ins>
    </w:p>
    <w:p>
      <w:pPr>
        <w:pStyle w:val="nNote"/>
        <w:spacing w:before="160"/>
      </w:pPr>
      <w:ins w:id="461" w:author="svcMRProcess" w:date="2020-02-25T13:56:00Z">
        <w:r>
          <w:rPr>
            <w:vertAlign w:val="superscript"/>
          </w:rPr>
          <w:t>1</w:t>
        </w:r>
      </w:ins>
      <w:r>
        <w:tab/>
        <w:t xml:space="preserve">Now known as the </w:t>
      </w:r>
      <w:r>
        <w:rPr>
          <w:i/>
        </w:rPr>
        <w:t>Veterinary Chemical Control and Animal Feeding Stuffs Act 1976</w:t>
      </w:r>
      <w:r>
        <w:t>; short title changed (see note under s. 1).</w:t>
      </w:r>
    </w:p>
    <w:p>
      <w:pPr>
        <w:pStyle w:val="nNote"/>
        <w:keepNext/>
        <w:spacing w:before="60"/>
        <w:rPr>
          <w:snapToGrid w:val="0"/>
        </w:rPr>
      </w:pPr>
      <w:del w:id="462" w:author="svcMRProcess" w:date="2020-02-25T13:56:00Z">
        <w:r>
          <w:rPr>
            <w:snapToGrid w:val="0"/>
            <w:vertAlign w:val="superscript"/>
          </w:rPr>
          <w:delText>3</w:delText>
        </w:r>
      </w:del>
      <w:ins w:id="463" w:author="svcMRProcess" w:date="2020-02-25T13:56:00Z">
        <w:r>
          <w:rPr>
            <w:snapToGrid w:val="0"/>
            <w:vertAlign w:val="superscript"/>
          </w:rPr>
          <w:t>2</w:t>
        </w:r>
      </w:ins>
      <w:r>
        <w:rPr>
          <w:snapToGrid w:val="0"/>
        </w:rPr>
        <w:tab/>
        <w:t xml:space="preserve">The </w:t>
      </w:r>
      <w:r>
        <w:rPr>
          <w:i/>
          <w:snapToGrid w:val="0"/>
        </w:rPr>
        <w:t>Acts Amendment (Chemistry Centre (</w:t>
      </w:r>
      <w:del w:id="464" w:author="svcMRProcess" w:date="2020-02-25T13:56:00Z">
        <w:r>
          <w:rPr>
            <w:i/>
            <w:snapToGrid w:val="0"/>
          </w:rPr>
          <w:delText>W.A.)</w:delText>
        </w:r>
      </w:del>
      <w:ins w:id="465" w:author="svcMRProcess" w:date="2020-02-25T13:56:00Z">
        <w:r>
          <w:rPr>
            <w:i/>
            <w:snapToGrid w:val="0"/>
          </w:rPr>
          <w:t>WA))</w:t>
        </w:r>
      </w:ins>
      <w:r>
        <w:rPr>
          <w:i/>
          <w:snapToGrid w:val="0"/>
        </w:rPr>
        <w:t xml:space="preserve"> Act 1990</w:t>
      </w:r>
      <w:r>
        <w:rPr>
          <w:snapToGrid w:val="0"/>
        </w:rPr>
        <w:t xml:space="preserve"> s. 13 reads as follows:</w:t>
      </w:r>
    </w:p>
    <w:p>
      <w:pPr>
        <w:pStyle w:val="BlankOpen"/>
        <w:rPr>
          <w:snapToGrid w:val="0"/>
        </w:rPr>
      </w:pPr>
      <w:del w:id="466" w:author="svcMRProcess" w:date="2020-02-25T13:56:00Z">
        <w:r>
          <w:rPr>
            <w:snapToGrid w:val="0"/>
          </w:rPr>
          <w:delText>“</w:delText>
        </w:r>
      </w:del>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del w:id="467" w:author="svcMRProcess" w:date="2020-02-25T13:56:00Z"/>
          <w:snapToGrid w:val="0"/>
        </w:rPr>
      </w:pPr>
      <w:del w:id="468" w:author="svcMRProcess" w:date="2020-02-25T13:56:00Z">
        <w:r>
          <w:rPr>
            <w:snapToGrid w:val="0"/>
          </w:rPr>
          <w:delText>”.</w:delText>
        </w:r>
      </w:del>
    </w:p>
    <w:p>
      <w:pPr>
        <w:pStyle w:val="BlankClose"/>
        <w:rPr>
          <w:ins w:id="469" w:author="svcMRProcess" w:date="2020-02-25T13:56:00Z"/>
          <w:snapToGrid w:val="0"/>
        </w:rPr>
      </w:pPr>
      <w:del w:id="470" w:author="svcMRProcess" w:date="2020-02-25T13:56:00Z">
        <w:r>
          <w:rPr>
            <w:snapToGrid w:val="0"/>
            <w:vertAlign w:val="superscript"/>
          </w:rPr>
          <w:delText>4</w:delText>
        </w:r>
      </w:del>
    </w:p>
    <w:p>
      <w:pPr>
        <w:pStyle w:val="nNote"/>
        <w:rPr>
          <w:snapToGrid w:val="0"/>
        </w:rPr>
      </w:pPr>
      <w:ins w:id="471" w:author="svcMRProcess" w:date="2020-02-25T13:56:00Z">
        <w:r>
          <w:rPr>
            <w:snapToGrid w:val="0"/>
            <w:vertAlign w:val="superscript"/>
          </w:rPr>
          <w:t>3</w:t>
        </w:r>
      </w:ins>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ins w:id="472" w:author="svcMRProcess" w:date="2020-02-25T13:56:00Z"/>
          <w:snapToGrid w:val="0"/>
        </w:rPr>
      </w:pPr>
      <w:ins w:id="473" w:author="svcMRProcess" w:date="2020-02-25T13:56:00Z">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ins>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474" w:author="svcMRProcess" w:date="2020-02-25T13:56:00Z"/>
          <w:snapToGrid w:val="0"/>
        </w:rPr>
      </w:pPr>
      <w:del w:id="475" w:author="svcMRProcess" w:date="2020-02-25T13:56:00Z">
        <w:r>
          <w:rPr>
            <w:vertAlign w:val="superscript"/>
          </w:rPr>
          <w:delText>6</w:delText>
        </w:r>
        <w:r>
          <w:tab/>
        </w:r>
        <w:r>
          <w:rPr>
            <w:snapToGrid w:val="0"/>
          </w:rPr>
          <w:delText xml:space="preserve">The </w:delText>
        </w:r>
        <w:r>
          <w:rPr>
            <w:i/>
            <w:snapToGrid w:val="0"/>
          </w:rPr>
          <w:delText>Courts Legislation Amendment and Repeal Act 2004</w:delText>
        </w:r>
        <w:r>
          <w:rPr>
            <w:snapToGrid w:val="0"/>
          </w:rPr>
          <w:delText xml:space="preserve"> Sch. 2 cl. 51 was repealed by the </w:delText>
        </w:r>
        <w:r>
          <w:rPr>
            <w:i/>
            <w:iCs/>
            <w:snapToGrid w:val="0"/>
          </w:rPr>
          <w:delText>Criminal Law and Evidence Amendment Act 2008</w:delText>
        </w:r>
        <w:r>
          <w:rPr>
            <w:snapToGrid w:val="0"/>
          </w:rPr>
          <w:delText xml:space="preserve"> s. 77(13).</w:delText>
        </w:r>
      </w:del>
    </w:p>
    <w:p>
      <w:pPr>
        <w:pStyle w:val="nSubsection"/>
        <w:keepLines/>
        <w:rPr>
          <w:del w:id="476" w:author="svcMRProcess" w:date="2020-02-25T13:56:00Z"/>
          <w:snapToGrid w:val="0"/>
        </w:rPr>
      </w:pPr>
      <w:del w:id="477" w:author="svcMRProcess" w:date="2020-02-25T13:5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Biosecurity and Agriculture Management (Repeal and Consequential Provisions) Act 2007</w:delText>
        </w:r>
        <w:r>
          <w:rPr>
            <w:iCs/>
            <w:snapToGrid w:val="0"/>
          </w:rPr>
          <w:delText xml:space="preserve"> s. 82 </w:delText>
        </w:r>
        <w:r>
          <w:rPr>
            <w:snapToGrid w:val="0"/>
          </w:rPr>
          <w:delText>had not come into operation.  It reads as follows:</w:delText>
        </w:r>
      </w:del>
    </w:p>
    <w:p>
      <w:pPr>
        <w:pStyle w:val="MiscOpen"/>
        <w:keepNext w:val="0"/>
        <w:spacing w:before="60"/>
        <w:rPr>
          <w:del w:id="478" w:author="svcMRProcess" w:date="2020-02-25T13:56:00Z"/>
          <w:sz w:val="20"/>
        </w:rPr>
      </w:pPr>
      <w:del w:id="479" w:author="svcMRProcess" w:date="2020-02-25T13:56:00Z">
        <w:r>
          <w:rPr>
            <w:sz w:val="20"/>
          </w:rPr>
          <w:delText>“</w:delText>
        </w:r>
      </w:del>
    </w:p>
    <w:p>
      <w:pPr>
        <w:pStyle w:val="nzHeading5"/>
        <w:rPr>
          <w:del w:id="480" w:author="svcMRProcess" w:date="2020-02-25T13:56:00Z"/>
        </w:rPr>
      </w:pPr>
      <w:del w:id="481" w:author="svcMRProcess" w:date="2020-02-25T13:56:00Z">
        <w:r>
          <w:rPr>
            <w:rStyle w:val="CharSectno"/>
          </w:rPr>
          <w:delText>82</w:delText>
        </w:r>
        <w:r>
          <w:delText>.</w:delText>
        </w:r>
        <w:r>
          <w:tab/>
          <w:delText>Repeal</w:delText>
        </w:r>
      </w:del>
    </w:p>
    <w:p>
      <w:pPr>
        <w:pStyle w:val="nzSubsection"/>
        <w:rPr>
          <w:del w:id="482" w:author="svcMRProcess" w:date="2020-02-25T13:56:00Z"/>
        </w:rPr>
      </w:pPr>
      <w:del w:id="483" w:author="svcMRProcess" w:date="2020-02-25T13:56:00Z">
        <w:r>
          <w:tab/>
        </w:r>
        <w:r>
          <w:tab/>
          <w:delText xml:space="preserve">The </w:delText>
        </w:r>
        <w:r>
          <w:rPr>
            <w:i/>
            <w:iCs/>
          </w:rPr>
          <w:delText>Veterinary Chemical Control and Animal Feeding Stuffs Act 1976</w:delText>
        </w:r>
        <w:r>
          <w:delText xml:space="preserve"> is repealed.</w:delText>
        </w:r>
      </w:del>
    </w:p>
    <w:p>
      <w:pPr>
        <w:pStyle w:val="MiscClose"/>
        <w:rPr>
          <w:del w:id="484" w:author="svcMRProcess" w:date="2020-02-25T13:56:00Z"/>
        </w:rPr>
      </w:pPr>
      <w:del w:id="485" w:author="svcMRProcess" w:date="2020-02-25T13:56:00Z">
        <w:r>
          <w:delText>”.</w:delText>
        </w:r>
      </w:del>
    </w:p>
    <w:p>
      <w:pPr>
        <w:rPr>
          <w:del w:id="486" w:author="svcMRProcess" w:date="2020-02-25T13:56:00Z"/>
        </w:rPr>
      </w:pPr>
    </w:p>
    <w:p>
      <w:pPr>
        <w:pStyle w:val="nSubsection"/>
        <w:rPr>
          <w:del w:id="487" w:author="svcMRProcess" w:date="2020-02-25T13:56:00Z"/>
          <w:snapToGrid w:val="0"/>
        </w:rPr>
      </w:pPr>
      <w:del w:id="488" w:author="svcMRProcess" w:date="2020-02-25T13:56:00Z">
        <w:r>
          <w:rPr>
            <w:snapToGrid w:val="0"/>
            <w:vertAlign w:val="superscript"/>
          </w:rPr>
          <w:delText>8</w:delText>
        </w:r>
        <w:r>
          <w:rPr>
            <w:snapToGrid w:val="0"/>
          </w:rPr>
          <w:tab/>
          <w:delText xml:space="preserve">On the date as at which this compilation was prepared, the </w:delText>
        </w:r>
        <w:r>
          <w:rPr>
            <w:i/>
          </w:rPr>
          <w:delText>Public Health (Consequential Provisions) Act 2016</w:delText>
        </w:r>
        <w:r>
          <w:delText xml:space="preserve"> s. 334 </w:delText>
        </w:r>
        <w:r>
          <w:rPr>
            <w:snapToGrid w:val="0"/>
          </w:rPr>
          <w:delText>had not come into operation.  It reads as follows:</w:delText>
        </w:r>
      </w:del>
    </w:p>
    <w:p>
      <w:pPr>
        <w:pStyle w:val="BlankOpen"/>
        <w:rPr>
          <w:del w:id="489" w:author="svcMRProcess" w:date="2020-02-25T13:56:00Z"/>
        </w:rPr>
      </w:pPr>
    </w:p>
    <w:p>
      <w:pPr>
        <w:pStyle w:val="nzHeading5"/>
        <w:rPr>
          <w:del w:id="490" w:author="svcMRProcess" w:date="2020-02-25T13:56:00Z"/>
        </w:rPr>
      </w:pPr>
      <w:del w:id="491" w:author="svcMRProcess" w:date="2020-02-25T13:56:00Z">
        <w:r>
          <w:rPr>
            <w:rStyle w:val="CharSectno"/>
          </w:rPr>
          <w:delText>334</w:delText>
        </w:r>
        <w:r>
          <w:delText>.</w:delText>
        </w:r>
        <w:r>
          <w:tab/>
          <w:delText>Section 9 amended</w:delText>
        </w:r>
      </w:del>
    </w:p>
    <w:p>
      <w:pPr>
        <w:pStyle w:val="nzSubsection"/>
        <w:rPr>
          <w:del w:id="492" w:author="svcMRProcess" w:date="2020-02-25T13:56:00Z"/>
        </w:rPr>
      </w:pPr>
      <w:del w:id="493" w:author="svcMRProcess" w:date="2020-02-25T13:56:00Z">
        <w:r>
          <w:tab/>
        </w:r>
        <w:r>
          <w:tab/>
          <w:delText>In section 9 after “</w:delText>
        </w:r>
        <w:r>
          <w:rPr>
            <w:i/>
          </w:rPr>
          <w:delText>Health (Miscellaneous Provisions) Act 1911</w:delText>
        </w:r>
        <w:r>
          <w:delText>,” (each occurrence) insert:</w:delText>
        </w:r>
      </w:del>
    </w:p>
    <w:p>
      <w:pPr>
        <w:pStyle w:val="BlankOpen"/>
        <w:rPr>
          <w:del w:id="494" w:author="svcMRProcess" w:date="2020-02-25T13:56:00Z"/>
        </w:rPr>
      </w:pPr>
    </w:p>
    <w:p>
      <w:pPr>
        <w:pStyle w:val="nzSubsection"/>
        <w:rPr>
          <w:del w:id="495" w:author="svcMRProcess" w:date="2020-02-25T13:56:00Z"/>
        </w:rPr>
      </w:pPr>
      <w:del w:id="496" w:author="svcMRProcess" w:date="2020-02-25T13:56:00Z">
        <w:r>
          <w:tab/>
        </w:r>
        <w:r>
          <w:tab/>
          <w:delText xml:space="preserve">the </w:delText>
        </w:r>
        <w:r>
          <w:rPr>
            <w:i/>
          </w:rPr>
          <w:delText>Food Act 2008</w:delText>
        </w:r>
        <w:r>
          <w:delText xml:space="preserve">, the </w:delText>
        </w:r>
        <w:r>
          <w:rPr>
            <w:i/>
          </w:rPr>
          <w:delText>Public Health Act 2016</w:delText>
        </w:r>
      </w:del>
    </w:p>
    <w:p>
      <w:pPr>
        <w:pStyle w:val="BlankClose"/>
        <w:rPr>
          <w:del w:id="497" w:author="svcMRProcess" w:date="2020-02-25T13:56: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9" w:name="Coversheet"/>
    <w:bookmarkEnd w:id="4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735"/>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2294C-92FF-4BE6-B737-BD1A221EE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13857</Words>
  <Characters>64856</Characters>
  <Application>Microsoft Office Word</Application>
  <DocSecurity>0</DocSecurity>
  <Lines>1801</Lines>
  <Paragraphs>855</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02-m0-01 - 03-a0-04</dc:title>
  <dc:subject/>
  <dc:creator/>
  <cp:keywords/>
  <dc:description/>
  <cp:lastModifiedBy>svcMRProcess</cp:lastModifiedBy>
  <cp:revision>2</cp:revision>
  <cp:lastPrinted>2018-04-30T06:27:00Z</cp:lastPrinted>
  <dcterms:created xsi:type="dcterms:W3CDTF">2020-02-25T05:56:00Z</dcterms:created>
  <dcterms:modified xsi:type="dcterms:W3CDTF">2020-02-25T05:56:00Z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20180601</vt:lpwstr>
  </property>
  <property fmtid="{D5CDD505-2E9C-101B-9397-08002B2CF9AE}" pid="8" name="FromSuffix">
    <vt:lpwstr>02-m0-01</vt:lpwstr>
  </property>
  <property fmtid="{D5CDD505-2E9C-101B-9397-08002B2CF9AE}" pid="9" name="FromAsAtDate">
    <vt:lpwstr>20 Sep 2017</vt:lpwstr>
  </property>
  <property fmtid="{D5CDD505-2E9C-101B-9397-08002B2CF9AE}" pid="10" name="ToSuffix">
    <vt:lpwstr>03-a0-04</vt:lpwstr>
  </property>
  <property fmtid="{D5CDD505-2E9C-101B-9397-08002B2CF9AE}" pid="11" name="ToAsAtDate">
    <vt:lpwstr>01 Jun 2018</vt:lpwstr>
  </property>
</Properties>
</file>