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Criminal Injuries Compensation Act 2003</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19 Apr 2018</w:t>
      </w:r>
      <w:r>
        <w:fldChar w:fldCharType="end"/>
      </w:r>
      <w:r>
        <w:t xml:space="preserve">, </w:t>
      </w:r>
      <w:r>
        <w:fldChar w:fldCharType="begin"/>
      </w:r>
      <w:r>
        <w:instrText xml:space="preserve"> DocProperty FromSuffix </w:instrText>
      </w:r>
      <w:r>
        <w:fldChar w:fldCharType="separate"/>
      </w:r>
      <w:r>
        <w:t>03-b0-01</w:t>
      </w:r>
      <w:r>
        <w:fldChar w:fldCharType="end"/>
      </w:r>
      <w:r>
        <w:t>] and [</w:t>
      </w:r>
      <w:r>
        <w:fldChar w:fldCharType="begin"/>
      </w:r>
      <w:r>
        <w:instrText xml:space="preserve"> DocProperty ToAsAtDate</w:instrText>
      </w:r>
      <w:r>
        <w:fldChar w:fldCharType="separate"/>
      </w:r>
      <w:r>
        <w:t>01 Jul 2018</w:t>
      </w:r>
      <w:r>
        <w:fldChar w:fldCharType="end"/>
      </w:r>
      <w:r>
        <w:t xml:space="preserve">, </w:t>
      </w:r>
      <w:r>
        <w:fldChar w:fldCharType="begin"/>
      </w:r>
      <w:r>
        <w:instrText xml:space="preserve"> DocProperty ToSuffix</w:instrText>
      </w:r>
      <w:r>
        <w:fldChar w:fldCharType="separate"/>
      </w:r>
      <w:r>
        <w:t>03-c0-00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tc>
      </w:tr>
      <w:tr>
        <w:trPr>
          <w:cantSplit/>
        </w:trPr>
        <w:tc>
          <w:tcPr>
            <w:tcW w:w="2434" w:type="dxa"/>
            <w:vMerge/>
          </w:tcPr>
          <w:p/>
        </w:tc>
        <w:tc>
          <w:tcPr>
            <w:tcW w:w="2434" w:type="dxa"/>
            <w:vMerge/>
          </w:tcPr>
          <w:p>
            <w:pPr>
              <w:jc w:val="center"/>
            </w:pPr>
          </w:p>
        </w:tc>
        <w:tc>
          <w:tcPr>
            <w:tcW w:w="2434" w:type="dxa"/>
          </w:tcPr>
          <w:p>
            <w:pPr>
              <w:keepNext/>
              <w:rPr>
                <w:b/>
                <w:sz w:val="22"/>
              </w:rPr>
            </w:pPr>
          </w:p>
        </w:tc>
      </w:tr>
    </w:tbl>
    <w:p>
      <w:pPr>
        <w:pStyle w:val="WA"/>
        <w:spacing w:before="12"/>
      </w:pPr>
      <w:r>
        <w:t>Western Australia</w:t>
      </w:r>
    </w:p>
    <w:p>
      <w:pPr>
        <w:pStyle w:val="NameofActReg"/>
        <w:suppressLineNumbers/>
        <w:spacing w:before="920" w:after="1400"/>
      </w:pPr>
      <w:r>
        <w:t>Criminal Injuries Compensation Act 2003</w:t>
      </w:r>
    </w:p>
    <w:p>
      <w:pPr>
        <w:pStyle w:val="LongTitle"/>
      </w:pPr>
      <w:r>
        <w:t>A</w:t>
      </w:r>
      <w:bookmarkStart w:id="1" w:name="_GoBack"/>
      <w:bookmarkEnd w:id="1"/>
      <w:r>
        <w:t>n Act to provide for the payment of compensation to victims of offences in some circumstances, and for related matters.</w:t>
      </w:r>
    </w:p>
    <w:p>
      <w:pPr>
        <w:pStyle w:val="Heading2"/>
      </w:pPr>
      <w:bookmarkStart w:id="2" w:name="_Toc518034633"/>
      <w:bookmarkStart w:id="3" w:name="_Toc518043757"/>
      <w:bookmarkStart w:id="4" w:name="_Toc512000774"/>
      <w:r>
        <w:rPr>
          <w:rStyle w:val="CharPartNo"/>
        </w:rPr>
        <w:t>Part 1</w:t>
      </w:r>
      <w:r>
        <w:rPr>
          <w:rStyle w:val="CharDivNo"/>
        </w:rPr>
        <w:t> </w:t>
      </w:r>
      <w:r>
        <w:t>—</w:t>
      </w:r>
      <w:r>
        <w:rPr>
          <w:rStyle w:val="CharDivText"/>
        </w:rPr>
        <w:t> </w:t>
      </w:r>
      <w:r>
        <w:rPr>
          <w:rStyle w:val="CharPartText"/>
        </w:rPr>
        <w:t>Preliminary</w:t>
      </w:r>
      <w:bookmarkEnd w:id="2"/>
      <w:bookmarkEnd w:id="3"/>
      <w:bookmarkEnd w:id="4"/>
    </w:p>
    <w:p>
      <w:pPr>
        <w:pStyle w:val="Heading5"/>
        <w:rPr>
          <w:snapToGrid w:val="0"/>
        </w:rPr>
      </w:pPr>
      <w:bookmarkStart w:id="5" w:name="_Toc518043758"/>
      <w:bookmarkStart w:id="6" w:name="_Toc512000775"/>
      <w:r>
        <w:rPr>
          <w:rStyle w:val="CharSectno"/>
        </w:rPr>
        <w:t>1</w:t>
      </w:r>
      <w:r>
        <w:rPr>
          <w:snapToGrid w:val="0"/>
        </w:rPr>
        <w:t>.</w:t>
      </w:r>
      <w:r>
        <w:rPr>
          <w:snapToGrid w:val="0"/>
        </w:rPr>
        <w:tab/>
        <w:t>Short title</w:t>
      </w:r>
      <w:bookmarkEnd w:id="5"/>
      <w:bookmarkEnd w:id="6"/>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snapToGrid w:val="0"/>
          <w:vertAlign w:val="superscript"/>
        </w:rPr>
        <w:t> </w:t>
      </w:r>
      <w:r>
        <w:rPr>
          <w:iCs/>
          <w:snapToGrid w:val="0"/>
          <w:vertAlign w:val="superscript"/>
        </w:rPr>
        <w:t>1</w:t>
      </w:r>
      <w:r>
        <w:rPr>
          <w:iCs/>
          <w:snapToGrid w:val="0"/>
        </w:rPr>
        <w:t>.</w:t>
      </w:r>
    </w:p>
    <w:p>
      <w:pPr>
        <w:pStyle w:val="Heading5"/>
        <w:rPr>
          <w:snapToGrid w:val="0"/>
        </w:rPr>
      </w:pPr>
      <w:bookmarkStart w:id="7" w:name="_Toc518043759"/>
      <w:bookmarkStart w:id="8" w:name="_Toc512000776"/>
      <w:r>
        <w:rPr>
          <w:rStyle w:val="CharSectno"/>
        </w:rPr>
        <w:t>2</w:t>
      </w:r>
      <w:r>
        <w:rPr>
          <w:snapToGrid w:val="0"/>
        </w:rPr>
        <w:t>.</w:t>
      </w:r>
      <w:r>
        <w:rPr>
          <w:snapToGrid w:val="0"/>
        </w:rPr>
        <w:tab/>
        <w:t>Commencement</w:t>
      </w:r>
      <w:bookmarkEnd w:id="7"/>
      <w:bookmarkEnd w:id="8"/>
    </w:p>
    <w:p>
      <w:pPr>
        <w:pStyle w:val="Subsection"/>
      </w:pPr>
      <w:r>
        <w:tab/>
      </w:r>
      <w:r>
        <w:tab/>
        <w:t>This Act comes into operation on a day fixed by proclamation</w:t>
      </w:r>
      <w:r>
        <w:rPr>
          <w:iCs/>
          <w:snapToGrid w:val="0"/>
          <w:vertAlign w:val="superscript"/>
        </w:rPr>
        <w:t> 1</w:t>
      </w:r>
      <w:r>
        <w:t>.</w:t>
      </w:r>
    </w:p>
    <w:p>
      <w:pPr>
        <w:pStyle w:val="Heading5"/>
      </w:pPr>
      <w:bookmarkStart w:id="9" w:name="_Toc518043760"/>
      <w:bookmarkStart w:id="10" w:name="_Toc512000777"/>
      <w:r>
        <w:rPr>
          <w:rStyle w:val="CharSectno"/>
        </w:rPr>
        <w:t>3</w:t>
      </w:r>
      <w:r>
        <w:t>.</w:t>
      </w:r>
      <w:r>
        <w:tab/>
        <w:t>Terms used</w:t>
      </w:r>
      <w:bookmarkEnd w:id="9"/>
      <w:bookmarkEnd w:id="10"/>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 2;</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 4;</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keepNext/>
      </w:pPr>
      <w:r>
        <w:tab/>
      </w:r>
      <w:r>
        <w:rPr>
          <w:rStyle w:val="CharDefText"/>
        </w:rPr>
        <w:t>health professional</w:t>
      </w:r>
      <w:r>
        <w:t xml:space="preserve"> means — </w:t>
      </w:r>
    </w:p>
    <w:p>
      <w:pPr>
        <w:pStyle w:val="Defpara"/>
        <w:spacing w:before="60"/>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Defpara"/>
        <w:spacing w:before="60"/>
      </w:pPr>
      <w:r>
        <w:tab/>
        <w:t>(b)</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medical profession or under a law of another place that is substantially similar to that Law; or</w:t>
      </w:r>
    </w:p>
    <w:p>
      <w:pPr>
        <w:pStyle w:val="Defpara"/>
        <w:spacing w:before="60"/>
      </w:pPr>
      <w:r>
        <w:tab/>
        <w:t>(c)</w:t>
      </w:r>
      <w:r>
        <w:tab/>
        <w:t xml:space="preserve">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 xml:space="preserve">) </w:t>
      </w:r>
      <w:r>
        <w:t>in the psychology profession or under a law of another place that is substantially similar to that Law;</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spacing w:before="60"/>
      </w:pPr>
      <w:r>
        <w:tab/>
        <w:t>(a)</w:t>
      </w:r>
      <w:r>
        <w:tab/>
        <w:t>the applicant; or</w:t>
      </w:r>
    </w:p>
    <w:p>
      <w:pPr>
        <w:pStyle w:val="Defpara"/>
        <w:spacing w:before="60"/>
      </w:pPr>
      <w:r>
        <w:tab/>
        <w:t>(b)</w:t>
      </w:r>
      <w:r>
        <w:tab/>
        <w:t>a person who an assessor thinks may become liable under Part 6 to pay an amount to the State; or</w:t>
      </w:r>
    </w:p>
    <w:p>
      <w:pPr>
        <w:pStyle w:val="Defpara"/>
        <w:spacing w:before="60"/>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 6;</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spacing w:before="60"/>
      </w:pPr>
      <w:r>
        <w:tab/>
        <w:t>(a)</w:t>
      </w:r>
      <w:r>
        <w:tab/>
        <w:t>the executor or the administrator of the deceased’s estate;</w:t>
      </w:r>
    </w:p>
    <w:p>
      <w:pPr>
        <w:pStyle w:val="Defpara"/>
        <w:widowControl w:val="0"/>
        <w:spacing w:before="60"/>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Sch. 3 cl. 3; No. 5 of 2008 s. 30; No. 21 of 2008 s. 655(2); No. 22 of 2008 Sch. 3 cl. 14; No. 35 of 2010 s. 54.]</w:t>
      </w:r>
    </w:p>
    <w:p>
      <w:pPr>
        <w:pStyle w:val="Heading5"/>
      </w:pPr>
      <w:bookmarkStart w:id="11" w:name="_Toc518043761"/>
      <w:bookmarkStart w:id="12" w:name="_Toc512000778"/>
      <w:r>
        <w:rPr>
          <w:rStyle w:val="CharSectno"/>
        </w:rPr>
        <w:t>4</w:t>
      </w:r>
      <w:r>
        <w:t>.</w:t>
      </w:r>
      <w:r>
        <w:tab/>
        <w:t>Term used: close relative</w:t>
      </w:r>
      <w:bookmarkEnd w:id="11"/>
      <w:bookmarkEnd w:id="12"/>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 or</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keepNext w:val="0"/>
        <w:keepLines w:val="0"/>
        <w:spacing w:before="180"/>
      </w:pPr>
      <w:bookmarkStart w:id="13" w:name="_Toc518043762"/>
      <w:bookmarkStart w:id="14" w:name="_Toc512000779"/>
      <w:r>
        <w:rPr>
          <w:rStyle w:val="CharSectno"/>
        </w:rPr>
        <w:t>5</w:t>
      </w:r>
      <w:r>
        <w:t>.</w:t>
      </w:r>
      <w:r>
        <w:tab/>
        <w:t>Term used: convicted</w:t>
      </w:r>
      <w:bookmarkEnd w:id="13"/>
      <w:bookmarkEnd w:id="14"/>
    </w:p>
    <w:p>
      <w:pPr>
        <w:pStyle w:val="Subsection"/>
        <w:spacing w:before="120"/>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 or</w:t>
      </w:r>
    </w:p>
    <w:p>
      <w:pPr>
        <w:pStyle w:val="Indenta"/>
      </w:pPr>
      <w:r>
        <w:tab/>
        <w:t>(b)</w:t>
      </w:r>
      <w:r>
        <w:tab/>
        <w:t xml:space="preserve">a conviction is not recorded under the </w:t>
      </w:r>
      <w:r>
        <w:rPr>
          <w:i/>
        </w:rPr>
        <w:t>Young Offenders Act 1994</w:t>
      </w:r>
      <w:r>
        <w:t xml:space="preserve"> section 55; or</w:t>
      </w:r>
    </w:p>
    <w:p>
      <w:pPr>
        <w:pStyle w:val="Indenta"/>
      </w:pPr>
      <w:r>
        <w:tab/>
        <w:t>(c)</w:t>
      </w:r>
      <w:r>
        <w:tab/>
        <w:t xml:space="preserve">the complaint or indictment was dismissed under the repealed section 669(1)(a) of </w:t>
      </w:r>
      <w:r>
        <w:rPr>
          <w:i/>
        </w:rPr>
        <w:t>The Criminal Code</w:t>
      </w:r>
      <w:r>
        <w:t>; or</w:t>
      </w:r>
    </w:p>
    <w:p>
      <w:pPr>
        <w:pStyle w:val="Indenta"/>
      </w:pPr>
      <w:r>
        <w:tab/>
        <w:t>(d)</w:t>
      </w:r>
      <w:r>
        <w:tab/>
        <w:t xml:space="preserve">the repealed section 20 of the </w:t>
      </w:r>
      <w:r>
        <w:rPr>
          <w:i/>
        </w:rPr>
        <w:t>Offenders Community Corrections Act 1963</w:t>
      </w:r>
      <w:r>
        <w:rPr>
          <w:vertAlign w:val="superscript"/>
        </w:rPr>
        <w:t> 3</w:t>
      </w:r>
      <w:r>
        <w:rPr>
          <w:iCs/>
        </w:rPr>
        <w:t xml:space="preserve"> </w:t>
      </w:r>
      <w:r>
        <w:t>applies to the conviction; or</w:t>
      </w:r>
    </w:p>
    <w:p>
      <w:pPr>
        <w:pStyle w:val="Indenta"/>
      </w:pPr>
      <w:r>
        <w:tab/>
        <w:t>(e)</w:t>
      </w:r>
      <w:r>
        <w:tab/>
        <w:t xml:space="preserve">the repealed section 40 or 126A of the </w:t>
      </w:r>
      <w:r>
        <w:rPr>
          <w:i/>
        </w:rPr>
        <w:t>Child Welfare Act 1947</w:t>
      </w:r>
      <w:r>
        <w:rPr>
          <w:vertAlign w:val="superscript"/>
        </w:rPr>
        <w:t> 4</w:t>
      </w:r>
      <w:r>
        <w:t xml:space="preserve"> applies to the conviction; or</w:t>
      </w:r>
    </w:p>
    <w:p>
      <w:pPr>
        <w:pStyle w:val="Indenta"/>
      </w:pPr>
      <w:r>
        <w:tab/>
        <w:t>(f)</w:t>
      </w:r>
      <w:r>
        <w:tab/>
        <w:t xml:space="preserve">the charge was dismissed or the person was discharged under the repealed section 34 or 34B of the </w:t>
      </w:r>
      <w:r>
        <w:rPr>
          <w:i/>
        </w:rPr>
        <w:t>Child Welfare Act 1947</w:t>
      </w:r>
      <w:r>
        <w:rPr>
          <w:vertAlign w:val="superscript"/>
        </w:rPr>
        <w:t> 4</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15" w:name="_Toc518043763"/>
      <w:bookmarkStart w:id="16" w:name="_Toc512000780"/>
      <w:r>
        <w:rPr>
          <w:rStyle w:val="CharSectno"/>
        </w:rPr>
        <w:t>6</w:t>
      </w:r>
      <w:r>
        <w:t>.</w:t>
      </w:r>
      <w:r>
        <w:tab/>
        <w:t>Term used: loss</w:t>
      </w:r>
      <w:bookmarkEnd w:id="15"/>
      <w:bookmarkEnd w:id="16"/>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 or</w:t>
      </w:r>
    </w:p>
    <w:p>
      <w:pPr>
        <w:pStyle w:val="Defpara"/>
      </w:pPr>
      <w:r>
        <w:tab/>
        <w:t>(b)</w:t>
      </w:r>
      <w:r>
        <w:tab/>
        <w:t>spectacles, or contact lenses, used to correct eyesight; or</w:t>
      </w:r>
    </w:p>
    <w:p>
      <w:pPr>
        <w:pStyle w:val="Defpara"/>
      </w:pPr>
      <w:r>
        <w:tab/>
        <w:t>(c)</w:t>
      </w:r>
      <w:r>
        <w:tab/>
        <w:t>a hearing aid; or</w:t>
      </w:r>
    </w:p>
    <w:p>
      <w:pPr>
        <w:pStyle w:val="Defpara"/>
      </w:pPr>
      <w:r>
        <w:tab/>
        <w:t>(d)</w:t>
      </w:r>
      <w:r>
        <w:tab/>
        <w:t>artificial teeth; or</w:t>
      </w:r>
    </w:p>
    <w:p>
      <w:pPr>
        <w:pStyle w:val="Defpara"/>
      </w:pPr>
      <w:r>
        <w:tab/>
        <w:t>(e)</w:t>
      </w:r>
      <w:r>
        <w:tab/>
        <w:t>an artificial limb; or</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keepNext/>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 or</w:t>
      </w:r>
    </w:p>
    <w:p>
      <w:pPr>
        <w:pStyle w:val="Indenta"/>
      </w:pPr>
      <w:r>
        <w:tab/>
        <w:t>(b)</w:t>
      </w:r>
      <w:r>
        <w:tab/>
        <w:t>expenses that are likely to be reasonably incurred by or on behalf of the victim for treatment that the victim is likely to need as a direct consequence of the injury suffered by the victim; or</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17" w:name="_Toc518043764"/>
      <w:bookmarkStart w:id="18" w:name="_Toc512000781"/>
      <w:r>
        <w:rPr>
          <w:rStyle w:val="CharSectno"/>
        </w:rPr>
        <w:t>7</w:t>
      </w:r>
      <w:r>
        <w:t>.</w:t>
      </w:r>
      <w:r>
        <w:tab/>
        <w:t>Construction of Act</w:t>
      </w:r>
      <w:bookmarkEnd w:id="17"/>
      <w:bookmarkEnd w:id="18"/>
    </w:p>
    <w:p>
      <w:pPr>
        <w:pStyle w:val="Subsection"/>
      </w:pPr>
      <w:r>
        <w:tab/>
      </w:r>
      <w:r>
        <w:tab/>
        <w:t>Subject to sections 42(3) and (4) and 68, this Act must be construed as being in addition to, and not in derogation of, any other law.</w:t>
      </w:r>
    </w:p>
    <w:p>
      <w:pPr>
        <w:pStyle w:val="Heading5"/>
      </w:pPr>
      <w:bookmarkStart w:id="19" w:name="_Toc518043765"/>
      <w:bookmarkStart w:id="20" w:name="_Toc512000782"/>
      <w:r>
        <w:rPr>
          <w:rStyle w:val="CharSectno"/>
        </w:rPr>
        <w:t>8A</w:t>
      </w:r>
      <w:r>
        <w:t>.</w:t>
      </w:r>
      <w:r>
        <w:tab/>
      </w:r>
      <w:r>
        <w:rPr>
          <w:i/>
        </w:rPr>
        <w:t>Courts and Tribunals (Electronic Processes Facilitation) Act 2013</w:t>
      </w:r>
      <w:r>
        <w:t xml:space="preserve"> Part 2 applies</w:t>
      </w:r>
      <w:bookmarkEnd w:id="19"/>
      <w:bookmarkEnd w:id="20"/>
    </w:p>
    <w:p>
      <w:pPr>
        <w:pStyle w:val="Subsection"/>
      </w:pPr>
      <w:r>
        <w:tab/>
      </w:r>
      <w:r>
        <w:tab/>
        <w:t xml:space="preserve">The </w:t>
      </w:r>
      <w:r>
        <w:rPr>
          <w:i/>
        </w:rPr>
        <w:t>Courts and Tribunals (Electronic Processes Facilitation) Act 2013</w:t>
      </w:r>
      <w:r>
        <w:t xml:space="preserve"> Part 2 applies to this Act.</w:t>
      </w:r>
    </w:p>
    <w:p>
      <w:pPr>
        <w:pStyle w:val="Footnotesection"/>
      </w:pPr>
      <w:r>
        <w:tab/>
        <w:t>[Section 8A inserted by No. 20 of 2013 s. 43.]</w:t>
      </w:r>
    </w:p>
    <w:p>
      <w:pPr>
        <w:pStyle w:val="Heading2"/>
      </w:pPr>
      <w:bookmarkStart w:id="21" w:name="_Toc518034642"/>
      <w:bookmarkStart w:id="22" w:name="_Toc518043766"/>
      <w:bookmarkStart w:id="23" w:name="_Toc512000783"/>
      <w:r>
        <w:rPr>
          <w:rStyle w:val="CharPartNo"/>
        </w:rPr>
        <w:t>Part 2</w:t>
      </w:r>
      <w:r>
        <w:t> — </w:t>
      </w:r>
      <w:r>
        <w:rPr>
          <w:rStyle w:val="CharPartText"/>
        </w:rPr>
        <w:t>Applying for compensation</w:t>
      </w:r>
      <w:bookmarkEnd w:id="21"/>
      <w:bookmarkEnd w:id="22"/>
      <w:bookmarkEnd w:id="23"/>
    </w:p>
    <w:p>
      <w:pPr>
        <w:pStyle w:val="Heading3"/>
      </w:pPr>
      <w:bookmarkStart w:id="24" w:name="_Toc518034643"/>
      <w:bookmarkStart w:id="25" w:name="_Toc518043767"/>
      <w:bookmarkStart w:id="26" w:name="_Toc512000784"/>
      <w:r>
        <w:rPr>
          <w:rStyle w:val="CharDivNo"/>
        </w:rPr>
        <w:t>Division 1</w:t>
      </w:r>
      <w:r>
        <w:t> — </w:t>
      </w:r>
      <w:r>
        <w:rPr>
          <w:rStyle w:val="CharDivText"/>
        </w:rPr>
        <w:t>General</w:t>
      </w:r>
      <w:bookmarkEnd w:id="24"/>
      <w:bookmarkEnd w:id="25"/>
      <w:bookmarkEnd w:id="26"/>
    </w:p>
    <w:p>
      <w:pPr>
        <w:pStyle w:val="Heading5"/>
      </w:pPr>
      <w:bookmarkStart w:id="27" w:name="_Toc518043768"/>
      <w:bookmarkStart w:id="28" w:name="_Toc512000785"/>
      <w:r>
        <w:rPr>
          <w:rStyle w:val="CharSectno"/>
        </w:rPr>
        <w:t>8</w:t>
      </w:r>
      <w:r>
        <w:t>.</w:t>
      </w:r>
      <w:r>
        <w:tab/>
        <w:t>Offences for which compensation may be sought</w:t>
      </w:r>
      <w:bookmarkEnd w:id="27"/>
      <w:bookmarkEnd w:id="28"/>
    </w:p>
    <w:p>
      <w:pPr>
        <w:pStyle w:val="Subsection"/>
      </w:pPr>
      <w:r>
        <w:tab/>
      </w:r>
      <w:r>
        <w:tab/>
        <w:t>This Act does not apply to or in relation to an offence that was committed before 22 January 1971.</w:t>
      </w:r>
    </w:p>
    <w:p>
      <w:pPr>
        <w:pStyle w:val="Heading5"/>
      </w:pPr>
      <w:bookmarkStart w:id="29" w:name="_Toc518043769"/>
      <w:bookmarkStart w:id="30" w:name="_Toc512000786"/>
      <w:r>
        <w:rPr>
          <w:rStyle w:val="CharSectno"/>
        </w:rPr>
        <w:t>9</w:t>
      </w:r>
      <w:r>
        <w:t>.</w:t>
      </w:r>
      <w:r>
        <w:tab/>
        <w:t>Time limit for making compensation application</w:t>
      </w:r>
      <w:bookmarkEnd w:id="29"/>
      <w:bookmarkEnd w:id="30"/>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31" w:name="_Toc518043770"/>
      <w:bookmarkStart w:id="32" w:name="_Toc512000787"/>
      <w:r>
        <w:rPr>
          <w:rStyle w:val="CharSectno"/>
        </w:rPr>
        <w:t>10</w:t>
      </w:r>
      <w:r>
        <w:t>.</w:t>
      </w:r>
      <w:r>
        <w:tab/>
        <w:t>Death of person entitled to compensation ends entitlement</w:t>
      </w:r>
      <w:bookmarkEnd w:id="31"/>
      <w:bookmarkEnd w:id="32"/>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33" w:name="_Toc518043771"/>
      <w:bookmarkStart w:id="34" w:name="_Toc512000788"/>
      <w:r>
        <w:rPr>
          <w:rStyle w:val="CharSectno"/>
        </w:rPr>
        <w:t>11</w:t>
      </w:r>
      <w:r>
        <w:t>.</w:t>
      </w:r>
      <w:r>
        <w:tab/>
        <w:t>How to make compensation application</w:t>
      </w:r>
      <w:bookmarkEnd w:id="33"/>
      <w:bookmarkEnd w:id="34"/>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35" w:name="_Toc518034648"/>
      <w:bookmarkStart w:id="36" w:name="_Toc518043772"/>
      <w:bookmarkStart w:id="37" w:name="_Toc512000789"/>
      <w:r>
        <w:rPr>
          <w:rStyle w:val="CharDivNo"/>
        </w:rPr>
        <w:t>Division 2</w:t>
      </w:r>
      <w:r>
        <w:t> — </w:t>
      </w:r>
      <w:r>
        <w:rPr>
          <w:rStyle w:val="CharDivText"/>
        </w:rPr>
        <w:t>When and what compensation can be claimed</w:t>
      </w:r>
      <w:bookmarkEnd w:id="35"/>
      <w:bookmarkEnd w:id="36"/>
      <w:bookmarkEnd w:id="37"/>
    </w:p>
    <w:p>
      <w:pPr>
        <w:pStyle w:val="Heading5"/>
      </w:pPr>
      <w:bookmarkStart w:id="38" w:name="_Toc518043773"/>
      <w:bookmarkStart w:id="39" w:name="_Toc512000790"/>
      <w:r>
        <w:rPr>
          <w:rStyle w:val="CharSectno"/>
        </w:rPr>
        <w:t>12</w:t>
      </w:r>
      <w:r>
        <w:t>.</w:t>
      </w:r>
      <w:r>
        <w:tab/>
        <w:t>Proved offence</w:t>
      </w:r>
      <w:bookmarkEnd w:id="38"/>
      <w:bookmarkEnd w:id="39"/>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40" w:name="_Toc518043774"/>
      <w:bookmarkStart w:id="41" w:name="_Toc512000791"/>
      <w:r>
        <w:rPr>
          <w:rStyle w:val="CharSectno"/>
        </w:rPr>
        <w:t>13</w:t>
      </w:r>
      <w:r>
        <w:t>.</w:t>
      </w:r>
      <w:r>
        <w:tab/>
        <w:t>Alleged offence: acquittal</w:t>
      </w:r>
      <w:bookmarkEnd w:id="40"/>
      <w:bookmarkEnd w:id="41"/>
    </w:p>
    <w:p>
      <w:pPr>
        <w:pStyle w:val="Subsection"/>
      </w:pPr>
      <w:r>
        <w:tab/>
        <w:t>(1)</w:t>
      </w:r>
      <w:r>
        <w:tab/>
        <w:t>This section applies if a person is charged with an alleged offence and is found not guilty of it other than on account of unsoundness of mind.</w:t>
      </w:r>
    </w:p>
    <w:p>
      <w:pPr>
        <w:pStyle w:val="Subsection"/>
      </w:pPr>
      <w:r>
        <w:tab/>
        <w:t>(2)</w:t>
      </w:r>
      <w:r>
        <w:tab/>
        <w:t xml:space="preserve">If a person — </w:t>
      </w:r>
    </w:p>
    <w:p>
      <w:pPr>
        <w:pStyle w:val="Indenta"/>
      </w:pPr>
      <w:r>
        <w:tab/>
        <w:t>(a)</w:t>
      </w:r>
      <w:r>
        <w:tab/>
        <w:t>suffers injury as a consequence of the commission of the alleged offence; and</w:t>
      </w:r>
    </w:p>
    <w:p>
      <w:pPr>
        <w:pStyle w:val="Indenta"/>
      </w:pPr>
      <w:r>
        <w:tab/>
        <w:t>(b)</w:t>
      </w:r>
      <w:r>
        <w:tab/>
        <w:t>claims that the alleged offence was committed but by a person other than the acquitted person,</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 and</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13 amended by No. 55 of 2012 s. 114.]</w:t>
      </w:r>
    </w:p>
    <w:p>
      <w:pPr>
        <w:pStyle w:val="Heading5"/>
      </w:pPr>
      <w:bookmarkStart w:id="42" w:name="_Toc518043775"/>
      <w:bookmarkStart w:id="43" w:name="_Toc512000792"/>
      <w:r>
        <w:rPr>
          <w:rStyle w:val="CharSectno"/>
        </w:rPr>
        <w:t>14</w:t>
      </w:r>
      <w:r>
        <w:t>.</w:t>
      </w:r>
      <w:r>
        <w:tab/>
        <w:t>Alleged offence: acquittal due to unsoundness of mind</w:t>
      </w:r>
      <w:bookmarkEnd w:id="42"/>
      <w:bookmarkEnd w:id="43"/>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a person dies as a consequence of the act or omission that is alleged to constitute the charged offence;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44" w:name="_Toc518043776"/>
      <w:bookmarkStart w:id="45" w:name="_Toc512000793"/>
      <w:r>
        <w:rPr>
          <w:rStyle w:val="CharSectno"/>
        </w:rPr>
        <w:t>15</w:t>
      </w:r>
      <w:r>
        <w:t>.</w:t>
      </w:r>
      <w:r>
        <w:tab/>
        <w:t>Alleged offence: accused not mentally fit to stand trial</w:t>
      </w:r>
      <w:bookmarkEnd w:id="44"/>
      <w:bookmarkEnd w:id="45"/>
    </w:p>
    <w:p>
      <w:pPr>
        <w:pStyle w:val="Subsection"/>
        <w:keepNext/>
      </w:pPr>
      <w:r>
        <w:tab/>
        <w:t>(1)</w:t>
      </w:r>
      <w:r>
        <w:tab/>
        <w:t xml:space="preserve">This section applies if — </w:t>
      </w:r>
    </w:p>
    <w:p>
      <w:pPr>
        <w:pStyle w:val="Indenta"/>
      </w:pPr>
      <w:r>
        <w:tab/>
        <w:t>(a)</w:t>
      </w:r>
      <w:r>
        <w:tab/>
        <w:t>a person is charged with an alleged offence that is alleged to have been committed on or after 1 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46" w:name="_Toc518043777"/>
      <w:bookmarkStart w:id="47" w:name="_Toc512000794"/>
      <w:r>
        <w:rPr>
          <w:rStyle w:val="CharSectno"/>
        </w:rPr>
        <w:t>16</w:t>
      </w:r>
      <w:r>
        <w:t>.</w:t>
      </w:r>
      <w:r>
        <w:tab/>
        <w:t>Alleged offence: charge not determined</w:t>
      </w:r>
      <w:bookmarkEnd w:id="46"/>
      <w:bookmarkEnd w:id="47"/>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 or</w:t>
      </w:r>
    </w:p>
    <w:p>
      <w:pPr>
        <w:pStyle w:val="Indenta"/>
      </w:pPr>
      <w:r>
        <w:tab/>
        <w:t>(b)</w:t>
      </w:r>
      <w:r>
        <w:tab/>
        <w:t>the charge is dismissed without a finding as to whether the person charged is guilty or not guilty of it; or</w:t>
      </w:r>
    </w:p>
    <w:p>
      <w:pPr>
        <w:pStyle w:val="Indenta"/>
      </w:pPr>
      <w:r>
        <w:tab/>
        <w:t>(c)</w:t>
      </w:r>
      <w:r>
        <w:tab/>
        <w:t>the person is acquitted because the prosecutor does not adduce any evidence on the charge; or</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16 amended by No. 2 of 2008 s. 59; No. 55 of 2012 s. 115.]</w:t>
      </w:r>
    </w:p>
    <w:p>
      <w:pPr>
        <w:pStyle w:val="Heading5"/>
      </w:pPr>
      <w:bookmarkStart w:id="48" w:name="_Toc518043778"/>
      <w:bookmarkStart w:id="49" w:name="_Toc512000795"/>
      <w:r>
        <w:rPr>
          <w:rStyle w:val="CharSectno"/>
        </w:rPr>
        <w:t>17</w:t>
      </w:r>
      <w:r>
        <w:t>.</w:t>
      </w:r>
      <w:r>
        <w:tab/>
        <w:t>Alleged offence: no person charged</w:t>
      </w:r>
      <w:bookmarkEnd w:id="48"/>
      <w:bookmarkEnd w:id="49"/>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 or the </w:t>
      </w:r>
      <w:r>
        <w:rPr>
          <w:i/>
        </w:rPr>
        <w:t>Criminal Investigation (Covert Powers) Act 2012</w:t>
      </w:r>
      <w:r>
        <w:t xml:space="preserve"> section 27, 31 or 34.</w:t>
      </w:r>
    </w:p>
    <w:p>
      <w:pPr>
        <w:pStyle w:val="Footnotesection"/>
      </w:pPr>
      <w:r>
        <w:tab/>
        <w:t>[Section 17 amended by No. 55 of 2012 s. 116.]</w:t>
      </w:r>
    </w:p>
    <w:p>
      <w:pPr>
        <w:pStyle w:val="Heading2"/>
      </w:pPr>
      <w:bookmarkStart w:id="50" w:name="_Toc518034655"/>
      <w:bookmarkStart w:id="51" w:name="_Toc518043779"/>
      <w:bookmarkStart w:id="52" w:name="_Toc512000796"/>
      <w:r>
        <w:rPr>
          <w:rStyle w:val="CharPartNo"/>
        </w:rPr>
        <w:t>Part 3</w:t>
      </w:r>
      <w:r>
        <w:rPr>
          <w:rStyle w:val="CharDivNo"/>
        </w:rPr>
        <w:t> </w:t>
      </w:r>
      <w:r>
        <w:t>—</w:t>
      </w:r>
      <w:r>
        <w:rPr>
          <w:rStyle w:val="CharDivText"/>
        </w:rPr>
        <w:t> </w:t>
      </w:r>
      <w:r>
        <w:rPr>
          <w:rStyle w:val="CharPartText"/>
        </w:rPr>
        <w:t>Dealing with compensation applications</w:t>
      </w:r>
      <w:bookmarkEnd w:id="50"/>
      <w:bookmarkEnd w:id="51"/>
      <w:bookmarkEnd w:id="52"/>
    </w:p>
    <w:p>
      <w:pPr>
        <w:pStyle w:val="Heading5"/>
      </w:pPr>
      <w:bookmarkStart w:id="53" w:name="_Toc518043780"/>
      <w:bookmarkStart w:id="54" w:name="_Toc512000797"/>
      <w:r>
        <w:rPr>
          <w:rStyle w:val="CharSectno"/>
        </w:rPr>
        <w:t>18</w:t>
      </w:r>
      <w:r>
        <w:t>.</w:t>
      </w:r>
      <w:r>
        <w:tab/>
        <w:t>Procedure, general matters</w:t>
      </w:r>
      <w:bookmarkEnd w:id="53"/>
      <w:bookmarkEnd w:id="54"/>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55" w:name="_Toc518043781"/>
      <w:bookmarkStart w:id="56" w:name="_Toc512000798"/>
      <w:r>
        <w:rPr>
          <w:rStyle w:val="CharSectno"/>
        </w:rPr>
        <w:t>19</w:t>
      </w:r>
      <w:r>
        <w:t>.</w:t>
      </w:r>
      <w:r>
        <w:tab/>
        <w:t>Assessor’s general powers</w:t>
      </w:r>
      <w:bookmarkEnd w:id="55"/>
      <w:bookmarkEnd w:id="56"/>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give written notice of the application and of any amendment to it to an interested 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57" w:name="_Toc518043782"/>
      <w:bookmarkStart w:id="58" w:name="_Toc512000799"/>
      <w:r>
        <w:rPr>
          <w:rStyle w:val="CharSectno"/>
        </w:rPr>
        <w:t>20</w:t>
      </w:r>
      <w:r>
        <w:t>.</w:t>
      </w:r>
      <w:r>
        <w:tab/>
        <w:t>Victim may be directed to attend doctor etc.</w:t>
      </w:r>
      <w:bookmarkEnd w:id="57"/>
      <w:bookmarkEnd w:id="58"/>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 and</w:t>
      </w:r>
    </w:p>
    <w:p>
      <w:pPr>
        <w:pStyle w:val="Indenta"/>
      </w:pPr>
      <w:r>
        <w:tab/>
        <w:t>(b)</w:t>
      </w:r>
      <w:r>
        <w:tab/>
        <w:t>the assessor must request the health professional to provide the assessor with a report of the examination; and</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59" w:name="_Toc518043783"/>
      <w:bookmarkStart w:id="60" w:name="_Toc512000800"/>
      <w:r>
        <w:rPr>
          <w:rStyle w:val="CharSectno"/>
        </w:rPr>
        <w:t>21</w:t>
      </w:r>
      <w:r>
        <w:t>.</w:t>
      </w:r>
      <w:r>
        <w:tab/>
        <w:t>Applicant may be required to enforce other remedies</w:t>
      </w:r>
      <w:bookmarkEnd w:id="59"/>
      <w:bookmarkEnd w:id="60"/>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61" w:name="_Toc518043784"/>
      <w:bookmarkStart w:id="62" w:name="_Toc512000801"/>
      <w:r>
        <w:rPr>
          <w:rStyle w:val="CharSectno"/>
        </w:rPr>
        <w:t>22</w:t>
      </w:r>
      <w:r>
        <w:t>.</w:t>
      </w:r>
      <w:r>
        <w:tab/>
        <w:t>CEO may apply for stay of compensation application</w:t>
      </w:r>
      <w:bookmarkEnd w:id="61"/>
      <w:bookmarkEnd w:id="62"/>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63" w:name="_Toc518043785"/>
      <w:bookmarkStart w:id="64" w:name="_Toc512000802"/>
      <w:r>
        <w:rPr>
          <w:rStyle w:val="CharSectno"/>
        </w:rPr>
        <w:t>23</w:t>
      </w:r>
      <w:r>
        <w:t>.</w:t>
      </w:r>
      <w:r>
        <w:tab/>
        <w:t>Interim payments</w:t>
      </w:r>
      <w:bookmarkEnd w:id="63"/>
      <w:bookmarkEnd w:id="64"/>
    </w:p>
    <w:p>
      <w:pPr>
        <w:pStyle w:val="Subsection"/>
        <w:keepNext/>
      </w:pPr>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65" w:name="_Toc518043786"/>
      <w:bookmarkStart w:id="66" w:name="_Toc512000803"/>
      <w:r>
        <w:rPr>
          <w:rStyle w:val="CharSectno"/>
        </w:rPr>
        <w:t>24</w:t>
      </w:r>
      <w:r>
        <w:t>.</w:t>
      </w:r>
      <w:r>
        <w:tab/>
        <w:t>Hearing to be held if assessor thinks fit</w:t>
      </w:r>
      <w:bookmarkEnd w:id="65"/>
      <w:bookmarkEnd w:id="66"/>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67" w:name="_Toc518043787"/>
      <w:bookmarkStart w:id="68" w:name="_Toc512000804"/>
      <w:r>
        <w:rPr>
          <w:rStyle w:val="CharSectno"/>
        </w:rPr>
        <w:t>25</w:t>
      </w:r>
      <w:r>
        <w:t>.</w:t>
      </w:r>
      <w:r>
        <w:tab/>
        <w:t>Hearings</w:t>
      </w:r>
      <w:bookmarkEnd w:id="67"/>
      <w:bookmarkEnd w:id="68"/>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 and</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 63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p>
    <w:p>
      <w:pPr>
        <w:pStyle w:val="Footnotesection"/>
      </w:pPr>
      <w:r>
        <w:tab/>
        <w:t>[Section 25 amended by No. 21 of 2008 s. 655(3).]</w:t>
      </w:r>
    </w:p>
    <w:p>
      <w:pPr>
        <w:pStyle w:val="Heading5"/>
      </w:pPr>
      <w:bookmarkStart w:id="69" w:name="_Toc518043788"/>
      <w:bookmarkStart w:id="70" w:name="_Toc512000805"/>
      <w:r>
        <w:rPr>
          <w:rStyle w:val="CharSectno"/>
        </w:rPr>
        <w:t>26</w:t>
      </w:r>
      <w:r>
        <w:t>.</w:t>
      </w:r>
      <w:r>
        <w:tab/>
        <w:t>Awards etc. to be in writing</w:t>
      </w:r>
      <w:bookmarkEnd w:id="69"/>
      <w:bookmarkEnd w:id="70"/>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71" w:name="_Toc518043789"/>
      <w:bookmarkStart w:id="72" w:name="_Toc512000806"/>
      <w:r>
        <w:rPr>
          <w:rStyle w:val="CharSectno"/>
        </w:rPr>
        <w:t>27</w:t>
      </w:r>
      <w:r>
        <w:t>.</w:t>
      </w:r>
      <w:r>
        <w:tab/>
        <w:t>Reasons for decisions</w:t>
      </w:r>
      <w:bookmarkEnd w:id="71"/>
      <w:bookmarkEnd w:id="72"/>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73" w:name="_Toc518043790"/>
      <w:bookmarkStart w:id="74" w:name="_Toc512000807"/>
      <w:r>
        <w:rPr>
          <w:rStyle w:val="CharSectno"/>
        </w:rPr>
        <w:t>28</w:t>
      </w:r>
      <w:r>
        <w:t>.</w:t>
      </w:r>
      <w:r>
        <w:tab/>
        <w:t>Copy of awards to be sent to CEO</w:t>
      </w:r>
      <w:bookmarkEnd w:id="73"/>
      <w:bookmarkEnd w:id="74"/>
    </w:p>
    <w:p>
      <w:pPr>
        <w:pStyle w:val="Subsection"/>
      </w:pPr>
      <w:r>
        <w:tab/>
      </w:r>
      <w:r>
        <w:tab/>
        <w:t>The Chief Assessor must send a copy of a compensation award to the CEO as soon as practicable after it is made.</w:t>
      </w:r>
    </w:p>
    <w:p>
      <w:pPr>
        <w:pStyle w:val="Subsection"/>
      </w:pPr>
    </w:p>
    <w:p>
      <w:pPr>
        <w:pStyle w:val="Heading2"/>
      </w:pPr>
      <w:bookmarkStart w:id="75" w:name="_Toc518034667"/>
      <w:bookmarkStart w:id="76" w:name="_Toc518043791"/>
      <w:bookmarkStart w:id="77" w:name="_Toc512000808"/>
      <w:r>
        <w:rPr>
          <w:rStyle w:val="CharPartNo"/>
        </w:rPr>
        <w:t>Part 4</w:t>
      </w:r>
      <w:r>
        <w:rPr>
          <w:rStyle w:val="CharDivNo"/>
        </w:rPr>
        <w:t> </w:t>
      </w:r>
      <w:r>
        <w:t>—</w:t>
      </w:r>
      <w:r>
        <w:rPr>
          <w:rStyle w:val="CharDivText"/>
        </w:rPr>
        <w:t> </w:t>
      </w:r>
      <w:r>
        <w:rPr>
          <w:rStyle w:val="CharPartText"/>
        </w:rPr>
        <w:t>Matters governing compensation awards</w:t>
      </w:r>
      <w:bookmarkEnd w:id="75"/>
      <w:bookmarkEnd w:id="76"/>
      <w:bookmarkEnd w:id="77"/>
    </w:p>
    <w:p>
      <w:pPr>
        <w:pStyle w:val="Heading5"/>
      </w:pPr>
      <w:bookmarkStart w:id="78" w:name="_Toc518043792"/>
      <w:bookmarkStart w:id="79" w:name="_Toc512000809"/>
      <w:r>
        <w:rPr>
          <w:rStyle w:val="CharSectno"/>
        </w:rPr>
        <w:t>29</w:t>
      </w:r>
      <w:r>
        <w:t>.</w:t>
      </w:r>
      <w:r>
        <w:tab/>
        <w:t>Assessor’s general discretion</w:t>
      </w:r>
      <w:bookmarkEnd w:id="78"/>
      <w:bookmarkEnd w:id="79"/>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80" w:name="_Toc518043793"/>
      <w:bookmarkStart w:id="81" w:name="_Toc512000810"/>
      <w:r>
        <w:rPr>
          <w:rStyle w:val="CharSectno"/>
        </w:rPr>
        <w:t>30</w:t>
      </w:r>
      <w:r>
        <w:t>.</w:t>
      </w:r>
      <w:r>
        <w:tab/>
        <w:t>Compensation awards, general</w:t>
      </w:r>
      <w:bookmarkEnd w:id="80"/>
      <w:bookmarkEnd w:id="81"/>
    </w:p>
    <w:p>
      <w:pPr>
        <w:pStyle w:val="Subsection"/>
      </w:pPr>
      <w:r>
        <w:tab/>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82" w:name="_Toc518043794"/>
      <w:bookmarkStart w:id="83" w:name="_Toc512000811"/>
      <w:r>
        <w:rPr>
          <w:rStyle w:val="CharSectno"/>
        </w:rPr>
        <w:t>31</w:t>
      </w:r>
      <w:r>
        <w:t>.</w:t>
      </w:r>
      <w:r>
        <w:tab/>
        <w:t>Maximum for single offence</w:t>
      </w:r>
      <w:bookmarkEnd w:id="82"/>
      <w:bookmarkEnd w:id="83"/>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84" w:name="_Toc518043795"/>
      <w:bookmarkStart w:id="85" w:name="_Toc512000812"/>
      <w:r>
        <w:rPr>
          <w:rStyle w:val="CharSectno"/>
        </w:rPr>
        <w:t>32</w:t>
      </w:r>
      <w:r>
        <w:t>.</w:t>
      </w:r>
      <w:r>
        <w:tab/>
        <w:t>Maximum for single offence by multiple offenders</w:t>
      </w:r>
      <w:bookmarkEnd w:id="84"/>
      <w:bookmarkEnd w:id="85"/>
    </w:p>
    <w:p>
      <w:pPr>
        <w:pStyle w:val="Subsection"/>
      </w:pPr>
      <w:r>
        <w:tab/>
      </w:r>
      <w:r>
        <w:tab/>
        <w:t>Section 31(1) and (2) apply even if the single offence is committed by 2 or more persons acting in concert.</w:t>
      </w:r>
    </w:p>
    <w:p>
      <w:pPr>
        <w:pStyle w:val="Heading5"/>
      </w:pPr>
      <w:bookmarkStart w:id="86" w:name="_Toc518043796"/>
      <w:bookmarkStart w:id="87" w:name="_Toc512000813"/>
      <w:r>
        <w:rPr>
          <w:rStyle w:val="CharSectno"/>
        </w:rPr>
        <w:t>33</w:t>
      </w:r>
      <w:r>
        <w:t>.</w:t>
      </w:r>
      <w:r>
        <w:tab/>
        <w:t>Maximum for multiple related offences</w:t>
      </w:r>
      <w:bookmarkEnd w:id="86"/>
      <w:bookmarkEnd w:id="87"/>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 or</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 or</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88" w:name="_Toc518043797"/>
      <w:bookmarkStart w:id="89" w:name="_Toc512000814"/>
      <w:r>
        <w:rPr>
          <w:rStyle w:val="CharSectno"/>
        </w:rPr>
        <w:t>34</w:t>
      </w:r>
      <w:r>
        <w:t>.</w:t>
      </w:r>
      <w:r>
        <w:tab/>
        <w:t>Maximum for multiple unrelated offences by one offender</w:t>
      </w:r>
      <w:bookmarkEnd w:id="88"/>
      <w:bookmarkEnd w:id="89"/>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 or</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240"/>
      </w:pPr>
      <w:bookmarkStart w:id="90" w:name="_Toc518043798"/>
      <w:bookmarkStart w:id="91" w:name="_Toc512000815"/>
      <w:r>
        <w:rPr>
          <w:rStyle w:val="CharSectno"/>
        </w:rPr>
        <w:t>35</w:t>
      </w:r>
      <w:r>
        <w:t>.</w:t>
      </w:r>
      <w:r>
        <w:tab/>
        <w:t>Mental and nervous shock, compensation for limited to certain persons</w:t>
      </w:r>
      <w:bookmarkEnd w:id="90"/>
      <w:bookmarkEnd w:id="91"/>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 or</w:t>
      </w:r>
    </w:p>
    <w:p>
      <w:pPr>
        <w:pStyle w:val="Indenta"/>
      </w:pPr>
      <w:r>
        <w:tab/>
        <w:t>(b)</w:t>
      </w:r>
      <w:r>
        <w:tab/>
        <w:t>that the victim was the person against whom, or against whose property, the offence was committed; or</w:t>
      </w:r>
    </w:p>
    <w:p>
      <w:pPr>
        <w:pStyle w:val="Indenta"/>
      </w:pPr>
      <w:r>
        <w:tab/>
        <w:t>(c)</w:t>
      </w:r>
      <w:r>
        <w:tab/>
        <w:t>that a person other than the victim died or suffered injury as a consequence of the offence and the victim was personally present when or immediately after the offence was committed; or</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keepNext/>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r>
        <w:tab/>
        <w:t>[Section 35 amended by No. 29 of 2004 s. 5.]</w:t>
      </w:r>
    </w:p>
    <w:p>
      <w:pPr>
        <w:pStyle w:val="Heading5"/>
      </w:pPr>
      <w:bookmarkStart w:id="92" w:name="_Toc518043799"/>
      <w:bookmarkStart w:id="93" w:name="_Toc512000816"/>
      <w:r>
        <w:rPr>
          <w:rStyle w:val="CharSectno"/>
        </w:rPr>
        <w:t>36</w:t>
      </w:r>
      <w:r>
        <w:t>.</w:t>
      </w:r>
      <w:r>
        <w:tab/>
        <w:t>No award if compensation likely to benefit offender</w:t>
      </w:r>
      <w:bookmarkEnd w:id="92"/>
      <w:bookmarkEnd w:id="93"/>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94" w:name="_Toc518043800"/>
      <w:bookmarkStart w:id="95" w:name="_Toc512000817"/>
      <w:r>
        <w:rPr>
          <w:rStyle w:val="CharSectno"/>
        </w:rPr>
        <w:t>37</w:t>
      </w:r>
      <w:r>
        <w:t>.</w:t>
      </w:r>
      <w:r>
        <w:tab/>
        <w:t>No award if injury is from motor vehicle in certain cases</w:t>
      </w:r>
      <w:bookmarkEnd w:id="94"/>
      <w:bookmarkEnd w:id="95"/>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ind w:left="890" w:hanging="890"/>
      </w:pPr>
      <w:r>
        <w:tab/>
        <w:t>[Section 37 amended by No. 29 of 2004 s. 6.]</w:t>
      </w:r>
    </w:p>
    <w:p>
      <w:pPr>
        <w:pStyle w:val="Heading5"/>
      </w:pPr>
      <w:bookmarkStart w:id="96" w:name="_Toc518043801"/>
      <w:bookmarkStart w:id="97" w:name="_Toc512000818"/>
      <w:r>
        <w:rPr>
          <w:rStyle w:val="CharSectno"/>
        </w:rPr>
        <w:t>38</w:t>
      </w:r>
      <w:r>
        <w:t>.</w:t>
      </w:r>
      <w:r>
        <w:tab/>
        <w:t>No award if applicant did not assist investigators</w:t>
      </w:r>
      <w:bookmarkEnd w:id="96"/>
      <w:bookmarkEnd w:id="97"/>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98" w:name="_Toc518043802"/>
      <w:bookmarkStart w:id="99" w:name="_Toc512000819"/>
      <w:r>
        <w:rPr>
          <w:rStyle w:val="CharSectno"/>
        </w:rPr>
        <w:t>39</w:t>
      </w:r>
      <w:r>
        <w:t>.</w:t>
      </w:r>
      <w:r>
        <w:tab/>
        <w:t>No award if victim was engaged in criminal conduct</w:t>
      </w:r>
      <w:bookmarkEnd w:id="98"/>
      <w:bookmarkEnd w:id="99"/>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100" w:name="_Toc518043803"/>
      <w:bookmarkStart w:id="101" w:name="_Toc512000820"/>
      <w:r>
        <w:rPr>
          <w:rStyle w:val="CharSectno"/>
        </w:rPr>
        <w:t>40</w:t>
      </w:r>
      <w:r>
        <w:t>.</w:t>
      </w:r>
      <w:r>
        <w:tab/>
        <w:t>No award if compensation already awarded or refused</w:t>
      </w:r>
      <w:bookmarkEnd w:id="100"/>
      <w:bookmarkEnd w:id="101"/>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5</w:t>
      </w:r>
      <w:r>
        <w:t xml:space="preserve">, or an award of compensation made under the </w:t>
      </w:r>
      <w:r>
        <w:rPr>
          <w:i/>
        </w:rPr>
        <w:t>Criminal Injuries Compensation Act 1982 </w:t>
      </w:r>
      <w:r>
        <w:rPr>
          <w:vertAlign w:val="superscript"/>
        </w:rPr>
        <w:t>6</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5</w:t>
      </w:r>
      <w:r>
        <w:t xml:space="preserve">, the </w:t>
      </w:r>
      <w:r>
        <w:rPr>
          <w:i/>
        </w:rPr>
        <w:t>Criminal Injuries Compensation Act 1982</w:t>
      </w:r>
      <w:r>
        <w:rPr>
          <w:iCs/>
          <w:vertAlign w:val="superscript"/>
        </w:rPr>
        <w:t> 6</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102" w:name="_Toc518043804"/>
      <w:bookmarkStart w:id="103" w:name="_Toc512000821"/>
      <w:r>
        <w:rPr>
          <w:rStyle w:val="CharSectno"/>
        </w:rPr>
        <w:t>41</w:t>
      </w:r>
      <w:r>
        <w:t>.</w:t>
      </w:r>
      <w:r>
        <w:tab/>
        <w:t>Behaviour etc. of victim to be considered</w:t>
      </w:r>
      <w:bookmarkEnd w:id="102"/>
      <w:bookmarkEnd w:id="103"/>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104" w:name="_Toc518043805"/>
      <w:bookmarkStart w:id="105" w:name="_Toc512000822"/>
      <w:r>
        <w:rPr>
          <w:rStyle w:val="CharSectno"/>
        </w:rPr>
        <w:t>42</w:t>
      </w:r>
      <w:r>
        <w:t>.</w:t>
      </w:r>
      <w:r>
        <w:tab/>
        <w:t>Insurance payments etc. to be deducted from award</w:t>
      </w:r>
      <w:bookmarkEnd w:id="104"/>
      <w:bookmarkEnd w:id="105"/>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 xml:space="preserve">Despite subsections (3) and (4), in the case of an application by a personal representative of a deceased victim, the amounts described in the </w:t>
      </w:r>
      <w:r>
        <w:rPr>
          <w:i/>
        </w:rPr>
        <w:t>Fatal Accidents Act 1959</w:t>
      </w:r>
      <w:r>
        <w:t xml:space="preserve"> section 5(2)(b) and (c) must not be deducted.</w:t>
      </w:r>
    </w:p>
    <w:p>
      <w:pPr>
        <w:pStyle w:val="Heading5"/>
      </w:pPr>
      <w:bookmarkStart w:id="106" w:name="_Toc518043806"/>
      <w:bookmarkStart w:id="107" w:name="_Toc512000823"/>
      <w:r>
        <w:rPr>
          <w:rStyle w:val="CharSectno"/>
        </w:rPr>
        <w:t>43</w:t>
      </w:r>
      <w:r>
        <w:t>.</w:t>
      </w:r>
      <w:r>
        <w:tab/>
        <w:t>Award to be offset against any amount owed to State</w:t>
      </w:r>
      <w:bookmarkEnd w:id="106"/>
      <w:bookmarkEnd w:id="107"/>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 or</w:t>
      </w:r>
    </w:p>
    <w:p>
      <w:pPr>
        <w:pStyle w:val="Indenta"/>
      </w:pPr>
      <w:r>
        <w:tab/>
        <w:t>(b)</w:t>
      </w:r>
      <w:r>
        <w:tab/>
        <w:t>under a compensation reimbursement order; or</w:t>
      </w:r>
    </w:p>
    <w:p>
      <w:pPr>
        <w:pStyle w:val="Indenta"/>
      </w:pPr>
      <w:r>
        <w:tab/>
        <w:t>(c)</w:t>
      </w:r>
      <w:r>
        <w:tab/>
        <w:t>under section 68.</w:t>
      </w:r>
    </w:p>
    <w:p>
      <w:pPr>
        <w:pStyle w:val="Footnotesection"/>
      </w:pPr>
      <w:r>
        <w:tab/>
        <w:t>[Section 43 amended by No. 29 of 2004 s. 7.]</w:t>
      </w:r>
    </w:p>
    <w:p>
      <w:pPr>
        <w:pStyle w:val="Heading5"/>
      </w:pPr>
      <w:bookmarkStart w:id="108" w:name="_Toc518043807"/>
      <w:bookmarkStart w:id="109" w:name="_Toc512000824"/>
      <w:r>
        <w:rPr>
          <w:rStyle w:val="CharSectno"/>
        </w:rPr>
        <w:t>44</w:t>
      </w:r>
      <w:r>
        <w:t>.</w:t>
      </w:r>
      <w:r>
        <w:tab/>
        <w:t>Person who incurs expenses may be paid directly</w:t>
      </w:r>
      <w:bookmarkEnd w:id="108"/>
      <w:bookmarkEnd w:id="109"/>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110" w:name="_Toc518043808"/>
      <w:bookmarkStart w:id="111" w:name="_Toc512000825"/>
      <w:r>
        <w:rPr>
          <w:rStyle w:val="CharSectno"/>
        </w:rPr>
        <w:t>45</w:t>
      </w:r>
      <w:r>
        <w:t>.</w:t>
      </w:r>
      <w:r>
        <w:tab/>
        <w:t>Order about reimbursement order may be made</w:t>
      </w:r>
      <w:bookmarkEnd w:id="110"/>
      <w:bookmarkEnd w:id="111"/>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 6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112" w:name="_Toc518034685"/>
      <w:bookmarkStart w:id="113" w:name="_Toc518043809"/>
      <w:bookmarkStart w:id="114" w:name="_Toc512000826"/>
      <w:r>
        <w:rPr>
          <w:rStyle w:val="CharPartNo"/>
        </w:rPr>
        <w:t>Part 5</w:t>
      </w:r>
      <w:r>
        <w:rPr>
          <w:rStyle w:val="CharDivNo"/>
        </w:rPr>
        <w:t> </w:t>
      </w:r>
      <w:r>
        <w:t>—</w:t>
      </w:r>
      <w:r>
        <w:rPr>
          <w:rStyle w:val="CharDivText"/>
        </w:rPr>
        <w:t> </w:t>
      </w:r>
      <w:r>
        <w:rPr>
          <w:rStyle w:val="CharPartText"/>
        </w:rPr>
        <w:t>Paying compensation awarded</w:t>
      </w:r>
      <w:bookmarkEnd w:id="112"/>
      <w:bookmarkEnd w:id="113"/>
      <w:bookmarkEnd w:id="114"/>
    </w:p>
    <w:p>
      <w:pPr>
        <w:pStyle w:val="Heading5"/>
        <w:spacing w:before="240"/>
      </w:pPr>
      <w:bookmarkStart w:id="115" w:name="_Toc518043810"/>
      <w:bookmarkStart w:id="116" w:name="_Toc512000827"/>
      <w:r>
        <w:rPr>
          <w:rStyle w:val="CharSectno"/>
        </w:rPr>
        <w:t>46</w:t>
      </w:r>
      <w:r>
        <w:t>.</w:t>
      </w:r>
      <w:r>
        <w:tab/>
      </w:r>
      <w:r>
        <w:rPr>
          <w:snapToGrid w:val="0"/>
        </w:rPr>
        <w:t>Consolidated Account</w:t>
      </w:r>
      <w:r>
        <w:t xml:space="preserve"> charged with payment</w:t>
      </w:r>
      <w:bookmarkEnd w:id="115"/>
      <w:bookmarkEnd w:id="116"/>
    </w:p>
    <w:p>
      <w:pPr>
        <w:pStyle w:val="Subsection"/>
        <w:spacing w:before="18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ind w:left="890" w:hanging="890"/>
      </w:pPr>
      <w:r>
        <w:tab/>
        <w:t>[Section 46 amended by No. 77 of 2006 s. 4.]</w:t>
      </w:r>
    </w:p>
    <w:p>
      <w:pPr>
        <w:pStyle w:val="Heading5"/>
        <w:spacing w:before="240"/>
      </w:pPr>
      <w:bookmarkStart w:id="117" w:name="_Toc518043811"/>
      <w:bookmarkStart w:id="118" w:name="_Toc512000828"/>
      <w:r>
        <w:rPr>
          <w:rStyle w:val="CharSectno"/>
        </w:rPr>
        <w:t>47</w:t>
      </w:r>
      <w:r>
        <w:t>.</w:t>
      </w:r>
      <w:r>
        <w:tab/>
        <w:t>Appeal period, payment may be withheld</w:t>
      </w:r>
      <w:bookmarkEnd w:id="117"/>
      <w:bookmarkEnd w:id="118"/>
    </w:p>
    <w:p>
      <w:pPr>
        <w:pStyle w:val="Subsection"/>
        <w:spacing w:before="180"/>
      </w:pPr>
      <w:r>
        <w:tab/>
      </w:r>
      <w:r>
        <w:tab/>
        <w:t xml:space="preserve">Payment under a compensation award is not to be made until — </w:t>
      </w:r>
    </w:p>
    <w:p>
      <w:pPr>
        <w:pStyle w:val="Indenta"/>
      </w:pPr>
      <w:r>
        <w:tab/>
        <w:t>(a)</w:t>
      </w:r>
      <w:r>
        <w:tab/>
        <w:t>the period referred to in section 55(3) has elapsed; and</w:t>
      </w:r>
    </w:p>
    <w:p>
      <w:pPr>
        <w:pStyle w:val="Indenta"/>
      </w:pPr>
      <w:r>
        <w:tab/>
        <w:t>(b)</w:t>
      </w:r>
      <w:r>
        <w:tab/>
        <w:t>any appeal commenced under Part 7 is determined,</w:t>
      </w:r>
    </w:p>
    <w:p>
      <w:pPr>
        <w:pStyle w:val="Subsection"/>
        <w:spacing w:before="180"/>
      </w:pPr>
      <w:r>
        <w:tab/>
      </w:r>
      <w:r>
        <w:tab/>
        <w:t>except with the written authority of an assessor.</w:t>
      </w:r>
    </w:p>
    <w:p>
      <w:pPr>
        <w:pStyle w:val="Heading5"/>
        <w:spacing w:before="240"/>
      </w:pPr>
      <w:bookmarkStart w:id="119" w:name="_Toc518043812"/>
      <w:bookmarkStart w:id="120" w:name="_Toc512000829"/>
      <w:r>
        <w:rPr>
          <w:rStyle w:val="CharSectno"/>
        </w:rPr>
        <w:t>48</w:t>
      </w:r>
      <w:r>
        <w:t>.</w:t>
      </w:r>
      <w:r>
        <w:tab/>
        <w:t>Future treatment expenses, payment of</w:t>
      </w:r>
      <w:bookmarkEnd w:id="119"/>
      <w:bookmarkEnd w:id="120"/>
    </w:p>
    <w:p>
      <w:pPr>
        <w:pStyle w:val="Subsection"/>
        <w:spacing w:before="18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pPr>
      <w:r>
        <w:tab/>
        <w:t>(a)</w:t>
      </w:r>
      <w:r>
        <w:tab/>
        <w:t>the Chief Assessor is given evidence for the purposes of paragraph (b) by or on behalf of the victim; and</w:t>
      </w:r>
    </w:p>
    <w:p>
      <w:pPr>
        <w:pStyle w:val="Indenta"/>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pPr>
      <w:r>
        <w:tab/>
        <w:t>(c)</w:t>
      </w:r>
      <w:r>
        <w:tab/>
        <w:t>the Chief Assessor is given a request for payment of the amount in accordance with subsection (2).</w:t>
      </w:r>
    </w:p>
    <w:p>
      <w:pPr>
        <w:pStyle w:val="Subsection"/>
        <w:keepNext/>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r>
        <w:rPr>
          <w:vertAlign w:val="superscript"/>
        </w:rPr>
        <w:t> 1</w:t>
      </w:r>
      <w:r>
        <w:t>,</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121" w:name="_Toc518034689"/>
      <w:bookmarkStart w:id="122" w:name="_Toc518043813"/>
      <w:bookmarkStart w:id="123" w:name="_Toc512000830"/>
      <w:r>
        <w:rPr>
          <w:rStyle w:val="CharPartNo"/>
        </w:rPr>
        <w:t>Part 6</w:t>
      </w:r>
      <w:r>
        <w:rPr>
          <w:rStyle w:val="CharDivNo"/>
        </w:rPr>
        <w:t> </w:t>
      </w:r>
      <w:r>
        <w:t>—</w:t>
      </w:r>
      <w:r>
        <w:rPr>
          <w:rStyle w:val="CharDivText"/>
        </w:rPr>
        <w:t> </w:t>
      </w:r>
      <w:r>
        <w:rPr>
          <w:rStyle w:val="CharPartText"/>
        </w:rPr>
        <w:t>Recovering compensation from offenders</w:t>
      </w:r>
      <w:bookmarkEnd w:id="121"/>
      <w:bookmarkEnd w:id="122"/>
      <w:bookmarkEnd w:id="123"/>
    </w:p>
    <w:p>
      <w:pPr>
        <w:pStyle w:val="Heading5"/>
      </w:pPr>
      <w:bookmarkStart w:id="124" w:name="_Toc518043814"/>
      <w:bookmarkStart w:id="125" w:name="_Toc512000831"/>
      <w:r>
        <w:rPr>
          <w:rStyle w:val="CharSectno"/>
        </w:rPr>
        <w:t>48A</w:t>
      </w:r>
      <w:r>
        <w:t>.</w:t>
      </w:r>
      <w:r>
        <w:tab/>
        <w:t>Term used: compensation award</w:t>
      </w:r>
      <w:bookmarkEnd w:id="124"/>
      <w:bookmarkEnd w:id="125"/>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126" w:name="_Toc518043815"/>
      <w:bookmarkStart w:id="127" w:name="_Toc512000832"/>
      <w:r>
        <w:rPr>
          <w:rStyle w:val="CharSectno"/>
        </w:rPr>
        <w:t>49</w:t>
      </w:r>
      <w:r>
        <w:t>.</w:t>
      </w:r>
      <w:r>
        <w:tab/>
        <w:t>CEO may request offender to reimburse compensation</w:t>
      </w:r>
      <w:bookmarkEnd w:id="126"/>
      <w:bookmarkEnd w:id="127"/>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128" w:name="_Toc518043816"/>
      <w:bookmarkStart w:id="129" w:name="_Toc512000833"/>
      <w:r>
        <w:rPr>
          <w:rStyle w:val="CharSectno"/>
        </w:rPr>
        <w:t>50</w:t>
      </w:r>
      <w:r>
        <w:t>.</w:t>
      </w:r>
      <w:r>
        <w:tab/>
        <w:t>Compensation reimbursement orders, application for</w:t>
      </w:r>
      <w:bookmarkEnd w:id="128"/>
      <w:bookmarkEnd w:id="129"/>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130" w:name="_Toc518043817"/>
      <w:bookmarkStart w:id="131" w:name="_Toc512000834"/>
      <w:r>
        <w:rPr>
          <w:rStyle w:val="CharSectno"/>
        </w:rPr>
        <w:t>51</w:t>
      </w:r>
      <w:r>
        <w:t>.</w:t>
      </w:r>
      <w:r>
        <w:tab/>
        <w:t>Dealing with applications</w:t>
      </w:r>
      <w:bookmarkEnd w:id="130"/>
      <w:bookmarkEnd w:id="131"/>
    </w:p>
    <w:p>
      <w:pPr>
        <w:pStyle w:val="Subsection"/>
      </w:pPr>
      <w:r>
        <w:tab/>
        <w:t>(1)</w:t>
      </w:r>
      <w:r>
        <w:tab/>
        <w:t xml:space="preserve">In this section — </w:t>
      </w:r>
    </w:p>
    <w:p>
      <w:pPr>
        <w:pStyle w:val="Defstart"/>
      </w:pPr>
      <w:r>
        <w:rPr>
          <w:b/>
        </w:rPr>
        <w:tab/>
      </w:r>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 and</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 and</w:t>
      </w:r>
    </w:p>
    <w:p>
      <w:pPr>
        <w:pStyle w:val="Indenta"/>
      </w:pPr>
      <w:r>
        <w:tab/>
        <w:t>(b)</w:t>
      </w:r>
      <w:r>
        <w:tab/>
        <w:t>to appear at the hearing and be heard by the assessor dealing with the application; and</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132" w:name="_Toc518043818"/>
      <w:bookmarkStart w:id="133" w:name="_Toc512000835"/>
      <w:r>
        <w:rPr>
          <w:rStyle w:val="CharSectno"/>
        </w:rPr>
        <w:t>52</w:t>
      </w:r>
      <w:r>
        <w:t>.</w:t>
      </w:r>
      <w:r>
        <w:tab/>
        <w:t>Compensation reimbursement order, making</w:t>
      </w:r>
      <w:bookmarkEnd w:id="132"/>
      <w:bookmarkEnd w:id="133"/>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134" w:name="_Toc518043819"/>
      <w:bookmarkStart w:id="135" w:name="_Toc512000836"/>
      <w:r>
        <w:rPr>
          <w:rStyle w:val="CharSectno"/>
        </w:rPr>
        <w:t>53</w:t>
      </w:r>
      <w:r>
        <w:t>.</w:t>
      </w:r>
      <w:r>
        <w:tab/>
        <w:t>Compensation reimbursement order, enforcement of</w:t>
      </w:r>
      <w:bookmarkEnd w:id="134"/>
      <w:bookmarkEnd w:id="135"/>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136" w:name="_Toc518043820"/>
      <w:bookmarkStart w:id="137" w:name="_Toc512000837"/>
      <w:r>
        <w:rPr>
          <w:rStyle w:val="CharSectno"/>
        </w:rPr>
        <w:t>54</w:t>
      </w:r>
      <w:r>
        <w:t>.</w:t>
      </w:r>
      <w:r>
        <w:tab/>
        <w:t xml:space="preserve">Reimbursed amounts to be credited to </w:t>
      </w:r>
      <w:r>
        <w:rPr>
          <w:snapToGrid w:val="0"/>
        </w:rPr>
        <w:t>Consolidated Account</w:t>
      </w:r>
      <w:bookmarkEnd w:id="136"/>
      <w:bookmarkEnd w:id="137"/>
    </w:p>
    <w:p>
      <w:pPr>
        <w:pStyle w:val="Subsection"/>
      </w:pPr>
      <w:r>
        <w:tab/>
      </w:r>
      <w:r>
        <w:tab/>
        <w:t>Any money paid or recovered under this Part must be credited to the</w:t>
      </w:r>
      <w:r>
        <w:rPr>
          <w:snapToGrid w:val="0"/>
        </w:rPr>
        <w:t xml:space="preserve"> Consolidated Account</w:t>
      </w:r>
      <w:r>
        <w:t>.</w:t>
      </w:r>
    </w:p>
    <w:p>
      <w:pPr>
        <w:pStyle w:val="Footnotesection"/>
      </w:pPr>
      <w:r>
        <w:tab/>
        <w:t>[Section 54 amended by No. 77 of 2006 s. 4.]</w:t>
      </w:r>
    </w:p>
    <w:p>
      <w:pPr>
        <w:pStyle w:val="Heading2"/>
      </w:pPr>
      <w:bookmarkStart w:id="138" w:name="_Toc518034697"/>
      <w:bookmarkStart w:id="139" w:name="_Toc518043821"/>
      <w:bookmarkStart w:id="140" w:name="_Toc512000838"/>
      <w:r>
        <w:rPr>
          <w:rStyle w:val="CharPartNo"/>
        </w:rPr>
        <w:t>Part 7</w:t>
      </w:r>
      <w:r>
        <w:rPr>
          <w:rStyle w:val="CharDivNo"/>
        </w:rPr>
        <w:t> </w:t>
      </w:r>
      <w:r>
        <w:t>—</w:t>
      </w:r>
      <w:r>
        <w:rPr>
          <w:rStyle w:val="CharDivText"/>
        </w:rPr>
        <w:t> </w:t>
      </w:r>
      <w:r>
        <w:rPr>
          <w:rStyle w:val="CharPartText"/>
        </w:rPr>
        <w:t>Appeals and referrals</w:t>
      </w:r>
      <w:bookmarkEnd w:id="138"/>
      <w:bookmarkEnd w:id="139"/>
      <w:bookmarkEnd w:id="140"/>
    </w:p>
    <w:p>
      <w:pPr>
        <w:pStyle w:val="Heading5"/>
      </w:pPr>
      <w:bookmarkStart w:id="141" w:name="_Toc518043822"/>
      <w:bookmarkStart w:id="142" w:name="_Toc512000839"/>
      <w:r>
        <w:rPr>
          <w:rStyle w:val="CharSectno"/>
        </w:rPr>
        <w:t>55</w:t>
      </w:r>
      <w:r>
        <w:t>.</w:t>
      </w:r>
      <w:r>
        <w:tab/>
        <w:t>Appeal lies to District Court</w:t>
      </w:r>
      <w:bookmarkEnd w:id="141"/>
      <w:bookmarkEnd w:id="142"/>
    </w:p>
    <w:p>
      <w:pPr>
        <w:pStyle w:val="Subsection"/>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 52;</w:t>
      </w:r>
    </w:p>
    <w:p>
      <w:pPr>
        <w:pStyle w:val="Indenta"/>
      </w:pPr>
      <w:r>
        <w:tab/>
        <w:t>(b)</w:t>
      </w:r>
      <w:r>
        <w:tab/>
        <w:t>as to the amount of a compensation reimbursement order made or amended under section 52.</w:t>
      </w:r>
    </w:p>
    <w:p>
      <w:pPr>
        <w:pStyle w:val="Subsection"/>
      </w:pPr>
      <w:r>
        <w:tab/>
        <w:t>(3)</w:t>
      </w:r>
      <w:r>
        <w:tab/>
        <w:t>The appeal must be commenced within 21 days after the date of the decision.</w:t>
      </w:r>
    </w:p>
    <w:p>
      <w:pPr>
        <w:pStyle w:val="Subsection"/>
      </w:pPr>
      <w:r>
        <w:tab/>
        <w:t>(4)</w:t>
      </w:r>
      <w:r>
        <w:tab/>
        <w:t>If it is just to do so, the District Court may allow an appeal to be commenced after the 21 days, and may do so even if the period has expired.</w:t>
      </w:r>
    </w:p>
    <w:p>
      <w:pPr>
        <w:pStyle w:val="Subsection"/>
      </w:pPr>
      <w:r>
        <w:tab/>
        <w:t>(5)</w:t>
      </w:r>
      <w:r>
        <w:tab/>
        <w:t>The appeal must be conducted in accordance with rules of court made by the District Court.</w:t>
      </w:r>
    </w:p>
    <w:p>
      <w:pPr>
        <w:pStyle w:val="Heading5"/>
        <w:spacing w:before="240"/>
      </w:pPr>
      <w:bookmarkStart w:id="143" w:name="_Toc518043823"/>
      <w:bookmarkStart w:id="144" w:name="_Toc512000840"/>
      <w:r>
        <w:rPr>
          <w:rStyle w:val="CharSectno"/>
        </w:rPr>
        <w:t>56</w:t>
      </w:r>
      <w:r>
        <w:t>.</w:t>
      </w:r>
      <w:r>
        <w:tab/>
        <w:t>Dealing with appeals</w:t>
      </w:r>
      <w:bookmarkEnd w:id="143"/>
      <w:bookmarkEnd w:id="144"/>
    </w:p>
    <w:p>
      <w:pPr>
        <w:pStyle w:val="Subsection"/>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keepNext/>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145" w:name="_Toc518043824"/>
      <w:bookmarkStart w:id="146" w:name="_Toc512000841"/>
      <w:r>
        <w:rPr>
          <w:rStyle w:val="CharSectno"/>
        </w:rPr>
        <w:t>57</w:t>
      </w:r>
      <w:r>
        <w:t>.</w:t>
      </w:r>
      <w:r>
        <w:tab/>
        <w:t>District Court decision is final</w:t>
      </w:r>
      <w:bookmarkEnd w:id="145"/>
      <w:bookmarkEnd w:id="146"/>
    </w:p>
    <w:p>
      <w:pPr>
        <w:pStyle w:val="Subsection"/>
      </w:pPr>
      <w:r>
        <w:tab/>
      </w:r>
      <w:r>
        <w:tab/>
        <w:t>The District Court’s decision on an appeal made under this Part is not appealable.</w:t>
      </w:r>
    </w:p>
    <w:p>
      <w:pPr>
        <w:pStyle w:val="Heading5"/>
      </w:pPr>
      <w:bookmarkStart w:id="147" w:name="_Toc518043825"/>
      <w:bookmarkStart w:id="148" w:name="_Toc512000842"/>
      <w:r>
        <w:rPr>
          <w:rStyle w:val="CharSectno"/>
        </w:rPr>
        <w:t>58</w:t>
      </w:r>
      <w:r>
        <w:t>.</w:t>
      </w:r>
      <w:r>
        <w:tab/>
        <w:t>Assessor may refer question of law to Court of Appeal</w:t>
      </w:r>
      <w:bookmarkEnd w:id="147"/>
      <w:bookmarkEnd w:id="148"/>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149" w:name="_Toc518034702"/>
      <w:bookmarkStart w:id="150" w:name="_Toc518043826"/>
      <w:bookmarkStart w:id="151" w:name="_Toc512000843"/>
      <w:r>
        <w:rPr>
          <w:rStyle w:val="CharPartNo"/>
        </w:rPr>
        <w:t>Part 8</w:t>
      </w:r>
      <w:r>
        <w:rPr>
          <w:rStyle w:val="CharDivNo"/>
        </w:rPr>
        <w:t> </w:t>
      </w:r>
      <w:r>
        <w:t>—</w:t>
      </w:r>
      <w:r>
        <w:rPr>
          <w:rStyle w:val="CharDivText"/>
        </w:rPr>
        <w:t> </w:t>
      </w:r>
      <w:r>
        <w:rPr>
          <w:rStyle w:val="CharPartText"/>
        </w:rPr>
        <w:t>Administrative matters</w:t>
      </w:r>
      <w:bookmarkEnd w:id="149"/>
      <w:bookmarkEnd w:id="150"/>
      <w:bookmarkEnd w:id="151"/>
    </w:p>
    <w:p>
      <w:pPr>
        <w:pStyle w:val="Heading5"/>
      </w:pPr>
      <w:bookmarkStart w:id="152" w:name="_Toc518043827"/>
      <w:bookmarkStart w:id="153" w:name="_Toc512000844"/>
      <w:r>
        <w:rPr>
          <w:rStyle w:val="CharSectno"/>
        </w:rPr>
        <w:t>59</w:t>
      </w:r>
      <w:r>
        <w:t>.</w:t>
      </w:r>
      <w:r>
        <w:tab/>
        <w:t>Chief Assessor and assessors, appointment of etc.</w:t>
      </w:r>
      <w:bookmarkEnd w:id="152"/>
      <w:bookmarkEnd w:id="153"/>
    </w:p>
    <w:p>
      <w:pPr>
        <w:pStyle w:val="Subsection"/>
      </w:pPr>
      <w:r>
        <w:tab/>
      </w:r>
      <w:r>
        <w:tab/>
        <w:t>Schedule 1 has effect.</w:t>
      </w:r>
    </w:p>
    <w:p>
      <w:pPr>
        <w:pStyle w:val="Heading5"/>
      </w:pPr>
      <w:bookmarkStart w:id="154" w:name="_Toc518043828"/>
      <w:bookmarkStart w:id="155" w:name="_Toc512000845"/>
      <w:r>
        <w:rPr>
          <w:rStyle w:val="CharSectno"/>
        </w:rPr>
        <w:t>60</w:t>
      </w:r>
      <w:r>
        <w:t>.</w:t>
      </w:r>
      <w:r>
        <w:tab/>
        <w:t>Chief Assessor may allocate work to assessors</w:t>
      </w:r>
      <w:bookmarkEnd w:id="154"/>
      <w:bookmarkEnd w:id="155"/>
    </w:p>
    <w:p>
      <w:pPr>
        <w:pStyle w:val="Subsection"/>
      </w:pPr>
      <w:r>
        <w:tab/>
      </w:r>
      <w:r>
        <w:tab/>
        <w:t>The Chief Assessor may allocate and reallocate compensation applications to or among himself or herself and the other assessors to be dealt with in accordance with this Act.</w:t>
      </w:r>
    </w:p>
    <w:p>
      <w:pPr>
        <w:pStyle w:val="Heading5"/>
      </w:pPr>
      <w:bookmarkStart w:id="156" w:name="_Toc518043829"/>
      <w:bookmarkStart w:id="157" w:name="_Toc512000846"/>
      <w:r>
        <w:rPr>
          <w:rStyle w:val="CharSectno"/>
        </w:rPr>
        <w:t>61</w:t>
      </w:r>
      <w:r>
        <w:t>.</w:t>
      </w:r>
      <w:r>
        <w:tab/>
        <w:t>Administrative staff</w:t>
      </w:r>
      <w:bookmarkEnd w:id="156"/>
      <w:bookmarkEnd w:id="157"/>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158" w:name="_Toc518043830"/>
      <w:bookmarkStart w:id="159" w:name="_Toc512000847"/>
      <w:r>
        <w:rPr>
          <w:rStyle w:val="CharSectno"/>
        </w:rPr>
        <w:t>62</w:t>
      </w:r>
      <w:r>
        <w:t>.</w:t>
      </w:r>
      <w:r>
        <w:tab/>
        <w:t>Annual report and other reports</w:t>
      </w:r>
      <w:bookmarkEnd w:id="158"/>
      <w:bookmarkEnd w:id="159"/>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160" w:name="_Toc518034707"/>
      <w:bookmarkStart w:id="161" w:name="_Toc518043831"/>
      <w:bookmarkStart w:id="162" w:name="_Toc512000848"/>
      <w:r>
        <w:rPr>
          <w:rStyle w:val="CharPartNo"/>
        </w:rPr>
        <w:t>Part 9</w:t>
      </w:r>
      <w:r>
        <w:rPr>
          <w:rStyle w:val="CharDivNo"/>
        </w:rPr>
        <w:t> </w:t>
      </w:r>
      <w:r>
        <w:t>—</w:t>
      </w:r>
      <w:r>
        <w:rPr>
          <w:rStyle w:val="CharDivText"/>
        </w:rPr>
        <w:t> </w:t>
      </w:r>
      <w:r>
        <w:rPr>
          <w:rStyle w:val="CharPartText"/>
        </w:rPr>
        <w:t>Miscellaneous</w:t>
      </w:r>
      <w:bookmarkEnd w:id="160"/>
      <w:bookmarkEnd w:id="161"/>
      <w:bookmarkEnd w:id="162"/>
    </w:p>
    <w:p>
      <w:pPr>
        <w:pStyle w:val="Heading5"/>
      </w:pPr>
      <w:bookmarkStart w:id="163" w:name="_Toc518043832"/>
      <w:bookmarkStart w:id="164" w:name="_Toc512000849"/>
      <w:r>
        <w:rPr>
          <w:rStyle w:val="CharSectno"/>
        </w:rPr>
        <w:t>62A</w:t>
      </w:r>
      <w:r>
        <w:t>.</w:t>
      </w:r>
      <w:r>
        <w:tab/>
        <w:t>Assessor may conduct hearing</w:t>
      </w:r>
      <w:bookmarkEnd w:id="163"/>
      <w:bookmarkEnd w:id="164"/>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165" w:name="_Toc518043833"/>
      <w:bookmarkStart w:id="166" w:name="_Toc512000850"/>
      <w:r>
        <w:rPr>
          <w:rStyle w:val="CharSectno"/>
        </w:rPr>
        <w:t>63</w:t>
      </w:r>
      <w:r>
        <w:t>.</w:t>
      </w:r>
      <w:r>
        <w:tab/>
        <w:t>Witnesses at hearings of applications</w:t>
      </w:r>
      <w:bookmarkEnd w:id="165"/>
      <w:bookmarkEnd w:id="166"/>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 or</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8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8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8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spacing w:before="240"/>
      </w:pPr>
      <w:bookmarkStart w:id="167" w:name="_Toc518043834"/>
      <w:bookmarkStart w:id="168" w:name="_Toc512000851"/>
      <w:r>
        <w:rPr>
          <w:rStyle w:val="CharSectno"/>
        </w:rPr>
        <w:t>64</w:t>
      </w:r>
      <w:r>
        <w:t>.</w:t>
      </w:r>
      <w:r>
        <w:tab/>
        <w:t>Publicity, assessor may restrict</w:t>
      </w:r>
      <w:bookmarkEnd w:id="167"/>
      <w:bookmarkEnd w:id="168"/>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pPr>
      <w:r>
        <w:tab/>
        <w:t>(a)</w:t>
      </w:r>
      <w:r>
        <w:tab/>
        <w:t>a compensation application or an application made under Part 6; or</w:t>
      </w:r>
    </w:p>
    <w:p>
      <w:pPr>
        <w:pStyle w:val="Defpara"/>
      </w:pPr>
      <w:r>
        <w:tab/>
        <w:t>(b)</w:t>
      </w:r>
      <w:r>
        <w:tab/>
        <w:t>proceedings on a hearing of such an application; or</w:t>
      </w:r>
    </w:p>
    <w:p>
      <w:pPr>
        <w:pStyle w:val="Defpara"/>
      </w:pPr>
      <w:r>
        <w:tab/>
        <w:t>(c)</w:t>
      </w:r>
      <w:r>
        <w:tab/>
        <w:t>a decision, award or order made by an assessor on such an application, or the reasons for it;</w:t>
      </w:r>
    </w:p>
    <w:p>
      <w:pPr>
        <w:pStyle w:val="Defstart"/>
      </w:pPr>
      <w:r>
        <w:rPr>
          <w:b/>
        </w:rPr>
        <w:tab/>
      </w:r>
      <w:r>
        <w:rPr>
          <w:rStyle w:val="CharDefText"/>
        </w:rPr>
        <w:t>specified</w:t>
      </w:r>
      <w:r>
        <w:t xml:space="preserve"> means specified in an order made under this section.</w:t>
      </w:r>
    </w:p>
    <w:p>
      <w:pPr>
        <w:pStyle w:val="Subsection"/>
        <w:spacing w:before="18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8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 or</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169" w:name="_Toc518043835"/>
      <w:bookmarkStart w:id="170" w:name="_Toc512000852"/>
      <w:r>
        <w:rPr>
          <w:rStyle w:val="CharSectno"/>
        </w:rPr>
        <w:t>65</w:t>
      </w:r>
      <w:r>
        <w:t>.</w:t>
      </w:r>
      <w:r>
        <w:tab/>
        <w:t>Immunity for assessors, legal practitioners and witnesses</w:t>
      </w:r>
      <w:bookmarkEnd w:id="169"/>
      <w:bookmarkEnd w:id="170"/>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171" w:name="_Toc518043836"/>
      <w:bookmarkStart w:id="172" w:name="_Toc512000853"/>
      <w:r>
        <w:rPr>
          <w:rStyle w:val="CharSectno"/>
        </w:rPr>
        <w:t>66</w:t>
      </w:r>
      <w:r>
        <w:t>.</w:t>
      </w:r>
      <w:r>
        <w:tab/>
        <w:t>Protection of assessors from personal liability</w:t>
      </w:r>
      <w:bookmarkEnd w:id="171"/>
      <w:bookmarkEnd w:id="172"/>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173" w:name="_Toc518043837"/>
      <w:bookmarkStart w:id="174" w:name="_Toc512000854"/>
      <w:r>
        <w:rPr>
          <w:rStyle w:val="CharSectno"/>
        </w:rPr>
        <w:t>67</w:t>
      </w:r>
      <w:r>
        <w:t>.</w:t>
      </w:r>
      <w:r>
        <w:tab/>
        <w:t>Costs</w:t>
      </w:r>
      <w:bookmarkEnd w:id="173"/>
      <w:bookmarkEnd w:id="174"/>
    </w:p>
    <w:p>
      <w:pPr>
        <w:pStyle w:val="Subsection"/>
      </w:pPr>
      <w:r>
        <w:tab/>
      </w:r>
      <w:r>
        <w:tab/>
        <w:t>An assessor does not have power to award costs.</w:t>
      </w:r>
    </w:p>
    <w:p>
      <w:pPr>
        <w:pStyle w:val="Heading5"/>
      </w:pPr>
      <w:bookmarkStart w:id="175" w:name="_Toc518043838"/>
      <w:bookmarkStart w:id="176" w:name="_Toc512000855"/>
      <w:r>
        <w:rPr>
          <w:rStyle w:val="CharSectno"/>
        </w:rPr>
        <w:t>68</w:t>
      </w:r>
      <w:r>
        <w:t>.</w:t>
      </w:r>
      <w:r>
        <w:tab/>
        <w:t>Repayment to State of insurance payments etc.</w:t>
      </w:r>
      <w:bookmarkEnd w:id="175"/>
      <w:bookmarkEnd w:id="176"/>
    </w:p>
    <w:p>
      <w:pPr>
        <w:pStyle w:val="Subsection"/>
      </w:pPr>
      <w:r>
        <w:tab/>
        <w:t>(1)</w:t>
      </w:r>
      <w:r>
        <w:tab/>
        <w:t xml:space="preserve">If — </w:t>
      </w:r>
    </w:p>
    <w:p>
      <w:pPr>
        <w:pStyle w:val="Indenta"/>
      </w:pPr>
      <w:r>
        <w:tab/>
        <w:t>(a)</w:t>
      </w:r>
      <w:r>
        <w:tab/>
        <w:t>a compensation award is made in respect of any injury or loss suffered by a victim or a close relative of a deceased victim; and</w:t>
      </w:r>
    </w:p>
    <w:p>
      <w:pPr>
        <w:pStyle w:val="Indenta"/>
      </w:pPr>
      <w:r>
        <w:tab/>
        <w:t>(b)</w:t>
      </w:r>
      <w:r>
        <w:tab/>
        <w:t>the victim or close relative also receives or recovers in respect of that injury or loss an amount under a contract of insurance or by way of damages or compensation,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rPr>
          <w:ins w:id="177" w:author="svcMRProcess" w:date="2018-08-23T09:43:00Z"/>
        </w:rPr>
      </w:pPr>
      <w:ins w:id="178" w:author="svcMRProcess" w:date="2018-08-23T09:43:00Z">
        <w:r>
          <w:tab/>
          <w:t>(1A)</w:t>
        </w:r>
        <w:r>
          <w:tab/>
          <w:t>Subsection (1) does not apply if the amount referred to in subsection (1)(b) was reduced to take into account the compensation award referred to in subsection (1)(a).</w:t>
        </w:r>
      </w:ins>
    </w:p>
    <w:p>
      <w:pPr>
        <w:pStyle w:val="Subsection"/>
        <w:keepNext/>
      </w:pPr>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w:t>
      </w:r>
      <w:del w:id="179" w:author="svcMRProcess" w:date="2018-08-23T09:43:00Z">
        <w:r>
          <w:delText>9</w:delText>
        </w:r>
      </w:del>
      <w:ins w:id="180" w:author="svcMRProcess" w:date="2018-08-23T09:43:00Z">
        <w:r>
          <w:t>9; No. 3 of 2018 s. 7</w:t>
        </w:r>
      </w:ins>
      <w:r>
        <w:t>.]</w:t>
      </w:r>
    </w:p>
    <w:p>
      <w:pPr>
        <w:pStyle w:val="Heading5"/>
      </w:pPr>
      <w:bookmarkStart w:id="181" w:name="_Toc518043839"/>
      <w:bookmarkStart w:id="182" w:name="_Toc512000856"/>
      <w:r>
        <w:rPr>
          <w:rStyle w:val="CharSectno"/>
        </w:rPr>
        <w:t>69</w:t>
      </w:r>
      <w:r>
        <w:t>.</w:t>
      </w:r>
      <w:r>
        <w:tab/>
        <w:t>Debts due to State, recovery of</w:t>
      </w:r>
      <w:bookmarkEnd w:id="181"/>
      <w:bookmarkEnd w:id="182"/>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183" w:name="_Toc518043840"/>
      <w:bookmarkStart w:id="184" w:name="_Toc512000857"/>
      <w:r>
        <w:rPr>
          <w:rStyle w:val="CharSectno"/>
        </w:rPr>
        <w:t>70</w:t>
      </w:r>
      <w:r>
        <w:t>.</w:t>
      </w:r>
      <w:r>
        <w:tab/>
        <w:t>False information, offence of giving</w:t>
      </w:r>
      <w:bookmarkEnd w:id="183"/>
      <w:bookmarkEnd w:id="184"/>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 or</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185" w:name="_Toc518043841"/>
      <w:bookmarkStart w:id="186" w:name="_Toc512000858"/>
      <w:r>
        <w:rPr>
          <w:rStyle w:val="CharSectno"/>
        </w:rPr>
        <w:t>71</w:t>
      </w:r>
      <w:r>
        <w:t>.</w:t>
      </w:r>
      <w:r>
        <w:tab/>
        <w:t>Limitation period for prosecutions</w:t>
      </w:r>
      <w:bookmarkEnd w:id="185"/>
      <w:bookmarkEnd w:id="186"/>
    </w:p>
    <w:p>
      <w:pPr>
        <w:pStyle w:val="Subsection"/>
      </w:pPr>
      <w:r>
        <w:tab/>
      </w:r>
      <w:r>
        <w:tab/>
        <w:t>A prosecution for an offence under this Act must be commenced within 2 years after the date on which the offence is alleged to have been committed.</w:t>
      </w:r>
    </w:p>
    <w:p>
      <w:pPr>
        <w:pStyle w:val="Heading5"/>
      </w:pPr>
      <w:bookmarkStart w:id="187" w:name="_Toc518043842"/>
      <w:bookmarkStart w:id="188" w:name="_Toc512000859"/>
      <w:r>
        <w:rPr>
          <w:rStyle w:val="CharSectno"/>
        </w:rPr>
        <w:t>72</w:t>
      </w:r>
      <w:r>
        <w:t>.</w:t>
      </w:r>
      <w:r>
        <w:tab/>
        <w:t>Regulations</w:t>
      </w:r>
      <w:bookmarkEnd w:id="187"/>
      <w:bookmarkEnd w:id="188"/>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189" w:name="_Toc518043843"/>
      <w:bookmarkStart w:id="190" w:name="_Toc512000860"/>
      <w:r>
        <w:rPr>
          <w:rStyle w:val="CharSectno"/>
        </w:rPr>
        <w:t>73</w:t>
      </w:r>
      <w:r>
        <w:t>.</w:t>
      </w:r>
      <w:r>
        <w:tab/>
        <w:t>Repeal and transitional provisions</w:t>
      </w:r>
      <w:bookmarkEnd w:id="189"/>
      <w:bookmarkEnd w:id="190"/>
    </w:p>
    <w:p>
      <w:pPr>
        <w:pStyle w:val="Subsection"/>
      </w:pPr>
      <w:r>
        <w:tab/>
      </w:r>
      <w:r>
        <w:tab/>
        <w:t>Schedule 2 has effect.</w:t>
      </w:r>
    </w:p>
    <w:p>
      <w:pPr>
        <w:rPr>
          <w:rStyle w:val="CharDivText"/>
        </w:rPr>
        <w:sectPr>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191" w:name="_Toc518034720"/>
      <w:bookmarkStart w:id="192" w:name="_Toc518043844"/>
      <w:bookmarkStart w:id="193" w:name="_Toc512000861"/>
      <w:r>
        <w:rPr>
          <w:rStyle w:val="CharSchNo"/>
        </w:rPr>
        <w:t>Schedule 1</w:t>
      </w:r>
      <w:r>
        <w:rPr>
          <w:rStyle w:val="CharSDivNo"/>
        </w:rPr>
        <w:t> </w:t>
      </w:r>
      <w:r>
        <w:t>—</w:t>
      </w:r>
      <w:r>
        <w:rPr>
          <w:rStyle w:val="CharSDivText"/>
        </w:rPr>
        <w:t> </w:t>
      </w:r>
      <w:r>
        <w:rPr>
          <w:rStyle w:val="CharSchText"/>
        </w:rPr>
        <w:t>Provisions about assessors</w:t>
      </w:r>
      <w:bookmarkEnd w:id="191"/>
      <w:bookmarkEnd w:id="192"/>
      <w:bookmarkEnd w:id="193"/>
    </w:p>
    <w:p>
      <w:pPr>
        <w:pStyle w:val="yShoulderClause"/>
      </w:pPr>
      <w:r>
        <w:t>[s. 59]</w:t>
      </w:r>
    </w:p>
    <w:p>
      <w:pPr>
        <w:pStyle w:val="yHeading5"/>
      </w:pPr>
      <w:bookmarkStart w:id="194" w:name="_Toc518043845"/>
      <w:bookmarkStart w:id="195" w:name="_Toc512000862"/>
      <w:r>
        <w:rPr>
          <w:rStyle w:val="CharSClsNo"/>
        </w:rPr>
        <w:t>1</w:t>
      </w:r>
      <w:r>
        <w:t>.</w:t>
      </w:r>
      <w:r>
        <w:rPr>
          <w:b w:val="0"/>
        </w:rPr>
        <w:tab/>
      </w:r>
      <w:r>
        <w:t>Qualifications for appointment</w:t>
      </w:r>
      <w:bookmarkEnd w:id="194"/>
      <w:bookmarkEnd w:id="195"/>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196" w:name="_Toc518043846"/>
      <w:bookmarkStart w:id="197" w:name="_Toc512000863"/>
      <w:r>
        <w:rPr>
          <w:rStyle w:val="CharSClsNo"/>
        </w:rPr>
        <w:t>2</w:t>
      </w:r>
      <w:r>
        <w:t>.</w:t>
      </w:r>
      <w:r>
        <w:tab/>
        <w:t>Appointment</w:t>
      </w:r>
      <w:bookmarkEnd w:id="196"/>
      <w:bookmarkEnd w:id="197"/>
    </w:p>
    <w:p>
      <w:pPr>
        <w:pStyle w:val="ySubsection"/>
      </w:pPr>
      <w:r>
        <w:tab/>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198" w:name="_Toc518043847"/>
      <w:bookmarkStart w:id="199" w:name="_Toc512000864"/>
      <w:r>
        <w:rPr>
          <w:rStyle w:val="CharSClsNo"/>
        </w:rPr>
        <w:t>3</w:t>
      </w:r>
      <w:r>
        <w:t>.</w:t>
      </w:r>
      <w:r>
        <w:tab/>
        <w:t>Conditions of appointment</w:t>
      </w:r>
      <w:bookmarkEnd w:id="198"/>
      <w:bookmarkEnd w:id="199"/>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Public Sector Commissioner.</w:t>
      </w:r>
    </w:p>
    <w:p>
      <w:pPr>
        <w:pStyle w:val="yFootnotesection"/>
      </w:pPr>
      <w:r>
        <w:tab/>
        <w:t>[Clause 3 amended by No. 39 of 2010 s. 89.]</w:t>
      </w:r>
    </w:p>
    <w:p>
      <w:pPr>
        <w:pStyle w:val="yHeading5"/>
      </w:pPr>
      <w:bookmarkStart w:id="200" w:name="_Toc518043848"/>
      <w:bookmarkStart w:id="201" w:name="_Toc512000865"/>
      <w:r>
        <w:rPr>
          <w:rStyle w:val="CharSClsNo"/>
        </w:rPr>
        <w:t>4</w:t>
      </w:r>
      <w:r>
        <w:t>.</w:t>
      </w:r>
      <w:r>
        <w:tab/>
        <w:t>Oath of office</w:t>
      </w:r>
      <w:bookmarkEnd w:id="200"/>
      <w:bookmarkEnd w:id="201"/>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202" w:name="_Toc518043849"/>
      <w:bookmarkStart w:id="203" w:name="_Toc512000866"/>
      <w:r>
        <w:rPr>
          <w:rStyle w:val="CharSClsNo"/>
        </w:rPr>
        <w:t>5</w:t>
      </w:r>
      <w:r>
        <w:t>.</w:t>
      </w:r>
      <w:r>
        <w:tab/>
        <w:t>Termination and resignation</w:t>
      </w:r>
      <w:bookmarkEnd w:id="202"/>
      <w:bookmarkEnd w:id="203"/>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 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204" w:name="_Toc518034726"/>
      <w:bookmarkStart w:id="205" w:name="_Toc518043850"/>
      <w:bookmarkStart w:id="206" w:name="_Toc512000867"/>
      <w:r>
        <w:rPr>
          <w:rStyle w:val="CharSchNo"/>
        </w:rPr>
        <w:t>Schedule 2</w:t>
      </w:r>
      <w:r>
        <w:t> — </w:t>
      </w:r>
      <w:r>
        <w:rPr>
          <w:rStyle w:val="CharSchText"/>
        </w:rPr>
        <w:t>Repeal, transitional and consequential provisions</w:t>
      </w:r>
      <w:bookmarkEnd w:id="204"/>
      <w:bookmarkEnd w:id="205"/>
      <w:bookmarkEnd w:id="206"/>
    </w:p>
    <w:p>
      <w:pPr>
        <w:pStyle w:val="yShoulderClause"/>
      </w:pPr>
      <w:r>
        <w:t>[s. 73]</w:t>
      </w:r>
    </w:p>
    <w:p>
      <w:pPr>
        <w:pStyle w:val="yHeading3"/>
      </w:pPr>
      <w:bookmarkStart w:id="207" w:name="_Toc518034727"/>
      <w:bookmarkStart w:id="208" w:name="_Toc518043851"/>
      <w:bookmarkStart w:id="209" w:name="_Toc512000868"/>
      <w:r>
        <w:rPr>
          <w:rStyle w:val="CharSDivNo"/>
        </w:rPr>
        <w:t>Division 1</w:t>
      </w:r>
      <w:r>
        <w:rPr>
          <w:b w:val="0"/>
        </w:rPr>
        <w:t> — </w:t>
      </w:r>
      <w:r>
        <w:rPr>
          <w:rStyle w:val="CharSDivText"/>
        </w:rPr>
        <w:t>Repeal</w:t>
      </w:r>
      <w:bookmarkEnd w:id="207"/>
      <w:bookmarkEnd w:id="208"/>
      <w:bookmarkEnd w:id="209"/>
    </w:p>
    <w:p>
      <w:pPr>
        <w:pStyle w:val="yHeading5"/>
      </w:pPr>
      <w:bookmarkStart w:id="210" w:name="_Toc518043852"/>
      <w:bookmarkStart w:id="211" w:name="_Toc512000869"/>
      <w:r>
        <w:rPr>
          <w:rStyle w:val="CharSClsNo"/>
        </w:rPr>
        <w:t>1</w:t>
      </w:r>
      <w:r>
        <w:t>.</w:t>
      </w:r>
      <w:r>
        <w:tab/>
      </w:r>
      <w:r>
        <w:rPr>
          <w:i/>
        </w:rPr>
        <w:t>Criminal Injuries Compensation Act 1985</w:t>
      </w:r>
      <w:r>
        <w:t xml:space="preserve"> repealed</w:t>
      </w:r>
      <w:bookmarkEnd w:id="210"/>
      <w:bookmarkEnd w:id="211"/>
    </w:p>
    <w:p>
      <w:pPr>
        <w:pStyle w:val="ySubsection"/>
      </w:pPr>
      <w:r>
        <w:tab/>
      </w:r>
      <w:r>
        <w:tab/>
        <w:t xml:space="preserve">The </w:t>
      </w:r>
      <w:r>
        <w:rPr>
          <w:i/>
        </w:rPr>
        <w:t>Criminal Injuries Compensation Act 1985</w:t>
      </w:r>
      <w:r>
        <w:t xml:space="preserve"> is repealed.</w:t>
      </w:r>
    </w:p>
    <w:p>
      <w:pPr>
        <w:pStyle w:val="yHeading3"/>
      </w:pPr>
      <w:bookmarkStart w:id="212" w:name="_Toc518034729"/>
      <w:bookmarkStart w:id="213" w:name="_Toc518043853"/>
      <w:bookmarkStart w:id="214" w:name="_Toc512000870"/>
      <w:r>
        <w:rPr>
          <w:rStyle w:val="CharSDivNo"/>
        </w:rPr>
        <w:t>Division 2</w:t>
      </w:r>
      <w:r>
        <w:rPr>
          <w:b w:val="0"/>
        </w:rPr>
        <w:t> — </w:t>
      </w:r>
      <w:r>
        <w:rPr>
          <w:rStyle w:val="CharSDivText"/>
        </w:rPr>
        <w:t>Transitional provisions</w:t>
      </w:r>
      <w:bookmarkEnd w:id="212"/>
      <w:bookmarkEnd w:id="213"/>
      <w:bookmarkEnd w:id="214"/>
    </w:p>
    <w:p>
      <w:pPr>
        <w:pStyle w:val="yHeading5"/>
      </w:pPr>
      <w:bookmarkStart w:id="215" w:name="_Toc518043854"/>
      <w:bookmarkStart w:id="216" w:name="_Toc512000871"/>
      <w:r>
        <w:rPr>
          <w:rStyle w:val="CharSClsNo"/>
        </w:rPr>
        <w:t>2</w:t>
      </w:r>
      <w:r>
        <w:t>.</w:t>
      </w:r>
      <w:r>
        <w:tab/>
        <w:t>Terms used</w:t>
      </w:r>
      <w:bookmarkEnd w:id="215"/>
      <w:bookmarkEnd w:id="216"/>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217" w:name="_Toc518043855"/>
      <w:bookmarkStart w:id="218" w:name="_Toc512000872"/>
      <w:r>
        <w:rPr>
          <w:rStyle w:val="CharSClsNo"/>
        </w:rPr>
        <w:t>3</w:t>
      </w:r>
      <w:r>
        <w:t>.</w:t>
      </w:r>
      <w:r>
        <w:tab/>
        <w:t>Pending applications</w:t>
      </w:r>
      <w:bookmarkEnd w:id="217"/>
      <w:bookmarkEnd w:id="218"/>
    </w:p>
    <w:p>
      <w:pPr>
        <w:pStyle w:val="ySubsection"/>
      </w:pPr>
      <w:r>
        <w:tab/>
        <w:t>(1)</w:t>
      </w:r>
      <w:r>
        <w:tab/>
        <w:t xml:space="preserve">If immediately before commencement an application made under the </w:t>
      </w:r>
      <w:r>
        <w:rPr>
          <w:i/>
        </w:rPr>
        <w:t>Criminal Injuries (Compensation) Act 1970</w:t>
      </w:r>
      <w:r>
        <w:rPr>
          <w:vertAlign w:val="superscript"/>
        </w:rPr>
        <w:t> 5</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6</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6</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219" w:name="_Toc518043856"/>
      <w:bookmarkStart w:id="220" w:name="_Toc512000873"/>
      <w:r>
        <w:rPr>
          <w:rStyle w:val="CharSClsNo"/>
        </w:rPr>
        <w:t>4</w:t>
      </w:r>
      <w:r>
        <w:t>.</w:t>
      </w:r>
      <w:r>
        <w:tab/>
        <w:t>Appeals started after commencement</w:t>
      </w:r>
      <w:bookmarkEnd w:id="219"/>
      <w:bookmarkEnd w:id="220"/>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6</w:t>
      </w:r>
      <w:r>
        <w:t xml:space="preserve"> or the repealed Act, the District Court must not make any order on the appeal that could not have been made under the law applicable at the time the decision appealed against was made.</w:t>
      </w:r>
    </w:p>
    <w:p>
      <w:pPr>
        <w:pStyle w:val="yHeading5"/>
      </w:pPr>
      <w:bookmarkStart w:id="221" w:name="_Toc518043857"/>
      <w:bookmarkStart w:id="222" w:name="_Toc512000874"/>
      <w:r>
        <w:rPr>
          <w:rStyle w:val="CharSClsNo"/>
        </w:rPr>
        <w:t>5</w:t>
      </w:r>
      <w:r>
        <w:t>.</w:t>
      </w:r>
      <w:r>
        <w:tab/>
        <w:t>Assessors</w:t>
      </w:r>
      <w:bookmarkEnd w:id="221"/>
      <w:bookmarkEnd w:id="222"/>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223" w:name="_Toc518043858"/>
      <w:bookmarkStart w:id="224" w:name="_Toc512000875"/>
      <w:r>
        <w:rPr>
          <w:rStyle w:val="CharSClsNo"/>
        </w:rPr>
        <w:t>6</w:t>
      </w:r>
      <w:r>
        <w:t>.</w:t>
      </w:r>
      <w:r>
        <w:tab/>
        <w:t>Annual reports</w:t>
      </w:r>
      <w:bookmarkEnd w:id="223"/>
      <w:bookmarkEnd w:id="224"/>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rPr>
        <w:drawing>
          <wp:inline distT="0" distB="0" distL="0" distR="0">
            <wp:extent cx="932815" cy="172085"/>
            <wp:effectExtent l="0" t="0" r="635"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2815" cy="172085"/>
                    </a:xfrm>
                    <a:prstGeom prst="rect">
                      <a:avLst/>
                    </a:prstGeom>
                    <a:noFill/>
                    <a:ln>
                      <a:noFill/>
                    </a:ln>
                  </pic:spPr>
                </pic:pic>
              </a:graphicData>
            </a:graphic>
          </wp:inline>
        </w:drawing>
      </w:r>
    </w:p>
    <w:p>
      <w:pPr>
        <w:sectPr>
          <w:headerReference w:type="even" r:id="rId23"/>
          <w:headerReference w:type="default" r:id="rId24"/>
          <w:headerReference w:type="first" r:id="rId25"/>
          <w:endnotePr>
            <w:numFmt w:val="decimal"/>
          </w:endnotePr>
          <w:pgSz w:w="11907" w:h="16840" w:code="9"/>
          <w:pgMar w:top="2376" w:right="2405" w:bottom="3542" w:left="2405" w:header="706" w:footer="3380" w:gutter="0"/>
          <w:cols w:space="720"/>
          <w:noEndnote/>
          <w:docGrid w:linePitch="326"/>
        </w:sectPr>
      </w:pPr>
    </w:p>
    <w:p>
      <w:pPr>
        <w:pStyle w:val="nHeading2"/>
      </w:pPr>
      <w:bookmarkStart w:id="226" w:name="_Toc518034735"/>
      <w:bookmarkStart w:id="227" w:name="_Toc518043859"/>
      <w:bookmarkStart w:id="228" w:name="_Toc512000876"/>
      <w:r>
        <w:t>Notes</w:t>
      </w:r>
      <w:bookmarkEnd w:id="226"/>
      <w:bookmarkEnd w:id="227"/>
      <w:bookmarkEnd w:id="228"/>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w:t>
      </w:r>
      <w:del w:id="229" w:author="svcMRProcess" w:date="2018-08-23T09:43:00Z">
        <w:r>
          <w:rPr>
            <w:snapToGrid w:val="0"/>
            <w:vertAlign w:val="superscript"/>
          </w:rPr>
          <w:delText> 1a</w:delText>
        </w:r>
      </w:del>
      <w:r>
        <w:rPr>
          <w:snapToGrid w:val="0"/>
        </w:rPr>
        <w:t>.  The table also contains information about any reprint.</w:t>
      </w:r>
    </w:p>
    <w:p>
      <w:pPr>
        <w:pStyle w:val="nHeading3"/>
        <w:rPr>
          <w:snapToGrid w:val="0"/>
        </w:rPr>
      </w:pPr>
      <w:bookmarkStart w:id="230" w:name="_Toc518043860"/>
      <w:bookmarkStart w:id="231" w:name="_Toc512000877"/>
      <w:r>
        <w:rPr>
          <w:snapToGrid w:val="0"/>
        </w:rPr>
        <w:t>Compilation table</w:t>
      </w:r>
      <w:bookmarkEnd w:id="230"/>
      <w:bookmarkEnd w:id="231"/>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2268" w:type="dxa"/>
            <w:tcBorders>
              <w:top w:val="single" w:sz="8" w:space="0" w:color="auto"/>
            </w:tcBorders>
          </w:tcPr>
          <w:p>
            <w:pPr>
              <w:pStyle w:val="nTable"/>
              <w:spacing w:after="40"/>
            </w:pPr>
            <w:r>
              <w:rPr>
                <w:i/>
                <w:noProof/>
                <w:snapToGrid w:val="0"/>
              </w:rPr>
              <w:t>Criminal Injuries Compensation Act 2003</w:t>
            </w:r>
          </w:p>
        </w:tc>
        <w:tc>
          <w:tcPr>
            <w:tcW w:w="1134" w:type="dxa"/>
            <w:tcBorders>
              <w:top w:val="single" w:sz="8" w:space="0" w:color="auto"/>
            </w:tcBorders>
          </w:tcPr>
          <w:p>
            <w:pPr>
              <w:pStyle w:val="nTable"/>
              <w:spacing w:after="40"/>
            </w:pPr>
            <w:r>
              <w:t>77 of 2003</w:t>
            </w:r>
          </w:p>
        </w:tc>
        <w:tc>
          <w:tcPr>
            <w:tcW w:w="1134" w:type="dxa"/>
            <w:tcBorders>
              <w:top w:val="single" w:sz="8" w:space="0" w:color="auto"/>
            </w:tcBorders>
          </w:tcPr>
          <w:p>
            <w:pPr>
              <w:pStyle w:val="nTable"/>
              <w:spacing w:after="40"/>
            </w:pPr>
            <w:r>
              <w:t>15 Dec 2003</w:t>
            </w:r>
          </w:p>
        </w:tc>
        <w:tc>
          <w:tcPr>
            <w:tcW w:w="2552" w:type="dxa"/>
            <w:tcBorders>
              <w:top w:val="single" w:sz="8" w:space="0" w:color="auto"/>
            </w:tcBorders>
          </w:tcPr>
          <w:p>
            <w:pPr>
              <w:pStyle w:val="nTable"/>
              <w:spacing w:after="40"/>
            </w:pPr>
            <w:r>
              <w:t>s. 1 and 2: 15 Dec 2003;</w:t>
            </w:r>
            <w:r>
              <w:br/>
              <w:t xml:space="preserve">Act other than s. 1 and 2: 1 Jan 2004 (see s. 2 and </w:t>
            </w:r>
            <w:r>
              <w:rPr>
                <w:i/>
              </w:rPr>
              <w:t>Gazette</w:t>
            </w:r>
            <w:r>
              <w:t xml:space="preserve"> 30 Dec 2003 p. 5722)</w:t>
            </w:r>
          </w:p>
        </w:tc>
      </w:tr>
      <w:tr>
        <w:tc>
          <w:tcPr>
            <w:tcW w:w="2268" w:type="dxa"/>
          </w:tcPr>
          <w:p>
            <w:pPr>
              <w:pStyle w:val="nTable"/>
              <w:spacing w:after="40"/>
              <w:rPr>
                <w:iCs/>
                <w:noProof/>
                <w:snapToGrid w:val="0"/>
              </w:rPr>
            </w:pPr>
            <w:r>
              <w:rPr>
                <w:i/>
                <w:noProof/>
                <w:snapToGrid w:val="0"/>
              </w:rPr>
              <w:t xml:space="preserve">Criminal Injuries Compensation Amendment Act 2004 </w:t>
            </w:r>
            <w:r>
              <w:rPr>
                <w:iCs/>
                <w:noProof/>
                <w:snapToGrid w:val="0"/>
                <w:vertAlign w:val="superscript"/>
              </w:rPr>
              <w:t>7</w:t>
            </w:r>
          </w:p>
        </w:tc>
        <w:tc>
          <w:tcPr>
            <w:tcW w:w="1134" w:type="dxa"/>
          </w:tcPr>
          <w:p>
            <w:pPr>
              <w:pStyle w:val="nTable"/>
              <w:spacing w:after="40"/>
            </w:pPr>
            <w:r>
              <w:t>29 of 2004</w:t>
            </w:r>
          </w:p>
        </w:tc>
        <w:tc>
          <w:tcPr>
            <w:tcW w:w="1134" w:type="dxa"/>
          </w:tcPr>
          <w:p>
            <w:pPr>
              <w:pStyle w:val="nTable"/>
              <w:spacing w:after="40"/>
            </w:pPr>
            <w:r>
              <w:t>14 Oct 2004</w:t>
            </w:r>
          </w:p>
        </w:tc>
        <w:tc>
          <w:tcPr>
            <w:tcW w:w="2552" w:type="dxa"/>
          </w:tcPr>
          <w:p>
            <w:pPr>
              <w:pStyle w:val="nTable"/>
              <w:spacing w:after="40"/>
            </w:pPr>
            <w:r>
              <w:t>14 Oct 2004 (see s. 2)</w:t>
            </w:r>
          </w:p>
        </w:tc>
      </w:tr>
      <w:tr>
        <w:tc>
          <w:tcPr>
            <w:tcW w:w="2268" w:type="dxa"/>
          </w:tcPr>
          <w:p>
            <w:pPr>
              <w:pStyle w:val="nTable"/>
              <w:spacing w:after="40"/>
              <w:rPr>
                <w:i/>
                <w:noProof/>
                <w:snapToGrid w:val="0"/>
              </w:rPr>
            </w:pPr>
            <w:r>
              <w:rPr>
                <w:i/>
                <w:iCs/>
                <w:snapToGrid w:val="0"/>
              </w:rPr>
              <w:t xml:space="preserve">Acts Amendment (Court of Appeal) Act 2004 </w:t>
            </w:r>
            <w:r>
              <w:rPr>
                <w:snapToGrid w:val="0"/>
              </w:rPr>
              <w:t>s. 37</w:t>
            </w:r>
          </w:p>
        </w:tc>
        <w:tc>
          <w:tcPr>
            <w:tcW w:w="1134" w:type="dxa"/>
          </w:tcPr>
          <w:p>
            <w:pPr>
              <w:pStyle w:val="nTable"/>
              <w:spacing w:after="40"/>
            </w:pPr>
            <w:r>
              <w:rPr>
                <w:snapToGrid w:val="0"/>
              </w:rPr>
              <w:t>45 of 2004</w:t>
            </w:r>
          </w:p>
        </w:tc>
        <w:tc>
          <w:tcPr>
            <w:tcW w:w="1134" w:type="dxa"/>
          </w:tcPr>
          <w:p>
            <w:pPr>
              <w:pStyle w:val="nTable"/>
              <w:spacing w:after="40"/>
            </w:pPr>
            <w:r>
              <w:t>9 Nov 2004</w:t>
            </w:r>
          </w:p>
        </w:tc>
        <w:tc>
          <w:tcPr>
            <w:tcW w:w="2552" w:type="dxa"/>
          </w:tcPr>
          <w:p>
            <w:pPr>
              <w:pStyle w:val="nTable"/>
              <w:spacing w:after="40"/>
            </w:pPr>
            <w:r>
              <w:rPr>
                <w:snapToGrid w:val="0"/>
              </w:rPr>
              <w:t xml:space="preserve">1 Feb 2005 (see s. 2 and </w:t>
            </w:r>
            <w:r>
              <w:rPr>
                <w:i/>
                <w:iCs/>
                <w:snapToGrid w:val="0"/>
              </w:rPr>
              <w:t>Gazette</w:t>
            </w:r>
            <w:r>
              <w:rPr>
                <w:snapToGrid w:val="0"/>
              </w:rPr>
              <w:t xml:space="preserve"> 14 Jan 2005 p. 163)</w:t>
            </w:r>
          </w:p>
        </w:tc>
      </w:tr>
      <w:tr>
        <w:tc>
          <w:tcPr>
            <w:tcW w:w="2268" w:type="dxa"/>
          </w:tcPr>
          <w:p>
            <w:pPr>
              <w:pStyle w:val="nTable"/>
              <w:spacing w:after="40"/>
              <w:rPr>
                <w:i/>
                <w:iCs/>
                <w:snapToGrid w:val="0"/>
              </w:rPr>
            </w:pPr>
            <w:r>
              <w:rPr>
                <w:i/>
                <w:iCs/>
                <w:noProof/>
                <w:snapToGrid w:val="0"/>
              </w:rPr>
              <w:t xml:space="preserve">Psychologists Act 2005 </w:t>
            </w:r>
            <w:r>
              <w:rPr>
                <w:color w:val="000000"/>
              </w:rPr>
              <w:t xml:space="preserve"> Sch. 3 cl. 3</w:t>
            </w:r>
          </w:p>
        </w:tc>
        <w:tc>
          <w:tcPr>
            <w:tcW w:w="1134" w:type="dxa"/>
          </w:tcPr>
          <w:p>
            <w:pPr>
              <w:pStyle w:val="nTable"/>
              <w:spacing w:after="40"/>
              <w:rPr>
                <w:snapToGrid w:val="0"/>
              </w:rPr>
            </w:pPr>
            <w:r>
              <w:rPr>
                <w:snapToGrid w:val="0"/>
              </w:rPr>
              <w:t>28 of 2005</w:t>
            </w:r>
          </w:p>
        </w:tc>
        <w:tc>
          <w:tcPr>
            <w:tcW w:w="1134" w:type="dxa"/>
          </w:tcPr>
          <w:p>
            <w:pPr>
              <w:pStyle w:val="nTable"/>
              <w:spacing w:after="40"/>
            </w:pPr>
            <w:r>
              <w:t>12 Dec 2005</w:t>
            </w:r>
          </w:p>
        </w:tc>
        <w:tc>
          <w:tcPr>
            <w:tcW w:w="2552" w:type="dxa"/>
          </w:tcPr>
          <w:p>
            <w:pPr>
              <w:pStyle w:val="nTable"/>
              <w:spacing w:after="40"/>
              <w:rPr>
                <w:snapToGrid w:val="0"/>
              </w:rPr>
            </w:pPr>
            <w:r>
              <w:rPr>
                <w:snapToGrid w:val="0"/>
              </w:rPr>
              <w:t xml:space="preserve">4 May 2007 (see s. 2 and </w:t>
            </w:r>
            <w:r>
              <w:rPr>
                <w:i/>
                <w:iCs/>
                <w:snapToGrid w:val="0"/>
              </w:rPr>
              <w:t>Gazette</w:t>
            </w:r>
            <w:r>
              <w:rPr>
                <w:snapToGrid w:val="0"/>
              </w:rPr>
              <w:t xml:space="preserve"> 4 May 2007 p. 1963)</w:t>
            </w:r>
          </w:p>
        </w:tc>
      </w:tr>
      <w:tr>
        <w:tc>
          <w:tcPr>
            <w:tcW w:w="2268" w:type="dxa"/>
          </w:tcPr>
          <w:p>
            <w:pPr>
              <w:pStyle w:val="nTable"/>
              <w:spacing w:after="40"/>
              <w:rPr>
                <w:i/>
                <w:iCs/>
                <w:snapToGrid w:val="0"/>
              </w:rPr>
            </w:pPr>
            <w:r>
              <w:rPr>
                <w:i/>
                <w:snapToGrid w:val="0"/>
              </w:rPr>
              <w:t xml:space="preserve">Financial Legislation Amendment and Repeal Act 2006 </w:t>
            </w:r>
            <w:r>
              <w:rPr>
                <w:iCs/>
                <w:snapToGrid w:val="0"/>
              </w:rPr>
              <w:t>s. 4</w:t>
            </w:r>
          </w:p>
        </w:tc>
        <w:tc>
          <w:tcPr>
            <w:tcW w:w="1134" w:type="dxa"/>
          </w:tcPr>
          <w:p>
            <w:pPr>
              <w:pStyle w:val="nTable"/>
              <w:spacing w:after="40"/>
              <w:rPr>
                <w:snapToGrid w:val="0"/>
              </w:rPr>
            </w:pPr>
            <w:r>
              <w:rPr>
                <w:snapToGrid w:val="0"/>
              </w:rPr>
              <w:t xml:space="preserve">77 of 2006 </w:t>
            </w:r>
          </w:p>
        </w:tc>
        <w:tc>
          <w:tcPr>
            <w:tcW w:w="1134" w:type="dxa"/>
          </w:tcPr>
          <w:p>
            <w:pPr>
              <w:pStyle w:val="nTable"/>
              <w:spacing w:after="40"/>
            </w:pPr>
            <w:r>
              <w:rPr>
                <w:snapToGrid w:val="0"/>
              </w:rPr>
              <w:t>21 Dec 2006</w:t>
            </w:r>
          </w:p>
        </w:tc>
        <w:tc>
          <w:tcPr>
            <w:tcW w:w="2552" w:type="dxa"/>
          </w:tcPr>
          <w:p>
            <w:pPr>
              <w:pStyle w:val="nTable"/>
              <w:spacing w:after="40"/>
              <w:rPr>
                <w:snapToGrid w:val="0"/>
              </w:rPr>
            </w:pPr>
            <w:r>
              <w:rPr>
                <w:snapToGrid w:val="0"/>
              </w:rPr>
              <w:t xml:space="preserve">1 Feb 2007 (see s. 2(1) and </w:t>
            </w:r>
            <w:r>
              <w:rPr>
                <w:i/>
                <w:iCs/>
                <w:snapToGrid w:val="0"/>
              </w:rPr>
              <w:t>Gazette</w:t>
            </w:r>
            <w:r>
              <w:rPr>
                <w:snapToGrid w:val="0"/>
              </w:rPr>
              <w:t xml:space="preserve"> 19 Jan 2007 p. 137)</w:t>
            </w:r>
          </w:p>
        </w:tc>
      </w:tr>
      <w:tr>
        <w:trPr>
          <w:cantSplit/>
        </w:trPr>
        <w:tc>
          <w:tcPr>
            <w:tcW w:w="7088" w:type="dxa"/>
            <w:gridSpan w:val="4"/>
          </w:tcPr>
          <w:p>
            <w:pPr>
              <w:pStyle w:val="nTable"/>
              <w:spacing w:after="40"/>
              <w:rPr>
                <w:snapToGrid w:val="0"/>
              </w:rPr>
            </w:pPr>
            <w:r>
              <w:rPr>
                <w:b/>
                <w:bCs/>
                <w:snapToGrid w:val="0"/>
              </w:rPr>
              <w:t xml:space="preserve">Reprint 1:  The </w:t>
            </w:r>
            <w:r>
              <w:rPr>
                <w:b/>
                <w:bCs/>
                <w:i/>
                <w:noProof/>
                <w:snapToGrid w:val="0"/>
              </w:rPr>
              <w:t>Criminal Injuries Compensation Act 2003</w:t>
            </w:r>
            <w:r>
              <w:rPr>
                <w:b/>
                <w:bCs/>
                <w:snapToGrid w:val="0"/>
              </w:rPr>
              <w:t xml:space="preserve"> as at 7 Sep 2007 </w:t>
            </w:r>
            <w:r>
              <w:rPr>
                <w:snapToGrid w:val="0"/>
              </w:rPr>
              <w:t>(includes amendments listed above)</w:t>
            </w:r>
          </w:p>
        </w:tc>
      </w:tr>
      <w:tr>
        <w:trPr>
          <w:cantSplit/>
        </w:trPr>
        <w:tc>
          <w:tcPr>
            <w:tcW w:w="2268" w:type="dxa"/>
          </w:tcPr>
          <w:p>
            <w:pPr>
              <w:pStyle w:val="nTable"/>
              <w:spacing w:after="40"/>
              <w:rPr>
                <w:iCs/>
                <w:vertAlign w:val="superscript"/>
              </w:rPr>
            </w:pPr>
            <w:r>
              <w:rPr>
                <w:i/>
                <w:snapToGrid w:val="0"/>
              </w:rPr>
              <w:t>Criminal Law and Evidence Amendment Act 2008</w:t>
            </w:r>
            <w:r>
              <w:rPr>
                <w:iCs/>
                <w:snapToGrid w:val="0"/>
              </w:rPr>
              <w:t xml:space="preserve"> s. 59</w:t>
            </w:r>
          </w:p>
        </w:tc>
        <w:tc>
          <w:tcPr>
            <w:tcW w:w="1134" w:type="dxa"/>
          </w:tcPr>
          <w:p>
            <w:pPr>
              <w:pStyle w:val="nTable"/>
              <w:spacing w:after="40"/>
            </w:pPr>
            <w:r>
              <w:t>2 of 2008</w:t>
            </w:r>
          </w:p>
        </w:tc>
        <w:tc>
          <w:tcPr>
            <w:tcW w:w="1134" w:type="dxa"/>
          </w:tcPr>
          <w:p>
            <w:pPr>
              <w:pStyle w:val="nTable"/>
              <w:spacing w:after="40"/>
            </w:pPr>
            <w:r>
              <w:t>12 Mar 2008</w:t>
            </w:r>
          </w:p>
        </w:tc>
        <w:tc>
          <w:tcPr>
            <w:tcW w:w="2552" w:type="dxa"/>
          </w:tcPr>
          <w:p>
            <w:pPr>
              <w:pStyle w:val="nTable"/>
              <w:spacing w:after="40"/>
            </w:pPr>
            <w:r>
              <w:rPr>
                <w:snapToGrid w:val="0"/>
              </w:rPr>
              <w:t xml:space="preserve">27 Apr 2008 (see s. 2 and </w:t>
            </w:r>
            <w:r>
              <w:rPr>
                <w:i/>
                <w:iCs/>
                <w:snapToGrid w:val="0"/>
              </w:rPr>
              <w:t>Gazette</w:t>
            </w:r>
            <w:r>
              <w:rPr>
                <w:snapToGrid w:val="0"/>
              </w:rPr>
              <w:t xml:space="preserve"> 24 Apr 2008 p. 1559)</w:t>
            </w:r>
          </w:p>
        </w:tc>
      </w:tr>
      <w:tr>
        <w:trPr>
          <w:cantSplit/>
        </w:trPr>
        <w:tc>
          <w:tcPr>
            <w:tcW w:w="2268" w:type="dxa"/>
          </w:tcPr>
          <w:p>
            <w:pPr>
              <w:pStyle w:val="nTable"/>
              <w:spacing w:after="40"/>
              <w:rPr>
                <w:i/>
                <w:snapToGrid w:val="0"/>
              </w:rPr>
            </w:pPr>
            <w:r>
              <w:rPr>
                <w:i/>
                <w:snapToGrid w:val="0"/>
              </w:rPr>
              <w:t>Acts Amendment (Justice) Act 2008</w:t>
            </w:r>
            <w:r>
              <w:rPr>
                <w:iCs/>
                <w:snapToGrid w:val="0"/>
              </w:rPr>
              <w:t xml:space="preserve"> Pt. 7 </w:t>
            </w:r>
          </w:p>
        </w:tc>
        <w:tc>
          <w:tcPr>
            <w:tcW w:w="1134" w:type="dxa"/>
          </w:tcPr>
          <w:p>
            <w:pPr>
              <w:pStyle w:val="nTable"/>
              <w:spacing w:after="40"/>
            </w:pPr>
            <w:r>
              <w:t>5 of 2008</w:t>
            </w:r>
          </w:p>
        </w:tc>
        <w:tc>
          <w:tcPr>
            <w:tcW w:w="1134" w:type="dxa"/>
          </w:tcPr>
          <w:p>
            <w:pPr>
              <w:pStyle w:val="nTable"/>
              <w:spacing w:after="40"/>
            </w:pPr>
            <w:r>
              <w:t>31 Mar 2008</w:t>
            </w:r>
          </w:p>
        </w:tc>
        <w:tc>
          <w:tcPr>
            <w:tcW w:w="2552" w:type="dxa"/>
          </w:tcPr>
          <w:p>
            <w:pPr>
              <w:pStyle w:val="nTable"/>
              <w:spacing w:after="40"/>
              <w:rPr>
                <w:snapToGrid w:val="0"/>
              </w:rPr>
            </w:pPr>
            <w:r>
              <w:rPr>
                <w:snapToGrid w:val="0"/>
              </w:rPr>
              <w:t xml:space="preserve">31 Jul 2008 (see s. 2(d) and </w:t>
            </w:r>
            <w:r>
              <w:rPr>
                <w:i/>
                <w:iCs/>
                <w:snapToGrid w:val="0"/>
              </w:rPr>
              <w:t xml:space="preserve">Gazette </w:t>
            </w:r>
            <w:r>
              <w:rPr>
                <w:snapToGrid w:val="0"/>
              </w:rPr>
              <w:t>11 Jul 2008 p. 3253)</w:t>
            </w:r>
          </w:p>
        </w:tc>
      </w:tr>
      <w:tr>
        <w:trPr>
          <w:cantSplit/>
        </w:trPr>
        <w:tc>
          <w:tcPr>
            <w:tcW w:w="2268" w:type="dxa"/>
          </w:tcPr>
          <w:p>
            <w:pPr>
              <w:pStyle w:val="nTable"/>
              <w:spacing w:after="40"/>
              <w:rPr>
                <w:i/>
                <w:snapToGrid w:val="0"/>
              </w:rPr>
            </w:pPr>
            <w:r>
              <w:rPr>
                <w:i/>
                <w:iCs/>
                <w:snapToGrid w:val="0"/>
              </w:rPr>
              <w:t>Legal Profession Act 2008</w:t>
            </w:r>
            <w:r>
              <w:rPr>
                <w:i/>
                <w:snapToGrid w:val="0"/>
              </w:rPr>
              <w:t xml:space="preserve"> </w:t>
            </w:r>
            <w:r>
              <w:rPr>
                <w:iCs/>
                <w:snapToGrid w:val="0"/>
              </w:rPr>
              <w:t xml:space="preserve">s. 655 </w:t>
            </w:r>
          </w:p>
        </w:tc>
        <w:tc>
          <w:tcPr>
            <w:tcW w:w="1134" w:type="dxa"/>
          </w:tcPr>
          <w:p>
            <w:pPr>
              <w:pStyle w:val="nTable"/>
              <w:spacing w:after="40"/>
            </w:pPr>
            <w:r>
              <w:rPr>
                <w:snapToGrid w:val="0"/>
              </w:rPr>
              <w:t>21 of 2008</w:t>
            </w:r>
          </w:p>
        </w:tc>
        <w:tc>
          <w:tcPr>
            <w:tcW w:w="1134" w:type="dxa"/>
          </w:tcPr>
          <w:p>
            <w:pPr>
              <w:pStyle w:val="nTable"/>
              <w:spacing w:after="40"/>
            </w:pPr>
            <w:r>
              <w:rPr>
                <w:snapToGrid w:val="0"/>
              </w:rPr>
              <w:t>27 May 2008</w:t>
            </w:r>
          </w:p>
        </w:tc>
        <w:tc>
          <w:tcPr>
            <w:tcW w:w="2552" w:type="dxa"/>
          </w:tcPr>
          <w:p>
            <w:pPr>
              <w:pStyle w:val="nTable"/>
              <w:spacing w:after="40"/>
              <w:rPr>
                <w:snapToGrid w:val="0"/>
              </w:rPr>
            </w:pPr>
            <w:r>
              <w:rPr>
                <w:snapToGrid w:val="0"/>
                <w:spacing w:val="-2"/>
              </w:rPr>
              <w:t xml:space="preserve">1 Mar 2009 (see s. 2(b) and </w:t>
            </w:r>
            <w:r>
              <w:rPr>
                <w:i/>
                <w:iCs/>
                <w:snapToGrid w:val="0"/>
                <w:spacing w:val="-2"/>
              </w:rPr>
              <w:t xml:space="preserve">Gazette </w:t>
            </w:r>
            <w:r>
              <w:rPr>
                <w:snapToGrid w:val="0"/>
                <w:spacing w:val="-2"/>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pPr>
            <w:r>
              <w:rPr>
                <w:i/>
                <w:snapToGrid w:val="0"/>
              </w:rPr>
              <w:t>Medical Practitioners Act 2008</w:t>
            </w:r>
            <w:r>
              <w:t xml:space="preserve"> </w:t>
            </w:r>
            <w:r>
              <w:rPr>
                <w:color w:val="000000"/>
              </w:rPr>
              <w:t>Sch. 3 cl. 14</w:t>
            </w:r>
          </w:p>
        </w:tc>
        <w:tc>
          <w:tcPr>
            <w:tcW w:w="1134" w:type="dxa"/>
            <w:tcBorders>
              <w:top w:val="nil"/>
              <w:bottom w:val="nil"/>
            </w:tcBorders>
          </w:tcPr>
          <w:p>
            <w:pPr>
              <w:pStyle w:val="nTable"/>
              <w:spacing w:after="40"/>
            </w:pPr>
            <w:r>
              <w:t>22 of 2008</w:t>
            </w:r>
          </w:p>
        </w:tc>
        <w:tc>
          <w:tcPr>
            <w:tcW w:w="1134" w:type="dxa"/>
            <w:tcBorders>
              <w:top w:val="nil"/>
              <w:bottom w:val="nil"/>
            </w:tcBorders>
          </w:tcPr>
          <w:p>
            <w:pPr>
              <w:pStyle w:val="nTable"/>
              <w:spacing w:after="40"/>
            </w:pPr>
            <w:r>
              <w:t>27 May 2008</w:t>
            </w:r>
          </w:p>
        </w:tc>
        <w:tc>
          <w:tcPr>
            <w:tcW w:w="2552" w:type="dxa"/>
            <w:tcBorders>
              <w:top w:val="nil"/>
              <w:bottom w:val="nil"/>
            </w:tcBorders>
          </w:tcPr>
          <w:p>
            <w:pPr>
              <w:pStyle w:val="nTable"/>
              <w:spacing w:after="40"/>
              <w:rPr>
                <w:snapToGrid w:val="0"/>
              </w:rPr>
            </w:pPr>
            <w:r>
              <w:rPr>
                <w:snapToGrid w:val="0"/>
              </w:rPr>
              <w:t xml:space="preserve">1 Dec 2008 (see s. 2 and </w:t>
            </w:r>
            <w:r>
              <w:rPr>
                <w:i/>
                <w:iCs/>
                <w:snapToGrid w:val="0"/>
              </w:rPr>
              <w:t>Gazette</w:t>
            </w:r>
            <w:r>
              <w:rPr>
                <w:snapToGrid w:val="0"/>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nil"/>
            </w:tcBorders>
          </w:tcPr>
          <w:p>
            <w:pPr>
              <w:pStyle w:val="nTable"/>
              <w:spacing w:after="40"/>
              <w:rPr>
                <w:snapToGrid w:val="0"/>
              </w:rPr>
            </w:pPr>
            <w:r>
              <w:rPr>
                <w:b/>
                <w:bCs/>
                <w:snapToGrid w:val="0"/>
              </w:rPr>
              <w:t xml:space="preserve">Reprint 2:  The </w:t>
            </w:r>
            <w:r>
              <w:rPr>
                <w:b/>
                <w:bCs/>
                <w:i/>
                <w:noProof/>
                <w:snapToGrid w:val="0"/>
              </w:rPr>
              <w:t>Criminal Injuries Compensation Act 2003</w:t>
            </w:r>
            <w:r>
              <w:rPr>
                <w:b/>
                <w:bCs/>
                <w:snapToGrid w:val="0"/>
              </w:rPr>
              <w:t xml:space="preserve"> as at 2 Jan 2009 </w:t>
            </w:r>
            <w:r>
              <w:rPr>
                <w:snapToGrid w:val="0"/>
              </w:rPr>
              <w:t xml:space="preserve">(includes amendments listed above except those in the </w:t>
            </w:r>
            <w:r>
              <w:rPr>
                <w:i/>
                <w:iCs/>
                <w:snapToGrid w:val="0"/>
              </w:rPr>
              <w:t>Legal Profession Act 2008</w:t>
            </w:r>
            <w:r>
              <w:rPr>
                <w:snapToGrid w:val="0"/>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pPr>
            <w:r>
              <w:rPr>
                <w:i/>
                <w:snapToGrid w:val="0"/>
              </w:rPr>
              <w:t xml:space="preserve">Health Practitioner Regulation National Law (WA) Act 2010 </w:t>
            </w:r>
            <w:r>
              <w:rPr>
                <w:iCs/>
                <w:snapToGrid w:val="0"/>
              </w:rPr>
              <w:t>Pt. 5 Div. 15</w:t>
            </w:r>
          </w:p>
        </w:tc>
        <w:tc>
          <w:tcPr>
            <w:tcW w:w="1134" w:type="dxa"/>
            <w:tcBorders>
              <w:top w:val="nil"/>
              <w:bottom w:val="nil"/>
            </w:tcBorders>
          </w:tcPr>
          <w:p>
            <w:pPr>
              <w:pStyle w:val="nTable"/>
              <w:spacing w:after="40"/>
            </w:pPr>
            <w:r>
              <w:rPr>
                <w:snapToGrid w:val="0"/>
              </w:rPr>
              <w:t>35 of 2010</w:t>
            </w:r>
          </w:p>
        </w:tc>
        <w:tc>
          <w:tcPr>
            <w:tcW w:w="1134" w:type="dxa"/>
            <w:tcBorders>
              <w:top w:val="nil"/>
              <w:bottom w:val="nil"/>
            </w:tcBorders>
          </w:tcPr>
          <w:p>
            <w:pPr>
              <w:pStyle w:val="nTable"/>
              <w:spacing w:after="40"/>
            </w:pPr>
            <w:r>
              <w:rPr>
                <w:snapToGrid w:val="0"/>
              </w:rPr>
              <w:t>30 Aug 2010</w:t>
            </w:r>
          </w:p>
        </w:tc>
        <w:tc>
          <w:tcPr>
            <w:tcW w:w="2552" w:type="dxa"/>
            <w:tcBorders>
              <w:top w:val="nil"/>
              <w:bottom w:val="nil"/>
            </w:tcBorders>
          </w:tcPr>
          <w:p>
            <w:pPr>
              <w:pStyle w:val="nTable"/>
              <w:spacing w:after="40"/>
              <w:rPr>
                <w:snapToGrid w:val="0"/>
              </w:rPr>
            </w:pPr>
            <w:r>
              <w:rPr>
                <w:snapToGrid w:val="0"/>
              </w:rPr>
              <w:t xml:space="preserve">18 Oct 2010 (see s. 2(b) and </w:t>
            </w:r>
            <w:r>
              <w:rPr>
                <w:i/>
                <w:snapToGrid w:val="0"/>
              </w:rPr>
              <w:t xml:space="preserve">Gazette </w:t>
            </w:r>
            <w:r>
              <w:rPr>
                <w:iCs/>
                <w:snapToGrid w:val="0"/>
              </w:rPr>
              <w:t>1 Oct 2010 p. 5075-6</w:t>
            </w:r>
            <w:r>
              <w:rPr>
                <w:snapToGrid w:val="0"/>
              </w:rPr>
              <w:t>)</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Cs/>
                <w:snapToGrid w:val="0"/>
              </w:rPr>
            </w:pPr>
            <w:r>
              <w:rPr>
                <w:i/>
                <w:iCs/>
                <w:snapToGrid w:val="0"/>
              </w:rPr>
              <w:t>Public Sector Reform Act 2010</w:t>
            </w:r>
            <w:r>
              <w:rPr>
                <w:iCs/>
                <w:snapToGrid w:val="0"/>
              </w:rPr>
              <w:t xml:space="preserve"> s. 89</w:t>
            </w:r>
          </w:p>
        </w:tc>
        <w:tc>
          <w:tcPr>
            <w:tcW w:w="1134" w:type="dxa"/>
            <w:tcBorders>
              <w:top w:val="nil"/>
              <w:bottom w:val="nil"/>
            </w:tcBorders>
          </w:tcPr>
          <w:p>
            <w:pPr>
              <w:pStyle w:val="nTable"/>
              <w:spacing w:after="40"/>
              <w:rPr>
                <w:snapToGrid w:val="0"/>
              </w:rPr>
            </w:pPr>
            <w:r>
              <w:rPr>
                <w:snapToGrid w:val="0"/>
              </w:rPr>
              <w:t>39 of 2010</w:t>
            </w:r>
          </w:p>
        </w:tc>
        <w:tc>
          <w:tcPr>
            <w:tcW w:w="1134" w:type="dxa"/>
            <w:tcBorders>
              <w:top w:val="nil"/>
              <w:bottom w:val="nil"/>
            </w:tcBorders>
          </w:tcPr>
          <w:p>
            <w:pPr>
              <w:pStyle w:val="nTable"/>
              <w:spacing w:after="40"/>
              <w:rPr>
                <w:snapToGrid w:val="0"/>
              </w:rPr>
            </w:pPr>
            <w:r>
              <w:rPr>
                <w:snapToGrid w:val="0"/>
              </w:rPr>
              <w:t>1 Oct 2010</w:t>
            </w:r>
          </w:p>
        </w:tc>
        <w:tc>
          <w:tcPr>
            <w:tcW w:w="2552" w:type="dxa"/>
            <w:tcBorders>
              <w:top w:val="nil"/>
              <w:bottom w:val="nil"/>
            </w:tcBorders>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after="40"/>
              <w:rPr>
                <w:i/>
                <w:iCs/>
                <w:snapToGrid w:val="0"/>
              </w:rPr>
            </w:pPr>
            <w:r>
              <w:rPr>
                <w:i/>
                <w:snapToGrid w:val="0"/>
              </w:rPr>
              <w:t>Criminal Investigation (Covert Powers) Act 2012</w:t>
            </w:r>
            <w:r>
              <w:rPr>
                <w:snapToGrid w:val="0"/>
              </w:rPr>
              <w:t xml:space="preserve"> Pt. 8</w:t>
            </w:r>
          </w:p>
        </w:tc>
        <w:tc>
          <w:tcPr>
            <w:tcW w:w="1134" w:type="dxa"/>
            <w:tcBorders>
              <w:top w:val="nil"/>
              <w:bottom w:val="nil"/>
            </w:tcBorders>
          </w:tcPr>
          <w:p>
            <w:pPr>
              <w:pStyle w:val="nTable"/>
              <w:spacing w:after="40"/>
              <w:rPr>
                <w:snapToGrid w:val="0"/>
              </w:rPr>
            </w:pPr>
            <w:r>
              <w:t>55 of 2012</w:t>
            </w:r>
          </w:p>
        </w:tc>
        <w:tc>
          <w:tcPr>
            <w:tcW w:w="1134" w:type="dxa"/>
            <w:tcBorders>
              <w:top w:val="nil"/>
              <w:bottom w:val="nil"/>
            </w:tcBorders>
          </w:tcPr>
          <w:p>
            <w:pPr>
              <w:pStyle w:val="nTable"/>
              <w:spacing w:after="40"/>
              <w:rPr>
                <w:snapToGrid w:val="0"/>
              </w:rPr>
            </w:pPr>
            <w:r>
              <w:t>3 Dec 2012</w:t>
            </w:r>
          </w:p>
        </w:tc>
        <w:tc>
          <w:tcPr>
            <w:tcW w:w="2552" w:type="dxa"/>
            <w:tcBorders>
              <w:top w:val="nil"/>
              <w:bottom w:val="nil"/>
            </w:tcBorders>
          </w:tcPr>
          <w:p>
            <w:pPr>
              <w:spacing w:before="40" w:after="40"/>
              <w:rPr>
                <w:snapToGrid w:val="0"/>
              </w:rPr>
            </w:pPr>
            <w:r>
              <w:rPr>
                <w:sz w:val="19"/>
              </w:rPr>
              <w:t xml:space="preserve">1 Mar 2013 (see s. 2(b) and </w:t>
            </w:r>
            <w:r>
              <w:rPr>
                <w:i/>
                <w:sz w:val="19"/>
              </w:rPr>
              <w:t>Gazette</w:t>
            </w:r>
            <w:r>
              <w:rPr>
                <w:sz w:val="19"/>
              </w:rPr>
              <w:t xml:space="preserve"> 25 Jan 2013 p. 271)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spacing w:before="40" w:after="40"/>
              <w:rPr>
                <w:sz w:val="19"/>
              </w:rPr>
            </w:pPr>
            <w:r>
              <w:rPr>
                <w:i/>
                <w:sz w:val="19"/>
              </w:rPr>
              <w:t>Courts and Tribunals (Electronic Processes Facilitation) Act 2013</w:t>
            </w:r>
            <w:r>
              <w:rPr>
                <w:sz w:val="19"/>
              </w:rPr>
              <w:t xml:space="preserve"> Pt. 3 Div. 6</w:t>
            </w:r>
          </w:p>
        </w:tc>
        <w:tc>
          <w:tcPr>
            <w:tcW w:w="1134" w:type="dxa"/>
            <w:tcBorders>
              <w:top w:val="nil"/>
              <w:bottom w:val="nil"/>
            </w:tcBorders>
          </w:tcPr>
          <w:p>
            <w:pPr>
              <w:spacing w:before="40" w:after="40"/>
              <w:rPr>
                <w:sz w:val="19"/>
              </w:rPr>
            </w:pPr>
            <w:r>
              <w:rPr>
                <w:sz w:val="19"/>
              </w:rPr>
              <w:t>20 of 2013</w:t>
            </w:r>
          </w:p>
        </w:tc>
        <w:tc>
          <w:tcPr>
            <w:tcW w:w="1134" w:type="dxa"/>
            <w:tcBorders>
              <w:top w:val="nil"/>
              <w:bottom w:val="nil"/>
            </w:tcBorders>
          </w:tcPr>
          <w:p>
            <w:pPr>
              <w:spacing w:before="40" w:after="40"/>
              <w:rPr>
                <w:sz w:val="19"/>
              </w:rPr>
            </w:pPr>
            <w:r>
              <w:rPr>
                <w:sz w:val="19"/>
              </w:rPr>
              <w:t>4 Nov 2013</w:t>
            </w:r>
          </w:p>
        </w:tc>
        <w:tc>
          <w:tcPr>
            <w:tcW w:w="2552" w:type="dxa"/>
            <w:tcBorders>
              <w:top w:val="nil"/>
              <w:bottom w:val="nil"/>
            </w:tcBorders>
          </w:tcPr>
          <w:p>
            <w:pPr>
              <w:spacing w:before="40" w:after="40"/>
              <w:rPr>
                <w:sz w:val="19"/>
              </w:rPr>
            </w:pPr>
            <w:r>
              <w:rPr>
                <w:sz w:val="19"/>
              </w:rPr>
              <w:t xml:space="preserve">25 Nov 2013 (see s. 2(b) and </w:t>
            </w:r>
            <w:r>
              <w:rPr>
                <w:i/>
                <w:sz w:val="19"/>
              </w:rPr>
              <w:t>Gazette</w:t>
            </w:r>
            <w:r>
              <w:rPr>
                <w:sz w:val="19"/>
              </w:rPr>
              <w:t xml:space="preserve"> 22 Nov 2013 p. 5391)</w:t>
            </w:r>
          </w:p>
        </w:tc>
      </w:tr>
      <w:tr>
        <w:tblPrEx>
          <w:tblBorders>
            <w:top w:val="single" w:sz="8" w:space="0" w:color="auto"/>
            <w:bottom w:val="single" w:sz="8" w:space="0" w:color="auto"/>
            <w:insideH w:val="single" w:sz="8" w:space="0" w:color="auto"/>
          </w:tblBorders>
        </w:tblPrEx>
        <w:tc>
          <w:tcPr>
            <w:tcW w:w="7088" w:type="dxa"/>
            <w:gridSpan w:val="4"/>
            <w:tcBorders>
              <w:top w:val="nil"/>
              <w:bottom w:val="nil"/>
            </w:tcBorders>
            <w:shd w:val="clear" w:color="auto" w:fill="auto"/>
          </w:tcPr>
          <w:p>
            <w:pPr>
              <w:pStyle w:val="nTable"/>
              <w:spacing w:after="40"/>
              <w:rPr>
                <w:snapToGrid w:val="0"/>
              </w:rPr>
            </w:pPr>
            <w:r>
              <w:rPr>
                <w:b/>
                <w:bCs/>
                <w:snapToGrid w:val="0"/>
              </w:rPr>
              <w:t xml:space="preserve">Reprint 3:  The </w:t>
            </w:r>
            <w:r>
              <w:rPr>
                <w:b/>
                <w:bCs/>
                <w:i/>
                <w:noProof/>
                <w:snapToGrid w:val="0"/>
              </w:rPr>
              <w:t>Criminal Injuries Compensation Act 2003</w:t>
            </w:r>
            <w:r>
              <w:rPr>
                <w:b/>
                <w:bCs/>
                <w:snapToGrid w:val="0"/>
              </w:rPr>
              <w:t xml:space="preserve"> as at 29 Nov 2013</w:t>
            </w:r>
            <w:r>
              <w:rPr>
                <w:b/>
                <w:bCs/>
                <w:snapToGrid w:val="0"/>
              </w:rPr>
              <w:br/>
            </w:r>
            <w:r>
              <w:rPr>
                <w:snapToGrid w:val="0"/>
              </w:rPr>
              <w:t>(includes amendments listed above)</w:t>
            </w:r>
          </w:p>
        </w:tc>
      </w:tr>
    </w:tbl>
    <w:p>
      <w:pPr>
        <w:pStyle w:val="nSubsection"/>
        <w:tabs>
          <w:tab w:val="clear" w:pos="454"/>
          <w:tab w:val="left" w:pos="567"/>
        </w:tabs>
        <w:spacing w:before="120"/>
        <w:ind w:left="567" w:hanging="567"/>
        <w:rPr>
          <w:del w:id="232" w:author="svcMRProcess" w:date="2018-08-23T09:43:00Z"/>
          <w:snapToGrid w:val="0"/>
        </w:rPr>
      </w:pPr>
      <w:del w:id="233" w:author="svcMRProcess" w:date="2018-08-23T09:43:00Z">
        <w:r>
          <w:rPr>
            <w:snapToGrid w:val="0"/>
            <w:vertAlign w:val="superscript"/>
          </w:rPr>
          <w:delText>1a</w:delText>
        </w:r>
        <w:r>
          <w:rPr>
            <w:snapToGrid w:val="0"/>
          </w:rPr>
          <w:tab/>
          <w:delText>On the date as at which this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234" w:author="svcMRProcess" w:date="2018-08-23T09:43:00Z"/>
        </w:rPr>
      </w:pPr>
      <w:bookmarkStart w:id="235" w:name="_Toc512000878"/>
      <w:del w:id="236" w:author="svcMRProcess" w:date="2018-08-23T09:43:00Z">
        <w:r>
          <w:delText>Provisions that have not come into operation</w:delText>
        </w:r>
        <w:bookmarkEnd w:id="235"/>
      </w:del>
    </w:p>
    <w:tbl>
      <w:tblPr>
        <w:tblW w:w="0" w:type="auto"/>
        <w:tblInd w:w="56" w:type="dxa"/>
        <w:tblLayout w:type="fixed"/>
        <w:tblCellMar>
          <w:left w:w="56" w:type="dxa"/>
          <w:right w:w="56" w:type="dxa"/>
        </w:tblCellMar>
        <w:tblLook w:val="0000" w:firstRow="0" w:lastRow="0" w:firstColumn="0" w:lastColumn="0" w:noHBand="0" w:noVBand="0"/>
      </w:tblPr>
      <w:tblGrid>
        <w:gridCol w:w="2268"/>
        <w:gridCol w:w="1134"/>
        <w:gridCol w:w="1134"/>
        <w:gridCol w:w="2551"/>
      </w:tblGrid>
      <w:tr>
        <w:trPr>
          <w:tblHeader/>
          <w:del w:id="237" w:author="svcMRProcess" w:date="2018-08-23T09:43:00Z"/>
        </w:trPr>
        <w:tc>
          <w:tcPr>
            <w:tcW w:w="2268" w:type="dxa"/>
            <w:tcBorders>
              <w:top w:val="single" w:sz="8" w:space="0" w:color="auto"/>
              <w:bottom w:val="single" w:sz="8" w:space="0" w:color="auto"/>
            </w:tcBorders>
            <w:shd w:val="clear" w:color="auto" w:fill="auto"/>
          </w:tcPr>
          <w:p>
            <w:pPr>
              <w:pStyle w:val="nTable"/>
              <w:spacing w:after="40"/>
              <w:rPr>
                <w:del w:id="238" w:author="svcMRProcess" w:date="2018-08-23T09:43:00Z"/>
                <w:b/>
              </w:rPr>
            </w:pPr>
            <w:del w:id="239" w:author="svcMRProcess" w:date="2018-08-23T09:43:00Z">
              <w:r>
                <w:rPr>
                  <w:b/>
                </w:rPr>
                <w:delText>Short title</w:delText>
              </w:r>
            </w:del>
          </w:p>
        </w:tc>
        <w:tc>
          <w:tcPr>
            <w:tcW w:w="1134" w:type="dxa"/>
            <w:tcBorders>
              <w:top w:val="single" w:sz="8" w:space="0" w:color="auto"/>
              <w:bottom w:val="single" w:sz="8" w:space="0" w:color="auto"/>
            </w:tcBorders>
            <w:shd w:val="clear" w:color="auto" w:fill="auto"/>
          </w:tcPr>
          <w:p>
            <w:pPr>
              <w:pStyle w:val="nTable"/>
              <w:spacing w:after="40"/>
              <w:rPr>
                <w:del w:id="240" w:author="svcMRProcess" w:date="2018-08-23T09:43:00Z"/>
                <w:b/>
              </w:rPr>
            </w:pPr>
            <w:del w:id="241" w:author="svcMRProcess" w:date="2018-08-23T09:43:00Z">
              <w:r>
                <w:rPr>
                  <w:b/>
                </w:rPr>
                <w:delText>Number and year</w:delText>
              </w:r>
            </w:del>
          </w:p>
        </w:tc>
        <w:tc>
          <w:tcPr>
            <w:tcW w:w="1134" w:type="dxa"/>
            <w:tcBorders>
              <w:top w:val="single" w:sz="8" w:space="0" w:color="auto"/>
              <w:bottom w:val="single" w:sz="8" w:space="0" w:color="auto"/>
            </w:tcBorders>
            <w:shd w:val="clear" w:color="auto" w:fill="auto"/>
          </w:tcPr>
          <w:p>
            <w:pPr>
              <w:pStyle w:val="nTable"/>
              <w:spacing w:after="40"/>
              <w:rPr>
                <w:del w:id="242" w:author="svcMRProcess" w:date="2018-08-23T09:43:00Z"/>
                <w:b/>
              </w:rPr>
            </w:pPr>
            <w:del w:id="243" w:author="svcMRProcess" w:date="2018-08-23T09:43:00Z">
              <w:r>
                <w:rPr>
                  <w:b/>
                </w:rPr>
                <w:delText>Assent</w:delText>
              </w:r>
            </w:del>
          </w:p>
        </w:tc>
        <w:tc>
          <w:tcPr>
            <w:tcW w:w="2551" w:type="dxa"/>
            <w:tcBorders>
              <w:top w:val="single" w:sz="8" w:space="0" w:color="auto"/>
              <w:bottom w:val="single" w:sz="8" w:space="0" w:color="auto"/>
            </w:tcBorders>
            <w:shd w:val="clear" w:color="auto" w:fill="auto"/>
          </w:tcPr>
          <w:p>
            <w:pPr>
              <w:pStyle w:val="nTable"/>
              <w:spacing w:after="40"/>
              <w:rPr>
                <w:del w:id="244" w:author="svcMRProcess" w:date="2018-08-23T09:43:00Z"/>
                <w:b/>
              </w:rPr>
            </w:pPr>
            <w:del w:id="245" w:author="svcMRProcess" w:date="2018-08-23T09:43:00Z">
              <w:r>
                <w:rPr>
                  <w:b/>
                </w:rPr>
                <w:delText>Commencement</w:delText>
              </w:r>
            </w:del>
          </w:p>
        </w:tc>
      </w:tr>
      <w:tr>
        <w:tc>
          <w:tcPr>
            <w:tcW w:w="2268" w:type="dxa"/>
            <w:tcBorders>
              <w:bottom w:val="single" w:sz="4" w:space="0" w:color="auto"/>
            </w:tcBorders>
          </w:tcPr>
          <w:p>
            <w:pPr>
              <w:pStyle w:val="nTable"/>
              <w:spacing w:after="40"/>
              <w:rPr>
                <w:vertAlign w:val="superscript"/>
              </w:rPr>
            </w:pPr>
            <w:r>
              <w:rPr>
                <w:i/>
                <w:snapToGrid w:val="0"/>
              </w:rPr>
              <w:t xml:space="preserve">Civil Liability Legislation Amendment (Child Sexual Abuse Actions) Act 2018 </w:t>
            </w:r>
            <w:r>
              <w:rPr>
                <w:snapToGrid w:val="0"/>
              </w:rPr>
              <w:t>Pt. 3</w:t>
            </w:r>
            <w:del w:id="246" w:author="svcMRProcess" w:date="2018-08-23T09:43:00Z">
              <w:r>
                <w:rPr>
                  <w:snapToGrid w:val="0"/>
                </w:rPr>
                <w:delText> </w:delText>
              </w:r>
              <w:r>
                <w:rPr>
                  <w:snapToGrid w:val="0"/>
                  <w:vertAlign w:val="superscript"/>
                </w:rPr>
                <w:delText>8</w:delText>
              </w:r>
            </w:del>
          </w:p>
        </w:tc>
        <w:tc>
          <w:tcPr>
            <w:tcW w:w="1134" w:type="dxa"/>
            <w:tcBorders>
              <w:bottom w:val="single" w:sz="4" w:space="0" w:color="auto"/>
            </w:tcBorders>
          </w:tcPr>
          <w:p>
            <w:pPr>
              <w:pStyle w:val="nTable"/>
              <w:spacing w:after="40"/>
            </w:pPr>
            <w:r>
              <w:t>3 of 2018</w:t>
            </w:r>
          </w:p>
        </w:tc>
        <w:tc>
          <w:tcPr>
            <w:tcW w:w="1134" w:type="dxa"/>
            <w:tcBorders>
              <w:bottom w:val="single" w:sz="4" w:space="0" w:color="auto"/>
            </w:tcBorders>
          </w:tcPr>
          <w:p>
            <w:pPr>
              <w:pStyle w:val="nTable"/>
              <w:spacing w:after="40"/>
            </w:pPr>
            <w:r>
              <w:t>19 Apr 2018</w:t>
            </w:r>
          </w:p>
        </w:tc>
        <w:tc>
          <w:tcPr>
            <w:tcW w:w="2551" w:type="dxa"/>
            <w:tcBorders>
              <w:bottom w:val="single" w:sz="4" w:space="0" w:color="auto"/>
            </w:tcBorders>
          </w:tcPr>
          <w:p>
            <w:pPr>
              <w:pStyle w:val="nTable"/>
              <w:spacing w:after="40"/>
            </w:pPr>
            <w:del w:id="247" w:author="svcMRProcess" w:date="2018-08-23T09:43:00Z">
              <w:r>
                <w:rPr>
                  <w:color w:val="000000"/>
                </w:rPr>
                <w:delText>To be proclaimed</w:delText>
              </w:r>
            </w:del>
            <w:ins w:id="248" w:author="svcMRProcess" w:date="2018-08-23T09:43:00Z">
              <w:r>
                <w:rPr>
                  <w:color w:val="000000"/>
                </w:rPr>
                <w:t>1 Jul 2018</w:t>
              </w:r>
            </w:ins>
            <w:r>
              <w:t xml:space="preserve"> (see s. 2(b</w:t>
            </w:r>
            <w:del w:id="249" w:author="svcMRProcess" w:date="2018-08-23T09:43:00Z">
              <w:r>
                <w:delText>))</w:delText>
              </w:r>
            </w:del>
            <w:ins w:id="250" w:author="svcMRProcess" w:date="2018-08-23T09:43:00Z">
              <w:r>
                <w:t xml:space="preserve">) and </w:t>
              </w:r>
              <w:r>
                <w:rPr>
                  <w:i/>
                </w:rPr>
                <w:t>Gazette</w:t>
              </w:r>
              <w:r>
                <w:t xml:space="preserve"> 29 Jun 2018 p. 2434)</w:t>
              </w:r>
            </w:ins>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rPr>
        <w:t>Offenders Community Corrections Act 1963</w:t>
      </w:r>
      <w:r>
        <w:rPr>
          <w:iCs/>
        </w:rPr>
        <w:t xml:space="preserve"> was repealed by the </w:t>
      </w:r>
      <w:r>
        <w:rPr>
          <w:i/>
          <w:color w:val="000000"/>
        </w:rPr>
        <w:t>Sentencing (Consequential Provisions) Act 1995</w:t>
      </w:r>
      <w:r>
        <w:rPr>
          <w:color w:val="000000"/>
        </w:rPr>
        <w:t>.</w:t>
      </w:r>
    </w:p>
    <w:p>
      <w:pPr>
        <w:pStyle w:val="nSubsection"/>
      </w:pPr>
      <w:r>
        <w:rPr>
          <w:vertAlign w:val="superscript"/>
        </w:rPr>
        <w:t>4</w:t>
      </w:r>
      <w:r>
        <w:tab/>
        <w:t xml:space="preserve">The </w:t>
      </w:r>
      <w:r>
        <w:rPr>
          <w:i/>
          <w:iCs/>
        </w:rPr>
        <w:t xml:space="preserve">Child Welfare Act 1947 </w:t>
      </w:r>
      <w:r>
        <w:rPr>
          <w:iCs/>
        </w:rPr>
        <w:t>was repealed by the</w:t>
      </w:r>
      <w:r>
        <w:rPr>
          <w:i/>
          <w:color w:val="000000"/>
        </w:rPr>
        <w:t xml:space="preserve"> Children and Community Services Act 2004</w:t>
      </w:r>
      <w:r>
        <w:rPr>
          <w:color w:val="000000"/>
        </w:rPr>
        <w:t>.</w:t>
      </w:r>
    </w:p>
    <w:p>
      <w:pPr>
        <w:pStyle w:val="nSubsection"/>
      </w:pPr>
      <w:r>
        <w:rPr>
          <w:vertAlign w:val="superscript"/>
        </w:rPr>
        <w:t>5</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6</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7</w:t>
      </w:r>
      <w:r>
        <w:tab/>
        <w:t xml:space="preserve">The </w:t>
      </w:r>
      <w:r>
        <w:rPr>
          <w:i/>
          <w:iCs/>
        </w:rPr>
        <w:t>Criminal Injuries Compensation Amendment Act 2004</w:t>
      </w:r>
      <w:r>
        <w:t xml:space="preserve"> s. 10 reads as follows:</w:t>
      </w:r>
    </w:p>
    <w:p>
      <w:pPr>
        <w:pStyle w:val="BlankOpen"/>
      </w:pPr>
    </w:p>
    <w:p>
      <w:pPr>
        <w:pStyle w:val="nzHeading5"/>
      </w:pPr>
      <w:r>
        <w:rPr>
          <w:rStyle w:val="CharSectno"/>
        </w:rPr>
        <w:t>10</w:t>
      </w:r>
      <w:r>
        <w:t>.</w:t>
      </w:r>
      <w:r>
        <w:tab/>
        <w:t>Validation</w:t>
      </w:r>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BlankClose"/>
      </w:pPr>
    </w:p>
    <w:p>
      <w:pPr>
        <w:pStyle w:val="nSubsection"/>
        <w:spacing w:before="200"/>
        <w:rPr>
          <w:del w:id="251" w:author="svcMRProcess" w:date="2018-08-23T09:43:00Z"/>
          <w:snapToGrid w:val="0"/>
        </w:rPr>
      </w:pPr>
      <w:del w:id="252" w:author="svcMRProcess" w:date="2018-08-23T09:43:00Z">
        <w:r>
          <w:rPr>
            <w:snapToGrid w:val="0"/>
            <w:vertAlign w:val="superscript"/>
          </w:rPr>
          <w:delText>8</w:delText>
        </w:r>
        <w:r>
          <w:rPr>
            <w:snapToGrid w:val="0"/>
          </w:rPr>
          <w:tab/>
        </w:r>
        <w:r>
          <w:delText xml:space="preserve">On </w:delText>
        </w:r>
        <w:r>
          <w:rPr>
            <w:snapToGrid w:val="0"/>
          </w:rPr>
          <w:delText>the</w:delText>
        </w:r>
        <w:r>
          <w:delText xml:space="preserve"> date as at which this compilation was prepared, </w:delText>
        </w:r>
        <w:r>
          <w:rPr>
            <w:snapToGrid w:val="0"/>
          </w:rPr>
          <w:delText xml:space="preserve">the </w:delText>
        </w:r>
        <w:r>
          <w:rPr>
            <w:i/>
            <w:snapToGrid w:val="0"/>
          </w:rPr>
          <w:delText xml:space="preserve">Civil Liability Legislation Amendment (Child Sexual Abuse Actions) Act 2018 </w:delText>
        </w:r>
        <w:r>
          <w:rPr>
            <w:snapToGrid w:val="0"/>
          </w:rPr>
          <w:delText>Pt. 3 had not come into operation.  It reads as follows:</w:delText>
        </w:r>
      </w:del>
    </w:p>
    <w:p>
      <w:pPr>
        <w:pStyle w:val="BlankOpen"/>
        <w:rPr>
          <w:del w:id="253" w:author="svcMRProcess" w:date="2018-08-23T09:43:00Z"/>
        </w:rPr>
      </w:pPr>
    </w:p>
    <w:p>
      <w:pPr>
        <w:pStyle w:val="nzHeading2"/>
        <w:rPr>
          <w:del w:id="254" w:author="svcMRProcess" w:date="2018-08-23T09:43:00Z"/>
        </w:rPr>
      </w:pPr>
      <w:del w:id="255" w:author="svcMRProcess" w:date="2018-08-23T09:43:00Z">
        <w:r>
          <w:rPr>
            <w:rStyle w:val="CharPartNo"/>
          </w:rPr>
          <w:delText>Part 3</w:delText>
        </w:r>
        <w:r>
          <w:rPr>
            <w:rStyle w:val="CharDivNo"/>
          </w:rPr>
          <w:delText> </w:delText>
        </w:r>
        <w:r>
          <w:delText>—</w:delText>
        </w:r>
        <w:r>
          <w:rPr>
            <w:rStyle w:val="CharDivText"/>
          </w:rPr>
          <w:delText> </w:delText>
        </w:r>
        <w:r>
          <w:rPr>
            <w:rStyle w:val="CharPartText"/>
            <w:i/>
          </w:rPr>
          <w:delText>Criminal Injuries Compensation Act 2003</w:delText>
        </w:r>
        <w:r>
          <w:rPr>
            <w:rStyle w:val="CharPartText"/>
          </w:rPr>
          <w:delText> amended</w:delText>
        </w:r>
      </w:del>
    </w:p>
    <w:p>
      <w:pPr>
        <w:pStyle w:val="nzHeading5"/>
        <w:rPr>
          <w:del w:id="256" w:author="svcMRProcess" w:date="2018-08-23T09:43:00Z"/>
          <w:snapToGrid w:val="0"/>
        </w:rPr>
      </w:pPr>
      <w:bookmarkStart w:id="257" w:name="_Toc511217912"/>
      <w:bookmarkStart w:id="258" w:name="_Toc511986652"/>
      <w:del w:id="259" w:author="svcMRProcess" w:date="2018-08-23T09:43:00Z">
        <w:r>
          <w:rPr>
            <w:rStyle w:val="CharSectno"/>
          </w:rPr>
          <w:delText>6</w:delText>
        </w:r>
        <w:r>
          <w:rPr>
            <w:snapToGrid w:val="0"/>
          </w:rPr>
          <w:delText>.</w:delText>
        </w:r>
        <w:r>
          <w:rPr>
            <w:snapToGrid w:val="0"/>
          </w:rPr>
          <w:tab/>
          <w:delText>Act amended</w:delText>
        </w:r>
        <w:bookmarkEnd w:id="257"/>
        <w:bookmarkEnd w:id="258"/>
      </w:del>
    </w:p>
    <w:p>
      <w:pPr>
        <w:pStyle w:val="nzSubsection"/>
        <w:rPr>
          <w:del w:id="260" w:author="svcMRProcess" w:date="2018-08-23T09:43:00Z"/>
        </w:rPr>
      </w:pPr>
      <w:del w:id="261" w:author="svcMRProcess" w:date="2018-08-23T09:43:00Z">
        <w:r>
          <w:tab/>
        </w:r>
        <w:r>
          <w:tab/>
          <w:delText xml:space="preserve">This Part amends the </w:delText>
        </w:r>
        <w:r>
          <w:rPr>
            <w:i/>
          </w:rPr>
          <w:delText>Criminal Injuries Compensation Act 2003</w:delText>
        </w:r>
        <w:r>
          <w:delText>.</w:delText>
        </w:r>
      </w:del>
    </w:p>
    <w:p>
      <w:pPr>
        <w:pStyle w:val="nzHeading5"/>
        <w:rPr>
          <w:del w:id="262" w:author="svcMRProcess" w:date="2018-08-23T09:43:00Z"/>
          <w:snapToGrid w:val="0"/>
        </w:rPr>
      </w:pPr>
      <w:bookmarkStart w:id="263" w:name="_Toc511217913"/>
      <w:bookmarkStart w:id="264" w:name="_Toc511986653"/>
      <w:del w:id="265" w:author="svcMRProcess" w:date="2018-08-23T09:43:00Z">
        <w:r>
          <w:rPr>
            <w:rStyle w:val="CharSectno"/>
          </w:rPr>
          <w:delText>7</w:delText>
        </w:r>
        <w:r>
          <w:rPr>
            <w:snapToGrid w:val="0"/>
          </w:rPr>
          <w:delText>.</w:delText>
        </w:r>
        <w:r>
          <w:rPr>
            <w:snapToGrid w:val="0"/>
          </w:rPr>
          <w:tab/>
          <w:delText>Section 68 amended</w:delText>
        </w:r>
        <w:bookmarkEnd w:id="263"/>
        <w:bookmarkEnd w:id="264"/>
      </w:del>
    </w:p>
    <w:p>
      <w:pPr>
        <w:pStyle w:val="nzSubsection"/>
        <w:rPr>
          <w:del w:id="266" w:author="svcMRProcess" w:date="2018-08-23T09:43:00Z"/>
        </w:rPr>
      </w:pPr>
      <w:del w:id="267" w:author="svcMRProcess" w:date="2018-08-23T09:43:00Z">
        <w:r>
          <w:tab/>
        </w:r>
        <w:r>
          <w:tab/>
          <w:delText xml:space="preserve">After section 68(1) insert: </w:delText>
        </w:r>
      </w:del>
    </w:p>
    <w:p>
      <w:pPr>
        <w:pStyle w:val="BlankOpen"/>
        <w:rPr>
          <w:del w:id="268" w:author="svcMRProcess" w:date="2018-08-23T09:43:00Z"/>
        </w:rPr>
      </w:pPr>
    </w:p>
    <w:p>
      <w:pPr>
        <w:pStyle w:val="nzSubsection"/>
        <w:rPr>
          <w:del w:id="269" w:author="svcMRProcess" w:date="2018-08-23T09:43:00Z"/>
        </w:rPr>
      </w:pPr>
      <w:del w:id="270" w:author="svcMRProcess" w:date="2018-08-23T09:43:00Z">
        <w:r>
          <w:tab/>
          <w:delText>(1A)</w:delText>
        </w:r>
        <w:r>
          <w:tab/>
          <w:delText>Subsection (1) does not apply if the amount referred to in subsection (1)(b) was reduced to take into account the compensation award referred to in subsection (1)(a).</w:delText>
        </w:r>
      </w:del>
    </w:p>
    <w:p>
      <w:pPr>
        <w:pStyle w:val="BlankClose"/>
        <w:rPr>
          <w:del w:id="271" w:author="svcMRProcess" w:date="2018-08-23T09:43:00Z"/>
        </w:rPr>
      </w:pPr>
    </w:p>
    <w:p>
      <w:pPr>
        <w:pStyle w:val="BlankClose"/>
        <w:rPr>
          <w:del w:id="272" w:author="svcMRProcess" w:date="2018-08-23T09:43:00Z"/>
        </w:rPr>
      </w:pPr>
    </w:p>
    <w:p>
      <w:pPr>
        <w:sectPr>
          <w:headerReference w:type="even" r:id="rId26"/>
          <w:headerReference w:type="default" r:id="rId27"/>
          <w:headerReference w:type="first" r:id="rId28"/>
          <w:endnotePr>
            <w:numFmt w:val="decimal"/>
          </w:endnotePr>
          <w:pgSz w:w="11907" w:h="16840" w:code="9"/>
          <w:pgMar w:top="2376" w:right="2405" w:bottom="3542" w:left="2405" w:header="706" w:footer="3380" w:gutter="0"/>
          <w:cols w:space="720"/>
          <w:noEndnote/>
          <w:docGrid w:linePitch="326"/>
        </w:sectPr>
      </w:pPr>
    </w:p>
    <w:p>
      <w:pPr>
        <w:rPr>
          <w:rFonts w:ascii="Arial" w:hAnsi="Arial" w:cs="Arial"/>
          <w:sz w:val="12"/>
        </w:rPr>
      </w:pPr>
    </w:p>
    <w:sectPr>
      <w:headerReference w:type="even" r:id="rId29"/>
      <w:headerReference w:type="default" r:id="rId30"/>
      <w:footerReference w:type="even" r:id="rId31"/>
      <w:footerReference w:type="default" r:id="rId32"/>
      <w:headerReference w:type="first" r:id="rId33"/>
      <w:footerReference w:type="first" r:id="rId34"/>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19 Apr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03-c0-00</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Apr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03-c0-00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19 Apr 2018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03-b0-01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03-c0-00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0" w:name="TitlePage"/>
    <w:bookmarkEnd w:id="0"/>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styleref CharSDivText</w:instrText>
          </w:r>
          <w:r>
            <w:fldChar w:fldCharType="end"/>
          </w:r>
        </w:p>
      </w:tc>
    </w:tr>
    <w:tr>
      <w:tc>
        <w:tcPr>
          <w:tcW w:w="1548" w:type="dxa"/>
        </w:tcPr>
        <w:p>
          <w:pPr>
            <w:pStyle w:val="Header"/>
            <w:spacing w:before="40"/>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r>
            <w:fldChar w:fldCharType="begin"/>
          </w:r>
          <w:r>
            <w:instrText>styleref CharSDivText</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 xml:space="preserve"> IF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xml:space="preserve"> </w:instrText>
          </w:r>
          <w:r>
            <w:rPr>
              <w:b/>
            </w:rPr>
            <w:fldChar w:fldCharType="separate"/>
          </w:r>
          <w:r>
            <w:rPr>
              <w:b/>
            </w:rPr>
            <w:t>1</w:t>
          </w:r>
          <w:r>
            <w:rPr>
              <w:b/>
            </w:rPr>
            <w:fldChar w:fldCharType="end"/>
          </w:r>
        </w:p>
      </w:tc>
    </w:tr>
  </w:tbl>
  <w:p>
    <w:pPr>
      <w:pStyle w:val="Header"/>
      <w:pBdr>
        <w:top w:val="single" w:sz="4" w:space="1" w:color="auto"/>
      </w:pBdr>
    </w:pPr>
    <w:bookmarkStart w:id="225" w:name="Schedule"/>
    <w:bookmarkEnd w:id="225"/>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Criminal Injuries Compensation Act 2003</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273" w:name="Compilation"/>
    <w:bookmarkEnd w:id="273"/>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74" w:name="Coversheet"/>
    <w:bookmarkEnd w:id="27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FA9F4A"/>
    <w:lvl w:ilvl="0">
      <w:start w:val="1"/>
      <w:numFmt w:val="decimal"/>
      <w:lvlText w:val="%1."/>
      <w:lvlJc w:val="left"/>
      <w:pPr>
        <w:tabs>
          <w:tab w:val="num" w:pos="1800"/>
        </w:tabs>
        <w:ind w:left="1800" w:hanging="360"/>
      </w:pPr>
    </w:lvl>
  </w:abstractNum>
  <w:abstractNum w:abstractNumId="1">
    <w:nsid w:val="FFFFFF7D"/>
    <w:multiLevelType w:val="singleLevel"/>
    <w:tmpl w:val="D1D6863A"/>
    <w:lvl w:ilvl="0">
      <w:start w:val="1"/>
      <w:numFmt w:val="decimal"/>
      <w:lvlText w:val="%1."/>
      <w:lvlJc w:val="left"/>
      <w:pPr>
        <w:tabs>
          <w:tab w:val="num" w:pos="1440"/>
        </w:tabs>
        <w:ind w:left="1440" w:hanging="360"/>
      </w:pPr>
    </w:lvl>
  </w:abstractNum>
  <w:abstractNum w:abstractNumId="2">
    <w:nsid w:val="FFFFFF7E"/>
    <w:multiLevelType w:val="singleLevel"/>
    <w:tmpl w:val="331CFEBA"/>
    <w:lvl w:ilvl="0">
      <w:start w:val="1"/>
      <w:numFmt w:val="decimal"/>
      <w:lvlText w:val="%1."/>
      <w:lvlJc w:val="left"/>
      <w:pPr>
        <w:tabs>
          <w:tab w:val="num" w:pos="1080"/>
        </w:tabs>
        <w:ind w:left="1080" w:hanging="360"/>
      </w:pPr>
    </w:lvl>
  </w:abstractNum>
  <w:abstractNum w:abstractNumId="3">
    <w:nsid w:val="FFFFFF7F"/>
    <w:multiLevelType w:val="singleLevel"/>
    <w:tmpl w:val="92707D16"/>
    <w:lvl w:ilvl="0">
      <w:start w:val="1"/>
      <w:numFmt w:val="decimal"/>
      <w:lvlText w:val="%1."/>
      <w:lvlJc w:val="left"/>
      <w:pPr>
        <w:tabs>
          <w:tab w:val="num" w:pos="720"/>
        </w:tabs>
        <w:ind w:left="720" w:hanging="360"/>
      </w:pPr>
    </w:lvl>
  </w:abstractNum>
  <w:abstractNum w:abstractNumId="4">
    <w:nsid w:val="FFFFFF80"/>
    <w:multiLevelType w:val="singleLevel"/>
    <w:tmpl w:val="E4342BD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5D4490E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6C1B3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8F0CB54"/>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504AA6B8"/>
    <w:lvl w:ilvl="0">
      <w:start w:val="1"/>
      <w:numFmt w:val="decimal"/>
      <w:lvlText w:val="%1."/>
      <w:lvlJc w:val="left"/>
      <w:pPr>
        <w:tabs>
          <w:tab w:val="num" w:pos="360"/>
        </w:tabs>
        <w:ind w:left="360" w:hanging="360"/>
      </w:pPr>
    </w:lvl>
  </w:abstractNum>
  <w:abstractNum w:abstractNumId="9">
    <w:nsid w:val="FFFFFF89"/>
    <w:multiLevelType w:val="singleLevel"/>
    <w:tmpl w:val="E65AA694"/>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7A406C86"/>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80629091900"/>
    <w:docVar w:name="WAFER_20140113101355" w:val="RemoveTocBookmarks,RemoveUnusedBookmarks,RemoveLanguageTags,UsedStyles,ResetPageSize,UpdateArrangement"/>
    <w:docVar w:name="WAFER_20140113101355_GUID" w:val="9c362fb6-722f-4d75-b12e-c5a2f72afded"/>
    <w:docVar w:name="WAFER_20140113101403" w:val="RemoveTocBookmarks,RunningHeaders"/>
    <w:docVar w:name="WAFER_20140113101403_GUID" w:val="b610b9d9-ba14-4788-8517-4216fce83c05"/>
    <w:docVar w:name="WAFER_20140306114338" w:val="RemoveTocBookmarks,RemoveUnusedBookmarks,RemoveLanguageTags,UsedStyles,ResetPageSize"/>
    <w:docVar w:name="WAFER_20140306114338_GUID" w:val="abcccd87-8bc1-43be-be46-2e7836cf948c"/>
    <w:docVar w:name="WAFER_20140306114943" w:val="RemoveTocBookmarks,RunningHeaders"/>
    <w:docVar w:name="WAFER_20140306114943_GUID" w:val="a3a9d347-a16e-4a3e-81eb-c96b1ae92e89"/>
    <w:docVar w:name="WAFER_20150401135000" w:val="ResetPageSize,UpdateArrangement,UpdateNTable"/>
    <w:docVar w:name="WAFER_20150401135000_GUID" w:val="a56da063-50d6-4891-b926-924628ad1976"/>
    <w:docVar w:name="WAFER_20151103102642" w:val="UpdateStyles,UsedStyles"/>
    <w:docVar w:name="WAFER_20151103102642_GUID" w:val="4589ce67-ca75-43d7-9e31-831d1abe1bd1"/>
    <w:docVar w:name="WAFER_20151202135141" w:val="UpdateStyles"/>
    <w:docVar w:name="WAFER_20151202135141_GUID" w:val="47d4227b-146a-441c-a0df-2228f8ac793c"/>
    <w:docVar w:name="WAFER_20180420123419" w:val="RemoveTocBookmarks,RemoveUnusedBookmarks,RemoveLanguageTags,UpdateStyles,UsedStyles,ResetPageSize"/>
    <w:docVar w:name="WAFER_20180420123419_GUID" w:val="3ad4484d-8016-44fa-bb3f-d3af3a3b7479"/>
    <w:docVar w:name="WAFER_20180629091900" w:val="RemoveTocBookmarks,RemoveUnusedBookmarks,RemoveLanguageTags,UsedStyles,ResetPageSize"/>
    <w:docVar w:name="WAFER_20180629091900_GUID" w:val="cbc03e77-eb02-4b7c-9580-b2602501af23"/>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LongTitle">
    <w:name w:val="Long Title"/>
    <w:rPr>
      <w:b/>
      <w:sz w:val="24"/>
    </w:rPr>
  </w:style>
  <w:style w:type="paragraph" w:customStyle="1" w:styleId="WA">
    <w:name w:val="WA"/>
    <w:pPr>
      <w:spacing w:after="720"/>
      <w:jc w:val="center"/>
    </w:pPr>
    <w:rPr>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rincipalActReg">
    <w:name w:val="PrincipalAct_Reg"/>
    <w:pPr>
      <w:spacing w:after="480"/>
      <w:jc w:val="center"/>
    </w:pPr>
    <w:rPr>
      <w:sz w:val="24"/>
    </w:rPr>
  </w:style>
  <w:style w:type="character" w:customStyle="1" w:styleId="DraftersNotes">
    <w:name w:val="DraftersNotes"/>
    <w:basedOn w:val="DefaultParagraphFont"/>
    <w:rPr>
      <w:b/>
      <w:i/>
      <w:sz w:val="20"/>
    </w:rPr>
  </w:style>
  <w:style w:type="paragraph" w:customStyle="1" w:styleId="Equation">
    <w:name w:val="Equation"/>
    <w:rPr>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THeading">
    <w:name w:val="THeading"/>
    <w:pPr>
      <w:keepNext/>
      <w:spacing w:before="160" w:after="60" w:line="260" w:lineRule="atLeast"/>
      <w:jc w:val="center"/>
    </w:pPr>
    <w:rPr>
      <w:b/>
      <w:bCs/>
      <w:sz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oter" Target="footer9.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footer" Target="footer8.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header" Target="header12.xml"/><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2.png"/><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F1020-6A5D-4180-9717-F5B639F38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12732</Words>
  <Characters>59335</Characters>
  <Application>Microsoft Office Word</Application>
  <DocSecurity>0</DocSecurity>
  <Lines>1603</Lines>
  <Paragraphs>900</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71167</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03-b0-01 - 03-c0-00</dc:title>
  <dc:subject/>
  <dc:creator/>
  <cp:keywords/>
  <dc:description/>
  <cp:lastModifiedBy>svcMRProcess</cp:lastModifiedBy>
  <cp:revision>2</cp:revision>
  <cp:lastPrinted>2013-12-02T05:05:00Z</cp:lastPrinted>
  <dcterms:created xsi:type="dcterms:W3CDTF">2018-08-23T01:43:00Z</dcterms:created>
  <dcterms:modified xsi:type="dcterms:W3CDTF">2018-08-23T01:43:00Z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DocumentType">
    <vt:lpwstr>Act</vt:lpwstr>
  </property>
  <property fmtid="{D5CDD505-2E9C-101B-9397-08002B2CF9AE}" pid="4" name="OwlsUID">
    <vt:i4>6998</vt:i4>
  </property>
  <property fmtid="{D5CDD505-2E9C-101B-9397-08002B2CF9AE}" pid="5" name="ReprintNo">
    <vt:lpwstr>3</vt:lpwstr>
  </property>
  <property fmtid="{D5CDD505-2E9C-101B-9397-08002B2CF9AE}" pid="6" name="ReprintedAsAt">
    <vt:filetime>2013-11-28T16:00:00Z</vt:filetime>
  </property>
  <property fmtid="{D5CDD505-2E9C-101B-9397-08002B2CF9AE}" pid="7" name="CommencementDate">
    <vt:lpwstr>20180701</vt:lpwstr>
  </property>
  <property fmtid="{D5CDD505-2E9C-101B-9397-08002B2CF9AE}" pid="8" name="FromSuffix">
    <vt:lpwstr>03-b0-01</vt:lpwstr>
  </property>
  <property fmtid="{D5CDD505-2E9C-101B-9397-08002B2CF9AE}" pid="9" name="FromAsAtDate">
    <vt:lpwstr>19 Apr 2018</vt:lpwstr>
  </property>
  <property fmtid="{D5CDD505-2E9C-101B-9397-08002B2CF9AE}" pid="10" name="ToSuffix">
    <vt:lpwstr>03-c0-00</vt:lpwstr>
  </property>
  <property fmtid="{D5CDD505-2E9C-101B-9397-08002B2CF9AE}" pid="11" name="ToAsAtDate">
    <vt:lpwstr>01 Jul 2018</vt:lpwstr>
  </property>
</Properties>
</file>