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Limitation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Limitation Act 2005</w:t>
      </w:r>
    </w:p>
    <w:p>
      <w:pPr>
        <w:pStyle w:val="LongTitle"/>
        <w:suppressLineNumbers/>
        <w:rPr>
          <w:snapToGrid w:val="0"/>
        </w:rPr>
      </w:pPr>
      <w:r>
        <w:rPr>
          <w:snapToGrid w:val="0"/>
        </w:rPr>
        <w:t>A</w:t>
      </w:r>
      <w:bookmarkStart w:id="1" w:name="_GoBack"/>
      <w:bookmarkEnd w:id="1"/>
      <w:r>
        <w:rPr>
          <w:snapToGrid w:val="0"/>
        </w:rPr>
        <w:t>n Act to provide for time limits for commencing civil legal proceedings and arbitrations, and for related purposes.</w:t>
      </w:r>
    </w:p>
    <w:p>
      <w:pPr>
        <w:pStyle w:val="Heading2"/>
      </w:pPr>
      <w:bookmarkStart w:id="2" w:name="_Toc518035794"/>
      <w:bookmarkStart w:id="3" w:name="_Toc518035909"/>
      <w:bookmarkStart w:id="4" w:name="_Toc518044251"/>
      <w:bookmarkStart w:id="5" w:name="_Toc512001130"/>
      <w:bookmarkStart w:id="6" w:name="_Toc51200139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518044252"/>
      <w:bookmarkStart w:id="8" w:name="_Toc512001393"/>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9" w:name="_Toc518044253"/>
      <w:bookmarkStart w:id="10" w:name="_Toc512001394"/>
      <w:r>
        <w:rPr>
          <w:rStyle w:val="CharSectno"/>
        </w:rPr>
        <w:t>2</w:t>
      </w:r>
      <w:r>
        <w:t>.</w:t>
      </w:r>
      <w:r>
        <w:tab/>
        <w:t>Commencement</w:t>
      </w:r>
      <w:bookmarkEnd w:id="9"/>
      <w:bookmarkEnd w:id="10"/>
    </w:p>
    <w:p>
      <w:pPr>
        <w:pStyle w:val="Subsection"/>
        <w:rPr>
          <w:spacing w:val="-2"/>
        </w:rPr>
      </w:pPr>
      <w:r>
        <w:tab/>
      </w:r>
      <w:r>
        <w:tab/>
        <w:t xml:space="preserve">This Act </w:t>
      </w:r>
      <w:r>
        <w:rPr>
          <w:spacing w:val="-2"/>
        </w:rPr>
        <w:t>comes into operation on the day on which it receives the Royal Assent.</w:t>
      </w:r>
    </w:p>
    <w:p>
      <w:pPr>
        <w:pStyle w:val="Heading5"/>
      </w:pPr>
      <w:bookmarkStart w:id="11" w:name="_Toc518044254"/>
      <w:bookmarkStart w:id="12" w:name="_Toc512001395"/>
      <w:r>
        <w:rPr>
          <w:rStyle w:val="CharSectno"/>
        </w:rPr>
        <w:t>3</w:t>
      </w:r>
      <w:r>
        <w:t>.</w:t>
      </w:r>
      <w:r>
        <w:tab/>
        <w:t>Interpretation</w:t>
      </w:r>
      <w:bookmarkEnd w:id="11"/>
      <w:bookmarkEnd w:id="12"/>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lastRenderedPageBreak/>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13" w:name="_Toc518044255"/>
      <w:bookmarkStart w:id="14" w:name="_Toc512001396"/>
      <w:r>
        <w:rPr>
          <w:rStyle w:val="CharSectno"/>
        </w:rPr>
        <w:t>4</w:t>
      </w:r>
      <w:r>
        <w:t>.</w:t>
      </w:r>
      <w:r>
        <w:tab/>
        <w:t>Application of limitation periods under this Act</w:t>
      </w:r>
      <w:bookmarkEnd w:id="13"/>
      <w:bookmarkEnd w:id="14"/>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15" w:name="_Toc518044256"/>
      <w:bookmarkStart w:id="16" w:name="_Toc512001397"/>
      <w:r>
        <w:rPr>
          <w:rStyle w:val="CharSectno"/>
        </w:rPr>
        <w:t>5</w:t>
      </w:r>
      <w:r>
        <w:t>.</w:t>
      </w:r>
      <w:r>
        <w:tab/>
        <w:t>Actions other than personal injury actions do not revive</w:t>
      </w:r>
      <w:bookmarkEnd w:id="15"/>
      <w:bookmarkEnd w:id="16"/>
    </w:p>
    <w:p>
      <w:pPr>
        <w:pStyle w:val="Subsection"/>
      </w:pPr>
      <w:r>
        <w:tab/>
        <w:t>(1)</w:t>
      </w:r>
      <w:r>
        <w:tab/>
        <w:t xml:space="preserve">An action cannot be commenced on or after commencement day if the action could not have been commenced immediately before commencement day because of an enactment that is repealed or amended by the </w:t>
      </w:r>
      <w:r>
        <w:rPr>
          <w:i/>
        </w:rPr>
        <w:t>Limitation Legislation Amendment and Repeal Act 2005</w:t>
      </w:r>
      <w:r>
        <w:t>.</w:t>
      </w:r>
    </w:p>
    <w:p>
      <w:pPr>
        <w:pStyle w:val="Subsection"/>
      </w:pPr>
      <w:r>
        <w:tab/>
        <w:t>(2)</w:t>
      </w:r>
      <w:r>
        <w:tab/>
        <w:t xml:space="preserve">This section is subject to </w:t>
      </w:r>
      <w:del w:id="17" w:author="svcMRProcess" w:date="2019-01-22T12:29:00Z">
        <w:r>
          <w:delText>section</w:delText>
        </w:r>
      </w:del>
      <w:ins w:id="18" w:author="svcMRProcess" w:date="2019-01-22T12:29:00Z">
        <w:r>
          <w:t>sections</w:t>
        </w:r>
      </w:ins>
      <w:r>
        <w:t> 6</w:t>
      </w:r>
      <w:ins w:id="19" w:author="svcMRProcess" w:date="2019-01-22T12:29:00Z">
        <w:r>
          <w:t xml:space="preserve"> and 6A</w:t>
        </w:r>
      </w:ins>
      <w:r>
        <w:t>.</w:t>
      </w:r>
    </w:p>
    <w:p>
      <w:pPr>
        <w:pStyle w:val="Footnotesection"/>
        <w:ind w:left="890" w:hanging="890"/>
        <w:rPr>
          <w:ins w:id="20" w:author="svcMRProcess" w:date="2019-01-22T12:29:00Z"/>
        </w:rPr>
      </w:pPr>
      <w:ins w:id="21" w:author="svcMRProcess" w:date="2019-01-22T12:29:00Z">
        <w:r>
          <w:tab/>
          <w:t>[Section 5 amended: No. 3 of 2018 s. 9.]</w:t>
        </w:r>
      </w:ins>
    </w:p>
    <w:p>
      <w:pPr>
        <w:pStyle w:val="Heading5"/>
      </w:pPr>
      <w:bookmarkStart w:id="22" w:name="_Toc518044257"/>
      <w:bookmarkStart w:id="23" w:name="_Toc512001398"/>
      <w:r>
        <w:rPr>
          <w:rStyle w:val="CharSectno"/>
        </w:rPr>
        <w:t>6</w:t>
      </w:r>
      <w:r>
        <w:t>.</w:t>
      </w:r>
      <w:r>
        <w:tab/>
        <w:t>Personal injury actions — accrual, limitation periods</w:t>
      </w:r>
      <w:bookmarkEnd w:id="22"/>
      <w:bookmarkEnd w:id="23"/>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rPr>
          <w:ins w:id="24" w:author="svcMRProcess" w:date="2019-01-22T12:29:00Z"/>
        </w:rPr>
      </w:pPr>
      <w:bookmarkStart w:id="25" w:name="_Toc518044258"/>
      <w:ins w:id="26" w:author="svcMRProcess" w:date="2019-01-22T12:29:00Z">
        <w:r>
          <w:rPr>
            <w:rStyle w:val="CharSectno"/>
          </w:rPr>
          <w:t>6A</w:t>
        </w:r>
        <w:r>
          <w:t>.</w:t>
        </w:r>
        <w:r>
          <w:tab/>
          <w:t>Special provisions for child sexual abuse actions: no limitation period</w:t>
        </w:r>
        <w:bookmarkEnd w:id="25"/>
      </w:ins>
    </w:p>
    <w:p>
      <w:pPr>
        <w:pStyle w:val="Subsection"/>
        <w:rPr>
          <w:ins w:id="27" w:author="svcMRProcess" w:date="2019-01-22T12:29:00Z"/>
        </w:rPr>
      </w:pPr>
      <w:ins w:id="28" w:author="svcMRProcess" w:date="2019-01-22T12:29:00Z">
        <w:r>
          <w:tab/>
          <w:t>(1)</w:t>
        </w:r>
        <w:r>
          <w:tab/>
          <w:t xml:space="preserve">In this section — </w:t>
        </w:r>
      </w:ins>
    </w:p>
    <w:p>
      <w:pPr>
        <w:pStyle w:val="Defstart"/>
        <w:rPr>
          <w:ins w:id="29" w:author="svcMRProcess" w:date="2019-01-22T12:29:00Z"/>
        </w:rPr>
      </w:pPr>
      <w:ins w:id="30" w:author="svcMRProcess" w:date="2019-01-22T12:29:00Z">
        <w:r>
          <w:tab/>
        </w:r>
        <w:r>
          <w:rPr>
            <w:rStyle w:val="CharDefText"/>
          </w:rPr>
          <w:t>child</w:t>
        </w:r>
        <w:r>
          <w:t xml:space="preserve"> means a person under 18 years of age;</w:t>
        </w:r>
      </w:ins>
    </w:p>
    <w:p>
      <w:pPr>
        <w:pStyle w:val="Defstart"/>
        <w:rPr>
          <w:ins w:id="31" w:author="svcMRProcess" w:date="2019-01-22T12:29:00Z"/>
        </w:rPr>
      </w:pPr>
      <w:ins w:id="32" w:author="svcMRProcess" w:date="2019-01-22T12:29:00Z">
        <w:r>
          <w:tab/>
        </w:r>
        <w:r>
          <w:rPr>
            <w:rStyle w:val="CharDefText"/>
          </w:rPr>
          <w:t>child sexual abuse</w:t>
        </w:r>
        <w:r>
          <w:t>, of a person, means an act or omission in relation to the person, when the person is a child, that is sexual abuse;</w:t>
        </w:r>
      </w:ins>
    </w:p>
    <w:p>
      <w:pPr>
        <w:pStyle w:val="Defstart"/>
        <w:rPr>
          <w:ins w:id="33" w:author="svcMRProcess" w:date="2019-01-22T12:29:00Z"/>
        </w:rPr>
      </w:pPr>
      <w:ins w:id="34" w:author="svcMRProcess" w:date="2019-01-22T12:29:00Z">
        <w:r>
          <w:tab/>
        </w:r>
        <w:r>
          <w:rPr>
            <w:rStyle w:val="CharDefText"/>
          </w:rPr>
          <w:t>child sexual abuse action</w:t>
        </w:r>
        <w:r>
          <w:t xml:space="preserve"> means an action on a child sexual abuse cause of action;</w:t>
        </w:r>
      </w:ins>
    </w:p>
    <w:p>
      <w:pPr>
        <w:pStyle w:val="Defstart"/>
        <w:rPr>
          <w:ins w:id="35" w:author="svcMRProcess" w:date="2019-01-22T12:29:00Z"/>
        </w:rPr>
      </w:pPr>
      <w:ins w:id="36" w:author="svcMRProcess" w:date="2019-01-22T12:29:00Z">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ins>
    </w:p>
    <w:p>
      <w:pPr>
        <w:pStyle w:val="Subsection"/>
        <w:rPr>
          <w:ins w:id="37" w:author="svcMRProcess" w:date="2019-01-22T12:29:00Z"/>
        </w:rPr>
      </w:pPr>
      <w:ins w:id="38" w:author="svcMRProcess" w:date="2019-01-22T12:29:00Z">
        <w:r>
          <w:tab/>
          <w:t>(2)</w:t>
        </w:r>
        <w:r>
          <w:tab/>
          <w:t>Despite anything in this or any other Act, no limitation period applies in respect of a child sexual abuse action.</w:t>
        </w:r>
      </w:ins>
    </w:p>
    <w:p>
      <w:pPr>
        <w:pStyle w:val="Subsection"/>
        <w:keepNext/>
        <w:rPr>
          <w:ins w:id="39" w:author="svcMRProcess" w:date="2019-01-22T12:29:00Z"/>
        </w:rPr>
      </w:pPr>
      <w:ins w:id="40" w:author="svcMRProcess" w:date="2019-01-22T12:29:00Z">
        <w:r>
          <w:tab/>
          <w:t>(3)</w:t>
        </w:r>
        <w:r>
          <w:tab/>
          <w:t xml:space="preserve">The following provisions do not apply in respect of a child sexual abuse action — </w:t>
        </w:r>
      </w:ins>
    </w:p>
    <w:p>
      <w:pPr>
        <w:pStyle w:val="Indenta"/>
        <w:rPr>
          <w:ins w:id="41" w:author="svcMRProcess" w:date="2019-01-22T12:29:00Z"/>
        </w:rPr>
      </w:pPr>
      <w:ins w:id="42" w:author="svcMRProcess" w:date="2019-01-22T12:29:00Z">
        <w:r>
          <w:tab/>
          <w:t>(a)</w:t>
        </w:r>
        <w:r>
          <w:tab/>
          <w:t xml:space="preserve">the </w:t>
        </w:r>
        <w:r>
          <w:rPr>
            <w:i/>
          </w:rPr>
          <w:t>Crown Suits Act 1947</w:t>
        </w:r>
        <w:r>
          <w:t xml:space="preserve"> section 6 (as applying under the </w:t>
        </w:r>
        <w:r>
          <w:rPr>
            <w:i/>
          </w:rPr>
          <w:t>Limitation Legislation Amendment and Repeal Act 2005</w:t>
        </w:r>
        <w:r>
          <w:t xml:space="preserve"> section 8);</w:t>
        </w:r>
      </w:ins>
    </w:p>
    <w:p>
      <w:pPr>
        <w:pStyle w:val="Indenta"/>
        <w:rPr>
          <w:ins w:id="43" w:author="svcMRProcess" w:date="2019-01-22T12:29:00Z"/>
        </w:rPr>
      </w:pPr>
      <w:ins w:id="44" w:author="svcMRProcess" w:date="2019-01-22T12:29:00Z">
        <w:r>
          <w:tab/>
          <w:t>(b)</w:t>
        </w:r>
        <w:r>
          <w:tab/>
          <w:t xml:space="preserve">the </w:t>
        </w:r>
        <w:r>
          <w:rPr>
            <w:i/>
          </w:rPr>
          <w:t>Limitation Act 1935</w:t>
        </w:r>
        <w:r>
          <w:t xml:space="preserve"> section 47A (as applying under the </w:t>
        </w:r>
        <w:r>
          <w:rPr>
            <w:i/>
          </w:rPr>
          <w:t>Limitation Legislation Amendment and Repeal Act 2005</w:t>
        </w:r>
        <w:r>
          <w:t xml:space="preserve"> section 4);</w:t>
        </w:r>
      </w:ins>
    </w:p>
    <w:p>
      <w:pPr>
        <w:pStyle w:val="Indenta"/>
        <w:rPr>
          <w:ins w:id="45" w:author="svcMRProcess" w:date="2019-01-22T12:29:00Z"/>
        </w:rPr>
      </w:pPr>
      <w:ins w:id="46" w:author="svcMRProcess" w:date="2019-01-22T12:29:00Z">
        <w:r>
          <w:tab/>
          <w:t>(c)</w:t>
        </w:r>
        <w:r>
          <w:tab/>
          <w:t>section 5 of this Act.</w:t>
        </w:r>
      </w:ins>
    </w:p>
    <w:p>
      <w:pPr>
        <w:pStyle w:val="Subsection"/>
        <w:rPr>
          <w:ins w:id="47" w:author="svcMRProcess" w:date="2019-01-22T12:29:00Z"/>
        </w:rPr>
      </w:pPr>
      <w:ins w:id="48" w:author="svcMRProcess" w:date="2019-01-22T12:29:00Z">
        <w:r>
          <w:tab/>
          <w:t>(4)</w:t>
        </w:r>
        <w:r>
          <w:tab/>
          <w:t>This section applies regardless of whether the action is brought in tort (including trespass), in contract, under statute or otherwise.</w:t>
        </w:r>
      </w:ins>
    </w:p>
    <w:p>
      <w:pPr>
        <w:pStyle w:val="Subsection"/>
        <w:rPr>
          <w:ins w:id="49" w:author="svcMRProcess" w:date="2019-01-22T12:29:00Z"/>
        </w:rPr>
      </w:pPr>
      <w:ins w:id="50" w:author="svcMRProcess" w:date="2019-01-22T12:29:00Z">
        <w:r>
          <w:tab/>
          <w:t>(5)</w:t>
        </w:r>
        <w:r>
          <w:tab/>
          <w:t xml:space="preserve">This section does not limit — </w:t>
        </w:r>
      </w:ins>
    </w:p>
    <w:p>
      <w:pPr>
        <w:pStyle w:val="Indenta"/>
        <w:rPr>
          <w:ins w:id="51" w:author="svcMRProcess" w:date="2019-01-22T12:29:00Z"/>
        </w:rPr>
      </w:pPr>
      <w:ins w:id="52" w:author="svcMRProcess" w:date="2019-01-22T12:29:00Z">
        <w:r>
          <w:tab/>
          <w:t>(a)</w:t>
        </w:r>
        <w:r>
          <w:tab/>
          <w:t>any inherent, implied or statutory jurisdiction of a court; or</w:t>
        </w:r>
      </w:ins>
    </w:p>
    <w:p>
      <w:pPr>
        <w:pStyle w:val="Indenta"/>
        <w:rPr>
          <w:ins w:id="53" w:author="svcMRProcess" w:date="2019-01-22T12:29:00Z"/>
        </w:rPr>
      </w:pPr>
      <w:ins w:id="54" w:author="svcMRProcess" w:date="2019-01-22T12:29:00Z">
        <w:r>
          <w:tab/>
          <w:t>(b)</w:t>
        </w:r>
        <w:r>
          <w:tab/>
          <w:t>any other powers of a court arising or derived from the common law or under any other Act (including any Commonwealth Act), rule of court, practice note or practice direction.</w:t>
        </w:r>
      </w:ins>
    </w:p>
    <w:p>
      <w:pPr>
        <w:pStyle w:val="PermNoteHeading"/>
        <w:rPr>
          <w:ins w:id="55" w:author="svcMRProcess" w:date="2019-01-22T12:29:00Z"/>
        </w:rPr>
      </w:pPr>
      <w:ins w:id="56" w:author="svcMRProcess" w:date="2019-01-22T12:29:00Z">
        <w:r>
          <w:tab/>
          <w:t>Note for this subsection:</w:t>
        </w:r>
      </w:ins>
    </w:p>
    <w:p>
      <w:pPr>
        <w:pStyle w:val="PermNoteText"/>
        <w:rPr>
          <w:ins w:id="57" w:author="svcMRProcess" w:date="2019-01-22T12:29:00Z"/>
        </w:rPr>
      </w:pPr>
      <w:ins w:id="58" w:author="svcMRProcess" w:date="2019-01-22T12:29:00Z">
        <w:r>
          <w:tab/>
        </w:r>
        <w:r>
          <w:tab/>
          <w:t>For example, this section is not intended to limit a court’s power to summarily dismiss or permanently stay proceedings where the lapse of time has a burdensome effect on the defendant that is so serious that a fair trial is not possible.</w:t>
        </w:r>
      </w:ins>
    </w:p>
    <w:p>
      <w:pPr>
        <w:pStyle w:val="Subsection"/>
        <w:rPr>
          <w:ins w:id="59" w:author="svcMRProcess" w:date="2019-01-22T12:29:00Z"/>
        </w:rPr>
      </w:pPr>
      <w:ins w:id="60" w:author="svcMRProcess" w:date="2019-01-22T12:29:00Z">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ins>
    </w:p>
    <w:p>
      <w:pPr>
        <w:pStyle w:val="Subsection"/>
        <w:rPr>
          <w:ins w:id="61" w:author="svcMRProcess" w:date="2019-01-22T12:29:00Z"/>
        </w:rPr>
      </w:pPr>
      <w:ins w:id="62" w:author="svcMRProcess" w:date="2019-01-22T12:29:00Z">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10 comes into operation.</w:t>
        </w:r>
      </w:ins>
    </w:p>
    <w:p>
      <w:pPr>
        <w:pStyle w:val="Subsection"/>
        <w:rPr>
          <w:ins w:id="63" w:author="svcMRProcess" w:date="2019-01-22T12:29:00Z"/>
        </w:rPr>
      </w:pPr>
      <w:ins w:id="64" w:author="svcMRProcess" w:date="2019-01-22T12:29:00Z">
        <w:r>
          <w:tab/>
          <w:t>(8)</w:t>
        </w:r>
        <w:r>
          <w:tab/>
          <w:t>The Minister must prepare a report based on the review and, as soon as is practicable after the report is prepared, cause it to be laid before each House of Parliament.</w:t>
        </w:r>
      </w:ins>
    </w:p>
    <w:p>
      <w:pPr>
        <w:pStyle w:val="Footnotesection"/>
        <w:ind w:left="890" w:hanging="890"/>
        <w:rPr>
          <w:ins w:id="65" w:author="svcMRProcess" w:date="2019-01-22T12:29:00Z"/>
        </w:rPr>
      </w:pPr>
      <w:ins w:id="66" w:author="svcMRProcess" w:date="2019-01-22T12:29:00Z">
        <w:r>
          <w:tab/>
          <w:t>[Section 6A inserted: No. 3 of 2018 s. 10.]</w:t>
        </w:r>
      </w:ins>
    </w:p>
    <w:p>
      <w:pPr>
        <w:pStyle w:val="Heading5"/>
      </w:pPr>
      <w:bookmarkStart w:id="67" w:name="_Toc518044259"/>
      <w:bookmarkStart w:id="68" w:name="_Toc512001399"/>
      <w:r>
        <w:rPr>
          <w:rStyle w:val="CharSectno"/>
        </w:rPr>
        <w:t>7</w:t>
      </w:r>
      <w:r>
        <w:t>.</w:t>
      </w:r>
      <w:r>
        <w:tab/>
        <w:t>Special provisions for certain personal injury actions relating to childbirth</w:t>
      </w:r>
      <w:bookmarkEnd w:id="67"/>
      <w:bookmarkEnd w:id="68"/>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tab/>
        <w:t>(4)</w:t>
      </w:r>
      <w:r>
        <w:tab/>
        <w:t>For the purposes of the provisions of Part 3 that apply under subsection (3), a cause of action (childbirth) is to be taken as having accrued on commencement day.</w:t>
      </w:r>
    </w:p>
    <w:p>
      <w:pPr>
        <w:pStyle w:val="Heading5"/>
      </w:pPr>
      <w:bookmarkStart w:id="69" w:name="_Toc518044260"/>
      <w:bookmarkStart w:id="70" w:name="_Toc512001400"/>
      <w:r>
        <w:rPr>
          <w:rStyle w:val="CharSectno"/>
        </w:rPr>
        <w:t>8</w:t>
      </w:r>
      <w:r>
        <w:t>.</w:t>
      </w:r>
      <w:r>
        <w:tab/>
        <w:t>Special provisions for certain defamation actions</w:t>
      </w:r>
      <w:bookmarkEnd w:id="69"/>
      <w:bookmarkEnd w:id="70"/>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71" w:name="_Toc518044261"/>
      <w:bookmarkStart w:id="72" w:name="_Toc512001401"/>
      <w:r>
        <w:rPr>
          <w:rStyle w:val="CharSectno"/>
        </w:rPr>
        <w:t>9</w:t>
      </w:r>
      <w:r>
        <w:t>.</w:t>
      </w:r>
      <w:r>
        <w:tab/>
        <w:t>Limitation periods under other written laws</w:t>
      </w:r>
      <w:bookmarkEnd w:id="71"/>
      <w:bookmarkEnd w:id="72"/>
    </w:p>
    <w:p>
      <w:pPr>
        <w:pStyle w:val="Subsection"/>
      </w:pPr>
      <w:r>
        <w:tab/>
        <w:t>(1)</w:t>
      </w:r>
      <w:r>
        <w:tab/>
        <w:t xml:space="preserve">This Act (except </w:t>
      </w:r>
      <w:del w:id="73" w:author="svcMRProcess" w:date="2019-01-22T12:29:00Z">
        <w:r>
          <w:delText>section </w:delText>
        </w:r>
      </w:del>
      <w:ins w:id="74" w:author="svcMRProcess" w:date="2019-01-22T12:29:00Z">
        <w:r>
          <w:t xml:space="preserve">sections 6A and </w:t>
        </w:r>
      </w:ins>
      <w:r>
        <w:t>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Footnotesection"/>
        <w:ind w:left="890" w:hanging="890"/>
        <w:rPr>
          <w:ins w:id="75" w:author="svcMRProcess" w:date="2019-01-22T12:29:00Z"/>
        </w:rPr>
      </w:pPr>
      <w:ins w:id="76" w:author="svcMRProcess" w:date="2019-01-22T12:29:00Z">
        <w:r>
          <w:tab/>
          <w:t>[Section 9 amended: No. 3 of 2018 s. 11.]</w:t>
        </w:r>
      </w:ins>
    </w:p>
    <w:p>
      <w:pPr>
        <w:pStyle w:val="Heading5"/>
        <w:rPr>
          <w:snapToGrid w:val="0"/>
        </w:rPr>
      </w:pPr>
      <w:bookmarkStart w:id="77" w:name="_Toc518044262"/>
      <w:bookmarkStart w:id="78" w:name="_Toc512001402"/>
      <w:r>
        <w:rPr>
          <w:rStyle w:val="CharSectno"/>
        </w:rPr>
        <w:t>10</w:t>
      </w:r>
      <w:r>
        <w:t>.</w:t>
      </w:r>
      <w:r>
        <w:tab/>
        <w:t>Application to Crown</w:t>
      </w:r>
      <w:bookmarkEnd w:id="77"/>
      <w:bookmarkEnd w:id="78"/>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79" w:name="_Toc518035806"/>
      <w:bookmarkStart w:id="80" w:name="_Toc518035921"/>
      <w:bookmarkStart w:id="81" w:name="_Toc518044263"/>
      <w:bookmarkStart w:id="82" w:name="_Toc512001141"/>
      <w:bookmarkStart w:id="83" w:name="_Toc512001403"/>
      <w:r>
        <w:rPr>
          <w:rStyle w:val="CharPartNo"/>
        </w:rPr>
        <w:t>Part 2</w:t>
      </w:r>
      <w:r>
        <w:t> — </w:t>
      </w:r>
      <w:r>
        <w:rPr>
          <w:rStyle w:val="CharPartText"/>
        </w:rPr>
        <w:t>Limitation periods</w:t>
      </w:r>
      <w:bookmarkEnd w:id="79"/>
      <w:bookmarkEnd w:id="80"/>
      <w:bookmarkEnd w:id="81"/>
      <w:bookmarkEnd w:id="82"/>
      <w:bookmarkEnd w:id="83"/>
    </w:p>
    <w:p>
      <w:pPr>
        <w:pStyle w:val="Heading3"/>
      </w:pPr>
      <w:bookmarkStart w:id="84" w:name="_Toc518035807"/>
      <w:bookmarkStart w:id="85" w:name="_Toc518035922"/>
      <w:bookmarkStart w:id="86" w:name="_Toc518044264"/>
      <w:bookmarkStart w:id="87" w:name="_Toc512001142"/>
      <w:bookmarkStart w:id="88" w:name="_Toc512001404"/>
      <w:r>
        <w:rPr>
          <w:rStyle w:val="CharDivNo"/>
        </w:rPr>
        <w:t>Division 1</w:t>
      </w:r>
      <w:r>
        <w:t> — </w:t>
      </w:r>
      <w:r>
        <w:rPr>
          <w:rStyle w:val="CharDivText"/>
        </w:rPr>
        <w:t>Preliminary</w:t>
      </w:r>
      <w:bookmarkEnd w:id="84"/>
      <w:bookmarkEnd w:id="85"/>
      <w:bookmarkEnd w:id="86"/>
      <w:bookmarkEnd w:id="87"/>
      <w:bookmarkEnd w:id="88"/>
    </w:p>
    <w:p>
      <w:pPr>
        <w:pStyle w:val="Heading5"/>
      </w:pPr>
      <w:bookmarkStart w:id="89" w:name="_Toc518044265"/>
      <w:bookmarkStart w:id="90" w:name="_Toc512001405"/>
      <w:r>
        <w:rPr>
          <w:rStyle w:val="CharSectno"/>
        </w:rPr>
        <w:t>11</w:t>
      </w:r>
      <w:r>
        <w:t>.</w:t>
      </w:r>
      <w:r>
        <w:tab/>
        <w:t>Limitation periods under this Part are extendable etc. under Part 3</w:t>
      </w:r>
      <w:bookmarkEnd w:id="89"/>
      <w:bookmarkEnd w:id="90"/>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91" w:name="_Toc518044266"/>
      <w:bookmarkStart w:id="92" w:name="_Toc512001406"/>
      <w:r>
        <w:rPr>
          <w:rStyle w:val="CharSectno"/>
        </w:rPr>
        <w:t>12</w:t>
      </w:r>
      <w:r>
        <w:t>.</w:t>
      </w:r>
      <w:r>
        <w:tab/>
        <w:t>When actions commence</w:t>
      </w:r>
      <w:bookmarkEnd w:id="91"/>
      <w:bookmarkEnd w:id="92"/>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93" w:name="_Toc518035810"/>
      <w:bookmarkStart w:id="94" w:name="_Toc518035925"/>
      <w:bookmarkStart w:id="95" w:name="_Toc518044267"/>
      <w:bookmarkStart w:id="96" w:name="_Toc512001145"/>
      <w:bookmarkStart w:id="97" w:name="_Toc512001407"/>
      <w:r>
        <w:rPr>
          <w:rStyle w:val="CharDivNo"/>
        </w:rPr>
        <w:t>Division 2</w:t>
      </w:r>
      <w:r>
        <w:t> — </w:t>
      </w:r>
      <w:r>
        <w:rPr>
          <w:rStyle w:val="CharDivText"/>
        </w:rPr>
        <w:t>General limitation period</w:t>
      </w:r>
      <w:bookmarkEnd w:id="93"/>
      <w:bookmarkEnd w:id="94"/>
      <w:bookmarkEnd w:id="95"/>
      <w:bookmarkEnd w:id="96"/>
      <w:bookmarkEnd w:id="97"/>
    </w:p>
    <w:p>
      <w:pPr>
        <w:pStyle w:val="Heading5"/>
      </w:pPr>
      <w:bookmarkStart w:id="98" w:name="_Toc518044268"/>
      <w:bookmarkStart w:id="99" w:name="_Toc512001408"/>
      <w:r>
        <w:rPr>
          <w:rStyle w:val="CharSectno"/>
        </w:rPr>
        <w:t>13</w:t>
      </w:r>
      <w:r>
        <w:t>.</w:t>
      </w:r>
      <w:r>
        <w:tab/>
        <w:t>General limitation period — 6 years</w:t>
      </w:r>
      <w:bookmarkEnd w:id="98"/>
      <w:bookmarkEnd w:id="99"/>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100" w:name="_Toc518035812"/>
      <w:bookmarkStart w:id="101" w:name="_Toc518035927"/>
      <w:bookmarkStart w:id="102" w:name="_Toc518044269"/>
      <w:bookmarkStart w:id="103" w:name="_Toc512001147"/>
      <w:bookmarkStart w:id="104" w:name="_Toc512001409"/>
      <w:r>
        <w:rPr>
          <w:rStyle w:val="CharDivNo"/>
        </w:rPr>
        <w:t>Division 3</w:t>
      </w:r>
      <w:r>
        <w:t> — </w:t>
      </w:r>
      <w:r>
        <w:rPr>
          <w:rStyle w:val="CharDivText"/>
        </w:rPr>
        <w:t>Limitation periods for particular causes of action</w:t>
      </w:r>
      <w:bookmarkEnd w:id="100"/>
      <w:bookmarkEnd w:id="101"/>
      <w:bookmarkEnd w:id="102"/>
      <w:bookmarkEnd w:id="103"/>
      <w:bookmarkEnd w:id="104"/>
    </w:p>
    <w:p>
      <w:pPr>
        <w:pStyle w:val="Heading5"/>
      </w:pPr>
      <w:bookmarkStart w:id="105" w:name="_Toc518044270"/>
      <w:bookmarkStart w:id="106" w:name="_Toc512001410"/>
      <w:r>
        <w:rPr>
          <w:rStyle w:val="CharSectno"/>
        </w:rPr>
        <w:t>14</w:t>
      </w:r>
      <w:r>
        <w:t>.</w:t>
      </w:r>
      <w:r>
        <w:tab/>
        <w:t xml:space="preserve">Personal injury, </w:t>
      </w:r>
      <w:r>
        <w:rPr>
          <w:i/>
        </w:rPr>
        <w:t xml:space="preserve">Fatal Accidents Act 1959 </w:t>
      </w:r>
      <w:r>
        <w:t>actions — 3 years</w:t>
      </w:r>
      <w:bookmarkEnd w:id="105"/>
      <w:bookmarkEnd w:id="106"/>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107" w:name="_Toc518044271"/>
      <w:bookmarkStart w:id="108" w:name="_Toc512001411"/>
      <w:r>
        <w:rPr>
          <w:rStyle w:val="CharSectno"/>
        </w:rPr>
        <w:t>15</w:t>
      </w:r>
      <w:r>
        <w:t>.</w:t>
      </w:r>
      <w:r>
        <w:tab/>
        <w:t>Defamation — one year from publication</w:t>
      </w:r>
      <w:bookmarkEnd w:id="107"/>
      <w:bookmarkEnd w:id="108"/>
    </w:p>
    <w:p>
      <w:pPr>
        <w:pStyle w:val="Subsection"/>
      </w:pPr>
      <w:r>
        <w:tab/>
      </w:r>
      <w:r>
        <w:tab/>
        <w:t>An action relating to the publication of defamatory matter cannot be commenced if one year has elapsed since the publication.</w:t>
      </w:r>
    </w:p>
    <w:p>
      <w:pPr>
        <w:pStyle w:val="Heading5"/>
      </w:pPr>
      <w:bookmarkStart w:id="109" w:name="_Toc518044272"/>
      <w:bookmarkStart w:id="110" w:name="_Toc512001412"/>
      <w:r>
        <w:rPr>
          <w:rStyle w:val="CharSectno"/>
        </w:rPr>
        <w:t>16</w:t>
      </w:r>
      <w:r>
        <w:t>.</w:t>
      </w:r>
      <w:r>
        <w:tab/>
        <w:t>Trespass to the person etc. — 3 years</w:t>
      </w:r>
      <w:bookmarkEnd w:id="109"/>
      <w:bookmarkEnd w:id="110"/>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111" w:name="_Toc518044273"/>
      <w:bookmarkStart w:id="112" w:name="_Toc512001413"/>
      <w:r>
        <w:rPr>
          <w:rStyle w:val="CharSectno"/>
        </w:rPr>
        <w:t>17</w:t>
      </w:r>
      <w:r>
        <w:t>.</w:t>
      </w:r>
      <w:r>
        <w:tab/>
        <w:t>Contribution between tortfeasors — 2 years</w:t>
      </w:r>
      <w:bookmarkEnd w:id="111"/>
      <w:bookmarkEnd w:id="112"/>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113" w:name="_Toc518044274"/>
      <w:bookmarkStart w:id="114" w:name="_Toc512001414"/>
      <w:r>
        <w:rPr>
          <w:rStyle w:val="CharSectno"/>
        </w:rPr>
        <w:t>18</w:t>
      </w:r>
      <w:r>
        <w:t>.</w:t>
      </w:r>
      <w:r>
        <w:tab/>
        <w:t>Deeds — 12 years</w:t>
      </w:r>
      <w:bookmarkEnd w:id="113"/>
      <w:bookmarkEnd w:id="114"/>
    </w:p>
    <w:p>
      <w:pPr>
        <w:pStyle w:val="Subsection"/>
      </w:pPr>
      <w:r>
        <w:tab/>
      </w:r>
      <w:r>
        <w:tab/>
        <w:t>An action on a cause of action founded on a deed cannot be commenced if 12 years have elapsed since the cause of action accrued.</w:t>
      </w:r>
    </w:p>
    <w:p>
      <w:pPr>
        <w:pStyle w:val="Heading5"/>
      </w:pPr>
      <w:bookmarkStart w:id="115" w:name="_Toc518044275"/>
      <w:bookmarkStart w:id="116" w:name="_Toc512001415"/>
      <w:r>
        <w:rPr>
          <w:rStyle w:val="CharSectno"/>
        </w:rPr>
        <w:t>19</w:t>
      </w:r>
      <w:r>
        <w:t>.</w:t>
      </w:r>
      <w:r>
        <w:tab/>
        <w:t>Recovery of land — 12 years</w:t>
      </w:r>
      <w:bookmarkEnd w:id="115"/>
      <w:bookmarkEnd w:id="116"/>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tab/>
        <w:t>(b)</w:t>
      </w:r>
      <w:r>
        <w:tab/>
        <w:t>on a cause of action which accrues to the Crown.</w:t>
      </w:r>
    </w:p>
    <w:p>
      <w:pPr>
        <w:pStyle w:val="Heading5"/>
        <w:rPr>
          <w:snapToGrid w:val="0"/>
        </w:rPr>
      </w:pPr>
      <w:bookmarkStart w:id="117" w:name="_Toc518044276"/>
      <w:bookmarkStart w:id="118" w:name="_Toc512001416"/>
      <w:r>
        <w:rPr>
          <w:rStyle w:val="CharSectno"/>
        </w:rPr>
        <w:t>20</w:t>
      </w:r>
      <w:r>
        <w:t>.</w:t>
      </w:r>
      <w:r>
        <w:tab/>
        <w:t>M</w:t>
      </w:r>
      <w:r>
        <w:rPr>
          <w:snapToGrid w:val="0"/>
        </w:rPr>
        <w:t>oney secured on real property or on real and personal property — 12 years</w:t>
      </w:r>
      <w:bookmarkEnd w:id="117"/>
      <w:bookmarkEnd w:id="118"/>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119" w:name="_Toc518044277"/>
      <w:bookmarkStart w:id="120" w:name="_Toc512001417"/>
      <w:r>
        <w:rPr>
          <w:rStyle w:val="CharSectno"/>
        </w:rPr>
        <w:t>21</w:t>
      </w:r>
      <w:r>
        <w:t>.</w:t>
      </w:r>
      <w:r>
        <w:tab/>
        <w:t xml:space="preserve">Interest secured on </w:t>
      </w:r>
      <w:r>
        <w:rPr>
          <w:snapToGrid w:val="0"/>
        </w:rPr>
        <w:t>real property or on real and personal property</w:t>
      </w:r>
      <w:bookmarkEnd w:id="119"/>
      <w:bookmarkEnd w:id="120"/>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121" w:name="_Toc518044278"/>
      <w:bookmarkStart w:id="122" w:name="_Toc512001418"/>
      <w:r>
        <w:rPr>
          <w:rStyle w:val="CharSectno"/>
        </w:rPr>
        <w:t>22</w:t>
      </w:r>
      <w:r>
        <w:t>.</w:t>
      </w:r>
      <w:r>
        <w:tab/>
        <w:t xml:space="preserve">Interest secured on </w:t>
      </w:r>
      <w:r>
        <w:rPr>
          <w:snapToGrid w:val="0"/>
        </w:rPr>
        <w:t>personal property</w:t>
      </w:r>
      <w:bookmarkEnd w:id="121"/>
      <w:bookmarkEnd w:id="122"/>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123" w:name="_Toc518044279"/>
      <w:bookmarkStart w:id="124" w:name="_Toc512001419"/>
      <w:r>
        <w:rPr>
          <w:rStyle w:val="CharSectno"/>
        </w:rPr>
        <w:t>23</w:t>
      </w:r>
      <w:r>
        <w:t>.</w:t>
      </w:r>
      <w:r>
        <w:tab/>
        <w:t>Possession — 12 years</w:t>
      </w:r>
      <w:bookmarkEnd w:id="123"/>
      <w:bookmarkEnd w:id="124"/>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125" w:name="_Toc518044280"/>
      <w:bookmarkStart w:id="126" w:name="_Toc512001420"/>
      <w:r>
        <w:rPr>
          <w:rStyle w:val="CharSectno"/>
        </w:rPr>
        <w:t>24</w:t>
      </w:r>
      <w:r>
        <w:t>.</w:t>
      </w:r>
      <w:r>
        <w:tab/>
        <w:t>Foreclosure — 12 years</w:t>
      </w:r>
      <w:bookmarkEnd w:id="125"/>
      <w:bookmarkEnd w:id="126"/>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127" w:name="_Toc518044281"/>
      <w:bookmarkStart w:id="128" w:name="_Toc512001421"/>
      <w:r>
        <w:rPr>
          <w:rStyle w:val="CharSectno"/>
        </w:rPr>
        <w:t>25</w:t>
      </w:r>
      <w:r>
        <w:t>.</w:t>
      </w:r>
      <w:r>
        <w:tab/>
        <w:t>Redemption — 12 years</w:t>
      </w:r>
      <w:bookmarkEnd w:id="127"/>
      <w:bookmarkEnd w:id="128"/>
    </w:p>
    <w:p>
      <w:pPr>
        <w:pStyle w:val="Subsection"/>
        <w:keepNext/>
        <w:keepLines/>
      </w:pPr>
      <w:r>
        <w:tab/>
      </w:r>
      <w:r>
        <w:tab/>
        <w:t xml:space="preserve">An action to redeem mortgaged property (whether real or personal) in the possession of a mortgagee cannot be 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129" w:name="_Toc518044282"/>
      <w:bookmarkStart w:id="130" w:name="_Toc512001422"/>
      <w:r>
        <w:rPr>
          <w:rStyle w:val="CharSectno"/>
        </w:rPr>
        <w:t>26</w:t>
      </w:r>
      <w:r>
        <w:t>.</w:t>
      </w:r>
      <w:r>
        <w:tab/>
        <w:t>Accounts — limitation period for the basis of the duty to account applies</w:t>
      </w:r>
      <w:bookmarkEnd w:id="129"/>
      <w:bookmarkEnd w:id="130"/>
    </w:p>
    <w:p>
      <w:pPr>
        <w:pStyle w:val="Subsection"/>
      </w:pPr>
      <w:r>
        <w:tab/>
      </w:r>
      <w:r>
        <w:tab/>
        <w:t>An action for an account cannot be commenced if the limitation period for the cause of action that is the basis of the duty to account has expired.</w:t>
      </w:r>
    </w:p>
    <w:p>
      <w:pPr>
        <w:pStyle w:val="Heading5"/>
      </w:pPr>
      <w:bookmarkStart w:id="131" w:name="_Toc518044283"/>
      <w:bookmarkStart w:id="132" w:name="_Toc512001423"/>
      <w:r>
        <w:rPr>
          <w:rStyle w:val="CharSectno"/>
        </w:rPr>
        <w:t>27</w:t>
      </w:r>
      <w:r>
        <w:t>.</w:t>
      </w:r>
      <w:r>
        <w:tab/>
        <w:t>Equitable actions (not analogous to other actions)</w:t>
      </w:r>
      <w:bookmarkEnd w:id="131"/>
      <w:bookmarkEnd w:id="132"/>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133" w:name="_Toc518044284"/>
      <w:bookmarkStart w:id="134" w:name="_Toc512001424"/>
      <w:r>
        <w:rPr>
          <w:rStyle w:val="CharSectno"/>
        </w:rPr>
        <w:t>28</w:t>
      </w:r>
      <w:r>
        <w:t>.</w:t>
      </w:r>
      <w:r>
        <w:tab/>
        <w:t>T</w:t>
      </w:r>
      <w:r>
        <w:rPr>
          <w:snapToGrid w:val="0"/>
        </w:rPr>
        <w:t>ax mistakenly paid — 12 months or as provided under other Act</w:t>
      </w:r>
      <w:bookmarkEnd w:id="133"/>
      <w:bookmarkEnd w:id="134"/>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135" w:name="_Toc518044285"/>
      <w:bookmarkStart w:id="136" w:name="_Toc512001425"/>
      <w:r>
        <w:rPr>
          <w:rStyle w:val="CharSectno"/>
        </w:rPr>
        <w:t>29</w:t>
      </w:r>
      <w:r>
        <w:t>.</w:t>
      </w:r>
      <w:r>
        <w:tab/>
        <w:t>Arbitration — limitation period for corresponding civil proceeding applies</w:t>
      </w:r>
      <w:bookmarkEnd w:id="135"/>
      <w:bookmarkEnd w:id="136"/>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137" w:name="_Toc518035829"/>
      <w:bookmarkStart w:id="138" w:name="_Toc518035944"/>
      <w:bookmarkStart w:id="139" w:name="_Toc518044286"/>
      <w:bookmarkStart w:id="140" w:name="_Toc512001164"/>
      <w:bookmarkStart w:id="141" w:name="_Toc512001426"/>
      <w:r>
        <w:rPr>
          <w:rStyle w:val="CharPartNo"/>
        </w:rPr>
        <w:t>Part 3</w:t>
      </w:r>
      <w:r>
        <w:t> — </w:t>
      </w:r>
      <w:r>
        <w:rPr>
          <w:rStyle w:val="CharPartText"/>
        </w:rPr>
        <w:t>Extension or shortening of limitation periods</w:t>
      </w:r>
      <w:bookmarkEnd w:id="137"/>
      <w:bookmarkEnd w:id="138"/>
      <w:bookmarkEnd w:id="139"/>
      <w:bookmarkEnd w:id="140"/>
      <w:bookmarkEnd w:id="141"/>
    </w:p>
    <w:p>
      <w:pPr>
        <w:pStyle w:val="Heading3"/>
      </w:pPr>
      <w:bookmarkStart w:id="142" w:name="_Toc518035830"/>
      <w:bookmarkStart w:id="143" w:name="_Toc518035945"/>
      <w:bookmarkStart w:id="144" w:name="_Toc518044287"/>
      <w:bookmarkStart w:id="145" w:name="_Toc512001165"/>
      <w:bookmarkStart w:id="146" w:name="_Toc512001427"/>
      <w:r>
        <w:rPr>
          <w:rStyle w:val="CharDivNo"/>
        </w:rPr>
        <w:t>Division 1</w:t>
      </w:r>
      <w:r>
        <w:t> — </w:t>
      </w:r>
      <w:r>
        <w:rPr>
          <w:rStyle w:val="CharDivText"/>
        </w:rPr>
        <w:t>Extension for persons under 18 years when cause of action accrues</w:t>
      </w:r>
      <w:bookmarkEnd w:id="142"/>
      <w:bookmarkEnd w:id="143"/>
      <w:bookmarkEnd w:id="144"/>
      <w:bookmarkEnd w:id="145"/>
      <w:bookmarkEnd w:id="146"/>
    </w:p>
    <w:p>
      <w:pPr>
        <w:pStyle w:val="Heading5"/>
      </w:pPr>
      <w:bookmarkStart w:id="147" w:name="_Toc518044288"/>
      <w:bookmarkStart w:id="148" w:name="_Toc512001428"/>
      <w:r>
        <w:rPr>
          <w:rStyle w:val="CharSectno"/>
        </w:rPr>
        <w:t>30</w:t>
      </w:r>
      <w:r>
        <w:t>.</w:t>
      </w:r>
      <w:r>
        <w:tab/>
        <w:t>Limitation periods applicable to persons under 15 when cause of action accrues</w:t>
      </w:r>
      <w:bookmarkEnd w:id="147"/>
      <w:bookmarkEnd w:id="148"/>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149" w:name="_Toc518044289"/>
      <w:bookmarkStart w:id="150" w:name="_Toc512001429"/>
      <w:r>
        <w:rPr>
          <w:rStyle w:val="CharSectno"/>
        </w:rPr>
        <w:t>31</w:t>
      </w:r>
      <w:r>
        <w:t>.</w:t>
      </w:r>
      <w:r>
        <w:tab/>
        <w:t>Limitation periods applicable to persons between 15 and 18 when cause of action accrues</w:t>
      </w:r>
      <w:bookmarkEnd w:id="149"/>
      <w:bookmarkEnd w:id="150"/>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151" w:name="_Toc518044290"/>
      <w:bookmarkStart w:id="152" w:name="_Toc512001430"/>
      <w:r>
        <w:rPr>
          <w:rStyle w:val="CharSectno"/>
        </w:rPr>
        <w:t>32</w:t>
      </w:r>
      <w:r>
        <w:t>.</w:t>
      </w:r>
      <w:r>
        <w:tab/>
        <w:t>Suspension of time while person under 18 is without guardian</w:t>
      </w:r>
      <w:bookmarkEnd w:id="151"/>
      <w:bookmarkEnd w:id="152"/>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153" w:name="_Toc518044291"/>
      <w:bookmarkStart w:id="154" w:name="_Toc512001431"/>
      <w:r>
        <w:rPr>
          <w:rStyle w:val="CharSectno"/>
        </w:rPr>
        <w:t>33</w:t>
      </w:r>
      <w:r>
        <w:t>.</w:t>
      </w:r>
      <w:r>
        <w:tab/>
        <w:t>Defendant in close relationship with person under 18 when cause of action accrues</w:t>
      </w:r>
      <w:bookmarkEnd w:id="153"/>
      <w:bookmarkEnd w:id="154"/>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155" w:name="_Toc518044292"/>
      <w:bookmarkStart w:id="156" w:name="_Toc512001432"/>
      <w:r>
        <w:rPr>
          <w:rStyle w:val="CharSectno"/>
        </w:rPr>
        <w:t>34</w:t>
      </w:r>
      <w:r>
        <w:t>.</w:t>
      </w:r>
      <w:r>
        <w:tab/>
        <w:t>Defamation</w:t>
      </w:r>
      <w:bookmarkEnd w:id="155"/>
      <w:bookmarkEnd w:id="156"/>
    </w:p>
    <w:p>
      <w:pPr>
        <w:pStyle w:val="Subsection"/>
      </w:pPr>
      <w:r>
        <w:tab/>
      </w:r>
      <w:r>
        <w:tab/>
        <w:t>Sections 30, 31, 32 and 33 do not apply to an action relating to the publication of defamatory matter.</w:t>
      </w:r>
    </w:p>
    <w:p>
      <w:pPr>
        <w:pStyle w:val="Heading3"/>
      </w:pPr>
      <w:bookmarkStart w:id="157" w:name="_Toc518035836"/>
      <w:bookmarkStart w:id="158" w:name="_Toc518035951"/>
      <w:bookmarkStart w:id="159" w:name="_Toc518044293"/>
      <w:bookmarkStart w:id="160" w:name="_Toc512001171"/>
      <w:bookmarkStart w:id="161" w:name="_Toc512001433"/>
      <w:r>
        <w:rPr>
          <w:rStyle w:val="CharDivNo"/>
        </w:rPr>
        <w:t>Division 2</w:t>
      </w:r>
      <w:r>
        <w:t> — </w:t>
      </w:r>
      <w:r>
        <w:rPr>
          <w:rStyle w:val="CharDivText"/>
        </w:rPr>
        <w:t>Extension for persons with mental disability</w:t>
      </w:r>
      <w:bookmarkEnd w:id="157"/>
      <w:bookmarkEnd w:id="158"/>
      <w:bookmarkEnd w:id="159"/>
      <w:bookmarkEnd w:id="160"/>
      <w:bookmarkEnd w:id="161"/>
    </w:p>
    <w:p>
      <w:pPr>
        <w:pStyle w:val="Heading5"/>
      </w:pPr>
      <w:bookmarkStart w:id="162" w:name="_Toc518044294"/>
      <w:bookmarkStart w:id="163" w:name="_Toc512001434"/>
      <w:r>
        <w:rPr>
          <w:rStyle w:val="CharSectno"/>
        </w:rPr>
        <w:t>35</w:t>
      </w:r>
      <w:r>
        <w:t>.</w:t>
      </w:r>
      <w:r>
        <w:tab/>
        <w:t>Suspension of time while person with mental disability is without guardian</w:t>
      </w:r>
      <w:bookmarkEnd w:id="162"/>
      <w:bookmarkEnd w:id="163"/>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tab/>
        <w:t>(3)</w:t>
      </w:r>
      <w:r>
        <w:tab/>
        <w:t>This section is subject to section 36.</w:t>
      </w:r>
    </w:p>
    <w:p>
      <w:pPr>
        <w:pStyle w:val="Heading5"/>
      </w:pPr>
      <w:bookmarkStart w:id="164" w:name="_Toc518044295"/>
      <w:bookmarkStart w:id="165" w:name="_Toc512001435"/>
      <w:r>
        <w:rPr>
          <w:rStyle w:val="CharSectno"/>
        </w:rPr>
        <w:t>36</w:t>
      </w:r>
      <w:r>
        <w:t>.</w:t>
      </w:r>
      <w:r>
        <w:tab/>
        <w:t>Defendant in close relationship with person with mental disability</w:t>
      </w:r>
      <w:bookmarkEnd w:id="164"/>
      <w:bookmarkEnd w:id="165"/>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166" w:name="_Toc518044296"/>
      <w:bookmarkStart w:id="167" w:name="_Toc512001436"/>
      <w:r>
        <w:rPr>
          <w:rStyle w:val="CharSectno"/>
        </w:rPr>
        <w:t>37</w:t>
      </w:r>
      <w:r>
        <w:t>.</w:t>
      </w:r>
      <w:r>
        <w:tab/>
        <w:t>Defamation</w:t>
      </w:r>
      <w:bookmarkEnd w:id="166"/>
      <w:bookmarkEnd w:id="167"/>
    </w:p>
    <w:p>
      <w:pPr>
        <w:pStyle w:val="Subsection"/>
      </w:pPr>
      <w:r>
        <w:tab/>
      </w:r>
      <w:r>
        <w:tab/>
        <w:t>Sections 35 and 36 do not apply to an action relating to the publication of defamatory matter.</w:t>
      </w:r>
    </w:p>
    <w:p>
      <w:pPr>
        <w:pStyle w:val="Heading3"/>
      </w:pPr>
      <w:bookmarkStart w:id="168" w:name="_Toc518035840"/>
      <w:bookmarkStart w:id="169" w:name="_Toc518035955"/>
      <w:bookmarkStart w:id="170" w:name="_Toc518044297"/>
      <w:bookmarkStart w:id="171" w:name="_Toc512001175"/>
      <w:bookmarkStart w:id="172" w:name="_Toc512001437"/>
      <w:r>
        <w:rPr>
          <w:rStyle w:val="CharDivNo"/>
        </w:rPr>
        <w:t>Division 3</w:t>
      </w:r>
      <w:r>
        <w:t> — </w:t>
      </w:r>
      <w:r>
        <w:rPr>
          <w:rStyle w:val="CharDivText"/>
        </w:rPr>
        <w:t>Extension by courts</w:t>
      </w:r>
      <w:bookmarkEnd w:id="168"/>
      <w:bookmarkEnd w:id="169"/>
      <w:bookmarkEnd w:id="170"/>
      <w:bookmarkEnd w:id="171"/>
      <w:bookmarkEnd w:id="172"/>
    </w:p>
    <w:p>
      <w:pPr>
        <w:pStyle w:val="Heading5"/>
      </w:pPr>
      <w:bookmarkStart w:id="173" w:name="_Toc518044298"/>
      <w:bookmarkStart w:id="174" w:name="_Toc512001438"/>
      <w:r>
        <w:rPr>
          <w:rStyle w:val="CharSectno"/>
        </w:rPr>
        <w:t>38</w:t>
      </w:r>
      <w:r>
        <w:t>.</w:t>
      </w:r>
      <w:r>
        <w:tab/>
        <w:t>Court may extend time to commence actions in cases of fraud or improper conduct</w:t>
      </w:r>
      <w:bookmarkEnd w:id="173"/>
      <w:bookmarkEnd w:id="174"/>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175" w:name="_Toc518044299"/>
      <w:bookmarkStart w:id="176" w:name="_Toc512001439"/>
      <w:r>
        <w:rPr>
          <w:rStyle w:val="CharSectno"/>
        </w:rPr>
        <w:t>39</w:t>
      </w:r>
      <w:r>
        <w:t>.</w:t>
      </w:r>
      <w:r>
        <w:tab/>
        <w:t xml:space="preserve">Court may extend time to commence actions for personal injury or under </w:t>
      </w:r>
      <w:r>
        <w:rPr>
          <w:i/>
        </w:rPr>
        <w:t>Fatal Accidents Act 1959</w:t>
      </w:r>
      <w:bookmarkEnd w:id="175"/>
      <w:bookmarkEnd w:id="176"/>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177" w:name="_Toc518044300"/>
      <w:bookmarkStart w:id="178" w:name="_Toc512001440"/>
      <w:r>
        <w:rPr>
          <w:rStyle w:val="CharSectno"/>
        </w:rPr>
        <w:t>40</w:t>
      </w:r>
      <w:r>
        <w:t>.</w:t>
      </w:r>
      <w:r>
        <w:tab/>
        <w:t>Court may extend time to commence defamation actions</w:t>
      </w:r>
      <w:bookmarkEnd w:id="177"/>
      <w:bookmarkEnd w:id="178"/>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179" w:name="_Toc518044301"/>
      <w:bookmarkStart w:id="180" w:name="_Toc512001441"/>
      <w:r>
        <w:rPr>
          <w:rStyle w:val="CharSectno"/>
        </w:rPr>
        <w:t>41</w:t>
      </w:r>
      <w:r>
        <w:t>.</w:t>
      </w:r>
      <w:r>
        <w:tab/>
        <w:t>Court may extend time to commence action by person under 18 when cause of action accrues, with guardian</w:t>
      </w:r>
      <w:bookmarkEnd w:id="179"/>
      <w:bookmarkEnd w:id="180"/>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181" w:name="_Toc518044302"/>
      <w:bookmarkStart w:id="182" w:name="_Toc512001442"/>
      <w:r>
        <w:rPr>
          <w:rStyle w:val="CharSectno"/>
        </w:rPr>
        <w:t>42</w:t>
      </w:r>
      <w:r>
        <w:t>.</w:t>
      </w:r>
      <w:r>
        <w:tab/>
        <w:t>Court may extend time to commence action by person with a mental disability, with guardian</w:t>
      </w:r>
      <w:bookmarkEnd w:id="181"/>
      <w:bookmarkEnd w:id="182"/>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183" w:name="_Toc518044303"/>
      <w:bookmarkStart w:id="184" w:name="_Toc512001443"/>
      <w:r>
        <w:rPr>
          <w:rStyle w:val="CharSectno"/>
        </w:rPr>
        <w:t>43</w:t>
      </w:r>
      <w:r>
        <w:t>.</w:t>
      </w:r>
      <w:r>
        <w:tab/>
        <w:t>Jurisdiction and procedure</w:t>
      </w:r>
      <w:bookmarkEnd w:id="183"/>
      <w:bookmarkEnd w:id="184"/>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185" w:name="_Toc518044304"/>
      <w:bookmarkStart w:id="186" w:name="_Toc512001444"/>
      <w:r>
        <w:rPr>
          <w:rStyle w:val="CharSectno"/>
        </w:rPr>
        <w:t>44</w:t>
      </w:r>
      <w:r>
        <w:t>.</w:t>
      </w:r>
      <w:r>
        <w:tab/>
        <w:t>Further matters for court’s consideration on extension applications</w:t>
      </w:r>
      <w:bookmarkEnd w:id="185"/>
      <w:bookmarkEnd w:id="186"/>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187" w:name="_Toc518035848"/>
      <w:bookmarkStart w:id="188" w:name="_Toc518035963"/>
      <w:bookmarkStart w:id="189" w:name="_Toc518044305"/>
      <w:bookmarkStart w:id="190" w:name="_Toc512001183"/>
      <w:bookmarkStart w:id="191" w:name="_Toc512001445"/>
      <w:r>
        <w:rPr>
          <w:rStyle w:val="CharDivNo"/>
        </w:rPr>
        <w:t>Division 4</w:t>
      </w:r>
      <w:r>
        <w:t> — </w:t>
      </w:r>
      <w:r>
        <w:rPr>
          <w:rStyle w:val="CharDivText"/>
        </w:rPr>
        <w:t>Extension or shortening by agreement</w:t>
      </w:r>
      <w:bookmarkEnd w:id="187"/>
      <w:bookmarkEnd w:id="188"/>
      <w:bookmarkEnd w:id="189"/>
      <w:bookmarkEnd w:id="190"/>
      <w:bookmarkEnd w:id="191"/>
    </w:p>
    <w:p>
      <w:pPr>
        <w:pStyle w:val="Heading5"/>
      </w:pPr>
      <w:bookmarkStart w:id="192" w:name="_Toc518044306"/>
      <w:bookmarkStart w:id="193" w:name="_Toc512001446"/>
      <w:r>
        <w:rPr>
          <w:rStyle w:val="CharSectno"/>
        </w:rPr>
        <w:t>45</w:t>
      </w:r>
      <w:r>
        <w:t>.</w:t>
      </w:r>
      <w:r>
        <w:tab/>
        <w:t>Agreement to extend or shorten limitation period</w:t>
      </w:r>
      <w:bookmarkEnd w:id="192"/>
      <w:bookmarkEnd w:id="193"/>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194" w:name="_Toc518035850"/>
      <w:bookmarkStart w:id="195" w:name="_Toc518035965"/>
      <w:bookmarkStart w:id="196" w:name="_Toc518044307"/>
      <w:bookmarkStart w:id="197" w:name="_Toc512001185"/>
      <w:bookmarkStart w:id="198" w:name="_Toc512001447"/>
      <w:r>
        <w:rPr>
          <w:rStyle w:val="CharDivNo"/>
        </w:rPr>
        <w:t>Division 5</w:t>
      </w:r>
      <w:r>
        <w:t> — </w:t>
      </w:r>
      <w:r>
        <w:rPr>
          <w:rStyle w:val="CharDivText"/>
        </w:rPr>
        <w:t>Extension by confirmation</w:t>
      </w:r>
      <w:bookmarkEnd w:id="194"/>
      <w:bookmarkEnd w:id="195"/>
      <w:bookmarkEnd w:id="196"/>
      <w:bookmarkEnd w:id="197"/>
      <w:bookmarkEnd w:id="198"/>
    </w:p>
    <w:p>
      <w:pPr>
        <w:pStyle w:val="Heading5"/>
      </w:pPr>
      <w:bookmarkStart w:id="199" w:name="_Toc518044308"/>
      <w:bookmarkStart w:id="200" w:name="_Toc512001448"/>
      <w:r>
        <w:rPr>
          <w:rStyle w:val="CharSectno"/>
        </w:rPr>
        <w:t>46</w:t>
      </w:r>
      <w:r>
        <w:t>.</w:t>
      </w:r>
      <w:r>
        <w:tab/>
        <w:t>Meaning of confirmation</w:t>
      </w:r>
      <w:bookmarkEnd w:id="199"/>
      <w:bookmarkEnd w:id="200"/>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201" w:name="_Toc518044309"/>
      <w:bookmarkStart w:id="202" w:name="_Toc512001449"/>
      <w:r>
        <w:rPr>
          <w:rStyle w:val="CharSectno"/>
        </w:rPr>
        <w:t>47</w:t>
      </w:r>
      <w:r>
        <w:t>.</w:t>
      </w:r>
      <w:r>
        <w:tab/>
        <w:t>Limitation period extended by confirmation</w:t>
      </w:r>
      <w:bookmarkEnd w:id="201"/>
      <w:bookmarkEnd w:id="202"/>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the time during which the limitation period runs before the confirmation is made does not count in the reckoning of the limitation period for an action on the cause of action by a person having the benefit of the confirmation against a person bound by the confirmation.</w:t>
      </w:r>
    </w:p>
    <w:p>
      <w:pPr>
        <w:pStyle w:val="Heading5"/>
      </w:pPr>
      <w:bookmarkStart w:id="203" w:name="_Toc518044310"/>
      <w:bookmarkStart w:id="204" w:name="_Toc512001450"/>
      <w:r>
        <w:rPr>
          <w:rStyle w:val="CharSectno"/>
        </w:rPr>
        <w:t>48</w:t>
      </w:r>
      <w:r>
        <w:t>.</w:t>
      </w:r>
      <w:r>
        <w:tab/>
        <w:t>Formal requirements for acknowledgments</w:t>
      </w:r>
      <w:bookmarkEnd w:id="203"/>
      <w:bookmarkEnd w:id="204"/>
    </w:p>
    <w:p>
      <w:pPr>
        <w:pStyle w:val="Subsection"/>
      </w:pPr>
      <w:r>
        <w:tab/>
      </w:r>
      <w:r>
        <w:tab/>
        <w:t>For the purposes of section 46(1)(a), an acknowledgment is of no effect unless it is in writing and signed by the maker.</w:t>
      </w:r>
    </w:p>
    <w:p>
      <w:pPr>
        <w:pStyle w:val="Heading5"/>
      </w:pPr>
      <w:bookmarkStart w:id="205" w:name="_Toc518044311"/>
      <w:bookmarkStart w:id="206" w:name="_Toc512001451"/>
      <w:r>
        <w:rPr>
          <w:rStyle w:val="CharSectno"/>
        </w:rPr>
        <w:t>49</w:t>
      </w:r>
      <w:r>
        <w:t>.</w:t>
      </w:r>
      <w:r>
        <w:tab/>
        <w:t>Who has benefit of confirmation</w:t>
      </w:r>
      <w:bookmarkEnd w:id="205"/>
      <w:bookmarkEnd w:id="206"/>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207" w:name="_Toc518044312"/>
      <w:bookmarkStart w:id="208" w:name="_Toc512001452"/>
      <w:r>
        <w:rPr>
          <w:rStyle w:val="CharSectno"/>
        </w:rPr>
        <w:t>50</w:t>
      </w:r>
      <w:r>
        <w:t>.</w:t>
      </w:r>
      <w:r>
        <w:tab/>
        <w:t>Who is bound by confirmation</w:t>
      </w:r>
      <w:bookmarkEnd w:id="207"/>
      <w:bookmarkEnd w:id="208"/>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pPr>
      <w:r>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209" w:name="_Toc518044313"/>
      <w:bookmarkStart w:id="210" w:name="_Toc512001453"/>
      <w:r>
        <w:rPr>
          <w:rStyle w:val="CharSectno"/>
        </w:rPr>
        <w:t>51</w:t>
      </w:r>
      <w:r>
        <w:t>.</w:t>
      </w:r>
      <w:r>
        <w:tab/>
        <w:t>Effects of certain kinds of confirmation</w:t>
      </w:r>
      <w:bookmarkEnd w:id="209"/>
      <w:bookmarkEnd w:id="210"/>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211" w:name="_Toc518035857"/>
      <w:bookmarkStart w:id="212" w:name="_Toc518035972"/>
      <w:bookmarkStart w:id="213" w:name="_Toc518044314"/>
      <w:bookmarkStart w:id="214" w:name="_Toc512001192"/>
      <w:bookmarkStart w:id="215" w:name="_Toc512001454"/>
      <w:r>
        <w:rPr>
          <w:rStyle w:val="CharDivNo"/>
        </w:rPr>
        <w:t>Division 6</w:t>
      </w:r>
      <w:r>
        <w:t> — </w:t>
      </w:r>
      <w:r>
        <w:rPr>
          <w:rStyle w:val="CharDivText"/>
        </w:rPr>
        <w:t>Extension of limitation periods — other matters</w:t>
      </w:r>
      <w:bookmarkEnd w:id="211"/>
      <w:bookmarkEnd w:id="212"/>
      <w:bookmarkEnd w:id="213"/>
      <w:bookmarkEnd w:id="214"/>
      <w:bookmarkEnd w:id="215"/>
    </w:p>
    <w:p>
      <w:pPr>
        <w:pStyle w:val="Heading5"/>
      </w:pPr>
      <w:bookmarkStart w:id="216" w:name="_Toc518044315"/>
      <w:bookmarkStart w:id="217" w:name="_Toc512001455"/>
      <w:r>
        <w:rPr>
          <w:rStyle w:val="CharSectno"/>
        </w:rPr>
        <w:t>52</w:t>
      </w:r>
      <w:r>
        <w:t>.</w:t>
      </w:r>
      <w:r>
        <w:tab/>
        <w:t>Persons with mental disability under 18 when cause of action accrues — most beneficial limitation period applies</w:t>
      </w:r>
      <w:bookmarkEnd w:id="216"/>
      <w:bookmarkEnd w:id="217"/>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218" w:name="_Toc518044316"/>
      <w:bookmarkStart w:id="219" w:name="_Toc512001456"/>
      <w:r>
        <w:rPr>
          <w:rStyle w:val="CharSectno"/>
        </w:rPr>
        <w:t>53</w:t>
      </w:r>
      <w:r>
        <w:t>.</w:t>
      </w:r>
      <w:r>
        <w:tab/>
        <w:t>Limitation period in case of death of certain persons if cause of action accrues to certain other persons</w:t>
      </w:r>
      <w:bookmarkEnd w:id="218"/>
      <w:bookmarkEnd w:id="219"/>
    </w:p>
    <w:p>
      <w:pPr>
        <w:pStyle w:val="Subsection"/>
      </w:pPr>
      <w:r>
        <w:tab/>
        <w:t>(1)</w:t>
      </w:r>
      <w:r>
        <w:tab/>
        <w:t xml:space="preserve">In this section — </w:t>
      </w:r>
    </w:p>
    <w:p>
      <w:pPr>
        <w:pStyle w:val="Defstar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220" w:name="_Toc518044317"/>
      <w:bookmarkStart w:id="221" w:name="_Toc512001457"/>
      <w:r>
        <w:rPr>
          <w:rStyle w:val="CharSectno"/>
        </w:rPr>
        <w:t>54</w:t>
      </w:r>
      <w:r>
        <w:t>.</w:t>
      </w:r>
      <w:r>
        <w:tab/>
        <w:t>Arbitration — extension of limitation period</w:t>
      </w:r>
      <w:bookmarkEnd w:id="220"/>
      <w:bookmarkEnd w:id="221"/>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pPr>
      <w:r>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222" w:name="_Toc518035861"/>
      <w:bookmarkStart w:id="223" w:name="_Toc518035976"/>
      <w:bookmarkStart w:id="224" w:name="_Toc518044318"/>
      <w:bookmarkStart w:id="225" w:name="_Toc512001196"/>
      <w:bookmarkStart w:id="226" w:name="_Toc512001458"/>
      <w:r>
        <w:rPr>
          <w:rStyle w:val="CharPartNo"/>
        </w:rPr>
        <w:t>Part 4</w:t>
      </w:r>
      <w:r>
        <w:t> — </w:t>
      </w:r>
      <w:r>
        <w:rPr>
          <w:rStyle w:val="CharPartText"/>
        </w:rPr>
        <w:t>Accrual of particular causes of action</w:t>
      </w:r>
      <w:bookmarkEnd w:id="222"/>
      <w:bookmarkEnd w:id="223"/>
      <w:bookmarkEnd w:id="224"/>
      <w:bookmarkEnd w:id="225"/>
      <w:bookmarkEnd w:id="226"/>
    </w:p>
    <w:p>
      <w:pPr>
        <w:pStyle w:val="Heading3"/>
        <w:spacing w:before="180"/>
      </w:pPr>
      <w:bookmarkStart w:id="227" w:name="_Toc518035862"/>
      <w:bookmarkStart w:id="228" w:name="_Toc518035977"/>
      <w:bookmarkStart w:id="229" w:name="_Toc518044319"/>
      <w:bookmarkStart w:id="230" w:name="_Toc512001197"/>
      <w:bookmarkStart w:id="231" w:name="_Toc512001459"/>
      <w:r>
        <w:rPr>
          <w:rStyle w:val="CharDivNo"/>
        </w:rPr>
        <w:t>Division 1</w:t>
      </w:r>
      <w:r>
        <w:t> — </w:t>
      </w:r>
      <w:r>
        <w:rPr>
          <w:rStyle w:val="CharDivText"/>
        </w:rPr>
        <w:t>Accrual of certain causes of action other than to recover land</w:t>
      </w:r>
      <w:bookmarkEnd w:id="227"/>
      <w:bookmarkEnd w:id="228"/>
      <w:bookmarkEnd w:id="229"/>
      <w:bookmarkEnd w:id="230"/>
      <w:bookmarkEnd w:id="231"/>
    </w:p>
    <w:p>
      <w:pPr>
        <w:pStyle w:val="Heading5"/>
        <w:spacing w:before="120"/>
      </w:pPr>
      <w:bookmarkStart w:id="232" w:name="_Toc518044320"/>
      <w:bookmarkStart w:id="233" w:name="_Toc512001460"/>
      <w:r>
        <w:rPr>
          <w:rStyle w:val="CharSectno"/>
        </w:rPr>
        <w:t>55</w:t>
      </w:r>
      <w:r>
        <w:t>.</w:t>
      </w:r>
      <w:r>
        <w:tab/>
        <w:t>Personal injury — general</w:t>
      </w:r>
      <w:bookmarkEnd w:id="232"/>
      <w:bookmarkEnd w:id="233"/>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w:t>
      </w:r>
    </w:p>
    <w:p>
      <w:pPr>
        <w:pStyle w:val="Heading5"/>
      </w:pPr>
      <w:bookmarkStart w:id="234" w:name="_Toc518044321"/>
      <w:bookmarkStart w:id="235" w:name="_Toc512001461"/>
      <w:r>
        <w:rPr>
          <w:rStyle w:val="CharSectno"/>
        </w:rPr>
        <w:t>56</w:t>
      </w:r>
      <w:r>
        <w:t>.</w:t>
      </w:r>
      <w:r>
        <w:tab/>
        <w:t>Personal injury — asbestos related diseases</w:t>
      </w:r>
      <w:bookmarkEnd w:id="234"/>
      <w:bookmarkEnd w:id="235"/>
    </w:p>
    <w:p>
      <w:pPr>
        <w:pStyle w:val="Subsection"/>
      </w:pPr>
      <w:r>
        <w:tab/>
        <w:t>(1)</w:t>
      </w:r>
      <w:r>
        <w:tab/>
        <w:t>A cause of action for damages relating to a personal injury —</w:t>
      </w:r>
    </w:p>
    <w:p>
      <w:pPr>
        <w:pStyle w:val="Indenta"/>
      </w:pPr>
      <w:r>
        <w:tab/>
        <w:t>(a)</w:t>
      </w:r>
      <w:r>
        <w:tab/>
        <w:t>that is attributable to the inhalation of asbestos;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For the purposes of this section,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on or after 14 November 2005, is an injury as defined in that Act,</w:t>
      </w:r>
    </w:p>
    <w:p>
      <w:pPr>
        <w:pStyle w:val="Subsection"/>
        <w:keepNext/>
      </w:pPr>
      <w:r>
        <w:tab/>
      </w:r>
      <w:r>
        <w:tab/>
        <w:t>is not to be treated as being significant unless either the parties to the proposed action have agreed, or a medical panel constituted as described in section 36(1) of that Act —</w:t>
      </w:r>
    </w:p>
    <w:p>
      <w:pPr>
        <w:pStyle w:val="Indenta"/>
        <w:rPr>
          <w:sz w:val="22"/>
        </w:rPr>
      </w:pPr>
      <w:r>
        <w:tab/>
        <w:t>(c)</w:t>
      </w:r>
      <w:r>
        <w:tab/>
        <w:t xml:space="preserve">has determined that the degree of the disability assessed in accordance with section 93D(2) of that Act, is 30% or </w:t>
      </w:r>
      <w:r>
        <w:rPr>
          <w:sz w:val="22"/>
        </w:rPr>
        <w:t>more; or</w:t>
      </w:r>
    </w:p>
    <w:p>
      <w:pPr>
        <w:pStyle w:val="Indenta"/>
      </w:pPr>
      <w:r>
        <w:tab/>
        <w:t>(d)</w:t>
      </w:r>
      <w:r>
        <w:tab/>
        <w:t>has assessed that the worker’s degree of whole of person impairment evaluated as described in sections 146A and 146C of that Act (on or after 14 November 2005), is 25% or more,</w:t>
      </w:r>
    </w:p>
    <w:p>
      <w:pPr>
        <w:pStyle w:val="Subsection"/>
      </w:pPr>
      <w:r>
        <w:tab/>
      </w:r>
      <w:r>
        <w:tab/>
        <w:t>as is relevant in the worker’s case.</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Heading5"/>
      </w:pPr>
      <w:bookmarkStart w:id="236" w:name="_Toc518044322"/>
      <w:bookmarkStart w:id="237" w:name="_Toc512001462"/>
      <w:r>
        <w:rPr>
          <w:rStyle w:val="CharSectno"/>
        </w:rPr>
        <w:t>57</w:t>
      </w:r>
      <w:r>
        <w:t>.</w:t>
      </w:r>
      <w:r>
        <w:tab/>
        <w:t>Survival of certain actions</w:t>
      </w:r>
      <w:bookmarkEnd w:id="236"/>
      <w:bookmarkEnd w:id="237"/>
    </w:p>
    <w:p>
      <w:pPr>
        <w:pStyle w:val="Subsection"/>
      </w:pPr>
      <w:r>
        <w:tab/>
        <w:t>(1)</w:t>
      </w:r>
      <w:r>
        <w:tab/>
        <w:t>If a person dies as a result of a personal injury other than an injury that is attributable to the inhalation of asbestos but, immediately before the death, a cause of action relating to the personal injury had not accrued under section 55, the cause of action relating to the personal injury is to be taken as having accrued when the person died.</w:t>
      </w:r>
    </w:p>
    <w:p>
      <w:pPr>
        <w:pStyle w:val="Subsection"/>
      </w:pPr>
      <w:r>
        <w:tab/>
        <w:t>(2)</w:t>
      </w:r>
      <w:r>
        <w:tab/>
        <w:t>If a person dies as a result of a personal injury that is attributable to the inhalation of asbestos but, immediately before the death, a cause of action relating to the personal injury had not accrued under section 56, the cause of action relating to the personal injury is to be taken as having accrued when the person died.</w:t>
      </w:r>
    </w:p>
    <w:p>
      <w:pPr>
        <w:pStyle w:val="Heading5"/>
      </w:pPr>
      <w:bookmarkStart w:id="238" w:name="_Toc518044323"/>
      <w:bookmarkStart w:id="239" w:name="_Toc512001463"/>
      <w:r>
        <w:rPr>
          <w:rStyle w:val="CharSectno"/>
        </w:rPr>
        <w:t>58</w:t>
      </w:r>
      <w:r>
        <w:t>.</w:t>
      </w:r>
      <w:r>
        <w:tab/>
        <w:t>Contributions between tortfeasors</w:t>
      </w:r>
      <w:bookmarkEnd w:id="238"/>
      <w:bookmarkEnd w:id="239"/>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240" w:name="_Toc518044324"/>
      <w:bookmarkStart w:id="241" w:name="_Toc512001464"/>
      <w:r>
        <w:rPr>
          <w:rStyle w:val="CharSectno"/>
        </w:rPr>
        <w:t>59</w:t>
      </w:r>
      <w:r>
        <w:t>.</w:t>
      </w:r>
      <w:r>
        <w:tab/>
        <w:t>Debts repayable on demand</w:t>
      </w:r>
      <w:bookmarkEnd w:id="240"/>
      <w:bookmarkEnd w:id="241"/>
    </w:p>
    <w:p>
      <w:pPr>
        <w:pStyle w:val="Subsection"/>
      </w:pPr>
      <w:r>
        <w:tab/>
      </w:r>
      <w:r>
        <w:tab/>
        <w:t>A cause of action for the repayment of a debt repayable on demand accrues when there is a failure to comply with a demand for repayment.</w:t>
      </w:r>
    </w:p>
    <w:p>
      <w:pPr>
        <w:pStyle w:val="Heading5"/>
      </w:pPr>
      <w:bookmarkStart w:id="242" w:name="_Toc518044325"/>
      <w:bookmarkStart w:id="243" w:name="_Toc512001465"/>
      <w:r>
        <w:rPr>
          <w:rStyle w:val="CharSectno"/>
        </w:rPr>
        <w:t>60</w:t>
      </w:r>
      <w:r>
        <w:t>.</w:t>
      </w:r>
      <w:r>
        <w:tab/>
        <w:t>Successive wrongs to goods</w:t>
      </w:r>
      <w:bookmarkEnd w:id="242"/>
      <w:bookmarkEnd w:id="243"/>
    </w:p>
    <w:p>
      <w:pPr>
        <w:pStyle w:val="Subsection"/>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244" w:name="_Toc518044326"/>
      <w:bookmarkStart w:id="245" w:name="_Toc512001466"/>
      <w:r>
        <w:rPr>
          <w:rStyle w:val="CharSectno"/>
        </w:rPr>
        <w:t>61</w:t>
      </w:r>
      <w:r>
        <w:t>.</w:t>
      </w:r>
      <w:r>
        <w:tab/>
        <w:t>Equitable interests</w:t>
      </w:r>
      <w:bookmarkEnd w:id="244"/>
      <w:bookmarkEnd w:id="245"/>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246" w:name="_Toc518044327"/>
      <w:bookmarkStart w:id="247" w:name="_Toc512001467"/>
      <w:r>
        <w:rPr>
          <w:rStyle w:val="CharSectno"/>
        </w:rPr>
        <w:t>62</w:t>
      </w:r>
      <w:r>
        <w:t>.</w:t>
      </w:r>
      <w:r>
        <w:tab/>
        <w:t>Future interests of beneficiaries under trusts</w:t>
      </w:r>
      <w:bookmarkEnd w:id="246"/>
      <w:bookmarkEnd w:id="247"/>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248" w:name="_Toc518044328"/>
      <w:bookmarkStart w:id="249" w:name="_Toc512001468"/>
      <w:r>
        <w:rPr>
          <w:rStyle w:val="CharSectno"/>
        </w:rPr>
        <w:t>63</w:t>
      </w:r>
      <w:r>
        <w:t>.</w:t>
      </w:r>
      <w:r>
        <w:tab/>
        <w:t>Matters referable to arbitration</w:t>
      </w:r>
      <w:bookmarkEnd w:id="248"/>
      <w:bookmarkEnd w:id="249"/>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250" w:name="_Toc518044329"/>
      <w:bookmarkStart w:id="251" w:name="_Toc512001469"/>
      <w:r>
        <w:rPr>
          <w:rStyle w:val="CharSectno"/>
        </w:rPr>
        <w:t>64</w:t>
      </w:r>
      <w:r>
        <w:t>.</w:t>
      </w:r>
      <w:r>
        <w:tab/>
        <w:t>Arbitral awards</w:t>
      </w:r>
      <w:bookmarkEnd w:id="250"/>
      <w:bookmarkEnd w:id="251"/>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252" w:name="_Toc518035873"/>
      <w:bookmarkStart w:id="253" w:name="_Toc518035988"/>
      <w:bookmarkStart w:id="254" w:name="_Toc518044330"/>
      <w:bookmarkStart w:id="255" w:name="_Toc512001208"/>
      <w:bookmarkStart w:id="256" w:name="_Toc512001470"/>
      <w:r>
        <w:rPr>
          <w:rStyle w:val="CharDivNo"/>
        </w:rPr>
        <w:t>Division 2</w:t>
      </w:r>
      <w:r>
        <w:t> — </w:t>
      </w:r>
      <w:r>
        <w:rPr>
          <w:rStyle w:val="CharDivText"/>
        </w:rPr>
        <w:t>Accrual of certain causes of action to recover land</w:t>
      </w:r>
      <w:bookmarkEnd w:id="252"/>
      <w:bookmarkEnd w:id="253"/>
      <w:bookmarkEnd w:id="254"/>
      <w:bookmarkEnd w:id="255"/>
      <w:bookmarkEnd w:id="256"/>
    </w:p>
    <w:p>
      <w:pPr>
        <w:pStyle w:val="Heading5"/>
      </w:pPr>
      <w:bookmarkStart w:id="257" w:name="_Toc518044331"/>
      <w:bookmarkStart w:id="258" w:name="_Toc512001471"/>
      <w:r>
        <w:rPr>
          <w:rStyle w:val="CharSectno"/>
        </w:rPr>
        <w:t>65</w:t>
      </w:r>
      <w:r>
        <w:t>.</w:t>
      </w:r>
      <w:r>
        <w:tab/>
        <w:t>Adverse possession</w:t>
      </w:r>
      <w:bookmarkEnd w:id="257"/>
      <w:bookmarkEnd w:id="258"/>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259" w:name="_Toc518044332"/>
      <w:bookmarkStart w:id="260" w:name="_Toc512001472"/>
      <w:r>
        <w:rPr>
          <w:rStyle w:val="CharSectno"/>
        </w:rPr>
        <w:t>66</w:t>
      </w:r>
      <w:r>
        <w:t>.</w:t>
      </w:r>
      <w:r>
        <w:tab/>
        <w:t>Dispossession or discontinuance</w:t>
      </w:r>
      <w:bookmarkEnd w:id="259"/>
      <w:bookmarkEnd w:id="260"/>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261" w:name="_Toc518044333"/>
      <w:bookmarkStart w:id="262" w:name="_Toc512001473"/>
      <w:r>
        <w:rPr>
          <w:rStyle w:val="CharSectno"/>
        </w:rPr>
        <w:t>67</w:t>
      </w:r>
      <w:r>
        <w:t>.</w:t>
      </w:r>
      <w:r>
        <w:tab/>
        <w:t>Deceased in possession</w:t>
      </w:r>
      <w:bookmarkEnd w:id="261"/>
      <w:bookmarkEnd w:id="262"/>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263" w:name="_Toc518044334"/>
      <w:bookmarkStart w:id="264" w:name="_Toc512001474"/>
      <w:r>
        <w:rPr>
          <w:rStyle w:val="CharSectno"/>
        </w:rPr>
        <w:t>68</w:t>
      </w:r>
      <w:r>
        <w:t>.</w:t>
      </w:r>
      <w:r>
        <w:tab/>
        <w:t>Grantor in possession</w:t>
      </w:r>
      <w:bookmarkEnd w:id="263"/>
      <w:bookmarkEnd w:id="264"/>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265" w:name="_Toc518044335"/>
      <w:bookmarkStart w:id="266" w:name="_Toc512001475"/>
      <w:r>
        <w:rPr>
          <w:rStyle w:val="CharSectno"/>
        </w:rPr>
        <w:t>69</w:t>
      </w:r>
      <w:r>
        <w:t>.</w:t>
      </w:r>
      <w:r>
        <w:tab/>
        <w:t>Future interests in land</w:t>
      </w:r>
      <w:bookmarkEnd w:id="265"/>
      <w:bookmarkEnd w:id="266"/>
    </w:p>
    <w:p>
      <w:pPr>
        <w:pStyle w:val="Subsection"/>
        <w:spacing w:before="200"/>
      </w:pPr>
      <w:r>
        <w:tab/>
        <w:t>(1)</w:t>
      </w:r>
      <w:r>
        <w:tab/>
        <w:t>A cause of action to recover land in which a person has a future interest accrues when the person becomes entitled to immediate possession of the land if, after the person becomes so entitled and before the action is commenced, no person is in possession under the interest claimed.</w:t>
      </w:r>
    </w:p>
    <w:p>
      <w:pPr>
        <w:pStyle w:val="Subsection"/>
        <w:spacing w:before="200"/>
      </w:pPr>
      <w:r>
        <w:tab/>
        <w:t>(2)</w:t>
      </w:r>
      <w:r>
        <w:tab/>
        <w:t>Subsection (1) is subject to section 77.</w:t>
      </w:r>
    </w:p>
    <w:p>
      <w:pPr>
        <w:pStyle w:val="Heading5"/>
      </w:pPr>
      <w:bookmarkStart w:id="267" w:name="_Toc518044336"/>
      <w:bookmarkStart w:id="268" w:name="_Toc512001476"/>
      <w:r>
        <w:rPr>
          <w:rStyle w:val="CharSectno"/>
        </w:rPr>
        <w:t>70</w:t>
      </w:r>
      <w:r>
        <w:t>.</w:t>
      </w:r>
      <w:r>
        <w:tab/>
        <w:t>Forfeiture</w:t>
      </w:r>
      <w:bookmarkEnd w:id="267"/>
      <w:bookmarkEnd w:id="268"/>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269" w:name="_Toc518044337"/>
      <w:bookmarkStart w:id="270" w:name="_Toc512001477"/>
      <w:r>
        <w:rPr>
          <w:rStyle w:val="CharSectno"/>
        </w:rPr>
        <w:t>71</w:t>
      </w:r>
      <w:r>
        <w:t>.</w:t>
      </w:r>
      <w:r>
        <w:tab/>
        <w:t>Rent wrongly paid</w:t>
      </w:r>
      <w:bookmarkEnd w:id="269"/>
      <w:bookmarkEnd w:id="270"/>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271" w:name="_Toc518044338"/>
      <w:bookmarkStart w:id="272" w:name="_Toc512001478"/>
      <w:r>
        <w:rPr>
          <w:rStyle w:val="CharSectno"/>
        </w:rPr>
        <w:t>72</w:t>
      </w:r>
      <w:r>
        <w:t>.</w:t>
      </w:r>
      <w:r>
        <w:tab/>
        <w:t>Tenancies</w:t>
      </w:r>
      <w:bookmarkEnd w:id="271"/>
      <w:bookmarkEnd w:id="272"/>
    </w:p>
    <w:p>
      <w:pPr>
        <w:pStyle w:val="Subsection"/>
      </w:pPr>
      <w:r>
        <w:tab/>
        <w:t>(1)</w:t>
      </w:r>
      <w:r>
        <w:tab/>
        <w:t xml:space="preserve">A cause of action of a person entitled to land subject to a periodic tenancy to recover the land from the tenant or from a 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273" w:name="_Toc518044339"/>
      <w:bookmarkStart w:id="274" w:name="_Toc512001479"/>
      <w:r>
        <w:rPr>
          <w:rStyle w:val="CharSectno"/>
        </w:rPr>
        <w:t>73</w:t>
      </w:r>
      <w:r>
        <w:t>.</w:t>
      </w:r>
      <w:r>
        <w:tab/>
        <w:t>Beneficial co-owners of land</w:t>
      </w:r>
      <w:bookmarkEnd w:id="273"/>
      <w:bookmarkEnd w:id="274"/>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pPr>
      <w:r>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275" w:name="_Toc518035883"/>
      <w:bookmarkStart w:id="276" w:name="_Toc518035998"/>
      <w:bookmarkStart w:id="277" w:name="_Toc518044340"/>
      <w:bookmarkStart w:id="278" w:name="_Toc512001218"/>
      <w:bookmarkStart w:id="279" w:name="_Toc512001480"/>
      <w:r>
        <w:rPr>
          <w:rStyle w:val="CharPartNo"/>
        </w:rPr>
        <w:t>Part 5</w:t>
      </w:r>
      <w:r>
        <w:rPr>
          <w:rStyle w:val="CharDivNo"/>
        </w:rPr>
        <w:t> </w:t>
      </w:r>
      <w:r>
        <w:t>—</w:t>
      </w:r>
      <w:r>
        <w:rPr>
          <w:rStyle w:val="CharDivText"/>
        </w:rPr>
        <w:t> </w:t>
      </w:r>
      <w:r>
        <w:rPr>
          <w:rStyle w:val="CharPartText"/>
        </w:rPr>
        <w:t>Effect of expiration of limitation period</w:t>
      </w:r>
      <w:bookmarkEnd w:id="275"/>
      <w:bookmarkEnd w:id="276"/>
      <w:bookmarkEnd w:id="277"/>
      <w:bookmarkEnd w:id="278"/>
      <w:bookmarkEnd w:id="279"/>
    </w:p>
    <w:p>
      <w:pPr>
        <w:pStyle w:val="Heading5"/>
      </w:pPr>
      <w:bookmarkStart w:id="280" w:name="_Toc518044341"/>
      <w:bookmarkStart w:id="281" w:name="_Toc512001481"/>
      <w:r>
        <w:rPr>
          <w:rStyle w:val="CharSectno"/>
        </w:rPr>
        <w:t>74</w:t>
      </w:r>
      <w:r>
        <w:t>.</w:t>
      </w:r>
      <w:r>
        <w:tab/>
        <w:t>Time to commence actions may be extended despite extinguishment of rights</w:t>
      </w:r>
      <w:bookmarkEnd w:id="280"/>
      <w:bookmarkEnd w:id="281"/>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282" w:name="_Toc518044342"/>
      <w:bookmarkStart w:id="283" w:name="_Toc512001482"/>
      <w:r>
        <w:rPr>
          <w:rStyle w:val="CharSectno"/>
        </w:rPr>
        <w:t>75</w:t>
      </w:r>
      <w:r>
        <w:t>.</w:t>
      </w:r>
      <w:r>
        <w:tab/>
        <w:t>Extinguishment of right and title to land</w:t>
      </w:r>
      <w:bookmarkEnd w:id="282"/>
      <w:bookmarkEnd w:id="283"/>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284" w:name="_Toc518044343"/>
      <w:bookmarkStart w:id="285" w:name="_Toc512001483"/>
      <w:r>
        <w:rPr>
          <w:rStyle w:val="CharSectno"/>
        </w:rPr>
        <w:t>76</w:t>
      </w:r>
      <w:r>
        <w:t>.</w:t>
      </w:r>
      <w:r>
        <w:tab/>
      </w:r>
      <w:r>
        <w:rPr>
          <w:snapToGrid w:val="0"/>
        </w:rPr>
        <w:t>No title by adverse possession against Crown</w:t>
      </w:r>
      <w:bookmarkEnd w:id="284"/>
      <w:bookmarkEnd w:id="285"/>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286" w:name="_Toc518044344"/>
      <w:bookmarkStart w:id="287" w:name="_Toc512001484"/>
      <w:r>
        <w:rPr>
          <w:rStyle w:val="CharSectno"/>
        </w:rPr>
        <w:t>77</w:t>
      </w:r>
      <w:r>
        <w:t>.</w:t>
      </w:r>
      <w:r>
        <w:tab/>
        <w:t>Future interests in land</w:t>
      </w:r>
      <w:bookmarkEnd w:id="286"/>
      <w:bookmarkEnd w:id="287"/>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288" w:name="_Toc518044345"/>
      <w:bookmarkStart w:id="289" w:name="_Toc512001485"/>
      <w:r>
        <w:rPr>
          <w:rStyle w:val="CharSectno"/>
        </w:rPr>
        <w:t>78</w:t>
      </w:r>
      <w:r>
        <w:t>.</w:t>
      </w:r>
      <w:r>
        <w:tab/>
        <w:t>Provisions in case of land held on trust</w:t>
      </w:r>
      <w:bookmarkEnd w:id="288"/>
      <w:bookmarkEnd w:id="289"/>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290" w:name="_Toc518035889"/>
      <w:bookmarkStart w:id="291" w:name="_Toc518036004"/>
      <w:bookmarkStart w:id="292" w:name="_Toc518044346"/>
      <w:bookmarkStart w:id="293" w:name="_Toc512001224"/>
      <w:bookmarkStart w:id="294" w:name="_Toc512001486"/>
      <w:r>
        <w:rPr>
          <w:rStyle w:val="CharPartNo"/>
        </w:rPr>
        <w:t>Part 6</w:t>
      </w:r>
      <w:r>
        <w:rPr>
          <w:rStyle w:val="CharDivNo"/>
        </w:rPr>
        <w:t> </w:t>
      </w:r>
      <w:r>
        <w:t>—</w:t>
      </w:r>
      <w:r>
        <w:rPr>
          <w:rStyle w:val="CharDivText"/>
        </w:rPr>
        <w:t> </w:t>
      </w:r>
      <w:r>
        <w:rPr>
          <w:rStyle w:val="CharPartText"/>
        </w:rPr>
        <w:t>Miscellaneous</w:t>
      </w:r>
      <w:bookmarkEnd w:id="290"/>
      <w:bookmarkEnd w:id="291"/>
      <w:bookmarkEnd w:id="292"/>
      <w:bookmarkEnd w:id="293"/>
      <w:bookmarkEnd w:id="294"/>
    </w:p>
    <w:p>
      <w:pPr>
        <w:pStyle w:val="Heading5"/>
      </w:pPr>
      <w:bookmarkStart w:id="295" w:name="_Toc518044347"/>
      <w:bookmarkStart w:id="296" w:name="_Toc512001487"/>
      <w:r>
        <w:rPr>
          <w:rStyle w:val="CharSectno"/>
        </w:rPr>
        <w:t>79</w:t>
      </w:r>
      <w:r>
        <w:t>.</w:t>
      </w:r>
      <w:r>
        <w:tab/>
        <w:t>Burden of proof</w:t>
      </w:r>
      <w:bookmarkEnd w:id="295"/>
      <w:bookmarkEnd w:id="296"/>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297" w:name="_Toc518044348"/>
      <w:bookmarkStart w:id="298" w:name="_Toc512001488"/>
      <w:r>
        <w:rPr>
          <w:rStyle w:val="CharSectno"/>
        </w:rPr>
        <w:t>80</w:t>
      </w:r>
      <w:r>
        <w:t>.</w:t>
      </w:r>
      <w:r>
        <w:tab/>
        <w:t>Grounds in equity upon which to refuse relief preserved</w:t>
      </w:r>
      <w:bookmarkEnd w:id="297"/>
      <w:bookmarkEnd w:id="298"/>
    </w:p>
    <w:p>
      <w:pPr>
        <w:pStyle w:val="Subsection"/>
      </w:pPr>
      <w:r>
        <w:tab/>
      </w:r>
      <w:r>
        <w:tab/>
        <w:t>Nothing in this Act affects any equitable jurisdiction to refuse relief on the ground of laches, acquiescence or otherwise.</w:t>
      </w:r>
    </w:p>
    <w:p>
      <w:pPr>
        <w:pStyle w:val="Heading5"/>
      </w:pPr>
      <w:bookmarkStart w:id="299" w:name="_Toc518044349"/>
      <w:bookmarkStart w:id="300" w:name="_Toc512001489"/>
      <w:r>
        <w:rPr>
          <w:rStyle w:val="CharSectno"/>
        </w:rPr>
        <w:t>81</w:t>
      </w:r>
      <w:r>
        <w:t>.</w:t>
      </w:r>
      <w:r>
        <w:tab/>
        <w:t>Counterclaims — commencement</w:t>
      </w:r>
      <w:bookmarkEnd w:id="299"/>
      <w:bookmarkEnd w:id="300"/>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301" w:name="_Toc518044350"/>
      <w:bookmarkStart w:id="302" w:name="_Toc512001490"/>
      <w:r>
        <w:rPr>
          <w:rStyle w:val="CharSectno"/>
        </w:rPr>
        <w:t>82</w:t>
      </w:r>
      <w:r>
        <w:t>.</w:t>
      </w:r>
      <w:r>
        <w:tab/>
        <w:t>Joint causes of action</w:t>
      </w:r>
      <w:bookmarkEnd w:id="301"/>
      <w:bookmarkEnd w:id="302"/>
    </w:p>
    <w:p>
      <w:pPr>
        <w:pStyle w:val="Subsection"/>
      </w:pPr>
      <w:r>
        <w:tab/>
      </w:r>
      <w:r>
        <w:tab/>
        <w:t>If, were it not for this Act, 2 or more persons would have a cause of action jointly but, because of this Act, an action on the cause of action cannot be commenced by one or more of them, an action on the cause of action may nonetheless be commenced by the other or others of them and judgment may be given accordingly.</w:t>
      </w:r>
    </w:p>
    <w:p>
      <w:pPr>
        <w:pStyle w:val="Heading5"/>
      </w:pPr>
      <w:bookmarkStart w:id="303" w:name="_Toc518044351"/>
      <w:bookmarkStart w:id="304" w:name="_Toc512001491"/>
      <w:r>
        <w:rPr>
          <w:rStyle w:val="CharSectno"/>
        </w:rPr>
        <w:t>83</w:t>
      </w:r>
      <w:r>
        <w:t>.</w:t>
      </w:r>
      <w:r>
        <w:tab/>
        <w:t>Joint liability</w:t>
      </w:r>
      <w:bookmarkEnd w:id="303"/>
      <w:bookmarkEnd w:id="304"/>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305" w:name="_Toc518044352"/>
      <w:bookmarkStart w:id="306" w:name="_Toc512001492"/>
      <w:r>
        <w:rPr>
          <w:rStyle w:val="CharSectno"/>
        </w:rPr>
        <w:t>84</w:t>
      </w:r>
      <w:r>
        <w:t>.</w:t>
      </w:r>
      <w:r>
        <w:tab/>
        <w:t>Formal entry and claim</w:t>
      </w:r>
      <w:bookmarkEnd w:id="305"/>
      <w:bookmarkEnd w:id="306"/>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307" w:name="_Toc518044353"/>
      <w:bookmarkStart w:id="308" w:name="_Toc512001493"/>
      <w:r>
        <w:rPr>
          <w:rStyle w:val="CharSectno"/>
        </w:rPr>
        <w:t>85</w:t>
      </w:r>
      <w:r>
        <w:t>.</w:t>
      </w:r>
      <w:r>
        <w:tab/>
        <w:t>Other beneficiaries</w:t>
      </w:r>
      <w:bookmarkEnd w:id="307"/>
      <w:bookmarkEnd w:id="308"/>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309" w:name="_Toc518044354"/>
      <w:bookmarkStart w:id="310" w:name="_Toc512001494"/>
      <w:r>
        <w:rPr>
          <w:rStyle w:val="CharSectno"/>
        </w:rPr>
        <w:t>86</w:t>
      </w:r>
      <w:r>
        <w:t>.</w:t>
      </w:r>
      <w:r>
        <w:tab/>
      </w:r>
      <w:r>
        <w:rPr>
          <w:snapToGrid w:val="0"/>
        </w:rPr>
        <w:t>Limited right to recover tax</w:t>
      </w:r>
      <w:bookmarkEnd w:id="309"/>
      <w:bookmarkEnd w:id="310"/>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rPr>
          <w:snapToGrid w:val="0"/>
        </w:rPr>
      </w:pPr>
      <w:r>
        <w:rPr>
          <w:snapToGrid w:val="0"/>
        </w:rPr>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311" w:name="_Toc518044355"/>
      <w:bookmarkStart w:id="312" w:name="_Toc512001495"/>
      <w:r>
        <w:rPr>
          <w:rStyle w:val="CharSectno"/>
        </w:rPr>
        <w:t>87</w:t>
      </w:r>
      <w:r>
        <w:t>.</w:t>
      </w:r>
      <w:r>
        <w:tab/>
      </w:r>
      <w:r>
        <w:rPr>
          <w:snapToGrid w:val="0"/>
        </w:rPr>
        <w:t>Limited operation of certain court orders as to refund of tax</w:t>
      </w:r>
      <w:bookmarkEnd w:id="311"/>
      <w:bookmarkEnd w:id="312"/>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313" w:name="_Toc518044356"/>
      <w:bookmarkStart w:id="314" w:name="_Toc512001496"/>
      <w:r>
        <w:rPr>
          <w:rStyle w:val="CharSectno"/>
        </w:rPr>
        <w:t>88</w:t>
      </w:r>
      <w:r>
        <w:t>.</w:t>
      </w:r>
      <w:r>
        <w:tab/>
        <w:t>Arbitrations — commencement</w:t>
      </w:r>
      <w:bookmarkEnd w:id="313"/>
      <w:bookmarkEnd w:id="314"/>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rPr>
          <w:del w:id="315" w:author="svcMRProcess" w:date="2019-01-22T12:29: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316" w:name="_Toc518035900"/>
      <w:bookmarkStart w:id="317" w:name="_Toc518036015"/>
      <w:bookmarkStart w:id="318" w:name="_Toc518044357"/>
    </w:p>
    <w:p>
      <w:pPr>
        <w:pStyle w:val="nHeading2"/>
        <w:rPr>
          <w:del w:id="319" w:author="svcMRProcess" w:date="2019-01-22T12:29:00Z"/>
        </w:rPr>
      </w:pPr>
      <w:bookmarkStart w:id="320" w:name="_Toc512001235"/>
      <w:bookmarkStart w:id="321" w:name="_Toc512001497"/>
      <w:del w:id="322" w:author="svcMRProcess" w:date="2019-01-22T12:29:00Z">
        <w:r>
          <w:delText>Notes</w:delText>
        </w:r>
        <w:bookmarkEnd w:id="320"/>
        <w:bookmarkEnd w:id="321"/>
      </w:del>
    </w:p>
    <w:p>
      <w:pPr>
        <w:pStyle w:val="nSubsection"/>
        <w:rPr>
          <w:del w:id="323" w:author="svcMRProcess" w:date="2019-01-22T12:29:00Z"/>
          <w:snapToGrid w:val="0"/>
        </w:rPr>
      </w:pPr>
      <w:del w:id="324" w:author="svcMRProcess" w:date="2019-01-22T12:29:00Z">
        <w:r>
          <w:rPr>
            <w:snapToGrid w:val="0"/>
            <w:vertAlign w:val="superscript"/>
          </w:rPr>
          <w:delText>1</w:delText>
        </w:r>
        <w:r>
          <w:rPr>
            <w:snapToGrid w:val="0"/>
          </w:rPr>
          <w:tab/>
          <w:delText xml:space="preserve">This is a compilation of the </w:delText>
        </w:r>
        <w:r>
          <w:rPr>
            <w:i/>
            <w:noProof/>
            <w:snapToGrid w:val="0"/>
          </w:rPr>
          <w:delText>Limitation Act 2005</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325" w:author="svcMRProcess" w:date="2019-01-22T12:29:00Z"/>
          <w:snapToGrid w:val="0"/>
        </w:rPr>
      </w:pPr>
      <w:bookmarkStart w:id="326" w:name="_Toc512001498"/>
      <w:del w:id="327" w:author="svcMRProcess" w:date="2019-01-22T12:29:00Z">
        <w:r>
          <w:rPr>
            <w:snapToGrid w:val="0"/>
          </w:rPr>
          <w:delText>Compilation table</w:delText>
        </w:r>
        <w:bookmarkEnd w:id="32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28" w:author="svcMRProcess" w:date="2019-01-22T12:29:00Z"/>
        </w:trPr>
        <w:tc>
          <w:tcPr>
            <w:tcW w:w="2268" w:type="dxa"/>
            <w:tcBorders>
              <w:top w:val="single" w:sz="4" w:space="0" w:color="auto"/>
            </w:tcBorders>
          </w:tcPr>
          <w:p>
            <w:pPr>
              <w:pStyle w:val="nTable"/>
              <w:rPr>
                <w:del w:id="329" w:author="svcMRProcess" w:date="2019-01-22T12:29:00Z"/>
                <w:b/>
              </w:rPr>
            </w:pPr>
            <w:del w:id="330" w:author="svcMRProcess" w:date="2019-01-22T12:29:00Z">
              <w:r>
                <w:rPr>
                  <w:b/>
                </w:rPr>
                <w:delText>Short title</w:delText>
              </w:r>
            </w:del>
          </w:p>
        </w:tc>
        <w:tc>
          <w:tcPr>
            <w:tcW w:w="1134" w:type="dxa"/>
            <w:tcBorders>
              <w:top w:val="single" w:sz="4" w:space="0" w:color="auto"/>
            </w:tcBorders>
          </w:tcPr>
          <w:p>
            <w:pPr>
              <w:pStyle w:val="nTable"/>
              <w:rPr>
                <w:del w:id="331" w:author="svcMRProcess" w:date="2019-01-22T12:29:00Z"/>
                <w:b/>
              </w:rPr>
            </w:pPr>
            <w:del w:id="332" w:author="svcMRProcess" w:date="2019-01-22T12:29:00Z">
              <w:r>
                <w:rPr>
                  <w:b/>
                </w:rPr>
                <w:delText>Number and year</w:delText>
              </w:r>
            </w:del>
          </w:p>
        </w:tc>
        <w:tc>
          <w:tcPr>
            <w:tcW w:w="1134" w:type="dxa"/>
            <w:tcBorders>
              <w:top w:val="single" w:sz="4" w:space="0" w:color="auto"/>
            </w:tcBorders>
          </w:tcPr>
          <w:p>
            <w:pPr>
              <w:pStyle w:val="nTable"/>
              <w:rPr>
                <w:del w:id="333" w:author="svcMRProcess" w:date="2019-01-22T12:29:00Z"/>
                <w:b/>
              </w:rPr>
            </w:pPr>
            <w:del w:id="334" w:author="svcMRProcess" w:date="2019-01-22T12:29:00Z">
              <w:r>
                <w:rPr>
                  <w:b/>
                </w:rPr>
                <w:delText>Assent</w:delText>
              </w:r>
            </w:del>
          </w:p>
        </w:tc>
        <w:tc>
          <w:tcPr>
            <w:tcW w:w="2552" w:type="dxa"/>
            <w:tcBorders>
              <w:top w:val="single" w:sz="4" w:space="0" w:color="auto"/>
            </w:tcBorders>
          </w:tcPr>
          <w:p>
            <w:pPr>
              <w:pStyle w:val="nTable"/>
              <w:rPr>
                <w:del w:id="335" w:author="svcMRProcess" w:date="2019-01-22T12:29:00Z"/>
                <w:b/>
              </w:rPr>
            </w:pPr>
            <w:del w:id="336" w:author="svcMRProcess" w:date="2019-01-22T12:29:00Z">
              <w:r>
                <w:rPr>
                  <w:b/>
                </w:rPr>
                <w:delText>Commencement</w:delText>
              </w:r>
            </w:del>
          </w:p>
        </w:tc>
      </w:tr>
      <w:tr>
        <w:trPr>
          <w:del w:id="337" w:author="svcMRProcess" w:date="2019-01-22T12:29:00Z"/>
        </w:trPr>
        <w:tc>
          <w:tcPr>
            <w:tcW w:w="2268" w:type="dxa"/>
            <w:tcBorders>
              <w:top w:val="single" w:sz="4" w:space="0" w:color="auto"/>
              <w:bottom w:val="single" w:sz="4" w:space="0" w:color="auto"/>
            </w:tcBorders>
          </w:tcPr>
          <w:p>
            <w:pPr>
              <w:pStyle w:val="nTable"/>
              <w:spacing w:before="100"/>
              <w:rPr>
                <w:del w:id="338" w:author="svcMRProcess" w:date="2019-01-22T12:29:00Z"/>
                <w:rFonts w:ascii="Times New Roman" w:hAnsi="Times New Roman"/>
              </w:rPr>
            </w:pPr>
            <w:del w:id="339" w:author="svcMRProcess" w:date="2019-01-22T12:29:00Z">
              <w:r>
                <w:rPr>
                  <w:rFonts w:ascii="Times New Roman" w:hAnsi="Times New Roman"/>
                  <w:i/>
                  <w:noProof/>
                  <w:snapToGrid w:val="0"/>
                </w:rPr>
                <w:delText>Limitation Act 2005</w:delText>
              </w:r>
            </w:del>
          </w:p>
        </w:tc>
        <w:tc>
          <w:tcPr>
            <w:tcW w:w="1134" w:type="dxa"/>
            <w:tcBorders>
              <w:top w:val="single" w:sz="4" w:space="0" w:color="auto"/>
              <w:bottom w:val="single" w:sz="4" w:space="0" w:color="auto"/>
            </w:tcBorders>
          </w:tcPr>
          <w:p>
            <w:pPr>
              <w:pStyle w:val="nTable"/>
              <w:spacing w:before="100"/>
              <w:rPr>
                <w:del w:id="340" w:author="svcMRProcess" w:date="2019-01-22T12:29:00Z"/>
                <w:rFonts w:ascii="Times New Roman" w:hAnsi="Times New Roman"/>
              </w:rPr>
            </w:pPr>
            <w:del w:id="341" w:author="svcMRProcess" w:date="2019-01-22T12:29:00Z">
              <w:r>
                <w:rPr>
                  <w:rFonts w:ascii="Times New Roman" w:hAnsi="Times New Roman"/>
                </w:rPr>
                <w:delText>19 of 2005</w:delText>
              </w:r>
            </w:del>
          </w:p>
        </w:tc>
        <w:tc>
          <w:tcPr>
            <w:tcW w:w="1134" w:type="dxa"/>
            <w:tcBorders>
              <w:top w:val="single" w:sz="4" w:space="0" w:color="auto"/>
              <w:bottom w:val="single" w:sz="4" w:space="0" w:color="auto"/>
            </w:tcBorders>
          </w:tcPr>
          <w:p>
            <w:pPr>
              <w:pStyle w:val="nTable"/>
              <w:spacing w:before="100"/>
              <w:rPr>
                <w:del w:id="342" w:author="svcMRProcess" w:date="2019-01-22T12:29:00Z"/>
                <w:rFonts w:ascii="Times New Roman" w:hAnsi="Times New Roman"/>
              </w:rPr>
            </w:pPr>
            <w:del w:id="343" w:author="svcMRProcess" w:date="2019-01-22T12:29:00Z">
              <w:r>
                <w:rPr>
                  <w:rFonts w:ascii="Times New Roman" w:hAnsi="Times New Roman"/>
                </w:rPr>
                <w:delText>15 Nov 2005</w:delText>
              </w:r>
            </w:del>
          </w:p>
        </w:tc>
        <w:tc>
          <w:tcPr>
            <w:tcW w:w="2552" w:type="dxa"/>
            <w:tcBorders>
              <w:top w:val="single" w:sz="4" w:space="0" w:color="auto"/>
              <w:bottom w:val="single" w:sz="4" w:space="0" w:color="auto"/>
            </w:tcBorders>
          </w:tcPr>
          <w:p>
            <w:pPr>
              <w:pStyle w:val="nTable"/>
              <w:spacing w:before="100"/>
              <w:rPr>
                <w:del w:id="344" w:author="svcMRProcess" w:date="2019-01-22T12:29:00Z"/>
                <w:rFonts w:ascii="Times New Roman" w:hAnsi="Times New Roman"/>
              </w:rPr>
            </w:pPr>
            <w:del w:id="345" w:author="svcMRProcess" w:date="2019-01-22T12:29:00Z">
              <w:r>
                <w:rPr>
                  <w:rFonts w:ascii="Times New Roman" w:hAnsi="Times New Roman"/>
                </w:rPr>
                <w:delText>15 Nov 2005 (see s. 2)</w:delText>
              </w:r>
            </w:del>
          </w:p>
        </w:tc>
      </w:tr>
    </w:tbl>
    <w:p>
      <w:pPr>
        <w:rPr>
          <w:del w:id="346" w:author="svcMRProcess" w:date="2019-01-22T12:29:00Z"/>
        </w:rPr>
      </w:pPr>
    </w:p>
    <w:p>
      <w:pPr>
        <w:pStyle w:val="nSubsection"/>
        <w:tabs>
          <w:tab w:val="clear" w:pos="454"/>
          <w:tab w:val="left" w:pos="567"/>
        </w:tabs>
        <w:spacing w:before="120"/>
        <w:ind w:left="567" w:hanging="567"/>
        <w:rPr>
          <w:del w:id="347" w:author="svcMRProcess" w:date="2019-01-22T12:29:00Z"/>
          <w:snapToGrid w:val="0"/>
        </w:rPr>
      </w:pPr>
      <w:del w:id="348" w:author="svcMRProcess" w:date="2019-01-22T12: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9" w:author="svcMRProcess" w:date="2019-01-22T12:29:00Z"/>
        </w:rPr>
      </w:pPr>
      <w:bookmarkStart w:id="350" w:name="_Toc512001499"/>
      <w:del w:id="351" w:author="svcMRProcess" w:date="2019-01-22T12:29:00Z">
        <w:r>
          <w:delText>Provisions that have not come into operation</w:delText>
        </w:r>
        <w:bookmarkEnd w:id="350"/>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del w:id="352" w:author="svcMRProcess" w:date="2019-01-22T12:29:00Z"/>
        </w:trPr>
        <w:tc>
          <w:tcPr>
            <w:tcW w:w="2268" w:type="dxa"/>
            <w:tcBorders>
              <w:top w:val="single" w:sz="8" w:space="0" w:color="auto"/>
              <w:bottom w:val="single" w:sz="8" w:space="0" w:color="auto"/>
            </w:tcBorders>
            <w:shd w:val="clear" w:color="auto" w:fill="auto"/>
          </w:tcPr>
          <w:p>
            <w:pPr>
              <w:pStyle w:val="nTable"/>
              <w:spacing w:after="40"/>
              <w:rPr>
                <w:del w:id="353" w:author="svcMRProcess" w:date="2019-01-22T12:29:00Z"/>
                <w:rFonts w:ascii="Times New Roman" w:hAnsi="Times New Roman"/>
                <w:b/>
              </w:rPr>
            </w:pPr>
            <w:del w:id="354" w:author="svcMRProcess" w:date="2019-01-22T12:29:00Z">
              <w:r>
                <w:rPr>
                  <w:rFonts w:ascii="Times New Roman" w:hAnsi="Times New Roman"/>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355" w:author="svcMRProcess" w:date="2019-01-22T12:29:00Z"/>
                <w:rFonts w:ascii="Times New Roman" w:hAnsi="Times New Roman"/>
                <w:b/>
              </w:rPr>
            </w:pPr>
            <w:del w:id="356" w:author="svcMRProcess" w:date="2019-01-22T12:29:00Z">
              <w:r>
                <w:rPr>
                  <w:rFonts w:ascii="Times New Roman" w:hAnsi="Times New Roman"/>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357" w:author="svcMRProcess" w:date="2019-01-22T12:29:00Z"/>
                <w:rFonts w:ascii="Times New Roman" w:hAnsi="Times New Roman"/>
                <w:b/>
              </w:rPr>
            </w:pPr>
            <w:del w:id="358" w:author="svcMRProcess" w:date="2019-01-22T12:29:00Z">
              <w:r>
                <w:rPr>
                  <w:rFonts w:ascii="Times New Roman" w:hAnsi="Times New Roman"/>
                  <w:b/>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359" w:author="svcMRProcess" w:date="2019-01-22T12:29:00Z"/>
                <w:rFonts w:ascii="Times New Roman" w:hAnsi="Times New Roman"/>
                <w:b/>
              </w:rPr>
            </w:pPr>
            <w:del w:id="360" w:author="svcMRProcess" w:date="2019-01-22T12:29:00Z">
              <w:r>
                <w:rPr>
                  <w:rFonts w:ascii="Times New Roman" w:hAnsi="Times New Roman"/>
                  <w:b/>
                </w:rPr>
                <w:delText>Commencement</w:delText>
              </w:r>
            </w:del>
          </w:p>
        </w:tc>
      </w:tr>
      <w:tr>
        <w:trPr>
          <w:del w:id="361" w:author="svcMRProcess" w:date="2019-01-22T12:29:00Z"/>
        </w:trPr>
        <w:tc>
          <w:tcPr>
            <w:tcW w:w="2268" w:type="dxa"/>
            <w:tcBorders>
              <w:top w:val="single" w:sz="8" w:space="0" w:color="auto"/>
              <w:bottom w:val="single" w:sz="8" w:space="0" w:color="auto"/>
            </w:tcBorders>
          </w:tcPr>
          <w:p>
            <w:pPr>
              <w:pStyle w:val="nTable"/>
              <w:spacing w:after="40"/>
              <w:rPr>
                <w:del w:id="362" w:author="svcMRProcess" w:date="2019-01-22T12:29:00Z"/>
                <w:rFonts w:ascii="Times New Roman" w:hAnsi="Times New Roman"/>
                <w:vertAlign w:val="superscript"/>
              </w:rPr>
            </w:pPr>
            <w:del w:id="363" w:author="svcMRProcess" w:date="2019-01-22T12:29:00Z">
              <w:r>
                <w:rPr>
                  <w:rFonts w:ascii="Times New Roman" w:hAnsi="Times New Roman"/>
                  <w:i/>
                  <w:snapToGrid w:val="0"/>
                </w:rPr>
                <w:delText xml:space="preserve">Civil Liability Legislation Amendment (Child Sexual Abuse Actions) Act 2018 </w:delText>
              </w:r>
              <w:r>
                <w:rPr>
                  <w:rFonts w:ascii="Times New Roman" w:hAnsi="Times New Roman"/>
                  <w:snapToGrid w:val="0"/>
                </w:rPr>
                <w:delText>Pt. 4 </w:delText>
              </w:r>
              <w:r>
                <w:rPr>
                  <w:rFonts w:ascii="Times New Roman" w:hAnsi="Times New Roman"/>
                  <w:snapToGrid w:val="0"/>
                  <w:vertAlign w:val="superscript"/>
                </w:rPr>
                <w:delText>2</w:delText>
              </w:r>
            </w:del>
          </w:p>
        </w:tc>
        <w:tc>
          <w:tcPr>
            <w:tcW w:w="1134" w:type="dxa"/>
            <w:tcBorders>
              <w:top w:val="single" w:sz="8" w:space="0" w:color="auto"/>
              <w:bottom w:val="single" w:sz="8" w:space="0" w:color="auto"/>
            </w:tcBorders>
          </w:tcPr>
          <w:p>
            <w:pPr>
              <w:pStyle w:val="nTable"/>
              <w:spacing w:after="40"/>
              <w:rPr>
                <w:del w:id="364" w:author="svcMRProcess" w:date="2019-01-22T12:29:00Z"/>
                <w:rFonts w:ascii="Times New Roman" w:hAnsi="Times New Roman"/>
              </w:rPr>
            </w:pPr>
            <w:del w:id="365" w:author="svcMRProcess" w:date="2019-01-22T12:29:00Z">
              <w:r>
                <w:rPr>
                  <w:rFonts w:ascii="Times New Roman" w:hAnsi="Times New Roman"/>
                </w:rPr>
                <w:delText>3 of 2018</w:delText>
              </w:r>
            </w:del>
          </w:p>
        </w:tc>
        <w:tc>
          <w:tcPr>
            <w:tcW w:w="1134" w:type="dxa"/>
            <w:tcBorders>
              <w:top w:val="single" w:sz="8" w:space="0" w:color="auto"/>
              <w:bottom w:val="single" w:sz="8" w:space="0" w:color="auto"/>
            </w:tcBorders>
          </w:tcPr>
          <w:p>
            <w:pPr>
              <w:pStyle w:val="nTable"/>
              <w:spacing w:after="40"/>
              <w:rPr>
                <w:del w:id="366" w:author="svcMRProcess" w:date="2019-01-22T12:29:00Z"/>
                <w:rFonts w:ascii="Times New Roman" w:hAnsi="Times New Roman"/>
              </w:rPr>
            </w:pPr>
            <w:del w:id="367" w:author="svcMRProcess" w:date="2019-01-22T12:29:00Z">
              <w:r>
                <w:rPr>
                  <w:rFonts w:ascii="Times New Roman" w:hAnsi="Times New Roman"/>
                </w:rPr>
                <w:delText>19 Apr 2018</w:delText>
              </w:r>
            </w:del>
          </w:p>
        </w:tc>
        <w:tc>
          <w:tcPr>
            <w:tcW w:w="2551" w:type="dxa"/>
            <w:tcBorders>
              <w:top w:val="single" w:sz="8" w:space="0" w:color="auto"/>
              <w:bottom w:val="single" w:sz="8" w:space="0" w:color="auto"/>
            </w:tcBorders>
          </w:tcPr>
          <w:p>
            <w:pPr>
              <w:pStyle w:val="nTable"/>
              <w:spacing w:after="40"/>
              <w:rPr>
                <w:del w:id="368" w:author="svcMRProcess" w:date="2019-01-22T12:29:00Z"/>
                <w:rFonts w:ascii="Times New Roman" w:hAnsi="Times New Roman"/>
              </w:rPr>
            </w:pPr>
            <w:del w:id="369" w:author="svcMRProcess" w:date="2019-01-22T12:29:00Z">
              <w:r>
                <w:rPr>
                  <w:rFonts w:ascii="Times New Roman" w:hAnsi="Times New Roman"/>
                  <w:color w:val="000000"/>
                </w:rPr>
                <w:delText>To be proclaimed</w:delText>
              </w:r>
              <w:r>
                <w:rPr>
                  <w:rFonts w:ascii="Times New Roman" w:hAnsi="Times New Roman"/>
                </w:rPr>
                <w:delText xml:space="preserve"> (see s. 2(b))</w:delText>
              </w:r>
            </w:del>
          </w:p>
        </w:tc>
      </w:tr>
    </w:tbl>
    <w:p>
      <w:pPr>
        <w:pStyle w:val="nSubsection"/>
        <w:spacing w:before="200"/>
        <w:rPr>
          <w:del w:id="370" w:author="svcMRProcess" w:date="2019-01-22T12:29:00Z"/>
          <w:snapToGrid w:val="0"/>
        </w:rPr>
      </w:pPr>
      <w:del w:id="371" w:author="svcMRProcess" w:date="2019-01-22T12:2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Civil Liability Legislation Amendment (Child Sexual Abuse Actions) Act 2018 </w:delText>
        </w:r>
        <w:r>
          <w:rPr>
            <w:snapToGrid w:val="0"/>
          </w:rPr>
          <w:delText>Pt. 4 had not come into operation.  It reads as follows:</w:delText>
        </w:r>
      </w:del>
    </w:p>
    <w:p>
      <w:pPr>
        <w:pStyle w:val="BlankOpen"/>
        <w:rPr>
          <w:del w:id="372" w:author="svcMRProcess" w:date="2019-01-22T12:29:00Z"/>
        </w:rPr>
      </w:pPr>
    </w:p>
    <w:p>
      <w:pPr>
        <w:pStyle w:val="nzHeading2"/>
        <w:rPr>
          <w:del w:id="373" w:author="svcMRProcess" w:date="2019-01-22T12:29:00Z"/>
        </w:rPr>
      </w:pPr>
      <w:bookmarkStart w:id="374" w:name="_Toc499018983"/>
      <w:bookmarkStart w:id="375" w:name="_Toc499019020"/>
      <w:bookmarkStart w:id="376" w:name="_Toc499019057"/>
      <w:bookmarkStart w:id="377" w:name="_Toc499019153"/>
      <w:bookmarkStart w:id="378" w:name="_Toc499019363"/>
      <w:bookmarkStart w:id="379" w:name="_Toc499020621"/>
      <w:bookmarkStart w:id="380" w:name="_Toc499035307"/>
      <w:bookmarkStart w:id="381" w:name="_Toc506917828"/>
      <w:bookmarkStart w:id="382" w:name="_Toc506917916"/>
      <w:bookmarkStart w:id="383" w:name="_Toc506918516"/>
      <w:bookmarkStart w:id="384" w:name="_Toc510779669"/>
      <w:bookmarkStart w:id="385" w:name="_Toc510779819"/>
      <w:bookmarkStart w:id="386" w:name="_Toc510779861"/>
      <w:bookmarkStart w:id="387" w:name="_Toc510781482"/>
      <w:bookmarkStart w:id="388" w:name="_Toc511039279"/>
      <w:bookmarkStart w:id="389" w:name="_Toc511217914"/>
      <w:bookmarkStart w:id="390" w:name="_Toc511986654"/>
      <w:del w:id="391" w:author="svcMRProcess" w:date="2019-01-22T12:29:00Z">
        <w:r>
          <w:rPr>
            <w:rStyle w:val="CharPartNo"/>
          </w:rPr>
          <w:delText>Part 4</w:delText>
        </w:r>
        <w:r>
          <w:rPr>
            <w:rStyle w:val="CharDivNo"/>
          </w:rPr>
          <w:delText> </w:delText>
        </w:r>
        <w:r>
          <w:delText>—</w:delText>
        </w:r>
        <w:r>
          <w:rPr>
            <w:rStyle w:val="CharDivText"/>
          </w:rPr>
          <w:delText> </w:delText>
        </w:r>
        <w:r>
          <w:rPr>
            <w:rStyle w:val="CharPartText"/>
            <w:i/>
          </w:rPr>
          <w:delText>Limitation Act 2005</w:delText>
        </w:r>
        <w:r>
          <w:rPr>
            <w:rStyle w:val="CharPartText"/>
          </w:rPr>
          <w:delText xml:space="preserve"> amended</w:delTex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del>
    </w:p>
    <w:p>
      <w:pPr>
        <w:pStyle w:val="nzHeading5"/>
        <w:rPr>
          <w:del w:id="392" w:author="svcMRProcess" w:date="2019-01-22T12:29:00Z"/>
          <w:snapToGrid w:val="0"/>
        </w:rPr>
      </w:pPr>
      <w:bookmarkStart w:id="393" w:name="_Toc511217915"/>
      <w:bookmarkStart w:id="394" w:name="_Toc511986655"/>
      <w:del w:id="395" w:author="svcMRProcess" w:date="2019-01-22T12:29:00Z">
        <w:r>
          <w:rPr>
            <w:rStyle w:val="CharSectno"/>
          </w:rPr>
          <w:delText>8</w:delText>
        </w:r>
        <w:r>
          <w:rPr>
            <w:snapToGrid w:val="0"/>
          </w:rPr>
          <w:delText>.</w:delText>
        </w:r>
        <w:r>
          <w:rPr>
            <w:snapToGrid w:val="0"/>
          </w:rPr>
          <w:tab/>
          <w:delText>Act amended</w:delText>
        </w:r>
        <w:bookmarkEnd w:id="393"/>
        <w:bookmarkEnd w:id="394"/>
      </w:del>
    </w:p>
    <w:p>
      <w:pPr>
        <w:pStyle w:val="nzSubsection"/>
        <w:rPr>
          <w:del w:id="396" w:author="svcMRProcess" w:date="2019-01-22T12:29:00Z"/>
        </w:rPr>
      </w:pPr>
      <w:del w:id="397" w:author="svcMRProcess" w:date="2019-01-22T12:29:00Z">
        <w:r>
          <w:tab/>
        </w:r>
        <w:r>
          <w:tab/>
          <w:delText xml:space="preserve">This Part amends the </w:delText>
        </w:r>
        <w:r>
          <w:rPr>
            <w:i/>
          </w:rPr>
          <w:delText>Limitation Act 2005</w:delText>
        </w:r>
        <w:r>
          <w:delText>.</w:delText>
        </w:r>
      </w:del>
    </w:p>
    <w:p>
      <w:pPr>
        <w:pStyle w:val="nzHeading5"/>
        <w:rPr>
          <w:del w:id="398" w:author="svcMRProcess" w:date="2019-01-22T12:29:00Z"/>
        </w:rPr>
      </w:pPr>
      <w:bookmarkStart w:id="399" w:name="_Toc511217916"/>
      <w:bookmarkStart w:id="400" w:name="_Toc511986656"/>
      <w:del w:id="401" w:author="svcMRProcess" w:date="2019-01-22T12:29:00Z">
        <w:r>
          <w:rPr>
            <w:rStyle w:val="CharSectno"/>
          </w:rPr>
          <w:delText>9</w:delText>
        </w:r>
        <w:r>
          <w:delText>.</w:delText>
        </w:r>
        <w:r>
          <w:tab/>
          <w:delText>Section 5 amended</w:delText>
        </w:r>
        <w:bookmarkEnd w:id="399"/>
        <w:bookmarkEnd w:id="400"/>
      </w:del>
    </w:p>
    <w:p>
      <w:pPr>
        <w:pStyle w:val="nzSubsection"/>
        <w:rPr>
          <w:del w:id="402" w:author="svcMRProcess" w:date="2019-01-22T12:29:00Z"/>
        </w:rPr>
      </w:pPr>
      <w:del w:id="403" w:author="svcMRProcess" w:date="2019-01-22T12:29:00Z">
        <w:r>
          <w:tab/>
        </w:r>
        <w:r>
          <w:tab/>
          <w:delText>In section 5(2) delete “section 6.” and insert:</w:delText>
        </w:r>
      </w:del>
    </w:p>
    <w:p>
      <w:pPr>
        <w:pStyle w:val="BlankOpen"/>
        <w:rPr>
          <w:del w:id="404" w:author="svcMRProcess" w:date="2019-01-22T12:29:00Z"/>
        </w:rPr>
      </w:pPr>
    </w:p>
    <w:p>
      <w:pPr>
        <w:pStyle w:val="nzSubsection"/>
        <w:rPr>
          <w:del w:id="405" w:author="svcMRProcess" w:date="2019-01-22T12:29:00Z"/>
        </w:rPr>
      </w:pPr>
      <w:del w:id="406" w:author="svcMRProcess" w:date="2019-01-22T12:29:00Z">
        <w:r>
          <w:tab/>
        </w:r>
        <w:r>
          <w:tab/>
          <w:delText>sections 6 and 6A.</w:delText>
        </w:r>
      </w:del>
    </w:p>
    <w:p>
      <w:pPr>
        <w:pStyle w:val="BlankClose"/>
        <w:rPr>
          <w:del w:id="407" w:author="svcMRProcess" w:date="2019-01-22T12:29:00Z"/>
        </w:rPr>
      </w:pPr>
    </w:p>
    <w:p>
      <w:pPr>
        <w:pStyle w:val="nzHeading5"/>
        <w:rPr>
          <w:del w:id="408" w:author="svcMRProcess" w:date="2019-01-22T12:29:00Z"/>
        </w:rPr>
      </w:pPr>
      <w:bookmarkStart w:id="409" w:name="_Toc511217917"/>
      <w:bookmarkStart w:id="410" w:name="_Toc511986657"/>
      <w:del w:id="411" w:author="svcMRProcess" w:date="2019-01-22T12:29:00Z">
        <w:r>
          <w:rPr>
            <w:rStyle w:val="CharSectno"/>
          </w:rPr>
          <w:delText>10</w:delText>
        </w:r>
        <w:r>
          <w:delText>.</w:delText>
        </w:r>
        <w:r>
          <w:tab/>
          <w:delText>Section 6A inserted</w:delText>
        </w:r>
        <w:bookmarkEnd w:id="409"/>
        <w:bookmarkEnd w:id="410"/>
      </w:del>
    </w:p>
    <w:p>
      <w:pPr>
        <w:pStyle w:val="nzSubsection"/>
        <w:keepNext/>
        <w:rPr>
          <w:del w:id="412" w:author="svcMRProcess" w:date="2019-01-22T12:29:00Z"/>
        </w:rPr>
      </w:pPr>
      <w:del w:id="413" w:author="svcMRProcess" w:date="2019-01-22T12:29:00Z">
        <w:r>
          <w:tab/>
        </w:r>
        <w:r>
          <w:tab/>
          <w:delText>After section 6 insert:</w:delText>
        </w:r>
      </w:del>
    </w:p>
    <w:p>
      <w:pPr>
        <w:pStyle w:val="BlankOpen"/>
        <w:rPr>
          <w:del w:id="414" w:author="svcMRProcess" w:date="2019-01-22T12:29:00Z"/>
        </w:rPr>
      </w:pPr>
    </w:p>
    <w:p>
      <w:pPr>
        <w:pStyle w:val="nzHeading5"/>
        <w:rPr>
          <w:del w:id="415" w:author="svcMRProcess" w:date="2019-01-22T12:29:00Z"/>
        </w:rPr>
      </w:pPr>
      <w:bookmarkStart w:id="416" w:name="_Toc511217918"/>
      <w:bookmarkStart w:id="417" w:name="_Toc511986658"/>
      <w:del w:id="418" w:author="svcMRProcess" w:date="2019-01-22T12:29:00Z">
        <w:r>
          <w:delText>6A.</w:delText>
        </w:r>
        <w:r>
          <w:tab/>
          <w:delText>Special provisions for child sexual abuse actions: no limitation period</w:delText>
        </w:r>
        <w:bookmarkEnd w:id="416"/>
        <w:bookmarkEnd w:id="417"/>
      </w:del>
    </w:p>
    <w:p>
      <w:pPr>
        <w:pStyle w:val="nzSubsection"/>
        <w:rPr>
          <w:del w:id="419" w:author="svcMRProcess" w:date="2019-01-22T12:29:00Z"/>
        </w:rPr>
      </w:pPr>
      <w:del w:id="420" w:author="svcMRProcess" w:date="2019-01-22T12:29:00Z">
        <w:r>
          <w:tab/>
          <w:delText>(1)</w:delText>
        </w:r>
        <w:r>
          <w:tab/>
          <w:delText xml:space="preserve">In this section — </w:delText>
        </w:r>
      </w:del>
    </w:p>
    <w:p>
      <w:pPr>
        <w:pStyle w:val="nzDefstart"/>
        <w:rPr>
          <w:del w:id="421" w:author="svcMRProcess" w:date="2019-01-22T12:29:00Z"/>
        </w:rPr>
      </w:pPr>
      <w:del w:id="422" w:author="svcMRProcess" w:date="2019-01-22T12:29:00Z">
        <w:r>
          <w:tab/>
        </w:r>
        <w:r>
          <w:rPr>
            <w:rStyle w:val="CharDefText"/>
          </w:rPr>
          <w:delText>child</w:delText>
        </w:r>
        <w:r>
          <w:delText xml:space="preserve"> means a person under 18 years of age;</w:delText>
        </w:r>
      </w:del>
    </w:p>
    <w:p>
      <w:pPr>
        <w:pStyle w:val="nzDefstart"/>
        <w:rPr>
          <w:del w:id="423" w:author="svcMRProcess" w:date="2019-01-22T12:29:00Z"/>
        </w:rPr>
      </w:pPr>
      <w:del w:id="424" w:author="svcMRProcess" w:date="2019-01-22T12:29:00Z">
        <w:r>
          <w:tab/>
        </w:r>
        <w:r>
          <w:rPr>
            <w:rStyle w:val="CharDefText"/>
          </w:rPr>
          <w:delText>child sexual abuse</w:delText>
        </w:r>
        <w:r>
          <w:delText>, of a person, means an act or omission in relation to the person, when the person is a child, that is sexual abuse;</w:delText>
        </w:r>
      </w:del>
    </w:p>
    <w:p>
      <w:pPr>
        <w:pStyle w:val="nzDefstart"/>
        <w:rPr>
          <w:del w:id="425" w:author="svcMRProcess" w:date="2019-01-22T12:29:00Z"/>
        </w:rPr>
      </w:pPr>
      <w:del w:id="426" w:author="svcMRProcess" w:date="2019-01-22T12:29:00Z">
        <w:r>
          <w:tab/>
        </w:r>
        <w:r>
          <w:rPr>
            <w:rStyle w:val="CharDefText"/>
          </w:rPr>
          <w:delText>child sexual abuse action</w:delText>
        </w:r>
        <w:r>
          <w:delText xml:space="preserve"> means an action on a child sexual abuse cause of action;</w:delText>
        </w:r>
      </w:del>
    </w:p>
    <w:p>
      <w:pPr>
        <w:pStyle w:val="nzDefstart"/>
        <w:rPr>
          <w:del w:id="427" w:author="svcMRProcess" w:date="2019-01-22T12:29:00Z"/>
        </w:rPr>
      </w:pPr>
      <w:del w:id="428" w:author="svcMRProcess" w:date="2019-01-22T12:29:00Z">
        <w:r>
          <w:tab/>
        </w:r>
        <w:r>
          <w:rPr>
            <w:rStyle w:val="CharDefText"/>
          </w:rPr>
          <w:delText>child sexual abuse cause of action</w:delText>
        </w:r>
        <w:r>
          <w:delText xml:space="preserve"> means a cause of action that relates, directly or indirectly, to a personal injury of the person to whom the cause of action accrues, where the injury results from child sexual abuse of the person.</w:delText>
        </w:r>
      </w:del>
    </w:p>
    <w:p>
      <w:pPr>
        <w:pStyle w:val="nzSubsection"/>
        <w:rPr>
          <w:del w:id="429" w:author="svcMRProcess" w:date="2019-01-22T12:29:00Z"/>
        </w:rPr>
      </w:pPr>
      <w:del w:id="430" w:author="svcMRProcess" w:date="2019-01-22T12:29:00Z">
        <w:r>
          <w:tab/>
          <w:delText>(2)</w:delText>
        </w:r>
        <w:r>
          <w:tab/>
          <w:delText>Despite anything in this or any other Act, no limitation period applies in respect of a child sexual abuse action.</w:delText>
        </w:r>
      </w:del>
    </w:p>
    <w:p>
      <w:pPr>
        <w:pStyle w:val="nzSubsection"/>
        <w:rPr>
          <w:del w:id="431" w:author="svcMRProcess" w:date="2019-01-22T12:29:00Z"/>
        </w:rPr>
      </w:pPr>
      <w:del w:id="432" w:author="svcMRProcess" w:date="2019-01-22T12:29:00Z">
        <w:r>
          <w:tab/>
          <w:delText>(3)</w:delText>
        </w:r>
        <w:r>
          <w:tab/>
          <w:delText xml:space="preserve">The following provisions do not apply in respect of a child sexual abuse action — </w:delText>
        </w:r>
      </w:del>
    </w:p>
    <w:p>
      <w:pPr>
        <w:pStyle w:val="nzIndenta"/>
        <w:rPr>
          <w:del w:id="433" w:author="svcMRProcess" w:date="2019-01-22T12:29:00Z"/>
        </w:rPr>
      </w:pPr>
      <w:del w:id="434" w:author="svcMRProcess" w:date="2019-01-22T12:29:00Z">
        <w:r>
          <w:tab/>
          <w:delText>(a)</w:delText>
        </w:r>
        <w:r>
          <w:tab/>
          <w:delText xml:space="preserve">the </w:delText>
        </w:r>
        <w:r>
          <w:rPr>
            <w:i/>
          </w:rPr>
          <w:delText>Crown Suits Act 1947</w:delText>
        </w:r>
        <w:r>
          <w:delText xml:space="preserve"> section 6 (as applying under the </w:delText>
        </w:r>
        <w:r>
          <w:rPr>
            <w:i/>
          </w:rPr>
          <w:delText>Limitation Legislation Amendment and Repeal Act 2005</w:delText>
        </w:r>
        <w:r>
          <w:delText xml:space="preserve"> section 8);</w:delText>
        </w:r>
      </w:del>
    </w:p>
    <w:p>
      <w:pPr>
        <w:pStyle w:val="nzIndenta"/>
        <w:rPr>
          <w:del w:id="435" w:author="svcMRProcess" w:date="2019-01-22T12:29:00Z"/>
        </w:rPr>
      </w:pPr>
      <w:del w:id="436" w:author="svcMRProcess" w:date="2019-01-22T12:29:00Z">
        <w:r>
          <w:tab/>
          <w:delText>(b)</w:delText>
        </w:r>
        <w:r>
          <w:tab/>
          <w:delText xml:space="preserve">the </w:delText>
        </w:r>
        <w:r>
          <w:rPr>
            <w:i/>
          </w:rPr>
          <w:delText>Limitation Act 1935</w:delText>
        </w:r>
        <w:r>
          <w:delText xml:space="preserve"> section 47A (as applying under the </w:delText>
        </w:r>
        <w:r>
          <w:rPr>
            <w:i/>
          </w:rPr>
          <w:delText>Limitation Legislation Amendment and Repeal Act 2005</w:delText>
        </w:r>
        <w:r>
          <w:delText xml:space="preserve"> section 4);</w:delText>
        </w:r>
      </w:del>
    </w:p>
    <w:p>
      <w:pPr>
        <w:pStyle w:val="nzIndenta"/>
        <w:rPr>
          <w:del w:id="437" w:author="svcMRProcess" w:date="2019-01-22T12:29:00Z"/>
        </w:rPr>
      </w:pPr>
      <w:del w:id="438" w:author="svcMRProcess" w:date="2019-01-22T12:29:00Z">
        <w:r>
          <w:tab/>
          <w:delText>(c)</w:delText>
        </w:r>
        <w:r>
          <w:tab/>
          <w:delText>section 5 of this Act.</w:delText>
        </w:r>
      </w:del>
    </w:p>
    <w:p>
      <w:pPr>
        <w:pStyle w:val="nzSubsection"/>
        <w:rPr>
          <w:del w:id="439" w:author="svcMRProcess" w:date="2019-01-22T12:29:00Z"/>
        </w:rPr>
      </w:pPr>
      <w:del w:id="440" w:author="svcMRProcess" w:date="2019-01-22T12:29:00Z">
        <w:r>
          <w:tab/>
          <w:delText>(4)</w:delText>
        </w:r>
        <w:r>
          <w:tab/>
          <w:delText>This section applies regardless of whether the action is brought in tort (including trespass), in contract, under statute or otherwise.</w:delText>
        </w:r>
      </w:del>
    </w:p>
    <w:p>
      <w:pPr>
        <w:pStyle w:val="nzSubsection"/>
        <w:rPr>
          <w:del w:id="441" w:author="svcMRProcess" w:date="2019-01-22T12:29:00Z"/>
        </w:rPr>
      </w:pPr>
      <w:del w:id="442" w:author="svcMRProcess" w:date="2019-01-22T12:29:00Z">
        <w:r>
          <w:tab/>
          <w:delText>(5)</w:delText>
        </w:r>
        <w:r>
          <w:tab/>
          <w:delText xml:space="preserve">This section does not limit — </w:delText>
        </w:r>
      </w:del>
    </w:p>
    <w:p>
      <w:pPr>
        <w:pStyle w:val="nzIndenta"/>
        <w:rPr>
          <w:del w:id="443" w:author="svcMRProcess" w:date="2019-01-22T12:29:00Z"/>
        </w:rPr>
      </w:pPr>
      <w:del w:id="444" w:author="svcMRProcess" w:date="2019-01-22T12:29:00Z">
        <w:r>
          <w:tab/>
          <w:delText>(a)</w:delText>
        </w:r>
        <w:r>
          <w:tab/>
          <w:delText>any inherent, implied or statutory jurisdiction of a court; or</w:delText>
        </w:r>
      </w:del>
    </w:p>
    <w:p>
      <w:pPr>
        <w:pStyle w:val="nzIndenta"/>
        <w:rPr>
          <w:del w:id="445" w:author="svcMRProcess" w:date="2019-01-22T12:29:00Z"/>
        </w:rPr>
      </w:pPr>
      <w:del w:id="446" w:author="svcMRProcess" w:date="2019-01-22T12:29:00Z">
        <w:r>
          <w:tab/>
          <w:delText>(b)</w:delText>
        </w:r>
        <w:r>
          <w:tab/>
          <w:delText>any other powers of a court arising or derived from the common law or under any other Act (including any Commonwealth Act), rule of court, practice note or practice direction.</w:delText>
        </w:r>
      </w:del>
    </w:p>
    <w:p>
      <w:pPr>
        <w:pStyle w:val="nzPermNoteHeading"/>
        <w:rPr>
          <w:del w:id="447" w:author="svcMRProcess" w:date="2019-01-22T12:29:00Z"/>
        </w:rPr>
      </w:pPr>
      <w:del w:id="448" w:author="svcMRProcess" w:date="2019-01-22T12:29:00Z">
        <w:r>
          <w:tab/>
          <w:delText>Note for this subsection:</w:delText>
        </w:r>
      </w:del>
    </w:p>
    <w:p>
      <w:pPr>
        <w:pStyle w:val="nzPermNoteText"/>
        <w:rPr>
          <w:del w:id="449" w:author="svcMRProcess" w:date="2019-01-22T12:29:00Z"/>
        </w:rPr>
      </w:pPr>
      <w:del w:id="450" w:author="svcMRProcess" w:date="2019-01-22T12:29:00Z">
        <w:r>
          <w:tab/>
        </w:r>
        <w:r>
          <w:tab/>
          <w:delText>For example, this section is not intended to limit a court’s power to summarily dismiss or permanently stay proceedings where the lapse of time has a burdensome effect on the defendant that is so serious that a fair trial is not possible.</w:delText>
        </w:r>
      </w:del>
    </w:p>
    <w:p>
      <w:pPr>
        <w:pStyle w:val="nzSubsection"/>
        <w:rPr>
          <w:del w:id="451" w:author="svcMRProcess" w:date="2019-01-22T12:29:00Z"/>
        </w:rPr>
      </w:pPr>
      <w:del w:id="452" w:author="svcMRProcess" w:date="2019-01-22T12:29:00Z">
        <w:r>
          <w:tab/>
          <w:delText>(6)</w:delText>
        </w:r>
        <w:r>
          <w:tab/>
          <w:delText xml:space="preserve">A cause of action referred to in the definition of </w:delText>
        </w:r>
        <w:r>
          <w:rPr>
            <w:rStyle w:val="CharDefText"/>
          </w:rPr>
          <w:delText>child sexual abuse cause of action</w:delText>
        </w:r>
        <w:r>
          <w:delText xml:space="preserve"> does not include a cause of action, action on which could not be maintained but for the </w:delText>
        </w:r>
        <w:r>
          <w:rPr>
            <w:i/>
          </w:rPr>
          <w:delText>Fatal Accidents Act 1959</w:delText>
        </w:r>
        <w:r>
          <w:delText xml:space="preserve"> or the </w:delText>
        </w:r>
        <w:r>
          <w:rPr>
            <w:i/>
          </w:rPr>
          <w:delText>Law Reform (Miscellaneous Provisions) Act 1941</w:delText>
        </w:r>
        <w:r>
          <w:delText>.</w:delText>
        </w:r>
      </w:del>
    </w:p>
    <w:p>
      <w:pPr>
        <w:pStyle w:val="nzSubsection"/>
        <w:rPr>
          <w:del w:id="453" w:author="svcMRProcess" w:date="2019-01-22T12:29:00Z"/>
        </w:rPr>
      </w:pPr>
      <w:del w:id="454" w:author="svcMRProcess" w:date="2019-01-22T12:29:00Z">
        <w:r>
          <w:tab/>
          <w:delText>(7)</w:delText>
        </w:r>
        <w:r>
          <w:tab/>
          <w:delText>The Minister must carry out a review of the operation and effectiveness of this section and Part 7 as soon as is practicable after the 3</w:delText>
        </w:r>
        <w:r>
          <w:rPr>
            <w:vertAlign w:val="superscript"/>
          </w:rPr>
          <w:delText>rd</w:delText>
        </w:r>
        <w:r>
          <w:delText xml:space="preserve"> anniversary of the day on which the </w:delText>
        </w:r>
        <w:r>
          <w:rPr>
            <w:i/>
          </w:rPr>
          <w:delText>Civil Liability Legislation Amendment (Child Sexual Abuse Actions) Act 2018</w:delText>
        </w:r>
        <w:r>
          <w:delText xml:space="preserve"> section 10 comes into operation.</w:delText>
        </w:r>
      </w:del>
    </w:p>
    <w:p>
      <w:pPr>
        <w:pStyle w:val="nzSubsection"/>
        <w:rPr>
          <w:del w:id="455" w:author="svcMRProcess" w:date="2019-01-22T12:29:00Z"/>
        </w:rPr>
      </w:pPr>
      <w:del w:id="456" w:author="svcMRProcess" w:date="2019-01-22T12:29:00Z">
        <w:r>
          <w:tab/>
          <w:delText>(8)</w:delText>
        </w:r>
        <w:r>
          <w:tab/>
          <w:delText>The Minister must prepare a report based on the review and, as soon as is practicable after the report is prepared, cause it to be laid before each House of Parliament.</w:delText>
        </w:r>
      </w:del>
    </w:p>
    <w:p>
      <w:pPr>
        <w:pStyle w:val="BlankClose"/>
        <w:rPr>
          <w:del w:id="457" w:author="svcMRProcess" w:date="2019-01-22T12:29:00Z"/>
        </w:rPr>
      </w:pPr>
    </w:p>
    <w:p>
      <w:pPr>
        <w:pStyle w:val="nzHeading5"/>
        <w:rPr>
          <w:del w:id="458" w:author="svcMRProcess" w:date="2019-01-22T12:29:00Z"/>
        </w:rPr>
      </w:pPr>
      <w:bookmarkStart w:id="459" w:name="_Toc511217919"/>
      <w:bookmarkStart w:id="460" w:name="_Toc511986659"/>
      <w:del w:id="461" w:author="svcMRProcess" w:date="2019-01-22T12:29:00Z">
        <w:r>
          <w:rPr>
            <w:rStyle w:val="CharSectno"/>
          </w:rPr>
          <w:delText>11</w:delText>
        </w:r>
        <w:r>
          <w:delText>.</w:delText>
        </w:r>
        <w:r>
          <w:tab/>
          <w:delText>Section 9 amended</w:delText>
        </w:r>
        <w:bookmarkEnd w:id="459"/>
        <w:bookmarkEnd w:id="460"/>
      </w:del>
    </w:p>
    <w:p>
      <w:pPr>
        <w:pStyle w:val="nzSubsection"/>
        <w:rPr>
          <w:del w:id="462" w:author="svcMRProcess" w:date="2019-01-22T12:29:00Z"/>
        </w:rPr>
      </w:pPr>
      <w:del w:id="463" w:author="svcMRProcess" w:date="2019-01-22T12:29:00Z">
        <w:r>
          <w:tab/>
        </w:r>
        <w:r>
          <w:tab/>
          <w:delText>In section 9(1) delete “section 28(3) and (5))” and insert:</w:delText>
        </w:r>
      </w:del>
    </w:p>
    <w:p>
      <w:pPr>
        <w:pStyle w:val="BlankOpen"/>
        <w:rPr>
          <w:del w:id="464" w:author="svcMRProcess" w:date="2019-01-22T12:29:00Z"/>
        </w:rPr>
      </w:pPr>
    </w:p>
    <w:p>
      <w:pPr>
        <w:pStyle w:val="nzSubsection"/>
        <w:rPr>
          <w:del w:id="465" w:author="svcMRProcess" w:date="2019-01-22T12:29:00Z"/>
        </w:rPr>
      </w:pPr>
      <w:del w:id="466" w:author="svcMRProcess" w:date="2019-01-22T12:29:00Z">
        <w:r>
          <w:tab/>
        </w:r>
        <w:r>
          <w:tab/>
          <w:delText xml:space="preserve">sections 6A and 28(3) and (5)) </w:delText>
        </w:r>
      </w:del>
    </w:p>
    <w:p>
      <w:pPr>
        <w:rPr>
          <w:del w:id="467" w:author="svcMRProcess" w:date="2019-01-22T12:29:00Z"/>
        </w:rPr>
      </w:pPr>
    </w:p>
    <w:p>
      <w:pPr>
        <w:pStyle w:val="nzHeading5"/>
        <w:rPr>
          <w:del w:id="468" w:author="svcMRProcess" w:date="2019-01-22T12:29:00Z"/>
        </w:rPr>
      </w:pPr>
      <w:bookmarkStart w:id="469" w:name="_Toc511217920"/>
      <w:bookmarkStart w:id="470" w:name="_Toc511986660"/>
      <w:del w:id="471" w:author="svcMRProcess" w:date="2019-01-22T12:29:00Z">
        <w:r>
          <w:rPr>
            <w:rStyle w:val="CharSectno"/>
          </w:rPr>
          <w:delText>12</w:delText>
        </w:r>
        <w:r>
          <w:delText>.</w:delText>
        </w:r>
        <w:r>
          <w:tab/>
          <w:delText>Part 7 inserted</w:delText>
        </w:r>
        <w:bookmarkEnd w:id="469"/>
        <w:bookmarkEnd w:id="470"/>
      </w:del>
    </w:p>
    <w:p>
      <w:pPr>
        <w:pStyle w:val="nzSubsection"/>
        <w:rPr>
          <w:del w:id="472" w:author="svcMRProcess" w:date="2019-01-22T12:29:00Z"/>
        </w:rPr>
      </w:pPr>
      <w:del w:id="473" w:author="svcMRProcess" w:date="2019-01-22T12:29:00Z">
        <w:r>
          <w:tab/>
        </w:r>
        <w:r>
          <w:tab/>
          <w:delText>After Part 6 insert:</w:delText>
        </w:r>
      </w:del>
    </w:p>
    <w:p>
      <w:pPr>
        <w:pStyle w:val="BlankOpen"/>
        <w:rPr>
          <w:del w:id="474" w:author="svcMRProcess" w:date="2019-01-22T12:29:00Z"/>
        </w:rPr>
      </w:pPr>
    </w:p>
    <w:p>
      <w:pPr>
        <w:pStyle w:val="Heading2"/>
      </w:pPr>
      <w:bookmarkStart w:id="475" w:name="_Toc499018990"/>
      <w:bookmarkStart w:id="476" w:name="_Toc499019027"/>
      <w:bookmarkStart w:id="477" w:name="_Toc499019064"/>
      <w:bookmarkStart w:id="478" w:name="_Toc499019160"/>
      <w:bookmarkStart w:id="479" w:name="_Toc499019370"/>
      <w:bookmarkStart w:id="480" w:name="_Toc499020628"/>
      <w:bookmarkStart w:id="481" w:name="_Toc499035314"/>
      <w:bookmarkStart w:id="482" w:name="_Toc506917835"/>
      <w:bookmarkStart w:id="483" w:name="_Toc506917923"/>
      <w:bookmarkStart w:id="484" w:name="_Toc506918523"/>
      <w:bookmarkStart w:id="485" w:name="_Toc510779676"/>
      <w:bookmarkStart w:id="486" w:name="_Toc510779826"/>
      <w:bookmarkStart w:id="487" w:name="_Toc510779868"/>
      <w:bookmarkStart w:id="488" w:name="_Toc510781489"/>
      <w:bookmarkStart w:id="489" w:name="_Toc511039286"/>
      <w:bookmarkStart w:id="490" w:name="_Toc511217921"/>
      <w:bookmarkStart w:id="491" w:name="_Toc511986661"/>
      <w:r>
        <w:rPr>
          <w:rStyle w:val="CharPartNo"/>
        </w:rPr>
        <w:t>Part 7</w:t>
      </w:r>
      <w:r>
        <w:t> — </w:t>
      </w:r>
      <w:r>
        <w:rPr>
          <w:rStyle w:val="CharPartText"/>
        </w:rPr>
        <w:t>Transitional provisions</w:t>
      </w:r>
      <w:bookmarkEnd w:id="316"/>
      <w:bookmarkEnd w:id="317"/>
      <w:bookmarkEnd w:id="318"/>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rPr>
          <w:ins w:id="492" w:author="svcMRProcess" w:date="2019-01-22T12:29:00Z"/>
        </w:rPr>
      </w:pPr>
      <w:ins w:id="493" w:author="svcMRProcess" w:date="2019-01-22T12:29:00Z">
        <w:r>
          <w:tab/>
          <w:t>[Heading inserted: No. 3 of 2018 s. 12.]</w:t>
        </w:r>
      </w:ins>
    </w:p>
    <w:p>
      <w:pPr>
        <w:pStyle w:val="Heading3"/>
      </w:pPr>
      <w:bookmarkStart w:id="494" w:name="_Toc518035901"/>
      <w:bookmarkStart w:id="495" w:name="_Toc518036016"/>
      <w:bookmarkStart w:id="496" w:name="_Toc518044358"/>
      <w:bookmarkStart w:id="497" w:name="_Toc499018991"/>
      <w:bookmarkStart w:id="498" w:name="_Toc499019028"/>
      <w:bookmarkStart w:id="499" w:name="_Toc499019065"/>
      <w:bookmarkStart w:id="500" w:name="_Toc499019161"/>
      <w:bookmarkStart w:id="501" w:name="_Toc499019371"/>
      <w:bookmarkStart w:id="502" w:name="_Toc499020629"/>
      <w:bookmarkStart w:id="503" w:name="_Toc499035315"/>
      <w:bookmarkStart w:id="504" w:name="_Toc506917836"/>
      <w:bookmarkStart w:id="505" w:name="_Toc506917924"/>
      <w:bookmarkStart w:id="506" w:name="_Toc506918524"/>
      <w:bookmarkStart w:id="507" w:name="_Toc510779677"/>
      <w:bookmarkStart w:id="508" w:name="_Toc510779827"/>
      <w:bookmarkStart w:id="509" w:name="_Toc510779869"/>
      <w:bookmarkStart w:id="510" w:name="_Toc510781490"/>
      <w:bookmarkStart w:id="511" w:name="_Toc511039287"/>
      <w:bookmarkStart w:id="512" w:name="_Toc511217922"/>
      <w:bookmarkStart w:id="513" w:name="_Toc511986662"/>
      <w:r>
        <w:rPr>
          <w:rStyle w:val="CharDivNo"/>
        </w:rPr>
        <w:t>Division 1</w:t>
      </w:r>
      <w:r>
        <w:t> — </w:t>
      </w:r>
      <w:r>
        <w:rPr>
          <w:rStyle w:val="CharDivText"/>
        </w:rPr>
        <w:t>Provisions for Civil Liability Legislation Amendment (Child Sexual Abuse Actions) Act 2018</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rPr>
          <w:ins w:id="514" w:author="svcMRProcess" w:date="2019-01-22T12:29:00Z"/>
        </w:rPr>
      </w:pPr>
      <w:ins w:id="515" w:author="svcMRProcess" w:date="2019-01-22T12:29:00Z">
        <w:r>
          <w:tab/>
          <w:t>[Heading inserted: No. 3 of 2018 s. 12.]</w:t>
        </w:r>
      </w:ins>
    </w:p>
    <w:p>
      <w:pPr>
        <w:pStyle w:val="Heading5"/>
      </w:pPr>
      <w:bookmarkStart w:id="516" w:name="_Toc518044359"/>
      <w:bookmarkStart w:id="517" w:name="_Toc511217923"/>
      <w:bookmarkStart w:id="518" w:name="_Toc511986663"/>
      <w:r>
        <w:rPr>
          <w:rStyle w:val="CharSectno"/>
        </w:rPr>
        <w:t>89</w:t>
      </w:r>
      <w:r>
        <w:t>.</w:t>
      </w:r>
      <w:r>
        <w:tab/>
        <w:t>Terms used</w:t>
      </w:r>
      <w:bookmarkEnd w:id="516"/>
      <w:bookmarkEnd w:id="517"/>
      <w:bookmarkEnd w:id="518"/>
    </w:p>
    <w:p>
      <w:pPr>
        <w:pStyle w:val="Subsection"/>
      </w:pPr>
      <w:r>
        <w:tab/>
      </w:r>
      <w:r>
        <w:tab/>
        <w:t xml:space="preserve">In this Division — </w:t>
      </w:r>
    </w:p>
    <w:p>
      <w:pPr>
        <w:pStyle w:val="Defstart"/>
      </w:pPr>
      <w:r>
        <w:tab/>
      </w:r>
      <w:r>
        <w:rPr>
          <w:rStyle w:val="CharDefText"/>
        </w:rPr>
        <w:t>child sexual abuse</w:t>
      </w:r>
      <w:r>
        <w:t xml:space="preserve"> has the meaning given in section 6A(1);</w:t>
      </w:r>
    </w:p>
    <w:p>
      <w:pPr>
        <w:pStyle w:val="Defstart"/>
      </w:pPr>
      <w:r>
        <w:tab/>
      </w:r>
      <w:r>
        <w:rPr>
          <w:rStyle w:val="CharDefText"/>
        </w:rPr>
        <w:t>child sexual abuse action</w:t>
      </w:r>
      <w:r>
        <w:t xml:space="preserve"> has the meaning given in section 6A(1);</w:t>
      </w:r>
    </w:p>
    <w:p>
      <w:pPr>
        <w:pStyle w:val="Defstart"/>
      </w:pPr>
      <w:r>
        <w:tab/>
      </w:r>
      <w:r>
        <w:rPr>
          <w:rStyle w:val="CharDefText"/>
        </w:rPr>
        <w:t>child sexual abuse cause of action</w:t>
      </w:r>
      <w:r>
        <w:t xml:space="preserve"> has the meaning given in section 6A(1);</w:t>
      </w:r>
    </w:p>
    <w:p>
      <w:pPr>
        <w:pStyle w:val="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Defstart"/>
      </w:pPr>
      <w:r>
        <w:tab/>
      </w:r>
      <w:r>
        <w:rPr>
          <w:rStyle w:val="CharDefText"/>
        </w:rPr>
        <w:t>previously barred cause of action</w:t>
      </w:r>
      <w:r>
        <w:t xml:space="preserve"> means a child sexual abuse cause of action that was statute barred immediately before commencement day;</w:t>
      </w:r>
    </w:p>
    <w:p>
      <w:pPr>
        <w:pStyle w:val="Defstart"/>
      </w:pPr>
      <w:r>
        <w:tab/>
      </w:r>
      <w:r>
        <w:rPr>
          <w:rStyle w:val="CharDefText"/>
        </w:rPr>
        <w:t>previously settled cause of action</w:t>
      </w:r>
      <w:r>
        <w:t xml:space="preserve"> means a child sexual abuse cause of action that was settled after it was statute barred but before commencement day;</w:t>
      </w:r>
    </w:p>
    <w:p>
      <w:pPr>
        <w:pStyle w:val="Defstart"/>
      </w:pPr>
      <w:r>
        <w:tab/>
      </w:r>
      <w:r>
        <w:rPr>
          <w:rStyle w:val="CharDefText"/>
        </w:rPr>
        <w:t>statute barred</w:t>
      </w:r>
      <w:r>
        <w:t xml:space="preserve">, in relation to a child sexual abuse cause of action, means that action on the cause of action cannot be maintained — </w:t>
      </w:r>
    </w:p>
    <w:p>
      <w:pPr>
        <w:pStyle w:val="Defpara"/>
      </w:pPr>
      <w:r>
        <w:tab/>
        <w:t>(a)</w:t>
      </w:r>
      <w:r>
        <w:tab/>
        <w:t>under one of the provisions referred to in section 6A(3); or</w:t>
      </w:r>
    </w:p>
    <w:p>
      <w:pPr>
        <w:pStyle w:val="Defpara"/>
      </w:pPr>
      <w:r>
        <w:tab/>
        <w:t>(b)</w:t>
      </w:r>
      <w:r>
        <w:tab/>
        <w:t>because a limitation period applicable to the action under this or any other Act has expired.</w:t>
      </w:r>
    </w:p>
    <w:p>
      <w:pPr>
        <w:pStyle w:val="Footnotesection"/>
        <w:ind w:left="890" w:hanging="890"/>
        <w:rPr>
          <w:ins w:id="519" w:author="svcMRProcess" w:date="2019-01-22T12:29:00Z"/>
        </w:rPr>
      </w:pPr>
      <w:ins w:id="520" w:author="svcMRProcess" w:date="2019-01-22T12:29:00Z">
        <w:r>
          <w:tab/>
          <w:t>[Section 89 inserted: No. 3 of 2018 s. 12.]</w:t>
        </w:r>
      </w:ins>
    </w:p>
    <w:p>
      <w:pPr>
        <w:pStyle w:val="Heading5"/>
      </w:pPr>
      <w:bookmarkStart w:id="521" w:name="_Toc518044360"/>
      <w:bookmarkStart w:id="522" w:name="_Toc511217924"/>
      <w:bookmarkStart w:id="523" w:name="_Toc511986664"/>
      <w:r>
        <w:rPr>
          <w:rStyle w:val="CharSectno"/>
        </w:rPr>
        <w:t>90</w:t>
      </w:r>
      <w:r>
        <w:t>.</w:t>
      </w:r>
      <w:r>
        <w:tab/>
        <w:t>Application of section 6A</w:t>
      </w:r>
      <w:bookmarkEnd w:id="521"/>
      <w:bookmarkEnd w:id="522"/>
      <w:bookmarkEnd w:id="523"/>
    </w:p>
    <w:p>
      <w:pPr>
        <w:pStyle w:val="Subsection"/>
      </w:pPr>
      <w:r>
        <w:tab/>
      </w:r>
      <w:r>
        <w:tab/>
        <w:t>Section 6A applies in relation to a child sexual abuse action regardless of when the act or omission constituting child sexual abuse occurred.</w:t>
      </w:r>
    </w:p>
    <w:p>
      <w:pPr>
        <w:pStyle w:val="Footnotesection"/>
        <w:ind w:left="890" w:hanging="890"/>
        <w:rPr>
          <w:ins w:id="524" w:author="svcMRProcess" w:date="2019-01-22T12:29:00Z"/>
        </w:rPr>
      </w:pPr>
      <w:ins w:id="525" w:author="svcMRProcess" w:date="2019-01-22T12:29:00Z">
        <w:r>
          <w:tab/>
          <w:t>[Section 90 inserted: No. 3 of 2018 s. 12.]</w:t>
        </w:r>
      </w:ins>
    </w:p>
    <w:p>
      <w:pPr>
        <w:pStyle w:val="Heading5"/>
      </w:pPr>
      <w:bookmarkStart w:id="526" w:name="_Toc518044361"/>
      <w:bookmarkStart w:id="527" w:name="_Toc511217925"/>
      <w:bookmarkStart w:id="528" w:name="_Toc511986665"/>
      <w:r>
        <w:rPr>
          <w:rStyle w:val="CharSectno"/>
        </w:rPr>
        <w:t>91</w:t>
      </w:r>
      <w:r>
        <w:t>.</w:t>
      </w:r>
      <w:r>
        <w:tab/>
        <w:t>Previously barred causes of action</w:t>
      </w:r>
      <w:bookmarkEnd w:id="526"/>
      <w:bookmarkEnd w:id="527"/>
      <w:bookmarkEnd w:id="528"/>
    </w:p>
    <w:p>
      <w:pPr>
        <w:pStyle w:val="Subsection"/>
      </w:pPr>
      <w:r>
        <w:tab/>
        <w:t>(1)</w:t>
      </w:r>
      <w:r>
        <w:tab/>
        <w:t xml:space="preserve">An action on a previously barred cause of action may be commenced even though one or more of the following apply — </w:t>
      </w:r>
    </w:p>
    <w:p>
      <w:pPr>
        <w:pStyle w:val="Indenta"/>
      </w:pPr>
      <w:r>
        <w:tab/>
        <w:t>(a)</w:t>
      </w:r>
      <w:r>
        <w:tab/>
        <w:t>the action was statute barred before commencement day;</w:t>
      </w:r>
    </w:p>
    <w:p>
      <w:pPr>
        <w:pStyle w:val="Indenta"/>
      </w:pPr>
      <w:r>
        <w:tab/>
        <w:t>(b)</w:t>
      </w:r>
      <w:r>
        <w:tab/>
        <w:t>an action on the cause of action had commenced but was discontinued or not finalised before commencement day;</w:t>
      </w:r>
    </w:p>
    <w:p>
      <w:pPr>
        <w:pStyle w:val="Indenta"/>
      </w:pPr>
      <w:r>
        <w:tab/>
        <w:t>(c)</w:t>
      </w:r>
      <w:r>
        <w:tab/>
        <w:t>a judgment was given before commencement day in relation to the cause of action on the ground that the action was statute barred;</w:t>
      </w:r>
    </w:p>
    <w:p>
      <w:pPr>
        <w:pStyle w:val="Indenta"/>
      </w:pPr>
      <w:r>
        <w:tab/>
        <w:t>(d)</w:t>
      </w:r>
      <w:r>
        <w:tab/>
        <w:t>an action on the cause of action was dismissed before commencement day on the ground that the action was statute barred.</w:t>
      </w:r>
    </w:p>
    <w:p>
      <w:pPr>
        <w:pStyle w:val="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Subsection"/>
      </w:pPr>
      <w:r>
        <w:tab/>
        <w:t>(3)</w:t>
      </w:r>
      <w:r>
        <w:tab/>
        <w:t>The court may, if satisfied that it is just and reasonable to do so, set aside the previous judgment to the extent to which it relates to the action.</w:t>
      </w:r>
    </w:p>
    <w:p>
      <w:pPr>
        <w:pStyle w:val="Subsection"/>
      </w:pPr>
      <w:r>
        <w:tab/>
        <w:t>(4)</w:t>
      </w:r>
      <w:r>
        <w:tab/>
        <w:t>If the previous judgment is wholly or partly set aside, a person who paid an amount under the judgment cannot seek to recover that amount on the basis of the judgment having been set aside to that extent.</w:t>
      </w:r>
    </w:p>
    <w:p>
      <w:pPr>
        <w:pStyle w:val="Subsection"/>
      </w:pPr>
      <w:r>
        <w:tab/>
        <w:t>(5)</w:t>
      </w:r>
      <w:r>
        <w:tab/>
        <w:t>If an action on a previously barred cause of action is commenced, the court dealing with the action may, if satisfied that it is just and reasonable to do so, take into account any amount paid under a previous judgment relating to the cause of action.</w:t>
      </w:r>
    </w:p>
    <w:p>
      <w:pPr>
        <w:pStyle w:val="Subsection"/>
      </w:pPr>
      <w:r>
        <w:tab/>
        <w:t>(6)</w:t>
      </w:r>
      <w:r>
        <w:tab/>
        <w:t>A court, other than the Supreme Court, may not set aside a previous judgment of another court.</w:t>
      </w:r>
    </w:p>
    <w:p>
      <w:pPr>
        <w:pStyle w:val="Footnotesection"/>
        <w:ind w:left="890" w:hanging="890"/>
        <w:rPr>
          <w:ins w:id="529" w:author="svcMRProcess" w:date="2019-01-22T12:29:00Z"/>
        </w:rPr>
      </w:pPr>
      <w:ins w:id="530" w:author="svcMRProcess" w:date="2019-01-22T12:29:00Z">
        <w:r>
          <w:tab/>
          <w:t>[Section 91 inserted: No. 3 of 2018 s. 12.]</w:t>
        </w:r>
      </w:ins>
    </w:p>
    <w:p>
      <w:pPr>
        <w:pStyle w:val="Heading5"/>
      </w:pPr>
      <w:bookmarkStart w:id="531" w:name="_Toc518044362"/>
      <w:bookmarkStart w:id="532" w:name="_Toc511217926"/>
      <w:bookmarkStart w:id="533" w:name="_Toc511986666"/>
      <w:r>
        <w:rPr>
          <w:rStyle w:val="CharSectno"/>
        </w:rPr>
        <w:t>92</w:t>
      </w:r>
      <w:r>
        <w:t>.</w:t>
      </w:r>
      <w:r>
        <w:tab/>
        <w:t>Previously settled causes of action</w:t>
      </w:r>
      <w:bookmarkEnd w:id="531"/>
      <w:bookmarkEnd w:id="532"/>
      <w:bookmarkEnd w:id="533"/>
    </w:p>
    <w:p>
      <w:pPr>
        <w:pStyle w:val="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Subsection"/>
      </w:pPr>
      <w:r>
        <w:tab/>
        <w:t>(2)</w:t>
      </w:r>
      <w:r>
        <w:tab/>
        <w:t>Application may be made to a court that would have jurisdiction to deal with the action, but for the settlement agreement, for leave to commence the action.</w:t>
      </w:r>
    </w:p>
    <w:p>
      <w:pPr>
        <w:pStyle w:val="Subsection"/>
      </w:pPr>
      <w:r>
        <w:tab/>
        <w:t>(3)</w:t>
      </w:r>
      <w:r>
        <w:tab/>
        <w:t xml:space="preserve">The court may, if satisfied that it is just and reasonable to do so — </w:t>
      </w:r>
    </w:p>
    <w:p>
      <w:pPr>
        <w:pStyle w:val="Indenta"/>
      </w:pPr>
      <w:r>
        <w:tab/>
        <w:t>(a)</w:t>
      </w:r>
      <w:r>
        <w:tab/>
        <w:t>grant leave to commence the action, subject to conditions; and</w:t>
      </w:r>
    </w:p>
    <w:p>
      <w:pPr>
        <w:pStyle w:val="Indenta"/>
      </w:pPr>
      <w:r>
        <w:tab/>
        <w:t>(b)</w:t>
      </w:r>
      <w:r>
        <w:tab/>
        <w:t>to the extent necessary for that, set aside the settlement agreement and any judgment giving effect to the settlement.</w:t>
      </w:r>
    </w:p>
    <w:p>
      <w:pPr>
        <w:pStyle w:val="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Subsection"/>
      </w:pPr>
      <w:r>
        <w:tab/>
        <w:t>(5)</w:t>
      </w:r>
      <w:r>
        <w:tab/>
        <w:t>A party to an agreement that is wholly or partly void under subsection (4) cannot seek to recover an amount paid by or for the party under the agreement on the basis that the agreement is void to that extent.</w:t>
      </w:r>
    </w:p>
    <w:p>
      <w:pPr>
        <w:pStyle w:val="Subsection"/>
      </w:pPr>
      <w:r>
        <w:tab/>
        <w:t>(6)</w:t>
      </w:r>
      <w:r>
        <w:tab/>
        <w:t>The court dealing with the action may, if satisfied that it is just and reasonable to do so, take into account any amount paid under an agreement that is wholly or partly void under this section, to the extent to which the amount relates to the child sexual abuse the subject of the cause of action.</w:t>
      </w:r>
    </w:p>
    <w:p>
      <w:pPr>
        <w:pStyle w:val="Subsection"/>
      </w:pPr>
      <w:r>
        <w:tab/>
        <w:t>(7)</w:t>
      </w:r>
      <w:r>
        <w:tab/>
        <w:t xml:space="preserve">For the purposes of subsection (6), amounts paid under an agreement are taken to relate to the child sexual abuse the subject of the cause of action to the extent of 50% if the agreement — </w:t>
      </w:r>
    </w:p>
    <w:p>
      <w:pPr>
        <w:pStyle w:val="Indenta"/>
      </w:pPr>
      <w:r>
        <w:tab/>
        <w:t>(a)</w:t>
      </w:r>
      <w:r>
        <w:tab/>
        <w:t>does not relate solely to that child sexual abuse; and</w:t>
      </w:r>
    </w:p>
    <w:p>
      <w:pPr>
        <w:pStyle w:val="Indenta"/>
      </w:pPr>
      <w:r>
        <w:tab/>
        <w:t>(b)</w:t>
      </w:r>
      <w:r>
        <w:tab/>
        <w:t>does not expressly deal with the extent to which the agreement and amounts paid under it relate to that child sexual abuse.</w:t>
      </w:r>
    </w:p>
    <w:p>
      <w:pPr>
        <w:pStyle w:val="BlankClose"/>
        <w:rPr>
          <w:del w:id="534" w:author="svcMRProcess" w:date="2019-01-22T12:29:00Z"/>
        </w:rPr>
      </w:pPr>
    </w:p>
    <w:p>
      <w:pPr>
        <w:pStyle w:val="Footnotesection"/>
        <w:ind w:left="890" w:hanging="890"/>
        <w:rPr>
          <w:ins w:id="535" w:author="svcMRProcess" w:date="2019-01-22T12:29:00Z"/>
        </w:rPr>
      </w:pPr>
      <w:ins w:id="536" w:author="svcMRProcess" w:date="2019-01-22T12:29:00Z">
        <w:r>
          <w:tab/>
          <w:t>[Section 92 inserted: No. 3 of 2018 s. 12.]</w:t>
        </w:r>
      </w:ins>
    </w:p>
    <w:p>
      <w:pPr>
        <w:rPr>
          <w:ins w:id="537" w:author="svcMRProcess" w:date="2019-01-22T12:29:00Z"/>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rPr>
          <w:ins w:id="538" w:author="svcMRProcess" w:date="2019-01-22T12:29:00Z"/>
        </w:rPr>
      </w:pPr>
      <w:bookmarkStart w:id="539" w:name="_Toc518035906"/>
      <w:bookmarkStart w:id="540" w:name="_Toc518036021"/>
      <w:bookmarkStart w:id="541" w:name="_Toc518044363"/>
      <w:ins w:id="542" w:author="svcMRProcess" w:date="2019-01-22T12:29:00Z">
        <w:r>
          <w:t>Notes</w:t>
        </w:r>
        <w:bookmarkEnd w:id="539"/>
        <w:bookmarkEnd w:id="540"/>
        <w:bookmarkEnd w:id="541"/>
      </w:ins>
    </w:p>
    <w:p>
      <w:pPr>
        <w:pStyle w:val="nSubsection"/>
        <w:rPr>
          <w:ins w:id="543" w:author="svcMRProcess" w:date="2019-01-22T12:29:00Z"/>
        </w:rPr>
      </w:pPr>
      <w:ins w:id="544" w:author="svcMRProcess" w:date="2019-01-22T12:29:00Z">
        <w:r>
          <w:rPr>
            <w:vertAlign w:val="superscript"/>
          </w:rPr>
          <w:t>1</w:t>
        </w:r>
        <w:r>
          <w:tab/>
          <w:t xml:space="preserve">This is a compilation of the </w:t>
        </w:r>
        <w:r>
          <w:rPr>
            <w:i/>
            <w:noProof/>
          </w:rPr>
          <w:t>Limitation Act 2005</w:t>
        </w:r>
        <w:r>
          <w:t xml:space="preserve"> and includes the amendments made by the other written laws referred to in the following table. </w:t>
        </w:r>
      </w:ins>
    </w:p>
    <w:p>
      <w:pPr>
        <w:pStyle w:val="nHeading3"/>
        <w:rPr>
          <w:ins w:id="545" w:author="svcMRProcess" w:date="2019-01-22T12:29:00Z"/>
          <w:snapToGrid w:val="0"/>
        </w:rPr>
      </w:pPr>
      <w:bookmarkStart w:id="546" w:name="_Toc518044364"/>
      <w:ins w:id="547" w:author="svcMRProcess" w:date="2019-01-22T12:29:00Z">
        <w:r>
          <w:rPr>
            <w:snapToGrid w:val="0"/>
          </w:rPr>
          <w:t>Compilation table</w:t>
        </w:r>
        <w:bookmarkEnd w:id="54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48" w:author="svcMRProcess" w:date="2019-01-22T12:29:00Z"/>
        </w:trPr>
        <w:tc>
          <w:tcPr>
            <w:tcW w:w="2268" w:type="dxa"/>
            <w:tcBorders>
              <w:top w:val="single" w:sz="4" w:space="0" w:color="auto"/>
              <w:bottom w:val="single" w:sz="4" w:space="0" w:color="auto"/>
            </w:tcBorders>
          </w:tcPr>
          <w:p>
            <w:pPr>
              <w:pStyle w:val="nTable"/>
              <w:rPr>
                <w:ins w:id="549" w:author="svcMRProcess" w:date="2019-01-22T12:29:00Z"/>
                <w:b/>
              </w:rPr>
            </w:pPr>
            <w:ins w:id="550" w:author="svcMRProcess" w:date="2019-01-22T12:29:00Z">
              <w:r>
                <w:rPr>
                  <w:b/>
                </w:rPr>
                <w:t>Short title</w:t>
              </w:r>
            </w:ins>
          </w:p>
        </w:tc>
        <w:tc>
          <w:tcPr>
            <w:tcW w:w="1134" w:type="dxa"/>
            <w:tcBorders>
              <w:top w:val="single" w:sz="4" w:space="0" w:color="auto"/>
              <w:bottom w:val="single" w:sz="4" w:space="0" w:color="auto"/>
            </w:tcBorders>
          </w:tcPr>
          <w:p>
            <w:pPr>
              <w:pStyle w:val="nTable"/>
              <w:rPr>
                <w:ins w:id="551" w:author="svcMRProcess" w:date="2019-01-22T12:29:00Z"/>
                <w:b/>
              </w:rPr>
            </w:pPr>
            <w:ins w:id="552" w:author="svcMRProcess" w:date="2019-01-22T12:29:00Z">
              <w:r>
                <w:rPr>
                  <w:b/>
                </w:rPr>
                <w:t>Number and year</w:t>
              </w:r>
            </w:ins>
          </w:p>
        </w:tc>
        <w:tc>
          <w:tcPr>
            <w:tcW w:w="1134" w:type="dxa"/>
            <w:tcBorders>
              <w:top w:val="single" w:sz="4" w:space="0" w:color="auto"/>
              <w:bottom w:val="single" w:sz="4" w:space="0" w:color="auto"/>
            </w:tcBorders>
          </w:tcPr>
          <w:p>
            <w:pPr>
              <w:pStyle w:val="nTable"/>
              <w:rPr>
                <w:ins w:id="553" w:author="svcMRProcess" w:date="2019-01-22T12:29:00Z"/>
                <w:b/>
              </w:rPr>
            </w:pPr>
            <w:ins w:id="554" w:author="svcMRProcess" w:date="2019-01-22T12:29:00Z">
              <w:r>
                <w:rPr>
                  <w:b/>
                </w:rPr>
                <w:t>Assent</w:t>
              </w:r>
            </w:ins>
          </w:p>
        </w:tc>
        <w:tc>
          <w:tcPr>
            <w:tcW w:w="2552" w:type="dxa"/>
            <w:tcBorders>
              <w:top w:val="single" w:sz="4" w:space="0" w:color="auto"/>
              <w:bottom w:val="single" w:sz="4" w:space="0" w:color="auto"/>
            </w:tcBorders>
          </w:tcPr>
          <w:p>
            <w:pPr>
              <w:pStyle w:val="nTable"/>
              <w:rPr>
                <w:ins w:id="555" w:author="svcMRProcess" w:date="2019-01-22T12:29:00Z"/>
                <w:b/>
              </w:rPr>
            </w:pPr>
            <w:ins w:id="556" w:author="svcMRProcess" w:date="2019-01-22T12:29:00Z">
              <w:r>
                <w:rPr>
                  <w:b/>
                </w:rPr>
                <w:t>Commencement</w:t>
              </w:r>
            </w:ins>
          </w:p>
        </w:tc>
      </w:tr>
      <w:tr>
        <w:trPr>
          <w:ins w:id="557" w:author="svcMRProcess" w:date="2019-01-22T12:29:00Z"/>
        </w:trPr>
        <w:tc>
          <w:tcPr>
            <w:tcW w:w="2268" w:type="dxa"/>
            <w:tcBorders>
              <w:top w:val="single" w:sz="4" w:space="0" w:color="auto"/>
            </w:tcBorders>
          </w:tcPr>
          <w:p>
            <w:pPr>
              <w:pStyle w:val="nTable"/>
              <w:spacing w:before="100" w:after="40"/>
              <w:rPr>
                <w:ins w:id="558" w:author="svcMRProcess" w:date="2019-01-22T12:29:00Z"/>
                <w:rFonts w:ascii="Times New Roman" w:hAnsi="Times New Roman"/>
              </w:rPr>
            </w:pPr>
            <w:ins w:id="559" w:author="svcMRProcess" w:date="2019-01-22T12:29:00Z">
              <w:r>
                <w:rPr>
                  <w:rFonts w:ascii="Times New Roman" w:hAnsi="Times New Roman"/>
                  <w:i/>
                  <w:noProof/>
                  <w:snapToGrid w:val="0"/>
                </w:rPr>
                <w:t>Limitation Act 2005</w:t>
              </w:r>
            </w:ins>
          </w:p>
        </w:tc>
        <w:tc>
          <w:tcPr>
            <w:tcW w:w="1134" w:type="dxa"/>
            <w:tcBorders>
              <w:top w:val="single" w:sz="4" w:space="0" w:color="auto"/>
            </w:tcBorders>
          </w:tcPr>
          <w:p>
            <w:pPr>
              <w:pStyle w:val="nTable"/>
              <w:spacing w:before="100" w:after="40"/>
              <w:rPr>
                <w:ins w:id="560" w:author="svcMRProcess" w:date="2019-01-22T12:29:00Z"/>
                <w:rFonts w:ascii="Times New Roman" w:hAnsi="Times New Roman"/>
              </w:rPr>
            </w:pPr>
            <w:ins w:id="561" w:author="svcMRProcess" w:date="2019-01-22T12:29:00Z">
              <w:r>
                <w:rPr>
                  <w:rFonts w:ascii="Times New Roman" w:hAnsi="Times New Roman"/>
                </w:rPr>
                <w:t>19 of 2005</w:t>
              </w:r>
            </w:ins>
          </w:p>
        </w:tc>
        <w:tc>
          <w:tcPr>
            <w:tcW w:w="1134" w:type="dxa"/>
            <w:tcBorders>
              <w:top w:val="single" w:sz="4" w:space="0" w:color="auto"/>
            </w:tcBorders>
          </w:tcPr>
          <w:p>
            <w:pPr>
              <w:pStyle w:val="nTable"/>
              <w:spacing w:before="100" w:after="40"/>
              <w:rPr>
                <w:ins w:id="562" w:author="svcMRProcess" w:date="2019-01-22T12:29:00Z"/>
                <w:rFonts w:ascii="Times New Roman" w:hAnsi="Times New Roman"/>
              </w:rPr>
            </w:pPr>
            <w:ins w:id="563" w:author="svcMRProcess" w:date="2019-01-22T12:29:00Z">
              <w:r>
                <w:rPr>
                  <w:rFonts w:ascii="Times New Roman" w:hAnsi="Times New Roman"/>
                </w:rPr>
                <w:t>15 Nov 2005</w:t>
              </w:r>
            </w:ins>
          </w:p>
        </w:tc>
        <w:tc>
          <w:tcPr>
            <w:tcW w:w="2552" w:type="dxa"/>
            <w:tcBorders>
              <w:top w:val="single" w:sz="4" w:space="0" w:color="auto"/>
            </w:tcBorders>
          </w:tcPr>
          <w:p>
            <w:pPr>
              <w:pStyle w:val="nTable"/>
              <w:spacing w:before="100" w:after="40"/>
              <w:rPr>
                <w:ins w:id="564" w:author="svcMRProcess" w:date="2019-01-22T12:29:00Z"/>
                <w:rFonts w:ascii="Times New Roman" w:hAnsi="Times New Roman"/>
              </w:rPr>
            </w:pPr>
            <w:ins w:id="565" w:author="svcMRProcess" w:date="2019-01-22T12:29:00Z">
              <w:r>
                <w:rPr>
                  <w:rFonts w:ascii="Times New Roman" w:hAnsi="Times New Roman"/>
                </w:rPr>
                <w:t>15 Nov 2005 (see s. 2)</w:t>
              </w:r>
            </w:ins>
          </w:p>
        </w:tc>
      </w:tr>
      <w:tr>
        <w:trPr>
          <w:ins w:id="566" w:author="svcMRProcess" w:date="2019-01-22T12:29:00Z"/>
        </w:trPr>
        <w:tc>
          <w:tcPr>
            <w:tcW w:w="2268" w:type="dxa"/>
            <w:tcBorders>
              <w:bottom w:val="single" w:sz="4" w:space="0" w:color="auto"/>
            </w:tcBorders>
          </w:tcPr>
          <w:p>
            <w:pPr>
              <w:pStyle w:val="nTable"/>
              <w:spacing w:after="40"/>
              <w:rPr>
                <w:ins w:id="567" w:author="svcMRProcess" w:date="2019-01-22T12:29:00Z"/>
                <w:rFonts w:ascii="Times New Roman" w:hAnsi="Times New Roman"/>
                <w:vertAlign w:val="superscript"/>
              </w:rPr>
            </w:pPr>
            <w:ins w:id="568" w:author="svcMRProcess" w:date="2019-01-22T12:29:00Z">
              <w:r>
                <w:rPr>
                  <w:rFonts w:ascii="Times New Roman" w:hAnsi="Times New Roman"/>
                  <w:i/>
                  <w:snapToGrid w:val="0"/>
                </w:rPr>
                <w:t xml:space="preserve">Civil Liability Legislation Amendment (Child Sexual Abuse Actions) Act 2018 </w:t>
              </w:r>
              <w:r>
                <w:rPr>
                  <w:rFonts w:ascii="Times New Roman" w:hAnsi="Times New Roman"/>
                  <w:snapToGrid w:val="0"/>
                </w:rPr>
                <w:t>Pt. 4</w:t>
              </w:r>
            </w:ins>
          </w:p>
        </w:tc>
        <w:tc>
          <w:tcPr>
            <w:tcW w:w="1134" w:type="dxa"/>
            <w:tcBorders>
              <w:bottom w:val="single" w:sz="4" w:space="0" w:color="auto"/>
            </w:tcBorders>
          </w:tcPr>
          <w:p>
            <w:pPr>
              <w:pStyle w:val="nTable"/>
              <w:spacing w:after="40"/>
              <w:rPr>
                <w:ins w:id="569" w:author="svcMRProcess" w:date="2019-01-22T12:29:00Z"/>
                <w:rFonts w:ascii="Times New Roman" w:hAnsi="Times New Roman"/>
              </w:rPr>
            </w:pPr>
            <w:ins w:id="570" w:author="svcMRProcess" w:date="2019-01-22T12:29:00Z">
              <w:r>
                <w:rPr>
                  <w:rFonts w:ascii="Times New Roman" w:hAnsi="Times New Roman"/>
                </w:rPr>
                <w:t>3 of 2018</w:t>
              </w:r>
            </w:ins>
          </w:p>
        </w:tc>
        <w:tc>
          <w:tcPr>
            <w:tcW w:w="1134" w:type="dxa"/>
            <w:tcBorders>
              <w:bottom w:val="single" w:sz="4" w:space="0" w:color="auto"/>
            </w:tcBorders>
          </w:tcPr>
          <w:p>
            <w:pPr>
              <w:pStyle w:val="nTable"/>
              <w:spacing w:after="40"/>
              <w:rPr>
                <w:ins w:id="571" w:author="svcMRProcess" w:date="2019-01-22T12:29:00Z"/>
                <w:rFonts w:ascii="Times New Roman" w:hAnsi="Times New Roman"/>
              </w:rPr>
            </w:pPr>
            <w:ins w:id="572" w:author="svcMRProcess" w:date="2019-01-22T12:29:00Z">
              <w:r>
                <w:rPr>
                  <w:rFonts w:ascii="Times New Roman" w:hAnsi="Times New Roman"/>
                </w:rPr>
                <w:t>19 Apr 2018</w:t>
              </w:r>
            </w:ins>
          </w:p>
        </w:tc>
        <w:tc>
          <w:tcPr>
            <w:tcW w:w="2552" w:type="dxa"/>
            <w:tcBorders>
              <w:bottom w:val="single" w:sz="4" w:space="0" w:color="auto"/>
            </w:tcBorders>
          </w:tcPr>
          <w:p>
            <w:pPr>
              <w:pStyle w:val="nTable"/>
              <w:spacing w:after="40"/>
              <w:rPr>
                <w:ins w:id="573" w:author="svcMRProcess" w:date="2019-01-22T12:29:00Z"/>
                <w:rFonts w:ascii="Times New Roman" w:hAnsi="Times New Roman"/>
              </w:rPr>
            </w:pPr>
            <w:ins w:id="574" w:author="svcMRProcess" w:date="2019-01-22T12:29:00Z">
              <w:r>
                <w:rPr>
                  <w:rFonts w:ascii="Times New Roman" w:hAnsi="Times New Roman"/>
                  <w:color w:val="000000"/>
                </w:rPr>
                <w:t>1 Jul 2018</w:t>
              </w:r>
              <w:r>
                <w:rPr>
                  <w:rFonts w:ascii="Times New Roman" w:hAnsi="Times New Roman"/>
                </w:rPr>
                <w:t xml:space="preserve"> (see s. 2(b) and </w:t>
              </w:r>
              <w:r>
                <w:rPr>
                  <w:rFonts w:ascii="Times New Roman" w:hAnsi="Times New Roman"/>
                  <w:i/>
                </w:rPr>
                <w:t>Gazette</w:t>
              </w:r>
              <w:r>
                <w:rPr>
                  <w:rFonts w:ascii="Times New Roman" w:hAnsi="Times New Roman"/>
                </w:rPr>
                <w:t xml:space="preserve"> 29 Jun 2018 p. 2434)</w:t>
              </w:r>
            </w:ins>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6</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88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6</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5" w:name="Compilation"/>
    <w:bookmarkEnd w:id="5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6" w:name="Coversheet"/>
    <w:bookmarkEnd w:id="5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409258"/>
    <w:lvl w:ilvl="0">
      <w:start w:val="1"/>
      <w:numFmt w:val="decimal"/>
      <w:lvlText w:val="%1."/>
      <w:lvlJc w:val="left"/>
      <w:pPr>
        <w:tabs>
          <w:tab w:val="num" w:pos="1800"/>
        </w:tabs>
        <w:ind w:left="1800" w:hanging="360"/>
      </w:pPr>
    </w:lvl>
  </w:abstractNum>
  <w:abstractNum w:abstractNumId="1">
    <w:nsid w:val="FFFFFF7D"/>
    <w:multiLevelType w:val="singleLevel"/>
    <w:tmpl w:val="D2C6B56E"/>
    <w:lvl w:ilvl="0">
      <w:start w:val="1"/>
      <w:numFmt w:val="decimal"/>
      <w:lvlText w:val="%1."/>
      <w:lvlJc w:val="left"/>
      <w:pPr>
        <w:tabs>
          <w:tab w:val="num" w:pos="1440"/>
        </w:tabs>
        <w:ind w:left="1440" w:hanging="360"/>
      </w:pPr>
    </w:lvl>
  </w:abstractNum>
  <w:abstractNum w:abstractNumId="2">
    <w:nsid w:val="FFFFFF7E"/>
    <w:multiLevelType w:val="singleLevel"/>
    <w:tmpl w:val="AD88AC62"/>
    <w:lvl w:ilvl="0">
      <w:start w:val="1"/>
      <w:numFmt w:val="decimal"/>
      <w:lvlText w:val="%1."/>
      <w:lvlJc w:val="left"/>
      <w:pPr>
        <w:tabs>
          <w:tab w:val="num" w:pos="1080"/>
        </w:tabs>
        <w:ind w:left="1080" w:hanging="360"/>
      </w:pPr>
    </w:lvl>
  </w:abstractNum>
  <w:abstractNum w:abstractNumId="3">
    <w:nsid w:val="FFFFFF7F"/>
    <w:multiLevelType w:val="singleLevel"/>
    <w:tmpl w:val="79B4953C"/>
    <w:lvl w:ilvl="0">
      <w:start w:val="1"/>
      <w:numFmt w:val="decimal"/>
      <w:lvlText w:val="%1."/>
      <w:lvlJc w:val="left"/>
      <w:pPr>
        <w:tabs>
          <w:tab w:val="num" w:pos="720"/>
        </w:tabs>
        <w:ind w:left="720" w:hanging="360"/>
      </w:pPr>
    </w:lvl>
  </w:abstractNum>
  <w:abstractNum w:abstractNumId="4">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97CE004"/>
    <w:lvl w:ilvl="0">
      <w:start w:val="1"/>
      <w:numFmt w:val="decimal"/>
      <w:lvlText w:val="%1."/>
      <w:lvlJc w:val="left"/>
      <w:pPr>
        <w:tabs>
          <w:tab w:val="num" w:pos="360"/>
        </w:tabs>
        <w:ind w:left="360" w:hanging="360"/>
      </w:pPr>
    </w:lvl>
  </w:abstractNum>
  <w:abstractNum w:abstractNumId="9">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9091917"/>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 w:name="WAFER_20180629091917" w:val="RemoveTocBookmarks,RemoveUnusedBookmarks,RemoveLanguageTags,UsedStyles,ResetPageSize"/>
    <w:docVar w:name="WAFER_20180629091917_GUID" w:val="7fb3f22b-a83d-45d5-97af-ca4253f9bf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12900</Words>
  <Characters>59985</Characters>
  <Application>Microsoft Office Word</Application>
  <DocSecurity>0</DocSecurity>
  <Lines>1578</Lines>
  <Paragraphs>809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72076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00-b0-01 - 00-c0-01</dc:title>
  <dc:subject/>
  <dc:creator/>
  <cp:keywords/>
  <dc:description/>
  <cp:lastModifiedBy>svcMRProcess</cp:lastModifiedBy>
  <cp:revision>2</cp:revision>
  <cp:lastPrinted>2005-11-15T11:52:00Z</cp:lastPrinted>
  <dcterms:created xsi:type="dcterms:W3CDTF">2019-01-22T04:29:00Z</dcterms:created>
  <dcterms:modified xsi:type="dcterms:W3CDTF">2019-01-22T04:30:00Z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CommencementDate">
    <vt:lpwstr>20180701</vt:lpwstr>
  </property>
  <property fmtid="{D5CDD505-2E9C-101B-9397-08002B2CF9AE}" pid="6" name="FromSuffix">
    <vt:lpwstr>00-b0-01</vt:lpwstr>
  </property>
  <property fmtid="{D5CDD505-2E9C-101B-9397-08002B2CF9AE}" pid="7" name="FromAsAtDate">
    <vt:lpwstr>19 Apr 2018</vt:lpwstr>
  </property>
  <property fmtid="{D5CDD505-2E9C-101B-9397-08002B2CF9AE}" pid="8" name="ToSuffix">
    <vt:lpwstr>00-c0-01</vt:lpwstr>
  </property>
  <property fmtid="{D5CDD505-2E9C-101B-9397-08002B2CF9AE}" pid="9" name="ToAsAtDate">
    <vt:lpwstr>01 Jul 2018</vt:lpwstr>
  </property>
</Properties>
</file>