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03-l0-01</w:t>
      </w:r>
      <w:r>
        <w:fldChar w:fldCharType="end"/>
      </w:r>
      <w:r>
        <w:t>] and [</w:t>
      </w:r>
      <w:r>
        <w:fldChar w:fldCharType="begin"/>
      </w:r>
      <w:r>
        <w:instrText xml:space="preserve"> DocProperty ToAsAtDate</w:instrText>
      </w:r>
      <w:r>
        <w:fldChar w:fldCharType="separate"/>
      </w:r>
      <w:r>
        <w:t>21 Jul 2018</w:t>
      </w:r>
      <w:r>
        <w:fldChar w:fldCharType="end"/>
      </w:r>
      <w:r>
        <w:t xml:space="preserve">, </w:t>
      </w:r>
      <w:r>
        <w:fldChar w:fldCharType="begin"/>
      </w:r>
      <w:r>
        <w:instrText xml:space="preserve"> DocProperty ToSuffix</w:instrText>
      </w:r>
      <w:r>
        <w:fldChar w:fldCharType="separate"/>
      </w:r>
      <w:r>
        <w:t>03-m0-00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519769588"/>
      <w:bookmarkStart w:id="2" w:name="_Toc517865409"/>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519769589"/>
      <w:bookmarkStart w:id="5" w:name="_Toc517865410"/>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519769590"/>
      <w:bookmarkStart w:id="7" w:name="_Toc517865411"/>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w:t>
      </w:r>
      <w:r>
        <w:lastRenderedPageBreak/>
        <w:t>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8" w:name="_Toc519769591"/>
      <w:bookmarkStart w:id="9" w:name="_Toc517865412"/>
      <w:r>
        <w:rPr>
          <w:rStyle w:val="CharSectno"/>
        </w:rPr>
        <w:t>4</w:t>
      </w:r>
      <w:r>
        <w:rPr>
          <w:snapToGrid w:val="0"/>
        </w:rPr>
        <w:t>.</w:t>
      </w:r>
      <w:r>
        <w:rPr>
          <w:snapToGrid w:val="0"/>
        </w:rPr>
        <w:tab/>
        <w:t>Fees to be charged</w:t>
      </w:r>
      <w:bookmarkEnd w:id="8"/>
      <w:bookmarkEnd w:id="9"/>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10" w:name="_Toc519769592"/>
      <w:bookmarkStart w:id="11" w:name="_Toc517865413"/>
      <w:r>
        <w:rPr>
          <w:rStyle w:val="CharSectno"/>
        </w:rPr>
        <w:t>4A</w:t>
      </w:r>
      <w:r>
        <w:t>.</w:t>
      </w:r>
      <w:r>
        <w:tab/>
        <w:t>Fees for small businesses and non</w:t>
      </w:r>
      <w:r>
        <w:noBreakHyphen/>
        <w:t>profit associations</w:t>
      </w:r>
      <w:bookmarkEnd w:id="10"/>
      <w:bookmarkEnd w:id="11"/>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12" w:name="_Toc519769593"/>
      <w:bookmarkStart w:id="13" w:name="_Toc517865414"/>
      <w:r>
        <w:rPr>
          <w:rStyle w:val="CharSectno"/>
        </w:rPr>
        <w:t>5</w:t>
      </w:r>
      <w:r>
        <w:rPr>
          <w:snapToGrid w:val="0"/>
        </w:rPr>
        <w:t>.</w:t>
      </w:r>
      <w:r>
        <w:rPr>
          <w:snapToGrid w:val="0"/>
        </w:rPr>
        <w:tab/>
        <w:t>Exemptions</w:t>
      </w:r>
      <w:bookmarkEnd w:id="12"/>
      <w:bookmarkEnd w:id="13"/>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14" w:name="_Toc519769594"/>
      <w:bookmarkStart w:id="15" w:name="_Toc517865415"/>
      <w:r>
        <w:t>5A.</w:t>
      </w:r>
      <w:r>
        <w:tab/>
        <w:t>Disputes regarding fees</w:t>
      </w:r>
      <w:bookmarkEnd w:id="14"/>
      <w:bookmarkEnd w:id="15"/>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6" w:name="_Toc519769595"/>
      <w:bookmarkStart w:id="17" w:name="_Toc517865416"/>
      <w:r>
        <w:rPr>
          <w:rStyle w:val="CharSectno"/>
        </w:rPr>
        <w:t>6</w:t>
      </w:r>
      <w:r>
        <w:rPr>
          <w:snapToGrid w:val="0"/>
        </w:rPr>
        <w:t>.</w:t>
      </w:r>
      <w:r>
        <w:rPr>
          <w:snapToGrid w:val="0"/>
        </w:rPr>
        <w:tab/>
      </w:r>
      <w:r>
        <w:rPr>
          <w:rStyle w:val="CharSectno"/>
        </w:rPr>
        <w:t>F</w:t>
      </w:r>
      <w:r>
        <w:rPr>
          <w:snapToGrid w:val="0"/>
        </w:rPr>
        <w:t>ees to be paid before documents etc. filed</w:t>
      </w:r>
      <w:bookmarkEnd w:id="16"/>
      <w:bookmarkEnd w:id="17"/>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8" w:name="_Toc519769596"/>
      <w:bookmarkStart w:id="19" w:name="_Toc517865417"/>
      <w:r>
        <w:rPr>
          <w:rStyle w:val="CharSectno"/>
        </w:rPr>
        <w:t>7</w:t>
      </w:r>
      <w:r>
        <w:t>.</w:t>
      </w:r>
      <w:r>
        <w:tab/>
        <w:t>Who is an eligible individual or eligible entity</w:t>
      </w:r>
      <w:bookmarkEnd w:id="18"/>
      <w:bookmarkEnd w:id="19"/>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del w:id="20" w:author="Master Repository Process" w:date="2021-08-01T05:40:00Z">
        <w:r>
          <w:delText>)(b</w:delText>
        </w:r>
      </w:del>
      <w:r>
        <w:t>).</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del w:id="21" w:author="Master Repository Process" w:date="2021-08-01T05:40:00Z">
        <w:r>
          <w:delText>)(b</w:delText>
        </w:r>
      </w:del>
      <w:r>
        <w:t>).</w:t>
      </w:r>
    </w:p>
    <w:p>
      <w:pPr>
        <w:pStyle w:val="Footnotesection"/>
      </w:pPr>
      <w:r>
        <w:tab/>
        <w:t>[Regulation 7 inserted in Gazette 14 Jun 2016 p. 1883</w:t>
      </w:r>
      <w:r>
        <w:noBreakHyphen/>
        <w:t>4</w:t>
      </w:r>
      <w:ins w:id="22" w:author="Master Repository Process" w:date="2021-08-01T05:40:00Z">
        <w:r>
          <w:t>; amended in Gazette 20 Jul 2018 p. 2624</w:t>
        </w:r>
        <w:r>
          <w:noBreakHyphen/>
          <w:t>5</w:t>
        </w:r>
      </w:ins>
      <w:r>
        <w:t>.]</w:t>
      </w:r>
    </w:p>
    <w:p>
      <w:pPr>
        <w:pStyle w:val="Heading5"/>
      </w:pPr>
      <w:bookmarkStart w:id="23" w:name="_Toc519769597"/>
      <w:bookmarkStart w:id="24" w:name="_Toc517865418"/>
      <w:r>
        <w:rPr>
          <w:rStyle w:val="CharSectno"/>
        </w:rPr>
        <w:t>8</w:t>
      </w:r>
      <w:r>
        <w:t>.</w:t>
      </w:r>
      <w:r>
        <w:tab/>
        <w:t>Application to be recognised as eligible individual or eligible entity</w:t>
      </w:r>
      <w:bookmarkEnd w:id="23"/>
      <w:bookmarkEnd w:id="24"/>
    </w:p>
    <w:p>
      <w:pPr>
        <w:pStyle w:val="Subsection"/>
      </w:pPr>
      <w:r>
        <w:tab/>
        <w:t>(1)</w:t>
      </w:r>
      <w:r>
        <w:tab/>
        <w:t xml:space="preserve">A person may apply for — </w:t>
      </w:r>
    </w:p>
    <w:p>
      <w:pPr>
        <w:pStyle w:val="Indenta"/>
      </w:pPr>
      <w:r>
        <w:tab/>
        <w:t>(a)</w:t>
      </w:r>
      <w:r>
        <w:tab/>
        <w:t>a direction under regulation 8A(1) that</w:t>
      </w:r>
      <w:del w:id="25" w:author="Master Repository Process" w:date="2021-08-01T05:40:00Z">
        <w:r>
          <w:delText xml:space="preserve"> the person is an eligible individual </w:delText>
        </w:r>
      </w:del>
      <w:ins w:id="26" w:author="Master Repository Process" w:date="2021-08-01T05:40:00Z">
        <w:r>
          <w:t xml:space="preserve">, </w:t>
        </w:r>
      </w:ins>
      <w:r>
        <w:t>in respect of a matter referred to in Schedule 1</w:t>
      </w:r>
      <w:del w:id="27" w:author="Master Repository Process" w:date="2021-08-01T05:40:00Z">
        <w:r>
          <w:delText>;</w:delText>
        </w:r>
      </w:del>
      <w:ins w:id="28" w:author="Master Repository Process" w:date="2021-08-01T05:40:00Z">
        <w:r>
          <w:t>, the person is an eligible individual described in regulation 7(2)(f);</w:t>
        </w:r>
      </w:ins>
      <w:r>
        <w:t xml:space="preserve"> or</w:t>
      </w:r>
    </w:p>
    <w:p>
      <w:pPr>
        <w:pStyle w:val="Indenta"/>
      </w:pPr>
      <w:r>
        <w:tab/>
        <w:t>(b)</w:t>
      </w:r>
      <w:r>
        <w:tab/>
        <w:t>a direction under regulation 8A(2) that</w:t>
      </w:r>
      <w:del w:id="29" w:author="Master Repository Process" w:date="2021-08-01T05:40:00Z">
        <w:r>
          <w:delText xml:space="preserve"> the person is an eligible entity </w:delText>
        </w:r>
      </w:del>
      <w:ins w:id="30" w:author="Master Repository Process" w:date="2021-08-01T05:40:00Z">
        <w:r>
          <w:t xml:space="preserve">, </w:t>
        </w:r>
      </w:ins>
      <w:r>
        <w:t>in respect of a matter referred to in Schedule 1</w:t>
      </w:r>
      <w:del w:id="31" w:author="Master Repository Process" w:date="2021-08-01T05:40:00Z">
        <w:r>
          <w:delText>.</w:delText>
        </w:r>
      </w:del>
      <w:ins w:id="32" w:author="Master Repository Process" w:date="2021-08-01T05:40:00Z">
        <w:r>
          <w:t>, the person is an eligible entity described in regulation 7(3)(b).</w:t>
        </w:r>
      </w:ins>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ins w:id="33" w:author="Master Repository Process" w:date="2021-08-01T05:40:00Z">
        <w:r>
          <w:t>; amended in Gazette 20 Jul 2018 p. 2625</w:t>
        </w:r>
      </w:ins>
      <w:r>
        <w:t>.]</w:t>
      </w:r>
    </w:p>
    <w:p>
      <w:pPr>
        <w:pStyle w:val="Heading5"/>
      </w:pPr>
      <w:bookmarkStart w:id="34" w:name="_Toc519769598"/>
      <w:bookmarkStart w:id="35" w:name="_Toc517865419"/>
      <w:r>
        <w:rPr>
          <w:rStyle w:val="CharSectno"/>
        </w:rPr>
        <w:t>8A</w:t>
      </w:r>
      <w:r>
        <w:t>.</w:t>
      </w:r>
      <w:r>
        <w:tab/>
        <w:t>Recognition as eligible individual or eligible entity</w:t>
      </w:r>
      <w:bookmarkEnd w:id="34"/>
      <w:bookmarkEnd w:id="35"/>
    </w:p>
    <w:p>
      <w:pPr>
        <w:pStyle w:val="Subsection"/>
        <w:rPr>
          <w:del w:id="36" w:author="Master Repository Process" w:date="2021-08-01T05:40:00Z"/>
        </w:rPr>
      </w:pPr>
      <w:r>
        <w:tab/>
        <w:t>(1)</w:t>
      </w:r>
      <w:r>
        <w:tab/>
      </w:r>
      <w:del w:id="37" w:author="Master Repository Process" w:date="2021-08-01T05:40:00Z">
        <w:r>
          <w:delText>The Court or a registrar may, on</w:delText>
        </w:r>
      </w:del>
      <w:ins w:id="38" w:author="Master Repository Process" w:date="2021-08-01T05:40:00Z">
        <w:r>
          <w:t>On</w:t>
        </w:r>
      </w:ins>
      <w:r>
        <w:t xml:space="preserve"> an application under regulation 8(1)(a)</w:t>
      </w:r>
      <w:del w:id="39" w:author="Master Repository Process" w:date="2021-08-01T05:40:00Z">
        <w:r>
          <w:delText xml:space="preserve"> — </w:delText>
        </w:r>
      </w:del>
    </w:p>
    <w:p>
      <w:pPr>
        <w:pStyle w:val="Indenta"/>
        <w:rPr>
          <w:del w:id="40" w:author="Master Repository Process" w:date="2021-08-01T05:40:00Z"/>
        </w:rPr>
      </w:pPr>
      <w:del w:id="41" w:author="Master Repository Process" w:date="2021-08-01T05:40:00Z">
        <w:r>
          <w:tab/>
          <w:delText>(a)</w:delText>
        </w:r>
        <w:r>
          <w:tab/>
          <w:delText>direct that a person is an eligible individual described in regulation 7(2)(a) to (e) in respect of</w:delText>
        </w:r>
      </w:del>
      <w:r>
        <w:t xml:space="preserve"> the </w:t>
      </w:r>
      <w:del w:id="42" w:author="Master Repository Process" w:date="2021-08-01T05:40:00Z">
        <w:r>
          <w:delText>matter if satisfied that the person meets one or more of the requirements set out in those paragraphs; or</w:delText>
        </w:r>
      </w:del>
    </w:p>
    <w:p>
      <w:pPr>
        <w:pStyle w:val="Subsection"/>
      </w:pPr>
      <w:del w:id="43" w:author="Master Repository Process" w:date="2021-08-01T05:40:00Z">
        <w:r>
          <w:tab/>
          <w:delText>(b)</w:delText>
        </w:r>
        <w:r>
          <w:tab/>
        </w:r>
      </w:del>
      <w:ins w:id="44" w:author="Master Repository Process" w:date="2021-08-01T05:40:00Z">
        <w:r>
          <w:t xml:space="preserve">Court or a registrar may </w:t>
        </w:r>
      </w:ins>
      <w:r>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w:t>
      </w:r>
      <w:del w:id="45" w:author="Master Repository Process" w:date="2021-08-01T05:40:00Z">
        <w:r>
          <w:delText>i</w:delText>
        </w:r>
      </w:del>
      <w:ins w:id="46" w:author="Master Repository Process" w:date="2021-08-01T05:40:00Z">
        <w:r>
          <w:t>a</w:t>
        </w:r>
      </w:ins>
      <w:r>
        <w:t>)</w:t>
      </w:r>
      <w:r>
        <w:tab/>
        <w:t>financial hardship;</w:t>
      </w:r>
    </w:p>
    <w:p>
      <w:pPr>
        <w:pStyle w:val="Indenta"/>
      </w:pPr>
      <w:r>
        <w:tab/>
        <w:t>(</w:t>
      </w:r>
      <w:del w:id="47" w:author="Master Repository Process" w:date="2021-08-01T05:40:00Z">
        <w:r>
          <w:delText>ii</w:delText>
        </w:r>
      </w:del>
      <w:ins w:id="48" w:author="Master Repository Process" w:date="2021-08-01T05:40:00Z">
        <w:r>
          <w:t>b</w:t>
        </w:r>
      </w:ins>
      <w:r>
        <w:t>)</w:t>
      </w:r>
      <w:r>
        <w:tab/>
        <w:t>the interests of justice.</w:t>
      </w:r>
    </w:p>
    <w:p>
      <w:pPr>
        <w:pStyle w:val="Subsection"/>
        <w:rPr>
          <w:del w:id="49" w:author="Master Repository Process" w:date="2021-08-01T05:40:00Z"/>
        </w:rPr>
      </w:pPr>
      <w:r>
        <w:tab/>
        <w:t>(2)</w:t>
      </w:r>
      <w:r>
        <w:tab/>
      </w:r>
      <w:del w:id="50" w:author="Master Repository Process" w:date="2021-08-01T05:40:00Z">
        <w:r>
          <w:delText>The Court or a registrar may, on</w:delText>
        </w:r>
      </w:del>
      <w:ins w:id="51" w:author="Master Repository Process" w:date="2021-08-01T05:40:00Z">
        <w:r>
          <w:t>On</w:t>
        </w:r>
      </w:ins>
      <w:r>
        <w:t xml:space="preserve"> an application under regulation 8(1)(b)</w:t>
      </w:r>
      <w:del w:id="52" w:author="Master Repository Process" w:date="2021-08-01T05:40:00Z">
        <w:r>
          <w:delText xml:space="preserve"> — </w:delText>
        </w:r>
      </w:del>
    </w:p>
    <w:p>
      <w:pPr>
        <w:pStyle w:val="Indenta"/>
        <w:rPr>
          <w:del w:id="53" w:author="Master Repository Process" w:date="2021-08-01T05:40:00Z"/>
        </w:rPr>
      </w:pPr>
      <w:del w:id="54" w:author="Master Repository Process" w:date="2021-08-01T05:40:00Z">
        <w:r>
          <w:tab/>
          <w:delText>(a)</w:delText>
        </w:r>
        <w:r>
          <w:tab/>
          <w:delText>direct that a person is an eligible entity described in regulation 7(3)(a) in respect of</w:delText>
        </w:r>
      </w:del>
      <w:r>
        <w:t xml:space="preserve"> the </w:t>
      </w:r>
      <w:del w:id="55" w:author="Master Repository Process" w:date="2021-08-01T05:40:00Z">
        <w:r>
          <w:delText>matter if satisfied that the person meets the requirements set out in that paragraph; or</w:delText>
        </w:r>
      </w:del>
    </w:p>
    <w:p>
      <w:pPr>
        <w:pStyle w:val="Subsection"/>
      </w:pPr>
      <w:del w:id="56" w:author="Master Repository Process" w:date="2021-08-01T05:40:00Z">
        <w:r>
          <w:tab/>
          <w:delText>(b)</w:delText>
        </w:r>
        <w:r>
          <w:tab/>
        </w:r>
      </w:del>
      <w:ins w:id="57" w:author="Master Repository Process" w:date="2021-08-01T05:40:00Z">
        <w:r>
          <w:t xml:space="preserve">Court or a registrar may </w:t>
        </w:r>
      </w:ins>
      <w:r>
        <w:t xml:space="preserve">direct that a person is an eligible entity described in regulation 7(3)(b) if satisfied that the person should be required to pay only </w:t>
      </w:r>
      <w:del w:id="58" w:author="Master Repository Process" w:date="2021-08-01T05:40:00Z">
        <w:r>
          <w:delText>the</w:delText>
        </w:r>
      </w:del>
      <w:ins w:id="59" w:author="Master Repository Process" w:date="2021-08-01T05:40:00Z">
        <w:r>
          <w:t>an</w:t>
        </w:r>
      </w:ins>
      <w:r>
        <w:t xml:space="preserve"> eligible entity fee in respect of the matter for either, or both, of the following reasons — </w:t>
      </w:r>
    </w:p>
    <w:p>
      <w:pPr>
        <w:pStyle w:val="Indenta"/>
      </w:pPr>
      <w:r>
        <w:tab/>
        <w:t>(</w:t>
      </w:r>
      <w:del w:id="60" w:author="Master Repository Process" w:date="2021-08-01T05:40:00Z">
        <w:r>
          <w:delText>i</w:delText>
        </w:r>
      </w:del>
      <w:ins w:id="61" w:author="Master Repository Process" w:date="2021-08-01T05:40:00Z">
        <w:r>
          <w:t>a</w:t>
        </w:r>
      </w:ins>
      <w:r>
        <w:t>)</w:t>
      </w:r>
      <w:r>
        <w:tab/>
        <w:t>financial hardship;</w:t>
      </w:r>
    </w:p>
    <w:p>
      <w:pPr>
        <w:pStyle w:val="Indenta"/>
      </w:pPr>
      <w:r>
        <w:tab/>
        <w:t>(</w:t>
      </w:r>
      <w:del w:id="62" w:author="Master Repository Process" w:date="2021-08-01T05:40:00Z">
        <w:r>
          <w:delText>ii</w:delText>
        </w:r>
      </w:del>
      <w:ins w:id="63" w:author="Master Repository Process" w:date="2021-08-01T05:40:00Z">
        <w:r>
          <w:t>b</w:t>
        </w:r>
      </w:ins>
      <w:r>
        <w:t>)</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ins w:id="64" w:author="Master Repository Process" w:date="2021-08-01T05:40:00Z">
        <w:r>
          <w:t>; amended in Gazette 20 Jul 2018 p. 2625</w:t>
        </w:r>
      </w:ins>
      <w:r>
        <w:t>.]</w:t>
      </w:r>
    </w:p>
    <w:p>
      <w:pPr>
        <w:pStyle w:val="Heading5"/>
      </w:pPr>
      <w:bookmarkStart w:id="65" w:name="_Toc519769599"/>
      <w:bookmarkStart w:id="66" w:name="_Toc517865420"/>
      <w:r>
        <w:rPr>
          <w:rStyle w:val="CharSectno"/>
        </w:rPr>
        <w:t>8B</w:t>
      </w:r>
      <w:r>
        <w:t>.</w:t>
      </w:r>
      <w:r>
        <w:tab/>
        <w:t>False or misleading statements</w:t>
      </w:r>
      <w:bookmarkEnd w:id="65"/>
      <w:bookmarkEnd w:id="66"/>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67" w:name="_Toc519769600"/>
      <w:bookmarkStart w:id="68" w:name="_Toc517865421"/>
      <w:r>
        <w:rPr>
          <w:rStyle w:val="CharSectno"/>
        </w:rPr>
        <w:t>8C</w:t>
      </w:r>
      <w:r>
        <w:t>.</w:t>
      </w:r>
      <w:r>
        <w:tab/>
        <w:t>Refunds</w:t>
      </w:r>
      <w:bookmarkEnd w:id="67"/>
      <w:bookmarkEnd w:id="68"/>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69" w:name="_Toc519769601"/>
      <w:bookmarkStart w:id="70" w:name="_Toc517865422"/>
      <w:r>
        <w:rPr>
          <w:rStyle w:val="CharSectno"/>
        </w:rPr>
        <w:t>8D</w:t>
      </w:r>
      <w:r>
        <w:t>.</w:t>
      </w:r>
      <w:r>
        <w:tab/>
        <w:t>Waiving fee for copy of document or transcript</w:t>
      </w:r>
      <w:bookmarkEnd w:id="69"/>
      <w:bookmarkEnd w:id="70"/>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pPr>
      <w:bookmarkStart w:id="71" w:name="_Toc519769602"/>
      <w:bookmarkStart w:id="72" w:name="_Toc517865423"/>
      <w:r>
        <w:rPr>
          <w:rStyle w:val="CharSectno"/>
        </w:rPr>
        <w:t>8E</w:t>
      </w:r>
      <w:r>
        <w:t>.</w:t>
      </w:r>
      <w:r>
        <w:tab/>
        <w:t>Conventions</w:t>
      </w:r>
      <w:bookmarkEnd w:id="71"/>
      <w:bookmarkEnd w:id="72"/>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in Gazette 14 Jul 2017 p. 3949.]</w:t>
      </w:r>
    </w:p>
    <w:p>
      <w:pPr>
        <w:pStyle w:val="Heading5"/>
      </w:pPr>
      <w:bookmarkStart w:id="73" w:name="_Toc519769603"/>
      <w:bookmarkStart w:id="74" w:name="_Toc517865424"/>
      <w:r>
        <w:rPr>
          <w:rStyle w:val="CharSectno"/>
        </w:rPr>
        <w:t>9</w:t>
      </w:r>
      <w:r>
        <w:t>.</w:t>
      </w:r>
      <w:r>
        <w:tab/>
        <w:t>Allocation of hearing date — Schedule 1 item 6</w:t>
      </w:r>
      <w:bookmarkEnd w:id="73"/>
      <w:bookmarkEnd w:id="74"/>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 xml:space="preserve">The proceeding is not to be listed for hearing until the fee has been paid or has been </w:t>
      </w:r>
      <w:del w:id="75" w:author="Master Repository Process" w:date="2021-08-01T05:40:00Z">
        <w:r>
          <w:delText xml:space="preserve">waived or </w:delText>
        </w:r>
      </w:del>
      <w:r>
        <w:t>deferred under regulation </w:t>
      </w:r>
      <w:del w:id="76" w:author="Master Repository Process" w:date="2021-08-01T05:40:00Z">
        <w:r>
          <w:delText>8A.</w:delText>
        </w:r>
      </w:del>
      <w:ins w:id="77" w:author="Master Repository Process" w:date="2021-08-01T05:40:00Z">
        <w:r>
          <w:t>6(2).</w:t>
        </w:r>
      </w:ins>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 14 Jul 2017 p. 3950</w:t>
      </w:r>
      <w:ins w:id="78" w:author="Master Repository Process" w:date="2021-08-01T05:40:00Z">
        <w:r>
          <w:t>; 20 Jul 2018 p. 2626</w:t>
        </w:r>
      </w:ins>
      <w:r>
        <w:t>.]</w:t>
      </w:r>
    </w:p>
    <w:p>
      <w:pPr>
        <w:pStyle w:val="Heading5"/>
      </w:pPr>
      <w:bookmarkStart w:id="79" w:name="_Toc519769604"/>
      <w:bookmarkStart w:id="80" w:name="_Toc517865425"/>
      <w:r>
        <w:rPr>
          <w:rStyle w:val="CharSectno"/>
        </w:rPr>
        <w:t>10</w:t>
      </w:r>
      <w:r>
        <w:t>.</w:t>
      </w:r>
      <w:r>
        <w:tab/>
        <w:t>Schedule 1 item 7 fee</w:t>
      </w:r>
      <w:bookmarkEnd w:id="79"/>
      <w:bookmarkEnd w:id="80"/>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81" w:name="_Toc519769605"/>
      <w:bookmarkStart w:id="82" w:name="_Toc517865426"/>
      <w:r>
        <w:t>11.</w:t>
      </w:r>
      <w:r>
        <w:tab/>
        <w:t>Recovery of unpaid fees</w:t>
      </w:r>
      <w:bookmarkEnd w:id="81"/>
      <w:bookmarkEnd w:id="82"/>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83" w:name="_Toc519769606"/>
      <w:bookmarkStart w:id="84" w:name="_Toc517865427"/>
      <w:r>
        <w:t>11A.</w:t>
      </w:r>
      <w:r>
        <w:tab/>
        <w:t>Searchable information</w:t>
      </w:r>
      <w:bookmarkEnd w:id="83"/>
      <w:bookmarkEnd w:id="84"/>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85" w:name="_Toc519769607"/>
      <w:bookmarkStart w:id="86" w:name="_Toc517865428"/>
      <w:r>
        <w:rPr>
          <w:rStyle w:val="CharSectno"/>
        </w:rPr>
        <w:t>12</w:t>
      </w:r>
      <w:r>
        <w:t>.</w:t>
      </w:r>
      <w:r>
        <w:tab/>
        <w:t>Transitional</w:t>
      </w:r>
      <w:bookmarkEnd w:id="85"/>
      <w:bookmarkEnd w:id="86"/>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87" w:name="_Toc519769608"/>
      <w:bookmarkStart w:id="88" w:name="_Toc514321219"/>
      <w:bookmarkStart w:id="89" w:name="_Toc514321284"/>
      <w:bookmarkStart w:id="90" w:name="_Toc514330278"/>
      <w:bookmarkStart w:id="91" w:name="_Toc514334943"/>
      <w:bookmarkStart w:id="92" w:name="_Toc514336292"/>
      <w:bookmarkStart w:id="93" w:name="_Toc514336494"/>
      <w:bookmarkStart w:id="94" w:name="_Toc514414468"/>
      <w:bookmarkStart w:id="95" w:name="_Toc514414533"/>
      <w:bookmarkStart w:id="96" w:name="_Toc514657443"/>
      <w:bookmarkStart w:id="97" w:name="_Toc514666264"/>
      <w:bookmarkStart w:id="98" w:name="_Toc517777765"/>
      <w:bookmarkStart w:id="99" w:name="_Toc517788731"/>
      <w:bookmarkStart w:id="100" w:name="_Toc517865429"/>
      <w:r>
        <w:rPr>
          <w:rStyle w:val="CharSchNo"/>
        </w:rPr>
        <w:t>Schedule 1</w:t>
      </w:r>
      <w:r>
        <w:rPr>
          <w:rStyle w:val="CharSDivNo"/>
        </w:rPr>
        <w:t> </w:t>
      </w:r>
      <w:r>
        <w:t>—</w:t>
      </w:r>
      <w:r>
        <w:rPr>
          <w:rStyle w:val="CharSDivText"/>
        </w:rPr>
        <w:t> </w:t>
      </w:r>
      <w:r>
        <w:rPr>
          <w:rStyle w:val="CharSchText"/>
        </w:rPr>
        <w:t>Registry fees</w:t>
      </w:r>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yShoulderClause"/>
      </w:pPr>
      <w:r>
        <w:t>[r. 4]</w:t>
      </w:r>
    </w:p>
    <w:p>
      <w:pPr>
        <w:pStyle w:val="yFootnoteheading"/>
      </w:pPr>
      <w:r>
        <w:tab/>
        <w:t>[Heading inserted in Gazette 15 Jun 2018 p. 1986.]</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jc w:val="center"/>
            </w:pPr>
            <w:r>
              <w:rPr>
                <w:b/>
              </w:rPr>
              <w:t>Item</w:t>
            </w:r>
          </w:p>
        </w:tc>
        <w:tc>
          <w:tcPr>
            <w:tcW w:w="2588" w:type="dxa"/>
            <w:tcBorders>
              <w:top w:val="single" w:sz="4" w:space="0" w:color="auto"/>
              <w:bottom w:val="single" w:sz="4" w:space="0" w:color="auto"/>
            </w:tcBorders>
          </w:tcPr>
          <w:p>
            <w:pPr>
              <w:pStyle w:val="yTableNAm"/>
              <w:jc w:val="center"/>
            </w:pPr>
            <w:r>
              <w:rPr>
                <w:b/>
              </w:rPr>
              <w:t>Matter</w:t>
            </w:r>
          </w:p>
        </w:tc>
        <w:tc>
          <w:tcPr>
            <w:tcW w:w="1275" w:type="dxa"/>
            <w:tcBorders>
              <w:top w:val="single" w:sz="4" w:space="0" w:color="auto"/>
              <w:bottom w:val="single" w:sz="4" w:space="0" w:color="auto"/>
            </w:tcBorders>
          </w:tcPr>
          <w:p>
            <w:pPr>
              <w:pStyle w:val="yTableNAm"/>
              <w:jc w:val="center"/>
            </w:pPr>
            <w:r>
              <w:rPr>
                <w:b/>
              </w:rPr>
              <w:t>Column A</w:t>
            </w:r>
          </w:p>
          <w:p>
            <w:pPr>
              <w:pStyle w:val="yTableNAm"/>
              <w:jc w:val="center"/>
            </w:pPr>
            <w:r>
              <w:t>Fee for individual or eligible entity</w:t>
            </w:r>
            <w:r>
              <w:br/>
              <w:t>$</w:t>
            </w:r>
          </w:p>
        </w:tc>
        <w:tc>
          <w:tcPr>
            <w:tcW w:w="1276" w:type="dxa"/>
            <w:tcBorders>
              <w:top w:val="single" w:sz="4" w:space="0" w:color="auto"/>
              <w:bottom w:val="single" w:sz="4" w:space="0" w:color="auto"/>
            </w:tcBorders>
          </w:tcPr>
          <w:p>
            <w:pPr>
              <w:pStyle w:val="yTableNAm"/>
              <w:jc w:val="center"/>
            </w:pPr>
            <w:r>
              <w:rPr>
                <w:b/>
              </w:rPr>
              <w:t>Column B</w:t>
            </w:r>
          </w:p>
          <w:p>
            <w:pPr>
              <w:pStyle w:val="yTableNAm"/>
              <w:jc w:val="center"/>
            </w:pPr>
            <w:r>
              <w:t>Fee for entity</w:t>
            </w:r>
            <w:r>
              <w:br/>
            </w:r>
            <w:r>
              <w:br/>
            </w:r>
            <w:r>
              <w:br/>
              <w:t>$</w:t>
            </w:r>
          </w:p>
        </w:tc>
        <w:tc>
          <w:tcPr>
            <w:tcW w:w="1276" w:type="dxa"/>
            <w:tcBorders>
              <w:top w:val="single" w:sz="4" w:space="0" w:color="auto"/>
              <w:bottom w:val="single" w:sz="4" w:space="0" w:color="auto"/>
            </w:tcBorders>
          </w:tcPr>
          <w:p>
            <w:pPr>
              <w:pStyle w:val="yTableNAm"/>
              <w:jc w:val="center"/>
            </w:pPr>
            <w:r>
              <w:rPr>
                <w:b/>
              </w:rPr>
              <w:t>Column C</w:t>
            </w:r>
          </w:p>
          <w:p>
            <w:pPr>
              <w:pStyle w:val="yTableNAm"/>
              <w:jc w:val="center"/>
            </w:pPr>
            <w:r>
              <w:t>Fee for eligible individual</w:t>
            </w:r>
            <w:r>
              <w:br/>
            </w:r>
            <w:r>
              <w:br/>
              <w:t>$</w:t>
            </w:r>
          </w:p>
        </w:tc>
      </w:tr>
      <w:tr>
        <w:trPr>
          <w:cantSplit/>
        </w:trPr>
        <w:tc>
          <w:tcPr>
            <w:tcW w:w="673" w:type="dxa"/>
            <w:tcBorders>
              <w:top w:val="single" w:sz="4" w:space="0" w:color="auto"/>
            </w:tcBorders>
          </w:tcPr>
          <w:p>
            <w:pPr>
              <w:pStyle w:val="yTableNAm"/>
            </w:pPr>
            <w:r>
              <w:rPr>
                <w:szCs w:val="22"/>
              </w:rPr>
              <w:t>1.</w:t>
            </w:r>
          </w:p>
        </w:tc>
        <w:tc>
          <w:tcPr>
            <w:tcW w:w="2588" w:type="dxa"/>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877.00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1 711.00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tcPr>
          <w:p>
            <w:pPr>
              <w:pStyle w:val="yTableNAm"/>
            </w:pPr>
            <w:r>
              <w:br/>
            </w:r>
            <w:r>
              <w:br/>
            </w:r>
            <w:r>
              <w:br/>
            </w:r>
            <w:r>
              <w:br/>
            </w:r>
            <w:r>
              <w:br/>
              <w:t>211.00</w:t>
            </w:r>
          </w:p>
        </w:tc>
        <w:tc>
          <w:tcPr>
            <w:tcW w:w="1276" w:type="dxa"/>
          </w:tcPr>
          <w:p>
            <w:pPr>
              <w:pStyle w:val="yTableNAm"/>
            </w:pPr>
            <w:r>
              <w:rPr>
                <w:szCs w:val="22"/>
              </w:rPr>
              <w:br/>
            </w:r>
            <w:r>
              <w:rPr>
                <w:szCs w:val="22"/>
              </w:rPr>
              <w:br/>
            </w: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r>
            <w:r>
              <w:rPr>
                <w:szCs w:val="22"/>
              </w:rPr>
              <w:br/>
            </w:r>
            <w:r>
              <w:rPr>
                <w:szCs w:val="22"/>
              </w:rPr>
              <w:br/>
              <w:t>63.50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tcPr>
          <w:p>
            <w:pPr>
              <w:pStyle w:val="yTableNAm"/>
            </w:pPr>
            <w:r>
              <w:br/>
            </w:r>
            <w:r>
              <w:br/>
            </w:r>
            <w:r>
              <w:br/>
              <w:t>128.00</w:t>
            </w:r>
          </w:p>
        </w:tc>
        <w:tc>
          <w:tcPr>
            <w:tcW w:w="1276" w:type="dxa"/>
          </w:tcPr>
          <w:p>
            <w:pPr>
              <w:pStyle w:val="yTableNAm"/>
            </w:pP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t>38.40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a counterclaim</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(b)</w:t>
            </w:r>
            <w:r>
              <w:rPr>
                <w:szCs w:val="22"/>
              </w:rPr>
              <w:tab/>
              <w:t xml:space="preserve">a third party notice </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(c)</w:t>
            </w:r>
            <w:r>
              <w:rPr>
                <w:szCs w:val="22"/>
              </w:rPr>
              <w:tab/>
              <w:t>an application — </w:t>
            </w:r>
          </w:p>
          <w:p>
            <w:pPr>
              <w:pStyle w:val="yTableNAm"/>
              <w:ind w:left="1062" w:hanging="1062"/>
            </w:pPr>
            <w:r>
              <w:tab/>
              <w:t>(i)</w:t>
            </w:r>
            <w:r>
              <w:tab/>
              <w:t>to extend a period of time fixed by law, including an application to extend time before proceedings are commenced</w:t>
            </w:r>
          </w:p>
        </w:tc>
        <w:tc>
          <w:tcPr>
            <w:tcW w:w="1275" w:type="dxa"/>
          </w:tcPr>
          <w:p>
            <w:pPr>
              <w:pStyle w:val="yTableNAm"/>
            </w:pPr>
          </w:p>
          <w:p>
            <w:pPr>
              <w:pStyle w:val="yTableNAm"/>
            </w:pPr>
            <w:r>
              <w:br/>
            </w:r>
            <w:r>
              <w:br/>
            </w:r>
            <w:r>
              <w:br/>
            </w:r>
            <w:r>
              <w:br/>
            </w:r>
            <w:r>
              <w:br/>
            </w:r>
            <w:r>
              <w:br/>
            </w:r>
            <w:r>
              <w:br/>
            </w:r>
            <w:r>
              <w:br/>
            </w:r>
            <w:r>
              <w:br/>
              <w:t>330.00</w:t>
            </w:r>
          </w:p>
        </w:tc>
        <w:tc>
          <w:tcPr>
            <w:tcW w:w="1276" w:type="dxa"/>
          </w:tcPr>
          <w:p>
            <w:pPr>
              <w:pStyle w:val="yTableNAm"/>
            </w:pPr>
          </w:p>
          <w:p>
            <w:pPr>
              <w:pStyle w:val="yTableNAm"/>
            </w:pPr>
            <w:r>
              <w:br/>
            </w:r>
            <w:r>
              <w:br/>
            </w:r>
            <w:r>
              <w:br/>
            </w:r>
            <w:r>
              <w:br/>
            </w:r>
            <w:r>
              <w:br/>
            </w:r>
            <w:r>
              <w:br/>
            </w:r>
            <w:r>
              <w:br/>
            </w:r>
            <w:r>
              <w:br/>
            </w:r>
            <w:r>
              <w:br/>
              <w:t>569.00</w:t>
            </w:r>
          </w:p>
        </w:tc>
        <w:tc>
          <w:tcPr>
            <w:tcW w:w="1276" w:type="dxa"/>
          </w:tcPr>
          <w:p>
            <w:pPr>
              <w:pStyle w:val="yTableNAm"/>
            </w:pPr>
          </w:p>
          <w:p>
            <w:pPr>
              <w:pStyle w:val="yTableNAm"/>
            </w:pPr>
            <w:r>
              <w:br/>
            </w:r>
            <w:r>
              <w:br/>
            </w:r>
            <w:r>
              <w:br/>
            </w:r>
            <w:r>
              <w:br/>
            </w:r>
            <w:r>
              <w:br/>
            </w: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to </w:t>
            </w:r>
            <w:r>
              <w:t>limit</w:t>
            </w:r>
            <w:r>
              <w:rPr>
                <w:szCs w:val="22"/>
              </w:rPr>
              <w:t xml:space="preserve"> a </w:t>
            </w:r>
            <w:r>
              <w:t>period</w:t>
            </w:r>
            <w:r>
              <w:rPr>
                <w:szCs w:val="22"/>
              </w:rPr>
              <w:t xml:space="preserve"> of time within which proceedings may be taken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tab/>
              <w:t>(iii)</w:t>
            </w:r>
            <w:r>
              <w:tab/>
              <w:t>for leave to serve a writ or notice of a writ out of jurisdiction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an application for leave to appeal</w:t>
            </w:r>
          </w:p>
        </w:tc>
        <w:tc>
          <w:tcPr>
            <w:tcW w:w="1275" w:type="dxa"/>
            <w:shd w:val="clear" w:color="auto" w:fill="auto"/>
          </w:tcPr>
          <w:p>
            <w:pPr>
              <w:pStyle w:val="yTableNAm"/>
            </w:pPr>
            <w:r>
              <w:br/>
              <w:t>0.00</w:t>
            </w:r>
          </w:p>
        </w:tc>
        <w:tc>
          <w:tcPr>
            <w:tcW w:w="1276" w:type="dxa"/>
            <w:shd w:val="clear" w:color="auto" w:fill="auto"/>
          </w:tcPr>
          <w:p>
            <w:pPr>
              <w:pStyle w:val="yTableNAm"/>
            </w:pPr>
            <w:r>
              <w:br/>
              <w:t>0.00</w:t>
            </w:r>
          </w:p>
        </w:tc>
        <w:tc>
          <w:tcPr>
            <w:tcW w:w="1276" w:type="dxa"/>
            <w:shd w:val="clear" w:color="auto" w:fill="auto"/>
          </w:tcPr>
          <w:p>
            <w:pPr>
              <w:pStyle w:val="yTableNAm"/>
            </w:pPr>
            <w:r>
              <w:br/>
              <w:t>0.00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(e)</w:t>
            </w:r>
            <w:r>
              <w:rPr>
                <w:szCs w:val="22"/>
              </w:rPr>
              <w:tab/>
              <w:t>any other application for which no fee has been provided in this Schedule</w:t>
            </w:r>
          </w:p>
        </w:tc>
        <w:tc>
          <w:tcPr>
            <w:tcW w:w="1275" w:type="dxa"/>
            <w:shd w:val="clear" w:color="auto" w:fill="auto"/>
          </w:tcPr>
          <w:p>
            <w:pPr>
              <w:pStyle w:val="yTableNAm"/>
            </w:pPr>
            <w:r>
              <w:br/>
            </w:r>
            <w:r>
              <w:br/>
            </w:r>
            <w:r>
              <w:br/>
            </w:r>
            <w:r>
              <w:br/>
              <w:t>330.00</w:t>
            </w:r>
          </w:p>
        </w:tc>
        <w:tc>
          <w:tcPr>
            <w:tcW w:w="1276" w:type="dxa"/>
            <w:shd w:val="clear" w:color="auto" w:fill="auto"/>
          </w:tcPr>
          <w:p>
            <w:pPr>
              <w:pStyle w:val="yTableNAm"/>
            </w:pPr>
            <w:r>
              <w:br/>
            </w:r>
            <w:r>
              <w:br/>
            </w:r>
            <w:r>
              <w:br/>
            </w:r>
            <w:r>
              <w:br/>
              <w:t>569.00</w:t>
            </w:r>
          </w:p>
        </w:tc>
        <w:tc>
          <w:tcPr>
            <w:tcW w:w="1276" w:type="dxa"/>
            <w:shd w:val="clear" w:color="auto" w:fill="auto"/>
          </w:tcPr>
          <w:p>
            <w:pPr>
              <w:pStyle w:val="yTableNAm"/>
            </w:pPr>
            <w:r>
              <w:br/>
            </w:r>
            <w:r>
              <w:br/>
            </w:r>
            <w:r>
              <w:br/>
            </w:r>
            <w:r>
              <w:br/>
              <w:t>99.00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pPr>
            <w:r>
              <w:rPr>
                <w:szCs w:val="22"/>
              </w:rPr>
              <w:t xml:space="preserve">On filing — </w:t>
            </w:r>
          </w:p>
          <w:p>
            <w:pPr>
              <w:pStyle w:val="yTableNAm"/>
            </w:pPr>
            <w:r>
              <w:t>(a)</w:t>
            </w:r>
            <w:r>
              <w:tab/>
              <w:t>an appeal notice</w:t>
            </w:r>
          </w:p>
        </w:tc>
        <w:tc>
          <w:tcPr>
            <w:tcW w:w="1275" w:type="dxa"/>
          </w:tcPr>
          <w:p>
            <w:pPr>
              <w:pStyle w:val="yTableNAm"/>
            </w:pPr>
          </w:p>
          <w:p>
            <w:pPr>
              <w:pStyle w:val="yTableNAm"/>
            </w:pPr>
            <w:r>
              <w:t>497.00</w:t>
            </w:r>
          </w:p>
        </w:tc>
        <w:tc>
          <w:tcPr>
            <w:tcW w:w="1276" w:type="dxa"/>
          </w:tcPr>
          <w:p>
            <w:pPr>
              <w:pStyle w:val="yTableNAm"/>
            </w:pPr>
          </w:p>
          <w:p>
            <w:pPr>
              <w:pStyle w:val="yTableNAm"/>
            </w:pPr>
            <w:r>
              <w:t>1 286.00</w:t>
            </w:r>
          </w:p>
        </w:tc>
        <w:tc>
          <w:tcPr>
            <w:tcW w:w="1276" w:type="dxa"/>
          </w:tcPr>
          <w:p>
            <w:pPr>
              <w:pStyle w:val="yTableNAm"/>
            </w:pPr>
          </w:p>
          <w:p>
            <w:pPr>
              <w:pStyle w:val="yTableNAm"/>
            </w:pPr>
            <w:r>
              <w:t>100.00</w:t>
            </w:r>
          </w:p>
        </w:tc>
      </w:tr>
      <w:tr>
        <w:tblPrEx>
          <w:tblCellMar>
            <w:bottom w:w="113" w:type="dxa"/>
          </w:tblCellMar>
        </w:tblPrEx>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each additional half day allocated for the hearing of the appeal</w:t>
            </w:r>
          </w:p>
        </w:tc>
        <w:tc>
          <w:tcPr>
            <w:tcW w:w="1275" w:type="dxa"/>
          </w:tcPr>
          <w:p>
            <w:pPr>
              <w:pStyle w:val="yTableNAm"/>
            </w:pPr>
            <w:r>
              <w:rPr>
                <w:szCs w:val="22"/>
              </w:rPr>
              <w:br/>
            </w:r>
            <w:r>
              <w:rPr>
                <w:szCs w:val="22"/>
              </w:rPr>
              <w:br/>
            </w:r>
            <w:r>
              <w:br/>
              <w:t>385.00</w:t>
            </w:r>
          </w:p>
        </w:tc>
        <w:tc>
          <w:tcPr>
            <w:tcW w:w="1276" w:type="dxa"/>
          </w:tcPr>
          <w:p>
            <w:pPr>
              <w:pStyle w:val="yTableNAm"/>
            </w:pPr>
            <w:r>
              <w:rPr>
                <w:szCs w:val="22"/>
              </w:rPr>
              <w:br/>
            </w:r>
            <w:r>
              <w:rPr>
                <w:szCs w:val="22"/>
              </w:rPr>
              <w:br/>
            </w:r>
            <w:r>
              <w:rPr>
                <w:szCs w:val="22"/>
              </w:rPr>
              <w:br/>
              <w:t>1 003.00</w:t>
            </w:r>
          </w:p>
        </w:tc>
        <w:tc>
          <w:tcPr>
            <w:tcW w:w="1276" w:type="dxa"/>
          </w:tcPr>
          <w:p>
            <w:pPr>
              <w:pStyle w:val="yTableNAm"/>
            </w:pPr>
            <w:r>
              <w:rPr>
                <w:szCs w:val="22"/>
              </w:rPr>
              <w:br/>
            </w:r>
            <w:r>
              <w:rPr>
                <w:szCs w:val="22"/>
              </w:rPr>
              <w:br/>
            </w:r>
            <w:r>
              <w:br/>
              <w:t>100.00</w:t>
            </w:r>
          </w:p>
        </w:tc>
      </w:tr>
      <w:tr>
        <w:tblPrEx>
          <w:tblCellMar>
            <w:bottom w:w="113" w:type="dxa"/>
          </w:tblCellMar>
        </w:tblPrEx>
        <w:trPr>
          <w:cantSplit/>
          <w:trHeight w:val="910"/>
        </w:trPr>
        <w:tc>
          <w:tcPr>
            <w:tcW w:w="673" w:type="dxa"/>
          </w:tcPr>
          <w:p>
            <w:pPr>
              <w:pStyle w:val="zyTableNAm"/>
              <w:keepNext/>
              <w:keepLines/>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in item 5(a) includes any directions hearings and the first half day allocated by the District Court for the hearing of the appeal.</w:t>
            </w:r>
          </w:p>
        </w:tc>
      </w:tr>
      <w:tr>
        <w:tblPrEx>
          <w:tblCellMar>
            <w:bottom w:w="113" w:type="dxa"/>
          </w:tblCellMar>
        </w:tblPrEx>
        <w:trPr>
          <w:cantSplit/>
          <w:trHeight w:val="110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11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877.00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1 711.00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100.00</w:t>
            </w:r>
          </w:p>
        </w:tc>
      </w:tr>
      <w:tr>
        <w:trPr>
          <w:cantSplit/>
          <w:trHeight w:val="746"/>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tcPr>
          <w:p>
            <w:pPr>
              <w:pStyle w:val="yTableNAm"/>
            </w:pPr>
            <w:r>
              <w:rPr>
                <w:szCs w:val="22"/>
              </w:rPr>
              <w:br/>
            </w:r>
            <w:r>
              <w:br/>
              <w:t>770.00</w:t>
            </w:r>
          </w:p>
        </w:tc>
        <w:tc>
          <w:tcPr>
            <w:tcW w:w="1276" w:type="dxa"/>
          </w:tcPr>
          <w:p>
            <w:pPr>
              <w:pStyle w:val="yTableNAm"/>
            </w:pPr>
            <w:r>
              <w:rPr>
                <w:szCs w:val="22"/>
              </w:rPr>
              <w:br/>
            </w:r>
            <w:r>
              <w:rPr>
                <w:szCs w:val="22"/>
              </w:rPr>
              <w:br/>
              <w:t>2 005.00</w:t>
            </w:r>
          </w:p>
        </w:tc>
        <w:tc>
          <w:tcPr>
            <w:tcW w:w="1276" w:type="dxa"/>
          </w:tcPr>
          <w:p>
            <w:pPr>
              <w:pStyle w:val="yTableNAm"/>
            </w:pPr>
            <w:r>
              <w:rPr>
                <w:szCs w:val="22"/>
              </w:rPr>
              <w:br/>
            </w:r>
            <w:r>
              <w:br/>
              <w:t>100.00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See regulation 10.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item does not apply to the allocation of a hearing date for an appeal.</w:t>
            </w:r>
          </w:p>
        </w:tc>
      </w:tr>
      <w:tr>
        <w:trPr>
          <w:cantSplit/>
        </w:trPr>
        <w:tc>
          <w:tcPr>
            <w:tcW w:w="673" w:type="dxa"/>
          </w:tcPr>
          <w:p>
            <w:pPr>
              <w:pStyle w:val="yTableNAm"/>
            </w:pPr>
            <w:r>
              <w:rPr>
                <w:szCs w:val="22"/>
              </w:rPr>
              <w:t>8.</w:t>
            </w:r>
          </w:p>
        </w:tc>
        <w:tc>
          <w:tcPr>
            <w:tcW w:w="2588" w:type="dxa"/>
          </w:tcPr>
          <w:p>
            <w:pPr>
              <w:pStyle w:val="yTableNAm"/>
            </w:pPr>
            <w:r>
              <w:rPr>
                <w:szCs w:val="22"/>
              </w:rPr>
              <w:t>Daily hearing fee before a court constituted by a judge</w:t>
            </w:r>
          </w:p>
        </w:tc>
        <w:tc>
          <w:tcPr>
            <w:tcW w:w="1275" w:type="dxa"/>
          </w:tcPr>
          <w:p>
            <w:pPr>
              <w:pStyle w:val="yTableNAm"/>
            </w:pPr>
            <w:r>
              <w:br/>
            </w:r>
            <w:r>
              <w:br/>
              <w:t>770.00</w:t>
            </w:r>
          </w:p>
        </w:tc>
        <w:tc>
          <w:tcPr>
            <w:tcW w:w="1276" w:type="dxa"/>
          </w:tcPr>
          <w:p>
            <w:pPr>
              <w:pStyle w:val="yTableNAm"/>
            </w:pPr>
            <w:r>
              <w:rPr>
                <w:szCs w:val="22"/>
              </w:rPr>
              <w:br/>
            </w:r>
            <w:r>
              <w:rPr>
                <w:szCs w:val="22"/>
              </w:rPr>
              <w:br/>
              <w:t>2 005.00</w:t>
            </w:r>
          </w:p>
        </w:tc>
        <w:tc>
          <w:tcPr>
            <w:tcW w:w="1276" w:type="dxa"/>
          </w:tcPr>
          <w:p>
            <w:pPr>
              <w:pStyle w:val="yTableNAm"/>
            </w:pPr>
            <w:r>
              <w:br/>
            </w:r>
            <w:r>
              <w:br/>
              <w:t>100.00</w:t>
            </w:r>
          </w:p>
        </w:tc>
      </w:tr>
      <w:tr>
        <w:trPr>
          <w:cantSplit/>
          <w:trHeight w:val="67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No fee is payable if the proceedings are of an interlocutory nature only.</w:t>
            </w:r>
          </w:p>
        </w:tc>
      </w:tr>
      <w:tr>
        <w:trPr>
          <w:cantSplit/>
          <w:trHeight w:val="108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to be charged is to be paid in respect of any number of hearing days or half days greater than the number of hearing days for which a fee has been paid under item 5 or 7.</w:t>
            </w:r>
          </w:p>
        </w:tc>
      </w:tr>
      <w:tr>
        <w:trPr>
          <w:cantSplit/>
          <w:trHeight w:val="89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Court only allocates a half day or less for the continuation of the hearing then a fee equal to half the prescribed amount is payable for that period.</w:t>
            </w:r>
          </w:p>
        </w:tc>
      </w:tr>
      <w:tr>
        <w:trPr>
          <w:cantSplit/>
          <w:trHeight w:val="82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keepNext/>
            </w:pPr>
            <w:r>
              <w:rPr>
                <w:szCs w:val="22"/>
              </w:rPr>
              <w:t>9.</w:t>
            </w:r>
          </w:p>
        </w:tc>
        <w:tc>
          <w:tcPr>
            <w:tcW w:w="2588" w:type="dxa"/>
          </w:tcPr>
          <w:p>
            <w:pPr>
              <w:pStyle w:val="yTableNAm"/>
              <w:keepNext/>
            </w:pPr>
            <w:r>
              <w:rPr>
                <w:szCs w:val="22"/>
              </w:rPr>
              <w:t xml:space="preserve">On filing, before a judge or registrar in chambers — </w:t>
            </w:r>
          </w:p>
        </w:tc>
        <w:tc>
          <w:tcPr>
            <w:tcW w:w="1275" w:type="dxa"/>
            <w:vAlign w:val="bottom"/>
          </w:tcPr>
          <w:p>
            <w:pPr>
              <w:pStyle w:val="zyTableNAm"/>
              <w:keepNext/>
              <w:jc w:val="center"/>
              <w:rPr>
                <w:szCs w:val="22"/>
              </w:rPr>
            </w:pPr>
          </w:p>
        </w:tc>
        <w:tc>
          <w:tcPr>
            <w:tcW w:w="1276" w:type="dxa"/>
            <w:vAlign w:val="bottom"/>
          </w:tcPr>
          <w:p>
            <w:pPr>
              <w:pStyle w:val="zyTableNAm"/>
              <w:keepNext/>
              <w:jc w:val="center"/>
              <w:rPr>
                <w:szCs w:val="22"/>
              </w:rPr>
            </w:pPr>
          </w:p>
        </w:tc>
        <w:tc>
          <w:tcPr>
            <w:tcW w:w="1276" w:type="dxa"/>
            <w:vAlign w:val="bottom"/>
          </w:tcPr>
          <w:p>
            <w:pPr>
              <w:pStyle w:val="yTableNAm"/>
              <w:keepNext/>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an interlocutory application or summons or motion returnable</w:t>
            </w:r>
          </w:p>
        </w:tc>
        <w:tc>
          <w:tcPr>
            <w:tcW w:w="1275" w:type="dxa"/>
          </w:tcPr>
          <w:p>
            <w:pPr>
              <w:pStyle w:val="yTableNAm"/>
            </w:pPr>
            <w:r>
              <w:br/>
            </w:r>
            <w:r>
              <w:br/>
            </w:r>
            <w:r>
              <w:br/>
              <w:t>220.00</w:t>
            </w:r>
          </w:p>
        </w:tc>
        <w:tc>
          <w:tcPr>
            <w:tcW w:w="1276" w:type="dxa"/>
          </w:tcPr>
          <w:p>
            <w:pPr>
              <w:pStyle w:val="yTableNAm"/>
            </w:pPr>
            <w:r>
              <w:br/>
            </w:r>
            <w:r>
              <w:br/>
            </w:r>
            <w:r>
              <w:br/>
              <w:t>429.00</w:t>
            </w:r>
          </w:p>
        </w:tc>
        <w:tc>
          <w:tcPr>
            <w:tcW w:w="1276" w:type="dxa"/>
          </w:tcPr>
          <w:p>
            <w:pPr>
              <w:pStyle w:val="yTableNAm"/>
            </w:pPr>
            <w:r>
              <w:br/>
            </w:r>
            <w:r>
              <w:br/>
            </w:r>
            <w:r>
              <w:br/>
              <w:t>66.00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 w:val="left" w:pos="637"/>
              </w:tabs>
              <w:ind w:left="637" w:hanging="637"/>
            </w:pPr>
            <w:r>
              <w:rPr>
                <w:szCs w:val="22"/>
              </w:rPr>
              <w:t>(b)</w:t>
            </w:r>
            <w:r>
              <w:rPr>
                <w:szCs w:val="22"/>
              </w:rPr>
              <w:tab/>
              <w:t>an application for assessment of damages other than in an action for personal injury</w:t>
            </w:r>
          </w:p>
        </w:tc>
        <w:tc>
          <w:tcPr>
            <w:tcW w:w="1275" w:type="dxa"/>
          </w:tcPr>
          <w:p>
            <w:pPr>
              <w:pStyle w:val="yTableNAm"/>
            </w:pPr>
            <w:r>
              <w:br/>
            </w:r>
            <w:r>
              <w:br/>
            </w:r>
            <w:r>
              <w:br/>
            </w:r>
            <w:r>
              <w:br/>
              <w:t>220.00</w:t>
            </w:r>
          </w:p>
        </w:tc>
        <w:tc>
          <w:tcPr>
            <w:tcW w:w="1276" w:type="dxa"/>
          </w:tcPr>
          <w:p>
            <w:pPr>
              <w:pStyle w:val="yTableNAm"/>
            </w:pPr>
            <w:r>
              <w:br/>
            </w:r>
            <w:r>
              <w:br/>
            </w:r>
            <w:r>
              <w:br/>
            </w:r>
            <w:r>
              <w:br/>
              <w:t>429.00</w:t>
            </w:r>
          </w:p>
        </w:tc>
        <w:tc>
          <w:tcPr>
            <w:tcW w:w="1276" w:type="dxa"/>
          </w:tcPr>
          <w:p>
            <w:pPr>
              <w:pStyle w:val="yTableNAm"/>
            </w:pPr>
            <w:r>
              <w:br/>
            </w:r>
            <w:r>
              <w:br/>
            </w:r>
            <w:r>
              <w:br/>
            </w:r>
            <w:r>
              <w:b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an application for summary judgment</w:t>
            </w:r>
          </w:p>
        </w:tc>
        <w:tc>
          <w:tcPr>
            <w:tcW w:w="1275" w:type="dxa"/>
          </w:tcPr>
          <w:p>
            <w:pPr>
              <w:pStyle w:val="yTableNAm"/>
            </w:pPr>
            <w:r>
              <w:br/>
              <w:t>220.00</w:t>
            </w:r>
          </w:p>
        </w:tc>
        <w:tc>
          <w:tcPr>
            <w:tcW w:w="1276" w:type="dxa"/>
          </w:tcPr>
          <w:p>
            <w:pPr>
              <w:pStyle w:val="yTableNAm"/>
            </w:pPr>
            <w:r>
              <w:br/>
              <w:t>429.00</w:t>
            </w:r>
          </w:p>
        </w:tc>
        <w:tc>
          <w:tcPr>
            <w:tcW w:w="1276" w:type="dxa"/>
          </w:tcPr>
          <w:p>
            <w:pPr>
              <w:pStyle w:val="yTableNAm"/>
            </w:pPr>
            <w:r>
              <w:br/>
              <w:t>66.00</w:t>
            </w:r>
          </w:p>
        </w:tc>
      </w:tr>
      <w:tr>
        <w:trPr>
          <w:cantSplit/>
          <w:trHeight w:val="924"/>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This fee includes the first day of hearing of the application or summons and includes any adjournment of the hearing.</w:t>
            </w:r>
          </w:p>
        </w:tc>
      </w:tr>
      <w:tr>
        <w:trPr>
          <w:cantSplit/>
          <w:trHeight w:val="805"/>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fee is payable in respect of any application exercising liberty to apply to relist.</w:t>
            </w:r>
          </w:p>
        </w:tc>
      </w:tr>
      <w:tr>
        <w:trPr>
          <w:cantSplit/>
        </w:trPr>
        <w:tc>
          <w:tcPr>
            <w:tcW w:w="673" w:type="dxa"/>
          </w:tcPr>
          <w:p>
            <w:pPr>
              <w:pStyle w:val="yTableNAm"/>
            </w:pPr>
            <w:r>
              <w:rPr>
                <w:szCs w:val="22"/>
              </w:rPr>
              <w:t>10.</w:t>
            </w:r>
          </w:p>
        </w:tc>
        <w:tc>
          <w:tcPr>
            <w:tcW w:w="2588" w:type="dxa"/>
          </w:tcPr>
          <w:p>
            <w:pPr>
              <w:pStyle w:val="yTableNAm"/>
            </w:pPr>
            <w:r>
              <w:rPr>
                <w:szCs w:val="22"/>
              </w:rPr>
              <w:t>If the hearing of a matter to which item 9 applies is listed for more than 1 day and proceeds for more than the number of days listed, the fee prescribed in item 9 is payable for each additional day or part day of hearing</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Height w:val="999"/>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pPr>
            <w:r>
              <w:rPr>
                <w:szCs w:val="22"/>
              </w:rPr>
              <w:t>11.</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lodgment fee</w:t>
            </w:r>
          </w:p>
        </w:tc>
        <w:tc>
          <w:tcPr>
            <w:tcW w:w="1275" w:type="dxa"/>
          </w:tcPr>
          <w:p>
            <w:pPr>
              <w:pStyle w:val="yTableNAm"/>
            </w:pPr>
            <w:r>
              <w:t>220.00</w:t>
            </w:r>
          </w:p>
        </w:tc>
        <w:tc>
          <w:tcPr>
            <w:tcW w:w="1276" w:type="dxa"/>
          </w:tcPr>
          <w:p>
            <w:pPr>
              <w:pStyle w:val="yTableNAm"/>
            </w:pPr>
            <w:r>
              <w:t>429.00</w:t>
            </w:r>
          </w:p>
        </w:tc>
        <w:tc>
          <w:tcPr>
            <w:tcW w:w="1276" w:type="dxa"/>
          </w:tcPr>
          <w:p>
            <w:pPr>
              <w:pStyle w:val="yTableNAm"/>
            </w:pPr>
            <w: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in addition to the lodgment fee, a taxing fee at the rate of</w:t>
            </w:r>
          </w:p>
        </w:tc>
        <w:tc>
          <w:tcPr>
            <w:tcW w:w="1275"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0.0%</w:t>
            </w:r>
          </w:p>
        </w:tc>
      </w:tr>
      <w:tr>
        <w:trPr>
          <w:cantSplit/>
          <w:trHeight w:val="656"/>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 rate is to be applied to the amount at which the bill is drawn.</w:t>
            </w:r>
          </w:p>
        </w:tc>
      </w:tr>
      <w:tr>
        <w:trPr>
          <w:cantSplit/>
          <w:trHeight w:val="1143"/>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taxing officer must allow, against the person chargeable with the costs as taxed, taxing fees at the rate indicated in item 11(b) of the amount found to be due on taxation.</w:t>
            </w:r>
          </w:p>
        </w:tc>
      </w:tr>
      <w:tr>
        <w:trPr>
          <w:cantSplit/>
          <w:trHeight w:val="2595"/>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parties agree on the bill of costs in a cause or matter or under the Commercial Arbitration Act 2012 and the appointment is cancelled, the following percentage of the fee paid is to be refunded —</w:t>
            </w:r>
          </w:p>
          <w:p>
            <w:pPr>
              <w:pStyle w:val="yTableNAm"/>
              <w:ind w:left="577" w:hanging="577"/>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nil;</w:t>
            </w:r>
          </w:p>
          <w:p>
            <w:pPr>
              <w:pStyle w:val="yTableNAm"/>
              <w:ind w:left="577" w:hanging="577"/>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50%;</w:t>
            </w:r>
          </w:p>
          <w:p>
            <w:pPr>
              <w:pStyle w:val="yTableNAm"/>
              <w:ind w:left="577" w:hanging="577"/>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80%.</w:t>
            </w:r>
          </w:p>
        </w:tc>
      </w:tr>
      <w:tr>
        <w:trPr>
          <w:cantSplit/>
        </w:trPr>
        <w:tc>
          <w:tcPr>
            <w:tcW w:w="673" w:type="dxa"/>
          </w:tcPr>
          <w:p>
            <w:pPr>
              <w:pStyle w:val="yTableNAm"/>
            </w:pPr>
            <w:r>
              <w:rPr>
                <w:szCs w:val="22"/>
              </w:rPr>
              <w:t>12.</w:t>
            </w:r>
          </w:p>
        </w:tc>
        <w:tc>
          <w:tcPr>
            <w:tcW w:w="2588" w:type="dxa"/>
          </w:tcPr>
          <w:p>
            <w:pPr>
              <w:pStyle w:val="yTableNAm"/>
            </w:pPr>
            <w:r>
              <w:rPr>
                <w:szCs w:val="22"/>
              </w:rPr>
              <w:t>For searching any record or proceeding</w:t>
            </w:r>
          </w:p>
        </w:tc>
        <w:tc>
          <w:tcPr>
            <w:tcW w:w="1275" w:type="dxa"/>
          </w:tcPr>
          <w:p>
            <w:pPr>
              <w:pStyle w:val="yTableNAm"/>
            </w:pPr>
            <w:r>
              <w:br/>
              <w:t>44.50</w:t>
            </w:r>
          </w:p>
        </w:tc>
        <w:tc>
          <w:tcPr>
            <w:tcW w:w="1276" w:type="dxa"/>
          </w:tcPr>
          <w:p>
            <w:pPr>
              <w:pStyle w:val="yTableNAm"/>
            </w:pPr>
            <w:r>
              <w:br/>
              <w:t>44.50</w:t>
            </w:r>
          </w:p>
        </w:tc>
        <w:tc>
          <w:tcPr>
            <w:tcW w:w="1276" w:type="dxa"/>
          </w:tcPr>
          <w:p>
            <w:pPr>
              <w:pStyle w:val="yTableNAm"/>
            </w:pPr>
            <w:r>
              <w:br/>
              <w:t>13.35</w:t>
            </w:r>
          </w:p>
        </w:tc>
      </w:tr>
      <w:tr>
        <w:trPr>
          <w:cantSplit/>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under item 12 for a search made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637"/>
              </w:tabs>
              <w:ind w:left="637" w:hanging="637"/>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13.</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 xml:space="preserve">fee per </w:t>
            </w:r>
            <w:r>
              <w:rPr>
                <w:rFonts w:eastAsia="MS Mincho"/>
                <w:szCs w:val="22"/>
              </w:rPr>
              <w:t xml:space="preserve">action or </w:t>
            </w:r>
            <w:r>
              <w:rPr>
                <w:szCs w:val="22"/>
              </w:rPr>
              <w:t>matter</w:t>
            </w:r>
            <w:r>
              <w:rPr>
                <w:rFonts w:eastAsia="MS Mincho"/>
                <w:szCs w:val="22"/>
              </w:rPr>
              <w:t xml:space="preserve"> provided to </w:t>
            </w:r>
            <w:r>
              <w:rPr>
                <w:szCs w:val="22"/>
              </w:rPr>
              <w:t>recipient</w:t>
            </w:r>
          </w:p>
        </w:tc>
        <w:tc>
          <w:tcPr>
            <w:tcW w:w="1275" w:type="dxa"/>
          </w:tcPr>
          <w:p>
            <w:pPr>
              <w:pStyle w:val="yTableNAm"/>
            </w:pPr>
            <w:r>
              <w:br/>
            </w:r>
            <w:r>
              <w:br/>
              <w:t>2.00</w:t>
            </w:r>
          </w:p>
        </w:tc>
        <w:tc>
          <w:tcPr>
            <w:tcW w:w="1276" w:type="dxa"/>
          </w:tcPr>
          <w:p>
            <w:pPr>
              <w:pStyle w:val="yTableNAm"/>
            </w:pPr>
            <w:r>
              <w:br/>
            </w:r>
            <w:r>
              <w:br/>
              <w:t>2.00</w:t>
            </w:r>
          </w:p>
        </w:tc>
        <w:tc>
          <w:tcPr>
            <w:tcW w:w="1276" w:type="dxa"/>
          </w:tcPr>
          <w:p>
            <w:pPr>
              <w:pStyle w:val="yTableNAm"/>
            </w:pPr>
            <w:r>
              <w:br/>
            </w:r>
            <w:r>
              <w:b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annual fee for information provided by email to approved recipient</w:t>
            </w:r>
          </w:p>
        </w:tc>
        <w:tc>
          <w:tcPr>
            <w:tcW w:w="1275" w:type="dxa"/>
          </w:tcPr>
          <w:p>
            <w:pPr>
              <w:pStyle w:val="yTableNAm"/>
            </w:pPr>
            <w:r>
              <w:br/>
            </w:r>
            <w:r>
              <w:br/>
            </w:r>
            <w:r>
              <w:br/>
            </w:r>
            <w:r>
              <w:br/>
              <w:t>2 018.00</w:t>
            </w:r>
          </w:p>
        </w:tc>
        <w:tc>
          <w:tcPr>
            <w:tcW w:w="1276" w:type="dxa"/>
          </w:tcPr>
          <w:p>
            <w:pPr>
              <w:pStyle w:val="yTableNAm"/>
            </w:pPr>
            <w:r>
              <w:br/>
            </w:r>
            <w:r>
              <w:br/>
            </w:r>
            <w:r>
              <w:br/>
            </w:r>
            <w:r>
              <w:br/>
              <w:t>2 018.00</w:t>
            </w:r>
          </w:p>
        </w:tc>
        <w:tc>
          <w:tcPr>
            <w:tcW w:w="1276" w:type="dxa"/>
          </w:tcPr>
          <w:p>
            <w:pPr>
              <w:pStyle w:val="yTableNAm"/>
            </w:pPr>
            <w:r>
              <w:br/>
            </w:r>
            <w:r>
              <w:br/>
            </w:r>
            <w:r>
              <w:br/>
            </w:r>
            <w:r>
              <w:br/>
              <w:t>100.00</w:t>
            </w:r>
          </w:p>
        </w:tc>
      </w:tr>
      <w:tr>
        <w:trPr>
          <w:cantSplit/>
          <w:trHeight w:val="99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 w:val="left" w:pos="637"/>
              </w:tabs>
              <w:ind w:left="637" w:hanging="637"/>
            </w:pPr>
            <w:r>
              <w:rPr>
                <w:szCs w:val="22"/>
              </w:rPr>
              <w:t>(a)</w:t>
            </w:r>
            <w:r>
              <w:rPr>
                <w:szCs w:val="22"/>
              </w:rPr>
              <w:tab/>
              <w:t xml:space="preserve">On an application for the production of records or documents that are required to be produced to any court, tribunal, arbitrator or umpire </w:t>
            </w:r>
          </w:p>
        </w:tc>
        <w:tc>
          <w:tcPr>
            <w:tcW w:w="1275" w:type="dxa"/>
          </w:tcPr>
          <w:p>
            <w:pPr>
              <w:pStyle w:val="yTableNAm"/>
            </w:pPr>
            <w:r>
              <w:br/>
            </w:r>
            <w:r>
              <w:br/>
            </w:r>
            <w:r>
              <w:br/>
            </w:r>
            <w:r>
              <w:br/>
            </w:r>
            <w:r>
              <w:br/>
            </w:r>
            <w:r>
              <w:br/>
            </w:r>
            <w:r>
              <w:br/>
              <w:t>65.50</w:t>
            </w:r>
          </w:p>
        </w:tc>
        <w:tc>
          <w:tcPr>
            <w:tcW w:w="1276" w:type="dxa"/>
          </w:tcPr>
          <w:p>
            <w:pPr>
              <w:pStyle w:val="yTableNAm"/>
            </w:pPr>
            <w:r>
              <w:br/>
            </w:r>
            <w:r>
              <w:br/>
            </w:r>
            <w:r>
              <w:br/>
            </w:r>
            <w:r>
              <w:br/>
            </w:r>
            <w:r>
              <w:br/>
            </w:r>
            <w:r>
              <w:br/>
            </w:r>
            <w:r>
              <w:br/>
              <w:t>65.50</w:t>
            </w:r>
          </w:p>
        </w:tc>
        <w:tc>
          <w:tcPr>
            <w:tcW w:w="1276" w:type="dxa"/>
          </w:tcPr>
          <w:p>
            <w:pPr>
              <w:pStyle w:val="yTableNAm"/>
            </w:pPr>
            <w:r>
              <w:br/>
            </w:r>
            <w:r>
              <w:br/>
            </w:r>
            <w:r>
              <w:br/>
            </w:r>
            <w:r>
              <w:br/>
            </w:r>
            <w:r>
              <w:br/>
            </w:r>
            <w:r>
              <w:br/>
            </w:r>
            <w:r>
              <w:br/>
              <w:t>19.65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29.30</w:t>
            </w:r>
          </w:p>
        </w:tc>
      </w:tr>
      <w:tr>
        <w:trPr>
          <w:cantSplit/>
        </w:trPr>
        <w:tc>
          <w:tcPr>
            <w:tcW w:w="673" w:type="dxa"/>
          </w:tcPr>
          <w:p>
            <w:pPr>
              <w:pStyle w:val="yTableNAm"/>
            </w:pPr>
            <w:r>
              <w:rPr>
                <w:szCs w:val="22"/>
              </w:rPr>
              <w:t>15.</w:t>
            </w:r>
          </w:p>
        </w:tc>
        <w:tc>
          <w:tcPr>
            <w:tcW w:w="2588" w:type="dxa"/>
          </w:tcPr>
          <w:p>
            <w:pPr>
              <w:pStyle w:val="yTableNAm"/>
              <w:tabs>
                <w:tab w:val="clear" w:pos="567"/>
                <w:tab w:val="left" w:pos="637"/>
              </w:tabs>
              <w:ind w:left="637" w:hanging="637"/>
            </w:pPr>
            <w:r>
              <w:rPr>
                <w:szCs w:val="22"/>
              </w:rPr>
              <w:t>(a)</w:t>
            </w:r>
            <w:r>
              <w:rPr>
                <w:szCs w:val="22"/>
              </w:rPr>
              <w:tab/>
              <w:t xml:space="preserve">For a copy of a document of any kind or an exhibit, including marking as an office copy if required, for each page or part thereof </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0.55</w:t>
            </w:r>
          </w:p>
        </w:tc>
      </w:tr>
      <w:tr>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a copy of reasons for judgment —</w:t>
            </w:r>
          </w:p>
        </w:tc>
        <w:tc>
          <w:tcPr>
            <w:tcW w:w="1275" w:type="dxa"/>
            <w:vAlign w:val="bottom"/>
          </w:tcPr>
          <w:p>
            <w:pPr>
              <w:pStyle w:val="zyTableNAm"/>
              <w:keepNext/>
              <w:keepLines/>
              <w:jc w:val="center"/>
              <w:rPr>
                <w:szCs w:val="22"/>
              </w:rPr>
            </w:pPr>
          </w:p>
        </w:tc>
        <w:tc>
          <w:tcPr>
            <w:tcW w:w="1276" w:type="dxa"/>
            <w:vAlign w:val="bottom"/>
          </w:tcPr>
          <w:p>
            <w:pPr>
              <w:pStyle w:val="zyTableNAm"/>
              <w:keepNext/>
              <w:keepLines/>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zyTableNAm"/>
              <w:tabs>
                <w:tab w:val="clear" w:pos="567"/>
                <w:tab w:val="left" w:pos="459"/>
                <w:tab w:val="left" w:pos="884"/>
                <w:tab w:val="right" w:leader="dot" w:pos="4536"/>
              </w:tabs>
              <w:ind w:left="884" w:hanging="884"/>
              <w:rPr>
                <w:szCs w:val="22"/>
              </w:rPr>
            </w:pPr>
            <w:r>
              <w:rPr>
                <w:szCs w:val="22"/>
              </w:rPr>
              <w:tab/>
              <w:t>(i)</w:t>
            </w:r>
            <w:r>
              <w:rPr>
                <w:szCs w:val="22"/>
              </w:rPr>
              <w:tab/>
              <w:t xml:space="preserve">for </w:t>
            </w:r>
            <w:r>
              <w:t>each</w:t>
            </w:r>
            <w:r>
              <w:rPr>
                <w:szCs w:val="22"/>
              </w:rPr>
              <w:t xml:space="preserve"> copy issued to a person not a party to the proceedings and for each copy in excess of 1 copy issued to a party to the proceedings</w:t>
            </w:r>
          </w:p>
          <w:p>
            <w:pPr>
              <w:pStyle w:val="zyTableNAm"/>
              <w:tabs>
                <w:tab w:val="clear" w:pos="567"/>
                <w:tab w:val="left" w:pos="459"/>
                <w:tab w:val="left" w:pos="884"/>
                <w:tab w:val="right" w:leader="dot" w:pos="4536"/>
              </w:tabs>
              <w:ind w:left="884" w:hanging="884"/>
              <w:rPr>
                <w:spacing w:val="-4"/>
                <w:szCs w:val="22"/>
              </w:rPr>
            </w:pPr>
            <w:r>
              <w:rPr>
                <w:szCs w:val="22"/>
              </w:rPr>
              <w:tab/>
            </w:r>
            <w:r>
              <w:rPr>
                <w:spacing w:val="-4"/>
                <w:szCs w:val="22"/>
              </w:rPr>
              <w:t>(ii)</w:t>
            </w:r>
            <w:r>
              <w:rPr>
                <w:spacing w:val="-4"/>
                <w:szCs w:val="22"/>
              </w:rPr>
              <w:tab/>
              <w:t xml:space="preserve">for </w:t>
            </w:r>
            <w:r>
              <w:t>each</w:t>
            </w:r>
            <w:r>
              <w:rPr>
                <w:spacing w:val="-4"/>
                <w:szCs w:val="22"/>
              </w:rPr>
              <w:t xml:space="preserve"> copy consisting of 10 or more pages an additional fee per page of</w:t>
            </w:r>
          </w:p>
        </w:tc>
        <w:tc>
          <w:tcPr>
            <w:tcW w:w="1275"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t>15.50</w:t>
            </w:r>
          </w:p>
          <w:p>
            <w:pPr>
              <w:pStyle w:val="zyTableNAm"/>
              <w:jc w:val="center"/>
              <w:rPr>
                <w:szCs w:val="22"/>
              </w:rPr>
            </w:pP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rPr>
                <w:szCs w:val="22"/>
              </w:rPr>
              <w:br/>
            </w:r>
            <w:r>
              <w:rPr>
                <w:szCs w:val="22"/>
              </w:rPr>
              <w:br/>
            </w:r>
            <w:r>
              <w:t>15.50</w:t>
            </w:r>
          </w:p>
          <w:p>
            <w:pPr>
              <w:pStyle w:val="zyTableNAm"/>
              <w:jc w:val="center"/>
              <w:rPr>
                <w:szCs w:val="22"/>
              </w:rPr>
            </w:pP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rPr>
                <w:szCs w:val="22"/>
              </w:rPr>
              <w:br/>
            </w:r>
            <w:r>
              <w:rPr>
                <w:szCs w:val="22"/>
              </w:rPr>
              <w:br/>
            </w:r>
            <w:r>
              <w:t>4.55</w:t>
            </w:r>
          </w:p>
          <w:p>
            <w:pPr>
              <w:pStyle w:val="zyTableNAm"/>
              <w:jc w:val="center"/>
              <w:rPr>
                <w:szCs w:val="22"/>
              </w:rPr>
            </w:pPr>
            <w:r>
              <w:rPr>
                <w:szCs w:val="22"/>
              </w:rPr>
              <w:br/>
            </w:r>
            <w:r>
              <w:rPr>
                <w:szCs w:val="22"/>
              </w:rPr>
              <w:br/>
            </w:r>
            <w:r>
              <w:rPr>
                <w:szCs w:val="22"/>
              </w:rPr>
              <w:br/>
            </w:r>
            <w:r>
              <w:rPr>
                <w:szCs w:val="22"/>
              </w:rPr>
              <w:br/>
            </w:r>
            <w: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For certifying under seal that a document is a true copy, an additional fee of</w:t>
            </w:r>
          </w:p>
        </w:tc>
        <w:tc>
          <w:tcPr>
            <w:tcW w:w="1275" w:type="dxa"/>
          </w:tcPr>
          <w:p>
            <w:pPr>
              <w:pStyle w:val="yTableNAm"/>
            </w:pPr>
            <w:r>
              <w:br/>
            </w:r>
            <w:r>
              <w:br/>
            </w:r>
            <w:r>
              <w:br/>
            </w:r>
            <w:r>
              <w:br/>
              <w:t>21.40</w:t>
            </w:r>
          </w:p>
        </w:tc>
        <w:tc>
          <w:tcPr>
            <w:tcW w:w="1276" w:type="dxa"/>
          </w:tcPr>
          <w:p>
            <w:pPr>
              <w:pStyle w:val="yTableNAm"/>
            </w:pPr>
            <w:r>
              <w:br/>
            </w:r>
            <w:r>
              <w:br/>
            </w:r>
            <w:r>
              <w:br/>
            </w:r>
            <w:r>
              <w:br/>
              <w:t>21.40</w:t>
            </w:r>
          </w:p>
        </w:tc>
        <w:tc>
          <w:tcPr>
            <w:tcW w:w="1276" w:type="dxa"/>
          </w:tcPr>
          <w:p>
            <w:pPr>
              <w:pStyle w:val="yTableNAm"/>
            </w:pPr>
            <w:r>
              <w:br/>
            </w:r>
            <w:r>
              <w:br/>
            </w:r>
            <w:r>
              <w:br/>
            </w:r>
            <w:r>
              <w:br/>
              <w:t>6.45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For a certificate under the hand of a registrar</w:t>
            </w:r>
          </w:p>
        </w:tc>
        <w:tc>
          <w:tcPr>
            <w:tcW w:w="1275" w:type="dxa"/>
          </w:tcPr>
          <w:p>
            <w:pPr>
              <w:pStyle w:val="yTableNAm"/>
            </w:pPr>
            <w:r>
              <w:br/>
            </w:r>
            <w:r>
              <w:br/>
              <w:t>42.10</w:t>
            </w:r>
          </w:p>
        </w:tc>
        <w:tc>
          <w:tcPr>
            <w:tcW w:w="1276" w:type="dxa"/>
          </w:tcPr>
          <w:p>
            <w:pPr>
              <w:pStyle w:val="yTableNAm"/>
            </w:pPr>
            <w:r>
              <w:br/>
            </w:r>
            <w:r>
              <w:br/>
              <w:t>42.10</w:t>
            </w:r>
          </w:p>
        </w:tc>
        <w:tc>
          <w:tcPr>
            <w:tcW w:w="1276" w:type="dxa"/>
          </w:tcPr>
          <w:p>
            <w:pPr>
              <w:pStyle w:val="yTableNAm"/>
            </w:pPr>
            <w:r>
              <w:br/>
            </w:r>
            <w:r>
              <w:br/>
              <w:t>12.70</w:t>
            </w:r>
          </w:p>
        </w:tc>
      </w:tr>
      <w:tr>
        <w:trPr>
          <w:cantSplit/>
        </w:trPr>
        <w:tc>
          <w:tcPr>
            <w:tcW w:w="673" w:type="dxa"/>
          </w:tcPr>
          <w:p>
            <w:pPr>
              <w:pStyle w:val="yTableNAm"/>
            </w:pPr>
            <w:r>
              <w:rPr>
                <w:szCs w:val="22"/>
              </w:rPr>
              <w:t>16.</w:t>
            </w:r>
          </w:p>
        </w:tc>
        <w:tc>
          <w:tcPr>
            <w:tcW w:w="2588" w:type="dxa"/>
          </w:tcPr>
          <w:p>
            <w:pPr>
              <w:pStyle w:val="yTableNAm"/>
              <w:tabs>
                <w:tab w:val="clear" w:pos="567"/>
                <w:tab w:val="left" w:pos="637"/>
              </w:tabs>
              <w:ind w:left="637" w:hanging="637"/>
            </w:pPr>
            <w:r>
              <w:rPr>
                <w:szCs w:val="22"/>
              </w:rPr>
              <w:t>(a)</w:t>
            </w:r>
            <w:r>
              <w:rPr>
                <w:szCs w:val="22"/>
              </w:rPr>
              <w:tab/>
              <w:t xml:space="preserve">For a copy of a transcript, or part of a transcript — </w:t>
            </w:r>
          </w:p>
        </w:tc>
        <w:tc>
          <w:tcPr>
            <w:tcW w:w="1275" w:type="dxa"/>
          </w:tcPr>
          <w:p>
            <w:pPr>
              <w:pStyle w:val="zyTableNAm"/>
              <w:keepNext/>
              <w:keepLines/>
              <w:jc w:val="center"/>
              <w:rPr>
                <w:sz w:val="20"/>
              </w:rPr>
            </w:pPr>
          </w:p>
        </w:tc>
        <w:tc>
          <w:tcPr>
            <w:tcW w:w="1276" w:type="dxa"/>
          </w:tcPr>
          <w:p>
            <w:pPr>
              <w:pStyle w:val="zyTableNAm"/>
              <w:keepNext/>
              <w:keepLines/>
              <w:jc w:val="center"/>
              <w:rPr>
                <w:sz w:val="20"/>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ind w:left="1062" w:hanging="1062"/>
            </w:pPr>
            <w:r>
              <w:rPr>
                <w:szCs w:val="22"/>
              </w:rPr>
              <w:tab/>
              <w:t>(i)</w:t>
            </w:r>
            <w:r>
              <w:rPr>
                <w:szCs w:val="22"/>
              </w:rPr>
              <w:tab/>
            </w:r>
            <w:r>
              <w:t>provided</w:t>
            </w:r>
            <w:r>
              <w:rPr>
                <w:szCs w:val="22"/>
              </w:rPr>
              <w:t xml:space="preserve"> within 1 </w:t>
            </w:r>
            <w:r>
              <w:t>day</w:t>
            </w:r>
            <w:r>
              <w:rPr>
                <w:szCs w:val="22"/>
              </w:rPr>
              <w:t xml:space="preserve"> after the day on which the fee is paid</w:t>
            </w:r>
          </w:p>
        </w:tc>
        <w:tc>
          <w:tcPr>
            <w:tcW w:w="1275" w:type="dxa"/>
          </w:tcPr>
          <w:p>
            <w:pPr>
              <w:pStyle w:val="yTableNAm"/>
            </w:pPr>
            <w:r>
              <w:rPr>
                <w:szCs w:val="22"/>
              </w:rPr>
              <w:t>20.50 plus 8.45 per page</w:t>
            </w:r>
          </w:p>
        </w:tc>
        <w:tc>
          <w:tcPr>
            <w:tcW w:w="1276" w:type="dxa"/>
          </w:tcPr>
          <w:p>
            <w:pPr>
              <w:pStyle w:val="yTableNAm"/>
            </w:pPr>
            <w:r>
              <w:rPr>
                <w:szCs w:val="22"/>
              </w:rPr>
              <w:t>20.50 plus 16.90 per page</w:t>
            </w:r>
          </w:p>
        </w:tc>
        <w:tc>
          <w:tcPr>
            <w:tcW w:w="1276" w:type="dxa"/>
          </w:tcPr>
          <w:p>
            <w:pPr>
              <w:pStyle w:val="yTableNAm"/>
            </w:pPr>
            <w:r>
              <w:rPr>
                <w:szCs w:val="22"/>
              </w:rPr>
              <w:t xml:space="preserve">6.15 plus </w:t>
            </w:r>
            <w:r>
              <w:rPr>
                <w:szCs w:val="22"/>
              </w:rPr>
              <w:br/>
              <w:t>2.55 per page</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provided </w:t>
            </w:r>
            <w:r>
              <w:t>within</w:t>
            </w:r>
            <w:r>
              <w:rPr>
                <w:szCs w:val="22"/>
              </w:rPr>
              <w:t xml:space="preserve"> 4 days </w:t>
            </w:r>
            <w:r>
              <w:t>after</w:t>
            </w:r>
            <w:r>
              <w:rPr>
                <w:szCs w:val="22"/>
              </w:rPr>
              <w:t xml:space="preserve"> the day on </w:t>
            </w:r>
            <w:r>
              <w:t>which</w:t>
            </w:r>
            <w:r>
              <w:rPr>
                <w:szCs w:val="22"/>
              </w:rPr>
              <w:t xml:space="preserve"> the fee is paid</w:t>
            </w:r>
          </w:p>
        </w:tc>
        <w:tc>
          <w:tcPr>
            <w:tcW w:w="1275" w:type="dxa"/>
          </w:tcPr>
          <w:p>
            <w:pPr>
              <w:pStyle w:val="yTableNAm"/>
            </w:pPr>
            <w:r>
              <w:rPr>
                <w:szCs w:val="22"/>
              </w:rPr>
              <w:t>20.50 plus 7.30 per page</w:t>
            </w:r>
          </w:p>
        </w:tc>
        <w:tc>
          <w:tcPr>
            <w:tcW w:w="1276" w:type="dxa"/>
          </w:tcPr>
          <w:p>
            <w:pPr>
              <w:pStyle w:val="yTableNAm"/>
            </w:pPr>
            <w:r>
              <w:rPr>
                <w:szCs w:val="22"/>
              </w:rPr>
              <w:t>20.50 plus 14.75 per page</w:t>
            </w:r>
          </w:p>
        </w:tc>
        <w:tc>
          <w:tcPr>
            <w:tcW w:w="1276" w:type="dxa"/>
          </w:tcPr>
          <w:p>
            <w:pPr>
              <w:pStyle w:val="yTableNAm"/>
            </w:pPr>
            <w:r>
              <w:rPr>
                <w:szCs w:val="22"/>
              </w:rPr>
              <w:t xml:space="preserve">6.15 plus </w:t>
            </w:r>
            <w:r>
              <w:rPr>
                <w:szCs w:val="22"/>
              </w:rPr>
              <w:br/>
              <w:t>2.20 per page</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(iii)</w:t>
            </w:r>
            <w:r>
              <w:rPr>
                <w:szCs w:val="22"/>
              </w:rPr>
              <w:tab/>
              <w:t xml:space="preserve">provided </w:t>
            </w:r>
            <w:r>
              <w:t>within</w:t>
            </w:r>
            <w:r>
              <w:rPr>
                <w:szCs w:val="22"/>
              </w:rPr>
              <w:t xml:space="preserve"> 7 days </w:t>
            </w:r>
            <w:r>
              <w:t>after</w:t>
            </w:r>
            <w:r>
              <w:rPr>
                <w:szCs w:val="22"/>
              </w:rPr>
              <w:t xml:space="preserve"> the day on which the fee is paid</w:t>
            </w:r>
          </w:p>
        </w:tc>
        <w:tc>
          <w:tcPr>
            <w:tcW w:w="1275" w:type="dxa"/>
          </w:tcPr>
          <w:p>
            <w:pPr>
              <w:pStyle w:val="yTableNAm"/>
            </w:pPr>
            <w:r>
              <w:rPr>
                <w:szCs w:val="22"/>
              </w:rPr>
              <w:t>20.50 plus 7.05 per page</w:t>
            </w:r>
          </w:p>
        </w:tc>
        <w:tc>
          <w:tcPr>
            <w:tcW w:w="1276" w:type="dxa"/>
          </w:tcPr>
          <w:p>
            <w:pPr>
              <w:pStyle w:val="yTableNAm"/>
            </w:pPr>
            <w:r>
              <w:rPr>
                <w:szCs w:val="22"/>
              </w:rPr>
              <w:t>20.50 plus</w:t>
            </w:r>
            <w:r>
              <w:rPr>
                <w:szCs w:val="22"/>
              </w:rPr>
              <w:br/>
              <w:t>14.05 per page</w:t>
            </w:r>
          </w:p>
        </w:tc>
        <w:tc>
          <w:tcPr>
            <w:tcW w:w="1276" w:type="dxa"/>
          </w:tcPr>
          <w:p>
            <w:pPr>
              <w:pStyle w:val="yTableNAm"/>
            </w:pPr>
            <w:r>
              <w:rPr>
                <w:szCs w:val="22"/>
              </w:rPr>
              <w:t xml:space="preserve">6.15 plus </w:t>
            </w:r>
            <w:r>
              <w:rPr>
                <w:szCs w:val="22"/>
              </w:rPr>
              <w:br/>
              <w:t>2.15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 xml:space="preserve">For an additional copy of the transcript, or part of the transcript, provided under paragraph (a) — </w:t>
            </w:r>
          </w:p>
        </w:tc>
        <w:tc>
          <w:tcPr>
            <w:tcW w:w="1275" w:type="dxa"/>
          </w:tcPr>
          <w:p>
            <w:pPr>
              <w:pStyle w:val="zyTableNAm"/>
              <w:jc w:val="center"/>
              <w:rPr>
                <w:szCs w:val="22"/>
              </w:rPr>
            </w:pPr>
          </w:p>
        </w:tc>
        <w:tc>
          <w:tcPr>
            <w:tcW w:w="1276" w:type="dxa"/>
          </w:tcPr>
          <w:p>
            <w:pPr>
              <w:pStyle w:val="zyTableNAm"/>
              <w:jc w:val="center"/>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ind w:left="1062" w:hanging="1062"/>
            </w:pPr>
            <w:r>
              <w:rPr>
                <w:szCs w:val="22"/>
              </w:rPr>
              <w:tab/>
              <w:t>(i)</w:t>
            </w:r>
            <w:r>
              <w:rPr>
                <w:szCs w:val="22"/>
              </w:rPr>
              <w:tab/>
              <w:t xml:space="preserve">in </w:t>
            </w:r>
            <w:r>
              <w:t>electronic</w:t>
            </w:r>
            <w:r>
              <w:rPr>
                <w:szCs w:val="22"/>
              </w:rPr>
              <w:t xml:space="preserve"> format</w:t>
            </w:r>
          </w:p>
        </w:tc>
        <w:tc>
          <w:tcPr>
            <w:tcW w:w="1275" w:type="dxa"/>
          </w:tcPr>
          <w:p>
            <w:pPr>
              <w:pStyle w:val="yTableNAm"/>
            </w:pPr>
            <w:r>
              <w:rPr>
                <w:szCs w:val="22"/>
              </w:rPr>
              <w:t>21.40 per copy</w:t>
            </w:r>
          </w:p>
        </w:tc>
        <w:tc>
          <w:tcPr>
            <w:tcW w:w="1276" w:type="dxa"/>
          </w:tcPr>
          <w:p>
            <w:pPr>
              <w:pStyle w:val="yTableNAm"/>
            </w:pPr>
            <w:r>
              <w:rPr>
                <w:szCs w:val="22"/>
              </w:rPr>
              <w:t>21.40 per copy</w:t>
            </w:r>
          </w:p>
        </w:tc>
        <w:tc>
          <w:tcPr>
            <w:tcW w:w="1276" w:type="dxa"/>
          </w:tcPr>
          <w:p>
            <w:pPr>
              <w:pStyle w:val="yTableNAm"/>
            </w:pPr>
            <w:r>
              <w:rPr>
                <w:szCs w:val="22"/>
              </w:rPr>
              <w:t>6.45 per copy</w:t>
            </w:r>
          </w:p>
        </w:tc>
      </w:tr>
      <w:tr>
        <w:trPr>
          <w:cantSplit/>
        </w:trPr>
        <w:tc>
          <w:tcPr>
            <w:tcW w:w="673" w:type="dxa"/>
            <w:tcBorders>
              <w:bottom w:val="single" w:sz="4" w:space="0" w:color="auto"/>
            </w:tcBorders>
          </w:tcPr>
          <w:p>
            <w:pPr>
              <w:pStyle w:val="zyTableNAm"/>
              <w:rPr>
                <w:szCs w:val="22"/>
              </w:rPr>
            </w:pPr>
          </w:p>
        </w:tc>
        <w:tc>
          <w:tcPr>
            <w:tcW w:w="2588" w:type="dxa"/>
            <w:tcBorders>
              <w:bottom w:val="single" w:sz="4" w:space="0" w:color="auto"/>
            </w:tcBorders>
          </w:tcPr>
          <w:p>
            <w:pPr>
              <w:pStyle w:val="yTableNAm"/>
              <w:ind w:left="1062" w:hanging="1062"/>
            </w:pPr>
            <w:r>
              <w:rPr>
                <w:szCs w:val="22"/>
              </w:rPr>
              <w:tab/>
              <w:t>(ii)</w:t>
            </w:r>
            <w:r>
              <w:rPr>
                <w:szCs w:val="22"/>
              </w:rPr>
              <w:tab/>
            </w:r>
            <w:r>
              <w:t>paper</w:t>
            </w:r>
            <w:r>
              <w:rPr>
                <w:szCs w:val="22"/>
              </w:rPr>
              <w:t xml:space="preserve"> copy</w:t>
            </w:r>
          </w:p>
        </w:tc>
        <w:tc>
          <w:tcPr>
            <w:tcW w:w="1275" w:type="dxa"/>
            <w:tcBorders>
              <w:bottom w:val="single" w:sz="4" w:space="0" w:color="auto"/>
            </w:tcBorders>
          </w:tcPr>
          <w:p>
            <w:pPr>
              <w:pStyle w:val="yTableNAm"/>
            </w:pPr>
            <w:r>
              <w:rPr>
                <w:szCs w:val="22"/>
              </w:rPr>
              <w:t>2.10 per page</w:t>
            </w:r>
          </w:p>
        </w:tc>
        <w:tc>
          <w:tcPr>
            <w:tcW w:w="1276" w:type="dxa"/>
            <w:tcBorders>
              <w:bottom w:val="single" w:sz="4" w:space="0" w:color="auto"/>
            </w:tcBorders>
          </w:tcPr>
          <w:p>
            <w:pPr>
              <w:pStyle w:val="yTableNAm"/>
            </w:pPr>
            <w:r>
              <w:rPr>
                <w:szCs w:val="22"/>
              </w:rPr>
              <w:t>2.10 per page</w:t>
            </w:r>
          </w:p>
        </w:tc>
        <w:tc>
          <w:tcPr>
            <w:tcW w:w="1276" w:type="dxa"/>
            <w:tcBorders>
              <w:bottom w:val="single" w:sz="4" w:space="0" w:color="auto"/>
            </w:tcBorders>
          </w:tcPr>
          <w:p>
            <w:pPr>
              <w:pStyle w:val="yTableNAm"/>
            </w:pPr>
            <w:r>
              <w:rPr>
                <w:szCs w:val="22"/>
              </w:rPr>
              <w:t>0.60 per page</w:t>
            </w:r>
          </w:p>
        </w:tc>
      </w:tr>
    </w:tbl>
    <w:p>
      <w:pPr>
        <w:pStyle w:val="yFootnotesection"/>
      </w:pPr>
      <w:r>
        <w:tab/>
        <w:t>[Schedule 1 inserted in Gazette 15 Jun 2018 p. 1986</w:t>
      </w:r>
      <w:r>
        <w:noBreakHyphen/>
        <w:t>95.]</w:t>
      </w:r>
    </w:p>
    <w:p>
      <w:pPr>
        <w:pStyle w:val="yScheduleHeading"/>
      </w:pPr>
      <w:bookmarkStart w:id="101" w:name="_Toc519769609"/>
      <w:bookmarkStart w:id="102" w:name="_Toc514321221"/>
      <w:bookmarkStart w:id="103" w:name="_Toc514321286"/>
      <w:bookmarkStart w:id="104" w:name="_Toc514330280"/>
      <w:bookmarkStart w:id="105" w:name="_Toc514334945"/>
      <w:bookmarkStart w:id="106" w:name="_Toc514336294"/>
      <w:bookmarkStart w:id="107" w:name="_Toc514336496"/>
      <w:bookmarkStart w:id="108" w:name="_Toc514414470"/>
      <w:bookmarkStart w:id="109" w:name="_Toc514414535"/>
      <w:bookmarkStart w:id="110" w:name="_Toc514657445"/>
      <w:bookmarkStart w:id="111" w:name="_Toc514666266"/>
      <w:bookmarkStart w:id="112" w:name="_Toc517777766"/>
      <w:bookmarkStart w:id="113" w:name="_Toc517788732"/>
      <w:bookmarkStart w:id="114" w:name="_Toc517865430"/>
      <w:r>
        <w:rPr>
          <w:rStyle w:val="CharSchNo"/>
        </w:rPr>
        <w:t>Schedule 2</w:t>
      </w:r>
      <w:r>
        <w:rPr>
          <w:rStyle w:val="CharSDivNo"/>
        </w:rPr>
        <w:t> </w:t>
      </w:r>
      <w:r>
        <w:t>—</w:t>
      </w:r>
      <w:r>
        <w:rPr>
          <w:rStyle w:val="CharSDivText"/>
        </w:rPr>
        <w:t> </w:t>
      </w:r>
      <w:r>
        <w:rPr>
          <w:rStyle w:val="CharSchText"/>
        </w:rPr>
        <w:t>Sheriff’s fees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pPr>
        <w:pStyle w:val="yShoulderClause"/>
      </w:pPr>
      <w:r>
        <w:t>[r. 4]</w:t>
      </w:r>
    </w:p>
    <w:p>
      <w:pPr>
        <w:pStyle w:val="yFootnoteheading"/>
      </w:pPr>
      <w:r>
        <w:tab/>
        <w:t>[Heading inserted in Gazette 15 Jun 2018 p. 1996.]</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zyTableNAm"/>
            </w:pPr>
          </w:p>
        </w:tc>
        <w:tc>
          <w:tcPr>
            <w:tcW w:w="5103" w:type="dxa"/>
          </w:tcPr>
          <w:p>
            <w:pPr>
              <w:pStyle w:val="yTableNAm"/>
            </w:pPr>
            <w:r>
              <w:t>(a)</w:t>
            </w:r>
            <w:r>
              <w:tab/>
            </w:r>
            <w:r>
              <w:rPr>
                <w:szCs w:val="22"/>
              </w:rPr>
              <w:t>for</w:t>
            </w:r>
            <w:r>
              <w:t xml:space="preserve"> arresting the person </w:t>
            </w:r>
          </w:p>
        </w:tc>
        <w:tc>
          <w:tcPr>
            <w:tcW w:w="1316" w:type="dxa"/>
          </w:tcPr>
          <w:p>
            <w:pPr>
              <w:pStyle w:val="yTableNAm"/>
            </w:pPr>
            <w:r>
              <w:rPr>
                <w:szCs w:val="22"/>
              </w:rPr>
              <w:t>141.50</w:t>
            </w:r>
          </w:p>
        </w:tc>
      </w:tr>
      <w:tr>
        <w:trPr>
          <w:cantSplit/>
        </w:trPr>
        <w:tc>
          <w:tcPr>
            <w:tcW w:w="669" w:type="dxa"/>
          </w:tcPr>
          <w:p>
            <w:pPr>
              <w:pStyle w:val="zyTableNAm"/>
            </w:pPr>
          </w:p>
        </w:tc>
        <w:tc>
          <w:tcPr>
            <w:tcW w:w="5103" w:type="dxa"/>
          </w:tcPr>
          <w:p>
            <w:pPr>
              <w:pStyle w:val="yTableNAm"/>
              <w:ind w:left="601" w:hanging="601"/>
            </w:pPr>
            <w:r>
              <w:t>(b)</w:t>
            </w:r>
            <w:r>
              <w:tab/>
              <w:t xml:space="preserve">for </w:t>
            </w:r>
            <w:r>
              <w:rPr>
                <w:szCs w:val="22"/>
              </w:rPr>
              <w:t>conveying</w:t>
            </w:r>
            <w:r>
              <w:t xml:space="preserve"> the person to a court or a custodial place and releasing the person from arrest or custody </w:t>
            </w:r>
          </w:p>
        </w:tc>
        <w:tc>
          <w:tcPr>
            <w:tcW w:w="1316" w:type="dxa"/>
          </w:tcPr>
          <w:p>
            <w:pPr>
              <w:pStyle w:val="yTableNAm"/>
            </w:pPr>
            <w:r>
              <w:br/>
            </w:r>
            <w:r>
              <w:br/>
              <w:t>140.00</w:t>
            </w:r>
          </w:p>
        </w:tc>
      </w:tr>
      <w:tr>
        <w:trPr>
          <w:cantSplit/>
        </w:trPr>
        <w:tc>
          <w:tcPr>
            <w:tcW w:w="669" w:type="dxa"/>
          </w:tcPr>
          <w:p>
            <w:pPr>
              <w:pStyle w:val="zyTableNAm"/>
            </w:pPr>
          </w:p>
        </w:tc>
        <w:tc>
          <w:tcPr>
            <w:tcW w:w="5103" w:type="dxa"/>
          </w:tcPr>
          <w:p>
            <w:pPr>
              <w:pStyle w:val="yTableNAm"/>
              <w:ind w:left="601" w:hanging="601"/>
            </w:pPr>
            <w:r>
              <w:t>(c)</w:t>
            </w:r>
            <w:r>
              <w:tab/>
              <w:t xml:space="preserve">for </w:t>
            </w:r>
            <w:r>
              <w:rPr>
                <w:szCs w:val="22"/>
              </w:rPr>
              <w:t>each</w:t>
            </w:r>
            <w:r>
              <w:t xml:space="preserve">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tcPr>
          <w:p>
            <w:pPr>
              <w:pStyle w:val="yTableNAm"/>
            </w:pPr>
            <w:r>
              <w:br/>
            </w:r>
            <w:r>
              <w:br/>
            </w:r>
            <w:r>
              <w:br/>
            </w:r>
            <w:r>
              <w:br/>
            </w:r>
            <w:r>
              <w:br/>
              <w:t>37.10</w:t>
            </w:r>
          </w:p>
        </w:tc>
      </w:tr>
      <w:tr>
        <w:trPr>
          <w:cantSplit/>
          <w:trHeight w:val="1101"/>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tcPr>
          <w:p>
            <w:pPr>
              <w:pStyle w:val="yTableNAm"/>
            </w:pPr>
            <w:r>
              <w:br/>
            </w:r>
            <w:r>
              <w:br/>
            </w:r>
            <w:r>
              <w:rPr>
                <w:szCs w:val="22"/>
              </w:rPr>
              <w:t>78.50</w:t>
            </w:r>
          </w:p>
        </w:tc>
      </w:tr>
      <w:tr>
        <w:trPr>
          <w:cantSplit/>
          <w:trHeight w:val="910"/>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service is successful and covers up to 3 attempts at service at the same address.</w:t>
            </w:r>
          </w:p>
        </w:tc>
      </w:tr>
      <w:tr>
        <w:trPr>
          <w:cantSplit/>
          <w:trHeight w:val="598"/>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receiving and printing the process.</w:t>
            </w:r>
          </w:p>
        </w:tc>
      </w:tr>
      <w:tr>
        <w:trPr>
          <w:cantSplit/>
        </w:trP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rPr>
          <w:cantSplit/>
        </w:trPr>
        <w:tc>
          <w:tcPr>
            <w:tcW w:w="669" w:type="dxa"/>
          </w:tcPr>
          <w:p>
            <w:pPr>
              <w:pStyle w:val="zyTableNAm"/>
            </w:pPr>
          </w:p>
        </w:tc>
        <w:tc>
          <w:tcPr>
            <w:tcW w:w="5103" w:type="dxa"/>
          </w:tcPr>
          <w:p>
            <w:pPr>
              <w:pStyle w:val="yTableNAm"/>
              <w:ind w:left="601" w:hanging="601"/>
            </w:pPr>
            <w:r>
              <w:t>(a)</w:t>
            </w:r>
            <w:r>
              <w:tab/>
              <w:t xml:space="preserve">for each </w:t>
            </w:r>
            <w:r>
              <w:rPr>
                <w:szCs w:val="22"/>
              </w:rPr>
              <w:t>kilometre</w:t>
            </w:r>
            <w:r>
              <w:t xml:space="preserve"> travelled (1 way) in the metropolitan area </w:t>
            </w:r>
          </w:p>
        </w:tc>
        <w:tc>
          <w:tcPr>
            <w:tcW w:w="1316" w:type="dxa"/>
          </w:tcPr>
          <w:p>
            <w:pPr>
              <w:pStyle w:val="yTableNAm"/>
            </w:pPr>
            <w:r>
              <w:br/>
              <w:t>2.00</w:t>
            </w:r>
          </w:p>
        </w:tc>
      </w:tr>
      <w:tr>
        <w:trPr>
          <w:cantSplit/>
        </w:trPr>
        <w:tc>
          <w:tcPr>
            <w:tcW w:w="669" w:type="dxa"/>
          </w:tcPr>
          <w:p>
            <w:pPr>
              <w:pStyle w:val="zyTableNAm"/>
            </w:pPr>
          </w:p>
        </w:tc>
        <w:tc>
          <w:tcPr>
            <w:tcW w:w="5103" w:type="dxa"/>
          </w:tcPr>
          <w:p>
            <w:pPr>
              <w:pStyle w:val="yTableNAm"/>
              <w:ind w:left="601" w:hanging="601"/>
            </w:pPr>
            <w:r>
              <w:t>(b)</w:t>
            </w:r>
            <w:r>
              <w:tab/>
              <w:t xml:space="preserve">for each </w:t>
            </w:r>
            <w:r>
              <w:rPr>
                <w:szCs w:val="22"/>
              </w:rPr>
              <w:t>kilometre</w:t>
            </w:r>
            <w:r>
              <w:t xml:space="preserve"> travelled (1 way) outside the metropolitan area </w:t>
            </w:r>
          </w:p>
        </w:tc>
        <w:tc>
          <w:tcPr>
            <w:tcW w:w="1316" w:type="dxa"/>
          </w:tcPr>
          <w:p>
            <w:pPr>
              <w:pStyle w:val="yTableNAm"/>
            </w:pPr>
            <w:r>
              <w:br/>
              <w:t>2.20</w:t>
            </w:r>
          </w:p>
        </w:tc>
      </w:tr>
      <w:tr>
        <w:trPr>
          <w:cantSplit/>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allowance for kilometres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tcPr>
          <w:p>
            <w:pPr>
              <w:pStyle w:val="yTableNAm"/>
            </w:pPr>
            <w:r>
              <w:br/>
              <w:t>74.00</w:t>
            </w:r>
          </w:p>
        </w:tc>
      </w:tr>
      <w:tr>
        <w:trPr>
          <w:cantSplit/>
        </w:trPr>
        <w:tc>
          <w:tcPr>
            <w:tcW w:w="669" w:type="dxa"/>
          </w:tcPr>
          <w:p>
            <w:pPr>
              <w:pStyle w:val="yTableNAm"/>
            </w:pPr>
            <w:r>
              <w:t>5.</w:t>
            </w:r>
          </w:p>
        </w:tc>
        <w:tc>
          <w:tcPr>
            <w:tcW w:w="5103" w:type="dxa"/>
          </w:tcPr>
          <w:p>
            <w:pPr>
              <w:pStyle w:val="yTableNAm"/>
            </w:pPr>
            <w:r>
              <w:t>(a)</w:t>
            </w:r>
            <w:r>
              <w:tab/>
              <w:t xml:space="preserve">For </w:t>
            </w:r>
            <w:r>
              <w:rPr>
                <w:szCs w:val="22"/>
              </w:rPr>
              <w:t>striking</w:t>
            </w:r>
            <w:r>
              <w:t xml:space="preserve"> a jury and preparing jury panel </w:t>
            </w:r>
          </w:p>
        </w:tc>
        <w:tc>
          <w:tcPr>
            <w:tcW w:w="1316" w:type="dxa"/>
          </w:tcPr>
          <w:p>
            <w:pPr>
              <w:pStyle w:val="yTableNAm"/>
            </w:pPr>
            <w:r>
              <w:t>238.00</w:t>
            </w:r>
          </w:p>
        </w:tc>
      </w:tr>
      <w:tr>
        <w:trPr>
          <w:cantSplit/>
        </w:trPr>
        <w:tc>
          <w:tcPr>
            <w:tcW w:w="669" w:type="dxa"/>
            <w:tcBorders>
              <w:bottom w:val="single" w:sz="4" w:space="0" w:color="auto"/>
            </w:tcBorders>
          </w:tcPr>
          <w:p>
            <w:pPr>
              <w:pStyle w:val="zyTableNAm"/>
            </w:pPr>
          </w:p>
        </w:tc>
        <w:tc>
          <w:tcPr>
            <w:tcW w:w="5103" w:type="dxa"/>
            <w:tcBorders>
              <w:bottom w:val="single" w:sz="4" w:space="0" w:color="auto"/>
            </w:tcBorders>
          </w:tcPr>
          <w:p>
            <w:pPr>
              <w:pStyle w:val="yTableNAm"/>
              <w:ind w:left="601" w:hanging="601"/>
            </w:pPr>
            <w:r>
              <w:t>(b)</w:t>
            </w:r>
            <w:r>
              <w:tab/>
              <w:t xml:space="preserve">For </w:t>
            </w:r>
            <w:r>
              <w:rPr>
                <w:szCs w:val="22"/>
              </w:rPr>
              <w:t>attendance</w:t>
            </w:r>
            <w:r>
              <w:t xml:space="preserv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15 Jun 2018 p. 1996</w:t>
      </w:r>
      <w:r>
        <w:noBreakHyphen/>
        <w:t>7.]</w:t>
      </w:r>
    </w:p>
    <w:p>
      <w:pPr>
        <w:sectPr>
          <w:headerReference w:type="even" r:id="rId21"/>
          <w:headerReference w:type="default" r:id="rId22"/>
          <w:pgSz w:w="11907" w:h="16840" w:code="9"/>
          <w:pgMar w:top="2381" w:right="2410" w:bottom="3544" w:left="2410" w:header="720" w:footer="3544" w:gutter="0"/>
          <w:cols w:space="720"/>
        </w:sectPr>
      </w:pPr>
      <w:bookmarkStart w:id="116" w:name="_Toc517777767"/>
      <w:bookmarkStart w:id="117" w:name="_Toc517788733"/>
      <w:bookmarkStart w:id="118" w:name="_Toc517865431"/>
    </w:p>
    <w:p>
      <w:pPr>
        <w:pStyle w:val="yScheduleHeading"/>
      </w:pPr>
      <w:bookmarkStart w:id="119" w:name="_Toc519769610"/>
      <w:r>
        <w:rPr>
          <w:rStyle w:val="CharSchNo"/>
        </w:rPr>
        <w:t>Schedule 3</w:t>
      </w:r>
      <w:r>
        <w:t xml:space="preserve"> — </w:t>
      </w:r>
      <w:r>
        <w:rPr>
          <w:rStyle w:val="CharSchText"/>
        </w:rPr>
        <w:t>Forms</w:t>
      </w:r>
      <w:bookmarkEnd w:id="119"/>
      <w:bookmarkEnd w:id="116"/>
      <w:bookmarkEnd w:id="117"/>
      <w:bookmarkEnd w:id="118"/>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del w:id="120" w:author="Master Repository Process" w:date="2021-08-01T05:40:00Z">
              <w:r>
                <w:rPr>
                  <w:sz w:val="18"/>
                  <w:szCs w:val="18"/>
                </w:rPr>
                <w:delText>If you are applying for a fee reduction because of financial hardship or in the interests of justice, please</w:delText>
              </w:r>
            </w:del>
            <w:ins w:id="121" w:author="Master Repository Process" w:date="2021-08-01T05:40:00Z">
              <w:r>
                <w:rPr>
                  <w:sz w:val="18"/>
                  <w:szCs w:val="18"/>
                </w:rPr>
                <w:t>Please</w:t>
              </w:r>
            </w:ins>
            <w:r>
              <w:rPr>
                <w:sz w:val="18"/>
                <w:szCs w:val="18"/>
              </w:rPr>
              <w:t xml:space="preserv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ins w:id="122" w:author="Master Repository Process" w:date="2021-08-01T05:40:00Z">
        <w:r>
          <w:t>; amended in Gazette 20 Jul 2018 p. 2626</w:t>
        </w:r>
      </w:ins>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pPr>
      <w:bookmarkStart w:id="123" w:name="_Toc519769611"/>
      <w:bookmarkStart w:id="124" w:name="_Toc517777768"/>
      <w:bookmarkStart w:id="125" w:name="_Toc517788734"/>
      <w:bookmarkStart w:id="126" w:name="_Toc517865432"/>
      <w:r>
        <w:t>Notes</w:t>
      </w:r>
      <w:bookmarkEnd w:id="123"/>
      <w:bookmarkEnd w:id="124"/>
      <w:bookmarkEnd w:id="125"/>
      <w:bookmarkEnd w:id="126"/>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127" w:name="_Toc519769612"/>
      <w:bookmarkStart w:id="128" w:name="_Toc517865433"/>
      <w:r>
        <w:t>Compilation table</w:t>
      </w:r>
      <w:bookmarkEnd w:id="127"/>
      <w:bookmarkEnd w:id="128"/>
    </w:p>
    <w:tbl>
      <w:tblPr>
        <w:tblW w:w="0" w:type="auto"/>
        <w:tblInd w:w="28" w:type="dxa"/>
        <w:tblLayout w:type="fixed"/>
        <w:tblCellMar>
          <w:left w:w="56" w:type="dxa"/>
          <w:right w:w="56" w:type="dxa"/>
        </w:tblCellMar>
        <w:tblLook w:val="0000" w:firstRow="0" w:lastRow="0" w:firstColumn="0" w:lastColumn="0" w:noHBand="0" w:noVBand="0"/>
      </w:tblPr>
      <w:tblGrid>
        <w:gridCol w:w="28"/>
        <w:gridCol w:w="3090"/>
        <w:gridCol w:w="33"/>
        <w:gridCol w:w="1243"/>
        <w:gridCol w:w="33"/>
        <w:gridCol w:w="2660"/>
        <w:gridCol w:w="52"/>
        <w:gridCol w:w="10"/>
      </w:tblGrid>
      <w:tr>
        <w:trPr>
          <w:gridBefore w:val="1"/>
          <w:wBefore w:w="28" w:type="dxa"/>
          <w:tblHeader/>
        </w:trPr>
        <w:tc>
          <w:tcPr>
            <w:tcW w:w="3123" w:type="dxa"/>
            <w:gridSpan w:val="2"/>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28" w:type="dxa"/>
        </w:trPr>
        <w:tc>
          <w:tcPr>
            <w:tcW w:w="3123" w:type="dxa"/>
            <w:gridSpan w:val="2"/>
            <w:tcBorders>
              <w:top w:val="single" w:sz="8" w:space="0" w:color="auto"/>
            </w:tcBorders>
          </w:tcPr>
          <w:p>
            <w:pPr>
              <w:pStyle w:val="nTable"/>
              <w:spacing w:after="40"/>
            </w:pPr>
            <w:r>
              <w:rPr>
                <w:i/>
              </w:rPr>
              <w:t>District Court (Fees) Regulations 2002</w:t>
            </w:r>
          </w:p>
        </w:tc>
        <w:tc>
          <w:tcPr>
            <w:tcW w:w="1276" w:type="dxa"/>
            <w:gridSpan w:val="2"/>
            <w:tcBorders>
              <w:top w:val="single" w:sz="8" w:space="0" w:color="auto"/>
            </w:tcBorders>
          </w:tcPr>
          <w:p>
            <w:pPr>
              <w:pStyle w:val="nTable"/>
              <w:spacing w:after="40"/>
            </w:pPr>
            <w:r>
              <w:t>27 Dec 2001 p. 6617</w:t>
            </w:r>
            <w:r>
              <w:noBreakHyphen/>
              <w:t>43</w:t>
            </w:r>
          </w:p>
        </w:tc>
        <w:tc>
          <w:tcPr>
            <w:tcW w:w="2722" w:type="dxa"/>
            <w:gridSpan w:val="3"/>
            <w:tcBorders>
              <w:top w:val="single" w:sz="8" w:space="0" w:color="auto"/>
            </w:tcBorders>
          </w:tcPr>
          <w:p>
            <w:pPr>
              <w:pStyle w:val="nTable"/>
              <w:spacing w:after="40"/>
            </w:pPr>
            <w:r>
              <w:t>1 Jan 2002 (see r. 2)</w:t>
            </w:r>
          </w:p>
        </w:tc>
      </w:tr>
      <w:tr>
        <w:trPr>
          <w:gridBefore w:val="1"/>
          <w:wBefore w:w="28" w:type="dxa"/>
        </w:trPr>
        <w:tc>
          <w:tcPr>
            <w:tcW w:w="3123" w:type="dxa"/>
            <w:gridSpan w:val="2"/>
          </w:tcPr>
          <w:p>
            <w:pPr>
              <w:pStyle w:val="nTable"/>
              <w:spacing w:after="40"/>
              <w:rPr>
                <w:i/>
              </w:rPr>
            </w:pPr>
            <w:r>
              <w:rPr>
                <w:i/>
              </w:rPr>
              <w:t>Equality of Status Subsidiary Legislation Amendment Regulations 2003</w:t>
            </w:r>
            <w:r>
              <w:t xml:space="preserve"> Pt. 11</w:t>
            </w:r>
          </w:p>
        </w:tc>
        <w:tc>
          <w:tcPr>
            <w:tcW w:w="1276" w:type="dxa"/>
            <w:gridSpan w:val="2"/>
          </w:tcPr>
          <w:p>
            <w:pPr>
              <w:pStyle w:val="nTable"/>
              <w:spacing w:after="40"/>
            </w:pPr>
            <w:r>
              <w:t>30 Jun 2003 p. 2581</w:t>
            </w:r>
            <w:r>
              <w:noBreakHyphen/>
              <w:t>638</w:t>
            </w:r>
          </w:p>
        </w:tc>
        <w:tc>
          <w:tcPr>
            <w:tcW w:w="2722" w:type="dxa"/>
            <w:gridSpan w:val="3"/>
          </w:tcPr>
          <w:p>
            <w:pPr>
              <w:pStyle w:val="nTable"/>
              <w:spacing w:after="40"/>
            </w:pPr>
            <w:r>
              <w:t xml:space="preserve">1 Jul 2003 (see r. 2 and </w:t>
            </w:r>
            <w:r>
              <w:rPr>
                <w:i/>
              </w:rPr>
              <w:t xml:space="preserve">Gazette </w:t>
            </w:r>
            <w:r>
              <w:t>30 Jun 2003 p. 2579</w:t>
            </w:r>
            <w:r>
              <w:rPr>
                <w:iCs/>
              </w:rPr>
              <w:t>)</w:t>
            </w:r>
          </w:p>
        </w:tc>
      </w:tr>
      <w:tr>
        <w:trPr>
          <w:gridBefore w:val="1"/>
          <w:wBefore w:w="28" w:type="dxa"/>
        </w:trPr>
        <w:tc>
          <w:tcPr>
            <w:tcW w:w="3123" w:type="dxa"/>
            <w:gridSpan w:val="2"/>
          </w:tcPr>
          <w:p>
            <w:pPr>
              <w:pStyle w:val="nTable"/>
              <w:spacing w:after="40"/>
              <w:rPr>
                <w:i/>
              </w:rPr>
            </w:pPr>
            <w:r>
              <w:rPr>
                <w:i/>
              </w:rPr>
              <w:t>District Court (Fees) Amendment Regulations 2003</w:t>
            </w:r>
          </w:p>
        </w:tc>
        <w:tc>
          <w:tcPr>
            <w:tcW w:w="1276" w:type="dxa"/>
            <w:gridSpan w:val="2"/>
          </w:tcPr>
          <w:p>
            <w:pPr>
              <w:pStyle w:val="nTable"/>
              <w:spacing w:after="40"/>
            </w:pPr>
            <w:r>
              <w:t>30 Dec 2003 p. 5702</w:t>
            </w:r>
            <w:r>
              <w:noBreakHyphen/>
              <w:t>9</w:t>
            </w:r>
          </w:p>
        </w:tc>
        <w:tc>
          <w:tcPr>
            <w:tcW w:w="2722" w:type="dxa"/>
            <w:gridSpan w:val="3"/>
          </w:tcPr>
          <w:p>
            <w:pPr>
              <w:pStyle w:val="nTable"/>
              <w:spacing w:after="40"/>
            </w:pPr>
            <w:r>
              <w:t>1 Jan 2004 (see r. 2)</w:t>
            </w:r>
          </w:p>
        </w:tc>
      </w:tr>
      <w:tr>
        <w:trPr>
          <w:gridBefore w:val="1"/>
          <w:wBefore w:w="28" w:type="dxa"/>
        </w:trPr>
        <w:tc>
          <w:tcPr>
            <w:tcW w:w="3123" w:type="dxa"/>
            <w:gridSpan w:val="2"/>
          </w:tcPr>
          <w:p>
            <w:pPr>
              <w:pStyle w:val="nTable"/>
              <w:spacing w:after="40"/>
              <w:rPr>
                <w:i/>
              </w:rPr>
            </w:pPr>
            <w:r>
              <w:rPr>
                <w:i/>
              </w:rPr>
              <w:t>District Court (Fees) Amendment Regulations 2005</w:t>
            </w:r>
            <w:r>
              <w:t> </w:t>
            </w:r>
            <w:r>
              <w:rPr>
                <w:iCs/>
                <w:vertAlign w:val="superscript"/>
              </w:rPr>
              <w:t>5</w:t>
            </w:r>
          </w:p>
        </w:tc>
        <w:tc>
          <w:tcPr>
            <w:tcW w:w="1276" w:type="dxa"/>
            <w:gridSpan w:val="2"/>
          </w:tcPr>
          <w:p>
            <w:pPr>
              <w:pStyle w:val="nTable"/>
              <w:spacing w:after="40"/>
            </w:pPr>
            <w:r>
              <w:t>28 Apr 2005 p. 1751</w:t>
            </w:r>
            <w:r>
              <w:noBreakHyphen/>
              <w:t>7</w:t>
            </w:r>
          </w:p>
        </w:tc>
        <w:tc>
          <w:tcPr>
            <w:tcW w:w="2722" w:type="dxa"/>
            <w:gridSpan w:val="3"/>
          </w:tcPr>
          <w:p>
            <w:pPr>
              <w:pStyle w:val="nTable"/>
              <w:spacing w:after="40"/>
            </w:pPr>
            <w:r>
              <w:t xml:space="preserve">1 May 2005 (see r. 2 and </w:t>
            </w:r>
            <w:r>
              <w:rPr>
                <w:i/>
                <w:iCs/>
              </w:rPr>
              <w:t>Gazette</w:t>
            </w:r>
            <w:r>
              <w:t xml:space="preserve"> 31 Dec 2004 p. 7128)</w:t>
            </w:r>
          </w:p>
        </w:tc>
      </w:tr>
      <w:tr>
        <w:trPr>
          <w:gridBefore w:val="1"/>
          <w:wBefore w:w="28" w:type="dxa"/>
        </w:trPr>
        <w:tc>
          <w:tcPr>
            <w:tcW w:w="3123" w:type="dxa"/>
            <w:gridSpan w:val="2"/>
          </w:tcPr>
          <w:p>
            <w:pPr>
              <w:pStyle w:val="nTable"/>
              <w:spacing w:after="40"/>
              <w:rPr>
                <w:i/>
              </w:rPr>
            </w:pPr>
            <w:r>
              <w:rPr>
                <w:i/>
              </w:rPr>
              <w:t>District Court (Fees) Amendment Regulations (No. 2) 2005</w:t>
            </w:r>
          </w:p>
        </w:tc>
        <w:tc>
          <w:tcPr>
            <w:tcW w:w="1276" w:type="dxa"/>
            <w:gridSpan w:val="2"/>
          </w:tcPr>
          <w:p>
            <w:pPr>
              <w:pStyle w:val="nTable"/>
              <w:spacing w:after="40"/>
            </w:pPr>
            <w:r>
              <w:t>23 Jun 2005 p. 2690</w:t>
            </w:r>
            <w:r>
              <w:noBreakHyphen/>
              <w:t>2</w:t>
            </w:r>
          </w:p>
        </w:tc>
        <w:tc>
          <w:tcPr>
            <w:tcW w:w="2722" w:type="dxa"/>
            <w:gridSpan w:val="3"/>
          </w:tcPr>
          <w:p>
            <w:pPr>
              <w:pStyle w:val="nTable"/>
              <w:spacing w:after="40"/>
            </w:pPr>
            <w:r>
              <w:t>1 Jul 2005 (see r. 2)</w:t>
            </w:r>
          </w:p>
        </w:tc>
      </w:tr>
      <w:tr>
        <w:trPr>
          <w:gridBefore w:val="1"/>
          <w:wBefore w:w="28" w:type="dxa"/>
        </w:trPr>
        <w:tc>
          <w:tcPr>
            <w:tcW w:w="3123" w:type="dxa"/>
            <w:gridSpan w:val="2"/>
          </w:tcPr>
          <w:p>
            <w:pPr>
              <w:pStyle w:val="nTable"/>
              <w:spacing w:after="40"/>
              <w:rPr>
                <w:i/>
              </w:rPr>
            </w:pPr>
            <w:r>
              <w:rPr>
                <w:i/>
              </w:rPr>
              <w:t>District Court (Fees) Amendment Regulations 2006</w:t>
            </w:r>
          </w:p>
        </w:tc>
        <w:tc>
          <w:tcPr>
            <w:tcW w:w="1276" w:type="dxa"/>
            <w:gridSpan w:val="2"/>
          </w:tcPr>
          <w:p>
            <w:pPr>
              <w:pStyle w:val="nTable"/>
              <w:spacing w:after="40"/>
            </w:pPr>
            <w:r>
              <w:t>23 Jun 2006 p. 2187</w:t>
            </w:r>
            <w:r>
              <w:noBreakHyphen/>
              <w:t>9</w:t>
            </w:r>
          </w:p>
        </w:tc>
        <w:tc>
          <w:tcPr>
            <w:tcW w:w="2722" w:type="dxa"/>
            <w:gridSpan w:val="3"/>
          </w:tcPr>
          <w:p>
            <w:pPr>
              <w:pStyle w:val="nTable"/>
              <w:spacing w:after="40"/>
            </w:pPr>
            <w:r>
              <w:t>1 Jul 2006 (see r. 2)</w:t>
            </w:r>
          </w:p>
        </w:tc>
      </w:tr>
      <w:tr>
        <w:trPr>
          <w:gridBefore w:val="1"/>
          <w:wBefore w:w="28" w:type="dxa"/>
          <w:cantSplit/>
        </w:trPr>
        <w:tc>
          <w:tcPr>
            <w:tcW w:w="7121" w:type="dxa"/>
            <w:gridSpan w:val="7"/>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rPr>
          <w:gridBefore w:val="1"/>
          <w:wBefore w:w="28" w:type="dxa"/>
        </w:trPr>
        <w:tc>
          <w:tcPr>
            <w:tcW w:w="3123" w:type="dxa"/>
            <w:gridSpan w:val="2"/>
          </w:tcPr>
          <w:p>
            <w:pPr>
              <w:pStyle w:val="nTable"/>
              <w:spacing w:after="40"/>
              <w:rPr>
                <w:i/>
              </w:rPr>
            </w:pPr>
            <w:r>
              <w:rPr>
                <w:i/>
              </w:rPr>
              <w:t>District Court (Fees) Amendment Regulations 2007</w:t>
            </w:r>
          </w:p>
        </w:tc>
        <w:tc>
          <w:tcPr>
            <w:tcW w:w="1276" w:type="dxa"/>
            <w:gridSpan w:val="2"/>
          </w:tcPr>
          <w:p>
            <w:pPr>
              <w:pStyle w:val="nTable"/>
              <w:spacing w:after="40"/>
            </w:pPr>
            <w:r>
              <w:t>26 Jun 2007 p. 3035</w:t>
            </w:r>
            <w:r>
              <w:noBreakHyphen/>
              <w:t>7</w:t>
            </w:r>
          </w:p>
        </w:tc>
        <w:tc>
          <w:tcPr>
            <w:tcW w:w="2722" w:type="dxa"/>
            <w:gridSpan w:val="3"/>
          </w:tcPr>
          <w:p>
            <w:pPr>
              <w:pStyle w:val="nTable"/>
              <w:spacing w:after="40"/>
            </w:pPr>
            <w:r>
              <w:t>r. 1 and 2: 26 Jun 2007 (see r. 2(a));</w:t>
            </w:r>
            <w:r>
              <w:br/>
              <w:t>Regulations other than r. 1 and 2: 1 Jul 2007 (see r. 2(b))</w:t>
            </w:r>
          </w:p>
        </w:tc>
      </w:tr>
      <w:tr>
        <w:trPr>
          <w:gridBefore w:val="1"/>
          <w:wBefore w:w="28" w:type="dxa"/>
        </w:trPr>
        <w:tc>
          <w:tcPr>
            <w:tcW w:w="3123" w:type="dxa"/>
            <w:gridSpan w:val="2"/>
          </w:tcPr>
          <w:p>
            <w:pPr>
              <w:pStyle w:val="nTable"/>
              <w:spacing w:after="40"/>
              <w:rPr>
                <w:i/>
              </w:rPr>
            </w:pPr>
            <w:r>
              <w:rPr>
                <w:i/>
              </w:rPr>
              <w:t>District Court (Fees) Amendment Regulations 2008</w:t>
            </w:r>
          </w:p>
        </w:tc>
        <w:tc>
          <w:tcPr>
            <w:tcW w:w="1276" w:type="dxa"/>
            <w:gridSpan w:val="2"/>
          </w:tcPr>
          <w:p>
            <w:pPr>
              <w:pStyle w:val="nTable"/>
              <w:spacing w:after="40"/>
            </w:pPr>
            <w:r>
              <w:t>27 Jun 2008 p. 3062</w:t>
            </w:r>
            <w:r>
              <w:noBreakHyphen/>
              <w:t>4</w:t>
            </w:r>
          </w:p>
        </w:tc>
        <w:tc>
          <w:tcPr>
            <w:tcW w:w="2722" w:type="dxa"/>
            <w:gridSpan w:val="3"/>
          </w:tcPr>
          <w:p>
            <w:pPr>
              <w:pStyle w:val="nTable"/>
              <w:spacing w:after="40"/>
            </w:pPr>
            <w:r>
              <w:t>r. 1 and 2: 27 Jun 2008 (see r. 2(a));</w:t>
            </w:r>
            <w:r>
              <w:br/>
              <w:t>Regulations other than r. 1 and 2: 1 Jul 2008 (see r. 2(b))</w:t>
            </w:r>
          </w:p>
        </w:tc>
      </w:tr>
      <w:tr>
        <w:trPr>
          <w:gridBefore w:val="1"/>
          <w:wBefore w:w="28" w:type="dxa"/>
        </w:trPr>
        <w:tc>
          <w:tcPr>
            <w:tcW w:w="3123" w:type="dxa"/>
            <w:gridSpan w:val="2"/>
          </w:tcPr>
          <w:p>
            <w:pPr>
              <w:pStyle w:val="nTable"/>
              <w:spacing w:after="40"/>
              <w:rPr>
                <w:i/>
              </w:rPr>
            </w:pPr>
            <w:r>
              <w:rPr>
                <w:i/>
              </w:rPr>
              <w:t>District Court (Fees) Amendment Regulations 2009</w:t>
            </w:r>
          </w:p>
        </w:tc>
        <w:tc>
          <w:tcPr>
            <w:tcW w:w="1276" w:type="dxa"/>
            <w:gridSpan w:val="2"/>
          </w:tcPr>
          <w:p>
            <w:pPr>
              <w:pStyle w:val="nTable"/>
              <w:spacing w:after="40"/>
            </w:pPr>
            <w:r>
              <w:t>9 Jun 2009 p. 1923</w:t>
            </w:r>
          </w:p>
        </w:tc>
        <w:tc>
          <w:tcPr>
            <w:tcW w:w="2722" w:type="dxa"/>
            <w:gridSpan w:val="3"/>
          </w:tcPr>
          <w:p>
            <w:pPr>
              <w:pStyle w:val="nTable"/>
              <w:spacing w:after="40"/>
            </w:pPr>
            <w:r>
              <w:rPr>
                <w:snapToGrid w:val="0"/>
              </w:rPr>
              <w:t>r. 1 and 2: 9 Jun 2009 (see r. 2(a));</w:t>
            </w:r>
            <w:r>
              <w:rPr>
                <w:snapToGrid w:val="0"/>
              </w:rPr>
              <w:br/>
              <w:t>Regulations other than r. 1 and 2: 10 Jun 2009 (see r. 2(b))</w:t>
            </w:r>
          </w:p>
        </w:tc>
      </w:tr>
      <w:tr>
        <w:trPr>
          <w:gridBefore w:val="1"/>
          <w:wBefore w:w="28" w:type="dxa"/>
        </w:trPr>
        <w:tc>
          <w:tcPr>
            <w:tcW w:w="3123" w:type="dxa"/>
            <w:gridSpan w:val="2"/>
          </w:tcPr>
          <w:p>
            <w:pPr>
              <w:pStyle w:val="nTable"/>
              <w:spacing w:after="40"/>
              <w:rPr>
                <w:i/>
              </w:rPr>
            </w:pPr>
            <w:r>
              <w:rPr>
                <w:i/>
              </w:rPr>
              <w:t>District Court (Fees) Amendment Regulations (No. 2) 2009</w:t>
            </w:r>
          </w:p>
        </w:tc>
        <w:tc>
          <w:tcPr>
            <w:tcW w:w="1276" w:type="dxa"/>
            <w:gridSpan w:val="2"/>
          </w:tcPr>
          <w:p>
            <w:pPr>
              <w:pStyle w:val="nTable"/>
              <w:spacing w:after="40"/>
            </w:pPr>
            <w:r>
              <w:t>4 Sep 2009 p. 3488</w:t>
            </w:r>
            <w:r>
              <w:noBreakHyphen/>
              <w:t>90</w:t>
            </w:r>
          </w:p>
        </w:tc>
        <w:tc>
          <w:tcPr>
            <w:tcW w:w="2722" w:type="dxa"/>
            <w:gridSpan w:val="3"/>
          </w:tcPr>
          <w:p>
            <w:pPr>
              <w:pStyle w:val="nTable"/>
              <w:spacing w:after="40"/>
              <w:rPr>
                <w:snapToGrid w:val="0"/>
              </w:rPr>
            </w:pPr>
            <w:r>
              <w:rPr>
                <w:snapToGrid w:val="0"/>
              </w:rPr>
              <w:t>r. 1 and 2: 4 Sep 2009 (see r. 2(a));</w:t>
            </w:r>
            <w:r>
              <w:rPr>
                <w:snapToGrid w:val="0"/>
              </w:rPr>
              <w:br/>
              <w:t>Regulations other than r. 1 and 2: 5 Sep 2009 (see r. 2(b))</w:t>
            </w:r>
          </w:p>
        </w:tc>
      </w:tr>
      <w:tr>
        <w:trPr>
          <w:gridBefore w:val="1"/>
          <w:wBefore w:w="28" w:type="dxa"/>
          <w:cantSplit/>
        </w:trPr>
        <w:tc>
          <w:tcPr>
            <w:tcW w:w="7121" w:type="dxa"/>
            <w:gridSpan w:val="7"/>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rPr>
          <w:gridBefore w:val="1"/>
          <w:wBefore w:w="28" w:type="dxa"/>
        </w:trPr>
        <w:tc>
          <w:tcPr>
            <w:tcW w:w="3123" w:type="dxa"/>
            <w:gridSpan w:val="2"/>
          </w:tcPr>
          <w:p>
            <w:pPr>
              <w:pStyle w:val="nTable"/>
              <w:keepNext/>
              <w:keepLines/>
              <w:spacing w:after="40"/>
              <w:rPr>
                <w:i/>
              </w:rPr>
            </w:pPr>
            <w:r>
              <w:rPr>
                <w:i/>
              </w:rPr>
              <w:t>District Court (Fees) Amendment Regulations 2010</w:t>
            </w:r>
          </w:p>
        </w:tc>
        <w:tc>
          <w:tcPr>
            <w:tcW w:w="1276" w:type="dxa"/>
            <w:gridSpan w:val="2"/>
          </w:tcPr>
          <w:p>
            <w:pPr>
              <w:pStyle w:val="nTable"/>
              <w:spacing w:after="40"/>
            </w:pPr>
            <w:r>
              <w:t>30 Jul 2010 p. 3497-8</w:t>
            </w:r>
          </w:p>
        </w:tc>
        <w:tc>
          <w:tcPr>
            <w:tcW w:w="2722" w:type="dxa"/>
            <w:gridSpan w:val="3"/>
          </w:tcPr>
          <w:p>
            <w:pPr>
              <w:pStyle w:val="nTable"/>
              <w:spacing w:after="40"/>
              <w:rPr>
                <w:snapToGrid w:val="0"/>
              </w:rPr>
            </w:pPr>
            <w:r>
              <w:rPr>
                <w:snapToGrid w:val="0"/>
              </w:rPr>
              <w:t>r. 1 and 2: 30 Jul 2010 (see r. 2(a));</w:t>
            </w:r>
            <w:r>
              <w:rPr>
                <w:snapToGrid w:val="0"/>
              </w:rPr>
              <w:br/>
              <w:t>Regulations other than r. 1 and 2: 31 Jul 2010 (see r. 2(b))</w:t>
            </w:r>
          </w:p>
        </w:tc>
      </w:tr>
      <w:tr>
        <w:trPr>
          <w:gridBefore w:val="1"/>
          <w:wBefore w:w="28" w:type="dxa"/>
        </w:trPr>
        <w:tc>
          <w:tcPr>
            <w:tcW w:w="3123" w:type="dxa"/>
            <w:gridSpan w:val="2"/>
          </w:tcPr>
          <w:p>
            <w:pPr>
              <w:pStyle w:val="nTable"/>
              <w:spacing w:after="40"/>
              <w:rPr>
                <w:i/>
              </w:rPr>
            </w:pPr>
            <w:r>
              <w:rPr>
                <w:i/>
              </w:rPr>
              <w:t>District Court (Fees) Amendment Regulations 2011</w:t>
            </w:r>
          </w:p>
        </w:tc>
        <w:tc>
          <w:tcPr>
            <w:tcW w:w="1276" w:type="dxa"/>
            <w:gridSpan w:val="2"/>
          </w:tcPr>
          <w:p>
            <w:pPr>
              <w:pStyle w:val="nTable"/>
              <w:spacing w:after="40"/>
            </w:pPr>
            <w:r>
              <w:t>8 Mar 2011 p. 784</w:t>
            </w:r>
            <w:r>
              <w:noBreakHyphen/>
              <w:t>7</w:t>
            </w:r>
          </w:p>
        </w:tc>
        <w:tc>
          <w:tcPr>
            <w:tcW w:w="2722" w:type="dxa"/>
            <w:gridSpan w:val="3"/>
          </w:tcPr>
          <w:p>
            <w:pPr>
              <w:pStyle w:val="nTable"/>
              <w:spacing w:after="40"/>
              <w:rPr>
                <w:snapToGrid w:val="0"/>
              </w:rPr>
            </w:pPr>
            <w:r>
              <w:rPr>
                <w:snapToGrid w:val="0"/>
              </w:rPr>
              <w:t>r. 1 and 2: 8 Mar 2011 (see r. 2(a));</w:t>
            </w:r>
            <w:r>
              <w:rPr>
                <w:snapToGrid w:val="0"/>
              </w:rPr>
              <w:br/>
              <w:t>Regulations other than r. 1 and 2: 9 Mar 2011 (see r. 2(b))</w:t>
            </w:r>
          </w:p>
        </w:tc>
      </w:tr>
      <w:tr>
        <w:trPr>
          <w:gridBefore w:val="1"/>
          <w:wBefore w:w="28" w:type="dxa"/>
        </w:trPr>
        <w:tc>
          <w:tcPr>
            <w:tcW w:w="3123" w:type="dxa"/>
            <w:gridSpan w:val="2"/>
          </w:tcPr>
          <w:p>
            <w:pPr>
              <w:pStyle w:val="nTable"/>
              <w:spacing w:after="40"/>
              <w:rPr>
                <w:i/>
              </w:rPr>
            </w:pPr>
            <w:r>
              <w:rPr>
                <w:i/>
              </w:rPr>
              <w:t>District Court (Fees) Amendment Regulations (No. 2) 2011</w:t>
            </w:r>
          </w:p>
        </w:tc>
        <w:tc>
          <w:tcPr>
            <w:tcW w:w="1276" w:type="dxa"/>
            <w:gridSpan w:val="2"/>
          </w:tcPr>
          <w:p>
            <w:pPr>
              <w:pStyle w:val="nTable"/>
              <w:spacing w:after="40"/>
            </w:pPr>
            <w:r>
              <w:t>20 Dec 2011 p. 5380</w:t>
            </w:r>
            <w:r>
              <w:noBreakHyphen/>
              <w:t>3</w:t>
            </w:r>
          </w:p>
        </w:tc>
        <w:tc>
          <w:tcPr>
            <w:tcW w:w="2722" w:type="dxa"/>
            <w:gridSpan w:val="3"/>
          </w:tcPr>
          <w:p>
            <w:pPr>
              <w:pStyle w:val="nTable"/>
              <w:spacing w:after="40"/>
              <w:rPr>
                <w:snapToGrid w:val="0"/>
              </w:rPr>
            </w:pPr>
            <w:r>
              <w:rPr>
                <w:snapToGrid w:val="0"/>
              </w:rPr>
              <w:t>r. 1 and 2: 20 Dec 2011 (see r. 2(a));</w:t>
            </w:r>
            <w:r>
              <w:rPr>
                <w:snapToGrid w:val="0"/>
              </w:rPr>
              <w:br/>
              <w:t>Regulations other than r. 1 and 2: 21 Dec 2011 (see r. 2(b))</w:t>
            </w:r>
          </w:p>
        </w:tc>
      </w:tr>
      <w:tr>
        <w:trPr>
          <w:gridBefore w:val="1"/>
          <w:wBefore w:w="28" w:type="dxa"/>
        </w:trPr>
        <w:tc>
          <w:tcPr>
            <w:tcW w:w="3123" w:type="dxa"/>
            <w:gridSpan w:val="2"/>
          </w:tcPr>
          <w:p>
            <w:pPr>
              <w:pStyle w:val="nTable"/>
              <w:spacing w:after="40"/>
              <w:rPr>
                <w:i/>
              </w:rPr>
            </w:pPr>
            <w:r>
              <w:rPr>
                <w:i/>
              </w:rPr>
              <w:t>District Court (Fees) Amendment Regulations 2012</w:t>
            </w:r>
          </w:p>
        </w:tc>
        <w:tc>
          <w:tcPr>
            <w:tcW w:w="1276" w:type="dxa"/>
            <w:gridSpan w:val="2"/>
          </w:tcPr>
          <w:p>
            <w:pPr>
              <w:pStyle w:val="nTable"/>
              <w:spacing w:after="40"/>
            </w:pPr>
            <w:r>
              <w:t>27 Mar 2012 p. 1506</w:t>
            </w:r>
          </w:p>
        </w:tc>
        <w:tc>
          <w:tcPr>
            <w:tcW w:w="2722" w:type="dxa"/>
            <w:gridSpan w:val="3"/>
          </w:tcPr>
          <w:p>
            <w:pPr>
              <w:pStyle w:val="nTable"/>
              <w:spacing w:after="40"/>
              <w:rPr>
                <w:snapToGrid w:val="0"/>
              </w:rPr>
            </w:pPr>
            <w:r>
              <w:rPr>
                <w:snapToGrid w:val="0"/>
              </w:rPr>
              <w:t>r. 1 and 2: 27 Mar 2012 (see r. 2(a));</w:t>
            </w:r>
            <w:r>
              <w:rPr>
                <w:snapToGrid w:val="0"/>
              </w:rPr>
              <w:br/>
              <w:t>Regulations other than r. 1 and 2: 28 Mar 2012 (see r. 2(b))</w:t>
            </w:r>
          </w:p>
        </w:tc>
      </w:tr>
      <w:tr>
        <w:trPr>
          <w:gridBefore w:val="1"/>
          <w:wBefore w:w="28" w:type="dxa"/>
        </w:trPr>
        <w:tc>
          <w:tcPr>
            <w:tcW w:w="3123" w:type="dxa"/>
            <w:gridSpan w:val="2"/>
          </w:tcPr>
          <w:p>
            <w:pPr>
              <w:pStyle w:val="nTable"/>
              <w:spacing w:after="40"/>
              <w:rPr>
                <w:i/>
              </w:rPr>
            </w:pPr>
            <w:r>
              <w:rPr>
                <w:i/>
              </w:rPr>
              <w:t>District Court (Fees) Amendment Regulations (No. 3) 2012</w:t>
            </w:r>
          </w:p>
        </w:tc>
        <w:tc>
          <w:tcPr>
            <w:tcW w:w="1276" w:type="dxa"/>
            <w:gridSpan w:val="2"/>
          </w:tcPr>
          <w:p>
            <w:pPr>
              <w:pStyle w:val="nTable"/>
              <w:spacing w:after="40"/>
            </w:pPr>
            <w:r>
              <w:t>30 Nov 2012 p. 5788</w:t>
            </w:r>
            <w:r>
              <w:noBreakHyphen/>
              <w:t>90</w:t>
            </w:r>
          </w:p>
        </w:tc>
        <w:tc>
          <w:tcPr>
            <w:tcW w:w="2722" w:type="dxa"/>
            <w:gridSpan w:val="3"/>
          </w:tcPr>
          <w:p>
            <w:pPr>
              <w:pStyle w:val="nTable"/>
              <w:spacing w:after="40"/>
              <w:rPr>
                <w:snapToGrid w:val="0"/>
              </w:rPr>
            </w:pPr>
            <w:r>
              <w:rPr>
                <w:snapToGrid w:val="0"/>
              </w:rPr>
              <w:t>r. 1 and 2: 30 Nov 2012 (see r. 2(a));</w:t>
            </w:r>
            <w:r>
              <w:rPr>
                <w:snapToGrid w:val="0"/>
              </w:rPr>
              <w:br/>
              <w:t>Regulations other than r. 1 and 2: 1 Dec 2012 (see r. 2(b))</w:t>
            </w:r>
          </w:p>
        </w:tc>
      </w:tr>
      <w:tr>
        <w:trPr>
          <w:gridBefore w:val="1"/>
          <w:wBefore w:w="28" w:type="dxa"/>
        </w:trPr>
        <w:tc>
          <w:tcPr>
            <w:tcW w:w="3123" w:type="dxa"/>
            <w:gridSpan w:val="2"/>
          </w:tcPr>
          <w:p>
            <w:pPr>
              <w:pStyle w:val="nTable"/>
              <w:spacing w:after="40"/>
              <w:rPr>
                <w:rFonts w:ascii="Times" w:hAnsi="Times"/>
              </w:rPr>
            </w:pPr>
            <w:r>
              <w:rPr>
                <w:i/>
              </w:rPr>
              <w:t>District Court (Fees) Amendment Regulations 2013</w:t>
            </w:r>
          </w:p>
        </w:tc>
        <w:tc>
          <w:tcPr>
            <w:tcW w:w="1276" w:type="dxa"/>
            <w:gridSpan w:val="2"/>
          </w:tcPr>
          <w:p>
            <w:pPr>
              <w:pStyle w:val="nTable"/>
              <w:spacing w:after="40"/>
              <w:rPr>
                <w:rFonts w:ascii="Times" w:hAnsi="Times"/>
              </w:rPr>
            </w:pPr>
            <w:r>
              <w:t>19 Jul 2013 p. 3267</w:t>
            </w:r>
            <w:r>
              <w:noBreakHyphen/>
              <w:t>8</w:t>
            </w:r>
          </w:p>
        </w:tc>
        <w:tc>
          <w:tcPr>
            <w:tcW w:w="2722" w:type="dxa"/>
            <w:gridSpan w:val="3"/>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rPr>
          <w:gridBefore w:val="1"/>
          <w:wBefore w:w="28" w:type="dxa"/>
        </w:trPr>
        <w:tc>
          <w:tcPr>
            <w:tcW w:w="3123" w:type="dxa"/>
            <w:gridSpan w:val="2"/>
          </w:tcPr>
          <w:p>
            <w:pPr>
              <w:pStyle w:val="nTable"/>
              <w:spacing w:after="40"/>
              <w:rPr>
                <w:i/>
              </w:rPr>
            </w:pPr>
            <w:r>
              <w:rPr>
                <w:i/>
              </w:rPr>
              <w:t>District Court (Fees) Amendment Regulations (No. 2) 2013</w:t>
            </w:r>
          </w:p>
        </w:tc>
        <w:tc>
          <w:tcPr>
            <w:tcW w:w="1276" w:type="dxa"/>
            <w:gridSpan w:val="2"/>
          </w:tcPr>
          <w:p>
            <w:pPr>
              <w:pStyle w:val="nTable"/>
              <w:spacing w:after="40"/>
            </w:pPr>
            <w:r>
              <w:t>15 Nov 2013 p. 5243</w:t>
            </w:r>
            <w:r>
              <w:noBreakHyphen/>
              <w:t>5</w:t>
            </w:r>
          </w:p>
        </w:tc>
        <w:tc>
          <w:tcPr>
            <w:tcW w:w="2722" w:type="dxa"/>
            <w:gridSpan w:val="3"/>
          </w:tcPr>
          <w:p>
            <w:pPr>
              <w:pStyle w:val="nTable"/>
              <w:spacing w:after="40"/>
            </w:pPr>
            <w:r>
              <w:rPr>
                <w:bCs/>
                <w:snapToGrid w:val="0"/>
              </w:rPr>
              <w:t>r. 1 and 2: 15 Nov 2013 (see r. 2(a));</w:t>
            </w:r>
            <w:r>
              <w:rPr>
                <w:bCs/>
                <w:snapToGrid w:val="0"/>
              </w:rPr>
              <w:br/>
              <w:t>Regulations other than r. 1 and 2: 16 Nov 2013 (see r. 2(b))</w:t>
            </w:r>
          </w:p>
        </w:tc>
      </w:tr>
      <w:tr>
        <w:trPr>
          <w:gridBefore w:val="1"/>
          <w:wBefore w:w="28" w:type="dxa"/>
        </w:trPr>
        <w:tc>
          <w:tcPr>
            <w:tcW w:w="3123" w:type="dxa"/>
            <w:gridSpan w:val="2"/>
            <w:shd w:val="clear" w:color="auto" w:fill="auto"/>
          </w:tcPr>
          <w:p>
            <w:pPr>
              <w:pStyle w:val="nTable"/>
              <w:spacing w:after="40"/>
              <w:rPr>
                <w:i/>
              </w:rPr>
            </w:pPr>
            <w:r>
              <w:rPr>
                <w:i/>
              </w:rPr>
              <w:t>District Court (Fees) Amendment Regulations (No. 3) 2014</w:t>
            </w:r>
          </w:p>
        </w:tc>
        <w:tc>
          <w:tcPr>
            <w:tcW w:w="1276" w:type="dxa"/>
            <w:gridSpan w:val="2"/>
            <w:shd w:val="clear" w:color="auto" w:fill="auto"/>
          </w:tcPr>
          <w:p>
            <w:pPr>
              <w:pStyle w:val="nTable"/>
              <w:spacing w:after="40"/>
            </w:pPr>
            <w:r>
              <w:t>27 Jun 2014 p. 2338-40</w:t>
            </w:r>
          </w:p>
        </w:tc>
        <w:tc>
          <w:tcPr>
            <w:tcW w:w="2722" w:type="dxa"/>
            <w:gridSpan w:val="3"/>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rPr>
          <w:gridBefore w:val="1"/>
          <w:wBefore w:w="28" w:type="dxa"/>
        </w:trPr>
        <w:tc>
          <w:tcPr>
            <w:tcW w:w="7121" w:type="dxa"/>
            <w:gridSpan w:val="7"/>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rPr>
          <w:gridBefore w:val="1"/>
          <w:wBefore w:w="28" w:type="dxa"/>
        </w:trPr>
        <w:tc>
          <w:tcPr>
            <w:tcW w:w="3123" w:type="dxa"/>
            <w:gridSpan w:val="2"/>
            <w:shd w:val="clear" w:color="auto" w:fill="auto"/>
          </w:tcPr>
          <w:p>
            <w:pPr>
              <w:pStyle w:val="nTable"/>
              <w:spacing w:after="40"/>
              <w:rPr>
                <w:i/>
              </w:rPr>
            </w:pPr>
            <w:r>
              <w:rPr>
                <w:i/>
              </w:rPr>
              <w:t>District Court (Fees) Amendment Regulations 2015</w:t>
            </w:r>
            <w:r>
              <w:t> </w:t>
            </w:r>
          </w:p>
        </w:tc>
        <w:tc>
          <w:tcPr>
            <w:tcW w:w="1276" w:type="dxa"/>
            <w:gridSpan w:val="2"/>
            <w:shd w:val="clear" w:color="auto" w:fill="auto"/>
          </w:tcPr>
          <w:p>
            <w:pPr>
              <w:pStyle w:val="nTable"/>
              <w:spacing w:after="40"/>
            </w:pPr>
            <w:r>
              <w:t>10 Feb 2015 p. 607</w:t>
            </w:r>
          </w:p>
        </w:tc>
        <w:tc>
          <w:tcPr>
            <w:tcW w:w="2722" w:type="dxa"/>
            <w:gridSpan w:val="3"/>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gridBefore w:val="1"/>
          <w:wBefore w:w="28" w:type="dxa"/>
        </w:trPr>
        <w:tc>
          <w:tcPr>
            <w:tcW w:w="3123" w:type="dxa"/>
            <w:gridSpan w:val="2"/>
            <w:shd w:val="clear" w:color="auto" w:fill="auto"/>
          </w:tcPr>
          <w:p>
            <w:pPr>
              <w:pStyle w:val="nTable"/>
              <w:keepNext/>
              <w:spacing w:after="40"/>
              <w:rPr>
                <w:i/>
              </w:rPr>
            </w:pPr>
            <w:r>
              <w:rPr>
                <w:i/>
              </w:rPr>
              <w:t>District Court (Fees) Amendment Regulations (No. 2) 2015</w:t>
            </w:r>
          </w:p>
        </w:tc>
        <w:tc>
          <w:tcPr>
            <w:tcW w:w="1276" w:type="dxa"/>
            <w:gridSpan w:val="2"/>
            <w:shd w:val="clear" w:color="auto" w:fill="auto"/>
          </w:tcPr>
          <w:p>
            <w:pPr>
              <w:pStyle w:val="nTable"/>
              <w:keepNext/>
              <w:spacing w:after="40"/>
            </w:pPr>
            <w:r>
              <w:t>19 Jun 2015 p. 2119</w:t>
            </w:r>
            <w:r>
              <w:noBreakHyphen/>
              <w:t>22</w:t>
            </w:r>
          </w:p>
        </w:tc>
        <w:tc>
          <w:tcPr>
            <w:tcW w:w="2722" w:type="dxa"/>
            <w:gridSpan w:val="3"/>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rPr>
          <w:gridBefore w:val="1"/>
          <w:wBefore w:w="28" w:type="dxa"/>
        </w:trPr>
        <w:tc>
          <w:tcPr>
            <w:tcW w:w="3123" w:type="dxa"/>
            <w:gridSpan w:val="2"/>
            <w:shd w:val="clear" w:color="auto" w:fill="auto"/>
          </w:tcPr>
          <w:p>
            <w:pPr>
              <w:pStyle w:val="nTable"/>
              <w:spacing w:after="40"/>
              <w:rPr>
                <w:i/>
              </w:rPr>
            </w:pPr>
            <w:r>
              <w:rPr>
                <w:i/>
              </w:rPr>
              <w:t>Attorney General Regulations Amendment (Fees) Regulations 2016</w:t>
            </w:r>
            <w:r>
              <w:t xml:space="preserve"> Pt. 5</w:t>
            </w:r>
          </w:p>
        </w:tc>
        <w:tc>
          <w:tcPr>
            <w:tcW w:w="1276" w:type="dxa"/>
            <w:gridSpan w:val="2"/>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3"/>
            <w:shd w:val="clear" w:color="auto" w:fill="auto"/>
          </w:tcPr>
          <w:p>
            <w:pPr>
              <w:pStyle w:val="nTable"/>
              <w:spacing w:after="40"/>
              <w:rPr>
                <w:rFonts w:ascii="Times" w:hAnsi="Times"/>
                <w:bCs/>
                <w:snapToGrid w:val="0"/>
                <w:spacing w:val="-2"/>
              </w:rPr>
            </w:pPr>
            <w:r>
              <w:t>4 Jul 2016 (see r. 2(b))</w:t>
            </w:r>
          </w:p>
        </w:tc>
      </w:tr>
      <w:tr>
        <w:trPr>
          <w:gridBefore w:val="1"/>
          <w:wBefore w:w="28" w:type="dxa"/>
        </w:trPr>
        <w:tc>
          <w:tcPr>
            <w:tcW w:w="3123" w:type="dxa"/>
            <w:gridSpan w:val="2"/>
            <w:shd w:val="clear" w:color="auto" w:fill="auto"/>
          </w:tcPr>
          <w:p>
            <w:pPr>
              <w:pStyle w:val="nTable"/>
              <w:spacing w:after="40"/>
            </w:pPr>
            <w:r>
              <w:rPr>
                <w:i/>
              </w:rPr>
              <w:t>District Court (Fees) Amendment Regulations (No. 2) 2016</w:t>
            </w:r>
            <w:r>
              <w:t xml:space="preserve"> Pt. 2</w:t>
            </w:r>
          </w:p>
        </w:tc>
        <w:tc>
          <w:tcPr>
            <w:tcW w:w="1276" w:type="dxa"/>
            <w:gridSpan w:val="2"/>
            <w:shd w:val="clear" w:color="auto" w:fill="auto"/>
          </w:tcPr>
          <w:p>
            <w:pPr>
              <w:pStyle w:val="nTable"/>
              <w:spacing w:after="40"/>
            </w:pPr>
            <w:r>
              <w:t>9 Sep 2016 p. 3886</w:t>
            </w:r>
          </w:p>
        </w:tc>
        <w:tc>
          <w:tcPr>
            <w:tcW w:w="2722" w:type="dxa"/>
            <w:gridSpan w:val="3"/>
            <w:shd w:val="clear" w:color="auto" w:fill="auto"/>
          </w:tcPr>
          <w:p>
            <w:pPr>
              <w:pStyle w:val="nTable"/>
              <w:spacing w:after="40"/>
            </w:pPr>
            <w:r>
              <w:t>10 Sep 2016 (see r. 2(b))</w:t>
            </w:r>
          </w:p>
        </w:tc>
      </w:tr>
      <w:tr>
        <w:trPr>
          <w:gridBefore w:val="1"/>
          <w:gridAfter w:val="1"/>
          <w:wBefore w:w="28" w:type="dxa"/>
          <w:wAfter w:w="10" w:type="dxa"/>
        </w:trPr>
        <w:tc>
          <w:tcPr>
            <w:tcW w:w="3123" w:type="dxa"/>
            <w:gridSpan w:val="2"/>
            <w:shd w:val="clear" w:color="auto" w:fill="auto"/>
          </w:tcPr>
          <w:p>
            <w:pPr>
              <w:pStyle w:val="nTable"/>
              <w:spacing w:after="40"/>
            </w:pPr>
            <w:r>
              <w:rPr>
                <w:i/>
              </w:rPr>
              <w:t xml:space="preserve">Attorney General Regulations Amendment (Fees and Charges) Regulations 2017 </w:t>
            </w:r>
            <w:r>
              <w:t>Pt. 5</w:t>
            </w:r>
          </w:p>
        </w:tc>
        <w:tc>
          <w:tcPr>
            <w:tcW w:w="1276" w:type="dxa"/>
            <w:gridSpan w:val="2"/>
            <w:shd w:val="clear" w:color="auto" w:fill="auto"/>
          </w:tcPr>
          <w:p>
            <w:pPr>
              <w:pStyle w:val="nTable"/>
              <w:spacing w:after="40"/>
            </w:pPr>
            <w:r>
              <w:t>7 Jul 2017 p. 3721</w:t>
            </w:r>
            <w:r>
              <w:noBreakHyphen/>
              <w:t>98</w:t>
            </w:r>
          </w:p>
        </w:tc>
        <w:tc>
          <w:tcPr>
            <w:tcW w:w="2712" w:type="dxa"/>
            <w:gridSpan w:val="2"/>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Before w:val="1"/>
          <w:gridAfter w:val="1"/>
          <w:wBefore w:w="28" w:type="dxa"/>
          <w:wAfter w:w="10" w:type="dxa"/>
        </w:trPr>
        <w:tc>
          <w:tcPr>
            <w:tcW w:w="3123" w:type="dxa"/>
            <w:gridSpan w:val="2"/>
            <w:shd w:val="clear" w:color="auto" w:fill="auto"/>
          </w:tcPr>
          <w:p>
            <w:pPr>
              <w:pStyle w:val="nTable"/>
              <w:spacing w:after="40"/>
              <w:rPr>
                <w:i/>
              </w:rPr>
            </w:pPr>
            <w:r>
              <w:rPr>
                <w:i/>
              </w:rPr>
              <w:t>District Court (Fees) Amendment Regulations 2017</w:t>
            </w:r>
          </w:p>
        </w:tc>
        <w:tc>
          <w:tcPr>
            <w:tcW w:w="1276" w:type="dxa"/>
            <w:gridSpan w:val="2"/>
            <w:shd w:val="clear" w:color="auto" w:fill="auto"/>
          </w:tcPr>
          <w:p>
            <w:pPr>
              <w:pStyle w:val="nTable"/>
              <w:spacing w:after="40"/>
            </w:pPr>
            <w:r>
              <w:t>14 Jul 2017 p. 3949</w:t>
            </w:r>
            <w:r>
              <w:noBreakHyphen/>
              <w:t>50</w:t>
            </w:r>
          </w:p>
        </w:tc>
        <w:tc>
          <w:tcPr>
            <w:tcW w:w="2712" w:type="dxa"/>
            <w:gridSpan w:val="2"/>
            <w:shd w:val="clear" w:color="auto" w:fill="auto"/>
          </w:tcPr>
          <w:p>
            <w:pPr>
              <w:pStyle w:val="nTable"/>
              <w:spacing w:after="40"/>
              <w:rPr>
                <w:bCs/>
                <w:snapToGrid w:val="0"/>
              </w:rPr>
            </w:pPr>
            <w:r>
              <w:rPr>
                <w:rFonts w:ascii="Times" w:hAnsi="Times"/>
                <w:bCs/>
                <w:snapToGrid w:val="0"/>
                <w:spacing w:val="-2"/>
              </w:rPr>
              <w:t>r. 1 and 2: 14 Jul 2017 (see r. 2(a));</w:t>
            </w:r>
            <w:r>
              <w:rPr>
                <w:rFonts w:ascii="Times" w:hAnsi="Times"/>
                <w:bCs/>
                <w:snapToGrid w:val="0"/>
                <w:spacing w:val="-2"/>
              </w:rPr>
              <w:br/>
              <w:t>Regulations other than r. 1 and 2: 15 Jul 2017 (see r. 2(b))</w:t>
            </w:r>
          </w:p>
        </w:tc>
      </w:tr>
      <w:tr>
        <w:trPr>
          <w:gridBefore w:val="1"/>
          <w:gridAfter w:val="1"/>
          <w:wBefore w:w="28" w:type="dxa"/>
          <w:wAfter w:w="10" w:type="dxa"/>
        </w:trPr>
        <w:tc>
          <w:tcPr>
            <w:tcW w:w="3123" w:type="dxa"/>
            <w:gridSpan w:val="2"/>
            <w:shd w:val="clear" w:color="auto" w:fill="auto"/>
          </w:tcPr>
          <w:p>
            <w:pPr>
              <w:pStyle w:val="nTable"/>
              <w:spacing w:after="40"/>
              <w:rPr>
                <w:i/>
              </w:rPr>
            </w:pPr>
            <w:r>
              <w:rPr>
                <w:i/>
              </w:rPr>
              <w:t>Attorney General Regulations Amendment (Bailiff Fees) Regulations 2018</w:t>
            </w:r>
            <w:r>
              <w:t xml:space="preserve"> Pt. 4</w:t>
            </w:r>
          </w:p>
        </w:tc>
        <w:tc>
          <w:tcPr>
            <w:tcW w:w="1276" w:type="dxa"/>
            <w:gridSpan w:val="2"/>
            <w:shd w:val="clear" w:color="auto" w:fill="auto"/>
          </w:tcPr>
          <w:p>
            <w:pPr>
              <w:pStyle w:val="nTable"/>
              <w:spacing w:after="40"/>
            </w:pPr>
            <w:r>
              <w:t>9 Feb 2018 p. 401</w:t>
            </w:r>
            <w:r>
              <w:noBreakHyphen/>
              <w:t>5</w:t>
            </w:r>
          </w:p>
        </w:tc>
        <w:tc>
          <w:tcPr>
            <w:tcW w:w="2712" w:type="dxa"/>
            <w:gridSpan w:val="2"/>
            <w:shd w:val="clear" w:color="auto" w:fill="auto"/>
          </w:tcPr>
          <w:p>
            <w:pPr>
              <w:pStyle w:val="nTable"/>
              <w:spacing w:after="40"/>
              <w:rPr>
                <w:rFonts w:ascii="Times" w:hAnsi="Times"/>
                <w:bCs/>
                <w:snapToGrid w:val="0"/>
                <w:spacing w:val="-2"/>
              </w:rPr>
            </w:pPr>
            <w:r>
              <w:rPr>
                <w:bCs/>
                <w:snapToGrid w:val="0"/>
              </w:rPr>
              <w:t>10 Feb 2018 (see r. 2(b))</w:t>
            </w:r>
          </w:p>
        </w:tc>
      </w:tr>
      <w:tr>
        <w:trPr>
          <w:gridAfter w:val="2"/>
          <w:wAfter w:w="62" w:type="dxa"/>
        </w:trPr>
        <w:tc>
          <w:tcPr>
            <w:tcW w:w="3118" w:type="dxa"/>
            <w:gridSpan w:val="2"/>
            <w:shd w:val="clear" w:color="auto" w:fill="auto"/>
          </w:tcPr>
          <w:p>
            <w:pPr>
              <w:pStyle w:val="nTable"/>
              <w:spacing w:after="40"/>
            </w:pPr>
            <w:r>
              <w:rPr>
                <w:i/>
              </w:rPr>
              <w:t>Attorney General Regulations Amendment (Fees and Charges) Regulations 2018</w:t>
            </w:r>
            <w:r>
              <w:t xml:space="preserve"> Pt. 5</w:t>
            </w:r>
          </w:p>
        </w:tc>
        <w:tc>
          <w:tcPr>
            <w:tcW w:w="1276" w:type="dxa"/>
            <w:gridSpan w:val="2"/>
            <w:shd w:val="clear" w:color="auto" w:fill="auto"/>
          </w:tcPr>
          <w:p>
            <w:pPr>
              <w:pStyle w:val="nTable"/>
              <w:spacing w:after="40"/>
            </w:pPr>
            <w:r>
              <w:t>15 Jun 2018 p. 1963</w:t>
            </w:r>
            <w:r>
              <w:noBreakHyphen/>
              <w:t>2049</w:t>
            </w:r>
          </w:p>
        </w:tc>
        <w:tc>
          <w:tcPr>
            <w:tcW w:w="2693" w:type="dxa"/>
            <w:gridSpan w:val="2"/>
            <w:shd w:val="clear" w:color="auto" w:fill="auto"/>
          </w:tcPr>
          <w:p>
            <w:pPr>
              <w:pStyle w:val="nTable"/>
              <w:spacing w:after="40"/>
              <w:rPr>
                <w:bCs/>
                <w:snapToGrid w:val="0"/>
              </w:rPr>
            </w:pPr>
            <w:r>
              <w:rPr>
                <w:bCs/>
                <w:snapToGrid w:val="0"/>
              </w:rPr>
              <w:t>1 Jul 2018 (see r. 2(b))</w:t>
            </w:r>
          </w:p>
        </w:tc>
      </w:tr>
      <w:tr>
        <w:trPr>
          <w:gridAfter w:val="2"/>
          <w:wAfter w:w="62" w:type="dxa"/>
          <w:ins w:id="129" w:author="Master Repository Process" w:date="2021-08-01T05:40:00Z"/>
        </w:trPr>
        <w:tc>
          <w:tcPr>
            <w:tcW w:w="3118" w:type="dxa"/>
            <w:gridSpan w:val="2"/>
            <w:tcBorders>
              <w:bottom w:val="single" w:sz="4" w:space="0" w:color="auto"/>
            </w:tcBorders>
            <w:shd w:val="clear" w:color="auto" w:fill="auto"/>
          </w:tcPr>
          <w:p>
            <w:pPr>
              <w:pStyle w:val="nTable"/>
              <w:keepNext/>
              <w:spacing w:after="40"/>
              <w:rPr>
                <w:ins w:id="130" w:author="Master Repository Process" w:date="2021-08-01T05:40:00Z"/>
              </w:rPr>
            </w:pPr>
            <w:ins w:id="131" w:author="Master Repository Process" w:date="2021-08-01T05:40:00Z">
              <w:r>
                <w:rPr>
                  <w:i/>
                </w:rPr>
                <w:t>Justice Regulations Amendment (Fee Relief) Regulations 2018</w:t>
              </w:r>
              <w:r>
                <w:t xml:space="preserve"> Pt. 5</w:t>
              </w:r>
            </w:ins>
          </w:p>
        </w:tc>
        <w:tc>
          <w:tcPr>
            <w:tcW w:w="1276" w:type="dxa"/>
            <w:gridSpan w:val="2"/>
            <w:tcBorders>
              <w:bottom w:val="single" w:sz="4" w:space="0" w:color="auto"/>
            </w:tcBorders>
            <w:shd w:val="clear" w:color="auto" w:fill="auto"/>
          </w:tcPr>
          <w:p>
            <w:pPr>
              <w:pStyle w:val="nTable"/>
              <w:keepNext/>
              <w:spacing w:after="40"/>
              <w:rPr>
                <w:ins w:id="132" w:author="Master Repository Process" w:date="2021-08-01T05:40:00Z"/>
              </w:rPr>
            </w:pPr>
            <w:ins w:id="133" w:author="Master Repository Process" w:date="2021-08-01T05:40:00Z">
              <w:r>
                <w:t>20 Jul 2018 p. 2621</w:t>
              </w:r>
              <w:r>
                <w:noBreakHyphen/>
                <w:t>30</w:t>
              </w:r>
            </w:ins>
          </w:p>
        </w:tc>
        <w:tc>
          <w:tcPr>
            <w:tcW w:w="2693" w:type="dxa"/>
            <w:gridSpan w:val="2"/>
            <w:tcBorders>
              <w:bottom w:val="single" w:sz="4" w:space="0" w:color="auto"/>
            </w:tcBorders>
            <w:shd w:val="clear" w:color="auto" w:fill="auto"/>
          </w:tcPr>
          <w:p>
            <w:pPr>
              <w:pStyle w:val="nTable"/>
              <w:keepNext/>
              <w:spacing w:after="40"/>
              <w:rPr>
                <w:ins w:id="134" w:author="Master Repository Process" w:date="2021-08-01T05:40:00Z"/>
                <w:bCs/>
                <w:snapToGrid w:val="0"/>
              </w:rPr>
            </w:pPr>
            <w:ins w:id="135" w:author="Master Repository Process" w:date="2021-08-01T05:40:00Z">
              <w:r>
                <w:rPr>
                  <w:rFonts w:ascii="Times" w:hAnsi="Times"/>
                  <w:bCs/>
                  <w:snapToGrid w:val="0"/>
                </w:rPr>
                <w:t>21 Jul 2018 (see r. 2(b))</w:t>
              </w:r>
            </w:ins>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6" w:name="Compilation"/>
    <w:bookmarkEnd w:id="136"/>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7" w:name="Coversheet"/>
    <w:bookmarkEnd w:id="1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15" w:name="Schedule"/>
    <w:bookmarkEnd w:id="11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719102650"/>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1D861614-15AD-4BF2-91AB-781D0FE2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C0480-7264-43E4-BCFF-13E7C7E75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7472</Words>
  <Characters>36244</Characters>
  <Application>Microsoft Office Word</Application>
  <DocSecurity>0</DocSecurity>
  <Lines>2132</Lines>
  <Paragraphs>993</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03-l0-01 - 03-m0-00</dc:title>
  <dc:subject/>
  <dc:creator/>
  <cp:keywords/>
  <dc:description/>
  <cp:lastModifiedBy>Master Repository Process</cp:lastModifiedBy>
  <cp:revision>2</cp:revision>
  <cp:lastPrinted>2016-07-22T01:04:00Z</cp:lastPrinted>
  <dcterms:created xsi:type="dcterms:W3CDTF">2021-07-31T21:40:00Z</dcterms:created>
  <dcterms:modified xsi:type="dcterms:W3CDTF">2021-07-31T21:40:00Z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20180721</vt:lpwstr>
  </property>
  <property fmtid="{D5CDD505-2E9C-101B-9397-08002B2CF9AE}" pid="8" name="FromSuffix">
    <vt:lpwstr>03-l0-01</vt:lpwstr>
  </property>
  <property fmtid="{D5CDD505-2E9C-101B-9397-08002B2CF9AE}" pid="9" name="FromAsAtDate">
    <vt:lpwstr>01 Jul 2018</vt:lpwstr>
  </property>
  <property fmtid="{D5CDD505-2E9C-101B-9397-08002B2CF9AE}" pid="10" name="ToSuffix">
    <vt:lpwstr>03-m0-00</vt:lpwstr>
  </property>
  <property fmtid="{D5CDD505-2E9C-101B-9397-08002B2CF9AE}" pid="11" name="ToAsAtDate">
    <vt:lpwstr>21 Jul 2018</vt:lpwstr>
  </property>
</Properties>
</file>