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(Member Testing)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Feb 2018</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18 Aug 2018</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Police Act 1892</w:t>
      </w:r>
    </w:p>
    <w:p>
      <w:pPr>
        <w:pStyle w:val="NameofActReg"/>
      </w:pPr>
      <w:r>
        <w:t>Police Force (Member Testing) Regulations 2011</w:t>
      </w:r>
    </w:p>
    <w:p>
      <w:pPr>
        <w:pStyle w:val="Heading2"/>
        <w:keepNext w:val="0"/>
        <w:pageBreakBefore w:val="0"/>
        <w:spacing w:before="240"/>
      </w:pPr>
      <w:bookmarkStart w:id="1" w:name="_Toc506544253"/>
      <w:bookmarkStart w:id="2" w:name="_Toc522200652"/>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 and application</w:t>
      </w:r>
      <w:bookmarkEnd w:id="1"/>
      <w:bookmarkEnd w:id="2"/>
    </w:p>
    <w:p>
      <w:pPr>
        <w:pStyle w:val="Heading5"/>
      </w:pPr>
      <w:bookmarkStart w:id="4" w:name="_Toc522200653"/>
      <w:bookmarkStart w:id="5" w:name="_Toc506544254"/>
      <w:r>
        <w:rPr>
          <w:rStyle w:val="CharSectno"/>
        </w:rPr>
        <w:t>1</w:t>
      </w:r>
      <w:r>
        <w:t>.</w:t>
      </w:r>
      <w:r>
        <w:tab/>
        <w:t>Citation</w:t>
      </w:r>
      <w:bookmarkEnd w:id="4"/>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Police Force (Member Testing) Regulations 2011</w:t>
      </w:r>
      <w:r>
        <w:rPr>
          <w:vertAlign w:val="superscript"/>
        </w:rPr>
        <w:t> 1</w:t>
      </w:r>
      <w:r>
        <w:t>.</w:t>
      </w:r>
    </w:p>
    <w:p>
      <w:pPr>
        <w:pStyle w:val="Heading5"/>
      </w:pPr>
      <w:bookmarkStart w:id="7" w:name="_Toc522200654"/>
      <w:bookmarkStart w:id="8" w:name="_Toc506544255"/>
      <w:r>
        <w:rPr>
          <w:rStyle w:val="CharSectno"/>
        </w:rPr>
        <w:t>2</w:t>
      </w:r>
      <w:r>
        <w:t>.</w:t>
      </w:r>
      <w:r>
        <w:tab/>
        <w:t>Commencement</w:t>
      </w:r>
      <w:bookmarkEnd w:id="7"/>
      <w:bookmarkEnd w:id="8"/>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9" w:name="_Toc522200655"/>
      <w:bookmarkStart w:id="10" w:name="_Toc506544256"/>
      <w:r>
        <w:rPr>
          <w:rStyle w:val="CharSectno"/>
        </w:rPr>
        <w:t>3</w:t>
      </w:r>
      <w:r>
        <w:t>.</w:t>
      </w:r>
      <w:r>
        <w:tab/>
        <w:t>Terms used</w:t>
      </w:r>
      <w:bookmarkEnd w:id="9"/>
      <w:bookmarkEnd w:id="10"/>
    </w:p>
    <w:p>
      <w:pPr>
        <w:pStyle w:val="Subsection"/>
      </w:pPr>
      <w:r>
        <w:tab/>
        <w:t>(1)</w:t>
      </w:r>
      <w:r>
        <w:tab/>
        <w:t xml:space="preserve">In these regulations — </w:t>
      </w:r>
    </w:p>
    <w:p>
      <w:pPr>
        <w:pStyle w:val="Defstart"/>
      </w:pPr>
      <w: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tab/>
      </w:r>
      <w:r>
        <w:rPr>
          <w:rStyle w:val="CharDefText"/>
        </w:rPr>
        <w:t>approved person</w:t>
      </w:r>
      <w:r>
        <w:t xml:space="preserve"> means a person approved by the Commissioner under regulation 5;</w:t>
      </w:r>
    </w:p>
    <w:p>
      <w:pPr>
        <w:pStyle w:val="Defstart"/>
      </w:pPr>
      <w:r>
        <w:tab/>
      </w:r>
      <w:r>
        <w:rPr>
          <w:rStyle w:val="CharDefText"/>
        </w:rPr>
        <w:t>approved sample collector</w:t>
      </w:r>
      <w:r>
        <w:t xml:space="preserve"> means a person approved </w:t>
      </w:r>
      <w:del w:id="11" w:author="Master Repository Process" w:date="2021-09-11T15:18:00Z">
        <w:r>
          <w:delText>to collect samples of breath, oral fluid, urine and hair</w:delText>
        </w:r>
      </w:del>
      <w:ins w:id="12" w:author="Master Repository Process" w:date="2021-09-11T15:18:00Z">
        <w:r>
          <w:t>by the Commissioner</w:t>
        </w:r>
      </w:ins>
      <w:r>
        <w:t xml:space="preserve"> under regulation 6;</w:t>
      </w:r>
    </w:p>
    <w:p>
      <w:pPr>
        <w:pStyle w:val="Defstart"/>
        <w:keepNext/>
      </w:pPr>
      <w:r>
        <w:tab/>
      </w:r>
      <w:r>
        <w:rPr>
          <w:rStyle w:val="CharDefText"/>
        </w:rPr>
        <w:t>authorised person</w:t>
      </w:r>
      <w:r>
        <w:t xml:space="preserve">, in relation to breath testing and analysis, means a person certified under a written law of the State, by — </w:t>
      </w:r>
    </w:p>
    <w:p>
      <w:pPr>
        <w:pStyle w:val="Defpara"/>
      </w:pPr>
      <w:r>
        <w:tab/>
        <w:t>(a)</w:t>
      </w:r>
      <w:r>
        <w:tab/>
        <w:t>the chief executive officer of the Chemistry Centre (WA); or</w:t>
      </w:r>
    </w:p>
    <w:p>
      <w:pPr>
        <w:pStyle w:val="Defpara"/>
      </w:pPr>
      <w:r>
        <w:tab/>
        <w:t>(b)</w:t>
      </w:r>
      <w:r>
        <w:tab/>
        <w:t>the Commissioner,</w:t>
      </w:r>
    </w:p>
    <w:p>
      <w:pPr>
        <w:pStyle w:val="Defstart"/>
        <w:rPr>
          <w:rStyle w:val="DraftersNotes"/>
        </w:rPr>
      </w:pPr>
      <w:r>
        <w:tab/>
        <w:t>as being competent to operate all types of breath analysing equipment and self</w:t>
      </w:r>
      <w:r>
        <w:noBreakHyphen/>
        <w:t>testing analysing equipment;</w:t>
      </w:r>
    </w:p>
    <w:p>
      <w:pPr>
        <w:pStyle w:val="Defstart"/>
      </w:pPr>
      <w:r>
        <w:tab/>
      </w:r>
      <w:r>
        <w:rPr>
          <w:rStyle w:val="CharDefText"/>
        </w:rPr>
        <w:t>confirmed adverse test result for alcohol</w:t>
      </w:r>
      <w:r>
        <w:t xml:space="preserve"> means analysis of a sample of breath carried out using breath analysing equipment or self</w:t>
      </w:r>
      <w:r>
        <w:noBreakHyphen/>
        <w:t>testing analysing equipment showing the concentration of alcohol in a person’s blood to be 0.02g of alcohol per 100 ml of blood or more;</w:t>
      </w:r>
    </w:p>
    <w:p>
      <w:pPr>
        <w:pStyle w:val="Defstart"/>
      </w:pPr>
      <w:r>
        <w:tab/>
      </w:r>
      <w:r>
        <w:rPr>
          <w:rStyle w:val="CharDefText"/>
        </w:rPr>
        <w:t>confirmed adverse test result for drugs</w:t>
      </w:r>
      <w:r>
        <w:t xml:space="preserve"> means analysis of a sample of oral fluid, urine, blood or hair carried out by a drugs analyst showing evidence of the presence, or of ingestion, of a drug;</w:t>
      </w:r>
    </w:p>
    <w:p>
      <w:pPr>
        <w:pStyle w:val="Defstar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member; or</w:t>
      </w:r>
    </w:p>
    <w:p>
      <w:pPr>
        <w:pStyle w:val="Defpara"/>
      </w:pPr>
      <w:r>
        <w:tab/>
        <w:t>(b)</w:t>
      </w:r>
      <w:r>
        <w:tab/>
        <w:t>the death, or serious injury, of a person when the death or injury is connected to, or arising from, the exercise of authority by a member; or</w:t>
      </w:r>
    </w:p>
    <w:p>
      <w:pPr>
        <w:pStyle w:val="Defpara"/>
      </w:pPr>
      <w:r>
        <w:tab/>
        <w:t>(c)</w:t>
      </w:r>
      <w:r>
        <w:tab/>
        <w:t>the death, or serious injury, of a person when the death or injury is connected to, or arising from, the driving of a police vehicle by a member; or</w:t>
      </w:r>
    </w:p>
    <w:p>
      <w:pPr>
        <w:pStyle w:val="Defpara"/>
      </w:pPr>
      <w:r>
        <w:tab/>
        <w:t>(d)</w:t>
      </w:r>
      <w:r>
        <w:tab/>
        <w:t>the death, or serious injury, of a person when the person is in the custody of a member; or</w:t>
      </w:r>
    </w:p>
    <w:p>
      <w:pPr>
        <w:pStyle w:val="Defpara"/>
      </w:pPr>
      <w:r>
        <w:tab/>
        <w:t>(e)</w:t>
      </w:r>
      <w:r>
        <w:tab/>
        <w:t>the discharge of a firearm by a member, whether or not injury is caused,</w:t>
      </w:r>
    </w:p>
    <w:p>
      <w:pPr>
        <w:pStyle w:val="Defstart"/>
      </w:pPr>
      <w:r>
        <w:tab/>
        <w:t>when that member is acting in his or her capacity as a member;</w:t>
      </w:r>
    </w:p>
    <w:p>
      <w:pPr>
        <w:pStyle w:val="Defstart"/>
      </w:pPr>
      <w:r>
        <w:tab/>
      </w:r>
      <w:r>
        <w:rPr>
          <w:rStyle w:val="CharDefText"/>
        </w:rPr>
        <w:t>drug</w:t>
      </w:r>
      <w:r>
        <w:t xml:space="preserve"> includes a substance declared to be a targeted drug;</w:t>
      </w:r>
    </w:p>
    <w:p>
      <w:pPr>
        <w:pStyle w:val="Defstart"/>
      </w:pPr>
      <w: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masking agent</w:t>
      </w:r>
      <w:r>
        <w:t xml:space="preserve"> means a substance declared to fall within this definition under regulation 11;</w:t>
      </w:r>
    </w:p>
    <w:p>
      <w:pPr>
        <w:pStyle w:val="Defstart"/>
      </w:pPr>
      <w:r>
        <w:tab/>
      </w:r>
      <w:r>
        <w:rPr>
          <w:rStyle w:val="CharDefText"/>
        </w:rPr>
        <w:t>medical practitioner</w:t>
      </w:r>
      <w:r>
        <w:t xml:space="preserve"> means a person who is registered under the Health Practitioner Regulation National Law (</w:t>
      </w:r>
      <w:smartTag w:uri="urn:schemas-microsoft-com:office:smarttags" w:element="place">
        <w:smartTag w:uri="urn:schemas-microsoft-com:office:smarttags" w:element="State">
          <w:r>
            <w:t>Western Australia</w:t>
          </w:r>
        </w:smartTag>
      </w:smartTag>
      <w:r>
        <w:t>) in the medical profession;</w:t>
      </w:r>
    </w:p>
    <w:p>
      <w:pPr>
        <w:pStyle w:val="Defstart"/>
      </w:pPr>
      <w:r>
        <w:tab/>
      </w:r>
      <w:r>
        <w:rPr>
          <w:rStyle w:val="CharDefText"/>
        </w:rPr>
        <w:t>member</w:t>
      </w:r>
      <w:r>
        <w:t xml:space="preserve"> has the meaning given in the </w:t>
      </w:r>
      <w:r>
        <w:rPr>
          <w:i/>
        </w:rPr>
        <w:t>Police Act 1892</w:t>
      </w:r>
      <w:r>
        <w:t xml:space="preserve"> section 33K, so as to include commissioned officers, non</w:t>
      </w:r>
      <w:r>
        <w:noBreakHyphen/>
        <w:t>commissioned officers, constables (including probationary police constables), Aboriginal police liaison officers and police auxiliary officers;</w:t>
      </w:r>
    </w:p>
    <w:p>
      <w:pPr>
        <w:pStyle w:val="Defstart"/>
      </w:pPr>
      <w:r>
        <w:tab/>
      </w:r>
      <w:r>
        <w:rPr>
          <w:rStyle w:val="CharDefText"/>
        </w:rPr>
        <w:t>nurse</w:t>
      </w:r>
      <w:r>
        <w:t xml:space="preserve"> means a person registered under the Health Practitioner Regulation National Law (Western Australia) whose name is entered on the Register of Nurses kept under that Law as being qualified to practise as a nurse;</w:t>
      </w:r>
    </w:p>
    <w:p>
      <w:pPr>
        <w:pStyle w:val="Defstart"/>
      </w:pPr>
      <w:r>
        <w:tab/>
      </w:r>
      <w:r>
        <w:rPr>
          <w:rStyle w:val="CharDefText"/>
        </w:rPr>
        <w:t>nurse practitioner</w:t>
      </w:r>
      <w:r>
        <w:t xml:space="preserve"> means a person registered under the Health Practitioner Regulation National Law (Western Australia) whose name is entered on the Register of Nurses kept under that Law as being qualified to practise as a 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Police Gazette</w:t>
      </w:r>
      <w:r>
        <w:t xml:space="preserve"> means the publication published pursuant to the </w:t>
      </w:r>
      <w:r>
        <w:rPr>
          <w:i/>
        </w:rPr>
        <w:t>Police Force Regulations 1979</w:t>
      </w:r>
      <w:r>
        <w:t xml:space="preserve"> regulation 307;</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blood or hair that shows an indication of the presence, or of ingestion, of a drug;</w:t>
      </w:r>
    </w:p>
    <w:p>
      <w:pPr>
        <w:pStyle w:val="Defstart"/>
      </w:pPr>
      <w:r>
        <w:tab/>
      </w:r>
      <w:r>
        <w:rPr>
          <w:rStyle w:val="CharDefText"/>
        </w:rPr>
        <w:t>selected member</w:t>
      </w:r>
      <w:r>
        <w:t xml:space="preserve"> means a member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Schedule 2 poison as defined in the </w:t>
      </w:r>
      <w:r>
        <w:rPr>
          <w:i/>
        </w:rPr>
        <w:t>Medicines and Poisons Act 2014</w:t>
      </w:r>
      <w:r>
        <w:t xml:space="preserve"> section 3; and</w:t>
      </w:r>
    </w:p>
    <w:p>
      <w:pPr>
        <w:pStyle w:val="Defpara"/>
      </w:pPr>
      <w:r>
        <w:tab/>
        <w:t>(c)</w:t>
      </w:r>
      <w:r>
        <w:tab/>
        <w:t xml:space="preserve">a Schedule 3 poison as defined in the </w:t>
      </w:r>
      <w:r>
        <w:rPr>
          <w:i/>
        </w:rPr>
        <w:t>Medicines and Poisons Act 2014</w:t>
      </w:r>
      <w:r>
        <w:t xml:space="preserve"> section 3; and</w:t>
      </w:r>
    </w:p>
    <w:p>
      <w:pPr>
        <w:pStyle w:val="Defpara"/>
      </w:pPr>
      <w:r>
        <w:tab/>
        <w:t>(ca)</w:t>
      </w:r>
      <w:r>
        <w:tab/>
        <w:t xml:space="preserve">a Schedule 4 poison as defined in the </w:t>
      </w:r>
      <w:r>
        <w:rPr>
          <w:i/>
        </w:rPr>
        <w:t>Medicines and Poisons Act 2014</w:t>
      </w:r>
      <w:r>
        <w:t xml:space="preserve"> section 3; and</w:t>
      </w:r>
    </w:p>
    <w:p>
      <w:pPr>
        <w:pStyle w:val="Defpara"/>
      </w:pPr>
      <w:r>
        <w:tab/>
        <w:t>(d)</w:t>
      </w:r>
      <w:r>
        <w:tab/>
        <w:t>a drug or substance declared to fall within this definition under regulation 10.</w:t>
      </w:r>
    </w:p>
    <w:p>
      <w:pPr>
        <w:pStyle w:val="Subsection"/>
      </w:pPr>
      <w:r>
        <w:tab/>
        <w:t>(2)</w:t>
      </w:r>
      <w:r>
        <w:tab/>
        <w:t xml:space="preserve">In these regulations, the following terms have the meanings given to them the </w:t>
      </w:r>
      <w:r>
        <w:rPr>
          <w:i/>
        </w:rPr>
        <w:t>Road Traffic Act 1974</w:t>
      </w:r>
      <w:r>
        <w:t xml:space="preserve"> section 65 — </w:t>
      </w:r>
    </w:p>
    <w:p>
      <w:pPr>
        <w:pStyle w:val="Defstart"/>
      </w:pPr>
      <w:r>
        <w:tab/>
      </w:r>
      <w:r>
        <w:rPr>
          <w:rStyle w:val="CharDefText"/>
        </w:rPr>
        <w:t>breath analysing equipment</w:t>
      </w:r>
      <w:r>
        <w:t>;</w:t>
      </w:r>
    </w:p>
    <w:p>
      <w:pPr>
        <w:pStyle w:val="Defstart"/>
      </w:pPr>
      <w:r>
        <w:tab/>
      </w:r>
      <w:r>
        <w:rPr>
          <w:rStyle w:val="CharDefText"/>
        </w:rPr>
        <w:t>preliminary test</w:t>
      </w:r>
      <w:r>
        <w:t>;</w:t>
      </w:r>
    </w:p>
    <w:p>
      <w:pPr>
        <w:pStyle w:val="Defstart"/>
      </w:pPr>
      <w:r>
        <w:tab/>
      </w:r>
      <w:r>
        <w:rPr>
          <w:rStyle w:val="CharDefText"/>
        </w:rPr>
        <w:t>self</w:t>
      </w:r>
      <w:r>
        <w:rPr>
          <w:rStyle w:val="CharDefText"/>
        </w:rPr>
        <w:noBreakHyphen/>
        <w:t>testing analysing equipment</w:t>
      </w:r>
      <w:r>
        <w:t>.</w:t>
      </w:r>
    </w:p>
    <w:p>
      <w:pPr>
        <w:pStyle w:val="Footnotesection"/>
      </w:pPr>
      <w:r>
        <w:tab/>
        <w:t>[Regulation 3 amended in Gazette 16 Feb 2018 p. 472</w:t>
      </w:r>
      <w:ins w:id="13" w:author="Master Repository Process" w:date="2021-09-11T15:18:00Z">
        <w:r>
          <w:t>; 17 Aug 2018 p. 2898</w:t>
        </w:r>
      </w:ins>
      <w:r>
        <w:t>.]</w:t>
      </w:r>
    </w:p>
    <w:p>
      <w:pPr>
        <w:pStyle w:val="Heading5"/>
      </w:pPr>
      <w:bookmarkStart w:id="14" w:name="_Toc522200656"/>
      <w:bookmarkStart w:id="15" w:name="_Toc506544257"/>
      <w:r>
        <w:rPr>
          <w:rStyle w:val="CharSectno"/>
        </w:rPr>
        <w:t>4</w:t>
      </w:r>
      <w:r>
        <w:t>.</w:t>
      </w:r>
      <w:r>
        <w:tab/>
        <w:t>Application of these regulations</w:t>
      </w:r>
      <w:bookmarkEnd w:id="14"/>
      <w:bookmarkEnd w:id="15"/>
    </w:p>
    <w:p>
      <w:pPr>
        <w:pStyle w:val="Subsection"/>
      </w:pPr>
      <w:r>
        <w:tab/>
        <w:t>(1)</w:t>
      </w:r>
      <w:r>
        <w:tab/>
        <w:t>Subject to subregulation (2), the processes of alcohol or drug testing set out in these regulations are to be carried out on a member.</w:t>
      </w:r>
    </w:p>
    <w:p>
      <w:pPr>
        <w:pStyle w:val="Subsection"/>
      </w:pPr>
      <w:r>
        <w:tab/>
        <w:t>(2)</w:t>
      </w:r>
      <w:r>
        <w:tab/>
        <w:t>The processes of alcohol or drug testing set out in these regulations cannot be carried out on a member unless that member is on duty or is recalled to duty for that purpose.</w:t>
      </w:r>
    </w:p>
    <w:p>
      <w:pPr>
        <w:pStyle w:val="Subsection"/>
      </w:pPr>
      <w:r>
        <w:tab/>
        <w:t>(3)</w:t>
      </w:r>
      <w:r>
        <w:tab/>
        <w:t>The processes of alcohol or drug testing set out in these regulations should be carried out in a manner that respects a member’s dignity and privacy to the extent possible without compromising the integrity of the testing process.</w:t>
      </w:r>
    </w:p>
    <w:p>
      <w:pPr>
        <w:pStyle w:val="Heading5"/>
      </w:pPr>
      <w:bookmarkStart w:id="16" w:name="_Toc522200657"/>
      <w:bookmarkStart w:id="17" w:name="_Toc506544258"/>
      <w:r>
        <w:rPr>
          <w:rStyle w:val="CharSectno"/>
        </w:rPr>
        <w:t>5</w:t>
      </w:r>
      <w:r>
        <w:t>.</w:t>
      </w:r>
      <w:r>
        <w:tab/>
        <w:t>Approved persons</w:t>
      </w:r>
      <w:bookmarkEnd w:id="16"/>
      <w:bookmarkEnd w:id="17"/>
    </w:p>
    <w:p>
      <w:pPr>
        <w:pStyle w:val="Subsection"/>
      </w:pPr>
      <w:r>
        <w:tab/>
        <w:t>(1)</w:t>
      </w:r>
      <w:r>
        <w:tab/>
        <w:t xml:space="preserve">The Commissioner may specify that some or all of the following are to be approved persons for the purposes of all, or parts, of these regulations — </w:t>
      </w:r>
    </w:p>
    <w:p>
      <w:pPr>
        <w:pStyle w:val="Indenta"/>
      </w:pPr>
      <w:r>
        <w:tab/>
        <w:t>(a)</w:t>
      </w:r>
      <w:r>
        <w:tab/>
        <w:t>a police officer who has attained a particular rank or above, or is acting at that rank or above;</w:t>
      </w:r>
    </w:p>
    <w:p>
      <w:pPr>
        <w:pStyle w:val="Indenta"/>
      </w:pPr>
      <w:r>
        <w:tab/>
        <w:t>(b)</w:t>
      </w:r>
      <w:r>
        <w:tab/>
        <w:t>a particular class of police officers;</w:t>
      </w:r>
    </w:p>
    <w:p>
      <w:pPr>
        <w:pStyle w:val="Indenta"/>
      </w:pPr>
      <w:r>
        <w:tab/>
        <w:t>(c)</w:t>
      </w:r>
      <w:r>
        <w:tab/>
        <w:t>a police officer appointed to, or acting in, a particular position.</w:t>
      </w:r>
    </w:p>
    <w:p>
      <w:pPr>
        <w:pStyle w:val="Subsection"/>
      </w:pPr>
      <w:r>
        <w:tab/>
        <w:t>(2)</w:t>
      </w:r>
      <w:r>
        <w:tab/>
        <w:t>In addition to police officers appointed under subregulation (1), the Commissioner may specify that a particular person is to be an approved person for the purposes of all, or parts, of these regulations if the Commissioner is satisfied that it is necessary for that person to be appointed as an approved person.</w:t>
      </w:r>
    </w:p>
    <w:p>
      <w:pPr>
        <w:pStyle w:val="Subsection"/>
      </w:pPr>
      <w:r>
        <w:tab/>
        <w:t>(3)</w:t>
      </w:r>
      <w:r>
        <w:tab/>
        <w:t xml:space="preserve">The details of police officers specified under subregulation (1), and any person specified under subregulation (2), are to be published, for the information of members, in the </w:t>
      </w:r>
      <w:r>
        <w:rPr>
          <w:i/>
        </w:rPr>
        <w:t>Police Gazette</w:t>
      </w:r>
      <w:r>
        <w:t>.</w:t>
      </w:r>
    </w:p>
    <w:p>
      <w:pPr>
        <w:pStyle w:val="Heading5"/>
      </w:pPr>
      <w:bookmarkStart w:id="18" w:name="_Toc522200658"/>
      <w:bookmarkStart w:id="19" w:name="_Toc506544259"/>
      <w:r>
        <w:rPr>
          <w:rStyle w:val="CharSectno"/>
        </w:rPr>
        <w:t>6</w:t>
      </w:r>
      <w:r>
        <w:t>.</w:t>
      </w:r>
      <w:r>
        <w:tab/>
        <w:t>Approved sample collectors</w:t>
      </w:r>
      <w:bookmarkEnd w:id="18"/>
      <w:bookmarkEnd w:id="19"/>
    </w:p>
    <w:p>
      <w:pPr>
        <w:pStyle w:val="Subsection"/>
        <w:rPr>
          <w:ins w:id="20" w:author="Master Repository Process" w:date="2021-09-11T15:18:00Z"/>
        </w:rPr>
      </w:pPr>
      <w:ins w:id="21" w:author="Master Repository Process" w:date="2021-09-11T15:18:00Z">
        <w:r>
          <w:tab/>
          <w:t>(1A)</w:t>
        </w:r>
        <w:r>
          <w:tab/>
          <w:t xml:space="preserve">In this regulation — </w:t>
        </w:r>
      </w:ins>
    </w:p>
    <w:p>
      <w:pPr>
        <w:pStyle w:val="Defstart"/>
        <w:rPr>
          <w:ins w:id="22" w:author="Master Repository Process" w:date="2021-09-11T15:18:00Z"/>
        </w:rPr>
      </w:pPr>
      <w:ins w:id="23" w:author="Master Repository Process" w:date="2021-09-11T15:18:00Z">
        <w:r>
          <w:tab/>
        </w:r>
        <w:r>
          <w:rPr>
            <w:rStyle w:val="CharDefText"/>
          </w:rPr>
          <w:t>sample type</w:t>
        </w:r>
        <w:r>
          <w:t xml:space="preserve"> means any of the following types of sample — </w:t>
        </w:r>
      </w:ins>
    </w:p>
    <w:p>
      <w:pPr>
        <w:pStyle w:val="Defpara"/>
        <w:rPr>
          <w:ins w:id="24" w:author="Master Repository Process" w:date="2021-09-11T15:18:00Z"/>
        </w:rPr>
      </w:pPr>
      <w:ins w:id="25" w:author="Master Repository Process" w:date="2021-09-11T15:18:00Z">
        <w:r>
          <w:tab/>
          <w:t>(a)</w:t>
        </w:r>
        <w:r>
          <w:tab/>
          <w:t>a breath sample;</w:t>
        </w:r>
      </w:ins>
    </w:p>
    <w:p>
      <w:pPr>
        <w:pStyle w:val="Defpara"/>
        <w:rPr>
          <w:ins w:id="26" w:author="Master Repository Process" w:date="2021-09-11T15:18:00Z"/>
        </w:rPr>
      </w:pPr>
      <w:ins w:id="27" w:author="Master Repository Process" w:date="2021-09-11T15:18:00Z">
        <w:r>
          <w:tab/>
          <w:t>(b)</w:t>
        </w:r>
        <w:r>
          <w:tab/>
          <w:t>an oral fluid sample;</w:t>
        </w:r>
      </w:ins>
    </w:p>
    <w:p>
      <w:pPr>
        <w:pStyle w:val="Defpara"/>
        <w:rPr>
          <w:ins w:id="28" w:author="Master Repository Process" w:date="2021-09-11T15:18:00Z"/>
        </w:rPr>
      </w:pPr>
      <w:ins w:id="29" w:author="Master Repository Process" w:date="2021-09-11T15:18:00Z">
        <w:r>
          <w:tab/>
          <w:t>(c)</w:t>
        </w:r>
        <w:r>
          <w:tab/>
          <w:t>a urine sample;</w:t>
        </w:r>
      </w:ins>
    </w:p>
    <w:p>
      <w:pPr>
        <w:pStyle w:val="Defpara"/>
        <w:rPr>
          <w:ins w:id="30" w:author="Master Repository Process" w:date="2021-09-11T15:18:00Z"/>
        </w:rPr>
      </w:pPr>
      <w:ins w:id="31" w:author="Master Repository Process" w:date="2021-09-11T15:18:00Z">
        <w:r>
          <w:tab/>
          <w:t>(d)</w:t>
        </w:r>
        <w:r>
          <w:tab/>
          <w:t>a hair sample.</w:t>
        </w:r>
      </w:ins>
    </w:p>
    <w:p>
      <w:pPr>
        <w:pStyle w:val="Subsection"/>
      </w:pPr>
      <w:r>
        <w:tab/>
        <w:t>(1)</w:t>
      </w:r>
      <w:r>
        <w:tab/>
        <w:t xml:space="preserve">The Commissioner may specify that a person who has </w:t>
      </w:r>
      <w:del w:id="32" w:author="Master Repository Process" w:date="2021-09-11T15:18:00Z">
        <w:r>
          <w:delText>undergone training</w:delText>
        </w:r>
      </w:del>
      <w:ins w:id="33" w:author="Master Repository Process" w:date="2021-09-11T15:18:00Z">
        <w:r>
          <w:t>been trained</w:t>
        </w:r>
      </w:ins>
      <w:r>
        <w:t xml:space="preserve"> to collect </w:t>
      </w:r>
      <w:del w:id="34" w:author="Master Repository Process" w:date="2021-09-11T15:18:00Z">
        <w:r>
          <w:delText>samples of breath, oral fluid, urine and hair in accordance with standards approved under regulation 12(1),</w:delText>
        </w:r>
      </w:del>
      <w:ins w:id="35" w:author="Master Repository Process" w:date="2021-09-11T15:18:00Z">
        <w:r>
          <w:t>a sample type</w:t>
        </w:r>
      </w:ins>
      <w:r>
        <w:t xml:space="preserve"> is to be an approved sample collector </w:t>
      </w:r>
      <w:ins w:id="36" w:author="Master Repository Process" w:date="2021-09-11T15:18:00Z">
        <w:r>
          <w:t xml:space="preserve">in relation to the sample type </w:t>
        </w:r>
      </w:ins>
      <w:r>
        <w:t>for the purposes of conducting an alcohol or drug test under these regulations.</w:t>
      </w:r>
    </w:p>
    <w:p>
      <w:pPr>
        <w:pStyle w:val="Subsection"/>
        <w:rPr>
          <w:ins w:id="37" w:author="Master Repository Process" w:date="2021-09-11T15:18:00Z"/>
        </w:rPr>
      </w:pPr>
      <w:ins w:id="38" w:author="Master Repository Process" w:date="2021-09-11T15:18:00Z">
        <w:r>
          <w:tab/>
          <w:t>(1AA)</w:t>
        </w:r>
        <w:r>
          <w:tab/>
          <w:t>A person has been trained to collect a sample type if the person has been trained to collect the sample type in accordance with any relevant standards and protocols approved under regulation 12(1).</w:t>
        </w:r>
      </w:ins>
    </w:p>
    <w:p>
      <w:pPr>
        <w:pStyle w:val="Subsection"/>
      </w:pPr>
      <w:r>
        <w:tab/>
        <w:t>(2)</w:t>
      </w:r>
      <w:r>
        <w:tab/>
        <w:t xml:space="preserve">The names of persons specified under subregulation (1) are to be published, for the information of members, in the </w:t>
      </w:r>
      <w:r>
        <w:rPr>
          <w:i/>
        </w:rPr>
        <w:t>Police Gazette</w:t>
      </w:r>
      <w:r>
        <w:t>.</w:t>
      </w:r>
    </w:p>
    <w:p>
      <w:pPr>
        <w:pStyle w:val="Footnotesection"/>
        <w:rPr>
          <w:ins w:id="39" w:author="Master Repository Process" w:date="2021-09-11T15:18:00Z"/>
        </w:rPr>
      </w:pPr>
      <w:ins w:id="40" w:author="Master Repository Process" w:date="2021-09-11T15:18:00Z">
        <w:r>
          <w:tab/>
          <w:t>[Regulation 6 amended in Gazette 17 Aug 2018 p. 2899.]</w:t>
        </w:r>
      </w:ins>
    </w:p>
    <w:p>
      <w:pPr>
        <w:pStyle w:val="Heading5"/>
      </w:pPr>
      <w:bookmarkStart w:id="41" w:name="_Toc522200659"/>
      <w:bookmarkStart w:id="42" w:name="_Toc506544260"/>
      <w:r>
        <w:rPr>
          <w:rStyle w:val="CharSectno"/>
        </w:rPr>
        <w:t>7</w:t>
      </w:r>
      <w:r>
        <w:t>.</w:t>
      </w:r>
      <w:r>
        <w:tab/>
        <w:t>When testing may be carried out — random</w:t>
      </w:r>
      <w:bookmarkEnd w:id="41"/>
      <w:bookmarkEnd w:id="42"/>
    </w:p>
    <w:p>
      <w:pPr>
        <w:pStyle w:val="Subsection"/>
      </w:pPr>
      <w:r>
        <w:tab/>
        <w:t>(1)</w:t>
      </w:r>
      <w:r>
        <w:tab/>
        <w:t>An approved person may require a selected member or a number of selected members working within, or visiting, a common work area to submit to an alcohol test or a drug test or both.</w:t>
      </w:r>
    </w:p>
    <w:p>
      <w:pPr>
        <w:pStyle w:val="Subsection"/>
      </w:pPr>
      <w:r>
        <w:tab/>
        <w:t>(2)</w:t>
      </w:r>
      <w:r>
        <w:tab/>
        <w:t>An approved person may require all members working within a common work area, and any visiting members at the work area at that time, to submit to an alcohol test or a drug test or both.</w:t>
      </w:r>
    </w:p>
    <w:p>
      <w:pPr>
        <w:pStyle w:val="Heading5"/>
      </w:pPr>
      <w:bookmarkStart w:id="43" w:name="_Toc522200660"/>
      <w:bookmarkStart w:id="44" w:name="_Toc506544261"/>
      <w:r>
        <w:rPr>
          <w:rStyle w:val="CharSectno"/>
        </w:rPr>
        <w:t>8</w:t>
      </w:r>
      <w:r>
        <w:t>.</w:t>
      </w:r>
      <w:r>
        <w:tab/>
        <w:t>When testing may be carried out — targeted</w:t>
      </w:r>
      <w:bookmarkEnd w:id="43"/>
      <w:bookmarkEnd w:id="44"/>
    </w:p>
    <w:p>
      <w:pPr>
        <w:pStyle w:val="Subsection"/>
      </w:pPr>
      <w:r>
        <w:tab/>
        <w:t>(1)</w:t>
      </w:r>
      <w:r>
        <w:tab/>
        <w:t>Targeted testing for alcohol or drugs under these regulations may be carried out if there is credible information, intelligence or suspicion that a selected member may be affected or impaired by alcohol or drugs, whilst on duty.</w:t>
      </w:r>
    </w:p>
    <w:p>
      <w:pPr>
        <w:pStyle w:val="Subsection"/>
      </w:pPr>
      <w:r>
        <w:tab/>
        <w:t>(2)</w:t>
      </w:r>
      <w:r>
        <w:tab/>
        <w:t>Targeted testing for drugs under these regulations may be carried out if there is credible information, intelligence or suspicion that a selected member may have taken or ingested targeted drugs at any time.</w:t>
      </w:r>
    </w:p>
    <w:p>
      <w:pPr>
        <w:pStyle w:val="Subsection"/>
      </w:pPr>
      <w:r>
        <w:tab/>
        <w:t>(3)</w:t>
      </w:r>
      <w:r>
        <w:tab/>
        <w:t>The Commissioner or an approved person may require a particular selected member or a particular group of selected members working within a common work area to submit to an alcohol test or a drug test or both.</w:t>
      </w:r>
    </w:p>
    <w:p>
      <w:pPr>
        <w:pStyle w:val="Heading5"/>
      </w:pPr>
      <w:bookmarkStart w:id="45" w:name="_Toc522200661"/>
      <w:bookmarkStart w:id="46" w:name="_Toc506544262"/>
      <w:r>
        <w:rPr>
          <w:rStyle w:val="CharSectno"/>
        </w:rPr>
        <w:t>9</w:t>
      </w:r>
      <w:r>
        <w:t>.</w:t>
      </w:r>
      <w:r>
        <w:tab/>
        <w:t>When testing may be carried out — mandated</w:t>
      </w:r>
      <w:bookmarkEnd w:id="45"/>
      <w:bookmarkEnd w:id="46"/>
    </w:p>
    <w:p>
      <w:pPr>
        <w:pStyle w:val="Subsection"/>
      </w:pPr>
      <w:r>
        <w:tab/>
        <w:t>(1)</w:t>
      </w:r>
      <w:r>
        <w:tab/>
        <w:t>The Commissioner may direct in writing that certain circumstances give rise to compulsory alcohol and drug testing of particular members.</w:t>
      </w:r>
    </w:p>
    <w:p>
      <w:pPr>
        <w:pStyle w:val="Subsection"/>
      </w:pPr>
      <w:r>
        <w:tab/>
        <w:t>(2)</w:t>
      </w:r>
      <w:r>
        <w:tab/>
        <w:t xml:space="preserve">Circumstances under subregulation (1) may include, but are not limited to — </w:t>
      </w:r>
    </w:p>
    <w:p>
      <w:pPr>
        <w:pStyle w:val="Indenta"/>
      </w:pPr>
      <w:r>
        <w:tab/>
        <w:t>(a)</w:t>
      </w:r>
      <w:r>
        <w:tab/>
        <w:t>when a member is involved in a critical incident; or</w:t>
      </w:r>
    </w:p>
    <w:p>
      <w:pPr>
        <w:pStyle w:val="Indenta"/>
      </w:pPr>
      <w:r>
        <w:tab/>
        <w:t>(b)</w:t>
      </w:r>
      <w:r>
        <w:tab/>
        <w:t>where a member is a participant in a high risk business area within the Force (</w:t>
      </w:r>
      <w:r>
        <w:rPr>
          <w:i/>
          <w:iCs/>
        </w:rPr>
        <w:t>for example, the TRG</w:t>
      </w:r>
      <w:r>
        <w:t>); or</w:t>
      </w:r>
    </w:p>
    <w:p>
      <w:pPr>
        <w:pStyle w:val="Indenta"/>
      </w:pPr>
      <w:r>
        <w:tab/>
        <w:t>(c)</w:t>
      </w:r>
      <w:r>
        <w:tab/>
        <w:t>when a member is in the process of completing a critical skills competency course for frontline, operational policing; or</w:t>
      </w:r>
    </w:p>
    <w:p>
      <w:pPr>
        <w:pStyle w:val="Indenta"/>
      </w:pPr>
      <w:r>
        <w:tab/>
        <w:t>(d)</w:t>
      </w:r>
      <w:r>
        <w:tab/>
        <w:t>where an approved person believes that a test is appropriate for the member’s health and safety, or is prudent to protect the member’s credibility in any future court proceeding; or</w:t>
      </w:r>
    </w:p>
    <w:p>
      <w:pPr>
        <w:pStyle w:val="Indenta"/>
      </w:pPr>
      <w:r>
        <w:tab/>
        <w:t>(e)</w:t>
      </w:r>
      <w:r>
        <w:tab/>
        <w:t>when a member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47" w:name="_Toc522200662"/>
      <w:bookmarkStart w:id="48" w:name="_Toc506544263"/>
      <w:r>
        <w:rPr>
          <w:rStyle w:val="CharSectno"/>
        </w:rPr>
        <w:t>10</w:t>
      </w:r>
      <w:r>
        <w:t>.</w:t>
      </w:r>
      <w:r>
        <w:tab/>
        <w:t>Commissioner may declare drugs or substances to be targeted drugs</w:t>
      </w:r>
      <w:bookmarkEnd w:id="47"/>
      <w:bookmarkEnd w:id="48"/>
    </w:p>
    <w:p>
      <w:pPr>
        <w:pStyle w:val="Subsection"/>
      </w:pPr>
      <w:r>
        <w:tab/>
        <w:t>(1)</w:t>
      </w:r>
      <w:r>
        <w:tab/>
        <w:t>The Commissioner may declare a drug or substance to be a targeted drug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49" w:name="_Toc522200663"/>
      <w:bookmarkStart w:id="50" w:name="_Toc506544264"/>
      <w:r>
        <w:rPr>
          <w:rStyle w:val="CharSectno"/>
        </w:rPr>
        <w:t>11</w:t>
      </w:r>
      <w:r>
        <w:t>.</w:t>
      </w:r>
      <w:r>
        <w:tab/>
        <w:t>Commissioner may declare substances to be masking agents</w:t>
      </w:r>
      <w:bookmarkEnd w:id="49"/>
      <w:bookmarkEnd w:id="50"/>
    </w:p>
    <w:p>
      <w:pPr>
        <w:pStyle w:val="Subsection"/>
      </w:pPr>
      <w:r>
        <w:tab/>
        <w:t>(1)</w:t>
      </w:r>
      <w:r>
        <w:tab/>
        <w:t>The Commissioner may declare a substance to be a masking agent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51" w:name="_Toc522200664"/>
      <w:bookmarkStart w:id="52" w:name="_Toc506544265"/>
      <w:r>
        <w:rPr>
          <w:rStyle w:val="CharSectno"/>
        </w:rPr>
        <w:t>12</w:t>
      </w:r>
      <w:r>
        <w:t>.</w:t>
      </w:r>
      <w:r>
        <w:tab/>
        <w:t>Commissioner may approve collection procedures for alcohol and drug testing</w:t>
      </w:r>
      <w:bookmarkEnd w:id="51"/>
      <w:bookmarkEnd w:id="52"/>
    </w:p>
    <w:p>
      <w:pPr>
        <w:pStyle w:val="Subsection"/>
      </w:pPr>
      <w:r>
        <w:tab/>
        <w:t>(1)</w:t>
      </w:r>
      <w:r>
        <w:tab/>
        <w:t xml:space="preserve">The Commissioner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Commissioner may approve items of equipment (other than breath analysis equipment, preliminary test and self</w:t>
      </w:r>
      <w:r>
        <w:noBreakHyphen/>
        <w:t>testing analysing equipment)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Heading2"/>
      </w:pPr>
      <w:bookmarkStart w:id="53" w:name="_Toc506544266"/>
      <w:bookmarkStart w:id="54" w:name="_Toc522200665"/>
      <w:r>
        <w:rPr>
          <w:rStyle w:val="CharPartNo"/>
        </w:rPr>
        <w:t>Part 2</w:t>
      </w:r>
      <w:r>
        <w:rPr>
          <w:rStyle w:val="CharDivNo"/>
        </w:rPr>
        <w:t> </w:t>
      </w:r>
      <w:r>
        <w:t>—</w:t>
      </w:r>
      <w:r>
        <w:rPr>
          <w:rStyle w:val="CharDivText"/>
        </w:rPr>
        <w:t> </w:t>
      </w:r>
      <w:r>
        <w:rPr>
          <w:rStyle w:val="CharPartText"/>
        </w:rPr>
        <w:t>Testing for alcohol</w:t>
      </w:r>
      <w:bookmarkEnd w:id="53"/>
      <w:bookmarkEnd w:id="54"/>
    </w:p>
    <w:p>
      <w:pPr>
        <w:pStyle w:val="Heading5"/>
      </w:pPr>
      <w:bookmarkStart w:id="55" w:name="_Toc522200666"/>
      <w:bookmarkStart w:id="56" w:name="_Toc506544267"/>
      <w:r>
        <w:rPr>
          <w:rStyle w:val="CharSectno"/>
        </w:rPr>
        <w:t>13</w:t>
      </w:r>
      <w:r>
        <w:t>.</w:t>
      </w:r>
      <w:r>
        <w:tab/>
        <w:t>Requirement to submit sample of breath for preliminary analysis</w:t>
      </w:r>
      <w:bookmarkEnd w:id="55"/>
      <w:bookmarkEnd w:id="56"/>
    </w:p>
    <w:p>
      <w:pPr>
        <w:pStyle w:val="Subsection"/>
        <w:rPr>
          <w:ins w:id="57" w:author="Master Repository Process" w:date="2021-09-11T15:18:00Z"/>
        </w:rPr>
      </w:pPr>
      <w:r>
        <w:tab/>
        <w:t>(1)</w:t>
      </w:r>
      <w:r>
        <w:tab/>
      </w:r>
      <w:del w:id="58" w:author="Master Repository Process" w:date="2021-09-11T15:18:00Z">
        <w:r>
          <w:delText>When</w:delText>
        </w:r>
      </w:del>
      <w:ins w:id="59" w:author="Master Repository Process" w:date="2021-09-11T15:18:00Z">
        <w:r>
          <w:t>This regulation applies if a selected member is</w:t>
        </w:r>
      </w:ins>
      <w:r>
        <w:t xml:space="preserve"> requested </w:t>
      </w:r>
      <w:ins w:id="60" w:author="Master Repository Process" w:date="2021-09-11T15:18:00Z">
        <w:r>
          <w:t xml:space="preserve">by an approved person </w:t>
        </w:r>
      </w:ins>
      <w:r>
        <w:t>to provide a sample of breath</w:t>
      </w:r>
      <w:del w:id="61" w:author="Master Repository Process" w:date="2021-09-11T15:18:00Z">
        <w:r>
          <w:delText xml:space="preserve"> by an approved person, a</w:delText>
        </w:r>
      </w:del>
      <w:ins w:id="62" w:author="Master Repository Process" w:date="2021-09-11T15:18:00Z">
        <w:r>
          <w:t>.</w:t>
        </w:r>
      </w:ins>
    </w:p>
    <w:p>
      <w:pPr>
        <w:pStyle w:val="Subsection"/>
      </w:pPr>
      <w:ins w:id="63" w:author="Master Repository Process" w:date="2021-09-11T15:18:00Z">
        <w:r>
          <w:tab/>
          <w:t>(1A)</w:t>
        </w:r>
        <w:r>
          <w:tab/>
          <w:t>The</w:t>
        </w:r>
      </w:ins>
      <w:r>
        <w:t xml:space="preserve"> selected member must</w:t>
      </w:r>
      <w:ins w:id="64" w:author="Master Repository Process" w:date="2021-09-11T15:18:00Z">
        <w:r>
          <w:t>, in accordance with the directions of the approved person,</w:t>
        </w:r>
      </w:ins>
      <w:r>
        <w:t xml:space="preserve"> provide a sample</w:t>
      </w:r>
      <w:del w:id="65" w:author="Master Repository Process" w:date="2021-09-11T15:18:00Z">
        <w:r>
          <w:delText>,</w:delText>
        </w:r>
      </w:del>
      <w:r>
        <w:t xml:space="preserve"> to an authorised person </w:t>
      </w:r>
      <w:ins w:id="66" w:author="Master Repository Process" w:date="2021-09-11T15:18:00Z">
        <w:r>
          <w:t xml:space="preserve">or approved sample collector </w:t>
        </w:r>
      </w:ins>
      <w:r>
        <w:t>for a preliminary test</w:t>
      </w:r>
      <w:del w:id="67" w:author="Master Repository Process" w:date="2021-09-11T15:18:00Z">
        <w:r>
          <w:delText>, in accordance with the directions of that approved person</w:delText>
        </w:r>
      </w:del>
      <w:ins w:id="68" w:author="Master Repository Process" w:date="2021-09-11T15:18:00Z">
        <w:r>
          <w:t xml:space="preserve"> of the sample</w:t>
        </w:r>
      </w:ins>
      <w:r>
        <w:t>.</w:t>
      </w:r>
    </w:p>
    <w:p>
      <w:pPr>
        <w:pStyle w:val="Subsection"/>
      </w:pPr>
      <w:r>
        <w:tab/>
        <w:t>(2)</w:t>
      </w:r>
      <w:r>
        <w:tab/>
        <w:t>Where it appears to the approved person that the physical condition of the selected member is such as to render him or her incapable of providing a sample of breath for a preliminary test, then the approved person may proceed to the provisions of regulation 15 as if a preliminary test had returned presumptive positive test result for alcohol.</w:t>
      </w:r>
    </w:p>
    <w:p>
      <w:pPr>
        <w:pStyle w:val="Footnotesection"/>
        <w:rPr>
          <w:ins w:id="69" w:author="Master Repository Process" w:date="2021-09-11T15:18:00Z"/>
        </w:rPr>
      </w:pPr>
      <w:ins w:id="70" w:author="Master Repository Process" w:date="2021-09-11T15:18:00Z">
        <w:r>
          <w:tab/>
          <w:t>[Regulation 13 amended in Gazette 17 Aug 2018 p. 2899.]</w:t>
        </w:r>
      </w:ins>
    </w:p>
    <w:p>
      <w:pPr>
        <w:pStyle w:val="Heading5"/>
      </w:pPr>
      <w:bookmarkStart w:id="71" w:name="_Toc522200667"/>
      <w:bookmarkStart w:id="72" w:name="_Toc506544268"/>
      <w:r>
        <w:rPr>
          <w:rStyle w:val="CharSectno"/>
        </w:rPr>
        <w:t>14</w:t>
      </w:r>
      <w:r>
        <w:t>.</w:t>
      </w:r>
      <w:r>
        <w:tab/>
        <w:t>Requirement to confirm identity</w:t>
      </w:r>
      <w:bookmarkEnd w:id="71"/>
      <w:bookmarkEnd w:id="72"/>
    </w:p>
    <w:p>
      <w:pPr>
        <w:pStyle w:val="Subsection"/>
      </w:pPr>
      <w:r>
        <w:tab/>
      </w:r>
      <w:r>
        <w:tab/>
        <w:t>A selected member must confirm his or her identity by showing police identification at the time of providing a sample for alcohol testing.</w:t>
      </w:r>
    </w:p>
    <w:p>
      <w:pPr>
        <w:pStyle w:val="Heading5"/>
      </w:pPr>
      <w:bookmarkStart w:id="73" w:name="_Toc522200668"/>
      <w:bookmarkStart w:id="74" w:name="_Toc506544269"/>
      <w:r>
        <w:rPr>
          <w:rStyle w:val="CharSectno"/>
        </w:rPr>
        <w:t>15</w:t>
      </w:r>
      <w:r>
        <w:t>.</w:t>
      </w:r>
      <w:r>
        <w:tab/>
        <w:t>Requirement to submit further sample of breath</w:t>
      </w:r>
      <w:bookmarkEnd w:id="73"/>
      <w:bookmarkEnd w:id="74"/>
    </w:p>
    <w:p>
      <w:pPr>
        <w:pStyle w:val="Subsection"/>
      </w:pPr>
      <w:r>
        <w:tab/>
        <w:t>(1)</w:t>
      </w:r>
      <w:r>
        <w:tab/>
        <w:t>Where —</w:t>
      </w:r>
    </w:p>
    <w:p>
      <w:pPr>
        <w:pStyle w:val="Indenta"/>
      </w:pPr>
      <w:r>
        <w:tab/>
        <w:t>(a)</w:t>
      </w:r>
      <w:r>
        <w:tab/>
        <w:t>a selected member has provided a sample of his or her breath for a preliminary test and the preliminary test returns a presumptive positive test result for alcohol; or</w:t>
      </w:r>
    </w:p>
    <w:p>
      <w:pPr>
        <w:pStyle w:val="Indenta"/>
      </w:pPr>
      <w:r>
        <w:tab/>
        <w:t>(b)</w:t>
      </w:r>
      <w:r>
        <w:tab/>
        <w:t xml:space="preserve">the selected member having been so required — </w:t>
      </w:r>
    </w:p>
    <w:p>
      <w:pPr>
        <w:pStyle w:val="Indenti"/>
      </w:pPr>
      <w:r>
        <w:tab/>
        <w:t>(i)</w:t>
      </w:r>
      <w:r>
        <w:tab/>
        <w:t>refuses or fails to provide, or appears to be incapable of providing, a sample of his or her breath for a preliminary test; or</w:t>
      </w:r>
    </w:p>
    <w:p>
      <w:pPr>
        <w:pStyle w:val="Indenti"/>
      </w:pPr>
      <w:r>
        <w:tab/>
        <w:t>(ii)</w:t>
      </w:r>
      <w:r>
        <w:tab/>
        <w:t>refuses or fails to provide, or appears to be incapable of providing, a sample of his or her breath in sufficient quantity to enable a preliminary test to be carried out,</w:t>
      </w:r>
    </w:p>
    <w:p>
      <w:pPr>
        <w:pStyle w:val="Subsection"/>
      </w:pPr>
      <w:r>
        <w:tab/>
      </w:r>
      <w:r>
        <w:tab/>
        <w:t>the approved person may require that selected member to provide a further sample of his or her breath for analysis by an authorised person, pursuant to the provisions of subregulation (2) or a sample of blood or urine under regulation 17,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of breath for analysis shall comply with that requirement by providing the sample of breath into breath analysing equipment or self</w:t>
      </w:r>
      <w:r>
        <w:noBreakHyphen/>
        <w:t>testing analysing equipment, for analysis by an authorised person, in accordance with the directions of the approved person.</w:t>
      </w:r>
    </w:p>
    <w:p>
      <w:pPr>
        <w:pStyle w:val="Subsection"/>
      </w:pPr>
      <w:r>
        <w:tab/>
        <w:t>(3)</w:t>
      </w:r>
      <w:r>
        <w:tab/>
        <w:t>A selected member is not required under subregulation (1) to provide a sample of breath for analysis if, because of his or her physical condition, the selected member is incapable of providing the specimen of breath or a specimen of breath in sufficient quantity for analysis.</w:t>
      </w:r>
    </w:p>
    <w:p>
      <w:pPr>
        <w:pStyle w:val="Heading5"/>
      </w:pPr>
      <w:bookmarkStart w:id="75" w:name="_Toc522200669"/>
      <w:bookmarkStart w:id="76" w:name="_Toc506544270"/>
      <w:r>
        <w:rPr>
          <w:rStyle w:val="CharSectno"/>
        </w:rPr>
        <w:t>16</w:t>
      </w:r>
      <w:r>
        <w:t>.</w:t>
      </w:r>
      <w:r>
        <w:tab/>
        <w:t>Breath analysis form to be completed</w:t>
      </w:r>
      <w:bookmarkEnd w:id="75"/>
      <w:bookmarkEnd w:id="76"/>
    </w:p>
    <w:p>
      <w:pPr>
        <w:pStyle w:val="Subsection"/>
      </w:pPr>
      <w:r>
        <w:tab/>
      </w:r>
      <w:r>
        <w:tab/>
        <w:t>Where a breath analysis is carried out by an authorised person and it returns a confirmed adverse test result for alcohol, the authorised person is to fill out a breath analysis form approved by the Commissioner.</w:t>
      </w:r>
    </w:p>
    <w:p>
      <w:pPr>
        <w:pStyle w:val="Heading5"/>
      </w:pPr>
      <w:bookmarkStart w:id="77" w:name="_Toc522200670"/>
      <w:bookmarkStart w:id="78" w:name="_Toc506544271"/>
      <w:r>
        <w:rPr>
          <w:rStyle w:val="CharSectno"/>
        </w:rPr>
        <w:t>17</w:t>
      </w:r>
      <w:r>
        <w:t>.</w:t>
      </w:r>
      <w:r>
        <w:tab/>
        <w:t>Requirement to submit sample of urine or blood under certain circumstances</w:t>
      </w:r>
      <w:bookmarkEnd w:id="77"/>
      <w:bookmarkEnd w:id="78"/>
    </w:p>
    <w:p>
      <w:pPr>
        <w:pStyle w:val="Subsection"/>
      </w:pPr>
      <w:r>
        <w:tab/>
        <w:t>(1)</w:t>
      </w:r>
      <w:r>
        <w:tab/>
        <w:t>Where an approved person might require a selected member to provide a sample of breath for analysis by an authorised person but is precluded from so doing by regulation 15(3), the approved person may require the selected member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Commissioner, whether or not that analysis resulted in a confirmed adverse test result for alcohol.</w:t>
      </w:r>
    </w:p>
    <w:p>
      <w:pPr>
        <w:pStyle w:val="Heading5"/>
      </w:pPr>
      <w:bookmarkStart w:id="79" w:name="_Toc522200671"/>
      <w:bookmarkStart w:id="80" w:name="_Toc506544272"/>
      <w:r>
        <w:rPr>
          <w:rStyle w:val="CharSectno"/>
        </w:rPr>
        <w:t>18</w:t>
      </w:r>
      <w:r>
        <w:t>.</w:t>
      </w:r>
      <w:r>
        <w:tab/>
        <w:t>Incapacity to provide sample</w:t>
      </w:r>
      <w:bookmarkEnd w:id="79"/>
      <w:bookmarkEnd w:id="80"/>
    </w:p>
    <w:p>
      <w:pPr>
        <w:pStyle w:val="Subsection"/>
      </w:pPr>
      <w:r>
        <w:tab/>
        <w:t>(1)</w:t>
      </w:r>
      <w:r>
        <w:tab/>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81" w:name="_Toc506544273"/>
      <w:bookmarkStart w:id="82" w:name="_Toc522200672"/>
      <w:r>
        <w:rPr>
          <w:rStyle w:val="CharPartNo"/>
        </w:rPr>
        <w:t>Part 3</w:t>
      </w:r>
      <w:r>
        <w:rPr>
          <w:rStyle w:val="CharDivNo"/>
        </w:rPr>
        <w:t> </w:t>
      </w:r>
      <w:r>
        <w:t>—</w:t>
      </w:r>
      <w:r>
        <w:rPr>
          <w:rStyle w:val="CharDivText"/>
        </w:rPr>
        <w:t> </w:t>
      </w:r>
      <w:r>
        <w:rPr>
          <w:rStyle w:val="CharPartText"/>
        </w:rPr>
        <w:t>Testing for drugs</w:t>
      </w:r>
      <w:bookmarkEnd w:id="81"/>
      <w:bookmarkEnd w:id="82"/>
    </w:p>
    <w:p>
      <w:pPr>
        <w:pStyle w:val="Heading5"/>
      </w:pPr>
      <w:bookmarkStart w:id="83" w:name="_Toc522200673"/>
      <w:bookmarkStart w:id="84" w:name="_Toc506544274"/>
      <w:r>
        <w:rPr>
          <w:rStyle w:val="CharSectno"/>
        </w:rPr>
        <w:t>19</w:t>
      </w:r>
      <w:r>
        <w:t>.</w:t>
      </w:r>
      <w:r>
        <w:tab/>
        <w:t>Requirement to submit sample for drug testing</w:t>
      </w:r>
      <w:bookmarkEnd w:id="83"/>
      <w:bookmarkEnd w:id="84"/>
    </w:p>
    <w:p>
      <w:pPr>
        <w:pStyle w:val="Subsection"/>
      </w:pPr>
      <w:r>
        <w:rPr>
          <w:spacing w:val="-2"/>
        </w:rPr>
        <w:tab/>
      </w:r>
      <w:r>
        <w:t>(1)</w:t>
      </w:r>
      <w:r>
        <w:tab/>
        <w:t>When requested to do so, a selected member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Indenta"/>
      </w:pPr>
      <w:r>
        <w:tab/>
        <w:t>(d)</w:t>
      </w:r>
      <w:r>
        <w:tab/>
        <w:t>hair.</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a nurse, a nurse practitioner or a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oral fluid or hair, the approved sample collector is to complete the details required by Schedule 1 Form 2.</w:t>
      </w:r>
    </w:p>
    <w:p>
      <w:pPr>
        <w:pStyle w:val="Heading5"/>
      </w:pPr>
      <w:bookmarkStart w:id="85" w:name="_Toc522200674"/>
      <w:bookmarkStart w:id="86" w:name="_Toc506544275"/>
      <w:r>
        <w:rPr>
          <w:rStyle w:val="CharSectno"/>
        </w:rPr>
        <w:t>20</w:t>
      </w:r>
      <w:r>
        <w:t>.</w:t>
      </w:r>
      <w:r>
        <w:tab/>
        <w:t>Requirement to confirm identity</w:t>
      </w:r>
      <w:bookmarkEnd w:id="85"/>
      <w:bookmarkEnd w:id="86"/>
    </w:p>
    <w:p>
      <w:pPr>
        <w:pStyle w:val="Subsection"/>
      </w:pPr>
      <w:r>
        <w:tab/>
      </w:r>
      <w:r>
        <w:tab/>
        <w:t>A selected member must confirm his or her identity by showing police identification at the time of providing a sample for drug testing.</w:t>
      </w:r>
    </w:p>
    <w:p>
      <w:pPr>
        <w:pStyle w:val="Heading5"/>
      </w:pPr>
      <w:bookmarkStart w:id="87" w:name="_Toc522200675"/>
      <w:bookmarkStart w:id="88" w:name="_Toc506544276"/>
      <w:r>
        <w:rPr>
          <w:rStyle w:val="CharSectno"/>
        </w:rPr>
        <w:t>21</w:t>
      </w:r>
      <w:r>
        <w:t>.</w:t>
      </w:r>
      <w:r>
        <w:tab/>
        <w:t>Incapacity to provide sample</w:t>
      </w:r>
      <w:bookmarkEnd w:id="87"/>
      <w:bookmarkEnd w:id="88"/>
    </w:p>
    <w:p>
      <w:pPr>
        <w:pStyle w:val="Subsection"/>
      </w:pPr>
      <w:r>
        <w:rPr>
          <w:spacing w:val="-2"/>
        </w:rPr>
        <w:tab/>
        <w:t>(1)</w:t>
      </w:r>
      <w:r>
        <w:rPr>
          <w:spacing w:val="-2"/>
        </w:rPr>
        <w:tab/>
      </w:r>
      <w:r>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89" w:name="_Toc522200676"/>
      <w:bookmarkStart w:id="90" w:name="_Toc506544277"/>
      <w:r>
        <w:rPr>
          <w:rStyle w:val="CharSectno"/>
        </w:rPr>
        <w:t>22</w:t>
      </w:r>
      <w:r>
        <w:t>.</w:t>
      </w:r>
      <w:r>
        <w:tab/>
        <w:t>Requirement to submit further sample for drug testing</w:t>
      </w:r>
      <w:bookmarkEnd w:id="89"/>
      <w:bookmarkEnd w:id="90"/>
    </w:p>
    <w:p>
      <w:pPr>
        <w:pStyle w:val="Subsection"/>
      </w:pPr>
      <w:r>
        <w:tab/>
        <w:t>(1)</w:t>
      </w:r>
      <w:r>
        <w:tab/>
        <w:t>Where —</w:t>
      </w:r>
    </w:p>
    <w:p>
      <w:pPr>
        <w:pStyle w:val="Indenta"/>
      </w:pPr>
      <w:r>
        <w:tab/>
        <w:t>(a)</w:t>
      </w:r>
      <w:r>
        <w:tab/>
        <w:t>a selected member has provided a sample for drug testing and test returns a presumptive positive test result for drugs; or</w:t>
      </w:r>
    </w:p>
    <w:p>
      <w:pPr>
        <w:pStyle w:val="Indenta"/>
      </w:pPr>
      <w:r>
        <w:tab/>
        <w:t>(b)</w:t>
      </w:r>
      <w:r>
        <w:tab/>
        <w:t>the selected member having been so required refuses or fails to provide, or appears to be incapable of providing, the sample for a drug test,</w:t>
      </w:r>
    </w:p>
    <w:p>
      <w:pPr>
        <w:pStyle w:val="Subsection"/>
      </w:pPr>
      <w:r>
        <w:tab/>
      </w:r>
      <w:r>
        <w:tab/>
        <w:t>the approved person may require that selected member to provide a further sample for analysis by a drugs analyst and, in order to do so, may require the selected member to accompany a member to a police station or some other place, and may require that selected member to wait at any such police station or place.</w:t>
      </w:r>
    </w:p>
    <w:p>
      <w:pPr>
        <w:pStyle w:val="Subsection"/>
      </w:pPr>
      <w:r>
        <w:tab/>
        <w:t>(2)</w:t>
      </w:r>
      <w:r>
        <w:tab/>
        <w:t xml:space="preserve">A selected member who is required to supply a sample for drug analysis shall comply with that requirement by providing the sample for analysis by a </w:t>
      </w:r>
      <w:del w:id="91" w:author="Master Repository Process" w:date="2021-09-11T15:18:00Z">
        <w:r>
          <w:delText>drug</w:delText>
        </w:r>
      </w:del>
      <w:ins w:id="92" w:author="Master Repository Process" w:date="2021-09-11T15:18:00Z">
        <w:r>
          <w:t>drugs</w:t>
        </w:r>
      </w:ins>
      <w:r>
        <w:t xml:space="preserve"> analyst, in accordance with the directions of the approved person.</w:t>
      </w:r>
    </w:p>
    <w:p>
      <w:pPr>
        <w:pStyle w:val="Footnotesection"/>
        <w:rPr>
          <w:ins w:id="93" w:author="Master Repository Process" w:date="2021-09-11T15:18:00Z"/>
        </w:rPr>
      </w:pPr>
      <w:ins w:id="94" w:author="Master Repository Process" w:date="2021-09-11T15:18:00Z">
        <w:r>
          <w:tab/>
          <w:t>[Regulation 22 amended in Gazette 17 Aug 2018 p. 2900.]</w:t>
        </w:r>
      </w:ins>
    </w:p>
    <w:p>
      <w:pPr>
        <w:pStyle w:val="Heading5"/>
      </w:pPr>
      <w:bookmarkStart w:id="95" w:name="_Toc522200677"/>
      <w:bookmarkStart w:id="96" w:name="_Toc506544278"/>
      <w:r>
        <w:rPr>
          <w:rStyle w:val="CharSectno"/>
        </w:rPr>
        <w:t>23</w:t>
      </w:r>
      <w:r>
        <w:t>.</w:t>
      </w:r>
      <w:r>
        <w:tab/>
      </w:r>
      <w:del w:id="97" w:author="Master Repository Process" w:date="2021-09-11T15:18:00Z">
        <w:r>
          <w:delText>Drug</w:delText>
        </w:r>
      </w:del>
      <w:ins w:id="98" w:author="Master Repository Process" w:date="2021-09-11T15:18:00Z">
        <w:r>
          <w:t>Drugs</w:t>
        </w:r>
      </w:ins>
      <w:r>
        <w:t xml:space="preserve"> analyst to report result to Commissioner</w:t>
      </w:r>
      <w:bookmarkEnd w:id="95"/>
      <w:bookmarkEnd w:id="96"/>
    </w:p>
    <w:p>
      <w:pPr>
        <w:pStyle w:val="Subsection"/>
      </w:pPr>
      <w:r>
        <w:tab/>
      </w:r>
      <w:r>
        <w:tab/>
        <w:t xml:space="preserve">Where a </w:t>
      </w:r>
      <w:del w:id="99" w:author="Master Repository Process" w:date="2021-09-11T15:18:00Z">
        <w:r>
          <w:delText>drug</w:delText>
        </w:r>
      </w:del>
      <w:ins w:id="100" w:author="Master Repository Process" w:date="2021-09-11T15:18:00Z">
        <w:r>
          <w:t>drugs</w:t>
        </w:r>
      </w:ins>
      <w:r>
        <w:t xml:space="preserve"> analyst carries out an analysis of a sample following a presumptive positive test result for drugs, the </w:t>
      </w:r>
      <w:ins w:id="101" w:author="Master Repository Process" w:date="2021-09-11T15:18:00Z">
        <w:r>
          <w:t xml:space="preserve">drugs </w:t>
        </w:r>
      </w:ins>
      <w:r>
        <w:t>analyst is to provide a written result of that analysis to the Commissioner, whether or not that analysis resulted in a confirmed adverse test result for drugs.</w:t>
      </w:r>
    </w:p>
    <w:p>
      <w:pPr>
        <w:pStyle w:val="Footnotesection"/>
        <w:rPr>
          <w:ins w:id="102" w:author="Master Repository Process" w:date="2021-09-11T15:18:00Z"/>
        </w:rPr>
      </w:pPr>
      <w:bookmarkStart w:id="103" w:name="_Toc506544279"/>
      <w:ins w:id="104" w:author="Master Repository Process" w:date="2021-09-11T15:18:00Z">
        <w:r>
          <w:tab/>
          <w:t>[Regulation 23 amended in Gazette 17 Aug 2018 p. 2900.]</w:t>
        </w:r>
      </w:ins>
    </w:p>
    <w:p>
      <w:pPr>
        <w:pStyle w:val="Heading2"/>
      </w:pPr>
      <w:bookmarkStart w:id="105" w:name="_Toc522200678"/>
      <w:r>
        <w:rPr>
          <w:rStyle w:val="CharPartNo"/>
        </w:rPr>
        <w:t>Part 4</w:t>
      </w:r>
      <w:r>
        <w:t> — </w:t>
      </w:r>
      <w:r>
        <w:rPr>
          <w:rStyle w:val="CharPartText"/>
        </w:rPr>
        <w:t>Recall to, and remaining on, duty</w:t>
      </w:r>
      <w:bookmarkEnd w:id="103"/>
      <w:bookmarkEnd w:id="105"/>
    </w:p>
    <w:p>
      <w:pPr>
        <w:pStyle w:val="Heading3"/>
      </w:pPr>
      <w:bookmarkStart w:id="106" w:name="_Toc506544280"/>
      <w:bookmarkStart w:id="107" w:name="_Toc522200679"/>
      <w:r>
        <w:rPr>
          <w:rStyle w:val="CharDivNo"/>
        </w:rPr>
        <w:t>Division 1</w:t>
      </w:r>
      <w:r>
        <w:t> — </w:t>
      </w:r>
      <w:r>
        <w:rPr>
          <w:rStyle w:val="CharDivText"/>
        </w:rPr>
        <w:t>Critical incident</w:t>
      </w:r>
      <w:bookmarkEnd w:id="106"/>
      <w:bookmarkEnd w:id="107"/>
    </w:p>
    <w:p>
      <w:pPr>
        <w:pStyle w:val="Heading5"/>
      </w:pPr>
      <w:bookmarkStart w:id="108" w:name="_Toc522200680"/>
      <w:bookmarkStart w:id="109" w:name="_Toc506544281"/>
      <w:r>
        <w:rPr>
          <w:rStyle w:val="CharSectno"/>
        </w:rPr>
        <w:t>24</w:t>
      </w:r>
      <w:r>
        <w:t>.</w:t>
      </w:r>
      <w:r>
        <w:tab/>
        <w:t>Remain on duty — alcohol and drug testing</w:t>
      </w:r>
      <w:bookmarkEnd w:id="108"/>
      <w:bookmarkEnd w:id="109"/>
    </w:p>
    <w:p>
      <w:pPr>
        <w:pStyle w:val="Subsection"/>
      </w:pPr>
      <w:r>
        <w:tab/>
      </w:r>
      <w:r>
        <w:tab/>
        <w:t>When a member is involved in a critical incident and his or her shift is about to finish, an approved person may require that member to remain on duty until that member has undergone alcohol testing and drug testing.</w:t>
      </w:r>
    </w:p>
    <w:p>
      <w:pPr>
        <w:pStyle w:val="Heading5"/>
      </w:pPr>
      <w:bookmarkStart w:id="110" w:name="_Toc522200681"/>
      <w:bookmarkStart w:id="111" w:name="_Toc506544282"/>
      <w:r>
        <w:rPr>
          <w:rStyle w:val="CharSectno"/>
        </w:rPr>
        <w:t>25</w:t>
      </w:r>
      <w:r>
        <w:t>.</w:t>
      </w:r>
      <w:r>
        <w:tab/>
        <w:t>Recall to duty — drug testing</w:t>
      </w:r>
      <w:bookmarkEnd w:id="110"/>
      <w:bookmarkEnd w:id="111"/>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 drug test that member may be recalled to duty by an approved person for the purposes of drug testing.</w:t>
      </w:r>
    </w:p>
    <w:p>
      <w:pPr>
        <w:pStyle w:val="Subsection"/>
      </w:pPr>
      <w:r>
        <w:rPr>
          <w:spacing w:val="-2"/>
        </w:rPr>
        <w:tab/>
        <w:t>(2)</w:t>
      </w:r>
      <w:r>
        <w:rPr>
          <w:spacing w:val="-2"/>
        </w:rPr>
        <w:tab/>
      </w:r>
      <w:r>
        <w:t>When a member has been involved in a critical incident while off</w:t>
      </w:r>
      <w:r>
        <w:noBreakHyphen/>
        <w:t>duty and has not been the subject of a drug test that member may be recalled to duty by an approved person for the purposes of drug testing.</w:t>
      </w:r>
    </w:p>
    <w:p>
      <w:pPr>
        <w:pStyle w:val="Subsection"/>
      </w:pPr>
      <w:r>
        <w:tab/>
        <w:t>(3)</w:t>
      </w:r>
      <w:r>
        <w:tab/>
        <w:t>A selected member cannot be tested under this regulation at his or her place of residence.</w:t>
      </w:r>
    </w:p>
    <w:p>
      <w:pPr>
        <w:pStyle w:val="Subsection"/>
      </w:pPr>
      <w:r>
        <w:tab/>
        <w:t>(4)</w:t>
      </w:r>
      <w:r>
        <w:tab/>
        <w:t>This regulation applies in addition to regulation 26.</w:t>
      </w:r>
    </w:p>
    <w:p>
      <w:pPr>
        <w:pStyle w:val="Heading5"/>
      </w:pPr>
      <w:bookmarkStart w:id="112" w:name="_Toc522200682"/>
      <w:bookmarkStart w:id="113" w:name="_Toc506544283"/>
      <w:r>
        <w:rPr>
          <w:rStyle w:val="CharSectno"/>
        </w:rPr>
        <w:t>26</w:t>
      </w:r>
      <w:r>
        <w:t>.</w:t>
      </w:r>
      <w:r>
        <w:tab/>
        <w:t>Recall to duty — alcohol testing</w:t>
      </w:r>
      <w:bookmarkEnd w:id="112"/>
      <w:bookmarkEnd w:id="113"/>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an alcohol test that member may be recalled to duty by an approved person for the purposes of alcohol testing.</w:t>
      </w:r>
    </w:p>
    <w:p>
      <w:pPr>
        <w:pStyle w:val="Subsection"/>
      </w:pPr>
      <w:r>
        <w:tab/>
        <w:t>(2)</w:t>
      </w:r>
      <w:r>
        <w:tab/>
        <w:t>If a member is involved in a critical incident while off</w:t>
      </w:r>
      <w:r>
        <w:noBreakHyphen/>
        <w:t>duty and has not been the subject of an alcohol test following that incident, that member may be recalled to duty by an approved person for the purposes of alcohol testing.</w:t>
      </w:r>
    </w:p>
    <w:p>
      <w:pPr>
        <w:pStyle w:val="Heading3"/>
      </w:pPr>
      <w:bookmarkStart w:id="114" w:name="_Toc506544284"/>
      <w:bookmarkStart w:id="115" w:name="_Toc522200683"/>
      <w:r>
        <w:rPr>
          <w:rStyle w:val="CharDivNo"/>
        </w:rPr>
        <w:t>Division 2</w:t>
      </w:r>
      <w:r>
        <w:t> — </w:t>
      </w:r>
      <w:r>
        <w:rPr>
          <w:rStyle w:val="CharDivText"/>
        </w:rPr>
        <w:t>Other testing</w:t>
      </w:r>
      <w:bookmarkEnd w:id="114"/>
      <w:bookmarkEnd w:id="115"/>
    </w:p>
    <w:p>
      <w:pPr>
        <w:pStyle w:val="Heading5"/>
      </w:pPr>
      <w:bookmarkStart w:id="116" w:name="_Toc522200684"/>
      <w:bookmarkStart w:id="117" w:name="_Toc506544285"/>
      <w:r>
        <w:rPr>
          <w:rStyle w:val="CharSectno"/>
        </w:rPr>
        <w:t>27</w:t>
      </w:r>
      <w:r>
        <w:t>.</w:t>
      </w:r>
      <w:r>
        <w:tab/>
        <w:t>Remain on duty — alcohol and drug testing</w:t>
      </w:r>
      <w:bookmarkEnd w:id="116"/>
      <w:bookmarkEnd w:id="117"/>
    </w:p>
    <w:p>
      <w:pPr>
        <w:pStyle w:val="Subsection"/>
      </w:pPr>
      <w:r>
        <w:tab/>
      </w:r>
      <w:r>
        <w:tab/>
        <w:t xml:space="preserve">When a member is on duty, or is about to finish his or her shift, and that member — </w:t>
      </w:r>
    </w:p>
    <w:p>
      <w:pPr>
        <w:pStyle w:val="Indenta"/>
      </w:pPr>
      <w:r>
        <w:tab/>
        <w:t>(a)</w:t>
      </w:r>
      <w:r>
        <w:tab/>
        <w:t>is the subject of credible information, intelligence or suspicion indicating that the member is affected or impaired by alcohol or that drug use by the member has taken place whilst that member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member to remain on duty until that member has undergone alcohol or drug testing, or both.</w:t>
      </w:r>
    </w:p>
    <w:p>
      <w:pPr>
        <w:pStyle w:val="Heading5"/>
      </w:pPr>
      <w:bookmarkStart w:id="118" w:name="_Toc522200685"/>
      <w:bookmarkStart w:id="119" w:name="_Toc506544286"/>
      <w:r>
        <w:rPr>
          <w:rStyle w:val="CharSectno"/>
        </w:rPr>
        <w:t>28</w:t>
      </w:r>
      <w:r>
        <w:t>.</w:t>
      </w:r>
      <w:r>
        <w:tab/>
        <w:t>Recall to duty — drug testing</w:t>
      </w:r>
      <w:bookmarkEnd w:id="118"/>
      <w:bookmarkEnd w:id="119"/>
    </w:p>
    <w:p>
      <w:pPr>
        <w:pStyle w:val="Subsection"/>
      </w:pPr>
      <w:r>
        <w:rPr>
          <w:spacing w:val="-2"/>
        </w:rPr>
        <w:tab/>
        <w:t>(1)</w:t>
      </w:r>
      <w:r>
        <w:rPr>
          <w:spacing w:val="-2"/>
        </w:rPr>
        <w:tab/>
      </w:r>
      <w:r>
        <w:t>When a member is off</w:t>
      </w:r>
      <w:r>
        <w:noBreakHyphen/>
        <w:t>duty but that member is the subject of credible information, intelligence or suspicion suggesting that drug use by the member has recently taken place or is taking place, that member may be recalled to duty by an approved person for the purposes of drug testing.</w:t>
      </w:r>
    </w:p>
    <w:p>
      <w:pPr>
        <w:pStyle w:val="Subsection"/>
      </w:pPr>
      <w:r>
        <w:tab/>
        <w:t>(2)</w:t>
      </w:r>
      <w:r>
        <w:tab/>
        <w:t>A selected member cannot be tested under this regulation at his or her place of residence.</w:t>
      </w:r>
    </w:p>
    <w:p>
      <w:pPr>
        <w:pStyle w:val="Heading2"/>
      </w:pPr>
      <w:bookmarkStart w:id="120" w:name="_Toc506544287"/>
      <w:bookmarkStart w:id="121" w:name="_Toc522200686"/>
      <w:r>
        <w:rPr>
          <w:rStyle w:val="CharPartNo"/>
        </w:rPr>
        <w:t>Part 5</w:t>
      </w:r>
      <w:r>
        <w:rPr>
          <w:rStyle w:val="CharDivNo"/>
        </w:rPr>
        <w:t> </w:t>
      </w:r>
      <w:r>
        <w:t>—</w:t>
      </w:r>
      <w:r>
        <w:rPr>
          <w:rStyle w:val="CharDivText"/>
        </w:rPr>
        <w:t> </w:t>
      </w:r>
      <w:r>
        <w:rPr>
          <w:rStyle w:val="CharPartText"/>
        </w:rPr>
        <w:t>Self reporting</w:t>
      </w:r>
      <w:bookmarkEnd w:id="120"/>
      <w:bookmarkEnd w:id="121"/>
    </w:p>
    <w:p>
      <w:pPr>
        <w:pStyle w:val="Heading5"/>
      </w:pPr>
      <w:bookmarkStart w:id="122" w:name="_Toc522200687"/>
      <w:bookmarkStart w:id="123" w:name="_Toc506544288"/>
      <w:r>
        <w:rPr>
          <w:rStyle w:val="CharSectno"/>
        </w:rPr>
        <w:t>29</w:t>
      </w:r>
      <w:r>
        <w:t>.</w:t>
      </w:r>
      <w:r>
        <w:tab/>
        <w:t>Involuntary or accidental alcohol consumption</w:t>
      </w:r>
      <w:bookmarkEnd w:id="122"/>
      <w:bookmarkEnd w:id="123"/>
    </w:p>
    <w:p>
      <w:pPr>
        <w:pStyle w:val="Subsection"/>
      </w:pPr>
      <w:r>
        <w:tab/>
        <w:t>(1)</w:t>
      </w:r>
      <w:r>
        <w:tab/>
        <w:t>When a member is on duty and is concerned that he or she has accidentally or involuntarily consumed alcohol, that member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member will be required to submit a further sample of his or her breath for analysis by an authorised person in accordance with regulation 15.</w:t>
      </w:r>
    </w:p>
    <w:p>
      <w:pPr>
        <w:pStyle w:val="Heading5"/>
      </w:pPr>
      <w:bookmarkStart w:id="124" w:name="_Toc522200688"/>
      <w:bookmarkStart w:id="125" w:name="_Toc506544289"/>
      <w:r>
        <w:rPr>
          <w:rStyle w:val="CharSectno"/>
        </w:rPr>
        <w:t>30</w:t>
      </w:r>
      <w:r>
        <w:t>.</w:t>
      </w:r>
      <w:r>
        <w:tab/>
        <w:t>Involuntary or accidental drug ingestion</w:t>
      </w:r>
      <w:bookmarkEnd w:id="124"/>
      <w:bookmarkEnd w:id="125"/>
    </w:p>
    <w:p>
      <w:pPr>
        <w:pStyle w:val="Subsection"/>
      </w:pPr>
      <w:r>
        <w:tab/>
        <w:t>(1)</w:t>
      </w:r>
      <w:r>
        <w:tab/>
        <w:t>When a member is on duty and is concerned that he or she has accidentally or involuntarily ingested or taken a targeted drug, that member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 xml:space="preserve">requested drug test under this regulation returns a presumptive positive test result for drugs, an analysis of the sample will be conducted by a </w:t>
      </w:r>
      <w:del w:id="126" w:author="Master Repository Process" w:date="2021-09-11T15:18:00Z">
        <w:r>
          <w:delText>drug</w:delText>
        </w:r>
      </w:del>
      <w:ins w:id="127" w:author="Master Repository Process" w:date="2021-09-11T15:18:00Z">
        <w:r>
          <w:t>drugs</w:t>
        </w:r>
      </w:ins>
      <w:r>
        <w:t xml:space="preserve"> analyst to confirm that outcome.</w:t>
      </w:r>
    </w:p>
    <w:p>
      <w:pPr>
        <w:pStyle w:val="Footnotesection"/>
        <w:rPr>
          <w:ins w:id="128" w:author="Master Repository Process" w:date="2021-09-11T15:18:00Z"/>
        </w:rPr>
      </w:pPr>
      <w:bookmarkStart w:id="129" w:name="_Toc506544290"/>
      <w:ins w:id="130" w:author="Master Repository Process" w:date="2021-09-11T15:18:00Z">
        <w:r>
          <w:tab/>
          <w:t>[Regulation 30 amended in Gazette 17 Aug 2018 p. 2900.]</w:t>
        </w:r>
      </w:ins>
    </w:p>
    <w:p>
      <w:pPr>
        <w:pStyle w:val="Heading2"/>
      </w:pPr>
      <w:bookmarkStart w:id="131" w:name="_Toc522200689"/>
      <w:r>
        <w:rPr>
          <w:rStyle w:val="CharPartNo"/>
        </w:rPr>
        <w:t>Part 6</w:t>
      </w:r>
      <w:r>
        <w:t> — </w:t>
      </w:r>
      <w:r>
        <w:rPr>
          <w:rStyle w:val="CharPartText"/>
        </w:rPr>
        <w:t>Adverse test results</w:t>
      </w:r>
      <w:bookmarkEnd w:id="129"/>
      <w:bookmarkEnd w:id="131"/>
    </w:p>
    <w:p>
      <w:pPr>
        <w:pStyle w:val="Heading5"/>
      </w:pPr>
      <w:bookmarkStart w:id="132" w:name="_Toc522200690"/>
      <w:bookmarkStart w:id="133" w:name="_Toc506544291"/>
      <w:r>
        <w:rPr>
          <w:rStyle w:val="CharSectno"/>
        </w:rPr>
        <w:t>31</w:t>
      </w:r>
      <w:r>
        <w:t>.</w:t>
      </w:r>
      <w:r>
        <w:tab/>
        <w:t>Adverse testing outcome — alcohol (0.02)</w:t>
      </w:r>
      <w:bookmarkEnd w:id="132"/>
      <w:bookmarkEnd w:id="133"/>
    </w:p>
    <w:p>
      <w:pPr>
        <w:pStyle w:val="Subsection"/>
      </w:pPr>
      <w:r>
        <w:tab/>
        <w:t>(1)</w:t>
      </w:r>
      <w:r>
        <w:tab/>
        <w:t>A selected member returns a positive result to an alcohol test if that member’s preliminary test returns a presumptive positive test result for alcohol and that member subsequently returns a confirmed adverse test result for alcohol.</w:t>
      </w:r>
    </w:p>
    <w:p>
      <w:pPr>
        <w:pStyle w:val="Subsection"/>
      </w:pPr>
      <w:r>
        <w:tab/>
        <w:t>(2)</w:t>
      </w:r>
      <w:r>
        <w:tab/>
        <w:t>A selected member is taken to return a presumptive positive test result for alcohol if the selected member gives 2 or more invalid samples for a preliminary test without a written medical explanation for the invalidity of the samples.</w:t>
      </w:r>
    </w:p>
    <w:p>
      <w:pPr>
        <w:pStyle w:val="Subsection"/>
      </w:pPr>
      <w:r>
        <w:tab/>
        <w:t>(3)</w:t>
      </w:r>
      <w:r>
        <w:tab/>
        <w:t>If a selected member is taken to return a presumptive positive test result for alcohol under subregulation (2), that member must provide a sample of breath for analysis by breath analysing equipment or self</w:t>
      </w:r>
      <w:r>
        <w:noBreakHyphen/>
        <w:t>testing analysing equipment and a positive result to that analysis is a confirmed adverse test result for alcohol for the purposes of these regulations.</w:t>
      </w:r>
    </w:p>
    <w:p>
      <w:pPr>
        <w:pStyle w:val="Subsection"/>
      </w:pPr>
      <w:r>
        <w:tab/>
        <w:t>(4)</w:t>
      </w:r>
      <w:r>
        <w:tab/>
        <w:t>A confirmed adverse test result for alcohol is to be recorded by the approved person by completing a form in accordance with regulation 16.</w:t>
      </w:r>
    </w:p>
    <w:p>
      <w:pPr>
        <w:pStyle w:val="Heading5"/>
      </w:pPr>
      <w:bookmarkStart w:id="134" w:name="_Toc522200691"/>
      <w:bookmarkStart w:id="135" w:name="_Toc506544292"/>
      <w:r>
        <w:rPr>
          <w:rStyle w:val="CharSectno"/>
        </w:rPr>
        <w:t>32</w:t>
      </w:r>
      <w:r>
        <w:t>.</w:t>
      </w:r>
      <w:r>
        <w:tab/>
        <w:t>Adverse testing outcome — drugs</w:t>
      </w:r>
      <w:bookmarkEnd w:id="134"/>
      <w:bookmarkEnd w:id="135"/>
    </w:p>
    <w:p>
      <w:pPr>
        <w:pStyle w:val="Subsection"/>
      </w:pPr>
      <w:r>
        <w:tab/>
        <w:t>(1)</w:t>
      </w:r>
      <w:r>
        <w:tab/>
        <w:t xml:space="preserve">A selected member returns a positive result to a drug test if — </w:t>
      </w:r>
    </w:p>
    <w:p>
      <w:pPr>
        <w:pStyle w:val="Indenta"/>
      </w:pPr>
      <w:r>
        <w:tab/>
        <w:t>(a)</w:t>
      </w:r>
      <w:r>
        <w:tab/>
        <w:t>the preliminary analysis of the member’s sample returns a presumptive positive test result for drugs and that member subsequently returns a confirmed adverse test result for drugs; or</w:t>
      </w:r>
    </w:p>
    <w:p>
      <w:pPr>
        <w:pStyle w:val="Indenta"/>
      </w:pPr>
      <w:r>
        <w:tab/>
        <w:t>(b)</w:t>
      </w:r>
      <w:r>
        <w:tab/>
        <w:t>in the case of a test for testosterone, the preliminary analysis of the member’s sample returns a presumptive positive test result for drugs and that member subsequently returns a confirmed adverse test result for drugs indicating that the amount of testosterone present in the member’s sample is 4 or more times the amount of epitestosterone present in that sample.</w:t>
      </w:r>
    </w:p>
    <w:p>
      <w:pPr>
        <w:pStyle w:val="Subsection"/>
      </w:pPr>
      <w:r>
        <w:tab/>
        <w:t>(2)</w:t>
      </w:r>
      <w:r>
        <w:tab/>
        <w:t>A selected member is taken to return a presumptive positive test result for drugs if the selected member gives 2 or more invalid samples without a written medical explanation for the invalidity of the samples.</w:t>
      </w:r>
    </w:p>
    <w:p>
      <w:pPr>
        <w:pStyle w:val="Heading5"/>
      </w:pPr>
      <w:bookmarkStart w:id="136" w:name="_Toc522200692"/>
      <w:bookmarkStart w:id="137" w:name="_Toc506544293"/>
      <w:r>
        <w:rPr>
          <w:rStyle w:val="CharSectno"/>
        </w:rPr>
        <w:t>33</w:t>
      </w:r>
      <w:r>
        <w:t>.</w:t>
      </w:r>
      <w:r>
        <w:tab/>
        <w:t>Independent testing</w:t>
      </w:r>
      <w:bookmarkEnd w:id="136"/>
      <w:bookmarkEnd w:id="137"/>
    </w:p>
    <w:p>
      <w:pPr>
        <w:pStyle w:val="Subsection"/>
      </w:pPr>
      <w:r>
        <w:tab/>
        <w:t>(1)</w:t>
      </w:r>
      <w:r>
        <w:tab/>
        <w:t>A selected member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member.</w:t>
      </w:r>
    </w:p>
    <w:p>
      <w:pPr>
        <w:pStyle w:val="Heading5"/>
      </w:pPr>
      <w:bookmarkStart w:id="138" w:name="_Toc522200693"/>
      <w:bookmarkStart w:id="139" w:name="_Toc506544294"/>
      <w:r>
        <w:rPr>
          <w:rStyle w:val="CharSectno"/>
        </w:rPr>
        <w:t>34</w:t>
      </w:r>
      <w:r>
        <w:t>.</w:t>
      </w:r>
      <w:r>
        <w:tab/>
        <w:t>Consequences of an adverse testing outcome — alcohol</w:t>
      </w:r>
      <w:bookmarkEnd w:id="138"/>
      <w:bookmarkEnd w:id="139"/>
    </w:p>
    <w:p>
      <w:pPr>
        <w:pStyle w:val="Subsection"/>
      </w:pPr>
      <w:r>
        <w:tab/>
        <w:t>(1)</w:t>
      </w:r>
      <w:r>
        <w:tab/>
        <w:t xml:space="preserve">If testing of a selected member returns a confirmed adverse test result for alcohol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w:t>
      </w:r>
      <w:r>
        <w:t>t</w:t>
      </w:r>
      <w:r>
        <w:rPr>
          <w:i/>
        </w:rPr>
        <w:t> 1892</w:t>
      </w:r>
      <w:r>
        <w:t xml:space="preserve"> section 23;</w:t>
      </w:r>
    </w:p>
    <w:p>
      <w:pPr>
        <w:pStyle w:val="Indenta"/>
      </w:pPr>
      <w:r>
        <w:tab/>
        <w:t>(d)</w:t>
      </w:r>
      <w:r>
        <w:tab/>
        <w:t xml:space="preserve">invoke removal powers in relation to that member under the </w:t>
      </w:r>
      <w:r>
        <w:rPr>
          <w:i/>
        </w:rPr>
        <w:t>Police Ac</w:t>
      </w:r>
      <w:r>
        <w:t>t</w:t>
      </w:r>
      <w:r>
        <w:rPr>
          <w:i/>
        </w:rPr>
        <w:t> 1892</w:t>
      </w:r>
      <w:r>
        <w:t xml:space="preserve"> section 8.</w:t>
      </w:r>
    </w:p>
    <w:p>
      <w:pPr>
        <w:pStyle w:val="Subsection"/>
      </w:pPr>
      <w:r>
        <w:tab/>
        <w:t>(2)</w:t>
      </w:r>
      <w:r>
        <w:tab/>
        <w:t>Subregulation (1) does not apply to a positive result to an alcohol test conducted under regulation 26 following a recall to duty, where it is determined that the conduct of the member was appropriate in the circumstances.</w:t>
      </w:r>
    </w:p>
    <w:p>
      <w:pPr>
        <w:pStyle w:val="Subsection"/>
      </w:pPr>
      <w:r>
        <w:tab/>
        <w:t>(3)</w:t>
      </w:r>
      <w:r>
        <w:tab/>
        <w:t xml:space="preserve">The operation of the </w:t>
      </w:r>
      <w:r>
        <w:rPr>
          <w:i/>
        </w:rPr>
        <w:t>Police Force Regulations 1979</w:t>
      </w:r>
      <w:r>
        <w:t xml:space="preserve"> regulation 505A is unaffected by any action taken under subregulation (1) of this regulation.</w:t>
      </w:r>
    </w:p>
    <w:p>
      <w:pPr>
        <w:pStyle w:val="Heading5"/>
      </w:pPr>
      <w:bookmarkStart w:id="140" w:name="_Toc522200694"/>
      <w:bookmarkStart w:id="141" w:name="_Toc506544295"/>
      <w:r>
        <w:rPr>
          <w:rStyle w:val="CharSectno"/>
        </w:rPr>
        <w:t>35</w:t>
      </w:r>
      <w:r>
        <w:t>.</w:t>
      </w:r>
      <w:r>
        <w:tab/>
        <w:t>Consequences of an adverse testing outcome — drugs</w:t>
      </w:r>
      <w:bookmarkEnd w:id="140"/>
      <w:bookmarkEnd w:id="141"/>
    </w:p>
    <w:p>
      <w:pPr>
        <w:pStyle w:val="Subsection"/>
      </w:pPr>
      <w:r>
        <w:tab/>
        <w:t>(1)</w:t>
      </w:r>
      <w:r>
        <w:tab/>
        <w:t xml:space="preserve">Subject to subregulation (2), if testing of a selected member returns a confirmed adverse test result for drugs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Act 1892</w:t>
      </w:r>
      <w:r>
        <w:t xml:space="preserve"> section 23;</w:t>
      </w:r>
    </w:p>
    <w:p>
      <w:pPr>
        <w:pStyle w:val="Indenta"/>
      </w:pPr>
      <w:r>
        <w:tab/>
        <w:t>(d)</w:t>
      </w:r>
      <w:r>
        <w:tab/>
        <w:t xml:space="preserve">invoke removal powers in relation to that member under the </w:t>
      </w:r>
      <w:r>
        <w:rPr>
          <w:i/>
        </w:rPr>
        <w:t>Police Act 1892</w:t>
      </w:r>
      <w:r>
        <w:t xml:space="preserve"> section 8.</w:t>
      </w:r>
    </w:p>
    <w:p>
      <w:pPr>
        <w:pStyle w:val="Subsection"/>
      </w:pPr>
      <w:r>
        <w:tab/>
        <w:t>(2)</w:t>
      </w:r>
      <w:r>
        <w:tab/>
        <w:t xml:space="preserve">If testing of a selected member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Schedule 8 poison or a Schedule 9 poison as those terms are defined in the </w:t>
      </w:r>
      <w:r>
        <w:rPr>
          <w:i/>
        </w:rPr>
        <w:t>Medicines and Poisons Act 2014</w:t>
      </w:r>
      <w:r>
        <w:t xml:space="preserve"> section 3; or</w:t>
      </w:r>
    </w:p>
    <w:p>
      <w:pPr>
        <w:pStyle w:val="Indenta"/>
      </w:pPr>
      <w:r>
        <w:tab/>
        <w:t>(c)</w:t>
      </w:r>
      <w:r>
        <w:tab/>
        <w:t xml:space="preserve">a specified drug as defined in the </w:t>
      </w:r>
      <w:r>
        <w:rPr>
          <w:i/>
        </w:rPr>
        <w:t>Misuse of Drugs Act 1981</w:t>
      </w:r>
      <w:r>
        <w:t xml:space="preserve"> section 3(1); or</w:t>
      </w:r>
    </w:p>
    <w:p>
      <w:pPr>
        <w:pStyle w:val="Indenta"/>
      </w:pPr>
      <w:r>
        <w:tab/>
        <w:t>(d)</w:t>
      </w:r>
      <w:r>
        <w:tab/>
        <w:t>a masking agent,</w:t>
      </w:r>
    </w:p>
    <w:p>
      <w:pPr>
        <w:pStyle w:val="Subsection"/>
      </w:pPr>
      <w:r>
        <w:tab/>
      </w:r>
      <w:r>
        <w:tab/>
        <w:t xml:space="preserve">the Commissioner will invoke removal powers in relation to that member under the </w:t>
      </w:r>
      <w:r>
        <w:rPr>
          <w:i/>
        </w:rPr>
        <w:t>Police Act 1892</w:t>
      </w:r>
      <w:r>
        <w:t xml:space="preserve"> section 8.</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keepNext/>
      </w:pPr>
      <w:r>
        <w:tab/>
        <w:t>(b)</w:t>
      </w:r>
      <w:r>
        <w:tab/>
        <w:t xml:space="preserve">a Schedule 8 poison as defined in the </w:t>
      </w:r>
      <w:r>
        <w:rPr>
          <w:i/>
        </w:rPr>
        <w:t>Medicines and Poisons Act 2014</w:t>
      </w:r>
      <w:r>
        <w:t>,</w:t>
      </w:r>
    </w:p>
    <w:p>
      <w:pPr>
        <w:pStyle w:val="Subsection"/>
      </w:pPr>
      <w:r>
        <w:tab/>
      </w:r>
      <w:r>
        <w:tab/>
        <w:t>that has been prescribed to that member by a medical practitioner.</w:t>
      </w:r>
    </w:p>
    <w:p>
      <w:pPr>
        <w:pStyle w:val="Subsection"/>
      </w:pPr>
      <w:r>
        <w:tab/>
        <w:t>(4)</w:t>
      </w:r>
      <w:r>
        <w:tab/>
        <w:t xml:space="preserve">The operation of the </w:t>
      </w:r>
      <w:r>
        <w:rPr>
          <w:i/>
        </w:rPr>
        <w:t>Police Force Regulations 1979</w:t>
      </w:r>
      <w:r>
        <w:t xml:space="preserve"> regulation 505A is unaffected by any action taken under subregulation (1) of this regulation.</w:t>
      </w:r>
    </w:p>
    <w:p>
      <w:pPr>
        <w:pStyle w:val="Footnotesection"/>
      </w:pPr>
      <w:r>
        <w:tab/>
        <w:t>[Regulation 35 amended in Gazette 16 Feb 2018 p. 472</w:t>
      </w:r>
      <w:r>
        <w:noBreakHyphen/>
        <w:t>3.]</w:t>
      </w:r>
    </w:p>
    <w:p>
      <w:pPr>
        <w:pStyle w:val="Heading2"/>
      </w:pPr>
      <w:bookmarkStart w:id="142" w:name="_Toc506544296"/>
      <w:bookmarkStart w:id="143" w:name="_Toc522200695"/>
      <w:r>
        <w:rPr>
          <w:rStyle w:val="CharPartNo"/>
        </w:rPr>
        <w:t>Part 7</w:t>
      </w:r>
      <w:r>
        <w:t> — </w:t>
      </w:r>
      <w:r>
        <w:rPr>
          <w:rStyle w:val="CharPartText"/>
        </w:rPr>
        <w:t>Other offences</w:t>
      </w:r>
      <w:bookmarkEnd w:id="142"/>
      <w:bookmarkEnd w:id="143"/>
    </w:p>
    <w:p>
      <w:pPr>
        <w:pStyle w:val="Heading5"/>
      </w:pPr>
      <w:bookmarkStart w:id="144" w:name="_Toc522200696"/>
      <w:bookmarkStart w:id="145" w:name="_Toc506544297"/>
      <w:r>
        <w:rPr>
          <w:rStyle w:val="CharSectno"/>
        </w:rPr>
        <w:t>36</w:t>
      </w:r>
      <w:r>
        <w:t>.</w:t>
      </w:r>
      <w:r>
        <w:tab/>
        <w:t>Refusal</w:t>
      </w:r>
      <w:bookmarkEnd w:id="144"/>
      <w:bookmarkEnd w:id="145"/>
    </w:p>
    <w:p>
      <w:pPr>
        <w:pStyle w:val="Subsection"/>
      </w:pPr>
      <w:r>
        <w:tab/>
        <w:t>(1)</w:t>
      </w:r>
      <w:r>
        <w:tab/>
        <w:t>A member must comply with a requirement under these regulations to undertake a test for alcohol consumption.</w:t>
      </w:r>
    </w:p>
    <w:p>
      <w:pPr>
        <w:pStyle w:val="Subsection"/>
      </w:pPr>
      <w:r>
        <w:tab/>
        <w:t>(2)</w:t>
      </w:r>
      <w:r>
        <w:tab/>
        <w:t>A member must comply with a requirement under these regulations to undertake a drug test.</w:t>
      </w:r>
    </w:p>
    <w:p>
      <w:pPr>
        <w:pStyle w:val="Subsection"/>
      </w:pPr>
      <w:r>
        <w:tab/>
        <w:t>(3)</w:t>
      </w:r>
      <w:r>
        <w:tab/>
        <w:t>A member must provide a sample of breath for analysis by breath analysing equipment or self</w:t>
      </w:r>
      <w:r>
        <w:noBreakHyphen/>
        <w:t>testing analysing equipment when required to do so under these regulations.</w:t>
      </w:r>
    </w:p>
    <w:p>
      <w:pPr>
        <w:pStyle w:val="Subsection"/>
      </w:pPr>
      <w:r>
        <w:tab/>
        <w:t>(4)</w:t>
      </w:r>
      <w:r>
        <w:tab/>
        <w:t>A member must provide a sample of blood, urine, oral fluid or hair when required to do so under these regulations.</w:t>
      </w:r>
    </w:p>
    <w:p>
      <w:pPr>
        <w:pStyle w:val="Heading5"/>
      </w:pPr>
      <w:bookmarkStart w:id="146" w:name="_Toc522200697"/>
      <w:bookmarkStart w:id="147" w:name="_Toc506544298"/>
      <w:r>
        <w:rPr>
          <w:rStyle w:val="CharSectno"/>
        </w:rPr>
        <w:t>37</w:t>
      </w:r>
      <w:r>
        <w:t>.</w:t>
      </w:r>
      <w:r>
        <w:tab/>
        <w:t>Avoidance</w:t>
      </w:r>
      <w:bookmarkEnd w:id="146"/>
      <w:bookmarkEnd w:id="147"/>
    </w:p>
    <w:p>
      <w:pPr>
        <w:pStyle w:val="Subsection"/>
      </w:pPr>
      <w:r>
        <w:tab/>
        <w:t>(1)</w:t>
      </w:r>
      <w:r>
        <w:tab/>
        <w:t xml:space="preserve">If a member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oral fluid or hair,</w:t>
      </w:r>
    </w:p>
    <w:p>
      <w:pPr>
        <w:pStyle w:val="Subsection"/>
      </w:pPr>
      <w:r>
        <w:tab/>
      </w:r>
      <w:r>
        <w:tab/>
        <w:t>then, unless prevented by urgent medical circumstances, that member must comply with the requirement prior to ceasing duty.</w:t>
      </w:r>
    </w:p>
    <w:p>
      <w:pPr>
        <w:pStyle w:val="Subsection"/>
      </w:pPr>
      <w:r>
        <w:tab/>
        <w:t>(2)</w:t>
      </w:r>
      <w:r>
        <w:tab/>
        <w:t>If a member is subject to a requirement under these regulations to provide a sample of breath for analysis by breath analysing equipment or self</w:t>
      </w:r>
      <w:r>
        <w:noBreakHyphen/>
        <w:t>testing analysing equipment, that member must not provide 2 or more invalid samples unless there is a written medical explanation for the invalidity of those samples.</w:t>
      </w:r>
    </w:p>
    <w:p>
      <w:pPr>
        <w:pStyle w:val="Subsection"/>
      </w:pPr>
      <w:r>
        <w:tab/>
        <w:t>(3)</w:t>
      </w:r>
      <w:r>
        <w:tab/>
        <w:t>If a member is subject to a requirement under these regulations to provide a sample of blood, urine, oral fluid or hair, that member must not provide 2 or more invalid samples unless there is a written medical explanation for the invalidity of those samples.</w:t>
      </w:r>
    </w:p>
    <w:p>
      <w:pPr>
        <w:pStyle w:val="Subsection"/>
      </w:pPr>
      <w:r>
        <w:tab/>
        <w:t>(4)</w:t>
      </w:r>
      <w:r>
        <w:tab/>
        <w:t>A member must not unnecessarily delay a testing or sampling process that is required to be undertaken under these regulations following a critical incident.</w:t>
      </w:r>
    </w:p>
    <w:p>
      <w:pPr>
        <w:pStyle w:val="Heading5"/>
      </w:pPr>
      <w:bookmarkStart w:id="148" w:name="_Toc522200698"/>
      <w:bookmarkStart w:id="149" w:name="_Toc506544299"/>
      <w:r>
        <w:rPr>
          <w:rStyle w:val="CharSectno"/>
        </w:rPr>
        <w:t>38</w:t>
      </w:r>
      <w:r>
        <w:t>.</w:t>
      </w:r>
      <w:r>
        <w:tab/>
        <w:t>Tampering</w:t>
      </w:r>
      <w:bookmarkEnd w:id="148"/>
      <w:bookmarkEnd w:id="149"/>
    </w:p>
    <w:p>
      <w:pPr>
        <w:pStyle w:val="Subsection"/>
      </w:pPr>
      <w:r>
        <w:tab/>
        <w:t>(1)</w:t>
      </w:r>
      <w:r>
        <w:tab/>
        <w:t>A member must not tamper, or interfere with, a testing process carried out under these regulations.</w:t>
      </w:r>
    </w:p>
    <w:p>
      <w:pPr>
        <w:pStyle w:val="Subsection"/>
      </w:pPr>
      <w:r>
        <w:tab/>
        <w:t>(2)</w:t>
      </w:r>
      <w:r>
        <w:tab/>
        <w:t>A member must not, without a lawful reason, be in possession of a masking agent immediately before or during a testing process carried out under these regulations.</w:t>
      </w:r>
    </w:p>
    <w:p>
      <w:pPr>
        <w:pStyle w:val="Subsection"/>
      </w:pPr>
      <w:r>
        <w:tab/>
        <w:t>(3)</w:t>
      </w:r>
      <w:r>
        <w:tab/>
        <w:t>A member must not take a masking agent before a testing process carried out under these regulations.</w:t>
      </w:r>
    </w:p>
    <w:p>
      <w:pPr>
        <w:pStyle w:val="Heading5"/>
      </w:pPr>
      <w:bookmarkStart w:id="150" w:name="_Toc522200699"/>
      <w:bookmarkStart w:id="151" w:name="_Toc506544300"/>
      <w:r>
        <w:rPr>
          <w:rStyle w:val="CharSectno"/>
        </w:rPr>
        <w:t>39</w:t>
      </w:r>
      <w:r>
        <w:t>.</w:t>
      </w:r>
      <w:r>
        <w:tab/>
        <w:t>Sanction for offences</w:t>
      </w:r>
      <w:bookmarkEnd w:id="150"/>
      <w:bookmarkEnd w:id="151"/>
    </w:p>
    <w:p>
      <w:pPr>
        <w:pStyle w:val="Subsection"/>
      </w:pPr>
      <w:r>
        <w:tab/>
      </w:r>
      <w:r>
        <w:tab/>
        <w:t>A member who does not comply with a provision of this Part commits an offence against the discipline of the Force and may be dealt with by the Commissioner under section 8 or 23 of the Act.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52" w:name="_Toc506544301"/>
      <w:bookmarkStart w:id="153" w:name="_Toc522200700"/>
      <w:r>
        <w:rPr>
          <w:rStyle w:val="CharSchNo"/>
        </w:rPr>
        <w:t>Schedule 1</w:t>
      </w:r>
      <w:r>
        <w:rPr>
          <w:rStyle w:val="CharSDivNo"/>
        </w:rPr>
        <w:t> </w:t>
      </w:r>
      <w:r>
        <w:t>—</w:t>
      </w:r>
      <w:r>
        <w:rPr>
          <w:rStyle w:val="CharSDivText"/>
        </w:rPr>
        <w:t> </w:t>
      </w:r>
      <w:r>
        <w:rPr>
          <w:rStyle w:val="CharSchText"/>
        </w:rPr>
        <w:t>Forms</w:t>
      </w:r>
      <w:bookmarkEnd w:id="152"/>
      <w:bookmarkEnd w:id="153"/>
    </w:p>
    <w:p>
      <w:pPr>
        <w:pStyle w:val="yShoulderClause"/>
      </w:pPr>
      <w:r>
        <w:t xml:space="preserve">[r. 17, 18, 19 </w:t>
      </w:r>
      <w:r>
        <w:rPr>
          <w:snapToGrid w:val="0"/>
        </w:rPr>
        <w:t>and </w:t>
      </w:r>
      <w:r>
        <w:t>21]</w:t>
      </w:r>
    </w:p>
    <w:p>
      <w:pPr>
        <w:pStyle w:val="yMiscellaneousHeading"/>
        <w:keepNext w:val="0"/>
        <w:rPr>
          <w:b/>
          <w:bCs/>
        </w:rPr>
      </w:pPr>
      <w:r>
        <w:rPr>
          <w:b/>
          <w:bCs/>
        </w:rPr>
        <w:t>Form 1</w:t>
      </w:r>
    </w:p>
    <w:p>
      <w:pPr>
        <w:pStyle w:val="yMiscellaneousHeading"/>
        <w:spacing w:before="20"/>
      </w:pPr>
      <w:smartTag w:uri="urn:schemas-microsoft-com:office:smarttags" w:element="place">
        <w:smartTag w:uri="urn:schemas-microsoft-com:office:smarttags" w:element="State">
          <w:r>
            <w:t>WESTERN AUSTRALIA</w:t>
          </w:r>
        </w:smartTag>
      </w:smartTag>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Request to take sample of oral fluid, urine or blood</w:t>
      </w:r>
    </w:p>
    <w:p>
      <w:pPr>
        <w:pStyle w:val="yMiscellaneousBody"/>
        <w:spacing w:before="200"/>
        <w:rPr>
          <w:snapToGrid w:val="0"/>
        </w:rPr>
      </w:pPr>
      <w:r>
        <w:rPr>
          <w:snapToGrid w:val="0"/>
        </w:rPr>
        <w:t>To...........................................................................................................................</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Police Force (Member Testing) Regulations 2011</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member]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[Place where request is made]</w:t>
      </w:r>
    </w:p>
    <w:p>
      <w:pPr>
        <w:pStyle w:val="yMiscellaneousBody"/>
        <w:spacing w:before="200"/>
        <w:rPr>
          <w:snapToGrid w:val="0"/>
        </w:rPr>
      </w:pPr>
      <w:r>
        <w:rPr>
          <w:snapToGrid w:val="0"/>
        </w:rPr>
        <w:tab/>
      </w:r>
      <w:r>
        <w:rPr>
          <w:snapToGrid w:val="0"/>
        </w:rPr>
        <w:tab/>
      </w:r>
      <w:r>
        <w:rPr>
          <w:snapToGrid w:val="0"/>
        </w:rPr>
        <w:tab/>
        <w:t>..................................................................</w:t>
      </w:r>
    </w:p>
    <w:p>
      <w:pPr>
        <w:pStyle w:val="yMiscellaneousBody"/>
        <w:tabs>
          <w:tab w:val="left" w:pos="4962"/>
        </w:tabs>
        <w:spacing w:before="0"/>
        <w:jc w:val="both"/>
        <w:rPr>
          <w:snapToGrid w:val="0"/>
          <w:sz w:val="16"/>
          <w:szCs w:val="16"/>
        </w:rPr>
      </w:pPr>
      <w:r>
        <w:rPr>
          <w:snapToGrid w:val="0"/>
          <w:sz w:val="16"/>
          <w:szCs w:val="16"/>
        </w:rPr>
        <w:tab/>
        <w:t>[Date of request]</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(rank and number)]</w:t>
      </w:r>
    </w:p>
    <w:p>
      <w:pPr>
        <w:pStyle w:val="yMiscellaneousHeading"/>
        <w:keepNext w:val="0"/>
        <w:spacing w:before="240"/>
        <w:rPr>
          <w:b/>
          <w:bCs/>
        </w:rPr>
      </w:pPr>
      <w:r>
        <w:rPr>
          <w:b/>
          <w:bCs/>
        </w:rPr>
        <w:t>Form 2</w:t>
      </w:r>
    </w:p>
    <w:p>
      <w:pPr>
        <w:pStyle w:val="yMiscellaneousHeading"/>
        <w:spacing w:before="20"/>
      </w:pPr>
      <w:smartTag w:uri="urn:schemas-microsoft-com:office:smarttags" w:element="place">
        <w:smartTag w:uri="urn:schemas-microsoft-com:office:smarttags" w:element="State">
          <w:r>
            <w:t>WESTERN AUSTRALIA</w:t>
          </w:r>
        </w:smartTag>
      </w:smartTag>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Collection of sample of oral fluid, urine, blood or hair</w:t>
      </w:r>
    </w:p>
    <w:p>
      <w:pPr>
        <w:pStyle w:val="yMiscellaneousBody"/>
        <w:spacing w:before="200"/>
      </w:pPr>
      <w:r>
        <w:rPr>
          <w:snapToGrid w:val="0"/>
        </w:rPr>
        <w:t xml:space="preserve">Under the </w:t>
      </w:r>
      <w:r>
        <w:rPr>
          <w:i/>
        </w:rPr>
        <w:t>Police Force (Member Testing) Regulations 2011</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member]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[Insert time, day, month and year]</w:t>
      </w:r>
    </w:p>
    <w:p>
      <w:pPr>
        <w:pStyle w:val="yMiscellaneousBody"/>
        <w:keepNext/>
        <w:keepLines/>
        <w:spacing w:before="200"/>
        <w:rPr>
          <w:snapToGrid w:val="0"/>
        </w:rPr>
      </w:pPr>
      <w:r>
        <w:rPr>
          <w:snapToGrid w:val="0"/>
        </w:rPr>
        <w:t xml:space="preserve">The sample, or a portion of that sample, is contained and sealed in the sample </w:t>
      </w:r>
    </w:p>
    <w:p>
      <w:pPr>
        <w:pStyle w:val="yMiscellaneousBody"/>
        <w:keepNext/>
        <w:keepLines/>
        <w:spacing w:before="200"/>
        <w:rPr>
          <w:snapToGrid w:val="0"/>
        </w:rPr>
      </w:pPr>
      <w:r>
        <w:rPr>
          <w:snapToGrid w:val="0"/>
        </w:rPr>
        <w:t>container(s) numbered........................................................................................</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[Number on sample container(s)]</w:t>
      </w:r>
    </w:p>
    <w:p>
      <w:pPr>
        <w:pStyle w:val="yMiscellaneousBody"/>
        <w:spacing w:before="200"/>
        <w:rPr>
          <w:snapToGrid w:val="0"/>
        </w:rPr>
      </w:pPr>
      <w:r>
        <w:rPr>
          <w:snapToGrid w:val="0"/>
        </w:rPr>
        <w:t xml:space="preserve">The equipment used for the purpose of collecting the sample of oral </w:t>
      </w:r>
    </w:p>
    <w:p>
      <w:pPr>
        <w:pStyle w:val="yMiscellaneousBody"/>
        <w:spacing w:before="200"/>
        <w:rPr>
          <w:snapToGrid w:val="0"/>
        </w:rPr>
      </w:pPr>
      <w:r>
        <w:rPr>
          <w:snapToGrid w:val="0"/>
        </w:rPr>
        <w:t xml:space="preserve">fluid/urine/blood/hair </w:t>
      </w:r>
      <w:r>
        <w:rPr>
          <w:snapToGrid w:val="0"/>
          <w:sz w:val="16"/>
          <w:szCs w:val="16"/>
        </w:rPr>
        <w:t xml:space="preserve">[delete as applicable] </w:t>
      </w:r>
      <w:r>
        <w:rPr>
          <w:snapToGrid w:val="0"/>
        </w:rPr>
        <w:t xml:space="preserve">was contained in a packaged serially </w:t>
      </w:r>
    </w:p>
    <w:p>
      <w:pPr>
        <w:pStyle w:val="yMiscellaneousBody"/>
        <w:spacing w:before="200"/>
        <w:rPr>
          <w:snapToGrid w:val="0"/>
        </w:rPr>
      </w:pPr>
      <w:r>
        <w:rPr>
          <w:snapToGrid w:val="0"/>
        </w:rPr>
        <w:t>numbered.............................. handed to me by.....................................................</w:t>
      </w:r>
    </w:p>
    <w:p>
      <w:pPr>
        <w:pStyle w:val="yMiscellaneousBody"/>
        <w:tabs>
          <w:tab w:val="left" w:pos="851"/>
          <w:tab w:val="left" w:pos="4111"/>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 xml:space="preserve">In collecting the sample of oral fluid/urine/blood/hair </w:t>
      </w:r>
      <w:r>
        <w:rPr>
          <w:snapToGrid w:val="0"/>
          <w:sz w:val="16"/>
          <w:szCs w:val="16"/>
        </w:rPr>
        <w:t>[delete as applicable]</w:t>
      </w:r>
      <w:r>
        <w:rPr>
          <w:snapToGrid w:val="0"/>
          <w:szCs w:val="22"/>
        </w:rPr>
        <w:t xml:space="preserve"> I complied with the directions contained within the sealed sample collection package provided.</w:t>
      </w:r>
    </w:p>
    <w:p>
      <w:pPr>
        <w:pStyle w:val="yMiscellaneousBody"/>
        <w:tabs>
          <w:tab w:val="left" w:pos="3544"/>
        </w:tabs>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and qualification]</w:t>
      </w:r>
    </w:p>
    <w:p>
      <w:pPr>
        <w:pStyle w:val="yMiscellaneousBody"/>
        <w:spacing w:before="200"/>
        <w:rPr>
          <w:snapToGrid w:val="0"/>
        </w:rPr>
      </w:pPr>
      <w:r>
        <w:rPr>
          <w:snapToGrid w:val="0"/>
        </w:rPr>
        <w:tab/>
      </w:r>
      <w:r>
        <w:rPr>
          <w:snapToGrid w:val="0"/>
        </w:rPr>
        <w:tab/>
        <w:t>Witnessed by................................................................</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[Approved person’s signature</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(rank and number)]</w:t>
      </w:r>
    </w:p>
    <w:p>
      <w:pPr>
        <w:sectPr>
          <w:headerReference w:type="even" r:id="rId20"/>
          <w:headerReference w:type="default" r:id="rId21"/>
          <w:pgSz w:w="11907" w:h="16840" w:code="9"/>
          <w:pgMar w:top="2381" w:right="2410" w:bottom="3544" w:left="2410" w:header="720" w:footer="3380" w:gutter="0"/>
          <w:cols w:space="720"/>
          <w:docGrid w:linePitch="78"/>
        </w:sectPr>
      </w:pPr>
    </w:p>
    <w:p>
      <w:pPr>
        <w:pStyle w:val="nHeading2"/>
      </w:pPr>
      <w:bookmarkStart w:id="155" w:name="_Toc506544302"/>
      <w:bookmarkStart w:id="156" w:name="_Toc522200701"/>
      <w:r>
        <w:t>Notes</w:t>
      </w:r>
      <w:bookmarkEnd w:id="155"/>
      <w:bookmarkEnd w:id="156"/>
    </w:p>
    <w:p>
      <w:pPr>
        <w:pStyle w:val="nSubsection"/>
      </w:pPr>
      <w:r>
        <w:rPr>
          <w:vertAlign w:val="superscript"/>
        </w:rPr>
        <w:t>1</w:t>
      </w:r>
      <w:r>
        <w:tab/>
        <w:t xml:space="preserve">This is a compilation of the </w:t>
      </w:r>
      <w:r>
        <w:rPr>
          <w:i/>
          <w:noProof/>
        </w:rPr>
        <w:t>Police Force (Member Testing) Regulations 2011</w:t>
      </w:r>
      <w:r>
        <w:t xml:space="preserve"> and includes the amendments made by the other written laws referred to in the following table.</w:t>
      </w:r>
    </w:p>
    <w:p>
      <w:pPr>
        <w:pStyle w:val="nHeading3"/>
      </w:pPr>
      <w:bookmarkStart w:id="157" w:name="_Toc522200702"/>
      <w:bookmarkStart w:id="158" w:name="_Toc506544303"/>
      <w:r>
        <w:t>Compilation table</w:t>
      </w:r>
      <w:bookmarkEnd w:id="157"/>
      <w:bookmarkEnd w:id="1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
              </w:rPr>
            </w:pPr>
            <w:r>
              <w:rPr>
                <w:i/>
              </w:rPr>
              <w:t>Police Force (Member Testing) Regulations 2011</w:t>
            </w:r>
          </w:p>
        </w:tc>
        <w:tc>
          <w:tcPr>
            <w:tcW w:w="1276" w:type="dxa"/>
            <w:tcBorders>
              <w:bottom w:val="nil"/>
            </w:tcBorders>
          </w:tcPr>
          <w:p>
            <w:pPr>
              <w:pStyle w:val="nTable"/>
              <w:spacing w:after="40"/>
            </w:pPr>
            <w:r>
              <w:t>2 Dec 2011 p. 5095-124</w:t>
            </w:r>
          </w:p>
        </w:tc>
        <w:tc>
          <w:tcPr>
            <w:tcW w:w="2693" w:type="dxa"/>
            <w:tcBorders>
              <w:bottom w:val="nil"/>
            </w:tcBorders>
          </w:tcPr>
          <w:p>
            <w:pPr>
              <w:pStyle w:val="nTable"/>
              <w:spacing w:after="40"/>
            </w:pPr>
            <w:r>
              <w:t>r. 1 and 2: 2 Dec 2011 (see r. 2(a));</w:t>
            </w:r>
            <w:r>
              <w:br/>
              <w:t>Regulations other than r. 1 and 2: 3 Dec 2011 (see r. 2(b))</w:t>
            </w:r>
          </w:p>
        </w:tc>
      </w:tr>
      <w:tr>
        <w:tc>
          <w:tcPr>
            <w:tcW w:w="3118" w:type="dxa"/>
            <w:tcBorders>
              <w:top w:val="nil"/>
              <w:bottom w:val="nil"/>
            </w:tcBorders>
          </w:tcPr>
          <w:p>
            <w:pPr>
              <w:pStyle w:val="nTable"/>
              <w:spacing w:after="40"/>
              <w:rPr>
                <w:i/>
                <w:vertAlign w:val="superscript"/>
              </w:rPr>
            </w:pPr>
            <w:r>
              <w:rPr>
                <w:i/>
              </w:rPr>
              <w:t>Police Regulations Amendment (Poisons) Regulations 2016</w:t>
            </w:r>
            <w:r>
              <w:t xml:space="preserve"> Pt. 3 </w:t>
            </w:r>
            <w:r>
              <w:rPr>
                <w:vertAlign w:val="superscript"/>
              </w:rPr>
              <w:t>2</w:t>
            </w:r>
          </w:p>
        </w:tc>
        <w:tc>
          <w:tcPr>
            <w:tcW w:w="1276" w:type="dxa"/>
            <w:tcBorders>
              <w:top w:val="nil"/>
              <w:bottom w:val="nil"/>
            </w:tcBorders>
          </w:tcPr>
          <w:p>
            <w:pPr>
              <w:pStyle w:val="nTable"/>
              <w:spacing w:after="40"/>
            </w:pPr>
            <w:r>
              <w:t>17 Jan 2017 p. 412</w:t>
            </w:r>
            <w:r>
              <w:noBreakHyphen/>
              <w:t>17</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rPr>
                <w:i/>
              </w:rPr>
            </w:pPr>
            <w:r>
              <w:rPr>
                <w:i/>
              </w:rPr>
              <w:t>Police Force (Member Testing) Amendment Regulations 2018</w:t>
            </w:r>
          </w:p>
        </w:tc>
        <w:tc>
          <w:tcPr>
            <w:tcW w:w="1276" w:type="dxa"/>
            <w:tcBorders>
              <w:top w:val="nil"/>
              <w:bottom w:val="nil"/>
            </w:tcBorders>
          </w:tcPr>
          <w:p>
            <w:pPr>
              <w:pStyle w:val="nTable"/>
              <w:spacing w:after="40"/>
            </w:pPr>
            <w:r>
              <w:t>16 Feb 2018 p. 472</w:t>
            </w:r>
            <w:r>
              <w:noBreakHyphen/>
              <w:t>3</w:t>
            </w:r>
          </w:p>
        </w:tc>
        <w:tc>
          <w:tcPr>
            <w:tcW w:w="2693" w:type="dxa"/>
            <w:tcBorders>
              <w:top w:val="nil"/>
              <w:bottom w:val="nil"/>
            </w:tcBorders>
          </w:tcPr>
          <w:p>
            <w:pPr>
              <w:pStyle w:val="nTable"/>
              <w:spacing w:after="40"/>
            </w:pPr>
            <w:r>
              <w:rPr>
                <w:rFonts w:ascii="Times" w:hAnsi="Times"/>
                <w:bCs/>
                <w:snapToGrid w:val="0"/>
                <w:spacing w:val="-2"/>
              </w:rPr>
              <w:t>r. 1 and 2: 16 Feb 2018 (see r. 2(a));</w:t>
            </w:r>
            <w:r>
              <w:rPr>
                <w:rFonts w:ascii="Times" w:hAnsi="Times"/>
                <w:bCs/>
                <w:snapToGrid w:val="0"/>
                <w:spacing w:val="-2"/>
              </w:rPr>
              <w:br/>
              <w:t>Regulations other than r. 1 and 2: 17 Feb  2018 (see r. 2(b))</w:t>
            </w:r>
          </w:p>
        </w:tc>
      </w:tr>
      <w:tr>
        <w:trPr>
          <w:ins w:id="159" w:author="Master Repository Process" w:date="2021-09-11T15:18:00Z"/>
        </w:trPr>
        <w:tc>
          <w:tcPr>
            <w:tcW w:w="3118" w:type="dxa"/>
            <w:tcBorders>
              <w:top w:val="nil"/>
              <w:bottom w:val="single" w:sz="4" w:space="0" w:color="auto"/>
            </w:tcBorders>
          </w:tcPr>
          <w:p>
            <w:pPr>
              <w:pStyle w:val="nTable"/>
              <w:spacing w:after="40"/>
              <w:rPr>
                <w:ins w:id="160" w:author="Master Repository Process" w:date="2021-09-11T15:18:00Z"/>
                <w:i/>
              </w:rPr>
            </w:pPr>
            <w:ins w:id="161" w:author="Master Repository Process" w:date="2021-09-11T15:18:00Z">
              <w:r>
                <w:rPr>
                  <w:i/>
                </w:rPr>
                <w:t>Police Force (Member Testing) Amendment Regulations (No. 2) 2018</w:t>
              </w:r>
            </w:ins>
          </w:p>
        </w:tc>
        <w:tc>
          <w:tcPr>
            <w:tcW w:w="1276" w:type="dxa"/>
            <w:tcBorders>
              <w:top w:val="nil"/>
              <w:bottom w:val="single" w:sz="4" w:space="0" w:color="auto"/>
            </w:tcBorders>
          </w:tcPr>
          <w:p>
            <w:pPr>
              <w:pStyle w:val="nTable"/>
              <w:spacing w:after="40"/>
              <w:rPr>
                <w:ins w:id="162" w:author="Master Repository Process" w:date="2021-09-11T15:18:00Z"/>
              </w:rPr>
            </w:pPr>
            <w:ins w:id="163" w:author="Master Repository Process" w:date="2021-09-11T15:18:00Z">
              <w:r>
                <w:t>17 Aug 2018 p. 2898</w:t>
              </w:r>
              <w:r>
                <w:noBreakHyphen/>
                <w:t>900</w:t>
              </w:r>
            </w:ins>
          </w:p>
        </w:tc>
        <w:tc>
          <w:tcPr>
            <w:tcW w:w="2693" w:type="dxa"/>
            <w:tcBorders>
              <w:top w:val="nil"/>
              <w:bottom w:val="single" w:sz="4" w:space="0" w:color="auto"/>
            </w:tcBorders>
          </w:tcPr>
          <w:p>
            <w:pPr>
              <w:pStyle w:val="nTable"/>
              <w:spacing w:after="40"/>
              <w:rPr>
                <w:ins w:id="164" w:author="Master Repository Process" w:date="2021-09-11T15:18:00Z"/>
                <w:rFonts w:ascii="Times" w:hAnsi="Times"/>
                <w:bCs/>
                <w:snapToGrid w:val="0"/>
                <w:spacing w:val="-2"/>
              </w:rPr>
            </w:pPr>
            <w:ins w:id="165" w:author="Master Repository Process" w:date="2021-09-11T15:18:00Z">
              <w:r>
                <w:rPr>
                  <w:rFonts w:ascii="Times" w:hAnsi="Times"/>
                  <w:bCs/>
                  <w:snapToGrid w:val="0"/>
                  <w:spacing w:val="-2"/>
                </w:rPr>
                <w:t>r. 1 and 2: 17 Aug 2018 (see r. 2(a));</w:t>
              </w:r>
              <w:r>
                <w:rPr>
                  <w:rFonts w:ascii="Times" w:hAnsi="Times"/>
                  <w:bCs/>
                  <w:snapToGrid w:val="0"/>
                  <w:spacing w:val="-2"/>
                </w:rPr>
                <w:br/>
                <w:t>Regulations other than r. 1 and 2: 18 Aug  2018 (see r. 2(b))</w:t>
              </w:r>
            </w:ins>
          </w:p>
        </w:tc>
      </w:tr>
    </w:tbl>
    <w:p>
      <w:pPr>
        <w:pStyle w:val="nSubsection"/>
      </w:pPr>
      <w:r>
        <w:rPr>
          <w:vertAlign w:val="superscript"/>
        </w:rPr>
        <w:t>2</w:t>
      </w:r>
      <w:r>
        <w:tab/>
        <w:t xml:space="preserve">The </w:t>
      </w:r>
      <w:r>
        <w:rPr>
          <w:i/>
        </w:rPr>
        <w:t>Police Regulations Amendment (Poisons) Regulations 2016</w:t>
      </w:r>
      <w:r>
        <w:t xml:space="preserve"> Pt. 3, which purports to amend the principal regulations, is of no effect as those amending regulations were made by the Governor.  Regulations made under the </w:t>
      </w:r>
      <w:r>
        <w:rPr>
          <w:i/>
        </w:rPr>
        <w:t>Police Act 1892</w:t>
      </w:r>
      <w:r>
        <w:t xml:space="preserve"> section 9 must be made by the Commissioner of Police with the approval of the Minister. The amendments purportedly made by the </w:t>
      </w:r>
      <w:r>
        <w:rPr>
          <w:i/>
        </w:rPr>
        <w:t>Police Regulations Amendment (Poisons) Regulations 2016</w:t>
      </w:r>
      <w:r>
        <w:t xml:space="preserve"> Pt. 3 are therefore not included in the compilation of the principal regulations.</w:t>
      </w: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54" w:name="Schedule"/>
    <w:bookmarkEnd w:id="1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7" w:name="Coversheet"/>
    <w:bookmarkEnd w:id="1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6"/>
  </w:num>
  <w:num w:numId="18">
    <w:abstractNumId w:val="13"/>
  </w:num>
  <w:num w:numId="19">
    <w:abstractNumId w:val="20"/>
  </w:num>
  <w:num w:numId="20">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216105850"/>
    <w:docVar w:name="WAFER_20150715123619" w:val="ResetPageSize,UpdateArrangement,UpdateNTable"/>
    <w:docVar w:name="WAFER_20150715123619_GUID" w:val="b723efe0-0cf6-4c4e-933e-96defde45084"/>
    <w:docVar w:name="WAFER_20151109114137" w:val="UpdateStyles,UsedStyles"/>
    <w:docVar w:name="WAFER_20151109114137_GUID" w:val="ad9f8201-0b2c-418a-bd61-01d36e3b44a9"/>
    <w:docVar w:name="WAFER_20180216105850" w:val="RemoveTocBookmarks,RemoveUnusedBookmarks,RemoveLanguageTags,UsedStyles,ResetPageSize"/>
    <w:docVar w:name="WAFER_20180216105850_GUID" w:val="8002f15c-1ec4-496f-a851-805d4ebe12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837D9A7E-672C-4D7C-BC58-0845B6F56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5650</Words>
  <Characters>29776</Characters>
  <Application>Microsoft Office Word</Application>
  <DocSecurity>0</DocSecurity>
  <Lines>744</Lines>
  <Paragraphs>407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(Member Testing) Regulations 2011 00-b0-00 - 00-c0-00</dc:title>
  <dc:subject/>
  <dc:creator/>
  <cp:keywords/>
  <dc:description/>
  <cp:lastModifiedBy>Master Repository Process</cp:lastModifiedBy>
  <cp:revision>2</cp:revision>
  <cp:lastPrinted>2017-11-09T03:38:00Z</cp:lastPrinted>
  <dcterms:created xsi:type="dcterms:W3CDTF">2021-09-11T07:17:00Z</dcterms:created>
  <dcterms:modified xsi:type="dcterms:W3CDTF">2021-09-11T07:18:00Z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Dec 2011 p 5095-124</vt:lpwstr>
  </property>
  <property fmtid="{D5CDD505-2E9C-101B-9397-08002B2CF9AE}" pid="3" name="DocumentType">
    <vt:lpwstr>Reg</vt:lpwstr>
  </property>
  <property fmtid="{D5CDD505-2E9C-101B-9397-08002B2CF9AE}" pid="4" name="CommencementDate">
    <vt:lpwstr>20180818</vt:lpwstr>
  </property>
  <property fmtid="{D5CDD505-2E9C-101B-9397-08002B2CF9AE}" pid="5" name="FromSuffix">
    <vt:lpwstr>00-b0-00</vt:lpwstr>
  </property>
  <property fmtid="{D5CDD505-2E9C-101B-9397-08002B2CF9AE}" pid="6" name="FromAsAtDate">
    <vt:lpwstr>17 Feb 2018</vt:lpwstr>
  </property>
  <property fmtid="{D5CDD505-2E9C-101B-9397-08002B2CF9AE}" pid="7" name="ToSuffix">
    <vt:lpwstr>00-c0-00</vt:lpwstr>
  </property>
  <property fmtid="{D5CDD505-2E9C-101B-9397-08002B2CF9AE}" pid="8" name="ToAsAtDate">
    <vt:lpwstr>18 Aug 2018</vt:lpwstr>
  </property>
</Properties>
</file>