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Oct 2015</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03 Nov 2018</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1-24T11:28:00Z"/>
        </w:trPr>
        <w:tc>
          <w:tcPr>
            <w:tcW w:w="2434" w:type="dxa"/>
            <w:vMerge w:val="restart"/>
          </w:tcPr>
          <w:p>
            <w:pPr>
              <w:rPr>
                <w:del w:id="2" w:author="svcMRProcess" w:date="2019-01-24T11:28:00Z"/>
              </w:rPr>
            </w:pPr>
          </w:p>
        </w:tc>
        <w:tc>
          <w:tcPr>
            <w:tcW w:w="2434" w:type="dxa"/>
            <w:vMerge w:val="restart"/>
          </w:tcPr>
          <w:p>
            <w:pPr>
              <w:jc w:val="center"/>
              <w:rPr>
                <w:del w:id="3" w:author="svcMRProcess" w:date="2019-01-24T11:28:00Z"/>
              </w:rPr>
            </w:pPr>
            <w:del w:id="4" w:author="svcMRProcess" w:date="2019-01-24T11:2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1-24T11:28:00Z"/>
              </w:rPr>
            </w:pPr>
            <w:del w:id="6" w:author="svcMRProcess" w:date="2019-01-24T11:28: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9-01-24T11:28:00Z"/>
        </w:trPr>
        <w:tc>
          <w:tcPr>
            <w:tcW w:w="2434" w:type="dxa"/>
            <w:vMerge/>
          </w:tcPr>
          <w:p>
            <w:pPr>
              <w:rPr>
                <w:del w:id="8" w:author="svcMRProcess" w:date="2019-01-24T11:28:00Z"/>
              </w:rPr>
            </w:pPr>
          </w:p>
        </w:tc>
        <w:tc>
          <w:tcPr>
            <w:tcW w:w="2434" w:type="dxa"/>
            <w:vMerge/>
          </w:tcPr>
          <w:p>
            <w:pPr>
              <w:jc w:val="center"/>
              <w:rPr>
                <w:del w:id="9" w:author="svcMRProcess" w:date="2019-01-24T11:28:00Z"/>
              </w:rPr>
            </w:pPr>
          </w:p>
        </w:tc>
        <w:tc>
          <w:tcPr>
            <w:tcW w:w="2434" w:type="dxa"/>
          </w:tcPr>
          <w:p>
            <w:pPr>
              <w:keepNext/>
              <w:rPr>
                <w:del w:id="10" w:author="svcMRProcess" w:date="2019-01-24T11:28:00Z"/>
                <w:b/>
                <w:sz w:val="22"/>
              </w:rPr>
            </w:pPr>
            <w:del w:id="11" w:author="svcMRProcess" w:date="2019-01-24T11:28:00Z">
              <w:r>
                <w:rPr>
                  <w:b/>
                  <w:sz w:val="22"/>
                </w:rPr>
                <w:delText>at 2 October 2015</w:delText>
              </w:r>
            </w:del>
          </w:p>
        </w:tc>
      </w:tr>
    </w:tbl>
    <w:p>
      <w:pPr>
        <w:pStyle w:val="WA"/>
        <w:spacing w:before="12"/>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12" w:name="_GoBack"/>
      <w:bookmarkEnd w:id="12"/>
      <w:r>
        <w:rPr>
          <w:snapToGrid w:val="0"/>
        </w:rPr>
        <w:t xml:space="preserve">n Act to establish the Magistrates Court of </w:t>
      </w:r>
      <w:smartTag w:uri="urn:schemas-microsoft-com:office:smarttags" w:element="State">
        <w:smartTag w:uri="urn:schemas-microsoft-com:office:smarttags" w:element="place">
          <w:r>
            <w:rPr>
              <w:snapToGrid w:val="0"/>
            </w:rPr>
            <w:t>Western Australia</w:t>
          </w:r>
        </w:smartTag>
      </w:smartTag>
      <w:r>
        <w:rPr>
          <w:snapToGrid w:val="0"/>
        </w:rPr>
        <w:t xml:space="preserve"> and for related purposes.</w:t>
      </w:r>
    </w:p>
    <w:p>
      <w:pPr>
        <w:pStyle w:val="Heading2"/>
      </w:pPr>
      <w:bookmarkStart w:id="13" w:name="_Toc426099568"/>
      <w:bookmarkStart w:id="14" w:name="_Toc430937367"/>
      <w:bookmarkStart w:id="15" w:name="_Toc431391842"/>
      <w:bookmarkStart w:id="16" w:name="_Toc432434269"/>
      <w:bookmarkStart w:id="17" w:name="_Toc528939456"/>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p>
    <w:p>
      <w:pPr>
        <w:pStyle w:val="Heading5"/>
        <w:rPr>
          <w:snapToGrid w:val="0"/>
        </w:rPr>
      </w:pPr>
      <w:bookmarkStart w:id="18" w:name="_Toc528939457"/>
      <w:bookmarkStart w:id="19" w:name="_Toc432434270"/>
      <w:r>
        <w:rPr>
          <w:rStyle w:val="CharSectno"/>
        </w:rPr>
        <w:t>1</w:t>
      </w:r>
      <w:r>
        <w:rPr>
          <w:snapToGrid w:val="0"/>
        </w:rPr>
        <w:t>.</w:t>
      </w:r>
      <w:r>
        <w:rPr>
          <w:snapToGrid w:val="0"/>
        </w:rPr>
        <w:tab/>
        <w:t>Short title</w:t>
      </w:r>
      <w:bookmarkEnd w:id="18"/>
      <w:bookmarkEnd w:id="19"/>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20" w:name="_Toc528939458"/>
      <w:bookmarkStart w:id="21" w:name="_Toc432434271"/>
      <w:r>
        <w:rPr>
          <w:rStyle w:val="CharSectno"/>
        </w:rPr>
        <w:t>2</w:t>
      </w:r>
      <w:r>
        <w:t>.</w:t>
      </w:r>
      <w:r>
        <w:tab/>
        <w:t>Commencement</w:t>
      </w:r>
      <w:bookmarkEnd w:id="20"/>
      <w:bookmarkEnd w:id="21"/>
    </w:p>
    <w:p>
      <w:pPr>
        <w:pStyle w:val="Subsection"/>
      </w:pPr>
      <w:r>
        <w:tab/>
      </w:r>
      <w:r>
        <w:tab/>
        <w:t>This Act comes into operation on a day fixed by proclamation</w:t>
      </w:r>
      <w:r>
        <w:rPr>
          <w:iCs/>
          <w:snapToGrid w:val="0"/>
          <w:vertAlign w:val="superscript"/>
        </w:rPr>
        <w:t> 1</w:t>
      </w:r>
      <w:r>
        <w:t>.</w:t>
      </w:r>
    </w:p>
    <w:p>
      <w:pPr>
        <w:pStyle w:val="Heading5"/>
      </w:pPr>
      <w:bookmarkStart w:id="22" w:name="_Toc528939459"/>
      <w:bookmarkStart w:id="23" w:name="_Toc432434272"/>
      <w:r>
        <w:rPr>
          <w:rStyle w:val="CharSectno"/>
        </w:rPr>
        <w:t>3</w:t>
      </w:r>
      <w:r>
        <w:t>.</w:t>
      </w:r>
      <w:r>
        <w:tab/>
        <w:t>Terms used</w:t>
      </w:r>
      <w:bookmarkEnd w:id="22"/>
      <w:bookmarkEnd w:id="23"/>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lastRenderedPageBreak/>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 26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5"/>
      </w:pPr>
      <w:bookmarkStart w:id="24" w:name="_Toc528939460"/>
      <w:bookmarkStart w:id="25" w:name="_Toc432434273"/>
      <w:r>
        <w:rPr>
          <w:rStyle w:val="CharSectno"/>
        </w:rPr>
        <w:t>4A</w:t>
      </w:r>
      <w:r>
        <w:t>.</w:t>
      </w:r>
      <w:r>
        <w:tab/>
      </w:r>
      <w:r>
        <w:rPr>
          <w:i/>
        </w:rPr>
        <w:t>Courts and Tribunals (Electronic Processes Facilitation) Act 2013</w:t>
      </w:r>
      <w:r>
        <w:t xml:space="preserve"> Part 2 applies</w:t>
      </w:r>
      <w:bookmarkEnd w:id="24"/>
      <w:bookmarkEnd w:id="2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w:t>
      </w:r>
      <w:del w:id="26" w:author="svcMRProcess" w:date="2019-01-24T11:28:00Z">
        <w:r>
          <w:delText xml:space="preserve"> by</w:delText>
        </w:r>
      </w:del>
      <w:ins w:id="27" w:author="svcMRProcess" w:date="2019-01-24T11:28:00Z">
        <w:r>
          <w:t>:</w:t>
        </w:r>
      </w:ins>
      <w:r>
        <w:t xml:space="preserve"> No. 20 of 2013 s. 97.]</w:t>
      </w:r>
    </w:p>
    <w:p>
      <w:pPr>
        <w:pStyle w:val="Heading2"/>
      </w:pPr>
      <w:bookmarkStart w:id="28" w:name="_Toc426099573"/>
      <w:bookmarkStart w:id="29" w:name="_Toc430937372"/>
      <w:bookmarkStart w:id="30" w:name="_Toc431391847"/>
      <w:bookmarkStart w:id="31" w:name="_Toc432434274"/>
      <w:bookmarkStart w:id="32" w:name="_Toc528939461"/>
      <w:r>
        <w:rPr>
          <w:rStyle w:val="CharPartNo"/>
        </w:rPr>
        <w:t>Part 2</w:t>
      </w:r>
      <w:r>
        <w:rPr>
          <w:rStyle w:val="CharDivNo"/>
        </w:rPr>
        <w:t> </w:t>
      </w:r>
      <w:r>
        <w:t>—</w:t>
      </w:r>
      <w:r>
        <w:rPr>
          <w:rStyle w:val="CharDivText"/>
        </w:rPr>
        <w:t> </w:t>
      </w:r>
      <w:r>
        <w:rPr>
          <w:rStyle w:val="CharPartText"/>
        </w:rPr>
        <w:t>The Court</w:t>
      </w:r>
      <w:bookmarkEnd w:id="28"/>
      <w:bookmarkEnd w:id="29"/>
      <w:bookmarkEnd w:id="30"/>
      <w:bookmarkEnd w:id="31"/>
      <w:bookmarkEnd w:id="32"/>
    </w:p>
    <w:p>
      <w:pPr>
        <w:pStyle w:val="Heading5"/>
      </w:pPr>
      <w:bookmarkStart w:id="33" w:name="_Toc528939462"/>
      <w:bookmarkStart w:id="34" w:name="_Toc432434275"/>
      <w:r>
        <w:rPr>
          <w:rStyle w:val="CharSectno"/>
        </w:rPr>
        <w:t>4</w:t>
      </w:r>
      <w:r>
        <w:t>.</w:t>
      </w:r>
      <w:r>
        <w:tab/>
        <w:t>Court established</w:t>
      </w:r>
      <w:bookmarkEnd w:id="33"/>
      <w:bookmarkEnd w:id="34"/>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35" w:name="_Toc528939463"/>
      <w:bookmarkStart w:id="36" w:name="_Toc432434276"/>
      <w:r>
        <w:rPr>
          <w:rStyle w:val="CharSectno"/>
        </w:rPr>
        <w:t>5</w:t>
      </w:r>
      <w:r>
        <w:t>.</w:t>
      </w:r>
      <w:r>
        <w:tab/>
        <w:t>Magistrates: appointment of, service etc.</w:t>
      </w:r>
      <w:bookmarkEnd w:id="35"/>
      <w:bookmarkEnd w:id="36"/>
    </w:p>
    <w:p>
      <w:pPr>
        <w:pStyle w:val="Subsection"/>
      </w:pPr>
      <w:r>
        <w:tab/>
      </w:r>
      <w:r>
        <w:tab/>
        <w:t>Schedule 1 has effect.</w:t>
      </w:r>
    </w:p>
    <w:p>
      <w:pPr>
        <w:pStyle w:val="Heading5"/>
      </w:pPr>
      <w:bookmarkStart w:id="37" w:name="_Toc528939464"/>
      <w:bookmarkStart w:id="38" w:name="_Toc432434277"/>
      <w:r>
        <w:rPr>
          <w:rStyle w:val="CharSectno"/>
        </w:rPr>
        <w:t>6</w:t>
      </w:r>
      <w:r>
        <w:t>.</w:t>
      </w:r>
      <w:r>
        <w:tab/>
        <w:t>Magistrates: functions of</w:t>
      </w:r>
      <w:bookmarkEnd w:id="37"/>
      <w:bookmarkEnd w:id="38"/>
    </w:p>
    <w:p>
      <w:pPr>
        <w:pStyle w:val="Subsection"/>
      </w:pPr>
      <w:r>
        <w:tab/>
        <w:t>(1)</w:t>
      </w:r>
      <w:r>
        <w:tab/>
        <w:t xml:space="preserve">A magistrate has the functions imposed or conferred on a magistrate by laws that apply in </w:t>
      </w:r>
      <w:smartTag w:uri="urn:schemas-microsoft-com:office:smarttags" w:element="State">
        <w:smartTag w:uri="urn:schemas-microsoft-com:office:smarttags" w:element="place">
          <w:r>
            <w:t>Western Australia</w:t>
          </w:r>
        </w:smartTag>
      </w:smartTag>
      <w:r>
        <w:t>,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 37 to the performance by a magistrate of other functions, or the functions of another office or appointment, approved under subsection (3).</w:t>
      </w:r>
    </w:p>
    <w:p>
      <w:pPr>
        <w:pStyle w:val="Footnotesection"/>
      </w:pPr>
      <w:r>
        <w:tab/>
        <w:t>[Section 6. Modifications to be applied in order to give effect to Cross-border Justice Act 2008: section altered 1 Nov 2009. See endnote 1M.]</w:t>
      </w:r>
    </w:p>
    <w:p>
      <w:pPr>
        <w:pStyle w:val="Heading5"/>
      </w:pPr>
      <w:bookmarkStart w:id="39" w:name="_Toc528939465"/>
      <w:bookmarkStart w:id="40" w:name="_Toc432434278"/>
      <w:r>
        <w:rPr>
          <w:rStyle w:val="CharSectno"/>
        </w:rPr>
        <w:t>7</w:t>
      </w:r>
      <w:r>
        <w:t>.</w:t>
      </w:r>
      <w:r>
        <w:tab/>
        <w:t>Constitution of Court</w:t>
      </w:r>
      <w:bookmarkEnd w:id="39"/>
      <w:bookmarkEnd w:id="40"/>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 and</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41" w:name="_Toc528939466"/>
      <w:bookmarkStart w:id="42" w:name="_Toc432434279"/>
      <w:r>
        <w:rPr>
          <w:rStyle w:val="CharSectno"/>
        </w:rPr>
        <w:t>8</w:t>
      </w:r>
      <w:r>
        <w:t>.</w:t>
      </w:r>
      <w:r>
        <w:tab/>
        <w:t>Where and when Court operates</w:t>
      </w:r>
      <w:bookmarkEnd w:id="41"/>
      <w:bookmarkEnd w:id="42"/>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Footnotesection"/>
      </w:pPr>
      <w:r>
        <w:tab/>
        <w:t>[Section 8 amended</w:t>
      </w:r>
      <w:del w:id="43" w:author="svcMRProcess" w:date="2019-01-24T11:28:00Z">
        <w:r>
          <w:delText xml:space="preserve"> by</w:delText>
        </w:r>
      </w:del>
      <w:ins w:id="44" w:author="svcMRProcess" w:date="2019-01-24T11:28:00Z">
        <w:r>
          <w:t>:</w:t>
        </w:r>
      </w:ins>
      <w:r>
        <w:t xml:space="preserve"> No. 7 of 2008 s. 155.]</w:t>
      </w:r>
    </w:p>
    <w:p>
      <w:pPr>
        <w:pStyle w:val="Heading2"/>
      </w:pPr>
      <w:bookmarkStart w:id="45" w:name="_Toc426099579"/>
      <w:bookmarkStart w:id="46" w:name="_Toc430937378"/>
      <w:bookmarkStart w:id="47" w:name="_Toc431391853"/>
      <w:bookmarkStart w:id="48" w:name="_Toc432434280"/>
      <w:bookmarkStart w:id="49" w:name="_Toc528939467"/>
      <w:r>
        <w:rPr>
          <w:rStyle w:val="CharPartNo"/>
        </w:rPr>
        <w:t>Part 3</w:t>
      </w:r>
      <w:r>
        <w:t> — </w:t>
      </w:r>
      <w:r>
        <w:rPr>
          <w:rStyle w:val="CharPartText"/>
        </w:rPr>
        <w:t>Jurisdiction and powers</w:t>
      </w:r>
      <w:bookmarkEnd w:id="45"/>
      <w:bookmarkEnd w:id="46"/>
      <w:bookmarkEnd w:id="47"/>
      <w:bookmarkEnd w:id="48"/>
      <w:bookmarkEnd w:id="49"/>
    </w:p>
    <w:p>
      <w:pPr>
        <w:pStyle w:val="Heading3"/>
      </w:pPr>
      <w:bookmarkStart w:id="50" w:name="_Toc426099580"/>
      <w:bookmarkStart w:id="51" w:name="_Toc430937379"/>
      <w:bookmarkStart w:id="52" w:name="_Toc431391854"/>
      <w:bookmarkStart w:id="53" w:name="_Toc432434281"/>
      <w:bookmarkStart w:id="54" w:name="_Toc528939468"/>
      <w:r>
        <w:rPr>
          <w:rStyle w:val="CharDivNo"/>
        </w:rPr>
        <w:t>Division 1</w:t>
      </w:r>
      <w:r>
        <w:t> — </w:t>
      </w:r>
      <w:r>
        <w:rPr>
          <w:rStyle w:val="CharDivText"/>
        </w:rPr>
        <w:t>Jurisdiction</w:t>
      </w:r>
      <w:bookmarkEnd w:id="50"/>
      <w:bookmarkEnd w:id="51"/>
      <w:bookmarkEnd w:id="52"/>
      <w:bookmarkEnd w:id="53"/>
      <w:bookmarkEnd w:id="54"/>
    </w:p>
    <w:p>
      <w:pPr>
        <w:pStyle w:val="Heading5"/>
      </w:pPr>
      <w:bookmarkStart w:id="55" w:name="_Toc528939469"/>
      <w:bookmarkStart w:id="56" w:name="_Toc432434282"/>
      <w:r>
        <w:rPr>
          <w:rStyle w:val="CharSectno"/>
        </w:rPr>
        <w:t>9</w:t>
      </w:r>
      <w:r>
        <w:t>.</w:t>
      </w:r>
      <w:r>
        <w:tab/>
        <w:t>Jurisdiction conferred by statute</w:t>
      </w:r>
      <w:bookmarkEnd w:id="55"/>
      <w:bookmarkEnd w:id="56"/>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57" w:name="_Toc528939470"/>
      <w:bookmarkStart w:id="58" w:name="_Toc432434283"/>
      <w:r>
        <w:rPr>
          <w:rStyle w:val="CharSectno"/>
        </w:rPr>
        <w:t>10</w:t>
      </w:r>
      <w:r>
        <w:t>.</w:t>
      </w:r>
      <w:r>
        <w:tab/>
        <w:t>Civil jurisdiction</w:t>
      </w:r>
      <w:bookmarkEnd w:id="57"/>
      <w:bookmarkEnd w:id="58"/>
    </w:p>
    <w:p>
      <w:pPr>
        <w:pStyle w:val="Subsection"/>
      </w:pPr>
      <w:r>
        <w:tab/>
      </w:r>
      <w:r>
        <w:tab/>
        <w:t xml:space="preserve">The Court’s civil jurisdiction is set out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Heading5"/>
      </w:pPr>
      <w:bookmarkStart w:id="59" w:name="_Toc528939471"/>
      <w:bookmarkStart w:id="60" w:name="_Toc432434284"/>
      <w:r>
        <w:rPr>
          <w:rStyle w:val="CharSectno"/>
        </w:rPr>
        <w:t>11</w:t>
      </w:r>
      <w:r>
        <w:t>.</w:t>
      </w:r>
      <w:r>
        <w:tab/>
        <w:t>Criminal jurisdiction</w:t>
      </w:r>
      <w:bookmarkEnd w:id="59"/>
      <w:bookmarkEnd w:id="60"/>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 and</w:t>
      </w:r>
    </w:p>
    <w:p>
      <w:pPr>
        <w:pStyle w:val="Indenta"/>
        <w:rPr>
          <w:snapToGrid w:val="0"/>
        </w:rPr>
      </w:pPr>
      <w:r>
        <w:tab/>
        <w:t>(b)</w:t>
      </w:r>
      <w:r>
        <w:tab/>
      </w:r>
      <w:r>
        <w:rPr>
          <w:snapToGrid w:val="0"/>
        </w:rPr>
        <w:t>to hear and determine a charge of an indictable offence that can be dealt with summarily; and</w:t>
      </w:r>
    </w:p>
    <w:p>
      <w:pPr>
        <w:pStyle w:val="Indenta"/>
      </w:pPr>
      <w:r>
        <w:tab/>
        <w:t>(c)</w:t>
      </w:r>
      <w:r>
        <w:tab/>
        <w:t>to commit a person charged with an indictable offence that is to be dealt with on indictment to the District Court or the Supreme Court for trial or sentence; and</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[Section 11 amended</w:t>
      </w:r>
      <w:del w:id="61" w:author="svcMRProcess" w:date="2019-01-24T11:28:00Z">
        <w:r>
          <w:delText xml:space="preserve"> by</w:delText>
        </w:r>
      </w:del>
      <w:ins w:id="62" w:author="svcMRProcess" w:date="2019-01-24T11:28:00Z">
        <w:r>
          <w:t>:</w:t>
        </w:r>
      </w:ins>
      <w:r>
        <w:t xml:space="preserve"> No. 84 of 2004 s. 78 and 82; No. 59 of 2006 s. 73.] </w:t>
      </w:r>
    </w:p>
    <w:p>
      <w:pPr>
        <w:pStyle w:val="Heading5"/>
      </w:pPr>
      <w:bookmarkStart w:id="63" w:name="_Toc528939472"/>
      <w:bookmarkStart w:id="64" w:name="_Toc432434285"/>
      <w:r>
        <w:rPr>
          <w:rStyle w:val="CharSectno"/>
        </w:rPr>
        <w:t>12</w:t>
      </w:r>
      <w:r>
        <w:rPr>
          <w:snapToGrid w:val="0"/>
        </w:rPr>
        <w:t>.</w:t>
      </w:r>
      <w:r>
        <w:rPr>
          <w:snapToGrid w:val="0"/>
        </w:rPr>
        <w:tab/>
        <w:t>Court may exercise all of its jurisdiction at one sitting</w:t>
      </w:r>
      <w:bookmarkEnd w:id="63"/>
      <w:bookmarkEnd w:id="64"/>
    </w:p>
    <w:p>
      <w:pPr>
        <w:pStyle w:val="Subsection"/>
      </w:pPr>
      <w:r>
        <w:tab/>
      </w:r>
      <w:r>
        <w:tab/>
        <w:t>The Court may exercise more than one aspect of its jurisdiction at one sitting without adjourning or interrupting the sitting.</w:t>
      </w:r>
    </w:p>
    <w:p>
      <w:pPr>
        <w:pStyle w:val="Heading5"/>
        <w:rPr>
          <w:snapToGrid w:val="0"/>
        </w:rPr>
      </w:pPr>
      <w:bookmarkStart w:id="65" w:name="_Toc528939473"/>
      <w:bookmarkStart w:id="66" w:name="_Toc432434286"/>
      <w:r>
        <w:rPr>
          <w:rStyle w:val="CharSectno"/>
        </w:rPr>
        <w:t>13</w:t>
      </w:r>
      <w:r>
        <w:rPr>
          <w:snapToGrid w:val="0"/>
        </w:rPr>
        <w:t>.</w:t>
      </w:r>
      <w:r>
        <w:rPr>
          <w:snapToGrid w:val="0"/>
        </w:rPr>
        <w:tab/>
        <w:t>Court to decide factual and legal questions</w:t>
      </w:r>
      <w:bookmarkEnd w:id="65"/>
      <w:bookmarkEnd w:id="66"/>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67" w:name="_Toc528939474"/>
      <w:bookmarkStart w:id="68" w:name="_Toc432434287"/>
      <w:r>
        <w:rPr>
          <w:rStyle w:val="CharSectno"/>
        </w:rPr>
        <w:t>14</w:t>
      </w:r>
      <w:r>
        <w:t>.</w:t>
      </w:r>
      <w:r>
        <w:tab/>
        <w:t>Evidentiary rules applicable</w:t>
      </w:r>
      <w:bookmarkEnd w:id="67"/>
      <w:bookmarkEnd w:id="68"/>
    </w:p>
    <w:p>
      <w:pPr>
        <w:pStyle w:val="Subsection"/>
      </w:pPr>
      <w:r>
        <w:tab/>
      </w:r>
      <w:r>
        <w:tab/>
        <w:t xml:space="preserve">Subject to any other written law, the rules of evidence that apply in the Supreme Court apply in the </w:t>
      </w:r>
      <w:smartTag w:uri="urn:schemas-microsoft-com:office:smarttags" w:element="Street">
        <w:smartTag w:uri="urn:schemas-microsoft-com:office:smarttags" w:element="address">
          <w:r>
            <w:t>Magistrates Court</w:t>
          </w:r>
        </w:smartTag>
      </w:smartTag>
      <w:r>
        <w:t>.</w:t>
      </w:r>
    </w:p>
    <w:p>
      <w:pPr>
        <w:pStyle w:val="Heading5"/>
        <w:rPr>
          <w:snapToGrid w:val="0"/>
        </w:rPr>
      </w:pPr>
      <w:bookmarkStart w:id="69" w:name="_Toc528939475"/>
      <w:bookmarkStart w:id="70" w:name="_Toc432434288"/>
      <w:r>
        <w:rPr>
          <w:rStyle w:val="CharSectno"/>
        </w:rPr>
        <w:t>15</w:t>
      </w:r>
      <w:r>
        <w:rPr>
          <w:snapToGrid w:val="0"/>
        </w:rPr>
        <w:t>.</w:t>
      </w:r>
      <w:r>
        <w:rPr>
          <w:snapToGrid w:val="0"/>
        </w:rPr>
        <w:tab/>
        <w:t>Contempts of Court</w:t>
      </w:r>
      <w:bookmarkEnd w:id="69"/>
      <w:bookmarkEnd w:id="70"/>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keepNext/>
      </w:pPr>
      <w:r>
        <w:rPr>
          <w:snapToGrid w:val="0"/>
        </w:rPr>
        <w:tab/>
        <w:t>(iii)</w:t>
      </w:r>
      <w:r>
        <w:rPr>
          <w:snapToGrid w:val="0"/>
        </w:rPr>
        <w:tab/>
        <w:t>insults a person constituting the Court;</w:t>
      </w:r>
    </w:p>
    <w:p>
      <w:pPr>
        <w:pStyle w:val="Indenta"/>
        <w:keepNext/>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 and</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w:t>
      </w:r>
      <w:del w:id="71" w:author="svcMRProcess" w:date="2019-01-24T11:28:00Z">
        <w:r>
          <w:delText xml:space="preserve"> by</w:delText>
        </w:r>
      </w:del>
      <w:ins w:id="72" w:author="svcMRProcess" w:date="2019-01-24T11:28:00Z">
        <w:r>
          <w:t>:</w:t>
        </w:r>
      </w:ins>
      <w:r>
        <w:t xml:space="preserve"> No. 7 of 2008 s. 156.]</w:t>
      </w:r>
    </w:p>
    <w:p>
      <w:pPr>
        <w:pStyle w:val="Heading5"/>
      </w:pPr>
      <w:bookmarkStart w:id="73" w:name="_Toc528939476"/>
      <w:bookmarkStart w:id="74" w:name="_Toc432434289"/>
      <w:r>
        <w:rPr>
          <w:rStyle w:val="CharSectno"/>
        </w:rPr>
        <w:t>16</w:t>
      </w:r>
      <w:r>
        <w:t>.</w:t>
      </w:r>
      <w:r>
        <w:tab/>
        <w:t>Contempts of Court, powers to deal with</w:t>
      </w:r>
      <w:bookmarkEnd w:id="73"/>
      <w:bookmarkEnd w:id="74"/>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75" w:name="_Toc426099589"/>
      <w:bookmarkStart w:id="76" w:name="_Toc430937388"/>
      <w:bookmarkStart w:id="77" w:name="_Toc431391863"/>
      <w:bookmarkStart w:id="78" w:name="_Toc432434290"/>
      <w:bookmarkStart w:id="79" w:name="_Toc528939477"/>
      <w:r>
        <w:rPr>
          <w:rStyle w:val="CharDivNo"/>
        </w:rPr>
        <w:t>Division 2</w:t>
      </w:r>
      <w:r>
        <w:t> — </w:t>
      </w:r>
      <w:r>
        <w:rPr>
          <w:rStyle w:val="CharDivText"/>
        </w:rPr>
        <w:t>Powers</w:t>
      </w:r>
      <w:bookmarkEnd w:id="75"/>
      <w:bookmarkEnd w:id="76"/>
      <w:bookmarkEnd w:id="77"/>
      <w:bookmarkEnd w:id="78"/>
      <w:bookmarkEnd w:id="79"/>
    </w:p>
    <w:p>
      <w:pPr>
        <w:pStyle w:val="Heading5"/>
      </w:pPr>
      <w:bookmarkStart w:id="80" w:name="_Toc528939478"/>
      <w:bookmarkStart w:id="81" w:name="_Toc432434291"/>
      <w:r>
        <w:rPr>
          <w:rStyle w:val="CharSectno"/>
        </w:rPr>
        <w:t>17</w:t>
      </w:r>
      <w:r>
        <w:t>.</w:t>
      </w:r>
      <w:r>
        <w:tab/>
        <w:t>Power to refuse documents: frivolous, vexatious or abuse of process</w:t>
      </w:r>
      <w:bookmarkEnd w:id="80"/>
      <w:bookmarkEnd w:id="81"/>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[Section 17 amended</w:t>
      </w:r>
      <w:del w:id="82" w:author="svcMRProcess" w:date="2019-01-24T11:28:00Z">
        <w:r>
          <w:delText xml:space="preserve"> by</w:delText>
        </w:r>
      </w:del>
      <w:ins w:id="83" w:author="svcMRProcess" w:date="2019-01-24T11:28:00Z">
        <w:r>
          <w:t>:</w:t>
        </w:r>
      </w:ins>
      <w:r>
        <w:t xml:space="preserve"> No. 84 of 2004 s. 80.] </w:t>
      </w:r>
    </w:p>
    <w:p>
      <w:pPr>
        <w:pStyle w:val="Heading5"/>
      </w:pPr>
      <w:bookmarkStart w:id="84" w:name="_Toc528939479"/>
      <w:bookmarkStart w:id="85" w:name="_Toc432434292"/>
      <w:r>
        <w:rPr>
          <w:rStyle w:val="CharSectno"/>
        </w:rPr>
        <w:t>18</w:t>
      </w:r>
      <w:r>
        <w:rPr>
          <w:snapToGrid w:val="0"/>
        </w:rPr>
        <w:t>.</w:t>
      </w:r>
      <w:r>
        <w:rPr>
          <w:snapToGrid w:val="0"/>
        </w:rPr>
        <w:tab/>
        <w:t>Oaths may be administered by registrars and others</w:t>
      </w:r>
      <w:bookmarkEnd w:id="84"/>
      <w:bookmarkEnd w:id="85"/>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86" w:name="_Toc528939480"/>
      <w:bookmarkStart w:id="87" w:name="_Toc432434293"/>
      <w:r>
        <w:rPr>
          <w:rStyle w:val="CharSectno"/>
        </w:rPr>
        <w:t>19</w:t>
      </w:r>
      <w:r>
        <w:t>.</w:t>
      </w:r>
      <w:r>
        <w:tab/>
        <w:t>Affidavits</w:t>
      </w:r>
      <w:bookmarkEnd w:id="86"/>
      <w:bookmarkEnd w:id="87"/>
    </w:p>
    <w:p>
      <w:pPr>
        <w:pStyle w:val="Subsection"/>
      </w:pPr>
      <w:r>
        <w:tab/>
      </w:r>
      <w:r>
        <w:tab/>
        <w:t>Subject to any other written law or the rules of court, the Court may admit an affidavit into evidence.</w:t>
      </w:r>
    </w:p>
    <w:p>
      <w:pPr>
        <w:pStyle w:val="Heading5"/>
      </w:pPr>
      <w:bookmarkStart w:id="88" w:name="_Toc528939481"/>
      <w:bookmarkStart w:id="89" w:name="_Toc432434294"/>
      <w:r>
        <w:rPr>
          <w:rStyle w:val="CharSectno"/>
        </w:rPr>
        <w:t>20</w:t>
      </w:r>
      <w:r>
        <w:t>.</w:t>
      </w:r>
      <w:r>
        <w:tab/>
        <w:t>Warrants etc. consequential on orders, who may issue</w:t>
      </w:r>
      <w:bookmarkEnd w:id="88"/>
      <w:bookmarkEnd w:id="89"/>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90" w:name="_Toc528939482"/>
      <w:bookmarkStart w:id="91" w:name="_Toc432434295"/>
      <w:r>
        <w:rPr>
          <w:rStyle w:val="CharSectno"/>
        </w:rPr>
        <w:t>21</w:t>
      </w:r>
      <w:r>
        <w:t>.</w:t>
      </w:r>
      <w:r>
        <w:tab/>
        <w:t>Summonses, warrants etc. may be cancelled</w:t>
      </w:r>
      <w:bookmarkEnd w:id="90"/>
      <w:bookmarkEnd w:id="91"/>
    </w:p>
    <w:p>
      <w:pPr>
        <w:pStyle w:val="Subsection"/>
      </w:pPr>
      <w:r>
        <w:tab/>
        <w:t>(1)</w:t>
      </w:r>
      <w:r>
        <w:tab/>
        <w:t>The Court may cancel a summons, warrant, order, or other document, issued by the Court if the Court is satisfied there is 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92" w:name="_Toc528939483"/>
      <w:bookmarkStart w:id="93" w:name="_Toc432434296"/>
      <w:r>
        <w:rPr>
          <w:rStyle w:val="CharSectno"/>
        </w:rPr>
        <w:t>22</w:t>
      </w:r>
      <w:r>
        <w:t>.</w:t>
      </w:r>
      <w:r>
        <w:tab/>
        <w:t>Entry and inspection of property</w:t>
      </w:r>
      <w:bookmarkEnd w:id="92"/>
      <w:bookmarkEnd w:id="93"/>
    </w:p>
    <w:p>
      <w:pPr>
        <w:pStyle w:val="Subsection"/>
      </w:pPr>
      <w:r>
        <w:tab/>
        <w:t>(1)</w:t>
      </w:r>
      <w:r>
        <w:tab/>
        <w:t>The Court may enter any land and any structure on it to make an inspection that the Court considers is relevant to exercising its jurisdiction.</w:t>
      </w:r>
    </w:p>
    <w:p>
      <w:pPr>
        <w:pStyle w:val="Subsection"/>
      </w:pPr>
      <w:r>
        <w:tab/>
        <w:t>(2)</w:t>
      </w:r>
      <w:r>
        <w:tab/>
        <w:t>The Court may authorise a registrar or any other person to exercise the power in subsection (1).</w:t>
      </w:r>
    </w:p>
    <w:p>
      <w:pPr>
        <w:pStyle w:val="Heading5"/>
      </w:pPr>
      <w:bookmarkStart w:id="94" w:name="_Toc528939484"/>
      <w:bookmarkStart w:id="95" w:name="_Toc432434297"/>
      <w:r>
        <w:rPr>
          <w:rStyle w:val="CharSectno"/>
        </w:rPr>
        <w:t>23</w:t>
      </w:r>
      <w:r>
        <w:t>.</w:t>
      </w:r>
      <w:r>
        <w:tab/>
        <w:t>Correction of accidental errors</w:t>
      </w:r>
      <w:bookmarkEnd w:id="94"/>
      <w:bookmarkEnd w:id="95"/>
    </w:p>
    <w:p>
      <w:pPr>
        <w:pStyle w:val="Subsection"/>
        <w:keepNext/>
      </w:pPr>
      <w:r>
        <w:tab/>
        <w:t>(1)</w:t>
      </w:r>
      <w:r>
        <w:tab/>
        <w:t xml:space="preserve">The Court may correct a judgment or order if it contains — </w:t>
      </w:r>
    </w:p>
    <w:p>
      <w:pPr>
        <w:pStyle w:val="Indenta"/>
      </w:pPr>
      <w:r>
        <w:tab/>
        <w:t>(a)</w:t>
      </w:r>
      <w:r>
        <w:tab/>
        <w:t>an accidental slip or omission; or</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96" w:name="_Toc426099597"/>
      <w:bookmarkStart w:id="97" w:name="_Toc430937396"/>
      <w:bookmarkStart w:id="98" w:name="_Toc431391871"/>
      <w:bookmarkStart w:id="99" w:name="_Toc432434298"/>
      <w:bookmarkStart w:id="100" w:name="_Toc528939485"/>
      <w:r>
        <w:rPr>
          <w:rStyle w:val="CharPartNo"/>
        </w:rPr>
        <w:t>Part 4</w:t>
      </w:r>
      <w:r>
        <w:rPr>
          <w:rStyle w:val="CharDivNo"/>
        </w:rPr>
        <w:t> </w:t>
      </w:r>
      <w:r>
        <w:t>—</w:t>
      </w:r>
      <w:r>
        <w:rPr>
          <w:rStyle w:val="CharDivText"/>
        </w:rPr>
        <w:t> </w:t>
      </w:r>
      <w:r>
        <w:rPr>
          <w:rStyle w:val="CharPartText"/>
        </w:rPr>
        <w:t>Administration</w:t>
      </w:r>
      <w:bookmarkEnd w:id="96"/>
      <w:bookmarkEnd w:id="97"/>
      <w:bookmarkEnd w:id="98"/>
      <w:bookmarkEnd w:id="99"/>
      <w:bookmarkEnd w:id="100"/>
    </w:p>
    <w:p>
      <w:pPr>
        <w:pStyle w:val="Heading5"/>
      </w:pPr>
      <w:bookmarkStart w:id="101" w:name="_Toc528939486"/>
      <w:bookmarkStart w:id="102" w:name="_Toc432434299"/>
      <w:r>
        <w:rPr>
          <w:rStyle w:val="CharSectno"/>
        </w:rPr>
        <w:t>24</w:t>
      </w:r>
      <w:r>
        <w:t>.</w:t>
      </w:r>
      <w:r>
        <w:tab/>
        <w:t>Chief Magistrate responsible</w:t>
      </w:r>
      <w:bookmarkEnd w:id="101"/>
      <w:bookmarkEnd w:id="102"/>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103" w:name="_Toc528939487"/>
      <w:bookmarkStart w:id="104" w:name="_Toc432434300"/>
      <w:r>
        <w:rPr>
          <w:rStyle w:val="CharSectno"/>
        </w:rPr>
        <w:t>25</w:t>
      </w:r>
      <w:r>
        <w:rPr>
          <w:snapToGrid w:val="0"/>
        </w:rPr>
        <w:t>.</w:t>
      </w:r>
      <w:r>
        <w:rPr>
          <w:snapToGrid w:val="0"/>
        </w:rPr>
        <w:tab/>
        <w:t>Chief Magistrate may assign duties to magistrates</w:t>
      </w:r>
      <w:bookmarkEnd w:id="103"/>
      <w:bookmarkEnd w:id="104"/>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 and</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 and</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105" w:name="_Toc528939488"/>
      <w:bookmarkStart w:id="106" w:name="_Toc432434301"/>
      <w:r>
        <w:rPr>
          <w:rStyle w:val="CharSectno"/>
        </w:rPr>
        <w:t>26</w:t>
      </w:r>
      <w:r>
        <w:rPr>
          <w:snapToGrid w:val="0"/>
        </w:rPr>
        <w:t>.</w:t>
      </w:r>
      <w:r>
        <w:rPr>
          <w:snapToGrid w:val="0"/>
        </w:rPr>
        <w:tab/>
        <w:t>Administrative staff</w:t>
      </w:r>
      <w:bookmarkEnd w:id="105"/>
      <w:bookmarkEnd w:id="106"/>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 and</w:t>
      </w:r>
    </w:p>
    <w:p>
      <w:pPr>
        <w:pStyle w:val="Indenta"/>
      </w:pPr>
      <w:r>
        <w:tab/>
        <w:t>(b)</w:t>
      </w:r>
      <w:r>
        <w:tab/>
        <w:t>registrars; and</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w:t>
      </w:r>
      <w:del w:id="107" w:author="svcMRProcess" w:date="2019-01-24T11:28:00Z">
        <w:r>
          <w:delText xml:space="preserve"> by</w:delText>
        </w:r>
      </w:del>
      <w:ins w:id="108" w:author="svcMRProcess" w:date="2019-01-24T11:28:00Z">
        <w:r>
          <w:t>:</w:t>
        </w:r>
      </w:ins>
      <w:r>
        <w:t xml:space="preserve"> No. 7 of 2008 s. 157.]</w:t>
      </w:r>
    </w:p>
    <w:p>
      <w:pPr>
        <w:pStyle w:val="Heading5"/>
      </w:pPr>
      <w:bookmarkStart w:id="109" w:name="_Toc528939489"/>
      <w:bookmarkStart w:id="110" w:name="_Toc432434302"/>
      <w:r>
        <w:rPr>
          <w:rStyle w:val="CharSectno"/>
        </w:rPr>
        <w:t>27</w:t>
      </w:r>
      <w:r>
        <w:t>.</w:t>
      </w:r>
      <w:r>
        <w:tab/>
        <w:t>Administrative directions</w:t>
      </w:r>
      <w:bookmarkEnd w:id="109"/>
      <w:bookmarkEnd w:id="110"/>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p>
    <w:p>
      <w:pPr>
        <w:pStyle w:val="Subsection"/>
      </w:pPr>
      <w:r>
        <w:tab/>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111" w:name="_Toc528939490"/>
      <w:bookmarkStart w:id="112" w:name="_Toc432434303"/>
      <w:r>
        <w:rPr>
          <w:rStyle w:val="CharSectno"/>
        </w:rPr>
        <w:t>28</w:t>
      </w:r>
      <w:r>
        <w:t>.</w:t>
      </w:r>
      <w:r>
        <w:tab/>
        <w:t>Court may delegate to registrars</w:t>
      </w:r>
      <w:bookmarkEnd w:id="111"/>
      <w:bookmarkEnd w:id="112"/>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r>
      <w:r>
        <w:tab/>
        <w:t>or</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113" w:name="_Toc528939491"/>
      <w:bookmarkStart w:id="114" w:name="_Toc432434304"/>
      <w:r>
        <w:rPr>
          <w:rStyle w:val="CharSectno"/>
        </w:rPr>
        <w:t>29</w:t>
      </w:r>
      <w:r>
        <w:t>.</w:t>
      </w:r>
      <w:r>
        <w:tab/>
        <w:t>Appeal from decisions of registrars</w:t>
      </w:r>
      <w:bookmarkEnd w:id="113"/>
      <w:bookmarkEnd w:id="114"/>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115" w:name="_Toc426099604"/>
      <w:bookmarkStart w:id="116" w:name="_Toc430937403"/>
      <w:bookmarkStart w:id="117" w:name="_Toc431391878"/>
      <w:bookmarkStart w:id="118" w:name="_Toc432434305"/>
      <w:bookmarkStart w:id="119" w:name="_Toc528939492"/>
      <w:r>
        <w:rPr>
          <w:rStyle w:val="CharPartNo"/>
        </w:rPr>
        <w:t>Part 5</w:t>
      </w:r>
      <w:r>
        <w:rPr>
          <w:rStyle w:val="CharDivNo"/>
        </w:rPr>
        <w:t> </w:t>
      </w:r>
      <w:r>
        <w:t>—</w:t>
      </w:r>
      <w:r>
        <w:rPr>
          <w:rStyle w:val="CharDivText"/>
        </w:rPr>
        <w:t> </w:t>
      </w:r>
      <w:r>
        <w:rPr>
          <w:rStyle w:val="CharPartText"/>
        </w:rPr>
        <w:t>Miscellaneous</w:t>
      </w:r>
      <w:bookmarkEnd w:id="115"/>
      <w:bookmarkEnd w:id="116"/>
      <w:bookmarkEnd w:id="117"/>
      <w:bookmarkEnd w:id="118"/>
      <w:bookmarkEnd w:id="119"/>
    </w:p>
    <w:p>
      <w:pPr>
        <w:pStyle w:val="Heading5"/>
      </w:pPr>
      <w:bookmarkStart w:id="120" w:name="_Toc528939493"/>
      <w:bookmarkStart w:id="121" w:name="_Toc432434306"/>
      <w:r>
        <w:rPr>
          <w:rStyle w:val="CharSectno"/>
        </w:rPr>
        <w:t>30</w:t>
      </w:r>
      <w:r>
        <w:t>.</w:t>
      </w:r>
      <w:r>
        <w:tab/>
        <w:t>Court’s duties in respect of self</w:t>
      </w:r>
      <w:r>
        <w:noBreakHyphen/>
        <w:t>represented parties</w:t>
      </w:r>
      <w:bookmarkEnd w:id="120"/>
      <w:bookmarkEnd w:id="121"/>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122" w:name="_Toc528939494"/>
      <w:bookmarkStart w:id="123" w:name="_Toc432434307"/>
      <w:r>
        <w:rPr>
          <w:rStyle w:val="CharSectno"/>
        </w:rPr>
        <w:t>31</w:t>
      </w:r>
      <w:r>
        <w:t>.</w:t>
      </w:r>
      <w:r>
        <w:tab/>
        <w:t>Judgments, content of</w:t>
      </w:r>
      <w:bookmarkEnd w:id="122"/>
      <w:bookmarkEnd w:id="123"/>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 and</w:t>
      </w:r>
    </w:p>
    <w:p>
      <w:pPr>
        <w:pStyle w:val="Indenta"/>
        <w:rPr>
          <w:snapToGrid w:val="0"/>
        </w:rPr>
      </w:pPr>
      <w:r>
        <w:tab/>
        <w:t>(b)</w:t>
      </w:r>
      <w:r>
        <w:tab/>
        <w:t>need only identify</w:t>
      </w:r>
      <w:r>
        <w:rPr>
          <w:snapToGrid w:val="0"/>
        </w:rPr>
        <w:t xml:space="preserve"> the law that the Court has applied in coming to its decision and give the reasons for doing so; and</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124" w:name="_Toc528939495"/>
      <w:bookmarkStart w:id="125" w:name="_Toc432434308"/>
      <w:r>
        <w:rPr>
          <w:rStyle w:val="CharSectno"/>
        </w:rPr>
        <w:t>32</w:t>
      </w:r>
      <w:r>
        <w:rPr>
          <w:snapToGrid w:val="0"/>
        </w:rPr>
        <w:t>.</w:t>
      </w:r>
      <w:r>
        <w:rPr>
          <w:snapToGrid w:val="0"/>
        </w:rPr>
        <w:tab/>
        <w:t>Effect of Court’s summonses etc.</w:t>
      </w:r>
      <w:bookmarkEnd w:id="124"/>
      <w:bookmarkEnd w:id="125"/>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126" w:name="_Toc528939496"/>
      <w:bookmarkStart w:id="127" w:name="_Toc432434309"/>
      <w:r>
        <w:rPr>
          <w:rStyle w:val="CharSectno"/>
        </w:rPr>
        <w:t>33</w:t>
      </w:r>
      <w:r>
        <w:t>.</w:t>
      </w:r>
      <w:r>
        <w:tab/>
        <w:t>Court’s records, access to</w:t>
      </w:r>
      <w:bookmarkEnd w:id="126"/>
      <w:bookmarkEnd w:id="127"/>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Crime and Misconduct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CEO as defined in the </w:t>
      </w:r>
      <w:r>
        <w:rPr>
          <w:i/>
          <w:iCs/>
        </w:rPr>
        <w:t xml:space="preserve">Road Traffic (Administration) Act 2008 </w:t>
      </w:r>
      <w:r>
        <w:t>section 4;</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r>
        <w:tab/>
        <w:t>(12)</w:t>
      </w:r>
      <w:r>
        <w:tab/>
        <w:t>If under this section, rules of court, or the regulations, a document may be supplied to a person, it may, at the request of the person, be supplied in an electronic form.</w:t>
      </w:r>
    </w:p>
    <w:p>
      <w:pPr>
        <w:pStyle w:val="Footnotesection"/>
      </w:pPr>
      <w:r>
        <w:tab/>
        <w:t>[Section 33 amended</w:t>
      </w:r>
      <w:del w:id="128" w:author="svcMRProcess" w:date="2019-01-24T11:28:00Z">
        <w:r>
          <w:delText xml:space="preserve"> by</w:delText>
        </w:r>
      </w:del>
      <w:ins w:id="129" w:author="svcMRProcess" w:date="2019-01-24T11:28:00Z">
        <w:r>
          <w:t>:</w:t>
        </w:r>
      </w:ins>
      <w:r>
        <w:t xml:space="preserve"> No. 84 of 2004 s. 80; No. 5 of 2008 s. 71; No. 8 of 2012 s. 126; No. 35 of 2014 s. 39.]</w:t>
      </w:r>
    </w:p>
    <w:p>
      <w:pPr>
        <w:pStyle w:val="Heading5"/>
        <w:rPr>
          <w:snapToGrid w:val="0"/>
        </w:rPr>
      </w:pPr>
      <w:bookmarkStart w:id="130" w:name="_Toc528939497"/>
      <w:bookmarkStart w:id="131" w:name="_Toc432434310"/>
      <w:r>
        <w:rPr>
          <w:rStyle w:val="CharSectno"/>
        </w:rPr>
        <w:t>34</w:t>
      </w:r>
      <w:r>
        <w:rPr>
          <w:snapToGrid w:val="0"/>
        </w:rPr>
        <w:t>.</w:t>
      </w:r>
      <w:r>
        <w:rPr>
          <w:snapToGrid w:val="0"/>
        </w:rPr>
        <w:tab/>
        <w:t>Evidentiary matters</w:t>
      </w:r>
      <w:bookmarkEnd w:id="130"/>
      <w:bookmarkEnd w:id="131"/>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132" w:name="_Toc528939498"/>
      <w:bookmarkStart w:id="133" w:name="_Toc432434311"/>
      <w:r>
        <w:rPr>
          <w:rStyle w:val="CharSectno"/>
        </w:rPr>
        <w:t>35</w:t>
      </w:r>
      <w:r>
        <w:t>.</w:t>
      </w:r>
      <w:r>
        <w:tab/>
        <w:t>Prerogative writs not available against Court</w:t>
      </w:r>
      <w:bookmarkEnd w:id="132"/>
      <w:bookmarkEnd w:id="133"/>
    </w:p>
    <w:p>
      <w:pPr>
        <w:pStyle w:val="Subsection"/>
      </w:pPr>
      <w:r>
        <w:tab/>
      </w:r>
      <w:r>
        <w:tab/>
        <w:t>A writ of mandamus, prohibition or certiorari may not be issued in respect of or directed to a Court officer.</w:t>
      </w:r>
    </w:p>
    <w:p>
      <w:pPr>
        <w:pStyle w:val="Heading5"/>
      </w:pPr>
      <w:bookmarkStart w:id="134" w:name="_Toc528939499"/>
      <w:bookmarkStart w:id="135" w:name="_Toc432434312"/>
      <w:r>
        <w:rPr>
          <w:rStyle w:val="CharSectno"/>
        </w:rPr>
        <w:t>36</w:t>
      </w:r>
      <w:r>
        <w:t>.</w:t>
      </w:r>
      <w:r>
        <w:tab/>
        <w:t>Supreme Court’s powers to control Court</w:t>
      </w:r>
      <w:bookmarkEnd w:id="134"/>
      <w:bookmarkEnd w:id="135"/>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76.</w:t>
      </w:r>
    </w:p>
    <w:p>
      <w:pPr>
        <w:pStyle w:val="Subsection"/>
        <w:rPr>
          <w:snapToGrid w:val="0"/>
        </w:rPr>
      </w:pPr>
      <w:r>
        <w:tab/>
      </w:r>
      <w:smartTag w:uri="urn:schemas-microsoft-com:office:smarttags" w:element="Street">
        <w:smartTag w:uri="urn:schemas-microsoft-com:office:smarttags" w:element="address">
          <w:r>
            <w:t>(8)</w:t>
          </w:r>
          <w:r>
            <w:tab/>
          </w:r>
          <w:r>
            <w:rPr>
              <w:snapToGrid w:val="0"/>
            </w:rPr>
            <w:t>A Court</w:t>
          </w:r>
        </w:smartTag>
      </w:smartTag>
      <w:r>
        <w:rPr>
          <w:snapToGrid w:val="0"/>
        </w:rPr>
        <w:t xml:space="preserve"> officer, on being served with an order made under subsection (4), must obey the order.</w:t>
      </w:r>
    </w:p>
    <w:p>
      <w:pPr>
        <w:pStyle w:val="Footnotesection"/>
      </w:pPr>
      <w:r>
        <w:tab/>
        <w:t>[Section 36 amended</w:t>
      </w:r>
      <w:del w:id="136" w:author="svcMRProcess" w:date="2019-01-24T11:28:00Z">
        <w:r>
          <w:delText xml:space="preserve"> by</w:delText>
        </w:r>
      </w:del>
      <w:ins w:id="137" w:author="svcMRProcess" w:date="2019-01-24T11:28:00Z">
        <w:r>
          <w:t>:</w:t>
        </w:r>
      </w:ins>
      <w:r>
        <w:t xml:space="preserve"> No. 84 of 2004 s. 78.] </w:t>
      </w:r>
    </w:p>
    <w:p>
      <w:pPr>
        <w:pStyle w:val="Heading5"/>
      </w:pPr>
      <w:bookmarkStart w:id="138" w:name="_Toc528939500"/>
      <w:bookmarkStart w:id="139" w:name="_Toc432434313"/>
      <w:r>
        <w:rPr>
          <w:rStyle w:val="CharSectno"/>
        </w:rPr>
        <w:t>37</w:t>
      </w:r>
      <w:r>
        <w:t>.</w:t>
      </w:r>
      <w:r>
        <w:tab/>
        <w:t>Protection from liability for magistrates and others</w:t>
      </w:r>
      <w:bookmarkEnd w:id="138"/>
      <w:bookmarkEnd w:id="139"/>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140" w:name="_Toc528939501"/>
      <w:bookmarkStart w:id="141" w:name="_Toc432434314"/>
      <w:r>
        <w:rPr>
          <w:rStyle w:val="CharSectno"/>
        </w:rPr>
        <w:t>38</w:t>
      </w:r>
      <w:r>
        <w:t>.</w:t>
      </w:r>
      <w:r>
        <w:tab/>
        <w:t>Practice directions</w:t>
      </w:r>
      <w:bookmarkEnd w:id="140"/>
      <w:bookmarkEnd w:id="141"/>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142" w:name="_Toc528939502"/>
      <w:bookmarkStart w:id="143" w:name="_Toc432434315"/>
      <w:r>
        <w:rPr>
          <w:rStyle w:val="CharSectno"/>
        </w:rPr>
        <w:t>39</w:t>
      </w:r>
      <w:r>
        <w:t>.</w:t>
      </w:r>
      <w:r>
        <w:tab/>
        <w:t>Rules of court: making</w:t>
      </w:r>
      <w:bookmarkEnd w:id="142"/>
      <w:bookmarkEnd w:id="143"/>
    </w:p>
    <w:p>
      <w:pPr>
        <w:pStyle w:val="Subsection"/>
      </w:pPr>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 and</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If the whole or a part of a rule is disallowed, the validity of any proceedings taken or of anything done under the rule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144" w:name="_Toc528939503"/>
      <w:bookmarkStart w:id="145" w:name="_Toc432434316"/>
      <w:r>
        <w:rPr>
          <w:rStyle w:val="CharSectno"/>
        </w:rPr>
        <w:t>40</w:t>
      </w:r>
      <w:r>
        <w:t>.</w:t>
      </w:r>
      <w:r>
        <w:tab/>
        <w:t>Rules of court: content</w:t>
      </w:r>
      <w:bookmarkEnd w:id="144"/>
      <w:bookmarkEnd w:id="145"/>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t>(3)</w:t>
      </w:r>
      <w:r>
        <w:tab/>
        <w:t>The rules of court must not be inconsistent with —</w:t>
      </w:r>
    </w:p>
    <w:p>
      <w:pPr>
        <w:pStyle w:val="Indenta"/>
      </w:pPr>
      <w:r>
        <w:tab/>
        <w:t>(a)</w:t>
      </w:r>
      <w:r>
        <w:tab/>
        <w:t>this Act; or</w:t>
      </w:r>
    </w:p>
    <w:p>
      <w:pPr>
        <w:pStyle w:val="Indenta"/>
      </w:pPr>
      <w:r>
        <w:tab/>
        <w:t>(b)</w:t>
      </w:r>
      <w:r>
        <w:tab/>
        <w:t>the</w:t>
      </w:r>
      <w:r>
        <w:rPr>
          <w:i/>
        </w:rPr>
        <w:t xml:space="preserve"> Criminal Procedure Act 2004</w:t>
      </w:r>
      <w:r>
        <w:t>; or</w:t>
      </w:r>
    </w:p>
    <w:p>
      <w:pPr>
        <w:pStyle w:val="Indenta"/>
      </w:pPr>
      <w:r>
        <w:tab/>
        <w:t>(c)</w:t>
      </w:r>
      <w:r>
        <w:tab/>
        <w:t xml:space="preserve">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pPr>
      <w:r>
        <w:tab/>
        <w:t>(d)</w:t>
      </w:r>
      <w:r>
        <w:tab/>
        <w:t>any other Act that confers jurisdiction on the Court; or</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[Section 40 amended</w:t>
      </w:r>
      <w:del w:id="146" w:author="svcMRProcess" w:date="2019-01-24T11:28:00Z">
        <w:r>
          <w:delText xml:space="preserve"> by</w:delText>
        </w:r>
      </w:del>
      <w:ins w:id="147" w:author="svcMRProcess" w:date="2019-01-24T11:28:00Z">
        <w:r>
          <w:t>:</w:t>
        </w:r>
      </w:ins>
      <w:r>
        <w:t xml:space="preserve"> No. 84 of 2004 s. 78.] </w:t>
      </w:r>
    </w:p>
    <w:p>
      <w:pPr>
        <w:pStyle w:val="Heading5"/>
      </w:pPr>
      <w:bookmarkStart w:id="148" w:name="_Toc528939504"/>
      <w:bookmarkStart w:id="149" w:name="_Toc432434317"/>
      <w:r>
        <w:rPr>
          <w:rStyle w:val="CharSectno"/>
        </w:rPr>
        <w:t>41</w:t>
      </w:r>
      <w:r>
        <w:t>.</w:t>
      </w:r>
      <w:r>
        <w:tab/>
        <w:t>Regulations</w:t>
      </w:r>
      <w:bookmarkEnd w:id="148"/>
      <w:bookmarkEnd w:id="149"/>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150" w:name="_Toc528939505"/>
      <w:bookmarkStart w:id="151" w:name="_Toc432434318"/>
      <w:r>
        <w:rPr>
          <w:rStyle w:val="CharSectno"/>
        </w:rPr>
        <w:t>42</w:t>
      </w:r>
      <w:r>
        <w:t>.</w:t>
      </w:r>
      <w:r>
        <w:tab/>
        <w:t>Fees, regulations may prescribe etc.</w:t>
      </w:r>
      <w:bookmarkEnd w:id="150"/>
      <w:bookmarkEnd w:id="151"/>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 and</w:t>
      </w:r>
    </w:p>
    <w:p>
      <w:pPr>
        <w:pStyle w:val="Indenta"/>
      </w:pPr>
      <w:r>
        <w:tab/>
        <w:t>(b)</w:t>
      </w:r>
      <w:r>
        <w:tab/>
        <w:t>when entering a case for trial or at any other stage of proceedings in a case; and</w:t>
      </w:r>
    </w:p>
    <w:p>
      <w:pPr>
        <w:pStyle w:val="Indenta"/>
      </w:pPr>
      <w:r>
        <w:tab/>
        <w:t>(c)</w:t>
      </w:r>
      <w:r>
        <w:tab/>
        <w:t>when lodging a document with the Court;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r>
        <w:tab/>
        <w:t>[Section 42 amended</w:t>
      </w:r>
      <w:del w:id="152" w:author="svcMRProcess" w:date="2019-01-24T11:28:00Z">
        <w:r>
          <w:delText xml:space="preserve"> by</w:delText>
        </w:r>
      </w:del>
      <w:ins w:id="153" w:author="svcMRProcess" w:date="2019-01-24T11:28:00Z">
        <w:r>
          <w:t>:</w:t>
        </w:r>
      </w:ins>
      <w:r>
        <w:t xml:space="preserve"> No. 77 of 2006 s. 4.]</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4" w:name="_Toc426099618"/>
      <w:bookmarkStart w:id="155" w:name="_Toc430937417"/>
      <w:bookmarkStart w:id="156" w:name="_Toc431391892"/>
      <w:bookmarkStart w:id="157" w:name="_Toc432434319"/>
      <w:bookmarkStart w:id="158" w:name="_Toc528939506"/>
      <w:r>
        <w:rPr>
          <w:rStyle w:val="CharSchNo"/>
        </w:rPr>
        <w:t>Schedule 1</w:t>
      </w:r>
      <w:r>
        <w:t xml:space="preserve"> — </w:t>
      </w:r>
      <w:r>
        <w:rPr>
          <w:rStyle w:val="CharSchText"/>
        </w:rPr>
        <w:t>Provisions about magistrates</w:t>
      </w:r>
      <w:bookmarkEnd w:id="154"/>
      <w:bookmarkEnd w:id="155"/>
      <w:bookmarkEnd w:id="156"/>
      <w:bookmarkEnd w:id="157"/>
      <w:bookmarkEnd w:id="158"/>
    </w:p>
    <w:p>
      <w:pPr>
        <w:pStyle w:val="yShoulderClause"/>
      </w:pPr>
      <w:r>
        <w:t>[s. 5]</w:t>
      </w:r>
    </w:p>
    <w:p>
      <w:pPr>
        <w:pStyle w:val="yHeading5"/>
      </w:pPr>
      <w:bookmarkStart w:id="159" w:name="_Toc528939507"/>
      <w:bookmarkStart w:id="160" w:name="_Toc432434320"/>
      <w:r>
        <w:rPr>
          <w:rStyle w:val="CharSClsNo"/>
        </w:rPr>
        <w:t>1</w:t>
      </w:r>
      <w:r>
        <w:t>.</w:t>
      </w:r>
      <w:r>
        <w:tab/>
        <w:t>Terms used</w:t>
      </w:r>
      <w:bookmarkEnd w:id="159"/>
      <w:bookmarkEnd w:id="160"/>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w:t>
      </w:r>
      <w:del w:id="161" w:author="svcMRProcess" w:date="2019-01-24T11:28:00Z">
        <w:r>
          <w:delText xml:space="preserve"> by</w:delText>
        </w:r>
      </w:del>
      <w:ins w:id="162" w:author="svcMRProcess" w:date="2019-01-24T11:28:00Z">
        <w:r>
          <w:t>:</w:t>
        </w:r>
      </w:ins>
      <w:r>
        <w:t xml:space="preserve"> No. 21 of 2008 s. 677(2).]</w:t>
      </w:r>
    </w:p>
    <w:p>
      <w:pPr>
        <w:pStyle w:val="yHeading5"/>
      </w:pPr>
      <w:bookmarkStart w:id="163" w:name="_Toc528939508"/>
      <w:bookmarkStart w:id="164" w:name="_Toc432434321"/>
      <w:r>
        <w:rPr>
          <w:rStyle w:val="CharSClsNo"/>
        </w:rPr>
        <w:t>2</w:t>
      </w:r>
      <w:r>
        <w:t>.</w:t>
      </w:r>
      <w:r>
        <w:tab/>
        <w:t>Qualifications for appointment</w:t>
      </w:r>
      <w:bookmarkEnd w:id="163"/>
      <w:bookmarkEnd w:id="164"/>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 xml:space="preserve">is under </w:t>
      </w:r>
      <w:del w:id="165" w:author="svcMRProcess" w:date="2019-01-24T11:28:00Z">
        <w:r>
          <w:rPr>
            <w:snapToGrid w:val="0"/>
          </w:rPr>
          <w:delText>65</w:delText>
        </w:r>
      </w:del>
      <w:ins w:id="166" w:author="svcMRProcess" w:date="2019-01-24T11:28:00Z">
        <w:r>
          <w:rPr>
            <w:szCs w:val="22"/>
          </w:rPr>
          <w:t>70</w:t>
        </w:r>
      </w:ins>
      <w:r>
        <w:rPr>
          <w:snapToGrid w:val="0"/>
        </w:rPr>
        <w:t> years of age.</w:t>
      </w:r>
    </w:p>
    <w:p>
      <w:pPr>
        <w:pStyle w:val="yFootnotesection"/>
      </w:pPr>
      <w:r>
        <w:tab/>
        <w:t>[Clause 2 amended</w:t>
      </w:r>
      <w:del w:id="167" w:author="svcMRProcess" w:date="2019-01-24T11:28:00Z">
        <w:r>
          <w:delText xml:space="preserve"> by</w:delText>
        </w:r>
      </w:del>
      <w:ins w:id="168" w:author="svcMRProcess" w:date="2019-01-24T11:28:00Z">
        <w:r>
          <w:t>:</w:t>
        </w:r>
      </w:ins>
      <w:r>
        <w:t xml:space="preserve"> No. 21 of 2008 s. 677(3</w:t>
      </w:r>
      <w:del w:id="169" w:author="svcMRProcess" w:date="2019-01-24T11:28:00Z">
        <w:r>
          <w:delText>).]</w:delText>
        </w:r>
      </w:del>
      <w:ins w:id="170" w:author="svcMRProcess" w:date="2019-01-24T11:28:00Z">
        <w:r>
          <w:t>); No. 29 of 2018 s. 7.]</w:t>
        </w:r>
      </w:ins>
    </w:p>
    <w:p>
      <w:pPr>
        <w:pStyle w:val="yHeading5"/>
      </w:pPr>
      <w:bookmarkStart w:id="171" w:name="_Toc528939509"/>
      <w:bookmarkStart w:id="172" w:name="_Toc432434322"/>
      <w:r>
        <w:rPr>
          <w:rStyle w:val="CharSClsNo"/>
        </w:rPr>
        <w:t>3</w:t>
      </w:r>
      <w:r>
        <w:t>.</w:t>
      </w:r>
      <w:r>
        <w:tab/>
        <w:t>Appointment</w:t>
      </w:r>
      <w:bookmarkEnd w:id="171"/>
      <w:bookmarkEnd w:id="172"/>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173" w:name="_Toc528939510"/>
      <w:bookmarkStart w:id="174" w:name="_Toc432434323"/>
      <w:r>
        <w:rPr>
          <w:rStyle w:val="CharSClsNo"/>
        </w:rPr>
        <w:t>4</w:t>
      </w:r>
      <w:r>
        <w:t>.</w:t>
      </w:r>
      <w:r>
        <w:tab/>
        <w:t>Oath and affirmation of office</w:t>
      </w:r>
      <w:bookmarkEnd w:id="173"/>
      <w:bookmarkEnd w:id="174"/>
    </w:p>
    <w:p>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w:t>
      </w:r>
      <w:del w:id="175" w:author="svcMRProcess" w:date="2019-01-24T11:28:00Z">
        <w:r>
          <w:delText xml:space="preserve"> by</w:delText>
        </w:r>
      </w:del>
      <w:ins w:id="176" w:author="svcMRProcess" w:date="2019-01-24T11:28:00Z">
        <w:r>
          <w:t>:</w:t>
        </w:r>
      </w:ins>
      <w:r>
        <w:t xml:space="preserve"> No. 7 of 2008 s. 158(1).]</w:t>
      </w:r>
    </w:p>
    <w:p>
      <w:pPr>
        <w:pStyle w:val="yHeading5"/>
      </w:pPr>
      <w:bookmarkStart w:id="177" w:name="_Toc528939511"/>
      <w:bookmarkStart w:id="178" w:name="_Toc432434324"/>
      <w:r>
        <w:rPr>
          <w:rStyle w:val="CharSClsNo"/>
        </w:rPr>
        <w:t>5</w:t>
      </w:r>
      <w:r>
        <w:t>.</w:t>
      </w:r>
      <w:r>
        <w:tab/>
        <w:t>Conditions of service</w:t>
      </w:r>
      <w:bookmarkEnd w:id="177"/>
      <w:bookmarkEnd w:id="178"/>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r>
        <w:tab/>
        <w:t>[Clause 5 amended</w:t>
      </w:r>
      <w:del w:id="179" w:author="svcMRProcess" w:date="2019-01-24T11:28:00Z">
        <w:r>
          <w:delText xml:space="preserve"> by</w:delText>
        </w:r>
      </w:del>
      <w:ins w:id="180" w:author="svcMRProcess" w:date="2019-01-24T11:28:00Z">
        <w:r>
          <w:t>:</w:t>
        </w:r>
      </w:ins>
      <w:r>
        <w:t xml:space="preserve"> No. 25 of 2007 s. 77.]</w:t>
      </w:r>
    </w:p>
    <w:p>
      <w:pPr>
        <w:pStyle w:val="yHeading5"/>
      </w:pPr>
      <w:bookmarkStart w:id="181" w:name="_Toc528939512"/>
      <w:bookmarkStart w:id="182" w:name="_Toc432434325"/>
      <w:r>
        <w:rPr>
          <w:rStyle w:val="CharSClsNo"/>
        </w:rPr>
        <w:t>6</w:t>
      </w:r>
      <w:r>
        <w:t>.</w:t>
      </w:r>
      <w:r>
        <w:tab/>
        <w:t>Chief Magistrate and Deputy Chief Magistrates</w:t>
      </w:r>
      <w:bookmarkEnd w:id="181"/>
      <w:bookmarkEnd w:id="182"/>
    </w:p>
    <w:p>
      <w:pPr>
        <w:pStyle w:val="ySubsection"/>
        <w:rPr>
          <w:snapToGrid w:val="0"/>
        </w:rPr>
      </w:pPr>
      <w:r>
        <w:tab/>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183" w:name="_Toc528939513"/>
      <w:bookmarkStart w:id="184" w:name="_Toc432434326"/>
      <w:r>
        <w:rPr>
          <w:rStyle w:val="CharSClsNo"/>
        </w:rPr>
        <w:t>7</w:t>
      </w:r>
      <w:r>
        <w:t>.</w:t>
      </w:r>
      <w:r>
        <w:tab/>
        <w:t>Seniority</w:t>
      </w:r>
      <w:bookmarkEnd w:id="183"/>
      <w:bookmarkEnd w:id="184"/>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185" w:name="_Toc528939514"/>
      <w:bookmarkStart w:id="186" w:name="_Toc432434327"/>
      <w:r>
        <w:rPr>
          <w:rStyle w:val="CharSClsNo"/>
        </w:rPr>
        <w:t>8</w:t>
      </w:r>
      <w:r>
        <w:t>.</w:t>
      </w:r>
      <w:r>
        <w:tab/>
        <w:t>Acting Chief Magistrate</w:t>
      </w:r>
      <w:bookmarkEnd w:id="185"/>
      <w:bookmarkEnd w:id="186"/>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 or</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187" w:name="_Toc528939515"/>
      <w:bookmarkStart w:id="188" w:name="_Toc432434328"/>
      <w:r>
        <w:rPr>
          <w:rStyle w:val="CharSClsNo"/>
        </w:rPr>
        <w:t>9</w:t>
      </w:r>
      <w:r>
        <w:t>.</w:t>
      </w:r>
      <w:r>
        <w:tab/>
        <w:t>Acting magistrates</w:t>
      </w:r>
      <w:bookmarkEnd w:id="187"/>
      <w:bookmarkEnd w:id="188"/>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 xml:space="preserve">If the Governor is of the opinion that the workload of the Court requires the temporary appointment of a magistrate, the Governor may appoint as an acting </w:t>
      </w:r>
      <w:r>
        <w:t>magistrate</w:t>
      </w:r>
      <w:del w:id="189" w:author="svcMRProcess" w:date="2019-01-24T11:28:00Z">
        <w:r>
          <w:rPr>
            <w:snapToGrid w:val="0"/>
          </w:rPr>
          <w:delText> —</w:delText>
        </w:r>
      </w:del>
      <w:ins w:id="190" w:author="svcMRProcess" w:date="2019-01-24T11:28:00Z">
        <w:r>
          <w:t xml:space="preserve"> a person who meets the qualification requirement set out in clause 2(2)(a).</w:t>
        </w:r>
      </w:ins>
    </w:p>
    <w:p>
      <w:pPr>
        <w:pStyle w:val="yIndenta"/>
        <w:rPr>
          <w:del w:id="191" w:author="svcMRProcess" w:date="2019-01-24T11:28:00Z"/>
          <w:snapToGrid w:val="0"/>
        </w:rPr>
      </w:pPr>
      <w:del w:id="192" w:author="svcMRProcess" w:date="2019-01-24T11:28:00Z">
        <w:r>
          <w:tab/>
          <w:delText>(a)</w:delText>
        </w:r>
        <w:r>
          <w:tab/>
        </w:r>
        <w:r>
          <w:rPr>
            <w:snapToGrid w:val="0"/>
          </w:rPr>
          <w:delText>a person who is qualified under clause 2; or</w:delText>
        </w:r>
      </w:del>
    </w:p>
    <w:p>
      <w:pPr>
        <w:pStyle w:val="yIndenta"/>
        <w:rPr>
          <w:del w:id="193" w:author="svcMRProcess" w:date="2019-01-24T11:28:00Z"/>
        </w:rPr>
      </w:pPr>
      <w:del w:id="194" w:author="svcMRProcess" w:date="2019-01-24T11:28:00Z">
        <w:r>
          <w:tab/>
          <w:delText>(b)</w:delText>
        </w:r>
        <w:r>
          <w:tab/>
          <w:delText>a magistrate who is about to reach 65 years of age; or</w:delText>
        </w:r>
      </w:del>
    </w:p>
    <w:p>
      <w:pPr>
        <w:pStyle w:val="yIndenta"/>
        <w:rPr>
          <w:del w:id="195" w:author="svcMRProcess" w:date="2019-01-24T11:28:00Z"/>
          <w:snapToGrid w:val="0"/>
        </w:rPr>
      </w:pPr>
      <w:del w:id="196" w:author="svcMRProcess" w:date="2019-01-24T11:28:00Z">
        <w:r>
          <w:tab/>
          <w:delText>(c)</w:delText>
        </w:r>
        <w:r>
          <w:tab/>
        </w:r>
        <w:r>
          <w:rPr>
            <w:snapToGrid w:val="0"/>
          </w:rPr>
          <w:delText>a person who ceased to be a magistrate on reaching 65 years of age and who is under 70 years of age.</w:delText>
        </w:r>
      </w:del>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 xml:space="preserve">the period of the </w:t>
      </w:r>
      <w:r>
        <w:t>appointment</w:t>
      </w:r>
      <w:del w:id="197" w:author="svcMRProcess" w:date="2019-01-24T11:28:00Z">
        <w:r>
          <w:rPr>
            <w:snapToGrid w:val="0"/>
          </w:rPr>
          <w:delText>;</w:delText>
        </w:r>
        <w:r>
          <w:delText xml:space="preserve"> but the period must not extend beyond when the appointee reaches 70 years of age</w:delText>
        </w:r>
      </w:del>
      <w:ins w:id="198" w:author="svcMRProcess" w:date="2019-01-24T11:28:00Z">
        <w:r>
          <w:t>, which cannot exceed 12 months</w:t>
        </w:r>
      </w:ins>
      <w:r>
        <w:t>; and</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Subsection"/>
        <w:rPr>
          <w:ins w:id="199" w:author="svcMRProcess" w:date="2019-01-24T11:28:00Z"/>
        </w:rPr>
      </w:pPr>
      <w:ins w:id="200" w:author="svcMRProcess" w:date="2019-01-24T11:28:00Z">
        <w:r>
          <w:tab/>
          <w:t>(3A)</w:t>
        </w:r>
        <w:r>
          <w:tab/>
          <w:t>A person appointed under subclause (2) is eligible for reappointment.</w:t>
        </w:r>
      </w:ins>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w:t>
      </w:r>
      <w:del w:id="201" w:author="svcMRProcess" w:date="2019-01-24T11:28:00Z">
        <w:r>
          <w:delText xml:space="preserve"> by</w:delText>
        </w:r>
      </w:del>
      <w:ins w:id="202" w:author="svcMRProcess" w:date="2019-01-24T11:28:00Z">
        <w:r>
          <w:t>:</w:t>
        </w:r>
      </w:ins>
      <w:r>
        <w:t xml:space="preserve"> No. 5 of 2008 s. 72(1</w:t>
      </w:r>
      <w:del w:id="203" w:author="svcMRProcess" w:date="2019-01-24T11:28:00Z">
        <w:r>
          <w:delText>).]</w:delText>
        </w:r>
      </w:del>
      <w:ins w:id="204" w:author="svcMRProcess" w:date="2019-01-24T11:28:00Z">
        <w:r>
          <w:t>); No. 29 of 2018 s. 8.]</w:t>
        </w:r>
      </w:ins>
    </w:p>
    <w:p>
      <w:pPr>
        <w:pStyle w:val="yEdnotesection"/>
      </w:pPr>
      <w:r>
        <w:t>[</w:t>
      </w:r>
      <w:r>
        <w:rPr>
          <w:b/>
          <w:bCs/>
        </w:rPr>
        <w:t>10.</w:t>
      </w:r>
      <w:r>
        <w:tab/>
        <w:t>Deleted</w:t>
      </w:r>
      <w:del w:id="205" w:author="svcMRProcess" w:date="2019-01-24T11:28:00Z">
        <w:r>
          <w:delText xml:space="preserve"> by</w:delText>
        </w:r>
      </w:del>
      <w:ins w:id="206" w:author="svcMRProcess" w:date="2019-01-24T11:28:00Z">
        <w:r>
          <w:t>:</w:t>
        </w:r>
      </w:ins>
      <w:r>
        <w:t xml:space="preserve">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207" w:name="_Toc528939516"/>
      <w:bookmarkStart w:id="208" w:name="_Toc432434329"/>
      <w:r>
        <w:rPr>
          <w:rStyle w:val="CharSClsNo"/>
        </w:rPr>
        <w:t>11</w:t>
      </w:r>
      <w:r>
        <w:t>.</w:t>
      </w:r>
      <w:r>
        <w:tab/>
        <w:t>Tenure of office</w:t>
      </w:r>
      <w:bookmarkEnd w:id="207"/>
      <w:bookmarkEnd w:id="208"/>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 xml:space="preserve">when he or she reaches </w:t>
      </w:r>
      <w:del w:id="209" w:author="svcMRProcess" w:date="2019-01-24T11:28:00Z">
        <w:r>
          <w:rPr>
            <w:snapToGrid w:val="0"/>
          </w:rPr>
          <w:delText>65</w:delText>
        </w:r>
      </w:del>
      <w:ins w:id="210" w:author="svcMRProcess" w:date="2019-01-24T11:28:00Z">
        <w:r>
          <w:rPr>
            <w:szCs w:val="22"/>
          </w:rPr>
          <w:t>70</w:t>
        </w:r>
      </w:ins>
      <w:r>
        <w:rPr>
          <w:snapToGrid w:val="0"/>
        </w:rPr>
        <w:t>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Footnotesection"/>
        <w:rPr>
          <w:ins w:id="211" w:author="svcMRProcess" w:date="2019-01-24T11:28:00Z"/>
        </w:rPr>
      </w:pPr>
      <w:ins w:id="212" w:author="svcMRProcess" w:date="2019-01-24T11:28:00Z">
        <w:r>
          <w:tab/>
          <w:t>[Clause 11 amended: No. 29 of 2018 s. 9.]</w:t>
        </w:r>
      </w:ins>
    </w:p>
    <w:p>
      <w:pPr>
        <w:pStyle w:val="yHeading5"/>
        <w:spacing w:before="280"/>
      </w:pPr>
      <w:bookmarkStart w:id="213" w:name="_Toc528939517"/>
      <w:bookmarkStart w:id="214" w:name="_Toc432434330"/>
      <w:r>
        <w:rPr>
          <w:rStyle w:val="CharSClsNo"/>
        </w:rPr>
        <w:t>12</w:t>
      </w:r>
      <w:r>
        <w:t>.</w:t>
      </w:r>
      <w:r>
        <w:tab/>
        <w:t>Resignation</w:t>
      </w:r>
      <w:bookmarkEnd w:id="213"/>
      <w:bookmarkEnd w:id="214"/>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215" w:name="_Toc528939518"/>
      <w:bookmarkStart w:id="216" w:name="_Toc432434331"/>
      <w:r>
        <w:rPr>
          <w:rStyle w:val="CharSClsNo"/>
        </w:rPr>
        <w:t>13</w:t>
      </w:r>
      <w:r>
        <w:t>.</w:t>
      </w:r>
      <w:r>
        <w:tab/>
        <w:t>Suspension and termination due to illness</w:t>
      </w:r>
      <w:bookmarkEnd w:id="215"/>
      <w:bookmarkEnd w:id="216"/>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r>
        <w:tab/>
        <w:t>[Clause 13 amended</w:t>
      </w:r>
      <w:del w:id="217" w:author="svcMRProcess" w:date="2019-01-24T11:28:00Z">
        <w:r>
          <w:delText xml:space="preserve"> by</w:delText>
        </w:r>
      </w:del>
      <w:ins w:id="218" w:author="svcMRProcess" w:date="2019-01-24T11:28:00Z">
        <w:r>
          <w:t>:</w:t>
        </w:r>
      </w:ins>
      <w:r>
        <w:t xml:space="preserve"> No. 25 of 2007 s. 77; No. 22 of 2008 Sch. 3 cl. 32; No. 35 of 2010 s. 106.]</w:t>
      </w:r>
    </w:p>
    <w:p>
      <w:pPr>
        <w:pStyle w:val="yHeading5"/>
      </w:pPr>
      <w:bookmarkStart w:id="219" w:name="_Toc528939519"/>
      <w:bookmarkStart w:id="220" w:name="_Toc432434332"/>
      <w:r>
        <w:rPr>
          <w:rStyle w:val="CharSClsNo"/>
        </w:rPr>
        <w:t>14</w:t>
      </w:r>
      <w:r>
        <w:t>.</w:t>
      </w:r>
      <w:r>
        <w:tab/>
        <w:t>Suspension from office due to substandard performance</w:t>
      </w:r>
      <w:bookmarkEnd w:id="219"/>
      <w:bookmarkEnd w:id="220"/>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pending consideration under clause 15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w:t>
      </w:r>
      <w:del w:id="221" w:author="svcMRProcess" w:date="2019-01-24T11:28:00Z">
        <w:r>
          <w:delText xml:space="preserve"> by</w:delText>
        </w:r>
      </w:del>
      <w:ins w:id="222" w:author="svcMRProcess" w:date="2019-01-24T11:28:00Z">
        <w:r>
          <w:t>:</w:t>
        </w:r>
      </w:ins>
      <w:r>
        <w:t xml:space="preserve"> No. 18 of 2009 s. 55.]</w:t>
      </w:r>
    </w:p>
    <w:p>
      <w:pPr>
        <w:pStyle w:val="yHeading5"/>
      </w:pPr>
      <w:bookmarkStart w:id="223" w:name="_Toc528939520"/>
      <w:bookmarkStart w:id="224" w:name="_Toc432434333"/>
      <w:r>
        <w:rPr>
          <w:rStyle w:val="CharSClsNo"/>
        </w:rPr>
        <w:t>15</w:t>
      </w:r>
      <w:r>
        <w:t>.</w:t>
      </w:r>
      <w:r>
        <w:tab/>
        <w:t>Removal from office</w:t>
      </w:r>
      <w:bookmarkEnd w:id="223"/>
      <w:bookmarkEnd w:id="224"/>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225" w:name="_Toc528939521"/>
      <w:bookmarkStart w:id="226" w:name="_Toc432434334"/>
      <w:r>
        <w:rPr>
          <w:rStyle w:val="CharSClsNo"/>
        </w:rPr>
        <w:t>16</w:t>
      </w:r>
      <w:r>
        <w:t>.</w:t>
      </w:r>
      <w:r>
        <w:tab/>
        <w:t>Service counts as practice as lawyer</w:t>
      </w:r>
      <w:bookmarkEnd w:id="225"/>
      <w:bookmarkEnd w:id="226"/>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28" w:name="_Toc426099634"/>
      <w:bookmarkStart w:id="229" w:name="_Toc430937433"/>
      <w:bookmarkStart w:id="230" w:name="_Toc431391908"/>
      <w:bookmarkStart w:id="231" w:name="_Toc432434335"/>
      <w:bookmarkStart w:id="232" w:name="_Toc528939522"/>
      <w:r>
        <w:rPr>
          <w:rStyle w:val="CharSchNo"/>
        </w:rPr>
        <w:t>Schedule 2</w:t>
      </w:r>
      <w:r>
        <w:t> — </w:t>
      </w:r>
      <w:r>
        <w:rPr>
          <w:rStyle w:val="CharSchText"/>
        </w:rPr>
        <w:t>Form of commission</w:t>
      </w:r>
      <w:bookmarkEnd w:id="228"/>
      <w:bookmarkEnd w:id="229"/>
      <w:bookmarkEnd w:id="230"/>
      <w:bookmarkEnd w:id="231"/>
      <w:bookmarkEnd w:id="232"/>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smartTag w:uri="urn:schemas-microsoft-com:office:smarttags" w:element="Street">
        <w:smartTag w:uri="urn:schemas-microsoft-com:office:smarttags" w:element="address">
          <w:r>
            <w:rPr>
              <w:i/>
              <w:snapToGrid w:val="0"/>
            </w:rPr>
            <w:t>Magistrates Court</w:t>
          </w:r>
        </w:smartTag>
      </w:smartTag>
      <w:r>
        <w:rPr>
          <w:i/>
          <w:snapToGrid w:val="0"/>
        </w:rPr>
        <w:t xml:space="preserve"> Act 2004 </w:t>
      </w:r>
      <w:r>
        <w:t>as amended from time to time.</w:t>
      </w:r>
    </w:p>
    <w:p>
      <w:pPr>
        <w:pStyle w:val="ySubsection"/>
        <w:rPr>
          <w:i/>
        </w:rPr>
      </w:pPr>
      <w:r>
        <w:tab/>
      </w:r>
      <w:r>
        <w:tab/>
        <w:t>Issued …</w:t>
      </w:r>
    </w:p>
    <w:p>
      <w:pPr>
        <w:pStyle w:val="yScheduleHeading"/>
      </w:pPr>
      <w:bookmarkStart w:id="233" w:name="_Toc426099635"/>
      <w:bookmarkStart w:id="234" w:name="_Toc430937434"/>
      <w:bookmarkStart w:id="235" w:name="_Toc431391909"/>
      <w:bookmarkStart w:id="236" w:name="_Toc432434336"/>
      <w:bookmarkStart w:id="237" w:name="_Toc528939523"/>
      <w:r>
        <w:rPr>
          <w:rStyle w:val="CharSchNo"/>
        </w:rPr>
        <w:t>Schedule 3</w:t>
      </w:r>
      <w:r>
        <w:t> — </w:t>
      </w:r>
      <w:r>
        <w:rPr>
          <w:rStyle w:val="CharSchText"/>
        </w:rPr>
        <w:t>Oath and affirmation of office</w:t>
      </w:r>
      <w:bookmarkEnd w:id="233"/>
      <w:bookmarkEnd w:id="234"/>
      <w:bookmarkEnd w:id="235"/>
      <w:bookmarkEnd w:id="236"/>
      <w:bookmarkEnd w:id="237"/>
    </w:p>
    <w:p>
      <w:pPr>
        <w:pStyle w:val="yShoulderClause"/>
      </w:pPr>
      <w:r>
        <w:t>[Sch. 1 cl. 4]</w:t>
      </w:r>
    </w:p>
    <w:p>
      <w:pPr>
        <w:pStyle w:val="yFootnoteheading"/>
      </w:pPr>
      <w:r>
        <w:tab/>
        <w:t>[Heading inserted</w:t>
      </w:r>
      <w:del w:id="238" w:author="svcMRProcess" w:date="2019-01-24T11:28:00Z">
        <w:r>
          <w:delText xml:space="preserve"> by</w:delText>
        </w:r>
      </w:del>
      <w:ins w:id="239" w:author="svcMRProcess" w:date="2019-01-24T11:28:00Z">
        <w:r>
          <w:t>:</w:t>
        </w:r>
      </w:ins>
      <w:r>
        <w:t xml:space="preserve">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w:t>
      </w:r>
      <w:del w:id="240" w:author="svcMRProcess" w:date="2019-01-24T11:28:00Z">
        <w:r>
          <w:delText xml:space="preserve"> by</w:delText>
        </w:r>
      </w:del>
      <w:ins w:id="241" w:author="svcMRProcess" w:date="2019-01-24T11:28:00Z">
        <w:r>
          <w:t>:</w:t>
        </w:r>
      </w:ins>
      <w:r>
        <w:t xml:space="preserve"> No. 24 of 2005 s. 26.]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242" w:name="_Toc426099636"/>
      <w:bookmarkStart w:id="243" w:name="_Toc430937435"/>
      <w:bookmarkStart w:id="244" w:name="_Toc431391910"/>
      <w:bookmarkStart w:id="245" w:name="_Toc432434337"/>
      <w:bookmarkStart w:id="246" w:name="_Toc528939524"/>
      <w:r>
        <w:t>Notes</w:t>
      </w:r>
      <w:bookmarkEnd w:id="242"/>
      <w:bookmarkEnd w:id="243"/>
      <w:bookmarkEnd w:id="244"/>
      <w:bookmarkEnd w:id="245"/>
      <w:bookmarkEnd w:id="246"/>
    </w:p>
    <w:p>
      <w:pPr>
        <w:pStyle w:val="nSubsection"/>
      </w:pPr>
      <w:r>
        <w:rPr>
          <w:vertAlign w:val="superscript"/>
        </w:rPr>
        <w:t>1</w:t>
      </w:r>
      <w:r>
        <w:tab/>
        <w:t xml:space="preserve">This </w:t>
      </w:r>
      <w:del w:id="247" w:author="svcMRProcess" w:date="2019-01-24T11:28:00Z">
        <w:r>
          <w:delText xml:space="preserve">reprint </w:delText>
        </w:r>
      </w:del>
      <w:r>
        <w:t>is a compilation</w:t>
      </w:r>
      <w:del w:id="248" w:author="svcMRProcess" w:date="2019-01-24T11:28:00Z">
        <w:r>
          <w:delText xml:space="preserve"> as at 2 October 2015</w:delText>
        </w:r>
      </w:del>
      <w:r>
        <w:t xml:space="preserve"> of the </w:t>
      </w:r>
      <w:r>
        <w:rPr>
          <w:i/>
          <w:noProof/>
          <w:snapToGrid w:val="0"/>
        </w:rPr>
        <w:t xml:space="preserve">Magistrates Court Act 2004 </w:t>
      </w:r>
      <w:r>
        <w:t>and includes the amendments made by the other written laws referred to in the following table </w:t>
      </w:r>
      <w:r>
        <w:rPr>
          <w:vertAlign w:val="superscript"/>
        </w:rPr>
        <w:t>1M, 3</w:t>
      </w:r>
      <w:r>
        <w:t>.  The table also contains information about any reprint.</w:t>
      </w:r>
    </w:p>
    <w:p>
      <w:pPr>
        <w:pStyle w:val="nHeading3"/>
        <w:rPr>
          <w:snapToGrid w:val="0"/>
        </w:rPr>
      </w:pPr>
      <w:bookmarkStart w:id="249" w:name="_Toc528939525"/>
      <w:bookmarkStart w:id="250" w:name="_Toc432434338"/>
      <w:r>
        <w:rPr>
          <w:snapToGrid w:val="0"/>
        </w:rPr>
        <w:t>Compilation table</w:t>
      </w:r>
      <w:bookmarkEnd w:id="249"/>
      <w:bookmarkEnd w:id="25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Magistrates Court Act 2004</w:t>
            </w:r>
          </w:p>
        </w:tc>
        <w:tc>
          <w:tcPr>
            <w:tcW w:w="1134" w:type="dxa"/>
            <w:tcBorders>
              <w:top w:val="single" w:sz="8" w:space="0" w:color="auto"/>
            </w:tcBorders>
          </w:tcPr>
          <w:p>
            <w:pPr>
              <w:pStyle w:val="nTable"/>
              <w:spacing w:after="40"/>
            </w:pPr>
            <w:r>
              <w:t>47 of 2004</w:t>
            </w:r>
          </w:p>
        </w:tc>
        <w:tc>
          <w:tcPr>
            <w:tcW w:w="1134" w:type="dxa"/>
            <w:tcBorders>
              <w:top w:val="single" w:sz="8" w:space="0" w:color="auto"/>
            </w:tcBorders>
          </w:tcPr>
          <w:p>
            <w:pPr>
              <w:pStyle w:val="nTable"/>
              <w:spacing w:after="40"/>
            </w:pPr>
            <w:r>
              <w:t>12 Nov 2004</w:t>
            </w:r>
          </w:p>
        </w:tc>
        <w:tc>
          <w:tcPr>
            <w:tcW w:w="2552" w:type="dxa"/>
            <w:tcBorders>
              <w:top w:val="single" w:sz="8" w:space="0" w:color="auto"/>
            </w:tcBorders>
          </w:tcPr>
          <w:p>
            <w:pPr>
              <w:pStyle w:val="nTable"/>
              <w:spacing w:after="40"/>
            </w:pPr>
            <w:r>
              <w:t>s. 1 and 2: 12 Nov 2004;</w:t>
            </w:r>
            <w:r>
              <w:br/>
              <w:t xml:space="preserve">Act other than s. 1 and 2: 1 May 2005 (see s. 2 and </w:t>
            </w:r>
            <w:r>
              <w:rPr>
                <w:i/>
              </w:rPr>
              <w:t>Gazette</w:t>
            </w:r>
            <w:r>
              <w:t xml:space="preserve"> 31 Dec 2004 p. 7127)</w:t>
            </w:r>
          </w:p>
        </w:tc>
      </w:tr>
      <w:tr>
        <w:tc>
          <w:tcPr>
            <w:tcW w:w="2269" w:type="dxa"/>
          </w:tcPr>
          <w:p>
            <w:pPr>
              <w:pStyle w:val="nTable"/>
              <w:spacing w:after="40"/>
              <w:rPr>
                <w:i/>
                <w:noProof/>
                <w:snapToGrid w:val="0"/>
              </w:rPr>
            </w:pPr>
            <w:r>
              <w:rPr>
                <w:i/>
                <w:iCs/>
                <w:snapToGrid w:val="0"/>
              </w:rPr>
              <w:t>Criminal Procedure and Appeals (Consequential and Other Provisions) Act 2004</w:t>
            </w:r>
            <w:r>
              <w:rPr>
                <w:snapToGrid w:val="0"/>
              </w:rPr>
              <w:t xml:space="preserve"> s. 78,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8</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ind w:right="113"/>
              <w:rPr>
                <w:i/>
              </w:rPr>
            </w:pPr>
            <w:r>
              <w:rPr>
                <w:i/>
                <w:iCs/>
                <w:snapToGrid w:val="0"/>
              </w:rPr>
              <w:t xml:space="preserve">Financial Legislation Amendment and Repeal Act 2006 </w:t>
            </w:r>
            <w:r>
              <w:rPr>
                <w:snapToGrid w:val="0"/>
              </w:rPr>
              <w:t>s. 4</w:t>
            </w:r>
          </w:p>
        </w:tc>
        <w:tc>
          <w:tcPr>
            <w:tcW w:w="1134" w:type="dxa"/>
          </w:tcPr>
          <w:p>
            <w:pPr>
              <w:pStyle w:val="nTable"/>
              <w:spacing w:after="40"/>
            </w:pPr>
            <w:r>
              <w:rPr>
                <w:snapToGrid w:val="0"/>
              </w:rPr>
              <w:t>77 of 2006</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ind w:right="113"/>
              <w:rPr>
                <w:i/>
                <w:iCs/>
                <w:snapToGrid w:val="0"/>
              </w:rPr>
            </w:pPr>
            <w:r>
              <w:rPr>
                <w:i/>
                <w:iCs/>
                <w:snapToGrid w:val="0"/>
              </w:rPr>
              <w:t>State Superannuation Amendment Act 2007</w:t>
            </w:r>
            <w:r>
              <w:rPr>
                <w:snapToGrid w:val="0"/>
              </w:rPr>
              <w:t xml:space="preserve"> s. 77</w:t>
            </w:r>
          </w:p>
        </w:tc>
        <w:tc>
          <w:tcPr>
            <w:tcW w:w="1134" w:type="dxa"/>
          </w:tcPr>
          <w:p>
            <w:pPr>
              <w:pStyle w:val="nTable"/>
              <w:spacing w:after="40"/>
              <w:rPr>
                <w:snapToGrid w:val="0"/>
              </w:rPr>
            </w:pPr>
            <w:r>
              <w:rPr>
                <w:snapToGrid w:val="0"/>
              </w:rPr>
              <w:t>25 of 2007</w:t>
            </w:r>
          </w:p>
        </w:tc>
        <w:tc>
          <w:tcPr>
            <w:tcW w:w="1134" w:type="dxa"/>
          </w:tcPr>
          <w:p>
            <w:pPr>
              <w:pStyle w:val="nTable"/>
              <w:spacing w:after="40"/>
              <w:rPr>
                <w:snapToGrid w:val="0"/>
              </w:rPr>
            </w:pPr>
            <w:r>
              <w:rPr>
                <w:snapToGrid w:val="0"/>
              </w:rPr>
              <w:t>16 Oct 2007</w:t>
            </w:r>
          </w:p>
        </w:tc>
        <w:tc>
          <w:tcPr>
            <w:tcW w:w="2552" w:type="dxa"/>
          </w:tcPr>
          <w:p>
            <w:pPr>
              <w:pStyle w:val="nTable"/>
              <w:spacing w:after="40"/>
              <w:rPr>
                <w:snapToGrid w:val="0"/>
              </w:rPr>
            </w:pPr>
            <w:r>
              <w:rPr>
                <w:snapToGrid w:val="0"/>
              </w:rPr>
              <w:t xml:space="preserve">6 Dec 2007 (see s. 2(1)(b) and </w:t>
            </w:r>
            <w:r>
              <w:rPr>
                <w:i/>
                <w:iCs/>
                <w:snapToGrid w:val="0"/>
              </w:rPr>
              <w:t>Gazette</w:t>
            </w:r>
            <w:r>
              <w:rPr>
                <w:snapToGrid w:val="0"/>
              </w:rPr>
              <w:t xml:space="preserve"> 5 Dec 2007 p. 5973)</w:t>
            </w:r>
          </w:p>
        </w:tc>
      </w:tr>
      <w:tr>
        <w:trPr>
          <w:cantSplit/>
        </w:trPr>
        <w:tc>
          <w:tcPr>
            <w:tcW w:w="7089" w:type="dxa"/>
            <w:gridSpan w:val="4"/>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noProof/>
                    <w:snapToGrid w:val="0"/>
                  </w:rPr>
                  <w:t>Magistrates Court</w:t>
                </w:r>
              </w:smartTag>
            </w:smartTag>
            <w:r>
              <w:rPr>
                <w:b/>
                <w:bCs/>
                <w:i/>
                <w:noProof/>
                <w:snapToGrid w:val="0"/>
              </w:rPr>
              <w:t xml:space="preserve"> Act 2004</w:t>
            </w:r>
            <w:r>
              <w:rPr>
                <w:b/>
                <w:bCs/>
                <w:snapToGrid w:val="0"/>
              </w:rPr>
              <w:t xml:space="preserve"> as at 4 Jan 2008</w:t>
            </w:r>
            <w:r>
              <w:rPr>
                <w:snapToGrid w:val="0"/>
              </w:rPr>
              <w:t xml:space="preserve"> (includes amendments listed above)</w:t>
            </w:r>
          </w:p>
        </w:tc>
      </w:tr>
      <w:tr>
        <w:trPr>
          <w:cantSplit/>
        </w:trPr>
        <w:tc>
          <w:tcPr>
            <w:tcW w:w="2269" w:type="dxa"/>
          </w:tcPr>
          <w:p>
            <w:pPr>
              <w:pStyle w:val="nTable"/>
              <w:spacing w:after="40"/>
              <w:ind w:right="113"/>
              <w:rPr>
                <w:i/>
                <w:iCs/>
                <w:snapToGrid w:val="0"/>
              </w:rPr>
            </w:pPr>
            <w:r>
              <w:rPr>
                <w:bCs/>
                <w:i/>
                <w:snapToGrid w:val="0"/>
              </w:rPr>
              <w:t>Acts Amendment (Justice) Act 2008</w:t>
            </w:r>
            <w:r>
              <w:rPr>
                <w:bCs/>
                <w:iCs/>
                <w:snapToGrid w:val="0"/>
              </w:rPr>
              <w:t xml:space="preserve"> Pt. 15</w:t>
            </w:r>
          </w:p>
        </w:tc>
        <w:tc>
          <w:tcPr>
            <w:tcW w:w="1134" w:type="dxa"/>
          </w:tcPr>
          <w:p>
            <w:pPr>
              <w:pStyle w:val="nTable"/>
              <w:spacing w:after="40"/>
              <w:rPr>
                <w:snapToGrid w:val="0"/>
              </w:rPr>
            </w:pPr>
            <w:r>
              <w:rPr>
                <w:bCs/>
                <w:snapToGrid w:val="0"/>
              </w:rPr>
              <w:t>5 of 2008</w:t>
            </w:r>
          </w:p>
        </w:tc>
        <w:tc>
          <w:tcPr>
            <w:tcW w:w="1134" w:type="dxa"/>
          </w:tcPr>
          <w:p>
            <w:pPr>
              <w:pStyle w:val="nTable"/>
              <w:spacing w:after="40"/>
              <w:rPr>
                <w:snapToGrid w:val="0"/>
              </w:rPr>
            </w:pPr>
            <w:r>
              <w:rPr>
                <w:bCs/>
                <w:snapToGrid w:val="0"/>
              </w:rPr>
              <w:t>31 Mar 2008</w:t>
            </w:r>
          </w:p>
        </w:tc>
        <w:tc>
          <w:tcPr>
            <w:tcW w:w="2552" w:type="dxa"/>
          </w:tcPr>
          <w:p>
            <w:pPr>
              <w:pStyle w:val="nTable"/>
              <w:spacing w:after="40"/>
              <w:rPr>
                <w:snapToGrid w:val="0"/>
              </w:rPr>
            </w:pPr>
            <w:r>
              <w:rPr>
                <w:bCs/>
                <w:snapToGrid w:val="0"/>
              </w:rPr>
              <w:t xml:space="preserve">30 Sep 2008 (see s. 2(d) and </w:t>
            </w:r>
            <w:r>
              <w:rPr>
                <w:bCs/>
                <w:i/>
                <w:iCs/>
                <w:snapToGrid w:val="0"/>
              </w:rPr>
              <w:t xml:space="preserve">Gazette </w:t>
            </w:r>
            <w:r>
              <w:rPr>
                <w:bCs/>
                <w:snapToGrid w:val="0"/>
              </w:rPr>
              <w:t>11 Jul 2008 p. 3253)</w:t>
            </w:r>
          </w:p>
        </w:tc>
      </w:tr>
      <w:tr>
        <w:trPr>
          <w:cantSplit/>
        </w:trPr>
        <w:tc>
          <w:tcPr>
            <w:tcW w:w="2269" w:type="dxa"/>
          </w:tcPr>
          <w:p>
            <w:pPr>
              <w:pStyle w:val="nTable"/>
              <w:spacing w:after="40"/>
              <w:rPr>
                <w:i/>
                <w:snapToGrid w:val="0"/>
              </w:rPr>
            </w:pPr>
            <w:r>
              <w:rPr>
                <w:i/>
                <w:noProof/>
                <w:snapToGrid w:val="0"/>
              </w:rPr>
              <w:t>Cross</w:t>
            </w:r>
            <w:r>
              <w:rPr>
                <w:i/>
                <w:noProof/>
                <w:snapToGrid w:val="0"/>
              </w:rPr>
              <w:noBreakHyphen/>
              <w:t>border Justice Act 2008</w:t>
            </w:r>
            <w:r>
              <w:rPr>
                <w:iCs/>
                <w:noProof/>
                <w:snapToGrid w:val="0"/>
              </w:rPr>
              <w:t xml:space="preserve"> Pt. 15 Div. 2</w:t>
            </w:r>
          </w:p>
        </w:tc>
        <w:tc>
          <w:tcPr>
            <w:tcW w:w="1134" w:type="dxa"/>
          </w:tcPr>
          <w:p>
            <w:pPr>
              <w:pStyle w:val="nTable"/>
              <w:spacing w:after="40"/>
            </w:pPr>
            <w:r>
              <w:t>7 of 2008</w:t>
            </w:r>
          </w:p>
        </w:tc>
        <w:tc>
          <w:tcPr>
            <w:tcW w:w="1134" w:type="dxa"/>
          </w:tcPr>
          <w:p>
            <w:pPr>
              <w:pStyle w:val="nTable"/>
              <w:spacing w:after="40"/>
            </w:pPr>
            <w:r>
              <w:t>31 Mar 2008</w:t>
            </w:r>
          </w:p>
        </w:tc>
        <w:tc>
          <w:tcPr>
            <w:tcW w:w="2552" w:type="dxa"/>
          </w:tcPr>
          <w:p>
            <w:pPr>
              <w:pStyle w:val="nTable"/>
              <w:spacing w:after="40"/>
            </w:pPr>
            <w:r>
              <w:t xml:space="preserve">1 Nov 2009 (see s. 2(b) and </w:t>
            </w:r>
            <w:r>
              <w:rPr>
                <w:i/>
                <w:iCs/>
              </w:rPr>
              <w:t>Gazette</w:t>
            </w:r>
            <w:r>
              <w:t xml:space="preserve"> 9 Oct 2009 p. 3991)</w:t>
            </w:r>
          </w:p>
        </w:tc>
      </w:tr>
      <w:tr>
        <w:trPr>
          <w:cantSplit/>
        </w:trPr>
        <w:tc>
          <w:tcPr>
            <w:tcW w:w="2269" w:type="dxa"/>
          </w:tcPr>
          <w:p>
            <w:pPr>
              <w:pStyle w:val="nTable"/>
              <w:spacing w:after="40"/>
              <w:ind w:right="113"/>
              <w:rPr>
                <w:bCs/>
                <w:i/>
                <w:snapToGrid w:val="0"/>
              </w:rPr>
            </w:pPr>
            <w:r>
              <w:rPr>
                <w:i/>
                <w:iCs/>
                <w:snapToGrid w:val="0"/>
              </w:rPr>
              <w:t>Legal Profession Act 2008</w:t>
            </w:r>
            <w:r>
              <w:rPr>
                <w:snapToGrid w:val="0"/>
              </w:rPr>
              <w:t xml:space="preserve"> s. 677 </w:t>
            </w:r>
          </w:p>
        </w:tc>
        <w:tc>
          <w:tcPr>
            <w:tcW w:w="1134" w:type="dxa"/>
          </w:tcPr>
          <w:p>
            <w:pPr>
              <w:pStyle w:val="nTable"/>
              <w:spacing w:after="40"/>
              <w:rPr>
                <w:bCs/>
                <w:snapToGrid w:val="0"/>
              </w:rPr>
            </w:pPr>
            <w:r>
              <w:rPr>
                <w:snapToGrid w:val="0"/>
              </w:rPr>
              <w:t>21 of 2008</w:t>
            </w:r>
          </w:p>
        </w:tc>
        <w:tc>
          <w:tcPr>
            <w:tcW w:w="1134" w:type="dxa"/>
          </w:tcPr>
          <w:p>
            <w:pPr>
              <w:pStyle w:val="nTable"/>
              <w:spacing w:after="40"/>
              <w:rPr>
                <w:bCs/>
                <w:snapToGrid w:val="0"/>
              </w:rPr>
            </w:pPr>
            <w:r>
              <w:rPr>
                <w:snapToGrid w:val="0"/>
              </w:rPr>
              <w:t>27 May 2008</w:t>
            </w:r>
          </w:p>
        </w:tc>
        <w:tc>
          <w:tcPr>
            <w:tcW w:w="2552" w:type="dxa"/>
          </w:tcPr>
          <w:p>
            <w:pPr>
              <w:pStyle w:val="nTable"/>
              <w:spacing w:after="40"/>
              <w:rPr>
                <w:bCs/>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snapToGrid w:val="0"/>
              </w:rPr>
              <w:t>Medical Practitioners Act 2008</w:t>
            </w:r>
            <w:r>
              <w:t xml:space="preserve"> Sch. 3 cl. 32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b/>
                    <w:bCs/>
                    <w:i/>
                    <w:noProof/>
                    <w:snapToGrid w:val="0"/>
                  </w:rPr>
                  <w:t>Magistrates Court</w:t>
                </w:r>
              </w:smartTag>
            </w:smartTag>
            <w:r>
              <w:rPr>
                <w:b/>
                <w:bCs/>
                <w:i/>
                <w:noProof/>
                <w:snapToGrid w:val="0"/>
              </w:rPr>
              <w:t xml:space="preserve"> Act 2004</w:t>
            </w:r>
            <w:r>
              <w:rPr>
                <w:b/>
                <w:bCs/>
                <w:snapToGrid w:val="0"/>
              </w:rPr>
              <w:t xml:space="preserve"> as at 15 May 2009</w:t>
            </w:r>
            <w:r>
              <w:rPr>
                <w:snapToGrid w:val="0"/>
              </w:rPr>
              <w:t xml:space="preserve"> (includes amendments listed above except those in the </w:t>
            </w:r>
            <w:r>
              <w:rPr>
                <w:i/>
                <w:noProof/>
                <w:snapToGrid w:val="0"/>
              </w:rPr>
              <w:t>Cross</w:t>
            </w:r>
            <w:r>
              <w:rPr>
                <w:i/>
                <w:noProof/>
                <w:snapToGrid w:val="0"/>
              </w:rPr>
              <w:noBreakHyphen/>
              <w:t>border Justice Act 2008</w:t>
            </w:r>
            <w:r>
              <w:rPr>
                <w:snapToGrid w:val="0"/>
              </w:rPr>
              <w:t>)</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55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
                <w:snapToGrid w:val="0"/>
              </w:rPr>
            </w:pPr>
            <w:r>
              <w:rPr>
                <w:i/>
                <w:snapToGrid w:val="0"/>
              </w:rPr>
              <w:t xml:space="preserve">Health Practitioner Regulation National Law (WA) Act 2010 </w:t>
            </w:r>
            <w:r>
              <w:rPr>
                <w:iCs/>
                <w:snapToGrid w:val="0"/>
              </w:rPr>
              <w:t>Pt. 5 Div. 32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30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13</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rPr>
                <w:snapToGrid w:val="0"/>
              </w:rP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9" w:type="dxa"/>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Magistrates Court Act 2004</w:t>
            </w:r>
            <w:r>
              <w:rPr>
                <w:b/>
                <w:snapToGrid w:val="0"/>
              </w:rPr>
              <w:t xml:space="preserve"> as at 2 Oct 2015</w:t>
            </w:r>
            <w:r>
              <w:rPr>
                <w:snapToGrid w:val="0"/>
              </w:rPr>
              <w:t xml:space="preserve"> (includes amendments listed above)</w:t>
            </w:r>
          </w:p>
        </w:tc>
      </w:tr>
      <w:tr>
        <w:trPr>
          <w:cantSplit/>
          <w:ins w:id="251" w:author="svcMRProcess" w:date="2019-01-24T11:28:00Z"/>
        </w:trPr>
        <w:tc>
          <w:tcPr>
            <w:tcW w:w="2269" w:type="dxa"/>
            <w:tcBorders>
              <w:bottom w:val="single" w:sz="4" w:space="0" w:color="auto"/>
            </w:tcBorders>
            <w:shd w:val="clear" w:color="auto" w:fill="auto"/>
          </w:tcPr>
          <w:p>
            <w:pPr>
              <w:pStyle w:val="nTable"/>
              <w:spacing w:after="40"/>
              <w:rPr>
                <w:ins w:id="252" w:author="svcMRProcess" w:date="2019-01-24T11:28:00Z"/>
                <w:i/>
                <w:snapToGrid w:val="0"/>
              </w:rPr>
            </w:pPr>
            <w:ins w:id="253" w:author="svcMRProcess" w:date="2019-01-24T11:28:00Z">
              <w:r>
                <w:rPr>
                  <w:rFonts w:ascii="Times New Roman" w:hAnsi="Times New Roman"/>
                  <w:i/>
                  <w:snapToGrid w:val="0"/>
                  <w:szCs w:val="19"/>
                </w:rPr>
                <w:t>Courts Legislation Amendment Act 2018</w:t>
              </w:r>
              <w:r>
                <w:rPr>
                  <w:rFonts w:ascii="Times New Roman" w:hAnsi="Times New Roman"/>
                  <w:snapToGrid w:val="0"/>
                  <w:szCs w:val="19"/>
                </w:rPr>
                <w:t xml:space="preserve"> Pt. 3</w:t>
              </w:r>
            </w:ins>
          </w:p>
        </w:tc>
        <w:tc>
          <w:tcPr>
            <w:tcW w:w="1134" w:type="dxa"/>
            <w:tcBorders>
              <w:bottom w:val="single" w:sz="4" w:space="0" w:color="auto"/>
            </w:tcBorders>
            <w:shd w:val="clear" w:color="auto" w:fill="auto"/>
          </w:tcPr>
          <w:p>
            <w:pPr>
              <w:pStyle w:val="nTable"/>
              <w:spacing w:after="40"/>
              <w:rPr>
                <w:ins w:id="254" w:author="svcMRProcess" w:date="2019-01-24T11:28:00Z"/>
                <w:snapToGrid w:val="0"/>
              </w:rPr>
            </w:pPr>
            <w:ins w:id="255" w:author="svcMRProcess" w:date="2019-01-24T11:28:00Z">
              <w:r>
                <w:rPr>
                  <w:rFonts w:ascii="Times New Roman" w:hAnsi="Times New Roman"/>
                </w:rPr>
                <w:t>29 of 2018</w:t>
              </w:r>
            </w:ins>
          </w:p>
        </w:tc>
        <w:tc>
          <w:tcPr>
            <w:tcW w:w="1134" w:type="dxa"/>
            <w:tcBorders>
              <w:bottom w:val="single" w:sz="4" w:space="0" w:color="auto"/>
            </w:tcBorders>
            <w:shd w:val="clear" w:color="auto" w:fill="auto"/>
          </w:tcPr>
          <w:p>
            <w:pPr>
              <w:pStyle w:val="nTable"/>
              <w:spacing w:after="40"/>
              <w:rPr>
                <w:ins w:id="256" w:author="svcMRProcess" w:date="2019-01-24T11:28:00Z"/>
                <w:snapToGrid w:val="0"/>
              </w:rPr>
            </w:pPr>
            <w:ins w:id="257" w:author="svcMRProcess" w:date="2019-01-24T11:28:00Z">
              <w:r>
                <w:rPr>
                  <w:rFonts w:ascii="Times New Roman" w:hAnsi="Times New Roman"/>
                </w:rPr>
                <w:t>2 Nov</w:t>
              </w:r>
              <w:r>
                <w:t> 2018</w:t>
              </w:r>
            </w:ins>
          </w:p>
        </w:tc>
        <w:tc>
          <w:tcPr>
            <w:tcW w:w="2552" w:type="dxa"/>
            <w:tcBorders>
              <w:bottom w:val="single" w:sz="4" w:space="0" w:color="auto"/>
            </w:tcBorders>
            <w:shd w:val="clear" w:color="auto" w:fill="auto"/>
          </w:tcPr>
          <w:p>
            <w:pPr>
              <w:pStyle w:val="nTable"/>
              <w:spacing w:after="40"/>
              <w:rPr>
                <w:ins w:id="258" w:author="svcMRProcess" w:date="2019-01-24T11:28:00Z"/>
                <w:snapToGrid w:val="0"/>
              </w:rPr>
            </w:pPr>
            <w:ins w:id="259" w:author="svcMRProcess" w:date="2019-01-24T11:28:00Z">
              <w:r>
                <w:rPr>
                  <w:rFonts w:ascii="Times New Roman" w:hAnsi="Times New Roman"/>
                  <w:snapToGrid w:val="0"/>
                </w:rPr>
                <w:t>3 Nov 2018 (see s. 2(b))</w:t>
              </w:r>
            </w:ins>
          </w:p>
        </w:tc>
      </w:tr>
    </w:tbl>
    <w:p>
      <w:pPr>
        <w:pStyle w:val="nSubsection"/>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Lines/>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 xml:space="preserve">Courts Legislation Amendment and Repeal Act 2004 </w:t>
      </w:r>
      <w:r>
        <w:rPr>
          <w:snapToGrid w:val="0"/>
        </w:rPr>
        <w:t>s. 14.</w:t>
      </w:r>
    </w:p>
    <w:p>
      <w:pPr>
        <w:pStyle w:val="nSubsection"/>
      </w:pPr>
      <w:r>
        <w:rPr>
          <w:vertAlign w:val="superscript"/>
        </w:rPr>
        <w:t>3</w:t>
      </w:r>
      <w:r>
        <w:tab/>
        <w:t xml:space="preserve">The </w:t>
      </w:r>
      <w:r>
        <w:rPr>
          <w:i/>
        </w:rPr>
        <w:t>Courts Legislation Amendment and Repeal Act 2004</w:t>
      </w:r>
      <w:r>
        <w:t xml:space="preserve"> Part 22 contains transitional provisions about enforcing judgments given before the </w:t>
      </w:r>
      <w:r>
        <w:rPr>
          <w:i/>
        </w:rPr>
        <w:t>Civil Judgments Enforcement Act 2004</w:t>
      </w:r>
      <w:r>
        <w:t xml:space="preserve"> commenced, including judgment of Local Courts.</w:t>
      </w: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7" w:name="Schedule"/>
    <w:bookmarkEnd w:id="22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about magistrates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5832" w:type="dxa"/>
        </w:tcPr>
        <w:p>
          <w:pPr>
            <w:pStyle w:val="Header"/>
            <w:spacing w:before="40"/>
            <w:jc w:val="right"/>
          </w:pPr>
          <w:r>
            <w:fldChar w:fldCharType="begin"/>
          </w:r>
          <w:r>
            <w:instrText xml:space="preserve"> styleref CharSchText </w:instrText>
          </w:r>
          <w:r>
            <w:fldChar w:fldCharType="separate"/>
          </w:r>
          <w:r>
            <w:t>Provisions about magistrates</w:t>
          </w:r>
          <w:r>
            <w:fldChar w:fldCharType="end"/>
          </w:r>
        </w:p>
      </w:tc>
      <w:tc>
        <w:tcPr>
          <w:tcW w:w="1440"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832" w:type="dxa"/>
        </w:tcPr>
        <w:p>
          <w:pPr>
            <w:pStyle w:val="Header"/>
            <w:spacing w:before="40"/>
            <w:jc w:val="right"/>
          </w:pPr>
        </w:p>
      </w:tc>
      <w:tc>
        <w:tcPr>
          <w:tcW w:w="1440" w:type="dxa"/>
        </w:tcPr>
        <w:p>
          <w:pPr>
            <w:pStyle w:val="Header"/>
            <w:spacing w:before="40"/>
            <w:ind w:right="17"/>
            <w:jc w:val="right"/>
          </w:pPr>
        </w:p>
      </w:tc>
    </w:tr>
    <w:tr>
      <w:tc>
        <w:tcPr>
          <w:tcW w:w="5832" w:type="dxa"/>
        </w:tcPr>
        <w:p>
          <w:pPr>
            <w:pStyle w:val="Header"/>
            <w:spacing w:before="40"/>
            <w:jc w:val="right"/>
          </w:pPr>
        </w:p>
      </w:tc>
      <w:tc>
        <w:tcPr>
          <w:tcW w:w="1440"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0" w:name="Compilation"/>
    <w:bookmarkEnd w:id="26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1" w:name="Coversheet"/>
    <w:bookmarkEnd w:id="2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lvlText w:val="%1."/>
      <w:lvlJc w:val="left"/>
      <w:pPr>
        <w:tabs>
          <w:tab w:val="num" w:pos="1800"/>
        </w:tabs>
        <w:ind w:left="1800" w:hanging="360"/>
      </w:pPr>
    </w:lvl>
  </w:abstractNum>
  <w:abstractNum w:abstractNumId="1">
    <w:nsid w:val="FFFFFF7D"/>
    <w:multiLevelType w:val="singleLevel"/>
    <w:tmpl w:val="2B744CD0"/>
    <w:lvl w:ilvl="0">
      <w:start w:val="1"/>
      <w:numFmt w:val="decimal"/>
      <w:lvlText w:val="%1."/>
      <w:lvlJc w:val="left"/>
      <w:pPr>
        <w:tabs>
          <w:tab w:val="num" w:pos="1440"/>
        </w:tabs>
        <w:ind w:left="1440" w:hanging="360"/>
      </w:pPr>
    </w:lvl>
  </w:abstractNum>
  <w:abstractNum w:abstractNumId="2">
    <w:nsid w:val="FFFFFF7E"/>
    <w:multiLevelType w:val="singleLevel"/>
    <w:tmpl w:val="0EB6CC54"/>
    <w:lvl w:ilvl="0">
      <w:start w:val="1"/>
      <w:numFmt w:val="decimal"/>
      <w:lvlText w:val="%1."/>
      <w:lvlJc w:val="left"/>
      <w:pPr>
        <w:tabs>
          <w:tab w:val="num" w:pos="1080"/>
        </w:tabs>
        <w:ind w:left="1080" w:hanging="360"/>
      </w:pPr>
    </w:lvl>
  </w:abstractNum>
  <w:abstractNum w:abstractNumId="3">
    <w:nsid w:val="FFFFFF7F"/>
    <w:multiLevelType w:val="singleLevel"/>
    <w:tmpl w:val="1E4E0842"/>
    <w:lvl w:ilvl="0">
      <w:start w:val="1"/>
      <w:numFmt w:val="decimal"/>
      <w:lvlText w:val="%1."/>
      <w:lvlJc w:val="left"/>
      <w:pPr>
        <w:tabs>
          <w:tab w:val="num" w:pos="720"/>
        </w:tabs>
        <w:ind w:left="720" w:hanging="360"/>
      </w:pPr>
    </w:lvl>
  </w:abstractNum>
  <w:abstractNum w:abstractNumId="4">
    <w:nsid w:val="FFFFFF80"/>
    <w:multiLevelType w:val="singleLevel"/>
    <w:tmpl w:val="68D41C9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lvlText w:val="%1."/>
      <w:lvlJc w:val="left"/>
      <w:pPr>
        <w:tabs>
          <w:tab w:val="num" w:pos="360"/>
        </w:tabs>
        <w:ind w:left="360" w:hanging="360"/>
      </w:pPr>
    </w:lvl>
  </w:abstractNum>
  <w:abstractNum w:abstractNumId="9">
    <w:nsid w:val="FFFFFF89"/>
    <w:multiLevelType w:val="singleLevel"/>
    <w:tmpl w:val="E276839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7C29E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634"/>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 w:name="WAFER_20150416145040" w:val="ResetPageSize,UpdateArrangement,UpdateNTable"/>
    <w:docVar w:name="WAFER_20150416145040_GUID" w:val="80e56311-ab8c-42c9-80e8-06e4516d5478"/>
    <w:docVar w:name="WAFER_20150716095804" w:val="RemoveTocBookmarks,RemoveUnusedBookmarks,RemoveLanguageTags,UsedStyles,ResetPageSize,RemoveCustomizations"/>
    <w:docVar w:name="WAFER_20150716095804_GUID" w:val="55aba3af-c04f-4ef0-887b-3d968e91430c"/>
    <w:docVar w:name="WAFER_20150716100040" w:val="RemoveTocBookmarks,RemoveUnusedBookmarks,RemoveLanguageTags,UsedStyles,ResetPageSize,RemoveCustomizations"/>
    <w:docVar w:name="WAFER_20150716100040_GUID" w:val="971fdbcb-f624-4314-b04e-11a2d86ffe31"/>
    <w:docVar w:name="WAFER_20150731094932" w:val="RemoveTocBookmarks,RemoveUnusedBookmarks,RemoveLanguageTags,UsedStyles,RemoveTrackChanges"/>
    <w:docVar w:name="WAFER_20150731094932_GUID" w:val="7b9e15e3-0492-4a01-8189-323caaf41e6b"/>
    <w:docVar w:name="WAFER_20150731094951" w:val="RemoveTocBookmarks,RemoveLanguageTags,RemoveTrackChanges,RunningHeaders"/>
    <w:docVar w:name="WAFER_20150731094951_GUID" w:val="17976eb0-845a-467a-94bf-67e0db2b6e11"/>
    <w:docVar w:name="WAFER_20151106160634" w:val="UpdateStyles,UsedStyles"/>
    <w:docVar w:name="WAFER_20151106160634_GUID" w:val="b96f5366-3d5a-43fc-a10b-81200836b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3.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E3793-EF2C-4D7F-B202-83497EA57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10261</Words>
  <Characters>47411</Characters>
  <Application>Microsoft Office Word</Application>
  <DocSecurity>0</DocSecurity>
  <Lines>1281</Lines>
  <Paragraphs>748</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56924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03-a0-01 - 03-b0-01</dc:title>
  <dc:subject/>
  <dc:creator/>
  <cp:keywords/>
  <dc:description/>
  <cp:lastModifiedBy>svcMRProcess</cp:lastModifiedBy>
  <cp:revision>2</cp:revision>
  <cp:lastPrinted>2015-09-30T08:09:00Z</cp:lastPrinted>
  <dcterms:created xsi:type="dcterms:W3CDTF">2019-01-24T03:28:00Z</dcterms:created>
  <dcterms:modified xsi:type="dcterms:W3CDTF">2019-01-24T03:28:00Z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edAsAt">
    <vt:filetime>2015-10-01T16:00:00Z</vt:filetime>
  </property>
  <property fmtid="{D5CDD505-2E9C-101B-9397-08002B2CF9AE}" pid="6" name="ReprintNo">
    <vt:lpwstr>3</vt:lpwstr>
  </property>
  <property fmtid="{D5CDD505-2E9C-101B-9397-08002B2CF9AE}" pid="7" name="CommencementDate">
    <vt:lpwstr>20181103</vt:lpwstr>
  </property>
  <property fmtid="{D5CDD505-2E9C-101B-9397-08002B2CF9AE}" pid="8" name="FromSuffix">
    <vt:lpwstr>03-a0-01</vt:lpwstr>
  </property>
  <property fmtid="{D5CDD505-2E9C-101B-9397-08002B2CF9AE}" pid="9" name="FromAsAtDate">
    <vt:lpwstr>02 Oct 2015</vt:lpwstr>
  </property>
  <property fmtid="{D5CDD505-2E9C-101B-9397-08002B2CF9AE}" pid="10" name="ToSuffix">
    <vt:lpwstr>03-b0-01</vt:lpwstr>
  </property>
  <property fmtid="{D5CDD505-2E9C-101B-9397-08002B2CF9AE}" pid="11" name="ToAsAtDate">
    <vt:lpwstr>03 Nov 2018</vt:lpwstr>
  </property>
</Properties>
</file>