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(Skin Penetration Procedure)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(Miscellaneous Provisions) Act 1911</w:t>
      </w:r>
    </w:p>
    <w:p>
      <w:pPr>
        <w:pStyle w:val="NameofActReg"/>
        <w:rPr>
          <w:b w:val="0"/>
        </w:rPr>
      </w:pPr>
      <w:r>
        <w:t>Health (Skin Penetration Procedure) Regulations 1998</w:t>
      </w:r>
    </w:p>
    <w:p>
      <w:pPr>
        <w:pStyle w:val="Heading5"/>
        <w:spacing w:before="0"/>
        <w:rPr>
          <w:snapToGrid w:val="0"/>
        </w:rPr>
      </w:pPr>
      <w:bookmarkStart w:id="1" w:name="_Toc529882482"/>
      <w:bookmarkStart w:id="2" w:name="_Toc378750339"/>
      <w:bookmarkStart w:id="3" w:name="_Toc473031741"/>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pPr>
        <w:pStyle w:val="Heading5"/>
        <w:rPr>
          <w:snapToGrid w:val="0"/>
        </w:rPr>
      </w:pPr>
      <w:bookmarkStart w:id="5" w:name="_Toc529882483"/>
      <w:bookmarkStart w:id="6" w:name="_Toc378750340"/>
      <w:bookmarkStart w:id="7" w:name="_Toc47303174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June 1998.</w:t>
      </w:r>
    </w:p>
    <w:p>
      <w:pPr>
        <w:pStyle w:val="Heading5"/>
        <w:rPr>
          <w:snapToGrid w:val="0"/>
        </w:rPr>
      </w:pPr>
      <w:bookmarkStart w:id="8" w:name="_Toc529882484"/>
      <w:bookmarkStart w:id="9" w:name="_Toc378750341"/>
      <w:bookmarkStart w:id="10" w:name="_Toc473031743"/>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client</w:t>
      </w:r>
      <w:r>
        <w:t xml:space="preserve"> means a person on whom a skin penetration procedure is being, or is to be carried out, whether or not for fee, gain or reward;</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Defstart"/>
      </w:pPr>
      <w:r>
        <w:tab/>
      </w:r>
      <w:r>
        <w:rPr>
          <w:rStyle w:val="CharDefText"/>
        </w:rPr>
        <w:t>nurse</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w:t>
      </w:r>
    </w:p>
    <w:p>
      <w:pPr>
        <w:pStyle w:val="Defstart"/>
      </w:pPr>
      <w:r>
        <w:rPr>
          <w:b/>
        </w:rPr>
        <w:tab/>
      </w:r>
      <w:r>
        <w:rPr>
          <w:rStyle w:val="CharDefText"/>
        </w:rPr>
        <w:t>operator</w:t>
      </w:r>
      <w:r>
        <w:t xml:space="preserve"> means a person who carries out or intends to carry out a skin penetration procedure;</w:t>
      </w:r>
    </w:p>
    <w:p>
      <w:pPr>
        <w:pStyle w:val="Defstart"/>
      </w:pPr>
      <w:r>
        <w:rPr>
          <w:b/>
        </w:rPr>
        <w:tab/>
      </w:r>
      <w:r>
        <w:rPr>
          <w:rStyle w:val="CharDefText"/>
        </w:rPr>
        <w:t>owner</w:t>
      </w:r>
      <w:r>
        <w:t>, in relation to an establishment, means — </w:t>
      </w:r>
    </w:p>
    <w:p>
      <w:pPr>
        <w:pStyle w:val="Defpara"/>
      </w:pPr>
      <w:r>
        <w:tab/>
        <w:t>(a)</w:t>
      </w:r>
      <w:r>
        <w:tab/>
        <w:t>the owner of the establishment; or</w:t>
      </w:r>
    </w:p>
    <w:p>
      <w:pPr>
        <w:pStyle w:val="Defpara"/>
      </w:pPr>
      <w:r>
        <w:tab/>
        <w:t>(b)</w:t>
      </w:r>
      <w:r>
        <w:tab/>
        <w:t>if the owner is not the occupier of the establishment — the occupier;</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skin penetration procedure</w:t>
      </w:r>
      <w:r>
        <w:t xml:space="preserve"> means a procedure in which — </w:t>
      </w:r>
    </w:p>
    <w:p>
      <w:pPr>
        <w:pStyle w:val="Defpara"/>
      </w:pPr>
      <w:r>
        <w:tab/>
        <w:t>(a)</w:t>
      </w:r>
      <w:r>
        <w:tab/>
        <w:t>the skin is cut, punctured, torn or shaved; or</w:t>
      </w:r>
    </w:p>
    <w:p>
      <w:pPr>
        <w:pStyle w:val="Defpara"/>
      </w:pPr>
      <w:r>
        <w:tab/>
        <w:t>(b)</w:t>
      </w:r>
      <w:r>
        <w:tab/>
        <w:t xml:space="preserve">mucous membrane is cut, punctured or torn. </w:t>
      </w:r>
    </w:p>
    <w:p>
      <w:pPr>
        <w:pStyle w:val="Footnotesection"/>
      </w:pPr>
      <w:r>
        <w:tab/>
        <w:t>[Regulation 3 amended in Gazette 1 Apr 2011 p. 1179.]</w:t>
      </w:r>
    </w:p>
    <w:p>
      <w:pPr>
        <w:pStyle w:val="Heading5"/>
        <w:rPr>
          <w:snapToGrid w:val="0"/>
        </w:rPr>
      </w:pPr>
      <w:bookmarkStart w:id="11" w:name="_Toc529882485"/>
      <w:bookmarkStart w:id="12" w:name="_Toc378750342"/>
      <w:bookmarkStart w:id="13" w:name="_Toc473031744"/>
      <w:r>
        <w:rPr>
          <w:rStyle w:val="CharSectno"/>
        </w:rPr>
        <w:t>4</w:t>
      </w:r>
      <w:r>
        <w:rPr>
          <w:snapToGrid w:val="0"/>
        </w:rPr>
        <w:t>.</w:t>
      </w:r>
      <w:r>
        <w:rPr>
          <w:snapToGrid w:val="0"/>
        </w:rPr>
        <w:tab/>
        <w:t>Application</w:t>
      </w:r>
      <w:bookmarkEnd w:id="11"/>
      <w:bookmarkEnd w:id="12"/>
      <w:bookmarkEnd w:id="13"/>
    </w:p>
    <w:p>
      <w:pPr>
        <w:pStyle w:val="Subsection"/>
      </w:pPr>
      <w:r>
        <w:tab/>
        <w:t>(1)</w:t>
      </w:r>
      <w:r>
        <w:tab/>
        <w:t>These regulations do not apply to a skin penetration procedure carried out by — </w:t>
      </w:r>
    </w:p>
    <w:p>
      <w:pPr>
        <w:pStyle w:val="Defpara"/>
      </w:pPr>
      <w:r>
        <w:tab/>
        <w:t>(a)</w:t>
      </w:r>
      <w:r>
        <w:tab/>
        <w:t>a medical practitioner or a dentist, where the procedure is carried out in the practice of medicine or dentistry, respectively;</w:t>
      </w:r>
    </w:p>
    <w:p>
      <w:pPr>
        <w:pStyle w:val="Defpara"/>
      </w:pPr>
      <w:r>
        <w:tab/>
        <w:t>(b)</w:t>
      </w:r>
      <w:r>
        <w:tab/>
        <w:t>a person acting under the direction or supervision of a medical practitioner or dentist, where the procedure is carried out for the purpose of the practice of medicine or dentistry, respectively;</w:t>
      </w:r>
    </w:p>
    <w:p>
      <w:pPr>
        <w:pStyle w:val="Indenta"/>
      </w:pPr>
      <w:r>
        <w:tab/>
        <w:t>(c)</w:t>
      </w:r>
      <w:r>
        <w:tab/>
        <w:t>a podiatrist or nurse where the procedure is carried out in the practice of podiatry or nursing, respectively.</w:t>
      </w:r>
    </w:p>
    <w:p>
      <w:pPr>
        <w:pStyle w:val="Subsection"/>
        <w:rPr>
          <w:snapToGrid w:val="0"/>
        </w:rPr>
      </w:pPr>
      <w:r>
        <w:rPr>
          <w:snapToGrid w:val="0"/>
        </w:rPr>
        <w:tab/>
        <w:t>(2)</w:t>
      </w:r>
      <w:r>
        <w:rPr>
          <w:snapToGrid w:val="0"/>
        </w:rPr>
        <w:tab/>
        <w:t>These regulations do not apply to a place that is, or is intended to be, used solely as a surgery by a medical practitioner or a dentist.</w:t>
      </w:r>
    </w:p>
    <w:p>
      <w:pPr>
        <w:pStyle w:val="Footnotesection"/>
      </w:pPr>
      <w:r>
        <w:tab/>
        <w:t>[Regulation 4 amended in Gazette 1 Apr 2011 p. 1180.]</w:t>
      </w:r>
    </w:p>
    <w:p>
      <w:pPr>
        <w:pStyle w:val="Heading5"/>
        <w:rPr>
          <w:snapToGrid w:val="0"/>
        </w:rPr>
      </w:pPr>
      <w:bookmarkStart w:id="14" w:name="_Toc529882486"/>
      <w:bookmarkStart w:id="15" w:name="_Toc378750343"/>
      <w:bookmarkStart w:id="16" w:name="_Toc473031745"/>
      <w:r>
        <w:rPr>
          <w:rStyle w:val="CharSectno"/>
        </w:rPr>
        <w:t>5</w:t>
      </w:r>
      <w:r>
        <w:rPr>
          <w:snapToGrid w:val="0"/>
        </w:rPr>
        <w:t>.</w:t>
      </w:r>
      <w:r>
        <w:rPr>
          <w:snapToGrid w:val="0"/>
        </w:rPr>
        <w:tab/>
        <w:t>Regulations to operate as local laws</w:t>
      </w:r>
      <w:bookmarkEnd w:id="14"/>
      <w:bookmarkEnd w:id="15"/>
      <w:bookmarkEnd w:id="16"/>
      <w:r>
        <w:rPr>
          <w:snapToGrid w:val="0"/>
        </w:rPr>
        <w:t xml:space="preserve"> </w:t>
      </w:r>
    </w:p>
    <w:p>
      <w:pPr>
        <w:pStyle w:val="Subsection"/>
        <w:rPr>
          <w:snapToGrid w:val="0"/>
        </w:rPr>
      </w:pPr>
      <w:r>
        <w:rPr>
          <w:snapToGrid w:val="0"/>
        </w:rPr>
        <w:tab/>
      </w:r>
      <w:r>
        <w:rPr>
          <w:snapToGrid w:val="0"/>
        </w:rPr>
        <w:tab/>
        <w:t>These regulations apply to all districts as if they were local laws made under the Act.</w:t>
      </w:r>
    </w:p>
    <w:p>
      <w:pPr>
        <w:pStyle w:val="Heading5"/>
        <w:rPr>
          <w:snapToGrid w:val="0"/>
        </w:rPr>
      </w:pPr>
      <w:bookmarkStart w:id="17" w:name="_Toc529882487"/>
      <w:bookmarkStart w:id="18" w:name="_Toc378750344"/>
      <w:bookmarkStart w:id="19" w:name="_Toc473031746"/>
      <w:r>
        <w:rPr>
          <w:rStyle w:val="CharSectno"/>
        </w:rPr>
        <w:t>6</w:t>
      </w:r>
      <w:r>
        <w:rPr>
          <w:snapToGrid w:val="0"/>
        </w:rPr>
        <w:t>.</w:t>
      </w:r>
      <w:r>
        <w:rPr>
          <w:snapToGrid w:val="0"/>
        </w:rPr>
        <w:tab/>
        <w:t>Owner of an establishment to notify local government</w:t>
      </w:r>
      <w:bookmarkEnd w:id="17"/>
      <w:bookmarkEnd w:id="18"/>
      <w:bookmarkEnd w:id="19"/>
      <w:r>
        <w:rPr>
          <w:snapToGrid w:val="0"/>
        </w:rPr>
        <w:t xml:space="preserve"> </w:t>
      </w:r>
    </w:p>
    <w:p>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20" w:name="_Toc529882488"/>
      <w:bookmarkStart w:id="21" w:name="_Toc378750345"/>
      <w:bookmarkStart w:id="22" w:name="_Toc473031747"/>
      <w:r>
        <w:rPr>
          <w:rStyle w:val="CharSectno"/>
        </w:rPr>
        <w:t>7</w:t>
      </w:r>
      <w:r>
        <w:rPr>
          <w:snapToGrid w:val="0"/>
        </w:rPr>
        <w:t>.</w:t>
      </w:r>
      <w:r>
        <w:rPr>
          <w:snapToGrid w:val="0"/>
        </w:rPr>
        <w:tab/>
        <w:t>Adoption of Code</w:t>
      </w:r>
      <w:bookmarkEnd w:id="20"/>
      <w:bookmarkEnd w:id="21"/>
      <w:bookmarkEnd w:id="22"/>
      <w:r>
        <w:rPr>
          <w:snapToGrid w:val="0"/>
        </w:rPr>
        <w:t xml:space="preserve"> </w:t>
      </w:r>
    </w:p>
    <w:p>
      <w:pPr>
        <w:pStyle w:val="Subsection"/>
        <w:rPr>
          <w:snapToGrid w:val="0"/>
        </w:rPr>
      </w:pPr>
      <w:r>
        <w:rPr>
          <w:snapToGrid w:val="0"/>
        </w:rPr>
        <w:tab/>
        <w:t>(1)</w:t>
      </w:r>
      <w:r>
        <w:rPr>
          <w:snapToGrid w:val="0"/>
        </w:rPr>
        <w:tab/>
        <w:t>Under </w:t>
      </w:r>
      <w:r>
        <w:t xml:space="preserve">the </w:t>
      </w:r>
      <w:r>
        <w:rPr>
          <w:i/>
        </w:rPr>
        <w:t>Health (Miscellaneous Provisions) Act 1911</w:t>
      </w:r>
      <w:r>
        <w:t xml:space="preserve"> section 344A(1),</w:t>
      </w:r>
      <w:r>
        <w:rPr>
          <w:snapToGrid w:val="0"/>
        </w:rPr>
        <w:t xml:space="preserve"> the Code of Practice for Skin Penetration Procedures published by the </w:t>
      </w:r>
      <w:r>
        <w:t>Chief Health Officer,</w:t>
      </w:r>
      <w:r>
        <w:rPr>
          <w:snapToGrid w:val="0"/>
        </w:rPr>
        <w:t xml:space="preserve"> and amended from time to time, under </w:t>
      </w:r>
      <w:r>
        <w:t xml:space="preserve">the </w:t>
      </w:r>
      <w:r>
        <w:rPr>
          <w:i/>
        </w:rPr>
        <w:t>Health (Miscellaneous Provisions) Act 1911</w:t>
      </w:r>
      <w:r>
        <w:t xml:space="preserve"> section 344A(2)</w:t>
      </w:r>
      <w:r>
        <w:rPr>
          <w:snapToGrid w:val="0"/>
        </w:rPr>
        <w:t xml:space="preserve"> (referred to in these regulations as </w:t>
      </w:r>
      <w:r>
        <w:rPr>
          <w:rStyle w:val="CharDefText"/>
        </w:rPr>
        <w:t>the Code</w:t>
      </w:r>
      <w:r>
        <w:rPr>
          <w:snapToGrid w:val="0"/>
        </w:rPr>
        <w:t>) is adopted in whole.</w:t>
      </w:r>
    </w:p>
    <w:p>
      <w:pPr>
        <w:pStyle w:val="Subsection"/>
        <w:rPr>
          <w:snapToGrid w:val="0"/>
        </w:rPr>
      </w:pPr>
      <w:r>
        <w:rPr>
          <w:snapToGrid w:val="0"/>
        </w:rPr>
        <w:tab/>
        <w:t>(2)</w:t>
      </w:r>
      <w:r>
        <w:rPr>
          <w:snapToGrid w:val="0"/>
        </w:rPr>
        <w:tab/>
        <w:t xml:space="preserve">Under </w:t>
      </w:r>
      <w:r>
        <w:t xml:space="preserve">the </w:t>
      </w:r>
      <w:r>
        <w:rPr>
          <w:i/>
        </w:rPr>
        <w:t>Health (Miscellaneous Provisions) Act 1911</w:t>
      </w:r>
      <w:r>
        <w:t xml:space="preserve"> section 344A(3),</w:t>
      </w:r>
      <w:r>
        <w:rPr>
          <w:snapToGrid w:val="0"/>
        </w:rPr>
        <w:t xml:space="preserve">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pPr>
        <w:pStyle w:val="Footnotesection"/>
      </w:pPr>
      <w:r>
        <w:tab/>
        <w:t>[Regulation 7 amended in Gazette 10 Jan 2017 p. 282.]</w:t>
      </w:r>
    </w:p>
    <w:p>
      <w:pPr>
        <w:pStyle w:val="Heading5"/>
        <w:rPr>
          <w:snapToGrid w:val="0"/>
        </w:rPr>
      </w:pPr>
      <w:bookmarkStart w:id="23" w:name="_Toc529882489"/>
      <w:bookmarkStart w:id="24" w:name="_Toc378750346"/>
      <w:bookmarkStart w:id="25" w:name="_Toc473031748"/>
      <w:r>
        <w:rPr>
          <w:rStyle w:val="CharSectno"/>
        </w:rPr>
        <w:t>8</w:t>
      </w:r>
      <w:r>
        <w:rPr>
          <w:snapToGrid w:val="0"/>
        </w:rPr>
        <w:t>.</w:t>
      </w:r>
      <w:r>
        <w:rPr>
          <w:snapToGrid w:val="0"/>
        </w:rPr>
        <w:tab/>
        <w:t>Compliance with the Code</w:t>
      </w:r>
      <w:bookmarkEnd w:id="23"/>
      <w:bookmarkEnd w:id="24"/>
      <w:bookmarkEnd w:id="25"/>
      <w:r>
        <w:rPr>
          <w:snapToGrid w:val="0"/>
        </w:rPr>
        <w:t xml:space="preserve"> </w:t>
      </w:r>
    </w:p>
    <w:p>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w:t>
      </w:r>
    </w:p>
    <w:p>
      <w:pPr>
        <w:pStyle w:val="Penpara"/>
        <w:rPr>
          <w:snapToGrid w:val="0"/>
        </w:rPr>
      </w:pPr>
      <w:r>
        <w:rPr>
          <w:snapToGrid w:val="0"/>
        </w:rPr>
        <w:tab/>
        <w:t>(c)</w:t>
      </w:r>
      <w:r>
        <w:rPr>
          <w:snapToGrid w:val="0"/>
        </w:rPr>
        <w:tab/>
        <w:t>in the case of a third or subsequent offence — a penalty which is not less than $500 and not more than $1 000; and</w:t>
      </w:r>
    </w:p>
    <w:p>
      <w:pPr>
        <w:pStyle w:val="Penpara"/>
        <w:rPr>
          <w:snapToGrid w:val="0"/>
        </w:rPr>
      </w:pPr>
      <w:r>
        <w:rPr>
          <w:snapToGrid w:val="0"/>
        </w:rPr>
        <w:tab/>
        <w:t>(d)</w:t>
      </w:r>
      <w:r>
        <w:rPr>
          <w:snapToGrid w:val="0"/>
        </w:rPr>
        <w:tab/>
        <w:t>in the case of a continuing offence — a daily penalty which is not more than $100 and not less than $50.</w:t>
      </w:r>
    </w:p>
    <w:p>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Subsection"/>
        <w:rPr>
          <w:snapToGrid w:val="0"/>
        </w:rPr>
      </w:pPr>
      <w:r>
        <w:rPr>
          <w:snapToGrid w:val="0"/>
        </w:rPr>
        <w:tab/>
        <w:t>(3)</w:t>
      </w:r>
      <w:r>
        <w:rPr>
          <w:snapToGrid w:val="0"/>
        </w:rPr>
        <w:tab/>
        <w:t>An operator who does not carry out a skin penetration procedure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26" w:name="_Toc529882490"/>
      <w:bookmarkStart w:id="27" w:name="_Toc378750347"/>
      <w:bookmarkStart w:id="28" w:name="_Toc473031749"/>
      <w:r>
        <w:rPr>
          <w:rStyle w:val="CharSectno"/>
        </w:rPr>
        <w:t>9</w:t>
      </w:r>
      <w:r>
        <w:rPr>
          <w:snapToGrid w:val="0"/>
        </w:rPr>
        <w:t>.</w:t>
      </w:r>
      <w:r>
        <w:rPr>
          <w:snapToGrid w:val="0"/>
        </w:rPr>
        <w:tab/>
        <w:t>Infectious diseases</w:t>
      </w:r>
      <w:bookmarkEnd w:id="26"/>
      <w:bookmarkEnd w:id="27"/>
      <w:bookmarkEnd w:id="28"/>
      <w:r>
        <w:rPr>
          <w:snapToGrid w:val="0"/>
        </w:rPr>
        <w:t xml:space="preserve"> </w:t>
      </w:r>
    </w:p>
    <w:p>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Ednotesection"/>
      </w:pPr>
      <w:r>
        <w:t>[</w:t>
      </w:r>
      <w:r>
        <w:rPr>
          <w:b/>
        </w:rPr>
        <w:t>10.</w:t>
      </w:r>
      <w: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9" w:name="_Toc529803035"/>
      <w:bookmarkStart w:id="30" w:name="_Toc529882491"/>
      <w:bookmarkStart w:id="31" w:name="_Toc378750348"/>
      <w:bookmarkStart w:id="32" w:name="_Toc419460328"/>
      <w:bookmarkStart w:id="33" w:name="_Toc472693481"/>
      <w:bookmarkStart w:id="34" w:name="_Toc472694685"/>
      <w:bookmarkStart w:id="35" w:name="_Toc473031129"/>
      <w:bookmarkStart w:id="36" w:name="_Toc473031750"/>
      <w:r>
        <w:t>Notes</w:t>
      </w:r>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Health (Skin Penetration Procedure) Regulations 1998</w:t>
      </w:r>
      <w:r>
        <w:rPr>
          <w:snapToGrid w:val="0"/>
        </w:rPr>
        <w:t xml:space="preserve"> and includes the amendments made by the other written laws referred to in the following table</w:t>
      </w:r>
      <w:ins w:id="37" w:author="Master Repository Process" w:date="2021-08-28T14:19:00Z">
        <w:r>
          <w:t> </w:t>
        </w:r>
        <w:r>
          <w:rPr>
            <w:vertAlign w:val="superscript"/>
          </w:rPr>
          <w:t>1a</w:t>
        </w:r>
      </w:ins>
      <w:r>
        <w:rPr>
          <w:snapToGrid w:val="0"/>
        </w:rPr>
        <w:t xml:space="preserve">.  The table also contains information about any reprint. </w:t>
      </w:r>
    </w:p>
    <w:p>
      <w:pPr>
        <w:pStyle w:val="nHeading3"/>
        <w:rPr>
          <w:snapToGrid w:val="0"/>
        </w:rPr>
      </w:pPr>
      <w:bookmarkStart w:id="38" w:name="_Toc529882492"/>
      <w:bookmarkStart w:id="39" w:name="_Toc378750349"/>
      <w:bookmarkStart w:id="40" w:name="_Toc473031751"/>
      <w:r>
        <w:rPr>
          <w:snapToGrid w:val="0"/>
        </w:rPr>
        <w:t>Compilation table</w:t>
      </w:r>
      <w:bookmarkEnd w:id="38"/>
      <w:bookmarkEnd w:id="39"/>
      <w:bookmarkEnd w:id="40"/>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(Skin Penetration Procedure) Regulations 1998</w:t>
            </w:r>
          </w:p>
        </w:tc>
        <w:tc>
          <w:tcPr>
            <w:tcW w:w="1276" w:type="dxa"/>
            <w:tcBorders>
              <w:top w:val="single" w:sz="8" w:space="0" w:color="auto"/>
              <w:bottom w:val="nil"/>
            </w:tcBorders>
          </w:tcPr>
          <w:p>
            <w:pPr>
              <w:pStyle w:val="nTable"/>
              <w:spacing w:after="40"/>
            </w:pPr>
            <w:r>
              <w:t>17 Mar 1998 p. 1415</w:t>
            </w:r>
            <w:r>
              <w:noBreakHyphen/>
              <w:t>16</w:t>
            </w:r>
          </w:p>
        </w:tc>
        <w:tc>
          <w:tcPr>
            <w:tcW w:w="2693" w:type="dxa"/>
            <w:tcBorders>
              <w:top w:val="single" w:sz="8" w:space="0" w:color="auto"/>
              <w:bottom w:val="nil"/>
            </w:tcBorders>
          </w:tcPr>
          <w:p>
            <w:pPr>
              <w:pStyle w:val="nTable"/>
              <w:spacing w:after="40"/>
            </w:pPr>
            <w:r>
              <w:t>1 Jun 1998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(Skin Penetration Procedure) Regulations 1998</w:t>
            </w:r>
            <w:r>
              <w:rPr>
                <w:b/>
              </w:rPr>
              <w:t xml:space="preserve"> as at 14 May 2004</w:t>
            </w:r>
          </w:p>
        </w:tc>
      </w:tr>
      <w:tr>
        <w:tc>
          <w:tcPr>
            <w:tcW w:w="3118" w:type="dxa"/>
            <w:tcBorders>
              <w:top w:val="nil"/>
              <w:bottom w:val="nil"/>
            </w:tcBorders>
          </w:tcPr>
          <w:p>
            <w:pPr>
              <w:pStyle w:val="nTable"/>
              <w:spacing w:after="40"/>
            </w:pPr>
            <w:r>
              <w:rPr>
                <w:i/>
              </w:rPr>
              <w:t>Health (Skin Penetration Procedure) Amendment Regulations 2011</w:t>
            </w:r>
          </w:p>
        </w:tc>
        <w:tc>
          <w:tcPr>
            <w:tcW w:w="1276" w:type="dxa"/>
            <w:tcBorders>
              <w:top w:val="nil"/>
              <w:bottom w:val="nil"/>
            </w:tcBorders>
          </w:tcPr>
          <w:p>
            <w:pPr>
              <w:pStyle w:val="nTable"/>
              <w:spacing w:after="40"/>
            </w:pPr>
            <w:r>
              <w:t>1 Apr 2011 p. 1179</w:t>
            </w:r>
            <w:r>
              <w:noBreakHyphen/>
              <w:t>80</w:t>
            </w:r>
          </w:p>
        </w:tc>
        <w:tc>
          <w:tcPr>
            <w:tcW w:w="2693" w:type="dxa"/>
            <w:tcBorders>
              <w:top w:val="nil"/>
              <w:bottom w:val="nil"/>
            </w:tcBorders>
          </w:tcPr>
          <w:p>
            <w:pPr>
              <w:pStyle w:val="nTable"/>
              <w:spacing w:after="40"/>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single" w:sz="8" w:space="0" w:color="auto"/>
            </w:tcBorders>
          </w:tcPr>
          <w:p>
            <w:pPr>
              <w:pStyle w:val="nTable"/>
              <w:spacing w:after="40"/>
              <w:rPr>
                <w:i/>
              </w:rPr>
            </w:pPr>
            <w:r>
              <w:rPr>
                <w:i/>
              </w:rPr>
              <w:t>Health Regulations Amendment (Public Health) Regulations 2016</w:t>
            </w:r>
            <w:r>
              <w:t xml:space="preserve"> Pt. 22</w:t>
            </w:r>
          </w:p>
        </w:tc>
        <w:tc>
          <w:tcPr>
            <w:tcW w:w="1276" w:type="dxa"/>
            <w:tcBorders>
              <w:top w:val="nil"/>
              <w:bottom w:val="single" w:sz="8" w:space="0" w:color="auto"/>
            </w:tcBorders>
          </w:tcPr>
          <w:p>
            <w:pPr>
              <w:pStyle w:val="nTable"/>
              <w:spacing w:after="40"/>
            </w:pPr>
            <w:r>
              <w:t>10 Jan 2017 p. 237</w:t>
            </w:r>
            <w:r>
              <w:noBreakHyphen/>
              <w:t>308</w:t>
            </w:r>
          </w:p>
        </w:tc>
        <w:tc>
          <w:tcPr>
            <w:tcW w:w="2693" w:type="dxa"/>
            <w:tcBorders>
              <w:top w:val="nil"/>
              <w:bottom w:val="single" w:sz="8" w:space="0" w:color="auto"/>
            </w:tcBorders>
          </w:tcPr>
          <w:p>
            <w:pPr>
              <w:pStyle w:val="nTable"/>
              <w:spacing w:after="40"/>
              <w:rPr>
                <w:snapToGrid w:val="0"/>
                <w:spacing w:val="-2"/>
              </w:rPr>
            </w:pPr>
            <w:r>
              <w:t xml:space="preserve">24 Jan 2017 (see r. 2(b) and </w:t>
            </w:r>
            <w:r>
              <w:rPr>
                <w:i/>
              </w:rPr>
              <w:t>Gazette</w:t>
            </w:r>
            <w:r>
              <w:t xml:space="preserve"> 10 Jan 2017 p. 165)</w:t>
            </w:r>
          </w:p>
        </w:tc>
      </w:tr>
    </w:tbl>
    <w:p>
      <w:pPr>
        <w:pStyle w:val="nSubsection"/>
        <w:spacing w:before="360"/>
        <w:rPr>
          <w:ins w:id="41" w:author="Master Repository Process" w:date="2021-08-28T14:19:00Z"/>
        </w:rPr>
      </w:pPr>
      <w:ins w:id="42" w:author="Master Repository Process" w:date="2021-08-28T14:1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Master Repository Process" w:date="2021-08-28T14:19:00Z"/>
        </w:rPr>
      </w:pPr>
      <w:bookmarkStart w:id="44" w:name="_Toc525034197"/>
      <w:bookmarkStart w:id="45" w:name="_Toc529882493"/>
      <w:ins w:id="46" w:author="Master Repository Process" w:date="2021-08-28T14:19:00Z">
        <w:r>
          <w:t>Provisions that have not come into operation</w:t>
        </w:r>
        <w:bookmarkEnd w:id="44"/>
        <w:bookmarkEnd w:id="4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 w:author="Master Repository Process" w:date="2021-08-28T14:19:00Z"/>
        </w:trPr>
        <w:tc>
          <w:tcPr>
            <w:tcW w:w="3118" w:type="dxa"/>
            <w:tcBorders>
              <w:bottom w:val="single" w:sz="8" w:space="0" w:color="auto"/>
            </w:tcBorders>
          </w:tcPr>
          <w:p>
            <w:pPr>
              <w:pStyle w:val="nTable"/>
              <w:spacing w:after="40"/>
              <w:rPr>
                <w:ins w:id="48" w:author="Master Repository Process" w:date="2021-08-28T14:19:00Z"/>
                <w:b/>
              </w:rPr>
            </w:pPr>
            <w:ins w:id="49" w:author="Master Repository Process" w:date="2021-08-28T14:19:00Z">
              <w:r>
                <w:rPr>
                  <w:b/>
                </w:rPr>
                <w:t>Citation</w:t>
              </w:r>
            </w:ins>
          </w:p>
        </w:tc>
        <w:tc>
          <w:tcPr>
            <w:tcW w:w="1276" w:type="dxa"/>
            <w:tcBorders>
              <w:bottom w:val="single" w:sz="8" w:space="0" w:color="auto"/>
            </w:tcBorders>
          </w:tcPr>
          <w:p>
            <w:pPr>
              <w:pStyle w:val="nTable"/>
              <w:spacing w:after="40"/>
              <w:rPr>
                <w:ins w:id="50" w:author="Master Repository Process" w:date="2021-08-28T14:19:00Z"/>
                <w:b/>
              </w:rPr>
            </w:pPr>
            <w:ins w:id="51" w:author="Master Repository Process" w:date="2021-08-28T14:19:00Z">
              <w:r>
                <w:rPr>
                  <w:b/>
                </w:rPr>
                <w:t>Gazettal</w:t>
              </w:r>
            </w:ins>
          </w:p>
        </w:tc>
        <w:tc>
          <w:tcPr>
            <w:tcW w:w="2693" w:type="dxa"/>
            <w:tcBorders>
              <w:bottom w:val="single" w:sz="8" w:space="0" w:color="auto"/>
            </w:tcBorders>
          </w:tcPr>
          <w:p>
            <w:pPr>
              <w:pStyle w:val="nTable"/>
              <w:spacing w:after="40"/>
              <w:rPr>
                <w:ins w:id="52" w:author="Master Repository Process" w:date="2021-08-28T14:19:00Z"/>
                <w:b/>
              </w:rPr>
            </w:pPr>
            <w:ins w:id="53" w:author="Master Repository Process" w:date="2021-08-28T14:19:00Z">
              <w:r>
                <w:rPr>
                  <w:b/>
                </w:rPr>
                <w:t>Commencement</w:t>
              </w:r>
            </w:ins>
          </w:p>
        </w:tc>
      </w:tr>
      <w:tr>
        <w:trPr>
          <w:ins w:id="54" w:author="Master Repository Process" w:date="2021-08-28T14:19:00Z"/>
        </w:trPr>
        <w:tc>
          <w:tcPr>
            <w:tcW w:w="3118" w:type="dxa"/>
            <w:tcBorders>
              <w:bottom w:val="single" w:sz="4" w:space="0" w:color="auto"/>
            </w:tcBorders>
          </w:tcPr>
          <w:p>
            <w:pPr>
              <w:pStyle w:val="nTable"/>
              <w:spacing w:after="40"/>
              <w:rPr>
                <w:ins w:id="55" w:author="Master Repository Process" w:date="2021-08-28T14:19:00Z"/>
              </w:rPr>
            </w:pPr>
            <w:ins w:id="56" w:author="Master Repository Process" w:date="2021-08-28T14:19:00Z">
              <w:r>
                <w:rPr>
                  <w:i/>
                  <w:noProof/>
                </w:rPr>
                <w:t>Health Regulations Amendment Regulations 2018</w:t>
              </w:r>
              <w:r>
                <w:rPr>
                  <w:noProof/>
                </w:rPr>
                <w:t xml:space="preserve"> Pt. 2 </w:t>
              </w:r>
              <w:r>
                <w:rPr>
                  <w:noProof/>
                  <w:vertAlign w:val="superscript"/>
                </w:rPr>
                <w:t>2</w:t>
              </w:r>
            </w:ins>
          </w:p>
        </w:tc>
        <w:tc>
          <w:tcPr>
            <w:tcW w:w="1276" w:type="dxa"/>
            <w:tcBorders>
              <w:bottom w:val="single" w:sz="4" w:space="0" w:color="auto"/>
            </w:tcBorders>
          </w:tcPr>
          <w:p>
            <w:pPr>
              <w:pStyle w:val="nTable"/>
              <w:spacing w:after="40"/>
              <w:rPr>
                <w:ins w:id="57" w:author="Master Repository Process" w:date="2021-08-28T14:19:00Z"/>
              </w:rPr>
            </w:pPr>
            <w:ins w:id="58" w:author="Master Repository Process" w:date="2021-08-28T14:19:00Z">
              <w:r>
                <w:t>13 Nov 2018 p. 4428-9</w:t>
              </w:r>
            </w:ins>
          </w:p>
        </w:tc>
        <w:tc>
          <w:tcPr>
            <w:tcW w:w="2693" w:type="dxa"/>
            <w:tcBorders>
              <w:bottom w:val="single" w:sz="4" w:space="0" w:color="auto"/>
            </w:tcBorders>
          </w:tcPr>
          <w:p>
            <w:pPr>
              <w:pStyle w:val="nTable"/>
              <w:spacing w:after="40"/>
              <w:rPr>
                <w:ins w:id="59" w:author="Master Repository Process" w:date="2021-08-28T14:19:00Z"/>
              </w:rPr>
            </w:pPr>
            <w:ins w:id="60" w:author="Master Repository Process" w:date="2021-08-28T14:19:00Z">
              <w:r>
                <w:rPr>
                  <w:noProof/>
                </w:rPr>
                <w:t>1 Dec 2018 (see r. 2(b))</w:t>
              </w:r>
            </w:ins>
          </w:p>
        </w:tc>
      </w:tr>
    </w:tbl>
    <w:p>
      <w:pPr>
        <w:pStyle w:val="nSubsection"/>
        <w:rPr>
          <w:ins w:id="61" w:author="Master Repository Process" w:date="2021-08-28T14:19:00Z"/>
          <w:snapToGrid w:val="0"/>
        </w:rPr>
      </w:pPr>
      <w:ins w:id="62" w:author="Master Repository Process" w:date="2021-08-28T14:19:00Z">
        <w:r>
          <w:rPr>
            <w:vertAlign w:val="superscript"/>
          </w:rPr>
          <w:t>2</w:t>
        </w:r>
        <w:r>
          <w:tab/>
          <w:t xml:space="preserve">On </w:t>
        </w:r>
        <w:r>
          <w:rPr>
            <w:snapToGrid w:val="0"/>
          </w:rPr>
          <w:t>the</w:t>
        </w:r>
        <w:r>
          <w:t xml:space="preserve"> date as at which this compilation was prepared, </w:t>
        </w:r>
        <w:r>
          <w:rPr>
            <w:snapToGrid w:val="0"/>
          </w:rPr>
          <w:t xml:space="preserve">the </w:t>
        </w:r>
        <w:r>
          <w:rPr>
            <w:i/>
            <w:noProof/>
          </w:rPr>
          <w:t>Health Regulations Amendment Regulations 2018</w:t>
        </w:r>
        <w:r>
          <w:rPr>
            <w:noProof/>
          </w:rPr>
          <w:t xml:space="preserve"> Pt. 2 </w:t>
        </w:r>
        <w:r>
          <w:t>h</w:t>
        </w:r>
        <w:r>
          <w:rPr>
            <w:snapToGrid w:val="0"/>
          </w:rPr>
          <w:t>ad not come into operation.  It reads as follows:</w:t>
        </w:r>
      </w:ins>
    </w:p>
    <w:p>
      <w:pPr>
        <w:pStyle w:val="BlankOpen"/>
        <w:rPr>
          <w:ins w:id="63" w:author="Master Repository Process" w:date="2021-08-28T14:19:00Z"/>
          <w:rStyle w:val="CharPartNo"/>
          <w:sz w:val="19"/>
        </w:rPr>
      </w:pPr>
      <w:bookmarkStart w:id="64" w:name="_Toc526843639"/>
      <w:bookmarkStart w:id="65" w:name="_Toc526843655"/>
      <w:bookmarkStart w:id="66" w:name="_Toc526844497"/>
      <w:bookmarkStart w:id="67" w:name="_Toc526844974"/>
      <w:bookmarkStart w:id="68" w:name="_Toc526844992"/>
      <w:bookmarkStart w:id="69" w:name="_Toc526845759"/>
    </w:p>
    <w:p>
      <w:pPr>
        <w:pStyle w:val="nzHeading2"/>
        <w:rPr>
          <w:ins w:id="70" w:author="Master Repository Process" w:date="2021-08-28T14:19:00Z"/>
        </w:rPr>
      </w:pPr>
      <w:ins w:id="71" w:author="Master Repository Process" w:date="2021-08-28T14:19:00Z">
        <w:r>
          <w:rPr>
            <w:rStyle w:val="CharPartNo"/>
          </w:rPr>
          <w:t>Part 2</w:t>
        </w:r>
        <w:r>
          <w:rPr>
            <w:rStyle w:val="CharDivNo"/>
          </w:rPr>
          <w:t> </w:t>
        </w:r>
        <w:r>
          <w:t>—</w:t>
        </w:r>
        <w:r>
          <w:rPr>
            <w:rStyle w:val="CharDivText"/>
          </w:rPr>
          <w:t> </w:t>
        </w:r>
        <w:r>
          <w:rPr>
            <w:rStyle w:val="CharPartText"/>
            <w:i/>
          </w:rPr>
          <w:t xml:space="preserve">Health (Skin Penetration Procedure) Regulations 1998 </w:t>
        </w:r>
        <w:r>
          <w:rPr>
            <w:rStyle w:val="CharPartText"/>
          </w:rPr>
          <w:t>amended</w:t>
        </w:r>
        <w:bookmarkEnd w:id="64"/>
        <w:bookmarkEnd w:id="65"/>
        <w:bookmarkEnd w:id="66"/>
        <w:bookmarkEnd w:id="67"/>
        <w:bookmarkEnd w:id="68"/>
        <w:bookmarkEnd w:id="69"/>
      </w:ins>
    </w:p>
    <w:p>
      <w:pPr>
        <w:pStyle w:val="nzHeading5"/>
        <w:rPr>
          <w:ins w:id="72" w:author="Master Repository Process" w:date="2021-08-28T14:19:00Z"/>
          <w:snapToGrid w:val="0"/>
        </w:rPr>
      </w:pPr>
      <w:bookmarkStart w:id="73" w:name="_Toc526844975"/>
      <w:bookmarkStart w:id="74" w:name="_Toc526845760"/>
      <w:ins w:id="75" w:author="Master Repository Process" w:date="2021-08-28T14:19:00Z">
        <w:r>
          <w:rPr>
            <w:rStyle w:val="CharSectno"/>
          </w:rPr>
          <w:t>3</w:t>
        </w:r>
        <w:r>
          <w:rPr>
            <w:snapToGrid w:val="0"/>
          </w:rPr>
          <w:t>.</w:t>
        </w:r>
        <w:r>
          <w:rPr>
            <w:snapToGrid w:val="0"/>
          </w:rPr>
          <w:tab/>
          <w:t>Regulations amended</w:t>
        </w:r>
        <w:bookmarkEnd w:id="73"/>
        <w:bookmarkEnd w:id="74"/>
      </w:ins>
    </w:p>
    <w:p>
      <w:pPr>
        <w:pStyle w:val="nzSubsection"/>
        <w:rPr>
          <w:ins w:id="76" w:author="Master Repository Process" w:date="2021-08-28T14:19:00Z"/>
        </w:rPr>
      </w:pPr>
      <w:ins w:id="77" w:author="Master Repository Process" w:date="2021-08-28T14:19:00Z">
        <w:r>
          <w:tab/>
        </w:r>
        <w:r>
          <w:tab/>
          <w:t xml:space="preserve">This Part amends the </w:t>
        </w:r>
        <w:r>
          <w:rPr>
            <w:i/>
          </w:rPr>
          <w:t>Health (Skin Penetration Procedure) Regulations 1998</w:t>
        </w:r>
        <w:r>
          <w:t>.</w:t>
        </w:r>
      </w:ins>
    </w:p>
    <w:p>
      <w:pPr>
        <w:pStyle w:val="nzHeading5"/>
        <w:rPr>
          <w:ins w:id="78" w:author="Master Repository Process" w:date="2021-08-28T14:19:00Z"/>
        </w:rPr>
      </w:pPr>
      <w:bookmarkStart w:id="79" w:name="_Toc526844976"/>
      <w:bookmarkStart w:id="80" w:name="_Toc526845761"/>
      <w:ins w:id="81" w:author="Master Repository Process" w:date="2021-08-28T14:19:00Z">
        <w:r>
          <w:rPr>
            <w:rStyle w:val="CharSectno"/>
          </w:rPr>
          <w:t>4</w:t>
        </w:r>
        <w:r>
          <w:t>.</w:t>
        </w:r>
        <w:r>
          <w:tab/>
          <w:t>Regulation 3 amended</w:t>
        </w:r>
        <w:bookmarkEnd w:id="79"/>
        <w:bookmarkEnd w:id="80"/>
      </w:ins>
    </w:p>
    <w:p>
      <w:pPr>
        <w:pStyle w:val="nzSubsection"/>
        <w:rPr>
          <w:ins w:id="82" w:author="Master Repository Process" w:date="2021-08-28T14:19:00Z"/>
        </w:rPr>
      </w:pPr>
      <w:ins w:id="83" w:author="Master Repository Process" w:date="2021-08-28T14:19:00Z">
        <w:r>
          <w:tab/>
        </w:r>
        <w:r>
          <w:tab/>
          <w:t xml:space="preserve">In regulation 3 in the definition of </w:t>
        </w:r>
        <w:r>
          <w:rPr>
            <w:b/>
            <w:i/>
          </w:rPr>
          <w:t>nurse</w:t>
        </w:r>
        <w:r>
          <w:t xml:space="preserve"> delete “and midwifery”.</w:t>
        </w:r>
      </w:ins>
    </w:p>
    <w:p>
      <w:pPr>
        <w:pStyle w:val="BlankClose"/>
        <w:rPr>
          <w:ins w:id="84" w:author="Master Repository Process" w:date="2021-08-28T14:19:00Z"/>
          <w:snapToGrid w:val="0"/>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2155453"/>
    <w:docVar w:name="WAFER_20140129090401" w:val="RemoveTocBookmarks,RemoveUnusedBookmarks,RemoveLanguageTags,UsedStyles,ResetPageSize,UpdateArrangement"/>
    <w:docVar w:name="WAFER_20140129090401_GUID" w:val="886fb744-660a-40dd-b273-2fa7b94b0cf9"/>
    <w:docVar w:name="WAFER_20140129090407" w:val="RemoveTocBookmarks,RunningHeaders"/>
    <w:docVar w:name="WAFER_20140129090407_GUID" w:val="8b7667c7-0c43-410b-b67e-49bed99974fc"/>
    <w:docVar w:name="WAFER_20150515103853" w:val="ResetPageSize,UpdateArrangement,UpdateNTable"/>
    <w:docVar w:name="WAFER_20150515103853_GUID" w:val="5273c97e-b34b-4735-9205-1953aeabfec9"/>
    <w:docVar w:name="WAFER_20151105145626" w:val="UpdateStyles,UsedStyles"/>
    <w:docVar w:name="WAFER_20151105145626_GUID" w:val="50843ecc-12e9-449c-ae2b-542ed040eedf"/>
    <w:docVar w:name="WAFER_20151201100114" w:val="RemoveTrackChanges"/>
    <w:docVar w:name="WAFER_20151201100114_GUID" w:val="bba183bd-2057-4796-a8a9-dd0d24db96df"/>
    <w:docVar w:name="WAFER_20181112155453" w:val="RemoveTocBookmarks,RemoveUnusedBookmarks,RemoveLanguageTags,UsedStyles,ResetPageSize"/>
    <w:docVar w:name="WAFER_20181112155453_GUID" w:val="857df379-cce5-4f44-90fa-48ddd042c8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923D0D93-FC0E-419E-8761-FC12F0531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8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1478</Words>
  <Characters>7006</Characters>
  <Application>Microsoft Office Word</Application>
  <DocSecurity>0</DocSecurity>
  <Lines>212</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01-d0-00 - 01-e0-00</dc:title>
  <dc:subject/>
  <dc:creator/>
  <cp:keywords/>
  <dc:description/>
  <cp:lastModifiedBy>Master Repository Process</cp:lastModifiedBy>
  <cp:revision>2</cp:revision>
  <cp:lastPrinted>2004-05-03T04:57:00Z</cp:lastPrinted>
  <dcterms:created xsi:type="dcterms:W3CDTF">2021-08-28T06:19:00Z</dcterms:created>
  <dcterms:modified xsi:type="dcterms:W3CDTF">2021-08-28T06:19:00Z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DocumentType">
    <vt:lpwstr>Reg</vt:lpwstr>
  </property>
  <property fmtid="{D5CDD505-2E9C-101B-9397-08002B2CF9AE}" pid="4" name="OwlsUID">
    <vt:i4>41</vt:i4>
  </property>
  <property fmtid="{D5CDD505-2E9C-101B-9397-08002B2CF9AE}" pid="5" name="CommencementDate">
    <vt:lpwstr>20181113</vt:lpwstr>
  </property>
  <property fmtid="{D5CDD505-2E9C-101B-9397-08002B2CF9AE}" pid="6" name="FromSuffix">
    <vt:lpwstr>01-d0-00</vt:lpwstr>
  </property>
  <property fmtid="{D5CDD505-2E9C-101B-9397-08002B2CF9AE}" pid="7" name="FromAsAtDate">
    <vt:lpwstr>24 Jan 2017</vt:lpwstr>
  </property>
  <property fmtid="{D5CDD505-2E9C-101B-9397-08002B2CF9AE}" pid="8" name="ToSuffix">
    <vt:lpwstr>01-e0-00</vt:lpwstr>
  </property>
  <property fmtid="{D5CDD505-2E9C-101B-9397-08002B2CF9AE}" pid="9" name="ToAsAtDate">
    <vt:lpwstr>13 Nov 2018</vt:lpwstr>
  </property>
</Properties>
</file>