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Sale of Land Act 1970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03 Apr 2017</w:t>
      </w:r>
      <w:r>
        <w:fldChar w:fldCharType="end"/>
      </w:r>
      <w:r>
        <w:t xml:space="preserve">, </w:t>
      </w:r>
      <w:r>
        <w:fldChar w:fldCharType="begin"/>
      </w:r>
      <w:r>
        <w:instrText xml:space="preserve"> DocProperty FromSuffix </w:instrText>
      </w:r>
      <w:r>
        <w:fldChar w:fldCharType="separate"/>
      </w:r>
      <w:r>
        <w:t>03-i0-00</w:t>
      </w:r>
      <w:r>
        <w:fldChar w:fldCharType="end"/>
      </w:r>
      <w:r>
        <w:t>] and [</w:t>
      </w:r>
      <w:r>
        <w:fldChar w:fldCharType="begin"/>
      </w:r>
      <w:r>
        <w:instrText xml:space="preserve"> DocProperty ToAsAtDate</w:instrText>
      </w:r>
      <w:r>
        <w:fldChar w:fldCharType="separate"/>
      </w:r>
      <w:r>
        <w:t>19 Nov 2018</w:t>
      </w:r>
      <w:r>
        <w:fldChar w:fldCharType="end"/>
      </w:r>
      <w:r>
        <w:t xml:space="preserve">, </w:t>
      </w:r>
      <w:r>
        <w:fldChar w:fldCharType="begin"/>
      </w:r>
      <w:r>
        <w:instrText xml:space="preserve"> DocProperty ToSuffix</w:instrText>
      </w:r>
      <w:r>
        <w:fldChar w:fldCharType="separate"/>
      </w:r>
      <w:r>
        <w:t>03-j0-03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pacing w:before="960" w:after="1440"/>
      </w:pPr>
      <w:r>
        <w:t xml:space="preserve">Sale of Land Act 1970 </w:t>
      </w:r>
    </w:p>
    <w:p>
      <w:pPr>
        <w:pStyle w:val="LongTitle"/>
        <w:rPr>
          <w:snapToGrid w:val="0"/>
        </w:rPr>
      </w:pPr>
      <w:r>
        <w:rPr>
          <w:snapToGrid w:val="0"/>
        </w:rPr>
        <w:t>A</w:t>
      </w:r>
      <w:bookmarkStart w:id="1" w:name="_GoBack"/>
      <w:bookmarkEnd w:id="1"/>
      <w:r>
        <w:rPr>
          <w:snapToGrid w:val="0"/>
        </w:rPr>
        <w:t xml:space="preserve">n Act to consolidate and amend the law relating to the sale of land. </w:t>
      </w:r>
    </w:p>
    <w:p>
      <w:pPr>
        <w:pStyle w:val="Heading2"/>
      </w:pPr>
      <w:bookmarkStart w:id="2" w:name="_Toc38007505"/>
      <w:bookmarkStart w:id="3" w:name="_Toc38007625"/>
      <w:bookmarkStart w:id="4" w:name="_Toc478569384"/>
      <w:bookmarkStart w:id="5" w:name="_Toc478569559"/>
      <w:bookmarkStart w:id="6" w:name="_Toc478634222"/>
      <w:bookmarkStart w:id="7" w:name="_Toc478634296"/>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r>
        <w:rPr>
          <w:rStyle w:val="CharPartText"/>
        </w:rPr>
        <w:t xml:space="preserve"> </w:t>
      </w:r>
    </w:p>
    <w:p>
      <w:pPr>
        <w:pStyle w:val="Heading5"/>
        <w:rPr>
          <w:snapToGrid w:val="0"/>
        </w:rPr>
      </w:pPr>
      <w:bookmarkStart w:id="8" w:name="_Toc38007626"/>
      <w:bookmarkStart w:id="9" w:name="_Toc478634297"/>
      <w:r>
        <w:rPr>
          <w:rStyle w:val="CharSectno"/>
        </w:rPr>
        <w:t>1</w:t>
      </w:r>
      <w:r>
        <w:rPr>
          <w:snapToGrid w:val="0"/>
        </w:rPr>
        <w:t>.</w:t>
      </w:r>
      <w:r>
        <w:rPr>
          <w:snapToGrid w:val="0"/>
        </w:rPr>
        <w:tab/>
        <w:t>Short title</w:t>
      </w:r>
      <w:bookmarkEnd w:id="8"/>
      <w:bookmarkEnd w:id="9"/>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del w:id="10" w:author="svcMRProcess" w:date="2020-04-17T18:02:00Z">
        <w:r>
          <w:rPr>
            <w:snapToGrid w:val="0"/>
            <w:vertAlign w:val="superscript"/>
          </w:rPr>
          <w:delText> 1</w:delText>
        </w:r>
      </w:del>
      <w:r>
        <w:rPr>
          <w:snapToGrid w:val="0"/>
        </w:rPr>
        <w:t>.</w:t>
      </w:r>
    </w:p>
    <w:p>
      <w:pPr>
        <w:pStyle w:val="Heading5"/>
        <w:rPr>
          <w:snapToGrid w:val="0"/>
        </w:rPr>
      </w:pPr>
      <w:bookmarkStart w:id="11" w:name="_Toc38007627"/>
      <w:bookmarkStart w:id="12" w:name="_Toc478634298"/>
      <w:r>
        <w:rPr>
          <w:rStyle w:val="CharSectno"/>
        </w:rPr>
        <w:t>2</w:t>
      </w:r>
      <w:r>
        <w:rPr>
          <w:snapToGrid w:val="0"/>
        </w:rPr>
        <w:t>.</w:t>
      </w:r>
      <w:r>
        <w:rPr>
          <w:snapToGrid w:val="0"/>
        </w:rPr>
        <w:tab/>
        <w:t>Commencement</w:t>
      </w:r>
      <w:bookmarkEnd w:id="11"/>
      <w:bookmarkEnd w:id="12"/>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del w:id="13" w:author="svcMRProcess" w:date="2020-04-17T18:02:00Z">
        <w:r>
          <w:rPr>
            <w:snapToGrid w:val="0"/>
            <w:vertAlign w:val="superscript"/>
          </w:rPr>
          <w:delText xml:space="preserve"> 1</w:delText>
        </w:r>
      </w:del>
      <w:r>
        <w:rPr>
          <w:snapToGrid w:val="0"/>
        </w:rPr>
        <w:t>.</w:t>
      </w:r>
    </w:p>
    <w:p>
      <w:pPr>
        <w:pStyle w:val="Ednotesection"/>
      </w:pPr>
      <w:r>
        <w:t>[</w:t>
      </w:r>
      <w:r>
        <w:rPr>
          <w:b/>
        </w:rPr>
        <w:t>3.</w:t>
      </w:r>
      <w:r>
        <w:tab/>
        <w:t>Deleted</w:t>
      </w:r>
      <w:del w:id="14" w:author="svcMRProcess" w:date="2020-04-17T18:02:00Z">
        <w:r>
          <w:delText xml:space="preserve"> by</w:delText>
        </w:r>
      </w:del>
      <w:ins w:id="15" w:author="svcMRProcess" w:date="2020-04-17T18:02:00Z">
        <w:r>
          <w:t>:</w:t>
        </w:r>
      </w:ins>
      <w:r>
        <w:t xml:space="preserve"> No. 10 of 1998 s. 76.]</w:t>
      </w:r>
    </w:p>
    <w:p>
      <w:pPr>
        <w:pStyle w:val="Ednotesection"/>
      </w:pPr>
      <w:r>
        <w:t>[</w:t>
      </w:r>
      <w:r>
        <w:rPr>
          <w:b/>
        </w:rPr>
        <w:t>4.</w:t>
      </w:r>
      <w:r>
        <w:tab/>
        <w:t>Omitted under the Reprints Act 1984 s. 7(4)(f).]</w:t>
      </w:r>
    </w:p>
    <w:p>
      <w:pPr>
        <w:pStyle w:val="Heading5"/>
        <w:rPr>
          <w:snapToGrid w:val="0"/>
        </w:rPr>
      </w:pPr>
      <w:bookmarkStart w:id="16" w:name="_Toc38007628"/>
      <w:bookmarkStart w:id="17" w:name="_Toc478634299"/>
      <w:r>
        <w:rPr>
          <w:rStyle w:val="CharSectno"/>
        </w:rPr>
        <w:t>5</w:t>
      </w:r>
      <w:r>
        <w:rPr>
          <w:snapToGrid w:val="0"/>
        </w:rPr>
        <w:t>.</w:t>
      </w:r>
      <w:r>
        <w:rPr>
          <w:snapToGrid w:val="0"/>
        </w:rPr>
        <w:tab/>
        <w:t>Interpretation</w:t>
      </w:r>
      <w:bookmarkEnd w:id="16"/>
      <w:bookmarkEnd w:id="17"/>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lastRenderedPageBreak/>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18" w:name="_Toc38007509"/>
      <w:bookmarkStart w:id="19" w:name="_Toc38007629"/>
      <w:bookmarkStart w:id="20" w:name="_Toc478569388"/>
      <w:bookmarkStart w:id="21" w:name="_Toc478569563"/>
      <w:bookmarkStart w:id="22" w:name="_Toc478634226"/>
      <w:bookmarkStart w:id="23" w:name="_Toc478634300"/>
      <w:r>
        <w:rPr>
          <w:rStyle w:val="CharPartNo"/>
        </w:rPr>
        <w:lastRenderedPageBreak/>
        <w:t>Part II</w:t>
      </w:r>
      <w:r>
        <w:rPr>
          <w:rStyle w:val="CharDivNo"/>
        </w:rPr>
        <w:t> </w:t>
      </w:r>
      <w:r>
        <w:t>—</w:t>
      </w:r>
      <w:r>
        <w:rPr>
          <w:rStyle w:val="CharDivText"/>
        </w:rPr>
        <w:t> </w:t>
      </w:r>
      <w:r>
        <w:rPr>
          <w:rStyle w:val="CharPartText"/>
        </w:rPr>
        <w:t>Sale of land under terms contract</w:t>
      </w:r>
      <w:bookmarkEnd w:id="18"/>
      <w:bookmarkEnd w:id="19"/>
      <w:bookmarkEnd w:id="20"/>
      <w:bookmarkEnd w:id="21"/>
      <w:bookmarkEnd w:id="22"/>
      <w:bookmarkEnd w:id="23"/>
      <w:r>
        <w:rPr>
          <w:rStyle w:val="CharPartText"/>
        </w:rPr>
        <w:t xml:space="preserve"> </w:t>
      </w:r>
    </w:p>
    <w:p>
      <w:pPr>
        <w:pStyle w:val="Heading5"/>
        <w:rPr>
          <w:snapToGrid w:val="0"/>
        </w:rPr>
      </w:pPr>
      <w:bookmarkStart w:id="24" w:name="_Toc38007630"/>
      <w:bookmarkStart w:id="25" w:name="_Toc478634301"/>
      <w:r>
        <w:rPr>
          <w:rStyle w:val="CharSectno"/>
        </w:rPr>
        <w:t>6</w:t>
      </w:r>
      <w:r>
        <w:rPr>
          <w:snapToGrid w:val="0"/>
        </w:rPr>
        <w:t>.</w:t>
      </w:r>
      <w:r>
        <w:rPr>
          <w:snapToGrid w:val="0"/>
        </w:rPr>
        <w:tab/>
        <w:t>Restriction on rescission</w:t>
      </w:r>
      <w:bookmarkEnd w:id="24"/>
      <w:bookmarkEnd w:id="25"/>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26" w:name="_Toc38007631"/>
      <w:bookmarkStart w:id="27" w:name="_Toc478634302"/>
      <w:r>
        <w:rPr>
          <w:rStyle w:val="CharSectno"/>
        </w:rPr>
        <w:t>7</w:t>
      </w:r>
      <w:r>
        <w:rPr>
          <w:snapToGrid w:val="0"/>
        </w:rPr>
        <w:t>.</w:t>
      </w:r>
      <w:r>
        <w:rPr>
          <w:snapToGrid w:val="0"/>
        </w:rPr>
        <w:tab/>
        <w:t>Notification of condition of title</w:t>
      </w:r>
      <w:bookmarkEnd w:id="26"/>
      <w:bookmarkEnd w:id="27"/>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tab/>
      </w:r>
      <w:r>
        <w:rPr>
          <w:rStyle w:val="CharDefText"/>
        </w:rPr>
        <w:t>notice in writing</w:t>
      </w:r>
      <w:r>
        <w:t xml:space="preserve"> includes a statement that is clearly contained in the contract.</w:t>
      </w:r>
    </w:p>
    <w:p>
      <w:pPr>
        <w:pStyle w:val="Footnotesection"/>
      </w:pPr>
      <w:r>
        <w:tab/>
        <w:t>[Section 7 amended</w:t>
      </w:r>
      <w:del w:id="28" w:author="svcMRProcess" w:date="2020-04-17T18:02:00Z">
        <w:r>
          <w:delText xml:space="preserve"> by</w:delText>
        </w:r>
      </w:del>
      <w:ins w:id="29" w:author="svcMRProcess" w:date="2020-04-17T18:02:00Z">
        <w:r>
          <w:t>:</w:t>
        </w:r>
      </w:ins>
      <w:r>
        <w:t xml:space="preserve"> No. 81 of 1996 s. 153(1); No. 59 of 2004 s. 141; No. 38 of 2016 s. 4.] </w:t>
      </w:r>
    </w:p>
    <w:p>
      <w:pPr>
        <w:pStyle w:val="Heading5"/>
        <w:rPr>
          <w:snapToGrid w:val="0"/>
        </w:rPr>
      </w:pPr>
      <w:bookmarkStart w:id="30" w:name="_Toc38007632"/>
      <w:bookmarkStart w:id="31" w:name="_Toc478634303"/>
      <w:r>
        <w:rPr>
          <w:rStyle w:val="CharSectno"/>
        </w:rPr>
        <w:t>8</w:t>
      </w:r>
      <w:r>
        <w:rPr>
          <w:snapToGrid w:val="0"/>
        </w:rPr>
        <w:t>.</w:t>
      </w:r>
      <w:r>
        <w:rPr>
          <w:snapToGrid w:val="0"/>
        </w:rPr>
        <w:tab/>
        <w:t>Limitation on encumbrances</w:t>
      </w:r>
      <w:bookmarkEnd w:id="30"/>
      <w:bookmarkEnd w:id="31"/>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pPr>
      <w:r>
        <w:tab/>
        <w:t>Penalty: a fine of $100 000.</w:t>
      </w:r>
    </w:p>
    <w:p>
      <w:pPr>
        <w:pStyle w:val="Footnotesection"/>
      </w:pPr>
      <w:r>
        <w:tab/>
        <w:t>[Section 8 amended</w:t>
      </w:r>
      <w:del w:id="32" w:author="svcMRProcess" w:date="2020-04-17T18:02:00Z">
        <w:r>
          <w:delText xml:space="preserve"> by</w:delText>
        </w:r>
      </w:del>
      <w:ins w:id="33" w:author="svcMRProcess" w:date="2020-04-17T18:02:00Z">
        <w:r>
          <w:t>:</w:t>
        </w:r>
      </w:ins>
      <w:r>
        <w:t xml:space="preserve"> No. 38 of 2016 s. 5.] </w:t>
      </w:r>
    </w:p>
    <w:p>
      <w:pPr>
        <w:pStyle w:val="Heading5"/>
        <w:rPr>
          <w:snapToGrid w:val="0"/>
        </w:rPr>
      </w:pPr>
      <w:bookmarkStart w:id="34" w:name="_Toc38007633"/>
      <w:bookmarkStart w:id="35" w:name="_Toc478634304"/>
      <w:r>
        <w:rPr>
          <w:rStyle w:val="CharSectno"/>
        </w:rPr>
        <w:t>9</w:t>
      </w:r>
      <w:r>
        <w:rPr>
          <w:snapToGrid w:val="0"/>
        </w:rPr>
        <w:t>.</w:t>
      </w:r>
      <w:r>
        <w:rPr>
          <w:snapToGrid w:val="0"/>
        </w:rPr>
        <w:tab/>
        <w:t>Power of Court on application for leave to encumber the land</w:t>
      </w:r>
      <w:bookmarkEnd w:id="34"/>
      <w:bookmarkEnd w:id="35"/>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36" w:name="_Toc38007634"/>
      <w:bookmarkStart w:id="37" w:name="_Toc478634305"/>
      <w:r>
        <w:rPr>
          <w:rStyle w:val="CharSectno"/>
        </w:rPr>
        <w:t>10</w:t>
      </w:r>
      <w:r>
        <w:rPr>
          <w:snapToGrid w:val="0"/>
        </w:rPr>
        <w:t>.</w:t>
      </w:r>
      <w:r>
        <w:rPr>
          <w:snapToGrid w:val="0"/>
        </w:rPr>
        <w:tab/>
        <w:t>Remedy of purchaser on contravention by vendor</w:t>
      </w:r>
      <w:bookmarkEnd w:id="36"/>
      <w:bookmarkEnd w:id="37"/>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38" w:name="_Toc38007515"/>
      <w:bookmarkStart w:id="39" w:name="_Toc38007635"/>
      <w:bookmarkStart w:id="40" w:name="_Toc478569394"/>
      <w:bookmarkStart w:id="41" w:name="_Toc478569569"/>
      <w:bookmarkStart w:id="42" w:name="_Toc478634232"/>
      <w:bookmarkStart w:id="43" w:name="_Toc478634306"/>
      <w:r>
        <w:rPr>
          <w:rStyle w:val="CharPartNo"/>
        </w:rPr>
        <w:t>Part III</w:t>
      </w:r>
      <w:r>
        <w:rPr>
          <w:rStyle w:val="CharDivNo"/>
        </w:rPr>
        <w:t> </w:t>
      </w:r>
      <w:r>
        <w:t>—</w:t>
      </w:r>
      <w:r>
        <w:rPr>
          <w:rStyle w:val="CharDivText"/>
        </w:rPr>
        <w:t> </w:t>
      </w:r>
      <w:r>
        <w:rPr>
          <w:rStyle w:val="CharPartText"/>
        </w:rPr>
        <w:t>Restrictions on sale of subdivisional land</w:t>
      </w:r>
      <w:bookmarkEnd w:id="38"/>
      <w:bookmarkEnd w:id="39"/>
      <w:bookmarkEnd w:id="40"/>
      <w:bookmarkEnd w:id="41"/>
      <w:bookmarkEnd w:id="42"/>
      <w:bookmarkEnd w:id="43"/>
      <w:r>
        <w:rPr>
          <w:rStyle w:val="CharPartText"/>
        </w:rPr>
        <w:t xml:space="preserve"> </w:t>
      </w:r>
    </w:p>
    <w:p>
      <w:pPr>
        <w:pStyle w:val="Heading5"/>
        <w:spacing w:before="180"/>
        <w:rPr>
          <w:snapToGrid w:val="0"/>
        </w:rPr>
      </w:pPr>
      <w:bookmarkStart w:id="44" w:name="_Toc38007636"/>
      <w:bookmarkStart w:id="45" w:name="_Toc478634307"/>
      <w:r>
        <w:rPr>
          <w:rStyle w:val="CharSectno"/>
        </w:rPr>
        <w:t>11</w:t>
      </w:r>
      <w:r>
        <w:rPr>
          <w:snapToGrid w:val="0"/>
        </w:rPr>
        <w:t>.</w:t>
      </w:r>
      <w:r>
        <w:rPr>
          <w:snapToGrid w:val="0"/>
        </w:rPr>
        <w:tab/>
        <w:t>Interpretation</w:t>
      </w:r>
      <w:bookmarkEnd w:id="44"/>
      <w:bookmarkEnd w:id="45"/>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tab/>
      </w:r>
      <w:r>
        <w:rPr>
          <w:rStyle w:val="CharDefText"/>
        </w:rPr>
        <w:t>ADI</w:t>
      </w:r>
      <w:r>
        <w:t xml:space="preserve"> means an authorised deposit</w:t>
      </w:r>
      <w:r>
        <w:noBreakHyphen/>
        <w:t xml:space="preserve">taking institution as defined in the </w:t>
      </w:r>
      <w:r>
        <w:rPr>
          <w:i/>
        </w:rPr>
        <w:t>Banking Act 1959</w:t>
      </w:r>
      <w:r>
        <w:t xml:space="preserve"> (Commonwealth) section 5(1);</w:t>
      </w:r>
    </w:p>
    <w:p>
      <w:pPr>
        <w:pStyle w:val="Defstart"/>
      </w:pPr>
      <w:r>
        <w:tab/>
      </w:r>
      <w:r>
        <w:rPr>
          <w:rStyle w:val="CharDefText"/>
        </w:rPr>
        <w:t>approved form</w:t>
      </w:r>
      <w:r>
        <w:t xml:space="preserve"> means a form approved by the Registrar of Titles;</w:t>
      </w:r>
    </w:p>
    <w:p>
      <w:pPr>
        <w:pStyle w:val="Defstart"/>
      </w:pPr>
      <w:r>
        <w:tab/>
      </w:r>
      <w:r>
        <w:rPr>
          <w:rStyle w:val="CharDefText"/>
        </w:rPr>
        <w:t>Australian legal practitioner</w:t>
      </w:r>
      <w:r>
        <w:t xml:space="preserve"> has the meaning given in the </w:t>
      </w:r>
      <w:r>
        <w:rPr>
          <w:i/>
        </w:rPr>
        <w:t>Legal Profession Act 2008</w:t>
      </w:r>
      <w:r>
        <w:t xml:space="preserve"> section 3;</w:t>
      </w:r>
    </w:p>
    <w:p>
      <w:pPr>
        <w:pStyle w:val="Defstart"/>
      </w:pPr>
      <w:r>
        <w:tab/>
      </w:r>
      <w:r>
        <w:rPr>
          <w:rStyle w:val="CharDefText"/>
        </w:rPr>
        <w:t xml:space="preserve">deposit holder </w:t>
      </w:r>
      <w:r>
        <w:t>means a person —</w:t>
      </w:r>
    </w:p>
    <w:p>
      <w:pPr>
        <w:pStyle w:val="Defpara"/>
      </w:pPr>
      <w:r>
        <w:tab/>
        <w:t>(a)</w:t>
      </w:r>
      <w:r>
        <w:tab/>
        <w:t>who accepts or holds any deposit or other amount for and on behalf of one or more of the parties to a contract for the sale of land; and</w:t>
      </w:r>
    </w:p>
    <w:p>
      <w:pPr>
        <w:pStyle w:val="Defpara"/>
      </w:pPr>
      <w:r>
        <w:tab/>
        <w:t>(b)</w:t>
      </w:r>
      <w:r>
        <w:tab/>
        <w:t xml:space="preserve">who is any of the following — </w:t>
      </w:r>
    </w:p>
    <w:p>
      <w:pPr>
        <w:pStyle w:val="Defsubpara"/>
      </w:pPr>
      <w:r>
        <w:tab/>
        <w:t>(i)</w:t>
      </w:r>
      <w:r>
        <w:tab/>
        <w:t>an Australian legal practitioner;</w:t>
      </w:r>
    </w:p>
    <w:p>
      <w:pPr>
        <w:pStyle w:val="Defsubpara"/>
      </w:pPr>
      <w:r>
        <w:tab/>
        <w:t>(ii)</w:t>
      </w:r>
      <w:r>
        <w:tab/>
        <w:t>a real estate agent;</w:t>
      </w:r>
    </w:p>
    <w:p>
      <w:pPr>
        <w:pStyle w:val="Defsubpara"/>
      </w:pPr>
      <w:r>
        <w:tab/>
        <w:t>(iii)</w:t>
      </w:r>
      <w:r>
        <w:tab/>
        <w:t>a settlement agent;</w:t>
      </w:r>
    </w:p>
    <w:p>
      <w:pPr>
        <w:pStyle w:val="Defstart"/>
      </w:pPr>
      <w:r>
        <w:tab/>
      </w:r>
      <w:r>
        <w:rPr>
          <w:rStyle w:val="CharDefText"/>
        </w:rPr>
        <w:t>future lot contract</w:t>
      </w:r>
      <w:r>
        <w:t xml:space="preserve"> means an executory contract for the sale and purchase of one or more lots to be created by subdivision where the vendor is a person —</w:t>
      </w:r>
    </w:p>
    <w:p>
      <w:pPr>
        <w:pStyle w:val="Defpara"/>
      </w:pPr>
      <w:r>
        <w:tab/>
        <w:t>(a)</w:t>
      </w:r>
      <w:r>
        <w:tab/>
        <w:t>who is not the proprietor of the lot or lots to which the contract relates; but</w:t>
      </w:r>
    </w:p>
    <w:p>
      <w:pPr>
        <w:pStyle w:val="Defpara"/>
      </w:pPr>
      <w:r>
        <w:tab/>
        <w:t>(b)</w:t>
      </w:r>
      <w:r>
        <w:tab/>
        <w:t>who will become, or will be entitled to become, the proprietor of that lot or those lots;</w:t>
      </w:r>
    </w:p>
    <w:p>
      <w:pPr>
        <w:pStyle w:val="Defstart"/>
      </w:pPr>
      <w:r>
        <w:tab/>
      </w:r>
      <w:r>
        <w:rPr>
          <w:rStyle w:val="CharDefText"/>
        </w:rPr>
        <w:t>lot</w:t>
      </w:r>
      <w:r>
        <w:t xml:space="preserve"> has the meaning given in the </w:t>
      </w:r>
      <w:r>
        <w:rPr>
          <w:i/>
        </w:rPr>
        <w:t>Planning and Development Act 2005</w:t>
      </w:r>
      <w:r>
        <w:t xml:space="preserve"> section 4 except that, for the purposes of this Part, it includes — </w:t>
      </w:r>
    </w:p>
    <w:p>
      <w:pPr>
        <w:pStyle w:val="Defpara"/>
      </w:pPr>
      <w:r>
        <w:tab/>
        <w:t>(a)</w:t>
      </w:r>
      <w:r>
        <w:tab/>
        <w:t xml:space="preserve">a lot in relation to a strata scheme as defined in the </w:t>
      </w:r>
      <w:r>
        <w:rPr>
          <w:i/>
        </w:rPr>
        <w:t>Strata Titles Act 1985</w:t>
      </w:r>
      <w:r>
        <w:t>; and</w:t>
      </w:r>
    </w:p>
    <w:p>
      <w:pPr>
        <w:pStyle w:val="Defpara"/>
      </w:pPr>
      <w:r>
        <w:tab/>
        <w:t>(b)</w:t>
      </w:r>
      <w:r>
        <w:tab/>
        <w:t>a lot re</w:t>
      </w:r>
      <w:r>
        <w:noBreakHyphen/>
        <w:t>subdivided from lots or common property, or lots and common property, by the registration of a plan of re</w:t>
      </w:r>
      <w:r>
        <w:noBreakHyphen/>
        <w:t xml:space="preserve">subdivision under the </w:t>
      </w:r>
      <w:r>
        <w:rPr>
          <w:i/>
        </w:rPr>
        <w:t>Strata Titles Act 1985</w:t>
      </w:r>
      <w:r>
        <w:t xml:space="preserve"> section 8; and</w:t>
      </w:r>
    </w:p>
    <w:p>
      <w:pPr>
        <w:pStyle w:val="Defpara"/>
      </w:pPr>
      <w:r>
        <w:tab/>
        <w:t>(c)</w:t>
      </w:r>
      <w:r>
        <w:tab/>
        <w:t>an area of land represented, by or on behalf of any person attempting to promote the sale of that area of land, to be an area of land that will constitute a lot in a proposed subdivision;</w:t>
      </w:r>
    </w:p>
    <w:p>
      <w:pPr>
        <w:pStyle w:val="Defstart"/>
      </w:pPr>
      <w:r>
        <w:rPr>
          <w:b/>
        </w:rPr>
        <w:tab/>
      </w:r>
      <w:r>
        <w:rPr>
          <w:rStyle w:val="CharDefText"/>
        </w:rPr>
        <w:t>proprietor</w:t>
      </w:r>
      <w:r>
        <w:t xml:space="preserve"> has the same meaning as it has in section 4 of the </w:t>
      </w:r>
      <w:r>
        <w:rPr>
          <w:i/>
        </w:rPr>
        <w:t>Transfer of Land Act 1893</w:t>
      </w:r>
      <w:r>
        <w:t>;</w:t>
      </w:r>
    </w:p>
    <w:p>
      <w:pPr>
        <w:pStyle w:val="Defstart"/>
      </w:pPr>
      <w:r>
        <w:tab/>
      </w:r>
      <w:r>
        <w:rPr>
          <w:rStyle w:val="CharDefText"/>
        </w:rPr>
        <w:t>real estate agent</w:t>
      </w:r>
      <w:r>
        <w:t xml:space="preserve"> means a person who is licensed as a real estate agent under the </w:t>
      </w:r>
      <w:r>
        <w:rPr>
          <w:i/>
        </w:rPr>
        <w:t>Real Estate and Business Agents Act 1978</w:t>
      </w:r>
      <w:r>
        <w:t>;</w:t>
      </w:r>
    </w:p>
    <w:p>
      <w:pPr>
        <w:pStyle w:val="Defstart"/>
      </w:pPr>
      <w:r>
        <w:tab/>
      </w:r>
      <w:r>
        <w:rPr>
          <w:rStyle w:val="CharDefText"/>
        </w:rPr>
        <w:t>Registrar of Titles</w:t>
      </w:r>
      <w:r>
        <w:t xml:space="preserve"> means the person designated for the time being as the Registrar of Titles under the </w:t>
      </w:r>
      <w:r>
        <w:rPr>
          <w:i/>
        </w:rPr>
        <w:t>Transfer of Land Act 1893</w:t>
      </w:r>
      <w:r>
        <w:t xml:space="preserve"> section 7;</w:t>
      </w:r>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pPr>
      <w:r>
        <w:tab/>
        <w:t>(i)</w:t>
      </w:r>
      <w:r>
        <w:tab/>
        <w:t>assign an interest in;</w:t>
      </w:r>
    </w:p>
    <w:p>
      <w:pPr>
        <w:pStyle w:val="Defsubpara"/>
      </w:pPr>
      <w:r>
        <w:tab/>
        <w:t>(ii)</w:t>
      </w:r>
      <w:r>
        <w:tab/>
        <w:t>assign the benefit of a contract relating to;</w:t>
      </w:r>
    </w:p>
    <w:p>
      <w:pPr>
        <w:pStyle w:val="Defsubpara"/>
      </w:pPr>
      <w:r>
        <w:tab/>
        <w:t>(iii)</w:t>
      </w:r>
      <w: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p>
    <w:p>
      <w:pPr>
        <w:pStyle w:val="Defstart"/>
      </w:pPr>
      <w:r>
        <w:tab/>
      </w:r>
      <w:r>
        <w:rPr>
          <w:rStyle w:val="CharDefText"/>
        </w:rPr>
        <w:t>settlement agent</w:t>
      </w:r>
      <w:r>
        <w:t xml:space="preserve"> means a person who is licensed as a settlement agent under the </w:t>
      </w:r>
      <w:r>
        <w:rPr>
          <w:i/>
        </w:rPr>
        <w:t>Settlement Agents Act 1981</w:t>
      </w:r>
      <w:r>
        <w:t>;</w:t>
      </w:r>
    </w:p>
    <w:p>
      <w:pPr>
        <w:pStyle w:val="Defstart"/>
      </w:pPr>
      <w:r>
        <w:tab/>
      </w:r>
      <w:r>
        <w:rPr>
          <w:rStyle w:val="CharDefText"/>
        </w:rPr>
        <w:t>vendor’s condition</w:t>
      </w:r>
      <w:r>
        <w:t xml:space="preserve"> has the meaning given in section 13B(1);</w:t>
      </w:r>
    </w:p>
    <w:p>
      <w:pPr>
        <w:pStyle w:val="Defstart"/>
      </w:pPr>
      <w:r>
        <w:tab/>
      </w:r>
      <w:r>
        <w:rPr>
          <w:rStyle w:val="CharDefText"/>
        </w:rPr>
        <w:t>working day</w:t>
      </w:r>
      <w:r>
        <w:t xml:space="preserve"> means a day other than a Saturday, a Sunday or a public holiday.</w:t>
      </w:r>
    </w:p>
    <w:p>
      <w:pPr>
        <w:pStyle w:val="Footnotesection"/>
      </w:pPr>
      <w:r>
        <w:tab/>
        <w:t>[Section 11 amended</w:t>
      </w:r>
      <w:del w:id="46" w:author="svcMRProcess" w:date="2020-04-17T18:02:00Z">
        <w:r>
          <w:delText xml:space="preserve"> by</w:delText>
        </w:r>
      </w:del>
      <w:ins w:id="47" w:author="svcMRProcess" w:date="2020-04-17T18:02:00Z">
        <w:r>
          <w:t>:</w:t>
        </w:r>
      </w:ins>
      <w:r>
        <w:t xml:space="preserve"> No. 38 of 2005 s. 15; No. 38 of 2016 s. 6.]</w:t>
      </w:r>
    </w:p>
    <w:p>
      <w:pPr>
        <w:pStyle w:val="Ednotesection"/>
        <w:spacing w:before="180"/>
        <w:ind w:left="890" w:hanging="890"/>
      </w:pPr>
      <w:r>
        <w:t>[</w:t>
      </w:r>
      <w:r>
        <w:rPr>
          <w:b/>
        </w:rPr>
        <w:t>12.</w:t>
      </w:r>
      <w:r>
        <w:tab/>
        <w:t>Deleted</w:t>
      </w:r>
      <w:del w:id="48" w:author="svcMRProcess" w:date="2020-04-17T18:02:00Z">
        <w:r>
          <w:delText xml:space="preserve"> by</w:delText>
        </w:r>
      </w:del>
      <w:ins w:id="49" w:author="svcMRProcess" w:date="2020-04-17T18:02:00Z">
        <w:r>
          <w:t>:</w:t>
        </w:r>
      </w:ins>
      <w:r>
        <w:t xml:space="preserve"> No. 40 of 1985 s. 4.] </w:t>
      </w:r>
    </w:p>
    <w:p>
      <w:pPr>
        <w:pStyle w:val="Heading5"/>
        <w:spacing w:before="180"/>
        <w:rPr>
          <w:snapToGrid w:val="0"/>
        </w:rPr>
      </w:pPr>
      <w:bookmarkStart w:id="50" w:name="_Toc38007637"/>
      <w:bookmarkStart w:id="51" w:name="_Toc478634308"/>
      <w:r>
        <w:rPr>
          <w:rStyle w:val="CharSectno"/>
        </w:rPr>
        <w:t>13</w:t>
      </w:r>
      <w:r>
        <w:rPr>
          <w:snapToGrid w:val="0"/>
        </w:rPr>
        <w:t>.</w:t>
      </w:r>
      <w:r>
        <w:rPr>
          <w:snapToGrid w:val="0"/>
        </w:rPr>
        <w:tab/>
        <w:t>Restriction on sale of subdivisional land</w:t>
      </w:r>
      <w:bookmarkEnd w:id="50"/>
      <w:bookmarkEnd w:id="51"/>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w:t>
      </w:r>
      <w:r>
        <w:t>one</w:t>
      </w:r>
      <w:r>
        <w:rPr>
          <w:snapToGrid w:val="0"/>
        </w:rPr>
        <w:t xml:space="preserve"> or more lots in a subdivision or proposed subdivision, or </w:t>
      </w:r>
      <w:r>
        <w:t>one</w:t>
      </w:r>
      <w:r>
        <w:rPr>
          <w:snapToGrid w:val="0"/>
        </w:rPr>
        <w:t xml:space="preserve">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Ednotepara"/>
      </w:pPr>
      <w:r>
        <w:tab/>
        <w:t>[(c)</w:t>
      </w:r>
      <w:r>
        <w:tab/>
        <w:t>deleted]</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pPr>
      <w:r>
        <w:tab/>
        <w:t>Penalty for this subsection: a fine of $100 000.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with the Registrar of Titles.</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[Section 13 amended</w:t>
      </w:r>
      <w:del w:id="52" w:author="svcMRProcess" w:date="2020-04-17T18:02:00Z">
        <w:r>
          <w:delText xml:space="preserve"> by</w:delText>
        </w:r>
      </w:del>
      <w:ins w:id="53" w:author="svcMRProcess" w:date="2020-04-17T18:02:00Z">
        <w:r>
          <w:t>:</w:t>
        </w:r>
      </w:ins>
      <w:r>
        <w:t xml:space="preserve"> No. 40 of 1985 s. 5; No. 81 of 1996 s. 153(1) and (2); No. 60 of 2006 s. 157; No. 38 of 2016 s. 7.] </w:t>
      </w:r>
    </w:p>
    <w:p>
      <w:pPr>
        <w:pStyle w:val="Heading5"/>
      </w:pPr>
      <w:bookmarkStart w:id="54" w:name="_Toc38007638"/>
      <w:bookmarkStart w:id="55" w:name="_Toc467653680"/>
      <w:bookmarkStart w:id="56" w:name="_Toc467655030"/>
      <w:bookmarkStart w:id="57" w:name="_Toc478634309"/>
      <w:r>
        <w:rPr>
          <w:rStyle w:val="CharSectno"/>
        </w:rPr>
        <w:t>13A</w:t>
      </w:r>
      <w:r>
        <w:t>.</w:t>
      </w:r>
      <w:r>
        <w:tab/>
        <w:t>Relationship between section 13 and sections 13B to 13D</w:t>
      </w:r>
      <w:bookmarkEnd w:id="54"/>
      <w:bookmarkEnd w:id="55"/>
      <w:bookmarkEnd w:id="56"/>
      <w:bookmarkEnd w:id="57"/>
    </w:p>
    <w:p>
      <w:pPr>
        <w:pStyle w:val="Subsection"/>
      </w:pPr>
      <w:r>
        <w:tab/>
      </w:r>
      <w:r>
        <w:tab/>
        <w:t>Despite section 13, a person may sell one or more lots under a future lot contract as long as sections 13B to 13D are complied with.</w:t>
      </w:r>
    </w:p>
    <w:p>
      <w:pPr>
        <w:pStyle w:val="Footnotesection"/>
      </w:pPr>
      <w:bookmarkStart w:id="58" w:name="_Toc449966291"/>
      <w:bookmarkStart w:id="59" w:name="_Toc467653681"/>
      <w:bookmarkStart w:id="60" w:name="_Toc467655031"/>
      <w:r>
        <w:tab/>
        <w:t>[Section 13A inserted</w:t>
      </w:r>
      <w:del w:id="61" w:author="svcMRProcess" w:date="2020-04-17T18:02:00Z">
        <w:r>
          <w:delText xml:space="preserve"> by</w:delText>
        </w:r>
      </w:del>
      <w:ins w:id="62" w:author="svcMRProcess" w:date="2020-04-17T18:02:00Z">
        <w:r>
          <w:t>:</w:t>
        </w:r>
      </w:ins>
      <w:r>
        <w:t xml:space="preserve"> No. 38 of 2016 s. 8.] </w:t>
      </w:r>
    </w:p>
    <w:p>
      <w:pPr>
        <w:pStyle w:val="Heading5"/>
      </w:pPr>
      <w:bookmarkStart w:id="63" w:name="_Toc38007639"/>
      <w:bookmarkStart w:id="64" w:name="_Toc478634310"/>
      <w:r>
        <w:rPr>
          <w:rStyle w:val="CharSectno"/>
        </w:rPr>
        <w:t>13B</w:t>
      </w:r>
      <w:r>
        <w:t>.</w:t>
      </w:r>
      <w:r>
        <w:tab/>
        <w:t>Requirement for future lot contract to include vendor’s condition</w:t>
      </w:r>
      <w:bookmarkEnd w:id="63"/>
      <w:bookmarkEnd w:id="58"/>
      <w:bookmarkEnd w:id="59"/>
      <w:bookmarkEnd w:id="60"/>
      <w:bookmarkEnd w:id="64"/>
    </w:p>
    <w:p>
      <w:pPr>
        <w:pStyle w:val="Subsection"/>
      </w:pPr>
      <w:r>
        <w:tab/>
        <w:t>(1)</w:t>
      </w:r>
      <w:r>
        <w:tab/>
        <w:t xml:space="preserve">A future lot contract must include the condition (the </w:t>
      </w:r>
      <w:r>
        <w:rPr>
          <w:rStyle w:val="CharDefText"/>
        </w:rPr>
        <w:t>vendor’s condition</w:t>
      </w:r>
      <w:r>
        <w:t>) that before the close of the period specified in subsection (2), the vendor will become, or will be entitled to become, the proprietor of the lot or lots to which the contract relates.</w:t>
      </w:r>
    </w:p>
    <w:p>
      <w:pPr>
        <w:pStyle w:val="Subsection"/>
      </w:pPr>
      <w:r>
        <w:tab/>
        <w:t>(2)</w:t>
      </w:r>
      <w:r>
        <w:tab/>
        <w:t>The period referred to in subsection (1) is —</w:t>
      </w:r>
    </w:p>
    <w:p>
      <w:pPr>
        <w:pStyle w:val="Indenta"/>
      </w:pPr>
      <w:r>
        <w:tab/>
        <w:t>(a)</w:t>
      </w:r>
      <w:r>
        <w:tab/>
        <w:t>the period of 6 months beginning with the day on which the future lot contract is executed by the parties or, if the parties execute the contract on different days, the later of those days; or</w:t>
      </w:r>
    </w:p>
    <w:p>
      <w:pPr>
        <w:pStyle w:val="Indenta"/>
      </w:pPr>
      <w:r>
        <w:tab/>
        <w:t>(b)</w:t>
      </w:r>
      <w:r>
        <w:tab/>
        <w:t>any other period that the parties may specify in the future lot contract or in a variation to that contract as the applicable period for the purposes of subsection (1).</w:t>
      </w:r>
    </w:p>
    <w:p>
      <w:pPr>
        <w:pStyle w:val="Subsection"/>
      </w:pPr>
      <w:r>
        <w:tab/>
        <w:t>(3)</w:t>
      </w:r>
      <w:r>
        <w:tab/>
        <w:t xml:space="preserve">If a future lot contract does not include the vendor’s condition required under subsection (1) — </w:t>
      </w:r>
    </w:p>
    <w:p>
      <w:pPr>
        <w:pStyle w:val="Indenta"/>
      </w:pPr>
      <w:r>
        <w:tab/>
        <w:t>(a)</w:t>
      </w:r>
      <w:r>
        <w:tab/>
        <w:t>the contract is illegal and void; and</w:t>
      </w:r>
    </w:p>
    <w:p>
      <w:pPr>
        <w:pStyle w:val="Indenta"/>
        <w:keepNext/>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 xml:space="preserve">For the purposes of subsection (1), a vendor is entitled to become the proprietor of the lot or lots to which the future lot contract relates if the vendor is entitled to be registered as proprietor of that lot or those lots under one or more registrable instruments or under one or more applications made under the </w:t>
      </w:r>
      <w:r>
        <w:rPr>
          <w:i/>
        </w:rPr>
        <w:t>Transfer of Land Act 1893</w:t>
      </w:r>
      <w:r>
        <w:t xml:space="preserve"> which have been lodged with the Registrar of Titles.</w:t>
      </w:r>
    </w:p>
    <w:p>
      <w:pPr>
        <w:pStyle w:val="Subsection"/>
      </w:pPr>
      <w:r>
        <w:tab/>
        <w:t>(5)</w:t>
      </w:r>
      <w:r>
        <w:tab/>
        <w:t>An instrument or application that was at the relevant time lodged as described in subsection (4) but was defective is to be taken to give as good an entitlement to be registered as proprietor as it would give had there been no defect in the instrument or application if —</w:t>
      </w:r>
    </w:p>
    <w:p>
      <w:pPr>
        <w:pStyle w:val="Indenta"/>
      </w:pPr>
      <w:r>
        <w:tab/>
        <w:t>(a)</w:t>
      </w:r>
      <w:r>
        <w:tab/>
        <w:t>the instrument has subsequently been registered or the application granted without having been returned by the Registrar of Titles or having been withdrawn from the registration process; or</w:t>
      </w:r>
    </w:p>
    <w:p>
      <w:pPr>
        <w:pStyle w:val="Indenta"/>
      </w:pPr>
      <w:r>
        <w:tab/>
        <w:t>(b)</w:t>
      </w:r>
      <w:r>
        <w:tab/>
        <w:t>the Registrar of Titles certifies in writing that the defect was not of a substantial nature and that it has been remedied.</w:t>
      </w:r>
    </w:p>
    <w:p>
      <w:pPr>
        <w:pStyle w:val="Subsection"/>
      </w:pPr>
      <w:r>
        <w:tab/>
        <w:t>(6)</w:t>
      </w:r>
      <w:r>
        <w:tab/>
        <w:t>A vendor who enters into a future lot contract that does not include the vendor’s condition required under subsection (1) commits an offence.</w:t>
      </w:r>
    </w:p>
    <w:p>
      <w:pPr>
        <w:pStyle w:val="Penstart"/>
      </w:pPr>
      <w:r>
        <w:tab/>
        <w:t>Penalty for this subsection: a fine of $100 000.</w:t>
      </w:r>
    </w:p>
    <w:p>
      <w:pPr>
        <w:pStyle w:val="Footnotesection"/>
      </w:pPr>
      <w:bookmarkStart w:id="65" w:name="_Toc467653682"/>
      <w:bookmarkStart w:id="66" w:name="_Toc467655032"/>
      <w:r>
        <w:tab/>
        <w:t>[Section 13B inserted</w:t>
      </w:r>
      <w:del w:id="67" w:author="svcMRProcess" w:date="2020-04-17T18:02:00Z">
        <w:r>
          <w:delText xml:space="preserve"> by</w:delText>
        </w:r>
      </w:del>
      <w:ins w:id="68" w:author="svcMRProcess" w:date="2020-04-17T18:02:00Z">
        <w:r>
          <w:t>:</w:t>
        </w:r>
      </w:ins>
      <w:r>
        <w:t xml:space="preserve"> No. 38 of 2016 s. 8.] </w:t>
      </w:r>
    </w:p>
    <w:p>
      <w:pPr>
        <w:pStyle w:val="Heading5"/>
      </w:pPr>
      <w:bookmarkStart w:id="69" w:name="_Toc38007640"/>
      <w:bookmarkStart w:id="70" w:name="_Toc478634311"/>
      <w:r>
        <w:rPr>
          <w:rStyle w:val="CharSectno"/>
        </w:rPr>
        <w:t>13C</w:t>
      </w:r>
      <w:r>
        <w:t>.</w:t>
      </w:r>
      <w:r>
        <w:tab/>
        <w:t>Requirement for future lot contract to include warning</w:t>
      </w:r>
      <w:bookmarkEnd w:id="69"/>
      <w:bookmarkEnd w:id="65"/>
      <w:bookmarkEnd w:id="66"/>
      <w:bookmarkEnd w:id="70"/>
    </w:p>
    <w:p>
      <w:pPr>
        <w:pStyle w:val="Subsection"/>
      </w:pPr>
      <w:r>
        <w:tab/>
        <w:t>(1)</w:t>
      </w:r>
      <w:r>
        <w:tab/>
        <w:t>A future lot contract must include a warning that contains a statement to the effect that the vendor is not the proprietor of the lot or lots to which the contract relates.</w:t>
      </w:r>
    </w:p>
    <w:p>
      <w:pPr>
        <w:pStyle w:val="Subsection"/>
      </w:pPr>
      <w:r>
        <w:tab/>
        <w:t>(2)</w:t>
      </w:r>
      <w:r>
        <w:tab/>
        <w:t>The warning required under subsection (1) must be in the approved form.</w:t>
      </w:r>
    </w:p>
    <w:p>
      <w:pPr>
        <w:pStyle w:val="Subsection"/>
      </w:pPr>
      <w:r>
        <w:tab/>
        <w:t>(3)</w:t>
      </w:r>
      <w:r>
        <w:tab/>
        <w:t>If a future lot contract does not include the warning required under subsection (1) —</w:t>
      </w:r>
    </w:p>
    <w:p>
      <w:pPr>
        <w:pStyle w:val="Indenta"/>
      </w:pPr>
      <w:r>
        <w:tab/>
        <w:t>(a)</w:t>
      </w:r>
      <w:r>
        <w:tab/>
        <w:t>the contract is illegal and void; and</w:t>
      </w:r>
    </w:p>
    <w:p>
      <w:pPr>
        <w:pStyle w:val="Indenta"/>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pPr>
      <w:r>
        <w:tab/>
        <w:t>(4)</w:t>
      </w:r>
      <w:r>
        <w:tab/>
        <w:t>A vendor who enters into a future lot contract that does not include the warning required under subsection (1) commits an offence.</w:t>
      </w:r>
    </w:p>
    <w:p>
      <w:pPr>
        <w:pStyle w:val="Penstart"/>
      </w:pPr>
      <w:r>
        <w:tab/>
        <w:t>Penalty for this subsection: a fine of $100 000.</w:t>
      </w:r>
    </w:p>
    <w:p>
      <w:pPr>
        <w:pStyle w:val="Footnotesection"/>
      </w:pPr>
      <w:bookmarkStart w:id="71" w:name="_Toc467653683"/>
      <w:bookmarkStart w:id="72" w:name="_Toc467655033"/>
      <w:r>
        <w:tab/>
        <w:t>[Section 13C inserted</w:t>
      </w:r>
      <w:del w:id="73" w:author="svcMRProcess" w:date="2020-04-17T18:02:00Z">
        <w:r>
          <w:delText xml:space="preserve"> by</w:delText>
        </w:r>
      </w:del>
      <w:ins w:id="74" w:author="svcMRProcess" w:date="2020-04-17T18:02:00Z">
        <w:r>
          <w:t>:</w:t>
        </w:r>
      </w:ins>
      <w:r>
        <w:t xml:space="preserve"> No. 38 of 2016 s. 8.] </w:t>
      </w:r>
    </w:p>
    <w:p>
      <w:pPr>
        <w:pStyle w:val="Heading5"/>
      </w:pPr>
      <w:bookmarkStart w:id="75" w:name="_Toc38007641"/>
      <w:bookmarkStart w:id="76" w:name="_Toc478634312"/>
      <w:r>
        <w:rPr>
          <w:rStyle w:val="CharSectno"/>
        </w:rPr>
        <w:t>13D</w:t>
      </w:r>
      <w:r>
        <w:t>.</w:t>
      </w:r>
      <w:r>
        <w:tab/>
        <w:t>Requirement for future lot contract to provide that deposit or other amount payable by purchaser must be paid to deposit holder</w:t>
      </w:r>
      <w:bookmarkEnd w:id="75"/>
      <w:bookmarkEnd w:id="71"/>
      <w:bookmarkEnd w:id="72"/>
      <w:bookmarkEnd w:id="76"/>
    </w:p>
    <w:p>
      <w:pPr>
        <w:pStyle w:val="Subsection"/>
      </w:pPr>
      <w:r>
        <w:tab/>
        <w:t>(1)</w:t>
      </w:r>
      <w:r>
        <w:tab/>
        <w:t>A future lot contract must provide that any deposit or other amount payable by the purchaser under the contract must be —</w:t>
      </w:r>
    </w:p>
    <w:p>
      <w:pPr>
        <w:pStyle w:val="Indenta"/>
      </w:pPr>
      <w:r>
        <w:tab/>
        <w:t>(a)</w:t>
      </w:r>
      <w:r>
        <w:tab/>
        <w:t>paid by the vendor to a deposit holder specified in the contract within 2 working days after receipt of the payment from the purchaser; and</w:t>
      </w:r>
    </w:p>
    <w:p>
      <w:pPr>
        <w:pStyle w:val="Indenta"/>
      </w:pPr>
      <w:r>
        <w:tab/>
        <w:t>(b)</w:t>
      </w:r>
      <w:r>
        <w:tab/>
        <w:t>held by the deposit holder on trust for the person entitled to receive it under the contract.</w:t>
      </w:r>
    </w:p>
    <w:p>
      <w:pPr>
        <w:pStyle w:val="Subsection"/>
      </w:pPr>
      <w:r>
        <w:tab/>
        <w:t>(2)</w:t>
      </w:r>
      <w:r>
        <w:tab/>
        <w:t>If a future lot contract does not include the provision required under subsection (1) —</w:t>
      </w:r>
    </w:p>
    <w:p>
      <w:pPr>
        <w:pStyle w:val="Indenta"/>
      </w:pPr>
      <w:r>
        <w:tab/>
        <w:t>(a)</w:t>
      </w:r>
      <w:r>
        <w:tab/>
        <w:t>the contract is illegal and void; and</w:t>
      </w:r>
    </w:p>
    <w:p>
      <w:pPr>
        <w:pStyle w:val="Indenta"/>
      </w:pPr>
      <w:r>
        <w:tab/>
        <w:t>(b)</w:t>
      </w:r>
      <w:r>
        <w:tab/>
        <w:t xml:space="preserve">the purchaser may 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Footnotesection"/>
      </w:pPr>
      <w:bookmarkStart w:id="77" w:name="_Toc449966294"/>
      <w:bookmarkStart w:id="78" w:name="_Toc467653684"/>
      <w:bookmarkStart w:id="79" w:name="_Toc467655034"/>
      <w:r>
        <w:tab/>
        <w:t>[Section 13D inserted</w:t>
      </w:r>
      <w:del w:id="80" w:author="svcMRProcess" w:date="2020-04-17T18:02:00Z">
        <w:r>
          <w:delText xml:space="preserve"> by</w:delText>
        </w:r>
      </w:del>
      <w:ins w:id="81" w:author="svcMRProcess" w:date="2020-04-17T18:02:00Z">
        <w:r>
          <w:t>:</w:t>
        </w:r>
      </w:ins>
      <w:r>
        <w:t xml:space="preserve"> No. 38 of 2016 s. 8.] </w:t>
      </w:r>
    </w:p>
    <w:p>
      <w:pPr>
        <w:pStyle w:val="Heading5"/>
      </w:pPr>
      <w:bookmarkStart w:id="82" w:name="_Toc38007642"/>
      <w:bookmarkStart w:id="83" w:name="_Toc478634313"/>
      <w:r>
        <w:rPr>
          <w:rStyle w:val="CharSectno"/>
        </w:rPr>
        <w:t>13E</w:t>
      </w:r>
      <w:r>
        <w:t>.</w:t>
      </w:r>
      <w:r>
        <w:tab/>
        <w:t>Obligations relating to deposit or other amount payable under future lot contract</w:t>
      </w:r>
      <w:bookmarkEnd w:id="82"/>
      <w:bookmarkEnd w:id="77"/>
      <w:bookmarkEnd w:id="78"/>
      <w:bookmarkEnd w:id="79"/>
      <w:bookmarkEnd w:id="83"/>
    </w:p>
    <w:p>
      <w:pPr>
        <w:pStyle w:val="Subsection"/>
      </w:pPr>
      <w:r>
        <w:tab/>
        <w:t>(1)</w:t>
      </w:r>
      <w:r>
        <w:tab/>
        <w:t>A vendor must pay to the deposit holder specified in a future lot contract any deposit or other amount paid by the purchaser under the contract within 2 working days after receipt of the payment from the purchaser.</w:t>
      </w:r>
    </w:p>
    <w:p>
      <w:pPr>
        <w:pStyle w:val="Penstart"/>
      </w:pPr>
      <w:r>
        <w:tab/>
        <w:t>Penalty for this subsection: a fine of $100 000.</w:t>
      </w:r>
    </w:p>
    <w:p>
      <w:pPr>
        <w:pStyle w:val="Subsection"/>
      </w:pPr>
      <w:r>
        <w:tab/>
        <w:t>(2)</w:t>
      </w:r>
      <w:r>
        <w:tab/>
        <w:t>If a vendor fails to comply with subsection (1), the purchaser may —</w:t>
      </w:r>
    </w:p>
    <w:p>
      <w:pPr>
        <w:pStyle w:val="Indenta"/>
      </w:pPr>
      <w:r>
        <w:tab/>
        <w:t>(a)</w:t>
      </w:r>
      <w:r>
        <w:tab/>
        <w:t>terminate the contract by notice in writing to the vendor; and</w:t>
      </w:r>
    </w:p>
    <w:p>
      <w:pPr>
        <w:pStyle w:val="Indenta"/>
      </w:pPr>
      <w:r>
        <w:tab/>
        <w:t>(b)</w:t>
      </w:r>
      <w:r>
        <w:tab/>
        <w:t xml:space="preserve">recover from the deposit holder specified in the contract or from any other person to whom the deposit was paid — </w:t>
      </w:r>
    </w:p>
    <w:p>
      <w:pPr>
        <w:pStyle w:val="Indenti"/>
      </w:pPr>
      <w:r>
        <w:tab/>
        <w:t>(i)</w:t>
      </w:r>
      <w:r>
        <w:tab/>
        <w:t>any deposit or other amount paid by the purchaser under the contract; and</w:t>
      </w:r>
    </w:p>
    <w:p>
      <w:pPr>
        <w:pStyle w:val="Indenti"/>
      </w:pPr>
      <w:r>
        <w:tab/>
        <w:t>(ii)</w:t>
      </w:r>
      <w:r>
        <w:tab/>
        <w:t>if applicable, any interest accrued on the deposit or other amount.</w:t>
      </w:r>
    </w:p>
    <w:p>
      <w:pPr>
        <w:pStyle w:val="Subsection"/>
        <w:keepNext/>
      </w:pPr>
      <w:r>
        <w:tab/>
        <w:t>(3)</w:t>
      </w:r>
      <w:r>
        <w:tab/>
        <w:t>A deposit holder must —</w:t>
      </w:r>
    </w:p>
    <w:p>
      <w:pPr>
        <w:pStyle w:val="Indenta"/>
      </w:pPr>
      <w:r>
        <w:tab/>
        <w:t>(a)</w:t>
      </w:r>
      <w:r>
        <w:tab/>
        <w:t>operate a trust account in an ADI to which all deposits or other amounts paid to the deposit holder either directly by a purchaser or by a vendor under subsection (1) must be deposited; and</w:t>
      </w:r>
    </w:p>
    <w:p>
      <w:pPr>
        <w:pStyle w:val="Indenta"/>
      </w:pPr>
      <w:r>
        <w:tab/>
        <w:t>(b)</w:t>
      </w:r>
      <w:r>
        <w:tab/>
        <w:t>arrange for the trust account to be audited when required under section 13F(1); and</w:t>
      </w:r>
    </w:p>
    <w:p>
      <w:pPr>
        <w:pStyle w:val="Indenta"/>
      </w:pPr>
      <w:r>
        <w:tab/>
        <w:t>(c)</w:t>
      </w:r>
      <w:r>
        <w:tab/>
        <w:t xml:space="preserve">hold the amounts in the trust account on trust for the purchaser until — </w:t>
      </w:r>
    </w:p>
    <w:p>
      <w:pPr>
        <w:pStyle w:val="Indenti"/>
      </w:pPr>
      <w:r>
        <w:tab/>
        <w:t>(i)</w:t>
      </w:r>
      <w:r>
        <w:tab/>
        <w:t>the right to recover the deposit or other amount arises under subsection (2)(b), section 13B(3)(b), 13C(3)(b), 13D(2)(b) or 13I(4); or</w:t>
      </w:r>
    </w:p>
    <w:p>
      <w:pPr>
        <w:pStyle w:val="Indenti"/>
      </w:pPr>
      <w:r>
        <w:tab/>
        <w:t>(ii)</w:t>
      </w:r>
      <w:r>
        <w:tab/>
        <w:t>the settlement of the relevant future lot contract; or</w:t>
      </w:r>
    </w:p>
    <w:p>
      <w:pPr>
        <w:pStyle w:val="Indenti"/>
      </w:pPr>
      <w:r>
        <w:tab/>
        <w:t>(iii)</w:t>
      </w:r>
      <w:r>
        <w:tab/>
        <w:t>the completion of the transfer of the lot or lots to which the relevant future lot contract relates; or</w:t>
      </w:r>
    </w:p>
    <w:p>
      <w:pPr>
        <w:pStyle w:val="Indenti"/>
      </w:pPr>
      <w:r>
        <w:tab/>
        <w:t>(iv)</w:t>
      </w:r>
      <w:r>
        <w:tab/>
        <w:t>the occurrence of any other circumstance that would entitle the vendor or purchaser to be paid the deposit or other amount under the relevant future lot contract.</w:t>
      </w:r>
    </w:p>
    <w:p>
      <w:pPr>
        <w:pStyle w:val="Penstart"/>
      </w:pPr>
      <w:r>
        <w:tab/>
        <w:t>Penalty for this subsection: a fine of $100 000.</w:t>
      </w:r>
    </w:p>
    <w:p>
      <w:pPr>
        <w:pStyle w:val="Subsection"/>
      </w:pPr>
      <w:r>
        <w:tab/>
        <w:t>(4)</w:t>
      </w:r>
      <w:r>
        <w:tab/>
        <w:t>A deposit holder must repay the deposit or other amount if the right to recover the deposit or other amount arises under any of the provisions referred to in subsection (3)(c)(i).</w:t>
      </w:r>
    </w:p>
    <w:p>
      <w:pPr>
        <w:pStyle w:val="Penstart"/>
      </w:pPr>
      <w:r>
        <w:tab/>
        <w:t>Penalty for this subsection: a fine of $100 000.</w:t>
      </w:r>
    </w:p>
    <w:p>
      <w:pPr>
        <w:pStyle w:val="Subsection"/>
      </w:pPr>
      <w:r>
        <w:tab/>
        <w:t>(5)</w:t>
      </w:r>
      <w:r>
        <w:tab/>
        <w:t>A deposit holder may deduct from any repayment to be made to the purchaser an amount due to the vendor under a future lot contract in respect of any period during which the purchaser was —</w:t>
      </w:r>
    </w:p>
    <w:p>
      <w:pPr>
        <w:pStyle w:val="Indenta"/>
      </w:pPr>
      <w:r>
        <w:tab/>
        <w:t>(a)</w:t>
      </w:r>
      <w:r>
        <w:tab/>
        <w:t>in occupation of the lot or lots to which the future lot contract relates; or</w:t>
      </w:r>
    </w:p>
    <w:p>
      <w:pPr>
        <w:pStyle w:val="Indenta"/>
        <w:keepNext/>
      </w:pPr>
      <w:r>
        <w:tab/>
        <w:t>(b)</w:t>
      </w:r>
      <w:r>
        <w:tab/>
        <w:t>entitled to receive the rents and profits of that lot or those lots.</w:t>
      </w:r>
    </w:p>
    <w:p>
      <w:pPr>
        <w:pStyle w:val="Footnotesection"/>
      </w:pPr>
      <w:bookmarkStart w:id="84" w:name="_Toc467653685"/>
      <w:bookmarkStart w:id="85" w:name="_Toc467655035"/>
      <w:r>
        <w:tab/>
        <w:t>[Section 13E inserted</w:t>
      </w:r>
      <w:del w:id="86" w:author="svcMRProcess" w:date="2020-04-17T18:02:00Z">
        <w:r>
          <w:delText xml:space="preserve"> by</w:delText>
        </w:r>
      </w:del>
      <w:ins w:id="87" w:author="svcMRProcess" w:date="2020-04-17T18:02:00Z">
        <w:r>
          <w:t>:</w:t>
        </w:r>
      </w:ins>
      <w:r>
        <w:t xml:space="preserve"> No. 38 of 2016 s. 8.] </w:t>
      </w:r>
    </w:p>
    <w:p>
      <w:pPr>
        <w:pStyle w:val="Heading5"/>
      </w:pPr>
      <w:bookmarkStart w:id="88" w:name="_Toc38007643"/>
      <w:bookmarkStart w:id="89" w:name="_Toc478634314"/>
      <w:r>
        <w:rPr>
          <w:rStyle w:val="CharSectno"/>
        </w:rPr>
        <w:t>13F</w:t>
      </w:r>
      <w:r>
        <w:t>.</w:t>
      </w:r>
      <w:r>
        <w:tab/>
        <w:t>Registrar of Titles may require audit of trust accounts</w:t>
      </w:r>
      <w:bookmarkEnd w:id="88"/>
      <w:bookmarkEnd w:id="84"/>
      <w:bookmarkEnd w:id="85"/>
      <w:bookmarkEnd w:id="89"/>
    </w:p>
    <w:p>
      <w:pPr>
        <w:pStyle w:val="Subsection"/>
      </w:pPr>
      <w:r>
        <w:tab/>
        <w:t>(1)</w:t>
      </w:r>
      <w:r>
        <w:tab/>
        <w:t>The Registrar of Titles may from time to time require an audit of a deposit holder’s trust accounts for the purpose of determining compliance with the requirements in section 13E.</w:t>
      </w:r>
    </w:p>
    <w:p>
      <w:pPr>
        <w:pStyle w:val="Subsection"/>
      </w:pPr>
      <w:r>
        <w:tab/>
        <w:t>(2)</w:t>
      </w:r>
      <w:r>
        <w:tab/>
        <w:t>A deposit holder must comply with a requirement for an audit under subsection (1).</w:t>
      </w:r>
    </w:p>
    <w:p>
      <w:pPr>
        <w:pStyle w:val="Subsection"/>
      </w:pPr>
      <w:r>
        <w:tab/>
        <w:t>(3)</w:t>
      </w:r>
      <w:r>
        <w:tab/>
        <w:t>An audit under subsection (1) must be carried out by a person (whether in the public or private sector) who the Registrar of Titles considers to be suitably qualified for the purpose.</w:t>
      </w:r>
    </w:p>
    <w:p>
      <w:pPr>
        <w:pStyle w:val="Subsection"/>
      </w:pPr>
      <w:r>
        <w:tab/>
        <w:t>(4)</w:t>
      </w:r>
      <w:r>
        <w:tab/>
        <w:t>If the deposit holder whose trust accounts are to be audited fails to arrange for the audit, then the Registrar of Titles may —</w:t>
      </w:r>
    </w:p>
    <w:p>
      <w:pPr>
        <w:pStyle w:val="Indenta"/>
      </w:pPr>
      <w:r>
        <w:tab/>
        <w:t>(a)</w:t>
      </w:r>
      <w:r>
        <w:tab/>
        <w:t>engage a person (whether in the public or private sector) who the Registrar of Titles considers to be suitably qualified to carry out the audit; and</w:t>
      </w:r>
    </w:p>
    <w:p>
      <w:pPr>
        <w:pStyle w:val="Indenta"/>
      </w:pPr>
      <w:r>
        <w:tab/>
        <w:t>(b)</w:t>
      </w:r>
      <w:r>
        <w:tab/>
        <w:t>require the deposit holder or any other person to provide access to the deposit holder’s trust accounts and associated records for the purposes of the audit or, if access is refused within a reasonable time, apply to the Court for an order requiring access; and</w:t>
      </w:r>
    </w:p>
    <w:p>
      <w:pPr>
        <w:pStyle w:val="Indenta"/>
      </w:pPr>
      <w:r>
        <w:tab/>
        <w:t>(c)</w:t>
      </w:r>
      <w:r>
        <w:tab/>
        <w:t>recover from the deposit holder the costs incurred by the Registrar of Titles in relation to the audit (including the costs of an application, if required, for an order under paragraph (b)).</w:t>
      </w:r>
    </w:p>
    <w:p>
      <w:pPr>
        <w:pStyle w:val="Footnotesection"/>
      </w:pPr>
      <w:bookmarkStart w:id="90" w:name="_Toc467653686"/>
      <w:bookmarkStart w:id="91" w:name="_Toc467655036"/>
      <w:r>
        <w:tab/>
        <w:t>[Section 13F inserted</w:t>
      </w:r>
      <w:del w:id="92" w:author="svcMRProcess" w:date="2020-04-17T18:02:00Z">
        <w:r>
          <w:delText xml:space="preserve"> by</w:delText>
        </w:r>
      </w:del>
      <w:ins w:id="93" w:author="svcMRProcess" w:date="2020-04-17T18:02:00Z">
        <w:r>
          <w:t>:</w:t>
        </w:r>
      </w:ins>
      <w:r>
        <w:t xml:space="preserve"> No. 38 of 2016 s. 8.] </w:t>
      </w:r>
    </w:p>
    <w:p>
      <w:pPr>
        <w:pStyle w:val="Heading5"/>
      </w:pPr>
      <w:bookmarkStart w:id="94" w:name="_Toc38007644"/>
      <w:bookmarkStart w:id="95" w:name="_Toc478634315"/>
      <w:r>
        <w:rPr>
          <w:rStyle w:val="CharSectno"/>
        </w:rPr>
        <w:t>13G</w:t>
      </w:r>
      <w:r>
        <w:t>.</w:t>
      </w:r>
      <w:r>
        <w:tab/>
        <w:t>All reasonable endeavours must be made to satisfy vendor’s condition</w:t>
      </w:r>
      <w:bookmarkEnd w:id="94"/>
      <w:bookmarkEnd w:id="90"/>
      <w:bookmarkEnd w:id="91"/>
      <w:bookmarkEnd w:id="95"/>
    </w:p>
    <w:p>
      <w:pPr>
        <w:pStyle w:val="Subsection"/>
      </w:pPr>
      <w:r>
        <w:tab/>
        <w:t>(1)</w:t>
      </w:r>
      <w:r>
        <w:tab/>
        <w:t>A vendor and, if applicable, a purchaser must make all reasonable endeavours to ensure that the vendor can satisfy the vendor’s condition in a future lot contract.</w:t>
      </w:r>
    </w:p>
    <w:p>
      <w:pPr>
        <w:pStyle w:val="Subsection"/>
      </w:pPr>
      <w:r>
        <w:tab/>
        <w:t>(2)</w:t>
      </w:r>
      <w:r>
        <w:tab/>
        <w:t xml:space="preserve">Without limiting subsection (1), the vendor must make all reasonable endeavours before the expiry of the period specified in section 13B(2) to — </w:t>
      </w:r>
    </w:p>
    <w:p>
      <w:pPr>
        <w:pStyle w:val="Indenta"/>
      </w:pPr>
      <w:r>
        <w:tab/>
        <w:t>(a)</w:t>
      </w:r>
      <w:r>
        <w:tab/>
        <w:t>obtain the necessary regulatory approvals for the subdivision or proposed subdivision; and</w:t>
      </w:r>
    </w:p>
    <w:p>
      <w:pPr>
        <w:pStyle w:val="Indenta"/>
      </w:pPr>
      <w:r>
        <w:tab/>
        <w:t>(b)</w:t>
      </w:r>
      <w:r>
        <w:tab/>
        <w:t>create and lodge the necessary plans for the subdivision or proposed subdivision.</w:t>
      </w:r>
    </w:p>
    <w:p>
      <w:pPr>
        <w:pStyle w:val="Subsection"/>
      </w:pPr>
      <w:r>
        <w:tab/>
        <w:t>(3)</w:t>
      </w:r>
      <w:r>
        <w:tab/>
        <w:t>The vendor must give the purchaser reasonable information about the steps taken by or on behalf of the vendor to satisfy the vendor’s condition within a reasonable time after receipt of a written request for the information from the purchaser.</w:t>
      </w:r>
    </w:p>
    <w:p>
      <w:pPr>
        <w:pStyle w:val="Subsection"/>
      </w:pPr>
      <w:r>
        <w:tab/>
        <w:t>(4)</w:t>
      </w:r>
      <w:r>
        <w:tab/>
        <w:t>Despite any agreement to the contrary, the provisions of subsections (1) to (3) must be taken to form part of every future lot contract.</w:t>
      </w:r>
    </w:p>
    <w:p>
      <w:pPr>
        <w:pStyle w:val="Footnotesection"/>
      </w:pPr>
      <w:bookmarkStart w:id="96" w:name="_Toc467653687"/>
      <w:bookmarkStart w:id="97" w:name="_Toc467655037"/>
      <w:r>
        <w:tab/>
        <w:t>[Section 13G inserted</w:t>
      </w:r>
      <w:del w:id="98" w:author="svcMRProcess" w:date="2020-04-17T18:02:00Z">
        <w:r>
          <w:delText xml:space="preserve"> by</w:delText>
        </w:r>
      </w:del>
      <w:ins w:id="99" w:author="svcMRProcess" w:date="2020-04-17T18:02:00Z">
        <w:r>
          <w:t>:</w:t>
        </w:r>
      </w:ins>
      <w:r>
        <w:t xml:space="preserve"> No. 38 of 2016 s. 8.] </w:t>
      </w:r>
    </w:p>
    <w:p>
      <w:pPr>
        <w:pStyle w:val="Heading5"/>
      </w:pPr>
      <w:bookmarkStart w:id="100" w:name="_Toc38007645"/>
      <w:bookmarkStart w:id="101" w:name="_Toc478634316"/>
      <w:r>
        <w:rPr>
          <w:rStyle w:val="CharSectno"/>
        </w:rPr>
        <w:t>13H</w:t>
      </w:r>
      <w:r>
        <w:t>.</w:t>
      </w:r>
      <w:r>
        <w:tab/>
        <w:t>Consequences if vendor’s condition is satisfied</w:t>
      </w:r>
      <w:bookmarkEnd w:id="100"/>
      <w:bookmarkEnd w:id="96"/>
      <w:bookmarkEnd w:id="97"/>
      <w:bookmarkEnd w:id="101"/>
    </w:p>
    <w:p>
      <w:pPr>
        <w:pStyle w:val="Subsection"/>
      </w:pPr>
      <w:r>
        <w:tab/>
        <w:t>(1)</w:t>
      </w:r>
      <w:r>
        <w:tab/>
        <w:t>This section applies if the vendor’s condition in a future lot contract is satisfied.</w:t>
      </w:r>
    </w:p>
    <w:p>
      <w:pPr>
        <w:pStyle w:val="Subsection"/>
      </w:pPr>
      <w:r>
        <w:tab/>
        <w:t>(2)</w:t>
      </w:r>
      <w:r>
        <w:tab/>
        <w:t xml:space="preserve">If this section applies — </w:t>
      </w:r>
    </w:p>
    <w:p>
      <w:pPr>
        <w:pStyle w:val="Indenta"/>
      </w:pPr>
      <w:r>
        <w:tab/>
        <w:t>(a)</w:t>
      </w:r>
      <w:r>
        <w:tab/>
        <w:t>the vendor must give the purchaser notice in writing that the vendor’s condition has been satisfied; and</w:t>
      </w:r>
    </w:p>
    <w:p>
      <w:pPr>
        <w:pStyle w:val="Indenta"/>
      </w:pPr>
      <w:r>
        <w:tab/>
        <w:t>(b)</w:t>
      </w:r>
      <w:r>
        <w:tab/>
        <w:t>any deposit or other amount paid by the purchaser under the contract may be applied in accordance with the law.</w:t>
      </w:r>
    </w:p>
    <w:p>
      <w:pPr>
        <w:pStyle w:val="Subsection"/>
      </w:pPr>
      <w:r>
        <w:tab/>
        <w:t>(3)</w:t>
      </w:r>
      <w:r>
        <w:tab/>
        <w:t>The notice required under subsection (2)(a) must be given within 10 working days after the date on which the vendor’s condition is satisfied.</w:t>
      </w:r>
    </w:p>
    <w:p>
      <w:pPr>
        <w:pStyle w:val="Subsection"/>
      </w:pPr>
      <w:r>
        <w:tab/>
        <w:t>(4)</w:t>
      </w:r>
      <w:r>
        <w:tab/>
        <w:t>If the vendor fails to give the notice required under subsection (2)(a) within the time specified in subsection (3), the vendor’s condition is taken not to have been satisfied.</w:t>
      </w:r>
    </w:p>
    <w:p>
      <w:pPr>
        <w:pStyle w:val="Footnotesection"/>
      </w:pPr>
      <w:bookmarkStart w:id="102" w:name="_Toc449966298"/>
      <w:bookmarkStart w:id="103" w:name="_Toc467653688"/>
      <w:bookmarkStart w:id="104" w:name="_Toc467655038"/>
      <w:r>
        <w:tab/>
        <w:t>[Section 13H inserted</w:t>
      </w:r>
      <w:del w:id="105" w:author="svcMRProcess" w:date="2020-04-17T18:02:00Z">
        <w:r>
          <w:delText xml:space="preserve"> by</w:delText>
        </w:r>
      </w:del>
      <w:ins w:id="106" w:author="svcMRProcess" w:date="2020-04-17T18:02:00Z">
        <w:r>
          <w:t>:</w:t>
        </w:r>
      </w:ins>
      <w:r>
        <w:t xml:space="preserve"> No. 38 of 2016 s. 8.] </w:t>
      </w:r>
    </w:p>
    <w:p>
      <w:pPr>
        <w:pStyle w:val="Heading5"/>
      </w:pPr>
      <w:bookmarkStart w:id="107" w:name="_Toc38007646"/>
      <w:bookmarkStart w:id="108" w:name="_Toc478634317"/>
      <w:r>
        <w:rPr>
          <w:rStyle w:val="CharSectno"/>
        </w:rPr>
        <w:t>13I</w:t>
      </w:r>
      <w:r>
        <w:t>.</w:t>
      </w:r>
      <w:r>
        <w:tab/>
        <w:t>Consequences if vendor’s condition is not satisfied or is taken not to have been satisfied</w:t>
      </w:r>
      <w:bookmarkEnd w:id="107"/>
      <w:bookmarkEnd w:id="102"/>
      <w:bookmarkEnd w:id="103"/>
      <w:bookmarkEnd w:id="104"/>
      <w:bookmarkEnd w:id="108"/>
    </w:p>
    <w:p>
      <w:pPr>
        <w:pStyle w:val="Subsection"/>
      </w:pPr>
      <w:r>
        <w:tab/>
        <w:t>(1)</w:t>
      </w:r>
      <w:r>
        <w:tab/>
        <w:t xml:space="preserve">If a vendor’s condition in a future lot contract is not satisfied — </w:t>
      </w:r>
    </w:p>
    <w:p>
      <w:pPr>
        <w:pStyle w:val="Indenta"/>
      </w:pPr>
      <w:r>
        <w:tab/>
        <w:t>(a)</w:t>
      </w:r>
      <w:r>
        <w:tab/>
        <w:t>the purchaser may terminate the contract by notice in writing to the vendor; or</w:t>
      </w:r>
    </w:p>
    <w:p>
      <w:pPr>
        <w:pStyle w:val="Indenta"/>
      </w:pPr>
      <w:r>
        <w:tab/>
        <w:t>(b)</w:t>
      </w:r>
      <w:r>
        <w:tab/>
        <w:t>the vendor may terminate the contract by notice in writing to the purchaser but only if the vendor has complied with section 13G.</w:t>
      </w:r>
    </w:p>
    <w:p>
      <w:pPr>
        <w:pStyle w:val="Subsection"/>
      </w:pPr>
      <w:r>
        <w:tab/>
        <w:t>(2)</w:t>
      </w:r>
      <w:r>
        <w:tab/>
        <w:t>If the vendor’s condition is taken not to have been satisfied under section 13H(4), the purchaser may terminate the contract by notice in writing to the vendor.</w:t>
      </w:r>
    </w:p>
    <w:p>
      <w:pPr>
        <w:pStyle w:val="Subsection"/>
      </w:pPr>
      <w:r>
        <w:tab/>
        <w:t>(3)</w:t>
      </w:r>
      <w:r>
        <w:tab/>
        <w:t>To avoid doubt, nothing in this section confers on the vendor the right to terminate a future lot contract if the vendor’s condition is taken not to have been satisfied under section 13H(4).</w:t>
      </w:r>
    </w:p>
    <w:p>
      <w:pPr>
        <w:pStyle w:val="Subsection"/>
      </w:pPr>
      <w:r>
        <w:tab/>
        <w:t>(4)</w:t>
      </w:r>
      <w:r>
        <w:tab/>
        <w:t>If the contract is terminated under subsection (1)(a) or (b) or subsection (2), the purchaser may recover from the deposit holder specified in the contract or from any other person to whom the deposit was paid —</w:t>
      </w:r>
    </w:p>
    <w:p>
      <w:pPr>
        <w:pStyle w:val="Indenta"/>
      </w:pPr>
      <w:r>
        <w:tab/>
        <w:t>(a)</w:t>
      </w:r>
      <w:r>
        <w:tab/>
        <w:t>any deposit or other amount paid by the purchaser under the contract; and</w:t>
      </w:r>
    </w:p>
    <w:p>
      <w:pPr>
        <w:pStyle w:val="Indenta"/>
      </w:pPr>
      <w:r>
        <w:tab/>
        <w:t>(b)</w:t>
      </w:r>
      <w:r>
        <w:tab/>
        <w:t>if applicable, any interest accrued on the deposit or other amount.</w:t>
      </w:r>
    </w:p>
    <w:p>
      <w:pPr>
        <w:pStyle w:val="Footnotesection"/>
      </w:pPr>
      <w:r>
        <w:tab/>
        <w:t>[Section 13I inserted</w:t>
      </w:r>
      <w:del w:id="109" w:author="svcMRProcess" w:date="2020-04-17T18:02:00Z">
        <w:r>
          <w:delText xml:space="preserve"> by</w:delText>
        </w:r>
      </w:del>
      <w:ins w:id="110" w:author="svcMRProcess" w:date="2020-04-17T18:02:00Z">
        <w:r>
          <w:t>:</w:t>
        </w:r>
      </w:ins>
      <w:r>
        <w:t xml:space="preserve"> No. 38 of 2016 s. 8.] </w:t>
      </w:r>
    </w:p>
    <w:p>
      <w:pPr>
        <w:pStyle w:val="Heading5"/>
        <w:rPr>
          <w:snapToGrid w:val="0"/>
        </w:rPr>
      </w:pPr>
      <w:bookmarkStart w:id="111" w:name="_Toc38007647"/>
      <w:bookmarkStart w:id="112" w:name="_Toc478634318"/>
      <w:r>
        <w:rPr>
          <w:rStyle w:val="CharSectno"/>
        </w:rPr>
        <w:t>14</w:t>
      </w:r>
      <w:r>
        <w:rPr>
          <w:snapToGrid w:val="0"/>
        </w:rPr>
        <w:t>.</w:t>
      </w:r>
      <w:r>
        <w:rPr>
          <w:snapToGrid w:val="0"/>
        </w:rPr>
        <w:tab/>
        <w:t>Restriction on sale of mortgaged subdivisional land</w:t>
      </w:r>
      <w:bookmarkEnd w:id="111"/>
      <w:bookmarkEnd w:id="112"/>
      <w:r>
        <w:rPr>
          <w:snapToGrid w:val="0"/>
        </w:rPr>
        <w:t xml:space="preserve"> </w:t>
      </w:r>
    </w:p>
    <w:p>
      <w:pPr>
        <w:pStyle w:val="Subsection"/>
        <w:rPr>
          <w:snapToGrid w:val="0"/>
        </w:rPr>
      </w:pPr>
      <w:r>
        <w:rPr>
          <w:snapToGrid w:val="0"/>
        </w:rPr>
        <w:tab/>
        <w:t>(1)</w:t>
      </w:r>
      <w:r>
        <w:rPr>
          <w:snapToGrid w:val="0"/>
        </w:rPr>
        <w:tab/>
        <w:t xml:space="preserve">A person who has the right to sell </w:t>
      </w:r>
      <w:r>
        <w:t>one</w:t>
      </w:r>
      <w:r>
        <w:rPr>
          <w:snapToGrid w:val="0"/>
        </w:rPr>
        <w:t xml:space="preserve"> or more lots in a subdivision or proposed subdivision, or </w:t>
      </w:r>
      <w:r>
        <w:t>one</w:t>
      </w:r>
      <w:r>
        <w:rPr>
          <w:snapToGrid w:val="0"/>
        </w:rPr>
        <w:t xml:space="preserve">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pPr>
      <w:r>
        <w:tab/>
        <w:t>Penalty for this subsection: a fine of $100 000.</w:t>
      </w:r>
    </w:p>
    <w:p>
      <w:pPr>
        <w:pStyle w:val="Subsection"/>
        <w:rPr>
          <w:snapToGrid w:val="0"/>
        </w:rPr>
      </w:pPr>
      <w:r>
        <w:rPr>
          <w:snapToGrid w:val="0"/>
        </w:rPr>
        <w:tab/>
        <w:t>(2)</w:t>
      </w:r>
      <w:r>
        <w:rPr>
          <w:snapToGrid w:val="0"/>
        </w:rPr>
        <w:tab/>
        <w:t>Subsection (1) does not apply to a person who sells the lot — </w:t>
      </w:r>
    </w:p>
    <w:p>
      <w:pPr>
        <w:pStyle w:val="Ednotepara"/>
      </w:pPr>
      <w:r>
        <w:tab/>
        <w:t>[(a)</w:t>
      </w:r>
      <w:r>
        <w:tab/>
        <w:t>deleted]</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t>
      </w:r>
      <w:r>
        <w:rPr>
          <w:snapToGrid w:val="0"/>
        </w:rPr>
        <w:t xml:space="preserve">or to a licensee, as defined in section 2 of the </w:t>
      </w:r>
      <w:r>
        <w:rPr>
          <w:i/>
          <w:snapToGrid w:val="0"/>
        </w:rPr>
        <w:t>Land Agents Act 1921</w:t>
      </w:r>
      <w:r>
        <w:rPr>
          <w:snapToGrid w:val="0"/>
          <w:vertAlign w:val="superscript"/>
        </w:rPr>
        <w:t> </w:t>
      </w:r>
      <w:del w:id="113" w:author="svcMRProcess" w:date="2020-04-17T18:02:00Z">
        <w:r>
          <w:rPr>
            <w:snapToGrid w:val="0"/>
            <w:vertAlign w:val="superscript"/>
          </w:rPr>
          <w:delText>2</w:delText>
        </w:r>
      </w:del>
      <w:ins w:id="114" w:author="svcMRProcess" w:date="2020-04-17T18:02:00Z">
        <w:r>
          <w:rPr>
            <w:snapToGrid w:val="0"/>
            <w:vertAlign w:val="superscript"/>
          </w:rPr>
          <w:t>1</w:t>
        </w:r>
      </w:ins>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[Section 14 amended</w:t>
      </w:r>
      <w:del w:id="115" w:author="svcMRProcess" w:date="2020-04-17T18:02:00Z">
        <w:r>
          <w:delText xml:space="preserve"> by</w:delText>
        </w:r>
      </w:del>
      <w:ins w:id="116" w:author="svcMRProcess" w:date="2020-04-17T18:02:00Z">
        <w:r>
          <w:t>:</w:t>
        </w:r>
      </w:ins>
      <w:r>
        <w:t xml:space="preserve"> No. 40 of 1985 s. 6; No. 65 of 2003 s. 64(2); No. 21 of 2008 s. 702; No. 38 of 2016 s. 9.] </w:t>
      </w:r>
    </w:p>
    <w:p>
      <w:pPr>
        <w:pStyle w:val="Heading5"/>
        <w:rPr>
          <w:snapToGrid w:val="0"/>
        </w:rPr>
      </w:pPr>
      <w:bookmarkStart w:id="117" w:name="_Toc38007648"/>
      <w:bookmarkStart w:id="118" w:name="_Toc478634319"/>
      <w:r>
        <w:rPr>
          <w:rStyle w:val="CharSectno"/>
        </w:rPr>
        <w:t>15</w:t>
      </w:r>
      <w:r>
        <w:rPr>
          <w:snapToGrid w:val="0"/>
        </w:rPr>
        <w:t>.</w:t>
      </w:r>
      <w:r>
        <w:rPr>
          <w:snapToGrid w:val="0"/>
        </w:rPr>
        <w:tab/>
        <w:t>Exemptions</w:t>
      </w:r>
      <w:bookmarkEnd w:id="117"/>
      <w:bookmarkEnd w:id="118"/>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w:t>
      </w:r>
      <w:del w:id="119" w:author="svcMRProcess" w:date="2020-04-17T18:02:00Z">
        <w:r>
          <w:rPr>
            <w:i/>
            <w:snapToGrid w:val="0"/>
          </w:rPr>
          <w:delText> </w:delText>
        </w:r>
        <w:r>
          <w:rPr>
            <w:snapToGrid w:val="0"/>
            <w:vertAlign w:val="superscript"/>
          </w:rPr>
          <w:delText>1</w:delText>
        </w:r>
      </w:del>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w:t>
      </w:r>
      <w:del w:id="120" w:author="svcMRProcess" w:date="2020-04-17T18:02:00Z">
        <w:r>
          <w:rPr>
            <w:i/>
            <w:snapToGrid w:val="0"/>
          </w:rPr>
          <w:delText> </w:delText>
        </w:r>
        <w:r>
          <w:rPr>
            <w:snapToGrid w:val="0"/>
            <w:vertAlign w:val="superscript"/>
          </w:rPr>
          <w:delText>1</w:delText>
        </w:r>
      </w:del>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[Section 15 amended</w:t>
      </w:r>
      <w:del w:id="121" w:author="svcMRProcess" w:date="2020-04-17T18:02:00Z">
        <w:r>
          <w:delText xml:space="preserve"> by</w:delText>
        </w:r>
      </w:del>
      <w:ins w:id="122" w:author="svcMRProcess" w:date="2020-04-17T18:02:00Z">
        <w:r>
          <w:t>:</w:t>
        </w:r>
      </w:ins>
      <w:r>
        <w:t xml:space="preserve"> No. 40 of 1985 s. 7.] </w:t>
      </w:r>
    </w:p>
    <w:p>
      <w:pPr>
        <w:pStyle w:val="Heading2"/>
      </w:pPr>
      <w:bookmarkStart w:id="123" w:name="_Toc38007529"/>
      <w:bookmarkStart w:id="124" w:name="_Toc38007649"/>
      <w:bookmarkStart w:id="125" w:name="_Toc478569408"/>
      <w:bookmarkStart w:id="126" w:name="_Toc478569583"/>
      <w:bookmarkStart w:id="127" w:name="_Toc478634246"/>
      <w:bookmarkStart w:id="128" w:name="_Toc478634320"/>
      <w:r>
        <w:rPr>
          <w:rStyle w:val="CharPartNo"/>
        </w:rPr>
        <w:t>Part IV</w:t>
      </w:r>
      <w:r>
        <w:rPr>
          <w:rStyle w:val="CharDivNo"/>
        </w:rPr>
        <w:t> </w:t>
      </w:r>
      <w:r>
        <w:t>—</w:t>
      </w:r>
      <w:r>
        <w:rPr>
          <w:rStyle w:val="CharDivText"/>
        </w:rPr>
        <w:t> </w:t>
      </w:r>
      <w:r>
        <w:rPr>
          <w:rStyle w:val="CharPartText"/>
        </w:rPr>
        <w:t>Offences in relation to sale of land</w:t>
      </w:r>
      <w:bookmarkEnd w:id="123"/>
      <w:bookmarkEnd w:id="124"/>
      <w:bookmarkEnd w:id="125"/>
      <w:bookmarkEnd w:id="126"/>
      <w:bookmarkEnd w:id="127"/>
      <w:bookmarkEnd w:id="128"/>
      <w:r>
        <w:rPr>
          <w:rStyle w:val="CharPartText"/>
        </w:rPr>
        <w:t xml:space="preserve"> </w:t>
      </w:r>
    </w:p>
    <w:p>
      <w:pPr>
        <w:pStyle w:val="Heading5"/>
        <w:rPr>
          <w:snapToGrid w:val="0"/>
        </w:rPr>
      </w:pPr>
      <w:bookmarkStart w:id="129" w:name="_Toc38007650"/>
      <w:bookmarkStart w:id="130" w:name="_Toc478634321"/>
      <w:r>
        <w:rPr>
          <w:rStyle w:val="CharSectno"/>
        </w:rPr>
        <w:t>16</w:t>
      </w:r>
      <w:r>
        <w:rPr>
          <w:snapToGrid w:val="0"/>
        </w:rPr>
        <w:t>.</w:t>
      </w:r>
      <w:r>
        <w:rPr>
          <w:snapToGrid w:val="0"/>
        </w:rPr>
        <w:tab/>
        <w:t>Limitation on advertisement</w:t>
      </w:r>
      <w:bookmarkEnd w:id="129"/>
      <w:bookmarkEnd w:id="130"/>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improvement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pPr>
      <w:r>
        <w:tab/>
        <w:t>Penalty: a fine of $100 000.</w:t>
      </w:r>
    </w:p>
    <w:p>
      <w:pPr>
        <w:pStyle w:val="Footnotesection"/>
      </w:pPr>
      <w:r>
        <w:tab/>
        <w:t>[Section 16 amended</w:t>
      </w:r>
      <w:del w:id="131" w:author="svcMRProcess" w:date="2020-04-17T18:02:00Z">
        <w:r>
          <w:delText xml:space="preserve"> by</w:delText>
        </w:r>
      </w:del>
      <w:ins w:id="132" w:author="svcMRProcess" w:date="2020-04-17T18:02:00Z">
        <w:r>
          <w:t>:</w:t>
        </w:r>
      </w:ins>
      <w:r>
        <w:t xml:space="preserve"> No. 14 of 1996 s. 4; No. 38 of 2005 s. 15; No. 28 of 2010 s. 36; No. 38 of 2016 s. 10.] </w:t>
      </w:r>
    </w:p>
    <w:p>
      <w:pPr>
        <w:pStyle w:val="Heading5"/>
        <w:rPr>
          <w:snapToGrid w:val="0"/>
        </w:rPr>
      </w:pPr>
      <w:bookmarkStart w:id="133" w:name="_Toc38007651"/>
      <w:bookmarkStart w:id="134" w:name="_Toc478634322"/>
      <w:r>
        <w:rPr>
          <w:rStyle w:val="CharSectno"/>
        </w:rPr>
        <w:t>17</w:t>
      </w:r>
      <w:r>
        <w:rPr>
          <w:snapToGrid w:val="0"/>
        </w:rPr>
        <w:t>.</w:t>
      </w:r>
      <w:r>
        <w:rPr>
          <w:snapToGrid w:val="0"/>
        </w:rPr>
        <w:tab/>
        <w:t>Misrepresentation concerning public amenity</w:t>
      </w:r>
      <w:bookmarkEnd w:id="133"/>
      <w:bookmarkEnd w:id="134"/>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pPr>
      <w:r>
        <w:tab/>
        <w:t>Penalty for this subsection: a fine of $100 000.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r>
      <w:r>
        <w:rPr>
          <w:rStyle w:val="CharDefText"/>
        </w:rPr>
        <w:t>statement</w:t>
      </w:r>
      <w:r>
        <w:t xml:space="preserve"> includes a marking or indication in a brochure, pamphlet, or advertisement, issued, or in any sign publicly exhibited, before the sale.</w:t>
      </w:r>
    </w:p>
    <w:p>
      <w:pPr>
        <w:pStyle w:val="Footnotesection"/>
      </w:pPr>
      <w:r>
        <w:tab/>
        <w:t>[Section 17 amended</w:t>
      </w:r>
      <w:del w:id="135" w:author="svcMRProcess" w:date="2020-04-17T18:02:00Z">
        <w:r>
          <w:delText xml:space="preserve"> by</w:delText>
        </w:r>
      </w:del>
      <w:ins w:id="136" w:author="svcMRProcess" w:date="2020-04-17T18:02:00Z">
        <w:r>
          <w:t>:</w:t>
        </w:r>
      </w:ins>
      <w:r>
        <w:t xml:space="preserve"> No. 9 of 1973 s. 2; No. 38 of 2016 s. 11.] </w:t>
      </w:r>
    </w:p>
    <w:p>
      <w:pPr>
        <w:pStyle w:val="Heading5"/>
        <w:rPr>
          <w:snapToGrid w:val="0"/>
        </w:rPr>
      </w:pPr>
      <w:bookmarkStart w:id="137" w:name="_Toc38007652"/>
      <w:bookmarkStart w:id="138" w:name="_Toc478634323"/>
      <w:r>
        <w:rPr>
          <w:rStyle w:val="CharSectno"/>
        </w:rPr>
        <w:t>18</w:t>
      </w:r>
      <w:r>
        <w:rPr>
          <w:snapToGrid w:val="0"/>
        </w:rPr>
        <w:t>.</w:t>
      </w:r>
      <w:r>
        <w:rPr>
          <w:snapToGrid w:val="0"/>
        </w:rPr>
        <w:tab/>
        <w:t>House to house selling prohibited</w:t>
      </w:r>
      <w:bookmarkEnd w:id="137"/>
      <w:bookmarkEnd w:id="138"/>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pPr>
      <w:r>
        <w:tab/>
        <w:t>Penalty: a fine of $100 000.</w:t>
      </w:r>
    </w:p>
    <w:p>
      <w:pPr>
        <w:pStyle w:val="Footnotesection"/>
      </w:pPr>
      <w:r>
        <w:tab/>
        <w:t>[Section 18 amended</w:t>
      </w:r>
      <w:del w:id="139" w:author="svcMRProcess" w:date="2020-04-17T18:02:00Z">
        <w:r>
          <w:delText xml:space="preserve"> by</w:delText>
        </w:r>
      </w:del>
      <w:ins w:id="140" w:author="svcMRProcess" w:date="2020-04-17T18:02:00Z">
        <w:r>
          <w:t>:</w:t>
        </w:r>
      </w:ins>
      <w:r>
        <w:t xml:space="preserve"> No. 38 of 2016 s. 12.] </w:t>
      </w:r>
    </w:p>
    <w:p>
      <w:pPr>
        <w:pStyle w:val="Heading5"/>
        <w:rPr>
          <w:snapToGrid w:val="0"/>
        </w:rPr>
      </w:pPr>
      <w:bookmarkStart w:id="141" w:name="_Toc38007653"/>
      <w:bookmarkStart w:id="142" w:name="_Toc478634324"/>
      <w:r>
        <w:rPr>
          <w:rStyle w:val="CharSectno"/>
        </w:rPr>
        <w:t>19</w:t>
      </w:r>
      <w:r>
        <w:rPr>
          <w:snapToGrid w:val="0"/>
        </w:rPr>
        <w:t>.</w:t>
      </w:r>
      <w:r>
        <w:rPr>
          <w:snapToGrid w:val="0"/>
        </w:rPr>
        <w:tab/>
        <w:t>Remedy of purchaser on contravention of s. 18</w:t>
      </w:r>
      <w:bookmarkEnd w:id="141"/>
      <w:bookmarkEnd w:id="142"/>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143" w:name="_Toc38007534"/>
      <w:bookmarkStart w:id="144" w:name="_Toc38007654"/>
      <w:bookmarkStart w:id="145" w:name="_Toc478569413"/>
      <w:bookmarkStart w:id="146" w:name="_Toc478569588"/>
      <w:bookmarkStart w:id="147" w:name="_Toc478634251"/>
      <w:bookmarkStart w:id="148" w:name="_Toc478634325"/>
      <w:r>
        <w:rPr>
          <w:rStyle w:val="CharPartNo"/>
        </w:rPr>
        <w:t>Part IVA</w:t>
      </w:r>
      <w:r>
        <w:rPr>
          <w:rStyle w:val="CharDivNo"/>
        </w:rPr>
        <w:t> </w:t>
      </w:r>
      <w:r>
        <w:t>—</w:t>
      </w:r>
      <w:r>
        <w:rPr>
          <w:rStyle w:val="CharDivText"/>
        </w:rPr>
        <w:t> </w:t>
      </w:r>
      <w:r>
        <w:rPr>
          <w:rStyle w:val="CharPartText"/>
        </w:rPr>
        <w:t>Dealings in undivided shares in land</w:t>
      </w:r>
      <w:bookmarkEnd w:id="143"/>
      <w:bookmarkEnd w:id="144"/>
      <w:bookmarkEnd w:id="145"/>
      <w:bookmarkEnd w:id="146"/>
      <w:bookmarkEnd w:id="147"/>
      <w:bookmarkEnd w:id="148"/>
      <w:r>
        <w:rPr>
          <w:rStyle w:val="CharPartText"/>
        </w:rPr>
        <w:t xml:space="preserve"> </w:t>
      </w:r>
    </w:p>
    <w:p>
      <w:pPr>
        <w:pStyle w:val="Footnotesection"/>
        <w:spacing w:before="80"/>
        <w:ind w:left="890" w:hanging="890"/>
      </w:pPr>
      <w:r>
        <w:tab/>
        <w:t>[Heading inserted</w:t>
      </w:r>
      <w:del w:id="149" w:author="svcMRProcess" w:date="2020-04-17T18:02:00Z">
        <w:r>
          <w:delText xml:space="preserve"> by</w:delText>
        </w:r>
      </w:del>
      <w:ins w:id="150" w:author="svcMRProcess" w:date="2020-04-17T18:02:00Z">
        <w:r>
          <w:t>:</w:t>
        </w:r>
      </w:ins>
      <w:r>
        <w:t xml:space="preserve"> No. 70 of 1974 s. 4.]</w:t>
      </w:r>
    </w:p>
    <w:p>
      <w:pPr>
        <w:pStyle w:val="Heading5"/>
        <w:spacing w:before="180"/>
        <w:rPr>
          <w:snapToGrid w:val="0"/>
        </w:rPr>
      </w:pPr>
      <w:bookmarkStart w:id="151" w:name="_Toc38007655"/>
      <w:bookmarkStart w:id="152" w:name="_Toc478634326"/>
      <w:r>
        <w:rPr>
          <w:rStyle w:val="CharSectno"/>
        </w:rPr>
        <w:t>19A</w:t>
      </w:r>
      <w:r>
        <w:rPr>
          <w:snapToGrid w:val="0"/>
        </w:rPr>
        <w:t>.</w:t>
      </w:r>
      <w:r>
        <w:rPr>
          <w:snapToGrid w:val="0"/>
        </w:rPr>
        <w:tab/>
        <w:t>Interpretation, etc.</w:t>
      </w:r>
      <w:bookmarkEnd w:id="151"/>
      <w:bookmarkEnd w:id="152"/>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[Section 19A inserted</w:t>
      </w:r>
      <w:del w:id="153" w:author="svcMRProcess" w:date="2020-04-17T18:02:00Z">
        <w:r>
          <w:delText xml:space="preserve"> by</w:delText>
        </w:r>
      </w:del>
      <w:ins w:id="154" w:author="svcMRProcess" w:date="2020-04-17T18:02:00Z">
        <w:r>
          <w:t>:</w:t>
        </w:r>
      </w:ins>
      <w:r>
        <w:t xml:space="preserve"> No. 70 of 1974 s. 4; amended</w:t>
      </w:r>
      <w:del w:id="155" w:author="svcMRProcess" w:date="2020-04-17T18:02:00Z">
        <w:r>
          <w:delText xml:space="preserve"> by</w:delText>
        </w:r>
      </w:del>
      <w:ins w:id="156" w:author="svcMRProcess" w:date="2020-04-17T18:02:00Z">
        <w:r>
          <w:t>:</w:t>
        </w:r>
      </w:ins>
      <w:r>
        <w:t xml:space="preserve"> No. 10 of 1982 s. 28; No. 20 of 2003 s. 43.] </w:t>
      </w:r>
    </w:p>
    <w:p>
      <w:pPr>
        <w:pStyle w:val="Heading5"/>
        <w:rPr>
          <w:snapToGrid w:val="0"/>
        </w:rPr>
      </w:pPr>
      <w:bookmarkStart w:id="157" w:name="_Toc38007656"/>
      <w:bookmarkStart w:id="158" w:name="_Toc478634327"/>
      <w:r>
        <w:rPr>
          <w:rStyle w:val="CharSectno"/>
        </w:rPr>
        <w:t>19B</w:t>
      </w:r>
      <w:r>
        <w:rPr>
          <w:snapToGrid w:val="0"/>
        </w:rPr>
        <w:t>.</w:t>
      </w:r>
      <w:r>
        <w:rPr>
          <w:snapToGrid w:val="0"/>
        </w:rPr>
        <w:tab/>
        <w:t>Certain offers to the public prohibited</w:t>
      </w:r>
      <w:bookmarkEnd w:id="157"/>
      <w:bookmarkEnd w:id="158"/>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pPr>
      <w:r>
        <w:tab/>
        <w:t>Penalty for this subsection: a fine of $100 000.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w:t>
      </w:r>
      <w:del w:id="159" w:author="svcMRProcess" w:date="2020-04-17T18:02:00Z">
        <w:r>
          <w:rPr>
            <w:i/>
            <w:snapToGrid w:val="0"/>
          </w:rPr>
          <w:delText> </w:delText>
        </w:r>
        <w:r>
          <w:rPr>
            <w:snapToGrid w:val="0"/>
            <w:vertAlign w:val="superscript"/>
          </w:rPr>
          <w:delText>1</w:delText>
        </w:r>
      </w:del>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[Section 19B inserted</w:t>
      </w:r>
      <w:del w:id="160" w:author="svcMRProcess" w:date="2020-04-17T18:02:00Z">
        <w:r>
          <w:delText xml:space="preserve"> by</w:delText>
        </w:r>
      </w:del>
      <w:ins w:id="161" w:author="svcMRProcess" w:date="2020-04-17T18:02:00Z">
        <w:r>
          <w:t>:</w:t>
        </w:r>
      </w:ins>
      <w:r>
        <w:t xml:space="preserve"> No. 70 of 1974 s. 5; amended</w:t>
      </w:r>
      <w:del w:id="162" w:author="svcMRProcess" w:date="2020-04-17T18:02:00Z">
        <w:r>
          <w:delText xml:space="preserve"> by</w:delText>
        </w:r>
      </w:del>
      <w:ins w:id="163" w:author="svcMRProcess" w:date="2020-04-17T18:02:00Z">
        <w:r>
          <w:t>:</w:t>
        </w:r>
      </w:ins>
      <w:r>
        <w:t xml:space="preserve"> No. 10 of 1982 s. 28; No. 20 of 2003 s. 44; No. 84 of 2004 s. 80 and 82; No. 38 of 2016 s. 13.] </w:t>
      </w:r>
    </w:p>
    <w:p>
      <w:pPr>
        <w:pStyle w:val="Heading5"/>
        <w:rPr>
          <w:snapToGrid w:val="0"/>
        </w:rPr>
      </w:pPr>
      <w:bookmarkStart w:id="164" w:name="_Toc38007657"/>
      <w:bookmarkStart w:id="165" w:name="_Toc478634328"/>
      <w:r>
        <w:rPr>
          <w:rStyle w:val="CharSectno"/>
        </w:rPr>
        <w:t>19C</w:t>
      </w:r>
      <w:r>
        <w:rPr>
          <w:snapToGrid w:val="0"/>
        </w:rPr>
        <w:t>.</w:t>
      </w:r>
      <w:r>
        <w:rPr>
          <w:snapToGrid w:val="0"/>
        </w:rPr>
        <w:tab/>
        <w:t>Transitional provision</w:t>
      </w:r>
      <w:bookmarkEnd w:id="164"/>
      <w:bookmarkEnd w:id="165"/>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w:t>
      </w:r>
      <w:del w:id="166" w:author="svcMRProcess" w:date="2020-04-17T18:02:00Z">
        <w:r>
          <w:rPr>
            <w:i/>
            <w:snapToGrid w:val="0"/>
          </w:rPr>
          <w:delText> </w:delText>
        </w:r>
        <w:r>
          <w:rPr>
            <w:snapToGrid w:val="0"/>
            <w:vertAlign w:val="superscript"/>
          </w:rPr>
          <w:delText>1</w:delText>
        </w:r>
      </w:del>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w:t>
      </w:r>
      <w:del w:id="167" w:author="svcMRProcess" w:date="2020-04-17T18:02:00Z">
        <w:r>
          <w:rPr>
            <w:i/>
            <w:snapToGrid w:val="0"/>
          </w:rPr>
          <w:delText> </w:delText>
        </w:r>
        <w:r>
          <w:rPr>
            <w:snapToGrid w:val="0"/>
            <w:vertAlign w:val="superscript"/>
          </w:rPr>
          <w:delText>1</w:delText>
        </w:r>
      </w:del>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w:t>
      </w:r>
      <w:del w:id="168" w:author="svcMRProcess" w:date="2020-04-17T18:02:00Z">
        <w:r>
          <w:rPr>
            <w:i/>
            <w:snapToGrid w:val="0"/>
          </w:rPr>
          <w:delText> </w:delText>
        </w:r>
        <w:r>
          <w:rPr>
            <w:snapToGrid w:val="0"/>
            <w:vertAlign w:val="superscript"/>
          </w:rPr>
          <w:delText>1</w:delText>
        </w:r>
      </w:del>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w:t>
      </w:r>
      <w:del w:id="169" w:author="svcMRProcess" w:date="2020-04-17T18:02:00Z">
        <w:r>
          <w:rPr>
            <w:i/>
            <w:snapToGrid w:val="0"/>
          </w:rPr>
          <w:delText> </w:delText>
        </w:r>
        <w:r>
          <w:rPr>
            <w:snapToGrid w:val="0"/>
            <w:vertAlign w:val="superscript"/>
          </w:rPr>
          <w:delText>1</w:delText>
        </w:r>
      </w:del>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[Section 19C inserted</w:t>
      </w:r>
      <w:del w:id="170" w:author="svcMRProcess" w:date="2020-04-17T18:02:00Z">
        <w:r>
          <w:delText xml:space="preserve"> by</w:delText>
        </w:r>
      </w:del>
      <w:ins w:id="171" w:author="svcMRProcess" w:date="2020-04-17T18:02:00Z">
        <w:r>
          <w:t>:</w:t>
        </w:r>
      </w:ins>
      <w:r>
        <w:t xml:space="preserve"> No. 70 of 1974 s. 6.] </w:t>
      </w:r>
    </w:p>
    <w:p>
      <w:pPr>
        <w:pStyle w:val="Heading5"/>
        <w:rPr>
          <w:snapToGrid w:val="0"/>
        </w:rPr>
      </w:pPr>
      <w:bookmarkStart w:id="172" w:name="_Toc38007658"/>
      <w:bookmarkStart w:id="173" w:name="_Toc478634329"/>
      <w:r>
        <w:rPr>
          <w:rStyle w:val="CharSectno"/>
        </w:rPr>
        <w:t>19D</w:t>
      </w:r>
      <w:r>
        <w:rPr>
          <w:snapToGrid w:val="0"/>
        </w:rPr>
        <w:t>.</w:t>
      </w:r>
      <w:r>
        <w:rPr>
          <w:snapToGrid w:val="0"/>
        </w:rPr>
        <w:tab/>
        <w:t>Rescission</w:t>
      </w:r>
      <w:bookmarkEnd w:id="172"/>
      <w:bookmarkEnd w:id="173"/>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[Section 19D inserted</w:t>
      </w:r>
      <w:del w:id="174" w:author="svcMRProcess" w:date="2020-04-17T18:02:00Z">
        <w:r>
          <w:delText xml:space="preserve"> by</w:delText>
        </w:r>
      </w:del>
      <w:ins w:id="175" w:author="svcMRProcess" w:date="2020-04-17T18:02:00Z">
        <w:r>
          <w:t>:</w:t>
        </w:r>
      </w:ins>
      <w:r>
        <w:t xml:space="preserve"> No. 70 of 1974 s. 7.] </w:t>
      </w:r>
    </w:p>
    <w:p>
      <w:pPr>
        <w:pStyle w:val="Heading2"/>
      </w:pPr>
      <w:bookmarkStart w:id="176" w:name="_Toc38007539"/>
      <w:bookmarkStart w:id="177" w:name="_Toc38007659"/>
      <w:bookmarkStart w:id="178" w:name="_Toc478569418"/>
      <w:bookmarkStart w:id="179" w:name="_Toc478569593"/>
      <w:bookmarkStart w:id="180" w:name="_Toc478634256"/>
      <w:bookmarkStart w:id="181" w:name="_Toc478634330"/>
      <w:r>
        <w:rPr>
          <w:rStyle w:val="CharPartNo"/>
        </w:rPr>
        <w:t>Part V</w:t>
      </w:r>
      <w:r>
        <w:rPr>
          <w:rStyle w:val="CharDivNo"/>
        </w:rPr>
        <w:t> </w:t>
      </w:r>
      <w:r>
        <w:t>—</w:t>
      </w:r>
      <w:r>
        <w:rPr>
          <w:rStyle w:val="CharDivText"/>
        </w:rPr>
        <w:t> </w:t>
      </w:r>
      <w:r>
        <w:rPr>
          <w:rStyle w:val="CharPartText"/>
        </w:rPr>
        <w:t>Application to the Court by vendor or purchaser</w:t>
      </w:r>
      <w:bookmarkEnd w:id="176"/>
      <w:bookmarkEnd w:id="177"/>
      <w:bookmarkEnd w:id="178"/>
      <w:bookmarkEnd w:id="179"/>
      <w:bookmarkEnd w:id="180"/>
      <w:bookmarkEnd w:id="181"/>
      <w:r>
        <w:rPr>
          <w:rStyle w:val="CharPartText"/>
        </w:rPr>
        <w:t xml:space="preserve"> </w:t>
      </w:r>
    </w:p>
    <w:p>
      <w:pPr>
        <w:pStyle w:val="Heading5"/>
        <w:rPr>
          <w:snapToGrid w:val="0"/>
        </w:rPr>
      </w:pPr>
      <w:bookmarkStart w:id="182" w:name="_Toc38007660"/>
      <w:bookmarkStart w:id="183" w:name="_Toc478634331"/>
      <w:r>
        <w:rPr>
          <w:rStyle w:val="CharSectno"/>
        </w:rPr>
        <w:t>20</w:t>
      </w:r>
      <w:r>
        <w:rPr>
          <w:snapToGrid w:val="0"/>
        </w:rPr>
        <w:t>.</w:t>
      </w:r>
      <w:r>
        <w:rPr>
          <w:snapToGrid w:val="0"/>
        </w:rPr>
        <w:tab/>
        <w:t>Application to Court</w:t>
      </w:r>
      <w:bookmarkEnd w:id="182"/>
      <w:bookmarkEnd w:id="183"/>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184" w:name="_Toc38007541"/>
      <w:bookmarkStart w:id="185" w:name="_Toc38007661"/>
      <w:bookmarkStart w:id="186" w:name="_Toc478569420"/>
      <w:bookmarkStart w:id="187" w:name="_Toc478569595"/>
      <w:bookmarkStart w:id="188" w:name="_Toc478634258"/>
      <w:bookmarkStart w:id="189" w:name="_Toc478634332"/>
      <w:r>
        <w:rPr>
          <w:rStyle w:val="CharPartNo"/>
        </w:rPr>
        <w:t>Part VI</w:t>
      </w:r>
      <w:r>
        <w:rPr>
          <w:rStyle w:val="CharDivNo"/>
        </w:rPr>
        <w:t> </w:t>
      </w:r>
      <w:r>
        <w:t>—</w:t>
      </w:r>
      <w:r>
        <w:rPr>
          <w:rStyle w:val="CharDivText"/>
        </w:rPr>
        <w:t> </w:t>
      </w:r>
      <w:r>
        <w:rPr>
          <w:rStyle w:val="CharPartText"/>
        </w:rPr>
        <w:t>Rules relating to title of general law land</w:t>
      </w:r>
      <w:bookmarkEnd w:id="184"/>
      <w:bookmarkEnd w:id="185"/>
      <w:bookmarkEnd w:id="186"/>
      <w:bookmarkEnd w:id="187"/>
      <w:bookmarkEnd w:id="188"/>
      <w:bookmarkEnd w:id="189"/>
      <w:r>
        <w:rPr>
          <w:rStyle w:val="CharPartText"/>
        </w:rPr>
        <w:t xml:space="preserve"> </w:t>
      </w:r>
    </w:p>
    <w:p>
      <w:pPr>
        <w:pStyle w:val="Heading5"/>
        <w:rPr>
          <w:snapToGrid w:val="0"/>
        </w:rPr>
      </w:pPr>
      <w:bookmarkStart w:id="190" w:name="_Toc38007662"/>
      <w:bookmarkStart w:id="191" w:name="_Toc478634333"/>
      <w:r>
        <w:rPr>
          <w:rStyle w:val="CharSectno"/>
        </w:rPr>
        <w:t>21</w:t>
      </w:r>
      <w:r>
        <w:rPr>
          <w:snapToGrid w:val="0"/>
        </w:rPr>
        <w:t>.</w:t>
      </w:r>
      <w:r>
        <w:rPr>
          <w:snapToGrid w:val="0"/>
        </w:rPr>
        <w:tab/>
        <w:t>Application of this Part</w:t>
      </w:r>
      <w:bookmarkEnd w:id="190"/>
      <w:bookmarkEnd w:id="191"/>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192" w:name="_Toc38007663"/>
      <w:bookmarkStart w:id="193" w:name="_Toc478634334"/>
      <w:r>
        <w:rPr>
          <w:rStyle w:val="CharSectno"/>
        </w:rPr>
        <w:t>22</w:t>
      </w:r>
      <w:r>
        <w:rPr>
          <w:snapToGrid w:val="0"/>
        </w:rPr>
        <w:t>.</w:t>
      </w:r>
      <w:r>
        <w:rPr>
          <w:snapToGrid w:val="0"/>
        </w:rPr>
        <w:tab/>
        <w:t>Thirty years title substituted for 40 years</w:t>
      </w:r>
      <w:bookmarkEnd w:id="192"/>
      <w:bookmarkEnd w:id="193"/>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194" w:name="_Toc38007664"/>
      <w:bookmarkStart w:id="195" w:name="_Toc478634335"/>
      <w:r>
        <w:rPr>
          <w:rStyle w:val="CharSectno"/>
        </w:rPr>
        <w:t>23</w:t>
      </w:r>
      <w:r>
        <w:rPr>
          <w:snapToGrid w:val="0"/>
        </w:rPr>
        <w:t>.</w:t>
      </w:r>
      <w:r>
        <w:rPr>
          <w:snapToGrid w:val="0"/>
        </w:rPr>
        <w:tab/>
        <w:t>Rights of vendor and purchaser as to title</w:t>
      </w:r>
      <w:bookmarkEnd w:id="194"/>
      <w:bookmarkEnd w:id="195"/>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Heading2"/>
      </w:pPr>
      <w:bookmarkStart w:id="196" w:name="_Toc38007545"/>
      <w:bookmarkStart w:id="197" w:name="_Toc38007665"/>
      <w:bookmarkStart w:id="198" w:name="_Toc449965667"/>
      <w:bookmarkStart w:id="199" w:name="_Toc449966302"/>
      <w:bookmarkStart w:id="200" w:name="_Toc450030047"/>
      <w:bookmarkStart w:id="201" w:name="_Toc450030436"/>
      <w:bookmarkStart w:id="202" w:name="_Toc450038141"/>
      <w:bookmarkStart w:id="203" w:name="_Toc450038523"/>
      <w:bookmarkStart w:id="204" w:name="_Toc450053229"/>
      <w:bookmarkStart w:id="205" w:name="_Toc450116269"/>
      <w:bookmarkStart w:id="206" w:name="_Toc450116524"/>
      <w:bookmarkStart w:id="207" w:name="_Toc450134654"/>
      <w:bookmarkStart w:id="208" w:name="_Toc450134687"/>
      <w:bookmarkStart w:id="209" w:name="_Toc450134781"/>
      <w:bookmarkStart w:id="210" w:name="_Toc450203751"/>
      <w:bookmarkStart w:id="211" w:name="_Toc450222793"/>
      <w:bookmarkStart w:id="212" w:name="_Toc450222818"/>
      <w:bookmarkStart w:id="213" w:name="_Toc450224174"/>
      <w:bookmarkStart w:id="214" w:name="_Toc450224247"/>
      <w:bookmarkStart w:id="215" w:name="_Toc453150555"/>
      <w:bookmarkStart w:id="216" w:name="_Toc453150827"/>
      <w:bookmarkStart w:id="217" w:name="_Toc454283359"/>
      <w:bookmarkStart w:id="218" w:name="_Toc454285652"/>
      <w:bookmarkStart w:id="219" w:name="_Toc461021307"/>
      <w:bookmarkStart w:id="220" w:name="_Toc461028064"/>
      <w:bookmarkStart w:id="221" w:name="_Toc466885600"/>
      <w:bookmarkStart w:id="222" w:name="_Toc466885856"/>
      <w:bookmarkStart w:id="223" w:name="_Toc467653695"/>
      <w:bookmarkStart w:id="224" w:name="_Toc467655045"/>
      <w:bookmarkStart w:id="225" w:name="_Toc478569424"/>
      <w:bookmarkStart w:id="226" w:name="_Toc478569599"/>
      <w:bookmarkStart w:id="227" w:name="_Toc478634262"/>
      <w:bookmarkStart w:id="228" w:name="_Toc478634336"/>
      <w:r>
        <w:rPr>
          <w:rStyle w:val="CharPartNo"/>
        </w:rPr>
        <w:t>Part VII</w:t>
      </w:r>
      <w:r>
        <w:rPr>
          <w:rStyle w:val="CharDivNo"/>
        </w:rPr>
        <w:t> </w:t>
      </w:r>
      <w:r>
        <w:t>—</w:t>
      </w:r>
      <w:r>
        <w:rPr>
          <w:rStyle w:val="CharDivText"/>
        </w:rPr>
        <w:t> </w:t>
      </w:r>
      <w:r>
        <w:rPr>
          <w:rStyle w:val="CharPartText"/>
        </w:rPr>
        <w:t xml:space="preserve">Transitional provisions for </w:t>
      </w:r>
      <w:r>
        <w:rPr>
          <w:rStyle w:val="CharPartText"/>
          <w:i/>
        </w:rPr>
        <w:t>Sale of Land Amendment Act 2016</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pPr>
        <w:pStyle w:val="Footnoteheading"/>
      </w:pPr>
      <w:bookmarkStart w:id="229" w:name="_Toc449966303"/>
      <w:bookmarkStart w:id="230" w:name="_Toc467653696"/>
      <w:bookmarkStart w:id="231" w:name="_Toc467655046"/>
      <w:r>
        <w:tab/>
        <w:t>[Heading inserted</w:t>
      </w:r>
      <w:del w:id="232" w:author="svcMRProcess" w:date="2020-04-17T18:02:00Z">
        <w:r>
          <w:delText xml:space="preserve"> by</w:delText>
        </w:r>
      </w:del>
      <w:ins w:id="233" w:author="svcMRProcess" w:date="2020-04-17T18:02:00Z">
        <w:r>
          <w:t>:</w:t>
        </w:r>
      </w:ins>
      <w:r>
        <w:t xml:space="preserve"> No. 38 of 2016 s. 14.] </w:t>
      </w:r>
    </w:p>
    <w:p>
      <w:pPr>
        <w:pStyle w:val="Heading5"/>
      </w:pPr>
      <w:bookmarkStart w:id="234" w:name="_Toc38007666"/>
      <w:bookmarkStart w:id="235" w:name="_Toc478634337"/>
      <w:r>
        <w:rPr>
          <w:rStyle w:val="CharSectno"/>
        </w:rPr>
        <w:t>24</w:t>
      </w:r>
      <w:r>
        <w:t>.</w:t>
      </w:r>
      <w:r>
        <w:tab/>
        <w:t xml:space="preserve">Transitional provisions for </w:t>
      </w:r>
      <w:r>
        <w:rPr>
          <w:i/>
        </w:rPr>
        <w:t>Sale of Land Amendment Act 2016</w:t>
      </w:r>
      <w:bookmarkEnd w:id="234"/>
      <w:bookmarkEnd w:id="229"/>
      <w:bookmarkEnd w:id="230"/>
      <w:bookmarkEnd w:id="231"/>
      <w:bookmarkEnd w:id="235"/>
    </w:p>
    <w:p>
      <w:pPr>
        <w:pStyle w:val="Subsection"/>
      </w:pPr>
      <w:r>
        <w:tab/>
        <w:t>(1)</w:t>
      </w:r>
      <w:r>
        <w:tab/>
        <w:t xml:space="preserve">In this section — </w:t>
      </w:r>
    </w:p>
    <w:p>
      <w:pPr>
        <w:pStyle w:val="Defstart"/>
      </w:pPr>
      <w:r>
        <w:tab/>
      </w:r>
      <w:r>
        <w:rPr>
          <w:rStyle w:val="CharDefText"/>
        </w:rPr>
        <w:t>amendment Act</w:t>
      </w:r>
      <w:r>
        <w:t xml:space="preserve"> means the </w:t>
      </w:r>
      <w:r>
        <w:rPr>
          <w:i/>
        </w:rPr>
        <w:t>Sale of Land Amendment Act 2016</w:t>
      </w:r>
      <w:r>
        <w:t>;</w:t>
      </w:r>
    </w:p>
    <w:p>
      <w:pPr>
        <w:pStyle w:val="Defstart"/>
      </w:pPr>
      <w:r>
        <w:tab/>
      </w:r>
      <w:r>
        <w:rPr>
          <w:rStyle w:val="CharDefText"/>
        </w:rPr>
        <w:t>commencement day</w:t>
      </w:r>
      <w:r>
        <w:t xml:space="preserve"> means the day on which sections 6 to 8 of the amendment Act come into operation;</w:t>
      </w:r>
    </w:p>
    <w:p>
      <w:pPr>
        <w:pStyle w:val="Defstart"/>
      </w:pPr>
      <w:r>
        <w:tab/>
      </w:r>
      <w:r>
        <w:rPr>
          <w:rStyle w:val="CharDefText"/>
        </w:rPr>
        <w:t>future lot contract</w:t>
      </w:r>
      <w:r>
        <w:t xml:space="preserve"> has the meaning given in section 11 (as amended by the amendment Act);</w:t>
      </w:r>
    </w:p>
    <w:p>
      <w:pPr>
        <w:pStyle w:val="Defstart"/>
      </w:pPr>
      <w:r>
        <w:tab/>
      </w:r>
      <w:r>
        <w:rPr>
          <w:rStyle w:val="CharDefText"/>
        </w:rPr>
        <w:t>post</w:t>
      </w:r>
      <w:r>
        <w:rPr>
          <w:rStyle w:val="CharDefText"/>
        </w:rPr>
        <w:noBreakHyphen/>
        <w:t>commencement future lot contract</w:t>
      </w:r>
      <w:r>
        <w:t xml:space="preserve"> means a future lot contract entered into on or after the commencement day;</w:t>
      </w:r>
    </w:p>
    <w:p>
      <w:pPr>
        <w:pStyle w:val="Defstart"/>
      </w:pPr>
      <w:r>
        <w:tab/>
      </w:r>
      <w:r>
        <w:rPr>
          <w:rStyle w:val="CharDefText"/>
        </w:rPr>
        <w:t>pre</w:t>
      </w:r>
      <w:r>
        <w:rPr>
          <w:rStyle w:val="CharDefText"/>
        </w:rPr>
        <w:noBreakHyphen/>
        <w:t>commencement future lot contract</w:t>
      </w:r>
      <w:r>
        <w:t xml:space="preserve"> means a future lot contract entered into before the commencement day.</w:t>
      </w:r>
    </w:p>
    <w:p>
      <w:pPr>
        <w:pStyle w:val="Subsection"/>
      </w:pPr>
      <w:r>
        <w:tab/>
        <w:t>(2)</w:t>
      </w:r>
      <w:r>
        <w:tab/>
        <w:t>Subject to section 13, a pre</w:t>
      </w:r>
      <w:r>
        <w:noBreakHyphen/>
        <w:t>commencement future lot contract continues in effect as if the amendment Act had not been enacted.</w:t>
      </w:r>
    </w:p>
    <w:p>
      <w:pPr>
        <w:pStyle w:val="Subsection"/>
      </w:pPr>
      <w:r>
        <w:tab/>
        <w:t>(3)</w:t>
      </w:r>
      <w:r>
        <w:tab/>
        <w:t>Sections 13A to 13I (as inserted by the amendment Act) apply to every post</w:t>
      </w:r>
      <w:r>
        <w:noBreakHyphen/>
        <w:t>commencement future lot contract.</w:t>
      </w:r>
    </w:p>
    <w:p>
      <w:pPr>
        <w:pStyle w:val="Footnotesection"/>
      </w:pPr>
      <w:r>
        <w:tab/>
        <w:t>[Section 24 inserted</w:t>
      </w:r>
      <w:del w:id="236" w:author="svcMRProcess" w:date="2020-04-17T18:02:00Z">
        <w:r>
          <w:delText xml:space="preserve"> by</w:delText>
        </w:r>
      </w:del>
      <w:ins w:id="237" w:author="svcMRProcess" w:date="2020-04-17T18:02:00Z">
        <w:r>
          <w:t>:</w:t>
        </w:r>
      </w:ins>
      <w:r>
        <w:t xml:space="preserve"> No. 38 of 2016 s. 14.] </w:t>
      </w:r>
    </w:p>
    <w:p>
      <w:pPr>
        <w:pStyle w:val="yEdnoteschedule"/>
      </w:pPr>
      <w:r>
        <w:t>[</w:t>
      </w:r>
      <w:r>
        <w:rPr>
          <w:bCs/>
        </w:rPr>
        <w:t>Schedule o</w:t>
      </w:r>
      <w:r>
        <w:t>mitted under the Reprints Act 1984 s. 7(4)(f).]</w:t>
      </w:r>
    </w:p>
    <w:p>
      <w:pPr>
        <w:pStyle w:val="CentredBaseLine"/>
        <w:jc w:val="center"/>
        <w:rPr>
          <w:ins w:id="238" w:author="svcMRProcess" w:date="2020-04-17T18:02:00Z"/>
        </w:rPr>
      </w:pPr>
      <w:ins w:id="239" w:author="svcMRProcess" w:date="2020-04-17T18:02:00Z">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ins>
    </w:p>
    <w:p>
      <w:pPr>
        <w:rPr>
          <w:ins w:id="240" w:author="svcMRProcess" w:date="2020-04-17T18:02:00Z"/>
        </w:rPr>
      </w:pP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pgSz w:w="11907" w:h="16840" w:code="9"/>
          <w:pgMar w:top="2381" w:right="2409" w:bottom="3543" w:left="2409" w:header="720" w:footer="3380" w:gutter="0"/>
          <w:pgNumType w:start="1"/>
          <w:cols w:space="720"/>
          <w:noEndnote/>
          <w:titlePg/>
          <w:docGrid w:linePitch="326"/>
        </w:sectPr>
      </w:pPr>
    </w:p>
    <w:p>
      <w:pPr>
        <w:pStyle w:val="nHeading2"/>
      </w:pPr>
      <w:bookmarkStart w:id="241" w:name="_Toc38007547"/>
      <w:bookmarkStart w:id="242" w:name="_Toc38007667"/>
      <w:bookmarkStart w:id="243" w:name="_Toc478569426"/>
      <w:bookmarkStart w:id="244" w:name="_Toc478569601"/>
      <w:bookmarkStart w:id="245" w:name="_Toc478634264"/>
      <w:bookmarkStart w:id="246" w:name="_Toc478634338"/>
      <w:r>
        <w:t>Notes</w:t>
      </w:r>
      <w:bookmarkEnd w:id="241"/>
      <w:bookmarkEnd w:id="242"/>
      <w:bookmarkEnd w:id="243"/>
      <w:bookmarkEnd w:id="244"/>
      <w:bookmarkEnd w:id="245"/>
      <w:bookmarkEnd w:id="246"/>
    </w:p>
    <w:p>
      <w:pPr>
        <w:pStyle w:val="nStatement"/>
      </w:pPr>
      <w:del w:id="247" w:author="svcMRProcess" w:date="2020-04-17T18:02:00Z">
        <w:r>
          <w:rPr>
            <w:snapToGrid w:val="0"/>
            <w:vertAlign w:val="superscript"/>
          </w:rPr>
          <w:delText>1</w:delText>
        </w:r>
        <w:r>
          <w:rPr>
            <w:snapToGrid w:val="0"/>
          </w:rPr>
          <w:tab/>
        </w:r>
      </w:del>
      <w:r>
        <w:t xml:space="preserve">This is a compilation of the </w:t>
      </w:r>
      <w:r>
        <w:rPr>
          <w:i/>
          <w:noProof/>
        </w:rPr>
        <w:t>Sale of Land Act</w:t>
      </w:r>
      <w:del w:id="248" w:author="svcMRProcess" w:date="2020-04-17T18:02:00Z">
        <w:r>
          <w:rPr>
            <w:i/>
            <w:noProof/>
            <w:snapToGrid w:val="0"/>
          </w:rPr>
          <w:delText> </w:delText>
        </w:r>
      </w:del>
      <w:ins w:id="249" w:author="svcMRProcess" w:date="2020-04-17T18:02:00Z">
        <w:r>
          <w:rPr>
            <w:i/>
            <w:noProof/>
          </w:rPr>
          <w:t xml:space="preserve"> </w:t>
        </w:r>
      </w:ins>
      <w:r>
        <w:rPr>
          <w:i/>
          <w:noProof/>
        </w:rPr>
        <w:t>1970</w:t>
      </w:r>
      <w:r>
        <w:t xml:space="preserve"> and includes </w:t>
      </w:r>
      <w:del w:id="250" w:author="svcMRProcess" w:date="2020-04-17T18:02:00Z">
        <w:r>
          <w:rPr>
            <w:snapToGrid w:val="0"/>
          </w:rPr>
          <w:delText xml:space="preserve">the </w:delText>
        </w:r>
      </w:del>
      <w:r>
        <w:t xml:space="preserve">amendments made by </w:t>
      </w:r>
      <w:del w:id="251" w:author="svcMRProcess" w:date="2020-04-17T18:02:00Z">
        <w:r>
          <w:rPr>
            <w:snapToGrid w:val="0"/>
          </w:rPr>
          <w:delText xml:space="preserve">the </w:delText>
        </w:r>
      </w:del>
      <w:r>
        <w:t>other written laws</w:t>
      </w:r>
      <w:del w:id="252" w:author="svcMRProcess" w:date="2020-04-17T18:02:00Z">
        <w:r>
          <w:rPr>
            <w:snapToGrid w:val="0"/>
          </w:rPr>
          <w:delText xml:space="preserve"> referred to in the following table.  The table also contains</w:delText>
        </w:r>
      </w:del>
      <w:ins w:id="253" w:author="svcMRProcess" w:date="2020-04-17T18:02:00Z">
        <w:r>
          <w:t>. For provisions that have come into operation, and for</w:t>
        </w:r>
      </w:ins>
      <w:r>
        <w:t xml:space="preserve"> information about any </w:t>
      </w:r>
      <w:del w:id="254" w:author="svcMRProcess" w:date="2020-04-17T18:02:00Z">
        <w:r>
          <w:rPr>
            <w:snapToGrid w:val="0"/>
          </w:rPr>
          <w:delText>reprint</w:delText>
        </w:r>
      </w:del>
      <w:ins w:id="255" w:author="svcMRProcess" w:date="2020-04-17T18:02:00Z">
        <w:r>
          <w:t>reprints, see the compilation table. For provisions that have not yet come into operation see the uncommenced provisions table</w:t>
        </w:r>
      </w:ins>
      <w:r>
        <w:t>.</w:t>
      </w:r>
    </w:p>
    <w:p>
      <w:pPr>
        <w:pStyle w:val="nHeading3"/>
      </w:pPr>
      <w:bookmarkStart w:id="256" w:name="_Toc38007668"/>
      <w:bookmarkStart w:id="257" w:name="_Toc478634339"/>
      <w:r>
        <w:t>Compilation table</w:t>
      </w:r>
      <w:bookmarkEnd w:id="256"/>
      <w:bookmarkEnd w:id="257"/>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62"/>
        <w:gridCol w:w="2524"/>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62" w:type="dxa"/>
            <w:tcBorders>
              <w:top w:val="single" w:sz="8" w:space="0" w:color="auto"/>
              <w:bottom w:val="single" w:sz="8" w:space="0" w:color="auto"/>
            </w:tcBorders>
          </w:tcPr>
          <w:p>
            <w:pPr>
              <w:pStyle w:val="nTable"/>
              <w:spacing w:after="40"/>
              <w:rPr>
                <w:b/>
              </w:rPr>
            </w:pPr>
            <w:r>
              <w:rPr>
                <w:b/>
              </w:rPr>
              <w:t>Assent</w:t>
            </w:r>
          </w:p>
        </w:tc>
        <w:tc>
          <w:tcPr>
            <w:tcW w:w="2524"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Sale of Land Act 1970</w:t>
            </w:r>
          </w:p>
        </w:tc>
        <w:tc>
          <w:tcPr>
            <w:tcW w:w="1134" w:type="dxa"/>
            <w:tcBorders>
              <w:top w:val="single" w:sz="8" w:space="0" w:color="auto"/>
            </w:tcBorders>
          </w:tcPr>
          <w:p>
            <w:pPr>
              <w:pStyle w:val="nTable"/>
              <w:spacing w:after="40"/>
            </w:pPr>
            <w:r>
              <w:t>119 of 1970</w:t>
            </w:r>
          </w:p>
        </w:tc>
        <w:tc>
          <w:tcPr>
            <w:tcW w:w="1162" w:type="dxa"/>
            <w:tcBorders>
              <w:top w:val="single" w:sz="8" w:space="0" w:color="auto"/>
            </w:tcBorders>
          </w:tcPr>
          <w:p>
            <w:pPr>
              <w:pStyle w:val="nTable"/>
              <w:spacing w:after="40"/>
            </w:pPr>
            <w:r>
              <w:t>10 Dec 1970</w:t>
            </w:r>
          </w:p>
        </w:tc>
        <w:tc>
          <w:tcPr>
            <w:tcW w:w="2524" w:type="dxa"/>
            <w:tcBorders>
              <w:top w:val="single" w:sz="8" w:space="0" w:color="auto"/>
            </w:tcBorders>
          </w:tcPr>
          <w:p>
            <w:pPr>
              <w:pStyle w:val="nTable"/>
              <w:spacing w:after="40"/>
            </w:pPr>
            <w:r>
              <w:t xml:space="preserve">1 Feb 1971 (see s. 2 and </w:t>
            </w:r>
            <w:r>
              <w:rPr>
                <w:i/>
              </w:rPr>
              <w:t>Gazette</w:t>
            </w:r>
            <w:r>
              <w:t xml:space="preserve"> 22 Jan 1971 p. 149)</w:t>
            </w:r>
          </w:p>
        </w:tc>
      </w:tr>
      <w:tr>
        <w:trPr>
          <w:cantSplit/>
        </w:trPr>
        <w:tc>
          <w:tcPr>
            <w:tcW w:w="2268" w:type="dxa"/>
          </w:tcPr>
          <w:p>
            <w:pPr>
              <w:pStyle w:val="nTable"/>
              <w:spacing w:after="40"/>
              <w:ind w:right="113"/>
              <w:rPr>
                <w:i/>
              </w:rPr>
            </w:pPr>
            <w:r>
              <w:rPr>
                <w:i/>
              </w:rPr>
              <w:t>Sale of Land Act Amendment Act 1973</w:t>
            </w:r>
          </w:p>
        </w:tc>
        <w:tc>
          <w:tcPr>
            <w:tcW w:w="1134" w:type="dxa"/>
          </w:tcPr>
          <w:p>
            <w:pPr>
              <w:pStyle w:val="nTable"/>
              <w:spacing w:after="40"/>
            </w:pPr>
            <w:r>
              <w:t>9 of 1973</w:t>
            </w:r>
          </w:p>
        </w:tc>
        <w:tc>
          <w:tcPr>
            <w:tcW w:w="1162" w:type="dxa"/>
          </w:tcPr>
          <w:p>
            <w:pPr>
              <w:pStyle w:val="nTable"/>
              <w:spacing w:after="40"/>
            </w:pPr>
            <w:r>
              <w:t>25 May 1973</w:t>
            </w:r>
          </w:p>
        </w:tc>
        <w:tc>
          <w:tcPr>
            <w:tcW w:w="2524" w:type="dxa"/>
          </w:tcPr>
          <w:p>
            <w:pPr>
              <w:pStyle w:val="nTable"/>
              <w:spacing w:after="40"/>
            </w:pPr>
            <w:r>
              <w:t>25 May 1973</w:t>
            </w:r>
          </w:p>
        </w:tc>
      </w:tr>
      <w:tr>
        <w:trPr>
          <w:cantSplit/>
        </w:trPr>
        <w:tc>
          <w:tcPr>
            <w:tcW w:w="2268" w:type="dxa"/>
          </w:tcPr>
          <w:p>
            <w:pPr>
              <w:pStyle w:val="nTable"/>
              <w:spacing w:after="40"/>
              <w:ind w:right="113"/>
            </w:pPr>
            <w:r>
              <w:rPr>
                <w:i/>
              </w:rPr>
              <w:t>Sale of Land Act Amendment Act 1974</w:t>
            </w:r>
          </w:p>
        </w:tc>
        <w:tc>
          <w:tcPr>
            <w:tcW w:w="1134" w:type="dxa"/>
          </w:tcPr>
          <w:p>
            <w:pPr>
              <w:pStyle w:val="nTable"/>
              <w:spacing w:after="40"/>
            </w:pPr>
            <w:r>
              <w:t>70 of 1974</w:t>
            </w:r>
          </w:p>
        </w:tc>
        <w:tc>
          <w:tcPr>
            <w:tcW w:w="1162" w:type="dxa"/>
          </w:tcPr>
          <w:p>
            <w:pPr>
              <w:pStyle w:val="nTable"/>
              <w:spacing w:after="40"/>
            </w:pPr>
            <w:r>
              <w:t>9 Dec 1974</w:t>
            </w:r>
          </w:p>
        </w:tc>
        <w:tc>
          <w:tcPr>
            <w:tcW w:w="2524" w:type="dxa"/>
          </w:tcPr>
          <w:p>
            <w:pPr>
              <w:pStyle w:val="nTable"/>
              <w:spacing w:after="40"/>
            </w:pPr>
            <w:r>
              <w:t xml:space="preserve">28 Feb 1975 (see s. 2 and </w:t>
            </w:r>
            <w:r>
              <w:rPr>
                <w:i/>
              </w:rPr>
              <w:t>Gazette</w:t>
            </w:r>
            <w:r>
              <w:t xml:space="preserve"> 28 Feb 1975 p. 719)</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approved 8 May 1978 </w:t>
            </w:r>
            <w:r>
              <w:t>(includes amendments listed above)</w:t>
            </w:r>
          </w:p>
        </w:tc>
      </w:tr>
      <w:tr>
        <w:trPr>
          <w:cantSplit/>
        </w:trPr>
        <w:tc>
          <w:tcPr>
            <w:tcW w:w="2268" w:type="dxa"/>
          </w:tcPr>
          <w:p>
            <w:pPr>
              <w:pStyle w:val="nTable"/>
              <w:spacing w:after="40"/>
              <w:ind w:right="113"/>
              <w:rPr>
                <w:i/>
              </w:rPr>
            </w:pPr>
            <w:r>
              <w:rPr>
                <w:i/>
              </w:rPr>
              <w:t>Companies (Consequential Amendments) Act 1982</w:t>
            </w:r>
            <w:r>
              <w:t xml:space="preserve"> s. 28</w:t>
            </w:r>
          </w:p>
        </w:tc>
        <w:tc>
          <w:tcPr>
            <w:tcW w:w="1134" w:type="dxa"/>
          </w:tcPr>
          <w:p>
            <w:pPr>
              <w:pStyle w:val="nTable"/>
              <w:spacing w:after="40"/>
            </w:pPr>
            <w:r>
              <w:t>10 of 1982</w:t>
            </w:r>
          </w:p>
        </w:tc>
        <w:tc>
          <w:tcPr>
            <w:tcW w:w="1162" w:type="dxa"/>
          </w:tcPr>
          <w:p>
            <w:pPr>
              <w:pStyle w:val="nTable"/>
              <w:spacing w:after="40"/>
            </w:pPr>
            <w:r>
              <w:t>14 May 1982</w:t>
            </w:r>
          </w:p>
        </w:tc>
        <w:tc>
          <w:tcPr>
            <w:tcW w:w="2524" w:type="dxa"/>
          </w:tcPr>
          <w:p>
            <w:pPr>
              <w:pStyle w:val="nTable"/>
              <w:spacing w:after="40"/>
            </w:pPr>
            <w:r>
              <w:t xml:space="preserve">1 Jul 1982 (see s. 2(1) and </w:t>
            </w:r>
            <w:r>
              <w:rPr>
                <w:i/>
              </w:rPr>
              <w:t>Gazette</w:t>
            </w:r>
            <w:r>
              <w:t xml:space="preserve"> 25 Jun 1982 p. 2079)</w:t>
            </w:r>
          </w:p>
        </w:tc>
      </w:tr>
      <w:tr>
        <w:trPr>
          <w:cantSplit/>
        </w:trPr>
        <w:tc>
          <w:tcPr>
            <w:tcW w:w="2268" w:type="dxa"/>
          </w:tcPr>
          <w:p>
            <w:pPr>
              <w:pStyle w:val="nTable"/>
              <w:spacing w:after="40"/>
              <w:ind w:right="113"/>
            </w:pPr>
            <w:r>
              <w:rPr>
                <w:i/>
              </w:rPr>
              <w:t>Acts Amendment (Strata Titles) Act 1985</w:t>
            </w:r>
            <w:r>
              <w:t xml:space="preserve"> Pt. II</w:t>
            </w:r>
          </w:p>
        </w:tc>
        <w:tc>
          <w:tcPr>
            <w:tcW w:w="1134" w:type="dxa"/>
          </w:tcPr>
          <w:p>
            <w:pPr>
              <w:pStyle w:val="nTable"/>
              <w:spacing w:after="40"/>
            </w:pPr>
            <w:r>
              <w:t>40 of 1985</w:t>
            </w:r>
          </w:p>
        </w:tc>
        <w:tc>
          <w:tcPr>
            <w:tcW w:w="1162" w:type="dxa"/>
          </w:tcPr>
          <w:p>
            <w:pPr>
              <w:pStyle w:val="nTable"/>
              <w:spacing w:after="40"/>
            </w:pPr>
            <w:r>
              <w:t>13 May 1985</w:t>
            </w:r>
          </w:p>
        </w:tc>
        <w:tc>
          <w:tcPr>
            <w:tcW w:w="2524" w:type="dxa"/>
          </w:tcPr>
          <w:p>
            <w:pPr>
              <w:pStyle w:val="nTable"/>
              <w:spacing w:after="40"/>
            </w:pPr>
            <w:r>
              <w:t xml:space="preserve">30 Jun 1985 (see s. 2 and </w:t>
            </w:r>
            <w:r>
              <w:rPr>
                <w:i/>
              </w:rPr>
              <w:t>Gazette</w:t>
            </w:r>
            <w:r>
              <w:t xml:space="preserve"> 21 Jun 1985 p. 2188)</w:t>
            </w:r>
          </w:p>
        </w:tc>
      </w:tr>
      <w:tr>
        <w:trPr>
          <w:cantSplit/>
        </w:trPr>
        <w:tc>
          <w:tcPr>
            <w:tcW w:w="2268"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62" w:type="dxa"/>
          </w:tcPr>
          <w:p>
            <w:pPr>
              <w:pStyle w:val="nTable"/>
              <w:spacing w:after="40"/>
            </w:pPr>
            <w:r>
              <w:t>28 Jun 1996</w:t>
            </w:r>
          </w:p>
        </w:tc>
        <w:tc>
          <w:tcPr>
            <w:tcW w:w="2524" w:type="dxa"/>
          </w:tcPr>
          <w:p>
            <w:pPr>
              <w:pStyle w:val="nTable"/>
              <w:spacing w:after="40"/>
            </w:pPr>
            <w:r>
              <w:t>1 Jul 1996 (see s. 2)</w:t>
            </w:r>
          </w:p>
        </w:tc>
      </w:tr>
      <w:tr>
        <w:trPr>
          <w:cantSplit/>
        </w:trPr>
        <w:tc>
          <w:tcPr>
            <w:tcW w:w="2268" w:type="dxa"/>
          </w:tcPr>
          <w:p>
            <w:pPr>
              <w:pStyle w:val="nTable"/>
              <w:spacing w:after="40"/>
              <w:ind w:right="113"/>
            </w:pPr>
            <w:r>
              <w:rPr>
                <w:i/>
              </w:rPr>
              <w:t>Transfer of Land Amendment Act 1996</w:t>
            </w:r>
            <w:r>
              <w:t xml:space="preserve"> s. 153(1) and (2)</w:t>
            </w:r>
          </w:p>
        </w:tc>
        <w:tc>
          <w:tcPr>
            <w:tcW w:w="1134" w:type="dxa"/>
          </w:tcPr>
          <w:p>
            <w:pPr>
              <w:pStyle w:val="nTable"/>
              <w:spacing w:after="40"/>
            </w:pPr>
            <w:r>
              <w:t>81 of 1996</w:t>
            </w:r>
          </w:p>
        </w:tc>
        <w:tc>
          <w:tcPr>
            <w:tcW w:w="1162" w:type="dxa"/>
          </w:tcPr>
          <w:p>
            <w:pPr>
              <w:pStyle w:val="nTable"/>
              <w:spacing w:after="40"/>
            </w:pPr>
            <w:r>
              <w:t>14 Nov 1996</w:t>
            </w:r>
          </w:p>
        </w:tc>
        <w:tc>
          <w:tcPr>
            <w:tcW w:w="2524" w:type="dxa"/>
          </w:tcPr>
          <w:p>
            <w:pPr>
              <w:pStyle w:val="nTable"/>
              <w:spacing w:after="40"/>
            </w:pPr>
            <w:r>
              <w:t>14 Nov 1996 (see s. 2(1))</w:t>
            </w:r>
          </w:p>
        </w:tc>
      </w:tr>
      <w:tr>
        <w:trPr>
          <w:cantSplit/>
        </w:trPr>
        <w:tc>
          <w:tcPr>
            <w:tcW w:w="2268" w:type="dxa"/>
          </w:tcPr>
          <w:p>
            <w:pPr>
              <w:pStyle w:val="nTable"/>
              <w:spacing w:after="40"/>
              <w:ind w:right="113"/>
            </w:pPr>
            <w:r>
              <w:rPr>
                <w:i/>
              </w:rPr>
              <w:t>Statutes (Repeals and Minor Amendments) Act (No. 2) 1998</w:t>
            </w:r>
            <w:r>
              <w:t xml:space="preserve"> s. 76</w:t>
            </w:r>
          </w:p>
        </w:tc>
        <w:tc>
          <w:tcPr>
            <w:tcW w:w="1134" w:type="dxa"/>
          </w:tcPr>
          <w:p>
            <w:pPr>
              <w:pStyle w:val="nTable"/>
              <w:spacing w:after="40"/>
            </w:pPr>
            <w:r>
              <w:t>10 of 1998</w:t>
            </w:r>
          </w:p>
        </w:tc>
        <w:tc>
          <w:tcPr>
            <w:tcW w:w="1162" w:type="dxa"/>
          </w:tcPr>
          <w:p>
            <w:pPr>
              <w:pStyle w:val="nTable"/>
              <w:spacing w:after="40"/>
            </w:pPr>
            <w:r>
              <w:t>30 Apr 1998</w:t>
            </w:r>
          </w:p>
        </w:tc>
        <w:tc>
          <w:tcPr>
            <w:tcW w:w="2524" w:type="dxa"/>
          </w:tcPr>
          <w:p>
            <w:pPr>
              <w:pStyle w:val="nTable"/>
              <w:spacing w:after="40"/>
            </w:pPr>
            <w:r>
              <w:t>30 Apr 1998 (see s. 2(1))</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as at 25 Jan 2002 </w:t>
            </w:r>
            <w:r>
              <w:t>(includes amendments listed above)</w:t>
            </w:r>
          </w:p>
        </w:tc>
      </w:tr>
      <w:tr>
        <w:trPr>
          <w:cantSplit/>
        </w:trPr>
        <w:tc>
          <w:tcPr>
            <w:tcW w:w="2268" w:type="dxa"/>
          </w:tcPr>
          <w:p>
            <w:pPr>
              <w:pStyle w:val="nTable"/>
              <w:spacing w:after="40"/>
              <w:ind w:right="113"/>
            </w:pPr>
            <w:r>
              <w:rPr>
                <w:i/>
              </w:rPr>
              <w:t>Corporations (Consequential Amendments) Act (No. 2) 2003</w:t>
            </w:r>
            <w:r>
              <w:t xml:space="preserve"> Pt. 22</w:t>
            </w:r>
          </w:p>
        </w:tc>
        <w:tc>
          <w:tcPr>
            <w:tcW w:w="1134" w:type="dxa"/>
          </w:tcPr>
          <w:p>
            <w:pPr>
              <w:pStyle w:val="nTable"/>
              <w:spacing w:after="40"/>
            </w:pPr>
            <w:r>
              <w:t>20 of 2003</w:t>
            </w:r>
          </w:p>
        </w:tc>
        <w:tc>
          <w:tcPr>
            <w:tcW w:w="1162" w:type="dxa"/>
          </w:tcPr>
          <w:p>
            <w:pPr>
              <w:pStyle w:val="nTable"/>
              <w:spacing w:after="40"/>
            </w:pPr>
            <w:r>
              <w:t>23 Apr 2003</w:t>
            </w:r>
          </w:p>
        </w:tc>
        <w:tc>
          <w:tcPr>
            <w:tcW w:w="2524" w:type="dxa"/>
          </w:tcPr>
          <w:p>
            <w:pPr>
              <w:pStyle w:val="nTable"/>
              <w:spacing w:after="40"/>
            </w:pPr>
            <w:r>
              <w:t xml:space="preserve">15 Jul 2001 (see s. 2(1) and Cwlth </w:t>
            </w:r>
            <w:r>
              <w:rPr>
                <w:i/>
              </w:rPr>
              <w:t>Gazette</w:t>
            </w:r>
            <w:r>
              <w:t xml:space="preserve"> 13 Jul 2001 No. S285)</w:t>
            </w:r>
          </w:p>
        </w:tc>
      </w:tr>
      <w:tr>
        <w:trPr>
          <w:cantSplit/>
        </w:trPr>
        <w:tc>
          <w:tcPr>
            <w:tcW w:w="2268" w:type="dxa"/>
          </w:tcPr>
          <w:p>
            <w:pPr>
              <w:pStyle w:val="nTable"/>
              <w:spacing w:after="40"/>
              <w:ind w:right="113"/>
            </w:pPr>
            <w:r>
              <w:rPr>
                <w:i/>
              </w:rPr>
              <w:t>Acts Amendment and Repeal (Courts and Legal Practice) Act 2003</w:t>
            </w:r>
            <w:r>
              <w:t xml:space="preserve"> s. 64</w:t>
            </w:r>
          </w:p>
        </w:tc>
        <w:tc>
          <w:tcPr>
            <w:tcW w:w="1134" w:type="dxa"/>
          </w:tcPr>
          <w:p>
            <w:pPr>
              <w:pStyle w:val="nTable"/>
              <w:spacing w:after="40"/>
            </w:pPr>
            <w:r>
              <w:t>65 of 2003</w:t>
            </w:r>
          </w:p>
        </w:tc>
        <w:tc>
          <w:tcPr>
            <w:tcW w:w="1162" w:type="dxa"/>
          </w:tcPr>
          <w:p>
            <w:pPr>
              <w:pStyle w:val="nTable"/>
              <w:spacing w:after="40"/>
            </w:pPr>
            <w:r>
              <w:t>4 Dec 2003</w:t>
            </w:r>
          </w:p>
        </w:tc>
        <w:tc>
          <w:tcPr>
            <w:tcW w:w="2524" w:type="dxa"/>
          </w:tcPr>
          <w:p>
            <w:pPr>
              <w:pStyle w:val="nTable"/>
              <w:spacing w:after="40"/>
            </w:pPr>
            <w:r>
              <w:t xml:space="preserve">1 Jan 2004 (see s. 2 and </w:t>
            </w:r>
            <w:r>
              <w:rPr>
                <w:i/>
              </w:rPr>
              <w:t>Gazette</w:t>
            </w:r>
            <w:r>
              <w:t xml:space="preserve"> 30 Dec 2003 p. 5722)</w:t>
            </w:r>
          </w:p>
        </w:tc>
      </w:tr>
      <w:tr>
        <w:trPr>
          <w:cantSplit/>
        </w:trPr>
        <w:tc>
          <w:tcPr>
            <w:tcW w:w="2268" w:type="dxa"/>
          </w:tcPr>
          <w:p>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62" w:type="dxa"/>
          </w:tcPr>
          <w:p>
            <w:pPr>
              <w:pStyle w:val="nTable"/>
              <w:spacing w:after="40"/>
            </w:pPr>
            <w:r>
              <w:t>23 Nov 2004</w:t>
            </w:r>
          </w:p>
        </w:tc>
        <w:tc>
          <w:tcPr>
            <w:tcW w:w="2524" w:type="dxa"/>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cantSplit/>
        </w:trPr>
        <w:tc>
          <w:tcPr>
            <w:tcW w:w="2268" w:type="dxa"/>
          </w:tcPr>
          <w:p>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pPr>
              <w:pStyle w:val="nTable"/>
              <w:spacing w:after="40"/>
              <w:rPr>
                <w:snapToGrid w:val="0"/>
              </w:rPr>
            </w:pPr>
            <w:r>
              <w:rPr>
                <w:snapToGrid w:val="0"/>
              </w:rPr>
              <w:t>84 of 2004</w:t>
            </w:r>
          </w:p>
        </w:tc>
        <w:tc>
          <w:tcPr>
            <w:tcW w:w="1162" w:type="dxa"/>
          </w:tcPr>
          <w:p>
            <w:pPr>
              <w:pStyle w:val="nTable"/>
              <w:spacing w:after="40"/>
            </w:pPr>
            <w:r>
              <w:t>16 Dec 2004</w:t>
            </w:r>
          </w:p>
        </w:tc>
        <w:tc>
          <w:tcPr>
            <w:tcW w:w="2524" w:type="dxa"/>
          </w:tcPr>
          <w:p>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trPr>
          <w:cantSplit/>
        </w:trPr>
        <w:tc>
          <w:tcPr>
            <w:tcW w:w="2268" w:type="dxa"/>
          </w:tcPr>
          <w:p>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pPr>
              <w:pStyle w:val="nTable"/>
              <w:spacing w:after="40"/>
              <w:rPr>
                <w:snapToGrid w:val="0"/>
              </w:rPr>
            </w:pPr>
            <w:r>
              <w:rPr>
                <w:snapToGrid w:val="0"/>
              </w:rPr>
              <w:t>38 of 2005</w:t>
            </w:r>
          </w:p>
        </w:tc>
        <w:tc>
          <w:tcPr>
            <w:tcW w:w="1162" w:type="dxa"/>
          </w:tcPr>
          <w:p>
            <w:pPr>
              <w:pStyle w:val="nTable"/>
              <w:spacing w:after="40"/>
            </w:pPr>
            <w:r>
              <w:t>12 Dec 2005</w:t>
            </w:r>
          </w:p>
        </w:tc>
        <w:tc>
          <w:tcPr>
            <w:tcW w:w="2524" w:type="dxa"/>
          </w:tcPr>
          <w:p>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trPr>
          <w:cantSplit/>
        </w:trPr>
        <w:tc>
          <w:tcPr>
            <w:tcW w:w="7088" w:type="dxa"/>
            <w:gridSpan w:val="4"/>
          </w:tcPr>
          <w:p>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trPr>
          <w:cantSplit/>
        </w:trPr>
        <w:tc>
          <w:tcPr>
            <w:tcW w:w="2268" w:type="dxa"/>
          </w:tcPr>
          <w:p>
            <w:pPr>
              <w:pStyle w:val="nTable"/>
              <w:spacing w:after="40"/>
              <w:rPr>
                <w:i/>
                <w:iCs/>
                <w:snapToGrid w:val="0"/>
              </w:rPr>
            </w:pPr>
            <w:r>
              <w:rPr>
                <w:i/>
                <w:snapToGrid w:val="0"/>
              </w:rPr>
              <w:t>Land Information Authority Act 2006</w:t>
            </w:r>
            <w:r>
              <w:rPr>
                <w:iCs/>
                <w:snapToGrid w:val="0"/>
              </w:rPr>
              <w:t xml:space="preserve"> s. 157</w:t>
            </w:r>
            <w:del w:id="258" w:author="svcMRProcess" w:date="2020-04-17T18:02:00Z">
              <w:r>
                <w:rPr>
                  <w:iCs/>
                  <w:snapToGrid w:val="0"/>
                  <w:vertAlign w:val="superscript"/>
                </w:rPr>
                <w:delText xml:space="preserve"> </w:delText>
              </w:r>
            </w:del>
          </w:p>
        </w:tc>
        <w:tc>
          <w:tcPr>
            <w:tcW w:w="1134" w:type="dxa"/>
          </w:tcPr>
          <w:p>
            <w:pPr>
              <w:pStyle w:val="nTable"/>
              <w:spacing w:after="40"/>
              <w:rPr>
                <w:snapToGrid w:val="0"/>
              </w:rPr>
            </w:pPr>
            <w:r>
              <w:rPr>
                <w:snapToGrid w:val="0"/>
              </w:rPr>
              <w:t>60 of 2006</w:t>
            </w:r>
          </w:p>
        </w:tc>
        <w:tc>
          <w:tcPr>
            <w:tcW w:w="1162" w:type="dxa"/>
          </w:tcPr>
          <w:p>
            <w:pPr>
              <w:pStyle w:val="nTable"/>
              <w:spacing w:after="40"/>
            </w:pPr>
            <w:r>
              <w:rPr>
                <w:snapToGrid w:val="0"/>
              </w:rPr>
              <w:t>16 Nov 2006</w:t>
            </w:r>
          </w:p>
        </w:tc>
        <w:tc>
          <w:tcPr>
            <w:tcW w:w="2524" w:type="dxa"/>
          </w:tcPr>
          <w:p>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trPr>
          <w:cantSplit/>
        </w:trPr>
        <w:tc>
          <w:tcPr>
            <w:tcW w:w="2268" w:type="dxa"/>
          </w:tcPr>
          <w:p>
            <w:pPr>
              <w:pStyle w:val="nTable"/>
              <w:spacing w:after="40"/>
              <w:rPr>
                <w:i/>
                <w:snapToGrid w:val="0"/>
              </w:rPr>
            </w:pPr>
            <w:r>
              <w:rPr>
                <w:i/>
                <w:iCs/>
                <w:snapToGrid w:val="0"/>
              </w:rPr>
              <w:t>Legal Profession Act 2008</w:t>
            </w:r>
            <w:r>
              <w:rPr>
                <w:iCs/>
                <w:snapToGrid w:val="0"/>
              </w:rPr>
              <w:t xml:space="preserve"> s. 702</w:t>
            </w:r>
          </w:p>
        </w:tc>
        <w:tc>
          <w:tcPr>
            <w:tcW w:w="1134" w:type="dxa"/>
          </w:tcPr>
          <w:p>
            <w:pPr>
              <w:pStyle w:val="nTable"/>
              <w:spacing w:after="40"/>
              <w:rPr>
                <w:snapToGrid w:val="0"/>
              </w:rPr>
            </w:pPr>
            <w:r>
              <w:rPr>
                <w:snapToGrid w:val="0"/>
              </w:rPr>
              <w:t>21 of 2008</w:t>
            </w:r>
          </w:p>
        </w:tc>
        <w:tc>
          <w:tcPr>
            <w:tcW w:w="1162" w:type="dxa"/>
          </w:tcPr>
          <w:p>
            <w:pPr>
              <w:pStyle w:val="nTable"/>
              <w:spacing w:after="40"/>
              <w:rPr>
                <w:snapToGrid w:val="0"/>
              </w:rPr>
            </w:pPr>
            <w:r>
              <w:rPr>
                <w:snapToGrid w:val="0"/>
              </w:rPr>
              <w:t>27 May 2008</w:t>
            </w:r>
          </w:p>
        </w:tc>
        <w:tc>
          <w:tcPr>
            <w:tcW w:w="2524" w:type="dxa"/>
          </w:tcPr>
          <w:p>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r>
        <w:trPr>
          <w:cantSplit/>
        </w:trPr>
        <w:tc>
          <w:tcPr>
            <w:tcW w:w="2268" w:type="dxa"/>
          </w:tcPr>
          <w:p>
            <w:pPr>
              <w:pStyle w:val="nTable"/>
              <w:spacing w:after="40"/>
              <w:rPr>
                <w:i/>
                <w:iCs/>
                <w:snapToGrid w:val="0"/>
              </w:rPr>
            </w:pPr>
            <w:r>
              <w:rPr>
                <w:i/>
                <w:snapToGrid w:val="0"/>
              </w:rPr>
              <w:t>Approvals and Related Reforms (No. 4) (Planning) Act 2010</w:t>
            </w:r>
            <w:r>
              <w:t xml:space="preserve"> s. 36</w:t>
            </w:r>
            <w:del w:id="259" w:author="svcMRProcess" w:date="2020-04-17T18:02:00Z">
              <w:r>
                <w:rPr>
                  <w:vertAlign w:val="superscript"/>
                </w:rPr>
                <w:delText> </w:delText>
              </w:r>
            </w:del>
          </w:p>
        </w:tc>
        <w:tc>
          <w:tcPr>
            <w:tcW w:w="1134" w:type="dxa"/>
          </w:tcPr>
          <w:p>
            <w:pPr>
              <w:pStyle w:val="nTable"/>
              <w:spacing w:after="40"/>
              <w:rPr>
                <w:snapToGrid w:val="0"/>
              </w:rPr>
            </w:pPr>
            <w:r>
              <w:rPr>
                <w:snapToGrid w:val="0"/>
              </w:rPr>
              <w:t>28 of 2010</w:t>
            </w:r>
          </w:p>
        </w:tc>
        <w:tc>
          <w:tcPr>
            <w:tcW w:w="1162" w:type="dxa"/>
          </w:tcPr>
          <w:p>
            <w:pPr>
              <w:pStyle w:val="nTable"/>
              <w:spacing w:after="40"/>
              <w:rPr>
                <w:snapToGrid w:val="0"/>
              </w:rPr>
            </w:pPr>
            <w:r>
              <w:rPr>
                <w:snapToGrid w:val="0"/>
              </w:rPr>
              <w:t>19 Aug 2010</w:t>
            </w:r>
          </w:p>
        </w:tc>
        <w:tc>
          <w:tcPr>
            <w:tcW w:w="2524" w:type="dxa"/>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blPrEx>
          <w:tblBorders>
            <w:top w:val="single" w:sz="8" w:space="0" w:color="auto"/>
            <w:bottom w:val="single" w:sz="8" w:space="0" w:color="auto"/>
            <w:insideH w:val="single" w:sz="8" w:space="0" w:color="auto"/>
          </w:tblBorders>
        </w:tblPrEx>
        <w:tc>
          <w:tcPr>
            <w:tcW w:w="2268" w:type="dxa"/>
            <w:tcBorders>
              <w:top w:val="nil"/>
            </w:tcBorders>
          </w:tcPr>
          <w:p>
            <w:pPr>
              <w:pStyle w:val="nTable"/>
              <w:spacing w:after="40"/>
            </w:pPr>
            <w:r>
              <w:rPr>
                <w:i/>
              </w:rPr>
              <w:t>Sale of Land Amendment Act 2016</w:t>
            </w:r>
          </w:p>
        </w:tc>
        <w:tc>
          <w:tcPr>
            <w:tcW w:w="1134" w:type="dxa"/>
            <w:tcBorders>
              <w:top w:val="nil"/>
            </w:tcBorders>
          </w:tcPr>
          <w:p>
            <w:pPr>
              <w:pStyle w:val="nTable"/>
              <w:spacing w:after="40"/>
            </w:pPr>
            <w:r>
              <w:t>38 of 2016</w:t>
            </w:r>
          </w:p>
        </w:tc>
        <w:tc>
          <w:tcPr>
            <w:tcW w:w="1162" w:type="dxa"/>
            <w:tcBorders>
              <w:top w:val="nil"/>
            </w:tcBorders>
          </w:tcPr>
          <w:p>
            <w:pPr>
              <w:pStyle w:val="nTable"/>
              <w:spacing w:after="40"/>
            </w:pPr>
            <w:r>
              <w:t>22 Nov 2016</w:t>
            </w:r>
          </w:p>
        </w:tc>
        <w:tc>
          <w:tcPr>
            <w:tcW w:w="2524" w:type="dxa"/>
            <w:tcBorders>
              <w:top w:val="nil"/>
            </w:tcBorders>
          </w:tcPr>
          <w:p>
            <w:pPr>
              <w:pStyle w:val="nTable"/>
              <w:spacing w:after="40"/>
            </w:pPr>
            <w:r>
              <w:t>s. 1 and 2: 22 Nov 2016 (see s. 2(a));</w:t>
            </w:r>
            <w:r>
              <w:br/>
              <w:t xml:space="preserve">Act other than s. 1 and 2: 3 Apr 2017 (see s. 2(b) and </w:t>
            </w:r>
            <w:r>
              <w:rPr>
                <w:i/>
              </w:rPr>
              <w:t>Gazette</w:t>
            </w:r>
            <w:r>
              <w:t xml:space="preserve"> 3 Feb 2017 p. 1107-8)</w:t>
            </w:r>
          </w:p>
        </w:tc>
      </w:tr>
    </w:tbl>
    <w:p>
      <w:pPr>
        <w:pStyle w:val="nHeading3"/>
        <w:rPr>
          <w:ins w:id="260" w:author="svcMRProcess" w:date="2020-04-17T18:02:00Z"/>
        </w:rPr>
      </w:pPr>
      <w:bookmarkStart w:id="261" w:name="_Toc38007669"/>
      <w:del w:id="262" w:author="svcMRProcess" w:date="2020-04-17T18:02:00Z">
        <w:r>
          <w:rPr>
            <w:vertAlign w:val="superscript"/>
          </w:rPr>
          <w:delText>2</w:delText>
        </w:r>
      </w:del>
      <w:ins w:id="263" w:author="svcMRProcess" w:date="2020-04-17T18:02:00Z">
        <w:r>
          <w:t>Uncommenced provisions table</w:t>
        </w:r>
        <w:bookmarkEnd w:id="261"/>
      </w:ins>
    </w:p>
    <w:p>
      <w:pPr>
        <w:pStyle w:val="nStatement"/>
        <w:keepNext/>
        <w:spacing w:after="240"/>
        <w:rPr>
          <w:ins w:id="264" w:author="svcMRProcess" w:date="2020-04-17T18:02:00Z"/>
        </w:rPr>
      </w:pPr>
      <w:ins w:id="265" w:author="svcMRProcess" w:date="2020-04-17T18:02:00Z">
        <w:r>
          <w:t xml:space="preserve">To view the text of the uncommenced provisions see </w:t>
        </w:r>
        <w:r>
          <w:rPr>
            <w:i/>
          </w:rPr>
          <w:t>Acts as passed</w:t>
        </w:r>
        <w:r>
          <w:t xml:space="preserve"> on the WA Legislation website.</w:t>
        </w:r>
      </w:ins>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
        <w:gridCol w:w="2240"/>
        <w:gridCol w:w="28"/>
        <w:gridCol w:w="1106"/>
        <w:gridCol w:w="28"/>
        <w:gridCol w:w="1106"/>
        <w:gridCol w:w="28"/>
        <w:gridCol w:w="2524"/>
        <w:gridCol w:w="9"/>
      </w:tblGrid>
      <w:tr>
        <w:trPr>
          <w:gridAfter w:val="1"/>
          <w:wAfter w:w="9" w:type="dxa"/>
          <w:tblHeader/>
          <w:ins w:id="266" w:author="svcMRProcess" w:date="2020-04-17T18:02:00Z"/>
        </w:trPr>
        <w:tc>
          <w:tcPr>
            <w:tcW w:w="2268" w:type="dxa"/>
            <w:gridSpan w:val="2"/>
          </w:tcPr>
          <w:p>
            <w:pPr>
              <w:pStyle w:val="nTable"/>
              <w:spacing w:after="40"/>
              <w:rPr>
                <w:ins w:id="267" w:author="svcMRProcess" w:date="2020-04-17T18:02:00Z"/>
                <w:b/>
              </w:rPr>
            </w:pPr>
            <w:ins w:id="268" w:author="svcMRProcess" w:date="2020-04-17T18:02:00Z">
              <w:r>
                <w:rPr>
                  <w:b/>
                </w:rPr>
                <w:t>Short title</w:t>
              </w:r>
            </w:ins>
          </w:p>
        </w:tc>
        <w:tc>
          <w:tcPr>
            <w:tcW w:w="1134" w:type="dxa"/>
            <w:gridSpan w:val="2"/>
          </w:tcPr>
          <w:p>
            <w:pPr>
              <w:pStyle w:val="nTable"/>
              <w:spacing w:after="40"/>
              <w:rPr>
                <w:ins w:id="269" w:author="svcMRProcess" w:date="2020-04-17T18:02:00Z"/>
                <w:b/>
              </w:rPr>
            </w:pPr>
            <w:ins w:id="270" w:author="svcMRProcess" w:date="2020-04-17T18:02:00Z">
              <w:r>
                <w:rPr>
                  <w:b/>
                </w:rPr>
                <w:t>Number and year</w:t>
              </w:r>
            </w:ins>
          </w:p>
        </w:tc>
        <w:tc>
          <w:tcPr>
            <w:tcW w:w="1134" w:type="dxa"/>
            <w:gridSpan w:val="2"/>
          </w:tcPr>
          <w:p>
            <w:pPr>
              <w:pStyle w:val="nTable"/>
              <w:spacing w:after="40"/>
              <w:rPr>
                <w:ins w:id="271" w:author="svcMRProcess" w:date="2020-04-17T18:02:00Z"/>
                <w:b/>
              </w:rPr>
            </w:pPr>
            <w:ins w:id="272" w:author="svcMRProcess" w:date="2020-04-17T18:02:00Z">
              <w:r>
                <w:rPr>
                  <w:b/>
                </w:rPr>
                <w:t>Assent</w:t>
              </w:r>
            </w:ins>
          </w:p>
        </w:tc>
        <w:tc>
          <w:tcPr>
            <w:tcW w:w="2552" w:type="dxa"/>
            <w:gridSpan w:val="2"/>
          </w:tcPr>
          <w:p>
            <w:pPr>
              <w:pStyle w:val="nTable"/>
              <w:spacing w:after="40"/>
              <w:rPr>
                <w:ins w:id="273" w:author="svcMRProcess" w:date="2020-04-17T18:02:00Z"/>
                <w:b/>
              </w:rPr>
            </w:pPr>
            <w:ins w:id="274" w:author="svcMRProcess" w:date="2020-04-17T18:02:00Z">
              <w:r>
                <w:rPr>
                  <w:b/>
                </w:rPr>
                <w:t>Commencement</w:t>
              </w:r>
            </w:ins>
          </w:p>
        </w:tc>
      </w:tr>
      <w:tr>
        <w:trPr>
          <w:gridBefore w:val="1"/>
          <w:wBefore w:w="28" w:type="dxa"/>
          <w:ins w:id="275" w:author="svcMRProcess" w:date="2020-04-17T18:02:00Z"/>
        </w:trPr>
        <w:tc>
          <w:tcPr>
            <w:tcW w:w="2240" w:type="dxa"/>
            <w:tcBorders>
              <w:top w:val="nil"/>
              <w:bottom w:val="nil"/>
            </w:tcBorders>
          </w:tcPr>
          <w:p>
            <w:pPr>
              <w:pStyle w:val="nTable"/>
              <w:spacing w:after="40"/>
              <w:rPr>
                <w:ins w:id="276" w:author="svcMRProcess" w:date="2020-04-17T18:02:00Z"/>
              </w:rPr>
            </w:pPr>
            <w:ins w:id="277" w:author="svcMRProcess" w:date="2020-04-17T18:02:00Z">
              <w:r>
                <w:rPr>
                  <w:i/>
                </w:rPr>
                <w:t>Strata Titles Amendment Act 2018</w:t>
              </w:r>
              <w:r>
                <w:t xml:space="preserve"> Pt. 3 Div. 20</w:t>
              </w:r>
            </w:ins>
          </w:p>
        </w:tc>
        <w:tc>
          <w:tcPr>
            <w:tcW w:w="1134" w:type="dxa"/>
            <w:gridSpan w:val="2"/>
            <w:tcBorders>
              <w:top w:val="nil"/>
              <w:bottom w:val="nil"/>
            </w:tcBorders>
          </w:tcPr>
          <w:p>
            <w:pPr>
              <w:pStyle w:val="nTable"/>
              <w:spacing w:after="40"/>
              <w:rPr>
                <w:ins w:id="278" w:author="svcMRProcess" w:date="2020-04-17T18:02:00Z"/>
              </w:rPr>
            </w:pPr>
            <w:ins w:id="279" w:author="svcMRProcess" w:date="2020-04-17T18:02:00Z">
              <w:r>
                <w:t>30 of 2018</w:t>
              </w:r>
            </w:ins>
          </w:p>
        </w:tc>
        <w:tc>
          <w:tcPr>
            <w:tcW w:w="1134" w:type="dxa"/>
            <w:gridSpan w:val="2"/>
            <w:tcBorders>
              <w:top w:val="nil"/>
              <w:bottom w:val="nil"/>
            </w:tcBorders>
          </w:tcPr>
          <w:p>
            <w:pPr>
              <w:pStyle w:val="nTable"/>
              <w:spacing w:after="40"/>
              <w:rPr>
                <w:ins w:id="280" w:author="svcMRProcess" w:date="2020-04-17T18:02:00Z"/>
              </w:rPr>
            </w:pPr>
            <w:ins w:id="281" w:author="svcMRProcess" w:date="2020-04-17T18:02:00Z">
              <w:r>
                <w:t>19 Nov 2018</w:t>
              </w:r>
            </w:ins>
          </w:p>
        </w:tc>
        <w:tc>
          <w:tcPr>
            <w:tcW w:w="2561" w:type="dxa"/>
            <w:gridSpan w:val="3"/>
            <w:tcBorders>
              <w:top w:val="nil"/>
              <w:bottom w:val="nil"/>
            </w:tcBorders>
          </w:tcPr>
          <w:p>
            <w:pPr>
              <w:pStyle w:val="nTable"/>
              <w:spacing w:after="40"/>
              <w:rPr>
                <w:ins w:id="282" w:author="svcMRProcess" w:date="2020-04-17T18:02:00Z"/>
              </w:rPr>
            </w:pPr>
            <w:ins w:id="283" w:author="svcMRProcess" w:date="2020-04-17T18:02:00Z">
              <w:r>
                <w:t>1 May 2020 (see s. 2(b) and SL 2020/39 cl. 2)</w:t>
              </w:r>
            </w:ins>
          </w:p>
        </w:tc>
      </w:tr>
      <w:tr>
        <w:tblPrEx>
          <w:tblCellMar>
            <w:left w:w="57" w:type="dxa"/>
            <w:right w:w="57" w:type="dxa"/>
          </w:tblCellMar>
        </w:tblPrEx>
        <w:trPr>
          <w:gridAfter w:val="1"/>
          <w:wAfter w:w="9" w:type="dxa"/>
          <w:ins w:id="284" w:author="svcMRProcess" w:date="2020-04-17T18:02:00Z"/>
        </w:trPr>
        <w:tc>
          <w:tcPr>
            <w:tcW w:w="2296" w:type="dxa"/>
            <w:gridSpan w:val="3"/>
            <w:tcBorders>
              <w:top w:val="nil"/>
              <w:bottom w:val="single" w:sz="2" w:space="0" w:color="auto"/>
            </w:tcBorders>
          </w:tcPr>
          <w:p>
            <w:pPr>
              <w:pStyle w:val="nTable"/>
              <w:spacing w:after="40"/>
              <w:rPr>
                <w:ins w:id="285" w:author="svcMRProcess" w:date="2020-04-17T18:02:00Z"/>
              </w:rPr>
            </w:pPr>
            <w:ins w:id="286" w:author="svcMRProcess" w:date="2020-04-17T18:02:00Z">
              <w:r>
                <w:rPr>
                  <w:i/>
                </w:rPr>
                <w:t>Community Titles Act 2018</w:t>
              </w:r>
              <w:r>
                <w:t xml:space="preserve"> Pt. 14 Div. 20</w:t>
              </w:r>
            </w:ins>
          </w:p>
        </w:tc>
        <w:tc>
          <w:tcPr>
            <w:tcW w:w="1134" w:type="dxa"/>
            <w:gridSpan w:val="2"/>
            <w:tcBorders>
              <w:top w:val="nil"/>
              <w:bottom w:val="single" w:sz="2" w:space="0" w:color="auto"/>
            </w:tcBorders>
          </w:tcPr>
          <w:p>
            <w:pPr>
              <w:pStyle w:val="nTable"/>
              <w:spacing w:after="40"/>
              <w:rPr>
                <w:ins w:id="287" w:author="svcMRProcess" w:date="2020-04-17T18:02:00Z"/>
              </w:rPr>
            </w:pPr>
            <w:ins w:id="288" w:author="svcMRProcess" w:date="2020-04-17T18:02:00Z">
              <w:r>
                <w:t>32 of 2018</w:t>
              </w:r>
            </w:ins>
          </w:p>
        </w:tc>
        <w:tc>
          <w:tcPr>
            <w:tcW w:w="1134" w:type="dxa"/>
            <w:gridSpan w:val="2"/>
            <w:tcBorders>
              <w:top w:val="nil"/>
              <w:bottom w:val="single" w:sz="2" w:space="0" w:color="auto"/>
            </w:tcBorders>
          </w:tcPr>
          <w:p>
            <w:pPr>
              <w:pStyle w:val="nTable"/>
              <w:spacing w:after="40"/>
              <w:rPr>
                <w:ins w:id="289" w:author="svcMRProcess" w:date="2020-04-17T18:02:00Z"/>
              </w:rPr>
            </w:pPr>
            <w:ins w:id="290" w:author="svcMRProcess" w:date="2020-04-17T18:02:00Z">
              <w:r>
                <w:t>19 Nov 2018</w:t>
              </w:r>
            </w:ins>
          </w:p>
        </w:tc>
        <w:tc>
          <w:tcPr>
            <w:tcW w:w="2524" w:type="dxa"/>
            <w:tcBorders>
              <w:top w:val="nil"/>
              <w:bottom w:val="single" w:sz="2" w:space="0" w:color="auto"/>
            </w:tcBorders>
          </w:tcPr>
          <w:p>
            <w:pPr>
              <w:pStyle w:val="nTable"/>
              <w:spacing w:after="40"/>
              <w:rPr>
                <w:ins w:id="291" w:author="svcMRProcess" w:date="2020-04-17T18:02:00Z"/>
              </w:rPr>
            </w:pPr>
            <w:ins w:id="292" w:author="svcMRProcess" w:date="2020-04-17T18:02:00Z">
              <w:r>
                <w:t>To be proclaimed (see s. 2(b))</w:t>
              </w:r>
            </w:ins>
          </w:p>
        </w:tc>
      </w:tr>
    </w:tbl>
    <w:p>
      <w:pPr>
        <w:pStyle w:val="nHeading3"/>
        <w:rPr>
          <w:ins w:id="293" w:author="svcMRProcess" w:date="2020-04-17T18:02:00Z"/>
        </w:rPr>
      </w:pPr>
      <w:bookmarkStart w:id="294" w:name="_Toc38007670"/>
      <w:ins w:id="295" w:author="svcMRProcess" w:date="2020-04-17T18:02:00Z">
        <w:r>
          <w:t>Other notes</w:t>
        </w:r>
        <w:bookmarkEnd w:id="294"/>
      </w:ins>
    </w:p>
    <w:p>
      <w:pPr>
        <w:pStyle w:val="nNote"/>
        <w:ind w:left="462" w:hanging="462"/>
        <w:rPr>
          <w:i/>
        </w:rPr>
      </w:pPr>
      <w:ins w:id="296" w:author="svcMRProcess" w:date="2020-04-17T18:02:00Z">
        <w:r>
          <w:rPr>
            <w:vertAlign w:val="superscript"/>
          </w:rPr>
          <w:t>1</w:t>
        </w:r>
      </w:ins>
      <w:r>
        <w:tab/>
        <w:t xml:space="preserve">Repealed by the </w:t>
      </w:r>
      <w:r>
        <w:rPr>
          <w:i/>
        </w:rPr>
        <w:t>Real Estate and Business Agents Act 1978.</w:t>
      </w:r>
    </w:p>
    <w:p/>
    <w:p>
      <w:pPr>
        <w:sectPr>
          <w:headerReference w:type="even" r:id="rId22"/>
          <w:headerReference w:type="default" r:id="rId23"/>
          <w:pgSz w:w="11907" w:h="16840" w:code="9"/>
          <w:pgMar w:top="2376" w:right="2405" w:bottom="3542" w:left="2405" w:header="706" w:footer="3380" w:gutter="0"/>
          <w:cols w:space="720"/>
          <w:noEndnote/>
          <w:docGrid w:linePitch="326"/>
        </w:sectPr>
      </w:pPr>
    </w:p>
    <w:p/>
    <w:sectPr>
      <w:headerReference w:type="even" r:id="rId24"/>
      <w:headerReference w:type="default" r:id="rId25"/>
      <w:footerReference w:type="even" r:id="rId26"/>
      <w:footerReference w:type="default" r:id="rId27"/>
      <w:headerReference w:type="first" r:id="rId28"/>
      <w:footerReference w:type="first" r:id="rId29"/>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03 Apr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03-i0-00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Nov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03-j0-03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Apr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03-i0-00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Nov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03-j0-03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Apr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03-i0-00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19 Nov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03-j0-03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I</w:t>
          </w:r>
          <w:r>
            <w:rPr>
              <w:b/>
            </w:rPr>
            <w:fldChar w:fldCharType="end"/>
          </w:r>
        </w:p>
      </w:tc>
      <w:tc>
        <w:tcPr>
          <w:tcW w:w="5715" w:type="dxa"/>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5715" w:type="dxa"/>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I</w: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5</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297" w:name="Compilation"/>
    <w:bookmarkEnd w:id="297"/>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98" w:name="Coversheet"/>
    <w:bookmarkEnd w:id="298"/>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SpellingErrors/>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200417091407"/>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 w:name="WAFER_20170329155712" w:val="RemoveTocBookmarks,RemoveUnusedBookmarks,RemoveLanguageTags,UsedStyles,ResetPageSize"/>
    <w:docVar w:name="WAFER_20170329155712_GUID" w:val="1f827c2c-9ebb-402d-af56-ae5964ef6eed"/>
    <w:docVar w:name="WAFER_20181121111504" w:val="RemoveTocBookmarks,RemoveUnusedBookmarks,RemoveLanguageTags,UsedStyles,ResetPageSize"/>
    <w:docVar w:name="WAFER_20181121111504_GUID" w:val="b17e870c-b5de-44a8-aaa1-b1a7c10f5a90"/>
    <w:docVar w:name="WAFER_20200212145210"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45210_GUID" w:val="8a911fd8-0de7-467e-8a59-d7dedc64639c"/>
    <w:docVar w:name="WAFER_202004170914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417091407_GUID" w:val="a5937936-a739-47e6-b9c9-5bd547461b1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footer" Target="footer7.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header" Target="header8.xml"/><Relationship Id="rId28" Type="http://schemas.openxmlformats.org/officeDocument/2006/relationships/header" Target="header11.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8119</Words>
  <Characters>37190</Characters>
  <Application>Microsoft Office Word</Application>
  <DocSecurity>0</DocSecurity>
  <Lines>1033</Lines>
  <Paragraphs>509</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44800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03-i0-00 - 03-j0-03</dc:title>
  <dc:subject/>
  <dc:creator/>
  <cp:keywords/>
  <dc:description/>
  <cp:lastModifiedBy>svcMRProcess</cp:lastModifiedBy>
  <cp:revision>2</cp:revision>
  <cp:lastPrinted>2006-05-18T02:51:00Z</cp:lastPrinted>
  <dcterms:created xsi:type="dcterms:W3CDTF">2020-04-17T10:02:00Z</dcterms:created>
  <dcterms:modified xsi:type="dcterms:W3CDTF">2020-04-17T10:02:00Z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DocumentType">
    <vt:lpwstr>Act</vt:lpwstr>
  </property>
  <property fmtid="{D5CDD505-2E9C-101B-9397-08002B2CF9AE}" pid="4" name="OwlsUID">
    <vt:i4>728</vt:i4>
  </property>
  <property fmtid="{D5CDD505-2E9C-101B-9397-08002B2CF9AE}" pid="5" name="ReprintNo">
    <vt:lpwstr>3</vt:lpwstr>
  </property>
  <property fmtid="{D5CDD505-2E9C-101B-9397-08002B2CF9AE}" pid="6" name="CommencementDate">
    <vt:lpwstr>20181119</vt:lpwstr>
  </property>
  <property fmtid="{D5CDD505-2E9C-101B-9397-08002B2CF9AE}" pid="7" name="FromSuffix">
    <vt:lpwstr>03-i0-00</vt:lpwstr>
  </property>
  <property fmtid="{D5CDD505-2E9C-101B-9397-08002B2CF9AE}" pid="8" name="FromAsAtDate">
    <vt:lpwstr>03 Apr 2017</vt:lpwstr>
  </property>
  <property fmtid="{D5CDD505-2E9C-101B-9397-08002B2CF9AE}" pid="9" name="ToSuffix">
    <vt:lpwstr>03-j0-03</vt:lpwstr>
  </property>
  <property fmtid="{D5CDD505-2E9C-101B-9397-08002B2CF9AE}" pid="10" name="ToAsAtDate">
    <vt:lpwstr>19 Nov 2018</vt:lpwstr>
  </property>
</Properties>
</file>