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2018</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1" w:name="_Toc531356935"/>
      <w:bookmarkStart w:id="2" w:name="_Toc514062562"/>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5" w:name="_Toc531356936"/>
      <w:bookmarkStart w:id="6" w:name="_Toc51406256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7" w:name="_Toc531356937"/>
      <w:bookmarkStart w:id="8" w:name="_Toc514062564"/>
      <w:r>
        <w:rPr>
          <w:rStyle w:val="CharSectno"/>
        </w:rPr>
        <w:t>3</w:t>
      </w:r>
      <w:r>
        <w:rPr>
          <w:snapToGrid w:val="0"/>
        </w:rPr>
        <w:t>.</w:t>
      </w:r>
      <w:r>
        <w:rPr>
          <w:snapToGrid w:val="0"/>
        </w:rPr>
        <w:tab/>
        <w:t>Term used: Health Practitioner Regulation National Law Regulation</w:t>
      </w:r>
      <w:bookmarkEnd w:id="7"/>
      <w:bookmarkEnd w:id="8"/>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9" w:name="_Toc531356938"/>
      <w:bookmarkStart w:id="10" w:name="_Toc514062565"/>
      <w:r>
        <w:rPr>
          <w:rStyle w:val="CharSectno"/>
        </w:rPr>
        <w:t>4</w:t>
      </w:r>
      <w:r>
        <w:t>.</w:t>
      </w:r>
      <w:r>
        <w:tab/>
        <w:t>Application of Health Practitioner Regulation National Law Regulation</w:t>
      </w:r>
      <w:bookmarkEnd w:id="9"/>
      <w:bookmarkEnd w:id="10"/>
    </w:p>
    <w:p>
      <w:pPr>
        <w:pStyle w:val="Subsection"/>
      </w:pPr>
      <w:r>
        <w:tab/>
        <w:t>(1)</w:t>
      </w:r>
      <w:r>
        <w:tab/>
        <w:t xml:space="preserve">The Health Practitioner Regulation National Law Regulation as in force on 6 December 2017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pStyle w:val="Footnotesection"/>
      </w:pPr>
      <w:r>
        <w:tab/>
        <w:t>[Section 4 amended by</w:t>
      </w:r>
      <w:r>
        <w:rPr>
          <w:snapToGrid/>
        </w:rPr>
        <w:t xml:space="preserve"> No. 4 of 2018 s. 100.]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514062463"/>
      <w:bookmarkStart w:id="12" w:name="_Toc514062566"/>
      <w:bookmarkStart w:id="13" w:name="_Toc531356939"/>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14" w:name="_Toc531356940"/>
      <w:bookmarkStart w:id="15" w:name="_Toc514062567"/>
      <w:r>
        <w:t>Compilation table</w:t>
      </w:r>
      <w:bookmarkEnd w:id="14"/>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Health Practitioner Regulation National Law (WA) Regulations 2010</w:t>
            </w:r>
          </w:p>
        </w:tc>
        <w:tc>
          <w:tcPr>
            <w:tcW w:w="1276" w:type="dxa"/>
            <w:tcBorders>
              <w:bottom w:val="nil"/>
            </w:tcBorders>
          </w:tcPr>
          <w:p>
            <w:pPr>
              <w:pStyle w:val="nTable"/>
              <w:spacing w:after="40"/>
            </w:pPr>
            <w:r>
              <w:t>26 Nov 2010 p. 5952-3</w:t>
            </w:r>
          </w:p>
        </w:tc>
        <w:tc>
          <w:tcPr>
            <w:tcW w:w="2693" w:type="dxa"/>
            <w:tcBorders>
              <w:bottom w:val="nil"/>
            </w:tcBorders>
          </w:tcPr>
          <w:p>
            <w:pPr>
              <w:pStyle w:val="nTable"/>
              <w:spacing w:after="40"/>
            </w:pPr>
            <w:r>
              <w:t>r. 1 and 2: 26 Nov 2010 (see r. 2(a));</w:t>
            </w:r>
            <w:r>
              <w:br/>
              <w:t>Regulations other than r. 1 and 2: 27 Nov 2010 (see r. 2(b))</w:t>
            </w:r>
          </w:p>
        </w:tc>
      </w:tr>
      <w:tr>
        <w:tc>
          <w:tcPr>
            <w:tcW w:w="4394" w:type="dxa"/>
            <w:gridSpan w:val="2"/>
            <w:tcBorders>
              <w:top w:val="nil"/>
              <w:bottom w:val="nil"/>
            </w:tcBorders>
          </w:tcPr>
          <w:p>
            <w:pPr>
              <w:pStyle w:val="nTable"/>
              <w:spacing w:after="40"/>
            </w:pPr>
            <w:r>
              <w:rPr>
                <w:i/>
              </w:rPr>
              <w:t>Health Practitioner Regulation National Law (WA) Amendment Act 2018</w:t>
            </w:r>
            <w:r>
              <w:t xml:space="preserve"> assented to 19 Apr 2018 Pt. 3</w:t>
            </w:r>
          </w:p>
        </w:tc>
        <w:tc>
          <w:tcPr>
            <w:tcW w:w="2693" w:type="dxa"/>
            <w:tcBorders>
              <w:top w:val="nil"/>
              <w:bottom w:val="nil"/>
            </w:tcBorders>
          </w:tcPr>
          <w:p>
            <w:pPr>
              <w:pStyle w:val="nTable"/>
              <w:spacing w:after="40"/>
            </w:pPr>
            <w:r>
              <w:t xml:space="preserve">16 May 2018 (see s. 2(d) and </w:t>
            </w:r>
            <w:r>
              <w:rPr>
                <w:i/>
              </w:rPr>
              <w:t>Gazette</w:t>
            </w:r>
            <w:r>
              <w:t xml:space="preserve"> 15 May 2018 p. 1527)</w:t>
            </w:r>
          </w:p>
        </w:tc>
      </w:tr>
      <w:tr>
        <w:trPr>
          <w:ins w:id="16" w:author="Master Repository Process" w:date="2021-08-28T14:43:00Z"/>
        </w:trPr>
        <w:tc>
          <w:tcPr>
            <w:tcW w:w="7087" w:type="dxa"/>
            <w:gridSpan w:val="3"/>
            <w:tcBorders>
              <w:top w:val="nil"/>
              <w:bottom w:val="single" w:sz="4" w:space="0" w:color="auto"/>
            </w:tcBorders>
          </w:tcPr>
          <w:p>
            <w:pPr>
              <w:pStyle w:val="nTable"/>
              <w:spacing w:after="40"/>
              <w:rPr>
                <w:ins w:id="17" w:author="Master Repository Process" w:date="2021-08-28T14:43:00Z"/>
                <w:b/>
                <w:color w:val="FF0000"/>
              </w:rPr>
            </w:pPr>
            <w:ins w:id="18" w:author="Master Repository Process" w:date="2021-08-28T14:43:00Z">
              <w:r>
                <w:rPr>
                  <w:b/>
                  <w:color w:val="FF0000"/>
                </w:rPr>
                <w:t xml:space="preserve">These regulations were repealed by the </w:t>
              </w:r>
              <w:r>
                <w:rPr>
                  <w:b/>
                  <w:i/>
                  <w:color w:val="FF0000"/>
                </w:rPr>
                <w:t>Health Practitioner Regulation National Law Regulation 2018</w:t>
              </w:r>
              <w:r>
                <w:rPr>
                  <w:b/>
                  <w:color w:val="FF0000"/>
                </w:rPr>
                <w:t xml:space="preserve"> s. 42 as at 1 Dec 2018 (see </w:t>
              </w:r>
              <w:r>
                <w:rPr>
                  <w:b/>
                  <w:i/>
                  <w:color w:val="FF0000"/>
                </w:rPr>
                <w:t>Gazette</w:t>
              </w:r>
              <w:r>
                <w:rPr>
                  <w:b/>
                  <w:color w:val="FF0000"/>
                </w:rPr>
                <w:t xml:space="preserve"> 26 Oct 2018 s. 2(1)).</w:t>
              </w:r>
            </w:ins>
          </w:p>
        </w:tc>
      </w:tr>
    </w:tbl>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19" w:name="_Toc514062465"/>
      <w:bookmarkStart w:id="20" w:name="_Toc514062568"/>
      <w:bookmarkStart w:id="21" w:name="_Toc531356941"/>
      <w:r>
        <w:rPr>
          <w:rStyle w:val="CharSchNo"/>
        </w:rPr>
        <w:t>Note</w:t>
      </w:r>
      <w:r>
        <w:rPr>
          <w:rStyle w:val="CharSDivNo"/>
        </w:rPr>
        <w:t> </w:t>
      </w:r>
      <w:r>
        <w:t>—</w:t>
      </w:r>
      <w:r>
        <w:rPr>
          <w:rStyle w:val="CharSDivText"/>
        </w:rPr>
        <w:t> </w:t>
      </w:r>
      <w:r>
        <w:rPr>
          <w:rStyle w:val="CharSchText"/>
        </w:rPr>
        <w:t>Health Practitioner Regulation National Law Regulation</w:t>
      </w:r>
      <w:bookmarkEnd w:id="19"/>
      <w:bookmarkEnd w:id="20"/>
      <w:bookmarkEnd w:id="21"/>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4"/>
          <w:headerReference w:type="default" r:id="rId25"/>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23" w:name="_Toc514062466"/>
      <w:bookmarkStart w:id="24" w:name="_Toc514062569"/>
      <w:bookmarkStart w:id="25" w:name="_Toc531356942"/>
      <w:r>
        <w:rPr>
          <w:rStyle w:val="CharPartNo"/>
        </w:rPr>
        <w:t>Part 1</w:t>
      </w:r>
      <w:r>
        <w:rPr>
          <w:rStyle w:val="CharPartText"/>
        </w:rPr>
        <w:t xml:space="preserve"> Preliminary</w:t>
      </w:r>
      <w:bookmarkEnd w:id="23"/>
      <w:bookmarkEnd w:id="24"/>
      <w:bookmarkEnd w:id="25"/>
    </w:p>
    <w:p>
      <w:pPr>
        <w:pStyle w:val="Heading5"/>
      </w:pPr>
      <w:bookmarkStart w:id="26" w:name="_Toc531356943"/>
      <w:bookmarkStart w:id="27" w:name="_Toc514062570"/>
      <w:r>
        <w:rPr>
          <w:rStyle w:val="CharSectno"/>
        </w:rPr>
        <w:t>1</w:t>
      </w:r>
      <w:r>
        <w:tab/>
        <w:t>Citation</w:t>
      </w:r>
      <w:bookmarkEnd w:id="26"/>
      <w:bookmarkEnd w:id="27"/>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28" w:name="_Toc531356944"/>
      <w:bookmarkStart w:id="29" w:name="_Toc514062571"/>
      <w:r>
        <w:rPr>
          <w:rStyle w:val="CharSectno"/>
        </w:rPr>
        <w:t>2</w:t>
      </w:r>
      <w:r>
        <w:tab/>
        <w:t>Commencement</w:t>
      </w:r>
      <w:bookmarkEnd w:id="28"/>
      <w:bookmarkEnd w:id="29"/>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30" w:name="_Toc514062469"/>
      <w:bookmarkStart w:id="31" w:name="_Toc514062572"/>
      <w:bookmarkStart w:id="32" w:name="_Toc531356945"/>
      <w:r>
        <w:rPr>
          <w:rStyle w:val="CharPartNo"/>
        </w:rPr>
        <w:t>Part 2</w:t>
      </w:r>
      <w:r>
        <w:rPr>
          <w:rStyle w:val="CharPartText"/>
        </w:rPr>
        <w:t xml:space="preserve"> Application of Commonwealth Privacy Act</w:t>
      </w:r>
      <w:bookmarkEnd w:id="30"/>
      <w:bookmarkEnd w:id="31"/>
      <w:bookmarkEnd w:id="32"/>
    </w:p>
    <w:p>
      <w:pPr>
        <w:pStyle w:val="Heading5"/>
      </w:pPr>
      <w:bookmarkStart w:id="33" w:name="_Toc531356946"/>
      <w:bookmarkStart w:id="34" w:name="_Toc514062573"/>
      <w:r>
        <w:rPr>
          <w:rStyle w:val="CharSectno"/>
        </w:rPr>
        <w:t>3</w:t>
      </w:r>
      <w:r>
        <w:tab/>
        <w:t>Application of Commonwealth Privacy Act</w:t>
      </w:r>
      <w:bookmarkEnd w:id="33"/>
      <w:bookmarkEnd w:id="34"/>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35" w:name="_Toc531356947"/>
      <w:bookmarkStart w:id="36" w:name="_Toc514062574"/>
      <w:r>
        <w:rPr>
          <w:rStyle w:val="CharSectno"/>
        </w:rPr>
        <w:t>4</w:t>
      </w:r>
      <w:r>
        <w:tab/>
        <w:t>Modifications relating to National Agency and National Boards</w:t>
      </w:r>
      <w:bookmarkEnd w:id="35"/>
      <w:bookmarkEnd w:id="36"/>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37" w:name="_Toc531356948"/>
      <w:bookmarkStart w:id="38" w:name="_Toc514062575"/>
      <w:r>
        <w:rPr>
          <w:rStyle w:val="CharSectno"/>
        </w:rPr>
        <w:t>5</w:t>
      </w:r>
      <w:r>
        <w:tab/>
        <w:t>Modifications relating to appointment of National Health Practitioners Privacy Commissioner and staff</w:t>
      </w:r>
      <w:bookmarkEnd w:id="37"/>
      <w:bookmarkEnd w:id="38"/>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employ staff;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39" w:name="_Toc531356949"/>
      <w:bookmarkStart w:id="40" w:name="_Toc514062576"/>
      <w:r>
        <w:rPr>
          <w:rStyle w:val="CharSectno"/>
        </w:rPr>
        <w:t>6</w:t>
      </w:r>
      <w:r>
        <w:tab/>
        <w:t>Modifications about interferences with privacy</w:t>
      </w:r>
      <w:bookmarkEnd w:id="39"/>
      <w:bookmarkEnd w:id="40"/>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41" w:name="_Toc531356950"/>
      <w:bookmarkStart w:id="42" w:name="_Toc514062577"/>
      <w:r>
        <w:rPr>
          <w:rStyle w:val="CharSectno"/>
        </w:rPr>
        <w:t>7</w:t>
      </w:r>
      <w:r>
        <w:tab/>
        <w:t>Modifications about financial matters</w:t>
      </w:r>
      <w:bookmarkEnd w:id="41"/>
      <w:bookmarkEnd w:id="42"/>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43" w:name="_Toc531356951"/>
      <w:bookmarkStart w:id="44" w:name="_Toc514062578"/>
      <w:r>
        <w:rPr>
          <w:rStyle w:val="CharSectno"/>
        </w:rPr>
        <w:t>8</w:t>
      </w:r>
      <w:r>
        <w:tab/>
        <w:t>Modifications about annual report</w:t>
      </w:r>
      <w:bookmarkEnd w:id="43"/>
      <w:bookmarkEnd w:id="44"/>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5" w:name="_Toc531356952"/>
      <w:bookmarkStart w:id="46" w:name="_Toc514062579"/>
      <w:r>
        <w:rPr>
          <w:rStyle w:val="CharSectno"/>
        </w:rPr>
        <w:t>9</w:t>
      </w:r>
      <w:r>
        <w:tab/>
        <w:t>Modifications about determinations</w:t>
      </w:r>
      <w:bookmarkEnd w:id="45"/>
      <w:bookmarkEnd w:id="46"/>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47" w:name="_Toc531356953"/>
      <w:bookmarkStart w:id="48" w:name="_Toc514062580"/>
      <w:r>
        <w:rPr>
          <w:rStyle w:val="CharSectno"/>
        </w:rPr>
        <w:t>10</w:t>
      </w:r>
      <w:r>
        <w:tab/>
        <w:t>Miscellaneous modifications</w:t>
      </w:r>
      <w:bookmarkEnd w:id="47"/>
      <w:bookmarkEnd w:id="48"/>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49" w:name="_Toc531356954"/>
      <w:bookmarkStart w:id="50" w:name="_Toc514062581"/>
      <w:r>
        <w:rPr>
          <w:rStyle w:val="CharSectno"/>
        </w:rPr>
        <w:t>11</w:t>
      </w:r>
      <w:r>
        <w:tab/>
        <w:t>Relevant tribunal</w:t>
      </w:r>
      <w:bookmarkEnd w:id="49"/>
      <w:bookmarkEnd w:id="50"/>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51" w:name="_Toc531356955"/>
      <w:bookmarkStart w:id="52" w:name="_Toc514062582"/>
      <w:r>
        <w:rPr>
          <w:rStyle w:val="CharSectno"/>
        </w:rPr>
        <w:t>12</w:t>
      </w:r>
      <w:r>
        <w:tab/>
        <w:t>Certain amendments to Privacy Act not applicable</w:t>
      </w:r>
      <w:bookmarkEnd w:id="51"/>
      <w:bookmarkEnd w:id="52"/>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53" w:name="_Toc531356956"/>
      <w:bookmarkStart w:id="54" w:name="_Toc514062583"/>
      <w:r>
        <w:rPr>
          <w:rStyle w:val="CharSectno"/>
        </w:rPr>
        <w:t>13</w:t>
      </w:r>
      <w:r>
        <w:tab/>
        <w:t>Regulations</w:t>
      </w:r>
      <w:bookmarkEnd w:id="53"/>
      <w:bookmarkEnd w:id="54"/>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55" w:name="_Toc514062481"/>
      <w:bookmarkStart w:id="56" w:name="_Toc514062584"/>
      <w:bookmarkStart w:id="57" w:name="_Toc531356957"/>
      <w:r>
        <w:rPr>
          <w:rStyle w:val="CharPartNo"/>
        </w:rPr>
        <w:t xml:space="preserve">Part 3 </w:t>
      </w:r>
      <w:r>
        <w:rPr>
          <w:rStyle w:val="CharPartText"/>
        </w:rPr>
        <w:t>Application of Commonwealth FOI Act</w:t>
      </w:r>
      <w:bookmarkEnd w:id="55"/>
      <w:bookmarkEnd w:id="56"/>
      <w:bookmarkEnd w:id="57"/>
    </w:p>
    <w:p>
      <w:pPr>
        <w:pStyle w:val="Heading5"/>
      </w:pPr>
      <w:bookmarkStart w:id="58" w:name="_Toc531356958"/>
      <w:bookmarkStart w:id="59" w:name="_Toc514062585"/>
      <w:r>
        <w:rPr>
          <w:rStyle w:val="CharSectno"/>
        </w:rPr>
        <w:t>14</w:t>
      </w:r>
      <w:r>
        <w:tab/>
        <w:t>Application of Commonwealth FOI Act</w:t>
      </w:r>
      <w:bookmarkEnd w:id="58"/>
      <w:bookmarkEnd w:id="59"/>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60" w:name="_Toc531356959"/>
      <w:bookmarkStart w:id="61" w:name="_Toc514062586"/>
      <w:r>
        <w:rPr>
          <w:rStyle w:val="CharSectno"/>
        </w:rPr>
        <w:t>15</w:t>
      </w:r>
      <w:r>
        <w:tab/>
        <w:t>Modifications relating to National Agency and National Boards</w:t>
      </w:r>
      <w:bookmarkEnd w:id="60"/>
      <w:bookmarkEnd w:id="61"/>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62" w:name="_Toc531356960"/>
      <w:bookmarkStart w:id="63" w:name="_Toc514062587"/>
      <w:r>
        <w:rPr>
          <w:rStyle w:val="CharSectno"/>
        </w:rPr>
        <w:t>16</w:t>
      </w:r>
      <w:r>
        <w:tab/>
        <w:t>Miscellaneous modifications</w:t>
      </w:r>
      <w:bookmarkEnd w:id="62"/>
      <w:bookmarkEnd w:id="63"/>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 xml:space="preserve">a provision of the </w:t>
      </w:r>
      <w:r>
        <w:rPr>
          <w:i/>
          <w:color w:val="000000"/>
          <w:szCs w:val="24"/>
        </w:rPr>
        <w:t>Administrative Appeals Tribunal Act 1975</w:t>
      </w:r>
      <w:r>
        <w:rPr>
          <w:color w:val="000000"/>
          <w:szCs w:val="24"/>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64" w:name="_Toc531356961"/>
      <w:bookmarkStart w:id="65" w:name="_Toc514062588"/>
      <w:r>
        <w:rPr>
          <w:rStyle w:val="CharSectno"/>
        </w:rPr>
        <w:t>17</w:t>
      </w:r>
      <w:r>
        <w:tab/>
        <w:t>Relevant tribunal</w:t>
      </w:r>
      <w:bookmarkEnd w:id="64"/>
      <w:bookmarkEnd w:id="65"/>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66" w:name="_Toc531356962"/>
      <w:bookmarkStart w:id="67" w:name="_Toc514062589"/>
      <w:r>
        <w:rPr>
          <w:rStyle w:val="CharSectno"/>
        </w:rPr>
        <w:t>18</w:t>
      </w:r>
      <w:r>
        <w:tab/>
        <w:t>Certain amendments to FOI Act not applicable</w:t>
      </w:r>
      <w:bookmarkEnd w:id="66"/>
      <w:bookmarkEnd w:id="67"/>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68" w:name="_Toc531356963"/>
      <w:bookmarkStart w:id="69" w:name="_Toc514062590"/>
      <w:r>
        <w:rPr>
          <w:rStyle w:val="CharSectno"/>
        </w:rPr>
        <w:t>19</w:t>
      </w:r>
      <w:r>
        <w:tab/>
        <w:t>Regulations</w:t>
      </w:r>
      <w:bookmarkEnd w:id="68"/>
      <w:bookmarkEnd w:id="69"/>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70" w:name="_Toc514062488"/>
      <w:bookmarkStart w:id="71" w:name="_Toc514062591"/>
      <w:bookmarkStart w:id="72" w:name="_Toc531356964"/>
      <w:r>
        <w:rPr>
          <w:rStyle w:val="CharPartNo"/>
        </w:rPr>
        <w:t>Part 4</w:t>
      </w:r>
      <w:r>
        <w:rPr>
          <w:rStyle w:val="CharPartText"/>
        </w:rPr>
        <w:t xml:space="preserve"> Application of Commonwealth Ombudsman Act</w:t>
      </w:r>
      <w:bookmarkEnd w:id="70"/>
      <w:bookmarkEnd w:id="71"/>
      <w:bookmarkEnd w:id="72"/>
    </w:p>
    <w:p>
      <w:pPr>
        <w:pStyle w:val="Heading5"/>
      </w:pPr>
      <w:bookmarkStart w:id="73" w:name="_Toc531356965"/>
      <w:bookmarkStart w:id="74" w:name="_Toc514062592"/>
      <w:r>
        <w:rPr>
          <w:rStyle w:val="CharSectno"/>
        </w:rPr>
        <w:t>20</w:t>
      </w:r>
      <w:r>
        <w:tab/>
        <w:t>Application of Commonwealth Ombudsman Act</w:t>
      </w:r>
      <w:bookmarkEnd w:id="73"/>
      <w:bookmarkEnd w:id="74"/>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75" w:name="_Toc531356966"/>
      <w:bookmarkStart w:id="76" w:name="_Toc514062593"/>
      <w:r>
        <w:rPr>
          <w:rStyle w:val="CharSectno"/>
        </w:rPr>
        <w:t>21</w:t>
      </w:r>
      <w:r>
        <w:tab/>
        <w:t>Modifications relating to National Agency and National Boards</w:t>
      </w:r>
      <w:bookmarkEnd w:id="75"/>
      <w:bookmarkEnd w:id="76"/>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77" w:name="_Toc531356967"/>
      <w:bookmarkStart w:id="78" w:name="_Toc514062594"/>
      <w:r>
        <w:rPr>
          <w:rStyle w:val="CharSectno"/>
        </w:rPr>
        <w:t>22</w:t>
      </w:r>
      <w:r>
        <w:tab/>
        <w:t>Modifications relating to appointment of National Health Practitioners Ombudsman and staff</w:t>
      </w:r>
      <w:bookmarkEnd w:id="77"/>
      <w:bookmarkEnd w:id="78"/>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79" w:name="_Toc531356968"/>
      <w:bookmarkStart w:id="80" w:name="_Toc514062595"/>
      <w:r>
        <w:rPr>
          <w:rStyle w:val="CharSectno"/>
        </w:rPr>
        <w:t>23</w:t>
      </w:r>
      <w:r>
        <w:tab/>
        <w:t>Modifications about financial matters</w:t>
      </w:r>
      <w:bookmarkEnd w:id="79"/>
      <w:bookmarkEnd w:id="80"/>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81" w:name="_Toc531356969"/>
      <w:bookmarkStart w:id="82" w:name="_Toc514062596"/>
      <w:r>
        <w:rPr>
          <w:rStyle w:val="CharSectno"/>
        </w:rPr>
        <w:t>24</w:t>
      </w:r>
      <w:r>
        <w:tab/>
        <w:t>Modifications about annual report</w:t>
      </w:r>
      <w:bookmarkEnd w:id="81"/>
      <w:bookmarkEnd w:id="82"/>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3" w:name="_Toc531356970"/>
      <w:bookmarkStart w:id="84" w:name="_Toc514062597"/>
      <w:r>
        <w:rPr>
          <w:rStyle w:val="CharSectno"/>
        </w:rPr>
        <w:t>25</w:t>
      </w:r>
      <w:r>
        <w:tab/>
        <w:t>Miscellaneous modifications</w:t>
      </w:r>
      <w:bookmarkEnd w:id="83"/>
      <w:bookmarkEnd w:id="84"/>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85" w:name="_Toc531356971"/>
      <w:bookmarkStart w:id="86" w:name="_Toc514062598"/>
      <w:r>
        <w:rPr>
          <w:rStyle w:val="CharSectno"/>
        </w:rPr>
        <w:t>26</w:t>
      </w:r>
      <w:r>
        <w:tab/>
        <w:t>Relevant tribunal</w:t>
      </w:r>
      <w:bookmarkEnd w:id="85"/>
      <w:bookmarkEnd w:id="86"/>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87" w:name="_Toc531356972"/>
      <w:bookmarkStart w:id="88" w:name="_Toc514062599"/>
      <w:r>
        <w:rPr>
          <w:rStyle w:val="CharSectno"/>
        </w:rPr>
        <w:t>27</w:t>
      </w:r>
      <w:r>
        <w:tab/>
        <w:t>Certain amendments to Ombudsman Act not applicable</w:t>
      </w:r>
      <w:bookmarkEnd w:id="87"/>
      <w:bookmarkEnd w:id="88"/>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89" w:name="_Toc531356973"/>
      <w:bookmarkStart w:id="90" w:name="_Toc514062600"/>
      <w:r>
        <w:rPr>
          <w:rStyle w:val="CharSectno"/>
        </w:rPr>
        <w:t>28</w:t>
      </w:r>
      <w:r>
        <w:tab/>
        <w:t>Regulations</w:t>
      </w:r>
      <w:bookmarkEnd w:id="89"/>
      <w:bookmarkEnd w:id="90"/>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91" w:name="_Toc514062498"/>
      <w:bookmarkStart w:id="92" w:name="_Toc514062601"/>
      <w:bookmarkStart w:id="93" w:name="_Toc531356974"/>
      <w:r>
        <w:rPr>
          <w:rStyle w:val="CharPartNo"/>
        </w:rPr>
        <w:t>Part 5</w:t>
      </w:r>
      <w:r>
        <w:rPr>
          <w:rStyle w:val="CharPartText"/>
        </w:rPr>
        <w:t xml:space="preserve"> Miscellaneous</w:t>
      </w:r>
      <w:bookmarkEnd w:id="91"/>
      <w:bookmarkEnd w:id="92"/>
      <w:bookmarkEnd w:id="93"/>
    </w:p>
    <w:p>
      <w:pPr>
        <w:pStyle w:val="Heading5"/>
      </w:pPr>
      <w:bookmarkStart w:id="94" w:name="_Toc531356975"/>
      <w:bookmarkStart w:id="95" w:name="_Toc514062602"/>
      <w:r>
        <w:rPr>
          <w:rStyle w:val="CharSectno"/>
        </w:rPr>
        <w:t>29</w:t>
      </w:r>
      <w:r>
        <w:tab/>
        <w:t>Transition period in relation to professional indemnity insurance arrangement for midwives practising private midwifery</w:t>
      </w:r>
      <w:bookmarkEnd w:id="94"/>
      <w:bookmarkEnd w:id="95"/>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96" w:name="_Toc531356976"/>
      <w:bookmarkStart w:id="97" w:name="_Toc514062603"/>
      <w:r>
        <w:rPr>
          <w:rStyle w:val="CharSectno"/>
        </w:rPr>
        <w:t>30</w:t>
      </w:r>
      <w:r>
        <w:tab/>
        <w:t>Notifications made to National Agency after commencement</w:t>
      </w:r>
      <w:bookmarkEnd w:id="96"/>
      <w:bookmarkEnd w:id="97"/>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98" w:name="Compilation"/>
    <w:bookmarkEnd w:id="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241C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E9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926C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10D1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803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4113936"/>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 w:name="WAFER_20180514113936" w:val="RemoveTocBookmarks,RemoveUnusedBookmarks,RemoveLanguageTags,UsedStyles,ResetPageSize"/>
    <w:docVar w:name="WAFER_20180514113936_GUID" w:val="9973e0b8-3baf-48df-8a6e-4ea658faa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BCE9AA-C953-4070-837B-1DA011C3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6BBEB-DE3D-4815-8E64-3DF779E38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5060</Words>
  <Characters>26874</Characters>
  <Application>Microsoft Office Word</Application>
  <DocSecurity>0</DocSecurity>
  <Lines>814</Lines>
  <Paragraphs>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00-e0-00 - 00-f0-00</dc:title>
  <dc:subject/>
  <dc:creator/>
  <cp:keywords/>
  <dc:description/>
  <cp:lastModifiedBy>Master Repository Process</cp:lastModifiedBy>
  <cp:revision>2</cp:revision>
  <cp:lastPrinted>2018-05-14T08:29:00Z</cp:lastPrinted>
  <dcterms:created xsi:type="dcterms:W3CDTF">2021-08-28T06:43:00Z</dcterms:created>
  <dcterms:modified xsi:type="dcterms:W3CDTF">2021-08-28T06:43:00Z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Status">
    <vt:lpwstr>NIF</vt:lpwstr>
  </property>
  <property fmtid="{D5CDD505-2E9C-101B-9397-08002B2CF9AE}" pid="6" name="CommencementDate">
    <vt:lpwstr>20181201</vt:lpwstr>
  </property>
  <property fmtid="{D5CDD505-2E9C-101B-9397-08002B2CF9AE}" pid="7" name="FromSuffix">
    <vt:lpwstr>00-e0-00</vt:lpwstr>
  </property>
  <property fmtid="{D5CDD505-2E9C-101B-9397-08002B2CF9AE}" pid="8" name="FromAsAtDate">
    <vt:lpwstr>16 May 2018</vt:lpwstr>
  </property>
  <property fmtid="{D5CDD505-2E9C-101B-9397-08002B2CF9AE}" pid="9" name="ToSuffix">
    <vt:lpwstr>00-f0-00</vt:lpwstr>
  </property>
  <property fmtid="{D5CDD505-2E9C-101B-9397-08002B2CF9AE}" pid="10" name="ToAsAtDate">
    <vt:lpwstr>01 Dec 2018</vt:lpwstr>
  </property>
</Properties>
</file>