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377110028"/>
      <w:bookmarkStart w:id="3" w:name="_Toc424292311"/>
      <w:bookmarkStart w:id="4" w:name="_Toc435023272"/>
      <w:bookmarkStart w:id="5" w:name="_Toc5324748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77110029"/>
      <w:bookmarkStart w:id="7" w:name="_Toc532474808"/>
      <w:bookmarkStart w:id="8" w:name="_Toc435023273"/>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9" w:name="_Toc377110030"/>
      <w:bookmarkStart w:id="10" w:name="_Toc532474809"/>
      <w:bookmarkStart w:id="11" w:name="_Toc435023274"/>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2" w:name="_Toc377110031"/>
      <w:bookmarkStart w:id="13" w:name="_Toc532474810"/>
      <w:bookmarkStart w:id="14" w:name="_Toc435023275"/>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w:t>
      </w:r>
      <w:del w:id="15" w:author="svcMRProcess" w:date="2019-01-25T13:13:00Z">
        <w:r>
          <w:delText xml:space="preserve"> by</w:delText>
        </w:r>
      </w:del>
      <w:ins w:id="16" w:author="svcMRProcess" w:date="2019-01-25T13:13:00Z">
        <w:r>
          <w:t>:</w:t>
        </w:r>
      </w:ins>
      <w:r>
        <w:t xml:space="preserve"> No. 11 of 1992 s. 70; No. 23 of 1998 s. 20; No. 35 of 2003 s. 180.]</w:t>
      </w:r>
    </w:p>
    <w:p>
      <w:pPr>
        <w:pStyle w:val="Heading2"/>
      </w:pPr>
      <w:bookmarkStart w:id="17" w:name="_Toc377110032"/>
      <w:bookmarkStart w:id="18" w:name="_Toc424292315"/>
      <w:bookmarkStart w:id="19" w:name="_Toc435023276"/>
      <w:bookmarkStart w:id="20" w:name="_Toc532474811"/>
      <w:r>
        <w:rPr>
          <w:rStyle w:val="CharPartNo"/>
        </w:rPr>
        <w:t>Part 2</w:t>
      </w:r>
      <w:r>
        <w:t> — </w:t>
      </w:r>
      <w:r>
        <w:rPr>
          <w:rStyle w:val="CharPartText"/>
        </w:rPr>
        <w:t>The Racing Penalties Appeal Tribunal of Western Australia</w:t>
      </w:r>
      <w:bookmarkEnd w:id="17"/>
      <w:bookmarkEnd w:id="18"/>
      <w:bookmarkEnd w:id="19"/>
      <w:bookmarkEnd w:id="20"/>
    </w:p>
    <w:p>
      <w:pPr>
        <w:pStyle w:val="Heading3"/>
      </w:pPr>
      <w:bookmarkStart w:id="21" w:name="_Toc377110033"/>
      <w:bookmarkStart w:id="22" w:name="_Toc424292316"/>
      <w:bookmarkStart w:id="23" w:name="_Toc435023277"/>
      <w:bookmarkStart w:id="24" w:name="_Toc532474812"/>
      <w:r>
        <w:rPr>
          <w:rStyle w:val="CharDivNo"/>
        </w:rPr>
        <w:t>Division 1</w:t>
      </w:r>
      <w:r>
        <w:rPr>
          <w:snapToGrid w:val="0"/>
        </w:rPr>
        <w:t> — </w:t>
      </w:r>
      <w:r>
        <w:rPr>
          <w:rStyle w:val="CharDivText"/>
        </w:rPr>
        <w:t>Constitution and administration</w:t>
      </w:r>
      <w:bookmarkEnd w:id="21"/>
      <w:bookmarkEnd w:id="22"/>
      <w:bookmarkEnd w:id="23"/>
      <w:bookmarkEnd w:id="24"/>
    </w:p>
    <w:p>
      <w:pPr>
        <w:pStyle w:val="Heading5"/>
        <w:rPr>
          <w:snapToGrid w:val="0"/>
        </w:rPr>
      </w:pPr>
      <w:bookmarkStart w:id="25" w:name="_Toc377110034"/>
      <w:bookmarkStart w:id="26" w:name="_Toc532474813"/>
      <w:bookmarkStart w:id="27" w:name="_Toc435023278"/>
      <w:r>
        <w:rPr>
          <w:rStyle w:val="CharSectno"/>
        </w:rPr>
        <w:t>4</w:t>
      </w:r>
      <w:r>
        <w:rPr>
          <w:snapToGrid w:val="0"/>
        </w:rPr>
        <w:t>.</w:t>
      </w:r>
      <w:r>
        <w:rPr>
          <w:snapToGrid w:val="0"/>
        </w:rPr>
        <w:tab/>
        <w:t>Racing Penalties Appeal Tribunal of Western Australia</w:t>
      </w:r>
      <w:bookmarkEnd w:id="25"/>
      <w:bookmarkEnd w:id="26"/>
      <w:bookmarkEnd w:id="27"/>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w:t>
      </w:r>
      <w:del w:id="28" w:author="svcMRProcess" w:date="2019-01-25T13:13:00Z">
        <w:r>
          <w:delText xml:space="preserve"> by</w:delText>
        </w:r>
      </w:del>
      <w:ins w:id="29" w:author="svcMRProcess" w:date="2019-01-25T13:13:00Z">
        <w:r>
          <w:t>:</w:t>
        </w:r>
      </w:ins>
      <w:r>
        <w:t xml:space="preserve"> No. 32 of 1994 s. 19.]</w:t>
      </w:r>
    </w:p>
    <w:p>
      <w:pPr>
        <w:pStyle w:val="Heading5"/>
        <w:rPr>
          <w:snapToGrid w:val="0"/>
        </w:rPr>
      </w:pPr>
      <w:bookmarkStart w:id="30" w:name="_Toc377110035"/>
      <w:bookmarkStart w:id="31" w:name="_Toc532474814"/>
      <w:bookmarkStart w:id="32" w:name="_Toc435023279"/>
      <w:r>
        <w:rPr>
          <w:rStyle w:val="CharSectno"/>
        </w:rPr>
        <w:t>5</w:t>
      </w:r>
      <w:r>
        <w:rPr>
          <w:snapToGrid w:val="0"/>
        </w:rPr>
        <w:t>.</w:t>
      </w:r>
      <w:r>
        <w:rPr>
          <w:snapToGrid w:val="0"/>
        </w:rPr>
        <w:tab/>
        <w:t>Chairperson and acting Chairperson</w:t>
      </w:r>
      <w:bookmarkEnd w:id="30"/>
      <w:bookmarkEnd w:id="31"/>
      <w:bookmarkEnd w:id="32"/>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w:t>
      </w:r>
      <w:del w:id="33" w:author="svcMRProcess" w:date="2019-01-25T13:13:00Z">
        <w:r>
          <w:delText xml:space="preserve"> by</w:delText>
        </w:r>
      </w:del>
      <w:ins w:id="34" w:author="svcMRProcess" w:date="2019-01-25T13:13:00Z">
        <w:r>
          <w:t>:</w:t>
        </w:r>
      </w:ins>
      <w:r>
        <w:t xml:space="preserve"> No. 65 of 2003 s. 116; No. 21 of 2008 s. 695(2).]</w:t>
      </w:r>
    </w:p>
    <w:p>
      <w:pPr>
        <w:pStyle w:val="Heading5"/>
        <w:spacing w:before="180"/>
        <w:rPr>
          <w:snapToGrid w:val="0"/>
        </w:rPr>
      </w:pPr>
      <w:bookmarkStart w:id="35" w:name="_Toc377110036"/>
      <w:bookmarkStart w:id="36" w:name="_Toc532474815"/>
      <w:bookmarkStart w:id="37" w:name="_Toc435023280"/>
      <w:r>
        <w:rPr>
          <w:rStyle w:val="CharSectno"/>
        </w:rPr>
        <w:t>6</w:t>
      </w:r>
      <w:r>
        <w:rPr>
          <w:snapToGrid w:val="0"/>
        </w:rPr>
        <w:t>.</w:t>
      </w:r>
      <w:r>
        <w:rPr>
          <w:snapToGrid w:val="0"/>
        </w:rPr>
        <w:tab/>
        <w:t>Panel of members</w:t>
      </w:r>
      <w:bookmarkEnd w:id="35"/>
      <w:bookmarkEnd w:id="36"/>
      <w:bookmarkEnd w:id="37"/>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w:t>
      </w:r>
      <w:del w:id="38" w:author="svcMRProcess" w:date="2019-01-25T13:13:00Z">
        <w:r>
          <w:delText xml:space="preserve"> by</w:delText>
        </w:r>
      </w:del>
      <w:ins w:id="39" w:author="svcMRProcess" w:date="2019-01-25T13:13:00Z">
        <w:r>
          <w:t>:</w:t>
        </w:r>
      </w:ins>
      <w:r>
        <w:t xml:space="preserve"> No. 24 of 2000 s. 37.]</w:t>
      </w:r>
    </w:p>
    <w:p>
      <w:pPr>
        <w:pStyle w:val="Heading5"/>
        <w:rPr>
          <w:snapToGrid w:val="0"/>
        </w:rPr>
      </w:pPr>
      <w:bookmarkStart w:id="40" w:name="_Toc377110037"/>
      <w:bookmarkStart w:id="41" w:name="_Toc532474816"/>
      <w:bookmarkStart w:id="42" w:name="_Toc435023281"/>
      <w:r>
        <w:rPr>
          <w:rStyle w:val="CharSectno"/>
        </w:rPr>
        <w:t>7</w:t>
      </w:r>
      <w:r>
        <w:rPr>
          <w:snapToGrid w:val="0"/>
        </w:rPr>
        <w:t>.</w:t>
      </w:r>
      <w:r>
        <w:rPr>
          <w:snapToGrid w:val="0"/>
        </w:rPr>
        <w:tab/>
        <w:t>Eligibility to sit on particular Tribunal</w:t>
      </w:r>
      <w:bookmarkEnd w:id="40"/>
      <w:bookmarkEnd w:id="41"/>
      <w:bookmarkEnd w:id="42"/>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w:t>
      </w:r>
      <w:del w:id="43" w:author="svcMRProcess" w:date="2019-01-25T13:13:00Z">
        <w:r>
          <w:delText xml:space="preserve"> by</w:delText>
        </w:r>
      </w:del>
      <w:ins w:id="44" w:author="svcMRProcess" w:date="2019-01-25T13:13:00Z">
        <w:r>
          <w:t>:</w:t>
        </w:r>
      </w:ins>
      <w:r>
        <w:t xml:space="preserve"> No. 35 of 2003 s. 181.]</w:t>
      </w:r>
    </w:p>
    <w:p>
      <w:pPr>
        <w:pStyle w:val="Heading5"/>
        <w:rPr>
          <w:snapToGrid w:val="0"/>
        </w:rPr>
      </w:pPr>
      <w:bookmarkStart w:id="45" w:name="_Toc377110038"/>
      <w:bookmarkStart w:id="46" w:name="_Toc532474817"/>
      <w:bookmarkStart w:id="47" w:name="_Toc435023282"/>
      <w:r>
        <w:rPr>
          <w:rStyle w:val="CharSectno"/>
        </w:rPr>
        <w:t>8</w:t>
      </w:r>
      <w:r>
        <w:rPr>
          <w:snapToGrid w:val="0"/>
        </w:rPr>
        <w:t>.</w:t>
      </w:r>
      <w:r>
        <w:rPr>
          <w:snapToGrid w:val="0"/>
        </w:rPr>
        <w:tab/>
        <w:t>Registrar</w:t>
      </w:r>
      <w:bookmarkEnd w:id="45"/>
      <w:bookmarkEnd w:id="46"/>
      <w:bookmarkEnd w:id="47"/>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w:t>
      </w:r>
      <w:del w:id="48" w:author="svcMRProcess" w:date="2019-01-25T13:13:00Z">
        <w:r>
          <w:delText xml:space="preserve"> by</w:delText>
        </w:r>
      </w:del>
      <w:ins w:id="49" w:author="svcMRProcess" w:date="2019-01-25T13:13:00Z">
        <w:r>
          <w:t>:</w:t>
        </w:r>
      </w:ins>
      <w:r>
        <w:t xml:space="preserve"> No. 32 of 1994 s. 19.]</w:t>
      </w:r>
    </w:p>
    <w:p>
      <w:pPr>
        <w:pStyle w:val="Heading5"/>
        <w:rPr>
          <w:snapToGrid w:val="0"/>
        </w:rPr>
      </w:pPr>
      <w:bookmarkStart w:id="50" w:name="_Toc377110039"/>
      <w:bookmarkStart w:id="51" w:name="_Toc532474818"/>
      <w:bookmarkStart w:id="52" w:name="_Toc435023283"/>
      <w:r>
        <w:rPr>
          <w:rStyle w:val="CharSectno"/>
        </w:rPr>
        <w:t>9</w:t>
      </w:r>
      <w:r>
        <w:rPr>
          <w:snapToGrid w:val="0"/>
        </w:rPr>
        <w:t>.</w:t>
      </w:r>
      <w:r>
        <w:rPr>
          <w:snapToGrid w:val="0"/>
        </w:rPr>
        <w:tab/>
        <w:t>Relationship with Minister</w:t>
      </w:r>
      <w:bookmarkEnd w:id="50"/>
      <w:bookmarkEnd w:id="51"/>
      <w:bookmarkEnd w:id="5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w:t>
      </w:r>
      <w:del w:id="53" w:author="svcMRProcess" w:date="2019-01-25T13:13:00Z">
        <w:r>
          <w:delText xml:space="preserve"> by</w:delText>
        </w:r>
      </w:del>
      <w:ins w:id="54" w:author="svcMRProcess" w:date="2019-01-25T13:13:00Z">
        <w:r>
          <w:t>:</w:t>
        </w:r>
      </w:ins>
      <w:r>
        <w:t xml:space="preserve"> No. 77 of 2006 Sch. 1 cl. 143(1).]</w:t>
      </w:r>
    </w:p>
    <w:p>
      <w:pPr>
        <w:pStyle w:val="Heading3"/>
      </w:pPr>
      <w:bookmarkStart w:id="55" w:name="_Toc377110040"/>
      <w:bookmarkStart w:id="56" w:name="_Toc424292323"/>
      <w:bookmarkStart w:id="57" w:name="_Toc435023284"/>
      <w:bookmarkStart w:id="58" w:name="_Toc532474819"/>
      <w:r>
        <w:rPr>
          <w:rStyle w:val="CharDivNo"/>
        </w:rPr>
        <w:t>Division 2</w:t>
      </w:r>
      <w:r>
        <w:rPr>
          <w:snapToGrid w:val="0"/>
        </w:rPr>
        <w:t> — </w:t>
      </w:r>
      <w:r>
        <w:rPr>
          <w:rStyle w:val="CharDivText"/>
        </w:rPr>
        <w:t>Jurisdiction and functions</w:t>
      </w:r>
      <w:bookmarkEnd w:id="55"/>
      <w:bookmarkEnd w:id="56"/>
      <w:bookmarkEnd w:id="57"/>
      <w:bookmarkEnd w:id="58"/>
    </w:p>
    <w:p>
      <w:pPr>
        <w:pStyle w:val="Heading5"/>
        <w:rPr>
          <w:snapToGrid w:val="0"/>
        </w:rPr>
      </w:pPr>
      <w:bookmarkStart w:id="59" w:name="_Toc377110041"/>
      <w:bookmarkStart w:id="60" w:name="_Toc532474820"/>
      <w:bookmarkStart w:id="61" w:name="_Toc435023285"/>
      <w:r>
        <w:rPr>
          <w:rStyle w:val="CharSectno"/>
        </w:rPr>
        <w:t>10</w:t>
      </w:r>
      <w:r>
        <w:rPr>
          <w:snapToGrid w:val="0"/>
        </w:rPr>
        <w:t>.</w:t>
      </w:r>
      <w:r>
        <w:rPr>
          <w:snapToGrid w:val="0"/>
        </w:rPr>
        <w:tab/>
        <w:t>Jurisdiction, as variously constituted</w:t>
      </w:r>
      <w:bookmarkEnd w:id="59"/>
      <w:bookmarkEnd w:id="60"/>
      <w:bookmarkEnd w:id="61"/>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62" w:name="_Toc377110042"/>
      <w:bookmarkStart w:id="63" w:name="_Toc532474821"/>
      <w:bookmarkStart w:id="64" w:name="_Toc435023286"/>
      <w:r>
        <w:rPr>
          <w:rStyle w:val="CharSectno"/>
        </w:rPr>
        <w:t>11</w:t>
      </w:r>
      <w:r>
        <w:rPr>
          <w:snapToGrid w:val="0"/>
        </w:rPr>
        <w:t>.</w:t>
      </w:r>
      <w:r>
        <w:rPr>
          <w:snapToGrid w:val="0"/>
        </w:rPr>
        <w:tab/>
        <w:t>Proceedings before Tribunal</w:t>
      </w:r>
      <w:bookmarkEnd w:id="62"/>
      <w:bookmarkEnd w:id="63"/>
      <w:bookmarkEnd w:id="64"/>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65" w:name="_Toc377110043"/>
      <w:bookmarkStart w:id="66" w:name="_Toc532474822"/>
      <w:bookmarkStart w:id="67" w:name="_Toc435023287"/>
      <w:r>
        <w:rPr>
          <w:rStyle w:val="CharSectno"/>
        </w:rPr>
        <w:t>12</w:t>
      </w:r>
      <w:r>
        <w:rPr>
          <w:snapToGrid w:val="0"/>
        </w:rPr>
        <w:t>.</w:t>
      </w:r>
      <w:r>
        <w:rPr>
          <w:snapToGrid w:val="0"/>
        </w:rPr>
        <w:tab/>
        <w:t>Appeals which are not to be heard by Tribunal</w:t>
      </w:r>
      <w:bookmarkEnd w:id="65"/>
      <w:bookmarkEnd w:id="66"/>
      <w:bookmarkEnd w:id="67"/>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w:t>
      </w:r>
      <w:del w:id="68" w:author="svcMRProcess" w:date="2019-01-25T13:13:00Z">
        <w:r>
          <w:delText xml:space="preserve"> by</w:delText>
        </w:r>
      </w:del>
      <w:ins w:id="69" w:author="svcMRProcess" w:date="2019-01-25T13:13:00Z">
        <w:r>
          <w:t>:</w:t>
        </w:r>
      </w:ins>
      <w:r>
        <w:t xml:space="preserve"> No. 35 of 2003 s. 182.]</w:t>
      </w:r>
    </w:p>
    <w:p>
      <w:pPr>
        <w:pStyle w:val="Heading5"/>
        <w:rPr>
          <w:snapToGrid w:val="0"/>
        </w:rPr>
      </w:pPr>
      <w:bookmarkStart w:id="70" w:name="_Toc377110044"/>
      <w:bookmarkStart w:id="71" w:name="_Toc532474823"/>
      <w:bookmarkStart w:id="72" w:name="_Toc435023288"/>
      <w:r>
        <w:rPr>
          <w:rStyle w:val="CharSectno"/>
        </w:rPr>
        <w:t>13</w:t>
      </w:r>
      <w:r>
        <w:rPr>
          <w:snapToGrid w:val="0"/>
        </w:rPr>
        <w:t>.</w:t>
      </w:r>
      <w:r>
        <w:rPr>
          <w:snapToGrid w:val="0"/>
        </w:rPr>
        <w:tab/>
        <w:t>Appeals which shall be heard by Tribunal</w:t>
      </w:r>
      <w:bookmarkEnd w:id="70"/>
      <w:bookmarkEnd w:id="71"/>
      <w:bookmarkEnd w:id="72"/>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w:t>
      </w:r>
      <w:del w:id="73" w:author="svcMRProcess" w:date="2019-01-25T13:13:00Z">
        <w:r>
          <w:delText xml:space="preserve"> by</w:delText>
        </w:r>
      </w:del>
      <w:ins w:id="74" w:author="svcMRProcess" w:date="2019-01-25T13:13:00Z">
        <w:r>
          <w:t>:</w:t>
        </w:r>
      </w:ins>
      <w:r>
        <w:t xml:space="preserve"> No. 35 of 2003 s. 183.]</w:t>
      </w:r>
    </w:p>
    <w:p>
      <w:pPr>
        <w:pStyle w:val="Heading5"/>
        <w:rPr>
          <w:snapToGrid w:val="0"/>
        </w:rPr>
      </w:pPr>
      <w:bookmarkStart w:id="75" w:name="_Toc377110045"/>
      <w:bookmarkStart w:id="76" w:name="_Toc532474824"/>
      <w:bookmarkStart w:id="77" w:name="_Toc435023289"/>
      <w:r>
        <w:rPr>
          <w:rStyle w:val="CharSectno"/>
        </w:rPr>
        <w:t>14</w:t>
      </w:r>
      <w:r>
        <w:rPr>
          <w:snapToGrid w:val="0"/>
        </w:rPr>
        <w:t>.</w:t>
      </w:r>
      <w:r>
        <w:rPr>
          <w:snapToGrid w:val="0"/>
        </w:rPr>
        <w:tab/>
        <w:t>Determination of an appeal</w:t>
      </w:r>
      <w:bookmarkEnd w:id="75"/>
      <w:bookmarkEnd w:id="76"/>
      <w:bookmarkEnd w:id="77"/>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w:t>
      </w:r>
      <w:del w:id="78" w:author="svcMRProcess" w:date="2019-01-25T13:13:00Z">
        <w:r>
          <w:delText xml:space="preserve"> by</w:delText>
        </w:r>
      </w:del>
      <w:ins w:id="79" w:author="svcMRProcess" w:date="2019-01-25T13:13:00Z">
        <w:r>
          <w:t>:</w:t>
        </w:r>
      </w:ins>
      <w:r>
        <w:t xml:space="preserve"> No. 35 of 2003 s. 184.]</w:t>
      </w:r>
    </w:p>
    <w:p>
      <w:pPr>
        <w:pStyle w:val="Heading5"/>
        <w:rPr>
          <w:snapToGrid w:val="0"/>
        </w:rPr>
      </w:pPr>
      <w:bookmarkStart w:id="80" w:name="_Toc377110046"/>
      <w:bookmarkStart w:id="81" w:name="_Toc532474825"/>
      <w:bookmarkStart w:id="82" w:name="_Toc435023290"/>
      <w:r>
        <w:rPr>
          <w:rStyle w:val="CharSectno"/>
        </w:rPr>
        <w:t>15</w:t>
      </w:r>
      <w:r>
        <w:rPr>
          <w:snapToGrid w:val="0"/>
        </w:rPr>
        <w:t>.</w:t>
      </w:r>
      <w:r>
        <w:rPr>
          <w:snapToGrid w:val="0"/>
        </w:rPr>
        <w:tab/>
        <w:t>Other avenues of appeal may no longer be applicable</w:t>
      </w:r>
      <w:bookmarkEnd w:id="80"/>
      <w:bookmarkEnd w:id="81"/>
      <w:bookmarkEnd w:id="82"/>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w:t>
      </w:r>
      <w:del w:id="83" w:author="svcMRProcess" w:date="2019-01-25T13:13:00Z">
        <w:r>
          <w:delText xml:space="preserve"> by</w:delText>
        </w:r>
      </w:del>
      <w:ins w:id="84" w:author="svcMRProcess" w:date="2019-01-25T13:13:00Z">
        <w:r>
          <w:t>:</w:t>
        </w:r>
      </w:ins>
      <w:r>
        <w:t xml:space="preserve"> No. 35 of 2003 s. 185.]</w:t>
      </w:r>
    </w:p>
    <w:p>
      <w:pPr>
        <w:pStyle w:val="Heading3"/>
      </w:pPr>
      <w:bookmarkStart w:id="85" w:name="_Toc377110047"/>
      <w:bookmarkStart w:id="86" w:name="_Toc424292330"/>
      <w:bookmarkStart w:id="87" w:name="_Toc435023291"/>
      <w:bookmarkStart w:id="88" w:name="_Toc532474826"/>
      <w:r>
        <w:rPr>
          <w:rStyle w:val="CharDivNo"/>
        </w:rPr>
        <w:t>Division 3</w:t>
      </w:r>
      <w:r>
        <w:rPr>
          <w:snapToGrid w:val="0"/>
        </w:rPr>
        <w:t> — </w:t>
      </w:r>
      <w:r>
        <w:rPr>
          <w:rStyle w:val="CharDivText"/>
        </w:rPr>
        <w:t>Procedures and powers</w:t>
      </w:r>
      <w:bookmarkEnd w:id="85"/>
      <w:bookmarkEnd w:id="86"/>
      <w:bookmarkEnd w:id="87"/>
      <w:bookmarkEnd w:id="88"/>
    </w:p>
    <w:p>
      <w:pPr>
        <w:pStyle w:val="Heading5"/>
        <w:rPr>
          <w:snapToGrid w:val="0"/>
        </w:rPr>
      </w:pPr>
      <w:bookmarkStart w:id="89" w:name="_Toc377110048"/>
      <w:bookmarkStart w:id="90" w:name="_Toc532474827"/>
      <w:bookmarkStart w:id="91" w:name="_Toc435023292"/>
      <w:r>
        <w:rPr>
          <w:rStyle w:val="CharSectno"/>
        </w:rPr>
        <w:t>16</w:t>
      </w:r>
      <w:r>
        <w:rPr>
          <w:snapToGrid w:val="0"/>
        </w:rPr>
        <w:t>.</w:t>
      </w:r>
      <w:r>
        <w:rPr>
          <w:snapToGrid w:val="0"/>
        </w:rPr>
        <w:tab/>
        <w:t>Procedure on making an appeal</w:t>
      </w:r>
      <w:bookmarkEnd w:id="89"/>
      <w:bookmarkEnd w:id="90"/>
      <w:bookmarkEnd w:id="91"/>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w:t>
      </w:r>
      <w:del w:id="92" w:author="svcMRProcess" w:date="2019-01-25T13:13:00Z">
        <w:r>
          <w:delText xml:space="preserve"> by</w:delText>
        </w:r>
      </w:del>
      <w:ins w:id="93" w:author="svcMRProcess" w:date="2019-01-25T13:13:00Z">
        <w:r>
          <w:t>:</w:t>
        </w:r>
      </w:ins>
      <w:r>
        <w:t xml:space="preserve"> No. 35 of 2003 s. 186; No. 65 of 2003 s. 58(2); No. 21 of 2008 s. 695(3).]</w:t>
      </w:r>
    </w:p>
    <w:p>
      <w:pPr>
        <w:pStyle w:val="Heading5"/>
        <w:rPr>
          <w:snapToGrid w:val="0"/>
        </w:rPr>
      </w:pPr>
      <w:bookmarkStart w:id="94" w:name="_Toc377110049"/>
      <w:bookmarkStart w:id="95" w:name="_Toc532474828"/>
      <w:bookmarkStart w:id="96" w:name="_Toc435023293"/>
      <w:r>
        <w:rPr>
          <w:rStyle w:val="CharSectno"/>
        </w:rPr>
        <w:t>17</w:t>
      </w:r>
      <w:r>
        <w:rPr>
          <w:snapToGrid w:val="0"/>
        </w:rPr>
        <w:t>.</w:t>
      </w:r>
      <w:r>
        <w:rPr>
          <w:snapToGrid w:val="0"/>
        </w:rPr>
        <w:tab/>
        <w:t>Hearing powers</w:t>
      </w:r>
      <w:bookmarkEnd w:id="94"/>
      <w:bookmarkEnd w:id="95"/>
      <w:bookmarkEnd w:id="96"/>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w:t>
      </w:r>
      <w:del w:id="97" w:author="svcMRProcess" w:date="2019-01-25T13:13:00Z">
        <w:r>
          <w:delText xml:space="preserve"> by</w:delText>
        </w:r>
      </w:del>
      <w:ins w:id="98" w:author="svcMRProcess" w:date="2019-01-25T13:13:00Z">
        <w:r>
          <w:t>:</w:t>
        </w:r>
      </w:ins>
      <w:r>
        <w:t xml:space="preserve"> No. 35 of 2003 s. 187.]</w:t>
      </w:r>
    </w:p>
    <w:p>
      <w:pPr>
        <w:pStyle w:val="Heading5"/>
        <w:rPr>
          <w:snapToGrid w:val="0"/>
        </w:rPr>
      </w:pPr>
      <w:bookmarkStart w:id="99" w:name="_Toc377110050"/>
      <w:bookmarkStart w:id="100" w:name="_Toc532474829"/>
      <w:bookmarkStart w:id="101" w:name="_Toc435023294"/>
      <w:r>
        <w:rPr>
          <w:rStyle w:val="CharSectno"/>
        </w:rPr>
        <w:t>18</w:t>
      </w:r>
      <w:r>
        <w:rPr>
          <w:snapToGrid w:val="0"/>
        </w:rPr>
        <w:t>.</w:t>
      </w:r>
      <w:r>
        <w:rPr>
          <w:snapToGrid w:val="0"/>
        </w:rPr>
        <w:tab/>
        <w:t>Withdrawal of appeals</w:t>
      </w:r>
      <w:bookmarkEnd w:id="99"/>
      <w:bookmarkEnd w:id="100"/>
      <w:bookmarkEnd w:id="101"/>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02" w:name="_Toc377110051"/>
      <w:bookmarkStart w:id="103" w:name="_Toc532474830"/>
      <w:bookmarkStart w:id="104" w:name="_Toc435023295"/>
      <w:r>
        <w:rPr>
          <w:rStyle w:val="CharSectno"/>
        </w:rPr>
        <w:t>19</w:t>
      </w:r>
      <w:r>
        <w:rPr>
          <w:snapToGrid w:val="0"/>
        </w:rPr>
        <w:t>.</w:t>
      </w:r>
      <w:r>
        <w:rPr>
          <w:snapToGrid w:val="0"/>
        </w:rPr>
        <w:tab/>
        <w:t>Disobedience to determinations of Tribunal</w:t>
      </w:r>
      <w:bookmarkEnd w:id="102"/>
      <w:bookmarkEnd w:id="103"/>
      <w:bookmarkEnd w:id="104"/>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w:t>
      </w:r>
      <w:del w:id="105" w:author="svcMRProcess" w:date="2019-01-25T13:13:00Z">
        <w:r>
          <w:delText xml:space="preserve"> by</w:delText>
        </w:r>
      </w:del>
      <w:ins w:id="106" w:author="svcMRProcess" w:date="2019-01-25T13:13:00Z">
        <w:r>
          <w:t>:</w:t>
        </w:r>
      </w:ins>
      <w:r>
        <w:t xml:space="preserve"> No. 35 of 2003 s. 188.]</w:t>
      </w:r>
    </w:p>
    <w:p>
      <w:pPr>
        <w:pStyle w:val="Heading2"/>
      </w:pPr>
      <w:bookmarkStart w:id="107" w:name="_Toc377110052"/>
      <w:bookmarkStart w:id="108" w:name="_Toc424292335"/>
      <w:bookmarkStart w:id="109" w:name="_Toc435023296"/>
      <w:bookmarkStart w:id="110" w:name="_Toc532474831"/>
      <w:r>
        <w:rPr>
          <w:rStyle w:val="CharPartNo"/>
        </w:rPr>
        <w:t>Part 3</w:t>
      </w:r>
      <w:r>
        <w:rPr>
          <w:rStyle w:val="CharDivNo"/>
        </w:rPr>
        <w:t> </w:t>
      </w:r>
      <w:r>
        <w:t>—</w:t>
      </w:r>
      <w:r>
        <w:rPr>
          <w:rStyle w:val="CharDivText"/>
        </w:rPr>
        <w:t> </w:t>
      </w:r>
      <w:r>
        <w:rPr>
          <w:rStyle w:val="CharPartText"/>
        </w:rPr>
        <w:t>Miscellaneous</w:t>
      </w:r>
      <w:bookmarkEnd w:id="107"/>
      <w:bookmarkEnd w:id="108"/>
      <w:bookmarkEnd w:id="109"/>
      <w:bookmarkEnd w:id="110"/>
    </w:p>
    <w:p>
      <w:pPr>
        <w:pStyle w:val="Heading5"/>
        <w:rPr>
          <w:snapToGrid w:val="0"/>
        </w:rPr>
      </w:pPr>
      <w:bookmarkStart w:id="111" w:name="_Toc377110053"/>
      <w:bookmarkStart w:id="112" w:name="_Toc532474832"/>
      <w:bookmarkStart w:id="113" w:name="_Toc435023297"/>
      <w:r>
        <w:rPr>
          <w:rStyle w:val="CharSectno"/>
        </w:rPr>
        <w:t>20</w:t>
      </w:r>
      <w:r>
        <w:rPr>
          <w:snapToGrid w:val="0"/>
        </w:rPr>
        <w:t>.</w:t>
      </w:r>
      <w:r>
        <w:rPr>
          <w:snapToGrid w:val="0"/>
        </w:rPr>
        <w:tab/>
        <w:t>Offences</w:t>
      </w:r>
      <w:bookmarkEnd w:id="111"/>
      <w:bookmarkEnd w:id="112"/>
      <w:bookmarkEnd w:id="113"/>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14" w:name="_Toc377110054"/>
      <w:bookmarkStart w:id="115" w:name="_Toc532474833"/>
      <w:bookmarkStart w:id="116" w:name="_Toc435023298"/>
      <w:r>
        <w:rPr>
          <w:rStyle w:val="CharSectno"/>
        </w:rPr>
        <w:t>21</w:t>
      </w:r>
      <w:r>
        <w:rPr>
          <w:snapToGrid w:val="0"/>
        </w:rPr>
        <w:t>.</w:t>
      </w:r>
      <w:r>
        <w:rPr>
          <w:snapToGrid w:val="0"/>
        </w:rPr>
        <w:tab/>
        <w:t>Reasons for determinations</w:t>
      </w:r>
      <w:bookmarkEnd w:id="114"/>
      <w:bookmarkEnd w:id="115"/>
      <w:bookmarkEnd w:id="116"/>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117" w:name="_Toc377110055"/>
      <w:bookmarkStart w:id="118" w:name="_Toc532474834"/>
      <w:bookmarkStart w:id="119" w:name="_Toc435023299"/>
      <w:r>
        <w:rPr>
          <w:rStyle w:val="CharSectno"/>
        </w:rPr>
        <w:t>22</w:t>
      </w:r>
      <w:r>
        <w:rPr>
          <w:snapToGrid w:val="0"/>
        </w:rPr>
        <w:t>.</w:t>
      </w:r>
      <w:r>
        <w:rPr>
          <w:snapToGrid w:val="0"/>
        </w:rPr>
        <w:tab/>
        <w:t>Protection</w:t>
      </w:r>
      <w:bookmarkEnd w:id="117"/>
      <w:bookmarkEnd w:id="118"/>
      <w:bookmarkEnd w:id="119"/>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120" w:name="_Toc377110056"/>
      <w:bookmarkStart w:id="121" w:name="_Toc532474835"/>
      <w:bookmarkStart w:id="122" w:name="_Toc435023300"/>
      <w:r>
        <w:rPr>
          <w:rStyle w:val="CharSectno"/>
        </w:rPr>
        <w:t>23</w:t>
      </w:r>
      <w:r>
        <w:rPr>
          <w:snapToGrid w:val="0"/>
        </w:rPr>
        <w:t>.</w:t>
      </w:r>
      <w:r>
        <w:rPr>
          <w:snapToGrid w:val="0"/>
        </w:rPr>
        <w:tab/>
        <w:t>Evidentiary provisions, and recovery of moneys ordered to be paid</w:t>
      </w:r>
      <w:bookmarkEnd w:id="120"/>
      <w:bookmarkEnd w:id="121"/>
      <w:bookmarkEnd w:id="122"/>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w:t>
      </w:r>
      <w:del w:id="123" w:author="svcMRProcess" w:date="2019-01-25T13:13:00Z">
        <w:r>
          <w:delText xml:space="preserve"> by</w:delText>
        </w:r>
      </w:del>
      <w:ins w:id="124" w:author="svcMRProcess" w:date="2019-01-25T13:13:00Z">
        <w:r>
          <w:t>:</w:t>
        </w:r>
      </w:ins>
      <w:r>
        <w:t xml:space="preserve"> No. 59 of 2004 s. 142.]</w:t>
      </w:r>
    </w:p>
    <w:p>
      <w:pPr>
        <w:pStyle w:val="Heading5"/>
        <w:spacing w:before="240"/>
        <w:rPr>
          <w:snapToGrid w:val="0"/>
        </w:rPr>
      </w:pPr>
      <w:bookmarkStart w:id="125" w:name="_Toc377110057"/>
      <w:bookmarkStart w:id="126" w:name="_Toc532474836"/>
      <w:bookmarkStart w:id="127" w:name="_Toc435023301"/>
      <w:r>
        <w:rPr>
          <w:rStyle w:val="CharSectno"/>
        </w:rPr>
        <w:t>24</w:t>
      </w:r>
      <w:r>
        <w:rPr>
          <w:snapToGrid w:val="0"/>
        </w:rPr>
        <w:t>.</w:t>
      </w:r>
      <w:r>
        <w:rPr>
          <w:snapToGrid w:val="0"/>
        </w:rPr>
        <w:tab/>
        <w:t>Finance and audit</w:t>
      </w:r>
      <w:bookmarkEnd w:id="125"/>
      <w:bookmarkEnd w:id="126"/>
      <w:bookmarkEnd w:id="127"/>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w:t>
      </w:r>
      <w:del w:id="128" w:author="svcMRProcess" w:date="2019-01-25T13:13:00Z">
        <w:r>
          <w:delText xml:space="preserve"> by</w:delText>
        </w:r>
      </w:del>
      <w:ins w:id="129" w:author="svcMRProcess" w:date="2019-01-25T13:13:00Z">
        <w:r>
          <w:t>:</w:t>
        </w:r>
      </w:ins>
      <w:r>
        <w:t xml:space="preserve"> No. 11 of 1992 s. 71; No. 49 of 1996 s. 59; No. 35 of 2003 s. 189; No. 28 of 2006 s. 407; No. 77 of 2006 Sch. 1 cl. 143(2)</w:t>
      </w:r>
      <w:r>
        <w:noBreakHyphen/>
        <w:t>(4); No. 2 of 2007 s. 7.]</w:t>
      </w:r>
    </w:p>
    <w:p>
      <w:pPr>
        <w:pStyle w:val="Heading5"/>
        <w:rPr>
          <w:snapToGrid w:val="0"/>
        </w:rPr>
      </w:pPr>
      <w:bookmarkStart w:id="130" w:name="_Toc377110058"/>
      <w:bookmarkStart w:id="131" w:name="_Toc532474837"/>
      <w:bookmarkStart w:id="132" w:name="_Toc435023302"/>
      <w:r>
        <w:rPr>
          <w:rStyle w:val="CharSectno"/>
        </w:rPr>
        <w:t>25</w:t>
      </w:r>
      <w:r>
        <w:rPr>
          <w:snapToGrid w:val="0"/>
        </w:rPr>
        <w:t>.</w:t>
      </w:r>
      <w:r>
        <w:rPr>
          <w:snapToGrid w:val="0"/>
        </w:rPr>
        <w:tab/>
        <w:t>Regulations</w:t>
      </w:r>
      <w:bookmarkEnd w:id="130"/>
      <w:bookmarkEnd w:id="131"/>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w:t>
      </w:r>
      <w:del w:id="133" w:author="svcMRProcess" w:date="2019-01-25T13:13:00Z">
        <w:r>
          <w:delText xml:space="preserve"> by</w:delText>
        </w:r>
      </w:del>
      <w:ins w:id="134" w:author="svcMRProcess" w:date="2019-01-25T13:13:00Z">
        <w:r>
          <w:t>:</w:t>
        </w:r>
      </w:ins>
      <w:r>
        <w:t xml:space="preserve"> No. 35 of 2003 s. 190; No. 65 of 2003 s. 58(3); No. 21 of 2008 s. 695(4).]</w:t>
      </w:r>
    </w:p>
    <w:p>
      <w:pPr>
        <w:pStyle w:val="Heading5"/>
        <w:rPr>
          <w:snapToGrid w:val="0"/>
        </w:rPr>
      </w:pPr>
      <w:bookmarkStart w:id="135" w:name="_Toc377110059"/>
      <w:bookmarkStart w:id="136" w:name="_Toc532474838"/>
      <w:bookmarkStart w:id="137" w:name="_Toc435023303"/>
      <w:r>
        <w:rPr>
          <w:rStyle w:val="CharSectno"/>
        </w:rPr>
        <w:t>26</w:t>
      </w:r>
      <w:r>
        <w:rPr>
          <w:snapToGrid w:val="0"/>
        </w:rPr>
        <w:t>.</w:t>
      </w:r>
      <w:r>
        <w:rPr>
          <w:snapToGrid w:val="0"/>
        </w:rPr>
        <w:tab/>
        <w:t>Transitional</w:t>
      </w:r>
      <w:bookmarkEnd w:id="135"/>
      <w:bookmarkEnd w:id="136"/>
      <w:bookmarkEnd w:id="137"/>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w:t>
      </w:r>
      <w:del w:id="138" w:author="svcMRProcess" w:date="2019-01-25T13:13:00Z">
        <w:r>
          <w:delText> by</w:delText>
        </w:r>
      </w:del>
      <w:ins w:id="139" w:author="svcMRProcess" w:date="2019-01-25T13:13:00Z">
        <w:r>
          <w:t>:</w:t>
        </w:r>
      </w:ins>
      <w:r>
        <w:t xml:space="preserve"> No. 35 of 2003 s. 191.]</w:t>
      </w:r>
    </w:p>
    <w:p>
      <w:pPr>
        <w:pStyle w:val="Ednotesection"/>
        <w:ind w:left="0" w:firstLine="0"/>
      </w:pPr>
      <w:r>
        <w:t>[</w:t>
      </w:r>
      <w:r>
        <w:rPr>
          <w:b/>
        </w:rPr>
        <w:t>28, 29.</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40" w:name="_Toc377110060"/>
      <w:bookmarkStart w:id="141" w:name="_Toc424292343"/>
      <w:bookmarkStart w:id="142" w:name="_Toc435023304"/>
      <w:bookmarkStart w:id="143" w:name="_Toc532474839"/>
      <w:r>
        <w:rPr>
          <w:rStyle w:val="CharSchNo"/>
        </w:rPr>
        <w:t>Schedule</w:t>
      </w:r>
      <w:r>
        <w:t> — </w:t>
      </w:r>
      <w:r>
        <w:rPr>
          <w:rStyle w:val="CharSchText"/>
          <w:bCs/>
        </w:rPr>
        <w:t>Provisions with respect to the constitution and membership of the Racing Penalties Appeal Tribunal of Western Australia</w:t>
      </w:r>
      <w:bookmarkEnd w:id="140"/>
      <w:bookmarkEnd w:id="141"/>
      <w:bookmarkEnd w:id="142"/>
      <w:bookmarkEnd w:id="143"/>
    </w:p>
    <w:p>
      <w:pPr>
        <w:pStyle w:val="yShoulderClause"/>
        <w:spacing w:before="100"/>
        <w:rPr>
          <w:snapToGrid w:val="0"/>
        </w:rPr>
      </w:pPr>
      <w:r>
        <w:rPr>
          <w:snapToGrid w:val="0"/>
        </w:rPr>
        <w:t>[s. 4(4)]</w:t>
      </w:r>
    </w:p>
    <w:p>
      <w:pPr>
        <w:pStyle w:val="yFootnoteheading"/>
      </w:pPr>
      <w:r>
        <w:tab/>
        <w:t>[Heading amended</w:t>
      </w:r>
      <w:del w:id="144" w:author="svcMRProcess" w:date="2019-01-25T13:13:00Z">
        <w:r>
          <w:delText xml:space="preserve"> by</w:delText>
        </w:r>
      </w:del>
      <w:ins w:id="145" w:author="svcMRProcess" w:date="2019-01-25T13:13:00Z">
        <w:r>
          <w:t>:</w:t>
        </w:r>
      </w:ins>
      <w:r>
        <w:t xml:space="preserve"> No. 19 of 2010 s. 4.]</w:t>
      </w:r>
    </w:p>
    <w:p>
      <w:pPr>
        <w:pStyle w:val="yHeading5"/>
        <w:spacing w:before="240"/>
        <w:outlineLvl w:val="9"/>
        <w:rPr>
          <w:snapToGrid w:val="0"/>
        </w:rPr>
      </w:pPr>
      <w:bookmarkStart w:id="146" w:name="_Toc377110061"/>
      <w:bookmarkStart w:id="147" w:name="_Toc532474840"/>
      <w:bookmarkStart w:id="148" w:name="_Toc435023305"/>
      <w:r>
        <w:rPr>
          <w:rStyle w:val="CharSClsNo"/>
        </w:rPr>
        <w:t>1</w:t>
      </w:r>
      <w:r>
        <w:rPr>
          <w:snapToGrid w:val="0"/>
        </w:rPr>
        <w:t>.</w:t>
      </w:r>
      <w:r>
        <w:rPr>
          <w:snapToGrid w:val="0"/>
        </w:rPr>
        <w:tab/>
        <w:t>Public service officer may be member of a Tribunal</w:t>
      </w:r>
      <w:bookmarkEnd w:id="146"/>
      <w:bookmarkEnd w:id="147"/>
      <w:bookmarkEnd w:id="148"/>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w:t>
      </w:r>
      <w:del w:id="149" w:author="svcMRProcess" w:date="2019-01-25T13:13:00Z">
        <w:r>
          <w:delText xml:space="preserve"> by</w:delText>
        </w:r>
      </w:del>
      <w:ins w:id="150" w:author="svcMRProcess" w:date="2019-01-25T13:13:00Z">
        <w:r>
          <w:t>:</w:t>
        </w:r>
      </w:ins>
      <w:r>
        <w:t xml:space="preserve"> No. 32 of 1994 s. 19; No. 39 of 2010 s. 89.]</w:t>
      </w:r>
    </w:p>
    <w:p>
      <w:pPr>
        <w:pStyle w:val="yHeading5"/>
        <w:spacing w:before="240"/>
        <w:outlineLvl w:val="9"/>
        <w:rPr>
          <w:snapToGrid w:val="0"/>
        </w:rPr>
      </w:pPr>
      <w:bookmarkStart w:id="151" w:name="_Toc377110062"/>
      <w:bookmarkStart w:id="152" w:name="_Toc532474841"/>
      <w:bookmarkStart w:id="153" w:name="_Toc435023306"/>
      <w:r>
        <w:rPr>
          <w:snapToGrid w:val="0"/>
        </w:rPr>
        <w:t>2.</w:t>
      </w:r>
      <w:r>
        <w:rPr>
          <w:snapToGrid w:val="0"/>
        </w:rPr>
        <w:tab/>
        <w:t>Remuneration</w:t>
      </w:r>
      <w:bookmarkEnd w:id="151"/>
      <w:bookmarkEnd w:id="152"/>
      <w:bookmarkEnd w:id="153"/>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w:t>
      </w:r>
      <w:del w:id="154" w:author="svcMRProcess" w:date="2019-01-25T13:13:00Z">
        <w:r>
          <w:delText xml:space="preserve"> by</w:delText>
        </w:r>
      </w:del>
      <w:ins w:id="155" w:author="svcMRProcess" w:date="2019-01-25T13:13:00Z">
        <w:r>
          <w:t>:</w:t>
        </w:r>
      </w:ins>
      <w:r>
        <w:t xml:space="preserve"> No. 39 of 2010 s. 89.]</w:t>
      </w:r>
    </w:p>
    <w:p>
      <w:pPr>
        <w:pStyle w:val="yHeading5"/>
        <w:spacing w:before="240"/>
        <w:outlineLvl w:val="9"/>
        <w:rPr>
          <w:snapToGrid w:val="0"/>
        </w:rPr>
      </w:pPr>
      <w:bookmarkStart w:id="156" w:name="_Toc377110063"/>
      <w:bookmarkStart w:id="157" w:name="_Toc532474842"/>
      <w:bookmarkStart w:id="158" w:name="_Toc435023307"/>
      <w:r>
        <w:rPr>
          <w:rStyle w:val="CharSClsNo"/>
        </w:rPr>
        <w:t>3</w:t>
      </w:r>
      <w:r>
        <w:rPr>
          <w:snapToGrid w:val="0"/>
        </w:rPr>
        <w:t>.</w:t>
      </w:r>
      <w:r>
        <w:rPr>
          <w:snapToGrid w:val="0"/>
        </w:rPr>
        <w:tab/>
        <w:t>Eligibility for, and vacation of, office and conditions of appointment</w:t>
      </w:r>
      <w:bookmarkEnd w:id="156"/>
      <w:bookmarkEnd w:id="157"/>
      <w:bookmarkEnd w:id="158"/>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w:t>
      </w:r>
      <w:del w:id="159" w:author="svcMRProcess" w:date="2019-01-25T13:13:00Z">
        <w:r>
          <w:delText xml:space="preserve"> by</w:delText>
        </w:r>
      </w:del>
      <w:ins w:id="160" w:author="svcMRProcess" w:date="2019-01-25T13:13:00Z">
        <w:r>
          <w:t>:</w:t>
        </w:r>
      </w:ins>
      <w:r>
        <w:t xml:space="preserve"> No. 42 of 1997 s. 8; No. 23 of 1998 s. 20; No. 35 of 2003 s. 192.]</w:t>
      </w:r>
    </w:p>
    <w:p>
      <w:pPr>
        <w:pStyle w:val="yHeading5"/>
        <w:spacing w:before="240"/>
        <w:outlineLvl w:val="9"/>
        <w:rPr>
          <w:snapToGrid w:val="0"/>
        </w:rPr>
      </w:pPr>
      <w:bookmarkStart w:id="161" w:name="_Toc377110064"/>
      <w:bookmarkStart w:id="162" w:name="_Toc532474843"/>
      <w:bookmarkStart w:id="163" w:name="_Toc435023308"/>
      <w:r>
        <w:rPr>
          <w:rStyle w:val="CharSClsNo"/>
        </w:rPr>
        <w:t>4</w:t>
      </w:r>
      <w:r>
        <w:rPr>
          <w:snapToGrid w:val="0"/>
        </w:rPr>
        <w:t>.</w:t>
      </w:r>
      <w:r>
        <w:rPr>
          <w:snapToGrid w:val="0"/>
        </w:rPr>
        <w:tab/>
        <w:t>Removal from office</w:t>
      </w:r>
      <w:bookmarkEnd w:id="161"/>
      <w:bookmarkEnd w:id="162"/>
      <w:bookmarkEnd w:id="16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w:t>
      </w:r>
      <w:del w:id="164" w:author="svcMRProcess" w:date="2019-01-25T13:13:00Z">
        <w:r>
          <w:delText xml:space="preserve"> by</w:delText>
        </w:r>
      </w:del>
      <w:ins w:id="165" w:author="svcMRProcess" w:date="2019-01-25T13:13:00Z">
        <w:r>
          <w:t>:</w:t>
        </w:r>
      </w:ins>
      <w:r>
        <w:t xml:space="preserve"> No. 18 of 2009 s. 72.]</w:t>
      </w:r>
    </w:p>
    <w:p>
      <w:pPr>
        <w:pStyle w:val="yHeading5"/>
        <w:spacing w:before="240"/>
        <w:outlineLvl w:val="9"/>
        <w:rPr>
          <w:snapToGrid w:val="0"/>
        </w:rPr>
      </w:pPr>
      <w:bookmarkStart w:id="166" w:name="_Toc377110065"/>
      <w:bookmarkStart w:id="167" w:name="_Toc532474844"/>
      <w:bookmarkStart w:id="168" w:name="_Toc435023309"/>
      <w:r>
        <w:rPr>
          <w:rStyle w:val="CharSClsNo"/>
        </w:rPr>
        <w:t>5</w:t>
      </w:r>
      <w:r>
        <w:rPr>
          <w:snapToGrid w:val="0"/>
        </w:rPr>
        <w:t>.</w:t>
      </w:r>
      <w:r>
        <w:rPr>
          <w:snapToGrid w:val="0"/>
        </w:rPr>
        <w:tab/>
        <w:t>Validity of proceedings etc.</w:t>
      </w:r>
      <w:bookmarkEnd w:id="166"/>
      <w:bookmarkEnd w:id="167"/>
      <w:bookmarkEnd w:id="16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169" w:name="_Toc377110066"/>
      <w:bookmarkStart w:id="170" w:name="_Toc532474845"/>
      <w:bookmarkStart w:id="171" w:name="_Toc435023310"/>
      <w:r>
        <w:rPr>
          <w:rStyle w:val="CharSClsNo"/>
        </w:rPr>
        <w:t>6</w:t>
      </w:r>
      <w:r>
        <w:rPr>
          <w:snapToGrid w:val="0"/>
        </w:rPr>
        <w:t>.</w:t>
      </w:r>
      <w:r>
        <w:rPr>
          <w:snapToGrid w:val="0"/>
        </w:rPr>
        <w:tab/>
        <w:t>Presumptions</w:t>
      </w:r>
      <w:bookmarkEnd w:id="169"/>
      <w:bookmarkEnd w:id="170"/>
      <w:bookmarkEnd w:id="17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73" w:name="_Toc377110067"/>
      <w:bookmarkStart w:id="174" w:name="_Toc424292350"/>
      <w:bookmarkStart w:id="175" w:name="_Toc435023311"/>
      <w:bookmarkStart w:id="176" w:name="_Toc532474846"/>
      <w:r>
        <w:t>Notes</w:t>
      </w:r>
      <w:bookmarkEnd w:id="173"/>
      <w:bookmarkEnd w:id="174"/>
      <w:bookmarkEnd w:id="175"/>
      <w:bookmarkEnd w:id="17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ins w:id="177" w:author="svcMRProcess" w:date="2019-01-25T13:13:00Z">
        <w:r>
          <w:rPr>
            <w:snapToGrid w:val="0"/>
          </w:rPr>
          <w:t> </w:t>
        </w:r>
        <w:r>
          <w:rPr>
            <w:snapToGrid w:val="0"/>
            <w:vertAlign w:val="superscript"/>
          </w:rPr>
          <w:t>1a</w:t>
        </w:r>
      </w:ins>
      <w:r>
        <w:rPr>
          <w:snapToGrid w:val="0"/>
        </w:rPr>
        <w:t>.  The table also contains information about any reprint.</w:t>
      </w:r>
    </w:p>
    <w:p>
      <w:pPr>
        <w:pStyle w:val="nHeading3"/>
        <w:spacing w:before="180" w:after="80"/>
        <w:rPr>
          <w:snapToGrid w:val="0"/>
        </w:rPr>
      </w:pPr>
      <w:bookmarkStart w:id="178" w:name="_Toc377110068"/>
      <w:bookmarkStart w:id="179" w:name="_Toc532474847"/>
      <w:bookmarkStart w:id="180" w:name="_Toc435023312"/>
      <w:r>
        <w:rPr>
          <w:snapToGrid w:val="0"/>
        </w:rPr>
        <w:t>Compilation table</w:t>
      </w:r>
      <w:bookmarkEnd w:id="178"/>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Borders>
              <w:bottom w:val="single" w:sz="8" w:space="0" w:color="auto"/>
            </w:tcBorders>
          </w:tcPr>
          <w:p>
            <w:pPr>
              <w:pStyle w:val="nTable"/>
              <w:spacing w:after="36"/>
              <w:rPr>
                <w:iCs/>
                <w:snapToGrid w:val="0"/>
              </w:rPr>
            </w:pPr>
            <w:r>
              <w:rPr>
                <w:i/>
                <w:iCs/>
                <w:snapToGrid w:val="0"/>
              </w:rPr>
              <w:t>Public Sector Reform Act 2010</w:t>
            </w:r>
            <w:r>
              <w:rPr>
                <w:iCs/>
                <w:snapToGrid w:val="0"/>
              </w:rPr>
              <w:t xml:space="preserve"> s. 89</w:t>
            </w:r>
          </w:p>
        </w:tc>
        <w:tc>
          <w:tcPr>
            <w:tcW w:w="1134" w:type="dxa"/>
            <w:tcBorders>
              <w:bottom w:val="single" w:sz="8" w:space="0" w:color="auto"/>
            </w:tcBorders>
          </w:tcPr>
          <w:p>
            <w:pPr>
              <w:pStyle w:val="nTable"/>
              <w:spacing w:after="36"/>
            </w:pPr>
            <w:r>
              <w:rPr>
                <w:snapToGrid w:val="0"/>
              </w:rPr>
              <w:t>39 of 2010</w:t>
            </w:r>
          </w:p>
        </w:tc>
        <w:tc>
          <w:tcPr>
            <w:tcW w:w="1134" w:type="dxa"/>
            <w:tcBorders>
              <w:bottom w:val="single" w:sz="8" w:space="0" w:color="auto"/>
            </w:tcBorders>
          </w:tcPr>
          <w:p>
            <w:pPr>
              <w:pStyle w:val="nTable"/>
              <w:spacing w:after="36"/>
            </w:pPr>
            <w:r>
              <w:rPr>
                <w:snapToGrid w:val="0"/>
              </w:rPr>
              <w:t>1 Oct 2010</w:t>
            </w:r>
          </w:p>
        </w:tc>
        <w:tc>
          <w:tcPr>
            <w:tcW w:w="2552" w:type="dxa"/>
            <w:tcBorders>
              <w:bottom w:val="single" w:sz="8" w:space="0" w:color="auto"/>
            </w:tcBorders>
          </w:tcPr>
          <w:p>
            <w:pPr>
              <w:pStyle w:val="nTable"/>
              <w:spacing w:after="36"/>
            </w:pPr>
            <w:r>
              <w:rPr>
                <w:snapToGrid w:val="0"/>
              </w:rPr>
              <w:t xml:space="preserve">1 Dec 2010 (see s. 2(b) and </w:t>
            </w:r>
            <w:r>
              <w:rPr>
                <w:i/>
                <w:iCs/>
                <w:snapToGrid w:val="0"/>
              </w:rPr>
              <w:t>Gazette</w:t>
            </w:r>
            <w:r>
              <w:rPr>
                <w:snapToGrid w:val="0"/>
              </w:rPr>
              <w:t xml:space="preserve"> 5 Nov 2010 p. 5563)</w:t>
            </w:r>
          </w:p>
        </w:tc>
      </w:tr>
    </w:tbl>
    <w:p>
      <w:pPr>
        <w:pStyle w:val="nSubsection"/>
        <w:spacing w:before="100"/>
        <w:rPr>
          <w:del w:id="181" w:author="svcMRProcess" w:date="2019-01-25T13:13:00Z"/>
          <w:snapToGrid w:val="0"/>
          <w:vertAlign w:val="superscript"/>
        </w:rPr>
      </w:pPr>
    </w:p>
    <w:p>
      <w:pPr>
        <w:pStyle w:val="nSubsection"/>
        <w:spacing w:before="360"/>
        <w:rPr>
          <w:ins w:id="182" w:author="svcMRProcess" w:date="2019-01-25T13:13:00Z"/>
        </w:rPr>
      </w:pPr>
      <w:ins w:id="183" w:author="svcMRProcess" w:date="2019-01-25T13:1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 w:author="svcMRProcess" w:date="2019-01-25T13:13:00Z"/>
        </w:rPr>
      </w:pPr>
      <w:bookmarkStart w:id="185" w:name="_Toc532474848"/>
      <w:ins w:id="186" w:author="svcMRProcess" w:date="2019-01-25T13:13:00Z">
        <w:r>
          <w:t>Provisions that have not come into operation</w:t>
        </w:r>
        <w:bookmarkEnd w:id="18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87" w:author="svcMRProcess" w:date="2019-01-25T13:13:00Z"/>
        </w:trPr>
        <w:tc>
          <w:tcPr>
            <w:tcW w:w="2268" w:type="dxa"/>
          </w:tcPr>
          <w:p>
            <w:pPr>
              <w:pStyle w:val="nTable"/>
              <w:spacing w:after="40"/>
              <w:rPr>
                <w:ins w:id="188" w:author="svcMRProcess" w:date="2019-01-25T13:13:00Z"/>
                <w:b/>
              </w:rPr>
            </w:pPr>
            <w:ins w:id="189" w:author="svcMRProcess" w:date="2019-01-25T13:13:00Z">
              <w:r>
                <w:rPr>
                  <w:b/>
                </w:rPr>
                <w:t>Short title</w:t>
              </w:r>
            </w:ins>
          </w:p>
        </w:tc>
        <w:tc>
          <w:tcPr>
            <w:tcW w:w="1134" w:type="dxa"/>
          </w:tcPr>
          <w:p>
            <w:pPr>
              <w:pStyle w:val="nTable"/>
              <w:spacing w:after="40"/>
              <w:rPr>
                <w:ins w:id="190" w:author="svcMRProcess" w:date="2019-01-25T13:13:00Z"/>
                <w:b/>
              </w:rPr>
            </w:pPr>
            <w:ins w:id="191" w:author="svcMRProcess" w:date="2019-01-25T13:13:00Z">
              <w:r>
                <w:rPr>
                  <w:b/>
                </w:rPr>
                <w:t>Number and year</w:t>
              </w:r>
            </w:ins>
          </w:p>
        </w:tc>
        <w:tc>
          <w:tcPr>
            <w:tcW w:w="1134" w:type="dxa"/>
          </w:tcPr>
          <w:p>
            <w:pPr>
              <w:pStyle w:val="nTable"/>
              <w:spacing w:after="40"/>
              <w:rPr>
                <w:ins w:id="192" w:author="svcMRProcess" w:date="2019-01-25T13:13:00Z"/>
                <w:b/>
              </w:rPr>
            </w:pPr>
            <w:ins w:id="193" w:author="svcMRProcess" w:date="2019-01-25T13:13:00Z">
              <w:r>
                <w:rPr>
                  <w:b/>
                </w:rPr>
                <w:t>Assent</w:t>
              </w:r>
            </w:ins>
          </w:p>
        </w:tc>
        <w:tc>
          <w:tcPr>
            <w:tcW w:w="2552" w:type="dxa"/>
          </w:tcPr>
          <w:p>
            <w:pPr>
              <w:pStyle w:val="nTable"/>
              <w:spacing w:after="40"/>
              <w:rPr>
                <w:ins w:id="194" w:author="svcMRProcess" w:date="2019-01-25T13:13:00Z"/>
                <w:b/>
              </w:rPr>
            </w:pPr>
            <w:ins w:id="195" w:author="svcMRProcess" w:date="2019-01-25T13:13:00Z">
              <w:r>
                <w:rPr>
                  <w:b/>
                </w:rPr>
                <w:t>Commencement</w:t>
              </w:r>
            </w:ins>
          </w:p>
        </w:tc>
      </w:tr>
      <w:tr>
        <w:trPr>
          <w:ins w:id="196" w:author="svcMRProcess" w:date="2019-01-25T13:13:00Z"/>
        </w:trPr>
        <w:tc>
          <w:tcPr>
            <w:tcW w:w="2268" w:type="dxa"/>
          </w:tcPr>
          <w:p>
            <w:pPr>
              <w:pStyle w:val="nTable"/>
              <w:spacing w:after="40"/>
              <w:rPr>
                <w:ins w:id="197" w:author="svcMRProcess" w:date="2019-01-25T13:13:00Z"/>
              </w:rPr>
            </w:pPr>
            <w:ins w:id="198" w:author="svcMRProcess" w:date="2019-01-25T13:13:00Z">
              <w:r>
                <w:rPr>
                  <w:i/>
                </w:rPr>
                <w:t>Betting Tax Assessment Act 2018</w:t>
              </w:r>
              <w:r>
                <w:t xml:space="preserve"> Pt. 8 Div 2 Subdiv. 4</w:t>
              </w:r>
              <w:r>
                <w:rPr>
                  <w:vertAlign w:val="superscript"/>
                </w:rPr>
                <w:t> 5</w:t>
              </w:r>
            </w:ins>
          </w:p>
        </w:tc>
        <w:tc>
          <w:tcPr>
            <w:tcW w:w="1134" w:type="dxa"/>
          </w:tcPr>
          <w:p>
            <w:pPr>
              <w:pStyle w:val="nTable"/>
              <w:spacing w:after="40"/>
              <w:rPr>
                <w:ins w:id="199" w:author="svcMRProcess" w:date="2019-01-25T13:13:00Z"/>
              </w:rPr>
            </w:pPr>
            <w:ins w:id="200" w:author="svcMRProcess" w:date="2019-01-25T13:13:00Z">
              <w:r>
                <w:t>37 of 2018</w:t>
              </w:r>
            </w:ins>
          </w:p>
        </w:tc>
        <w:tc>
          <w:tcPr>
            <w:tcW w:w="1134" w:type="dxa"/>
          </w:tcPr>
          <w:p>
            <w:pPr>
              <w:pStyle w:val="nTable"/>
              <w:spacing w:after="40"/>
              <w:rPr>
                <w:ins w:id="201" w:author="svcMRProcess" w:date="2019-01-25T13:13:00Z"/>
              </w:rPr>
            </w:pPr>
            <w:ins w:id="202" w:author="svcMRProcess" w:date="2019-01-25T13:13:00Z">
              <w:r>
                <w:t>12 Dec 2018</w:t>
              </w:r>
            </w:ins>
          </w:p>
        </w:tc>
        <w:tc>
          <w:tcPr>
            <w:tcW w:w="2552" w:type="dxa"/>
          </w:tcPr>
          <w:p>
            <w:pPr>
              <w:pStyle w:val="nTable"/>
              <w:spacing w:after="40"/>
              <w:rPr>
                <w:ins w:id="203" w:author="svcMRProcess" w:date="2019-01-25T13:13:00Z"/>
              </w:rPr>
            </w:pPr>
            <w:ins w:id="204" w:author="svcMRProcess" w:date="2019-01-25T13:13:00Z">
              <w:r>
                <w:t xml:space="preserve">1 Feb 2019 (see s. 2(b) and </w:t>
              </w:r>
              <w:r>
                <w:rPr>
                  <w:i/>
                </w:rPr>
                <w:t>Gazette</w:t>
              </w:r>
              <w:r>
                <w:t xml:space="preserve"> 25 Jan 2019 p. 193)</w:t>
              </w:r>
            </w:ins>
          </w:p>
        </w:tc>
      </w:tr>
    </w:tbl>
    <w:p>
      <w:pPr>
        <w:pStyle w:val="nSubsection"/>
        <w:spacing w:before="100"/>
        <w:rPr>
          <w:snapToGrid w:val="0"/>
        </w:rPr>
      </w:pPr>
      <w:r>
        <w:rPr>
          <w:snapToGrid w:val="0"/>
          <w:vertAlign w:val="superscript"/>
        </w:rPr>
        <w:t>2</w:t>
      </w:r>
      <w:r>
        <w:rPr>
          <w:snapToGrid w:val="0"/>
        </w:rPr>
        <w:tab/>
        <w:t>Footnote no longer applicable.</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rPr>
          <w:del w:id="205" w:author="svcMRProcess" w:date="2019-01-25T13:13:00Z"/>
        </w:rPr>
      </w:pPr>
    </w:p>
    <w:p>
      <w:pPr>
        <w:rPr>
          <w:del w:id="206" w:author="svcMRProcess" w:date="2019-01-25T13:13: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del w:id="207" w:author="svcMRProcess" w:date="2019-01-25T13:13:00Z"/>
        </w:rPr>
      </w:pPr>
    </w:p>
    <w:p>
      <w:pPr>
        <w:pStyle w:val="nSubsection"/>
        <w:rPr>
          <w:ins w:id="208" w:author="svcMRProcess" w:date="2019-01-25T13:13:00Z"/>
          <w:snapToGrid w:val="0"/>
        </w:rPr>
      </w:pPr>
      <w:del w:id="209" w:author="svcMRProcess" w:date="2019-01-25T13:13:00Z">
        <w:r>
          <w:rPr>
            <w:rFonts w:ascii="Arial" w:hAnsi="Arial"/>
            <w:sz w:val="12"/>
          </w:rPr>
          <w:delText>By Authority: JOHN A. STRIJK, Government Printer</w:delText>
        </w:r>
      </w:del>
      <w:ins w:id="210" w:author="svcMRProcess" w:date="2019-01-25T13:13:00Z">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Div. 2 Subdiv. 4</w:t>
        </w:r>
        <w:r>
          <w:rPr>
            <w:noProof/>
          </w:rPr>
          <w:t xml:space="preserve"> </w:t>
        </w:r>
        <w:r>
          <w:rPr>
            <w:snapToGrid w:val="0"/>
          </w:rPr>
          <w:t>had not come into operation.  It reads as follows:</w:t>
        </w:r>
      </w:ins>
    </w:p>
    <w:p>
      <w:pPr>
        <w:pStyle w:val="BlankOpen"/>
        <w:rPr>
          <w:ins w:id="211" w:author="svcMRProcess" w:date="2019-01-25T13:13:00Z"/>
        </w:rPr>
      </w:pPr>
    </w:p>
    <w:p>
      <w:pPr>
        <w:pStyle w:val="nzHeading2"/>
        <w:rPr>
          <w:ins w:id="212" w:author="svcMRProcess" w:date="2019-01-25T13:13:00Z"/>
        </w:rPr>
      </w:pPr>
      <w:bookmarkStart w:id="213" w:name="_Toc523134699"/>
      <w:bookmarkStart w:id="214" w:name="_Toc523134797"/>
      <w:bookmarkStart w:id="215" w:name="_Toc523989723"/>
      <w:bookmarkStart w:id="216" w:name="_Toc523990269"/>
      <w:bookmarkStart w:id="217" w:name="_Toc523991666"/>
      <w:bookmarkStart w:id="218" w:name="_Toc524430555"/>
      <w:bookmarkStart w:id="219" w:name="_Toc524430653"/>
      <w:bookmarkStart w:id="220" w:name="_Toc524956197"/>
      <w:bookmarkStart w:id="221" w:name="_Toc527353453"/>
      <w:bookmarkStart w:id="222" w:name="_Toc528788321"/>
      <w:bookmarkStart w:id="223" w:name="_Toc528789785"/>
      <w:bookmarkStart w:id="224" w:name="_Toc531771695"/>
      <w:bookmarkStart w:id="225" w:name="_Toc532382837"/>
      <w:bookmarkStart w:id="226" w:name="_Toc532395008"/>
      <w:ins w:id="227" w:author="svcMRProcess" w:date="2019-01-25T13:13:00Z">
        <w:r>
          <w:rPr>
            <w:rStyle w:val="CharPartNo"/>
          </w:rPr>
          <w:t>Part 8</w:t>
        </w:r>
        <w:r>
          <w:t> — </w:t>
        </w:r>
        <w:r>
          <w:rPr>
            <w:rStyle w:val="CharPartText"/>
          </w:rPr>
          <w:t>Other Acts amended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ins>
    </w:p>
    <w:p>
      <w:pPr>
        <w:pStyle w:val="nzHeading3"/>
        <w:rPr>
          <w:ins w:id="228" w:author="svcMRProcess" w:date="2019-01-25T13:13:00Z"/>
        </w:rPr>
      </w:pPr>
      <w:bookmarkStart w:id="229" w:name="_Toc523134724"/>
      <w:bookmarkStart w:id="230" w:name="_Toc523134822"/>
      <w:bookmarkStart w:id="231" w:name="_Toc523989748"/>
      <w:bookmarkStart w:id="232" w:name="_Toc523990294"/>
      <w:bookmarkStart w:id="233" w:name="_Toc523991691"/>
      <w:bookmarkStart w:id="234" w:name="_Toc524430580"/>
      <w:bookmarkStart w:id="235" w:name="_Toc524430678"/>
      <w:bookmarkStart w:id="236" w:name="_Toc524956222"/>
      <w:bookmarkStart w:id="237" w:name="_Toc527353478"/>
      <w:bookmarkStart w:id="238" w:name="_Toc528788350"/>
      <w:bookmarkStart w:id="239" w:name="_Toc528789814"/>
      <w:bookmarkStart w:id="240" w:name="_Toc531771724"/>
      <w:bookmarkStart w:id="241" w:name="_Toc532382866"/>
      <w:bookmarkStart w:id="242" w:name="_Toc532395037"/>
      <w:ins w:id="243" w:author="svcMRProcess" w:date="2019-01-25T13:13:00Z">
        <w:r>
          <w:rPr>
            <w:rStyle w:val="CharDivNo"/>
          </w:rPr>
          <w:t>Division 2</w:t>
        </w:r>
        <w:r>
          <w:t> — </w:t>
        </w:r>
        <w:r>
          <w:rPr>
            <w:rStyle w:val="CharDivText"/>
          </w:rPr>
          <w:t>Amendments commencing on proclamation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ins>
    </w:p>
    <w:p>
      <w:pPr>
        <w:pStyle w:val="nzHeading4"/>
        <w:rPr>
          <w:ins w:id="244" w:author="svcMRProcess" w:date="2019-01-25T13:13:00Z"/>
        </w:rPr>
      </w:pPr>
      <w:bookmarkStart w:id="245" w:name="_Toc523134756"/>
      <w:bookmarkStart w:id="246" w:name="_Toc523134854"/>
      <w:bookmarkStart w:id="247" w:name="_Toc523989780"/>
      <w:bookmarkStart w:id="248" w:name="_Toc523990326"/>
      <w:bookmarkStart w:id="249" w:name="_Toc523991723"/>
      <w:bookmarkStart w:id="250" w:name="_Toc524430612"/>
      <w:bookmarkStart w:id="251" w:name="_Toc524430710"/>
      <w:bookmarkStart w:id="252" w:name="_Toc524956254"/>
      <w:bookmarkStart w:id="253" w:name="_Toc527353510"/>
      <w:bookmarkStart w:id="254" w:name="_Toc528788382"/>
      <w:bookmarkStart w:id="255" w:name="_Toc528789846"/>
      <w:bookmarkStart w:id="256" w:name="_Toc531771756"/>
      <w:bookmarkStart w:id="257" w:name="_Toc532382898"/>
      <w:bookmarkStart w:id="258" w:name="_Toc532395069"/>
      <w:ins w:id="259" w:author="svcMRProcess" w:date="2019-01-25T13:13:00Z">
        <w:r>
          <w:t>Subdivision 4 — </w:t>
        </w:r>
        <w:r>
          <w:rPr>
            <w:i/>
          </w:rPr>
          <w:t>Racing Penalties (Appeals) Act 1990</w:t>
        </w:r>
        <w:r>
          <w:t xml:space="preserve"> amended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ins>
    </w:p>
    <w:p>
      <w:pPr>
        <w:pStyle w:val="nzHeading5"/>
        <w:rPr>
          <w:ins w:id="260" w:author="svcMRProcess" w:date="2019-01-25T13:13:00Z"/>
        </w:rPr>
      </w:pPr>
      <w:bookmarkStart w:id="261" w:name="_Toc532382899"/>
      <w:bookmarkStart w:id="262" w:name="_Toc532395070"/>
      <w:ins w:id="263" w:author="svcMRProcess" w:date="2019-01-25T13:13:00Z">
        <w:r>
          <w:rPr>
            <w:rStyle w:val="CharSectno"/>
          </w:rPr>
          <w:t>76</w:t>
        </w:r>
        <w:r>
          <w:t>.</w:t>
        </w:r>
        <w:r>
          <w:tab/>
          <w:t>Act amended</w:t>
        </w:r>
        <w:bookmarkEnd w:id="261"/>
        <w:bookmarkEnd w:id="262"/>
      </w:ins>
    </w:p>
    <w:p>
      <w:pPr>
        <w:pStyle w:val="nzSubsection"/>
        <w:rPr>
          <w:ins w:id="264" w:author="svcMRProcess" w:date="2019-01-25T13:13:00Z"/>
        </w:rPr>
      </w:pPr>
      <w:ins w:id="265" w:author="svcMRProcess" w:date="2019-01-25T13:13:00Z">
        <w:r>
          <w:tab/>
        </w:r>
        <w:r>
          <w:tab/>
          <w:t xml:space="preserve">This Subdivision amends the </w:t>
        </w:r>
        <w:r>
          <w:rPr>
            <w:i/>
          </w:rPr>
          <w:t>Racing Penalties (Appeals) Act 1990</w:t>
        </w:r>
        <w:r>
          <w:t>.</w:t>
        </w:r>
      </w:ins>
    </w:p>
    <w:p>
      <w:pPr>
        <w:pStyle w:val="nzHeading5"/>
        <w:rPr>
          <w:ins w:id="266" w:author="svcMRProcess" w:date="2019-01-25T13:13:00Z"/>
        </w:rPr>
      </w:pPr>
      <w:bookmarkStart w:id="267" w:name="_Toc532382900"/>
      <w:bookmarkStart w:id="268" w:name="_Toc532395071"/>
      <w:ins w:id="269" w:author="svcMRProcess" w:date="2019-01-25T13:13:00Z">
        <w:r>
          <w:rPr>
            <w:rStyle w:val="CharSectno"/>
          </w:rPr>
          <w:t>77</w:t>
        </w:r>
        <w:r>
          <w:t>.</w:t>
        </w:r>
        <w:r>
          <w:tab/>
          <w:t>Section 24 amended</w:t>
        </w:r>
        <w:bookmarkEnd w:id="267"/>
        <w:bookmarkEnd w:id="268"/>
      </w:ins>
    </w:p>
    <w:p>
      <w:pPr>
        <w:pStyle w:val="nzSubsection"/>
        <w:rPr>
          <w:ins w:id="270" w:author="svcMRProcess" w:date="2019-01-25T13:13:00Z"/>
        </w:rPr>
      </w:pPr>
      <w:ins w:id="271" w:author="svcMRProcess" w:date="2019-01-25T13:13:00Z">
        <w:r>
          <w:tab/>
        </w:r>
        <w:r>
          <w:tab/>
          <w:t xml:space="preserve">In section 24(4)(a): </w:t>
        </w:r>
      </w:ins>
    </w:p>
    <w:p>
      <w:pPr>
        <w:pStyle w:val="nzIndenta"/>
        <w:rPr>
          <w:ins w:id="272" w:author="svcMRProcess" w:date="2019-01-25T13:13:00Z"/>
        </w:rPr>
      </w:pPr>
      <w:ins w:id="273" w:author="svcMRProcess" w:date="2019-01-25T13:13:00Z">
        <w:r>
          <w:tab/>
          <w:t>(a)</w:t>
        </w:r>
        <w:r>
          <w:tab/>
          <w:t>delete “105(1)(h) or”;</w:t>
        </w:r>
      </w:ins>
    </w:p>
    <w:p>
      <w:pPr>
        <w:pStyle w:val="nzIndenta"/>
        <w:rPr>
          <w:ins w:id="274" w:author="svcMRProcess" w:date="2019-01-25T13:13:00Z"/>
        </w:rPr>
      </w:pPr>
      <w:ins w:id="275" w:author="svcMRProcess" w:date="2019-01-25T13:13:00Z">
        <w:r>
          <w:tab/>
          <w:t>(b)</w:t>
        </w:r>
        <w:r>
          <w:tab/>
          <w:t>delete “105 or”.</w:t>
        </w:r>
      </w:ins>
    </w:p>
    <w:p>
      <w:pPr>
        <w:pStyle w:val="BlankClose"/>
        <w:rPr>
          <w:ins w:id="276" w:author="svcMRProcess" w:date="2019-01-25T13:13:00Z"/>
        </w:rPr>
      </w:pPr>
    </w:p>
    <w:p>
      <w:pPr>
        <w:rPr>
          <w:ins w:id="277" w:author="svcMRProcess" w:date="2019-01-25T13:13:00Z"/>
        </w:rPr>
      </w:pPr>
    </w:p>
    <w:p>
      <w:pPr>
        <w:rPr>
          <w:ins w:id="278" w:author="svcMRProcess" w:date="2019-01-25T13:13:00Z"/>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9400</Words>
  <Characters>43806</Characters>
  <Application>Microsoft Office Word</Application>
  <DocSecurity>0</DocSecurity>
  <Lines>1216</Lines>
  <Paragraphs>648</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52558</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03-d0-04 - 03-e0-03</dc:title>
  <dc:subject/>
  <dc:creator/>
  <cp:keywords/>
  <dc:description/>
  <cp:lastModifiedBy>svcMRProcess</cp:lastModifiedBy>
  <cp:revision>2</cp:revision>
  <cp:lastPrinted>2010-10-01T03:28:00Z</cp:lastPrinted>
  <dcterms:created xsi:type="dcterms:W3CDTF">2019-01-25T05:13:00Z</dcterms:created>
  <dcterms:modified xsi:type="dcterms:W3CDTF">2019-01-25T05:13:00Z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20181212</vt:lpwstr>
  </property>
  <property fmtid="{D5CDD505-2E9C-101B-9397-08002B2CF9AE}" pid="8" name="FromSuffix">
    <vt:lpwstr>03-d0-04</vt:lpwstr>
  </property>
  <property fmtid="{D5CDD505-2E9C-101B-9397-08002B2CF9AE}" pid="9" name="FromAsAtDate">
    <vt:lpwstr>01 Dec 2010</vt:lpwstr>
  </property>
  <property fmtid="{D5CDD505-2E9C-101B-9397-08002B2CF9AE}" pid="10" name="ToSuffix">
    <vt:lpwstr>03-e0-03</vt:lpwstr>
  </property>
  <property fmtid="{D5CDD505-2E9C-101B-9397-08002B2CF9AE}" pid="11" name="ToAsAtDate">
    <vt:lpwstr>12 Dec 2018</vt:lpwstr>
  </property>
</Properties>
</file>