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440"/>
      </w:pPr>
      <w:r>
        <w:t>Sandalwood Act 1929</w:t>
      </w:r>
    </w:p>
    <w:p>
      <w:pPr>
        <w:pStyle w:val="LongTitle"/>
        <w:rPr>
          <w:snapToGrid w:val="0"/>
        </w:rPr>
      </w:pPr>
      <w:r>
        <w:rPr>
          <w:snapToGrid w:val="0"/>
        </w:rPr>
        <w:t>A</w:t>
      </w:r>
      <w:bookmarkStart w:id="1" w:name="_GoBack"/>
      <w:bookmarkEnd w:id="1"/>
      <w:r>
        <w:rPr>
          <w:snapToGrid w:val="0"/>
        </w:rPr>
        <w:t>n Act to regulate the quantity of sandalwood to be pulled or removed from Crown and other land.</w:t>
      </w:r>
    </w:p>
    <w:p>
      <w:pPr>
        <w:pStyle w:val="Heading5"/>
        <w:rPr>
          <w:snapToGrid w:val="0"/>
        </w:rPr>
      </w:pPr>
      <w:bookmarkStart w:id="2" w:name="_Toc378944153"/>
      <w:bookmarkStart w:id="3" w:name="_Toc531702700"/>
      <w:bookmarkStart w:id="4" w:name="_Toc46240535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[Section 1 amended by No. 74 of 1996 s. 3.]</w:t>
      </w:r>
    </w:p>
    <w:p>
      <w:pPr>
        <w:pStyle w:val="Heading5"/>
        <w:rPr>
          <w:snapToGrid w:val="0"/>
        </w:rPr>
      </w:pPr>
      <w:bookmarkStart w:id="5" w:name="_Toc378944154"/>
      <w:bookmarkStart w:id="6" w:name="_Toc531702701"/>
      <w:bookmarkStart w:id="7" w:name="_Toc462405359"/>
      <w:r>
        <w:rPr>
          <w:rStyle w:val="CharSectno"/>
        </w:rPr>
        <w:t>2</w:t>
      </w:r>
      <w:r>
        <w:rPr>
          <w:snapToGrid w:val="0"/>
        </w:rPr>
        <w:t>.</w:t>
      </w:r>
      <w:r>
        <w:rPr>
          <w:snapToGrid w:val="0"/>
        </w:rPr>
        <w:tab/>
        <w:t>Power to limit quantity</w:t>
      </w:r>
      <w:bookmarkEnd w:id="5"/>
      <w:bookmarkEnd w:id="6"/>
      <w:bookmarkEnd w:id="7"/>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[Section 2 amended by No. 74 of 1996 s. 4.]</w:t>
      </w:r>
    </w:p>
    <w:p>
      <w:pPr>
        <w:pStyle w:val="Heading5"/>
        <w:rPr>
          <w:snapToGrid w:val="0"/>
        </w:rPr>
      </w:pPr>
      <w:bookmarkStart w:id="8" w:name="_Toc378944155"/>
      <w:bookmarkStart w:id="9" w:name="_Toc531702702"/>
      <w:bookmarkStart w:id="10" w:name="_Toc462405360"/>
      <w:r>
        <w:rPr>
          <w:rStyle w:val="CharSectno"/>
        </w:rPr>
        <w:t>3</w:t>
      </w:r>
      <w:r>
        <w:rPr>
          <w:snapToGrid w:val="0"/>
        </w:rPr>
        <w:t>.</w:t>
      </w:r>
      <w:r>
        <w:rPr>
          <w:snapToGrid w:val="0"/>
        </w:rPr>
        <w:tab/>
        <w:t>Licences</w:t>
      </w:r>
      <w:bookmarkEnd w:id="8"/>
      <w:bookmarkEnd w:id="9"/>
      <w:bookmarkEnd w:id="10"/>
    </w:p>
    <w:p>
      <w:pPr>
        <w:pStyle w:val="Subsection"/>
        <w:keepNext/>
        <w:rPr>
          <w:snapToGrid w:val="0"/>
        </w:rPr>
      </w:pPr>
      <w:r>
        <w:rPr>
          <w:snapToGrid w:val="0"/>
        </w:rPr>
        <w:tab/>
        <w:t>(1)</w:t>
      </w:r>
      <w:r>
        <w:rPr>
          <w:snapToGrid w:val="0"/>
        </w:rPr>
        <w:tab/>
        <w:t>No person shall pull or remove sandalwood —</w:t>
      </w:r>
    </w:p>
    <w:p>
      <w:pPr>
        <w:pStyle w:val="Indenta"/>
        <w:rPr>
          <w:snapToGrid w:val="0"/>
        </w:rPr>
      </w:pPr>
      <w:r>
        <w:rPr>
          <w:snapToGrid w:val="0"/>
        </w:rPr>
        <w:tab/>
        <w:t>(a)</w:t>
      </w:r>
      <w:r>
        <w:rPr>
          <w:snapToGrid w:val="0"/>
        </w:rPr>
        <w:tab/>
        <w:t>from Crown land, except under a licence granted pursuant to regulations under the principal Act; or</w:t>
      </w:r>
    </w:p>
    <w:p>
      <w:pPr>
        <w:pStyle w:val="Indenta"/>
        <w:keepNext/>
        <w:rPr>
          <w:snapToGrid w:val="0"/>
        </w:rPr>
      </w:pPr>
      <w:r>
        <w:rPr>
          <w:snapToGrid w:val="0"/>
        </w:rPr>
        <w:tab/>
        <w:t>(b)</w:t>
      </w:r>
      <w:r>
        <w:rPr>
          <w:snapToGrid w:val="0"/>
        </w:rPr>
        <w:tab/>
        <w:t xml:space="preserve">from alienated land, unless such person (being the grantee or lessee thereof, or a person lawfully claiming under him) is authorised to do so by a licence in the </w:t>
      </w:r>
      <w:r>
        <w:rPr>
          <w:snapToGrid w:val="0"/>
        </w:rPr>
        <w:lastRenderedPageBreak/>
        <w:t>prescribed form granted to him by the CEO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t>deleted]</w:t>
      </w:r>
    </w:p>
    <w:p>
      <w:pPr>
        <w:pStyle w:val="Subsection"/>
        <w:rPr>
          <w:snapToGrid w:val="0"/>
        </w:rPr>
      </w:pPr>
      <w:r>
        <w:rPr>
          <w:snapToGrid w:val="0"/>
        </w:rPr>
        <w:tab/>
        <w:t>(3)</w:t>
      </w:r>
      <w:r>
        <w:rPr>
          <w:snapToGrid w:val="0"/>
        </w:rPr>
        <w:tab/>
        <w:t>The granting of licences under subsection (1)(b) shall be in the order of priority of application, and the allocation to each licensee of the quantity of sandalwood to be pulled or removed under licence shall be determined by the Minister.</w:t>
      </w:r>
    </w:p>
    <w:p>
      <w:pPr>
        <w:pStyle w:val="Subsection"/>
        <w:rPr>
          <w:snapToGrid w:val="0"/>
        </w:rPr>
      </w:pPr>
      <w:r>
        <w:rPr>
          <w:snapToGrid w:val="0"/>
        </w:rPr>
        <w:tab/>
        <w:t>(4)</w:t>
      </w:r>
      <w:r>
        <w:rPr>
          <w:snapToGrid w:val="0"/>
        </w:rPr>
        <w:tab/>
        <w:t xml:space="preserve">In this section the words </w:t>
      </w:r>
      <w:r>
        <w:rPr>
          <w:rStyle w:val="CharDefText"/>
        </w:rPr>
        <w:t>alienated land</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w:t>
      </w:r>
      <w:r>
        <w:rPr>
          <w:iCs/>
          <w:snapToGrid w:val="0"/>
        </w:rPr>
        <w:t> </w:t>
      </w:r>
      <w:r>
        <w:rPr>
          <w:iCs/>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 No. 28 of 2006 s. 218.]</w:t>
      </w:r>
    </w:p>
    <w:p>
      <w:pPr>
        <w:pStyle w:val="Heading5"/>
        <w:rPr>
          <w:snapToGrid w:val="0"/>
        </w:rPr>
      </w:pPr>
      <w:bookmarkStart w:id="11" w:name="_Toc378944156"/>
      <w:bookmarkStart w:id="12" w:name="_Toc531702703"/>
      <w:bookmarkStart w:id="13" w:name="_Toc462405361"/>
      <w:r>
        <w:rPr>
          <w:rStyle w:val="CharSectno"/>
        </w:rPr>
        <w:t>4</w:t>
      </w:r>
      <w:r>
        <w:rPr>
          <w:snapToGrid w:val="0"/>
        </w:rPr>
        <w:t>.</w:t>
      </w:r>
      <w:r>
        <w:rPr>
          <w:snapToGrid w:val="0"/>
        </w:rPr>
        <w:tab/>
        <w:t>Regulations</w:t>
      </w:r>
      <w:bookmarkEnd w:id="11"/>
      <w:bookmarkEnd w:id="12"/>
      <w:bookmarkEnd w:id="13"/>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14" w:name="_Toc378944157"/>
      <w:bookmarkStart w:id="15" w:name="_Toc531702704"/>
      <w:bookmarkStart w:id="16" w:name="_Toc462405362"/>
      <w:r>
        <w:rPr>
          <w:rStyle w:val="CharSectno"/>
        </w:rPr>
        <w:t>5</w:t>
      </w:r>
      <w:r>
        <w:rPr>
          <w:snapToGrid w:val="0"/>
        </w:rPr>
        <w:t>.</w:t>
      </w:r>
      <w:r>
        <w:rPr>
          <w:snapToGrid w:val="0"/>
        </w:rPr>
        <w:tab/>
        <w:t>Meaning of “</w:t>
      </w:r>
      <w:r>
        <w:t>sandalwood</w:t>
      </w:r>
      <w:r>
        <w:rPr>
          <w:snapToGrid w:val="0"/>
        </w:rPr>
        <w:t>”</w:t>
      </w:r>
      <w:bookmarkEnd w:id="14"/>
      <w:bookmarkEnd w:id="15"/>
      <w:bookmarkEnd w:id="16"/>
    </w:p>
    <w:p>
      <w:pPr>
        <w:pStyle w:val="Subsection"/>
        <w:rPr>
          <w:snapToGrid w:val="0"/>
        </w:rPr>
      </w:pPr>
      <w:r>
        <w:rPr>
          <w:snapToGrid w:val="0"/>
        </w:rPr>
        <w:tab/>
      </w:r>
      <w:r>
        <w:rPr>
          <w:snapToGrid w:val="0"/>
        </w:rPr>
        <w:tab/>
        <w:t xml:space="preserve">For the purposes of this Act the word </w:t>
      </w:r>
      <w:r>
        <w:rPr>
          <w:rStyle w:val="CharDefText"/>
        </w:rPr>
        <w:t>sandalwood</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[Section 5 inserted by No. 13 of 1934 s. 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7" w:name="_Toc378944158"/>
      <w:bookmarkStart w:id="18" w:name="_Toc424305785"/>
      <w:bookmarkStart w:id="19" w:name="_Toc434849579"/>
      <w:bookmarkStart w:id="20" w:name="_Toc462405363"/>
      <w:bookmarkStart w:id="21" w:name="_Toc531702705"/>
      <w:r>
        <w:t>Notes</w:t>
      </w:r>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Sandalwood Act 1929</w:t>
      </w:r>
      <w:r>
        <w:rPr>
          <w:snapToGrid w:val="0"/>
        </w:rPr>
        <w:t xml:space="preserve"> and includes the amendments made by the other written laws referred to in the following table</w:t>
      </w:r>
      <w:del w:id="22" w:author="svcMRProcess" w:date="2018-12-31T11:0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3" w:name="_Toc378944159"/>
      <w:bookmarkStart w:id="24" w:name="_Toc531702706"/>
      <w:bookmarkStart w:id="25" w:name="_Toc462405364"/>
      <w:r>
        <w:rPr>
          <w:snapToGrid w:val="0"/>
        </w:rPr>
        <w:t>Compilation table</w:t>
      </w:r>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268" w:type="dxa"/>
            <w:gridSpan w:val="2"/>
            <w:tcBorders>
              <w:top w:val="single" w:sz="8" w:space="0" w:color="auto"/>
            </w:tcBorders>
          </w:tcPr>
          <w:p>
            <w:pPr>
              <w:pStyle w:val="nTable"/>
              <w:spacing w:after="40"/>
              <w:ind w:right="113"/>
            </w:pPr>
            <w:r>
              <w:rPr>
                <w:i/>
              </w:rPr>
              <w:t>Sandalwood Act 1929</w:t>
            </w:r>
          </w:p>
        </w:tc>
        <w:tc>
          <w:tcPr>
            <w:tcW w:w="1134" w:type="dxa"/>
            <w:gridSpan w:val="2"/>
            <w:tcBorders>
              <w:top w:val="single" w:sz="8" w:space="0" w:color="auto"/>
            </w:tcBorders>
          </w:tcPr>
          <w:p>
            <w:pPr>
              <w:pStyle w:val="nTable"/>
              <w:spacing w:after="40"/>
            </w:pPr>
            <w:r>
              <w:t>27 of 1929</w:t>
            </w:r>
            <w:r>
              <w:br/>
              <w:t>(20 Geo. V No. 25)</w:t>
            </w:r>
          </w:p>
        </w:tc>
        <w:tc>
          <w:tcPr>
            <w:tcW w:w="1134" w:type="dxa"/>
            <w:gridSpan w:val="2"/>
            <w:tcBorders>
              <w:top w:val="single" w:sz="8" w:space="0" w:color="auto"/>
            </w:tcBorders>
          </w:tcPr>
          <w:p>
            <w:pPr>
              <w:pStyle w:val="nTable"/>
              <w:spacing w:after="40"/>
            </w:pPr>
            <w:r>
              <w:t>5 Dec 1929</w:t>
            </w:r>
          </w:p>
        </w:tc>
        <w:tc>
          <w:tcPr>
            <w:tcW w:w="2552" w:type="dxa"/>
            <w:gridSpan w:val="2"/>
            <w:tcBorders>
              <w:top w:val="single" w:sz="8" w:space="0" w:color="auto"/>
            </w:tcBorders>
          </w:tcPr>
          <w:p>
            <w:pPr>
              <w:pStyle w:val="nTable"/>
              <w:spacing w:after="40"/>
            </w:pPr>
            <w:r>
              <w:t>5 Dec 1929</w:t>
            </w:r>
          </w:p>
        </w:tc>
      </w:tr>
      <w:tr>
        <w:trPr>
          <w:gridAfter w:val="1"/>
          <w:wAfter w:w="27" w:type="dxa"/>
          <w:cantSplit/>
        </w:trPr>
        <w:tc>
          <w:tcPr>
            <w:tcW w:w="2268" w:type="dxa"/>
            <w:gridSpan w:val="2"/>
          </w:tcPr>
          <w:p>
            <w:pPr>
              <w:pStyle w:val="nTable"/>
              <w:spacing w:after="40"/>
              <w:ind w:right="113"/>
              <w:rPr>
                <w:i/>
              </w:rPr>
            </w:pPr>
            <w:r>
              <w:rPr>
                <w:i/>
              </w:rPr>
              <w:t>Sandalwood Act Amendment Act 1930</w:t>
            </w:r>
          </w:p>
        </w:tc>
        <w:tc>
          <w:tcPr>
            <w:tcW w:w="1134" w:type="dxa"/>
            <w:gridSpan w:val="2"/>
          </w:tcPr>
          <w:p>
            <w:pPr>
              <w:pStyle w:val="nTable"/>
              <w:spacing w:after="40"/>
            </w:pPr>
            <w:r>
              <w:t>43 of 1930</w:t>
            </w:r>
            <w:r>
              <w:br/>
              <w:t>(21 Geo. V No. 43)</w:t>
            </w:r>
          </w:p>
        </w:tc>
        <w:tc>
          <w:tcPr>
            <w:tcW w:w="1134" w:type="dxa"/>
            <w:gridSpan w:val="2"/>
          </w:tcPr>
          <w:p>
            <w:pPr>
              <w:pStyle w:val="nTable"/>
              <w:spacing w:after="40"/>
            </w:pPr>
            <w:r>
              <w:t>22 Dec 1930</w:t>
            </w:r>
          </w:p>
        </w:tc>
        <w:tc>
          <w:tcPr>
            <w:tcW w:w="2552" w:type="dxa"/>
            <w:gridSpan w:val="2"/>
          </w:tcPr>
          <w:p>
            <w:pPr>
              <w:pStyle w:val="nTable"/>
              <w:spacing w:after="40"/>
            </w:pPr>
            <w:r>
              <w:t>22 Dec 1930</w:t>
            </w:r>
          </w:p>
        </w:tc>
      </w:tr>
      <w:tr>
        <w:trPr>
          <w:gridAfter w:val="1"/>
          <w:wAfter w:w="27" w:type="dxa"/>
          <w:cantSplit/>
        </w:trPr>
        <w:tc>
          <w:tcPr>
            <w:tcW w:w="2268" w:type="dxa"/>
            <w:gridSpan w:val="2"/>
          </w:tcPr>
          <w:p>
            <w:pPr>
              <w:pStyle w:val="nTable"/>
              <w:spacing w:after="40"/>
              <w:ind w:right="113"/>
            </w:pPr>
            <w:r>
              <w:rPr>
                <w:i/>
              </w:rPr>
              <w:t>Sandalwood Act Amendment Act 1934</w:t>
            </w:r>
          </w:p>
        </w:tc>
        <w:tc>
          <w:tcPr>
            <w:tcW w:w="1134" w:type="dxa"/>
            <w:gridSpan w:val="2"/>
          </w:tcPr>
          <w:p>
            <w:pPr>
              <w:pStyle w:val="nTable"/>
              <w:spacing w:after="40"/>
            </w:pPr>
            <w:r>
              <w:t>13 of 1934</w:t>
            </w:r>
            <w:r>
              <w:br/>
              <w:t>(25 Geo. V No. 12)</w:t>
            </w:r>
          </w:p>
        </w:tc>
        <w:tc>
          <w:tcPr>
            <w:tcW w:w="1134" w:type="dxa"/>
            <w:gridSpan w:val="2"/>
          </w:tcPr>
          <w:p>
            <w:pPr>
              <w:pStyle w:val="nTable"/>
              <w:spacing w:after="40"/>
            </w:pPr>
            <w:r>
              <w:t>26 Nov 1934</w:t>
            </w:r>
          </w:p>
        </w:tc>
        <w:tc>
          <w:tcPr>
            <w:tcW w:w="2552" w:type="dxa"/>
            <w:gridSpan w:val="2"/>
          </w:tcPr>
          <w:p>
            <w:pPr>
              <w:pStyle w:val="nTable"/>
              <w:spacing w:after="40"/>
            </w:pPr>
            <w:r>
              <w:t>26 Nov 1934</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16 May 1958 in Volume 13 of Reprinted Acts </w:t>
            </w:r>
            <w:r>
              <w:t>(includes amendments listed above)</w:t>
            </w:r>
          </w:p>
        </w:tc>
      </w:tr>
      <w:tr>
        <w:trPr>
          <w:gridAfter w:val="1"/>
          <w:wAfter w:w="27" w:type="dxa"/>
          <w:cantSplit/>
        </w:trPr>
        <w:tc>
          <w:tcPr>
            <w:tcW w:w="2268" w:type="dxa"/>
            <w:gridSpan w:val="2"/>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14 Jul 1971 </w:t>
            </w:r>
            <w:r>
              <w:t>(includes amendments listed above)</w:t>
            </w:r>
          </w:p>
        </w:tc>
      </w:tr>
      <w:tr>
        <w:trPr>
          <w:gridAfter w:val="1"/>
          <w:wAfter w:w="27" w:type="dxa"/>
          <w:cantSplit/>
        </w:trPr>
        <w:tc>
          <w:tcPr>
            <w:tcW w:w="2268" w:type="dxa"/>
            <w:gridSpan w:val="2"/>
          </w:tcPr>
          <w:p>
            <w:pPr>
              <w:pStyle w:val="nTable"/>
              <w:spacing w:after="40"/>
              <w:ind w:right="113"/>
            </w:pPr>
            <w:r>
              <w:rPr>
                <w:i/>
              </w:rPr>
              <w:t>Sandalwood Amendment Act 1996</w:t>
            </w:r>
          </w:p>
        </w:tc>
        <w:tc>
          <w:tcPr>
            <w:tcW w:w="1134" w:type="dxa"/>
            <w:gridSpan w:val="2"/>
          </w:tcPr>
          <w:p>
            <w:pPr>
              <w:pStyle w:val="nTable"/>
              <w:spacing w:after="40"/>
            </w:pPr>
            <w:r>
              <w:t>74 of 1996</w:t>
            </w:r>
          </w:p>
        </w:tc>
        <w:tc>
          <w:tcPr>
            <w:tcW w:w="1134" w:type="dxa"/>
            <w:gridSpan w:val="2"/>
          </w:tcPr>
          <w:p>
            <w:pPr>
              <w:pStyle w:val="nTable"/>
              <w:spacing w:after="40"/>
            </w:pPr>
            <w:r>
              <w:t>13 Nov 1996</w:t>
            </w:r>
          </w:p>
        </w:tc>
        <w:tc>
          <w:tcPr>
            <w:tcW w:w="2552" w:type="dxa"/>
            <w:gridSpan w:val="2"/>
          </w:tcPr>
          <w:p>
            <w:pPr>
              <w:pStyle w:val="nTable"/>
              <w:spacing w:after="40"/>
            </w:pPr>
            <w:r>
              <w:t xml:space="preserve">11 Dec 1996 </w:t>
            </w:r>
          </w:p>
        </w:tc>
      </w:tr>
      <w:tr>
        <w:trPr>
          <w:gridAfter w:val="1"/>
          <w:wAfter w:w="27" w:type="dxa"/>
          <w:cantSplit/>
        </w:trPr>
        <w:tc>
          <w:tcPr>
            <w:tcW w:w="2268" w:type="dxa"/>
            <w:gridSpan w:val="2"/>
          </w:tcPr>
          <w:p>
            <w:pPr>
              <w:pStyle w:val="nTable"/>
              <w:spacing w:after="40"/>
              <w:ind w:right="113"/>
            </w:pPr>
            <w:r>
              <w:rPr>
                <w:i/>
              </w:rPr>
              <w:t>Land Administration Amendment Act 2000</w:t>
            </w:r>
            <w:r>
              <w:t xml:space="preserve"> 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2" w:type="dxa"/>
            <w:gridSpan w:val="2"/>
          </w:tcPr>
          <w:p>
            <w:pPr>
              <w:pStyle w:val="nTable"/>
              <w:spacing w:after="40"/>
              <w:rPr>
                <w:i/>
              </w:rPr>
            </w:pPr>
            <w:r>
              <w:t xml:space="preserve">10 Apr 2001 (see s. 2(2) and </w:t>
            </w:r>
            <w:r>
              <w:rPr>
                <w:i/>
              </w:rPr>
              <w:t>Gazette</w:t>
            </w:r>
            <w:r>
              <w:t xml:space="preserve"> 10 Apr 2001 p. 2073)</w:t>
            </w:r>
            <w:r>
              <w:rPr>
                <w:i/>
              </w:rPr>
              <w:t xml:space="preserve"> </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as at 4 Jan 2002 </w:t>
            </w:r>
            <w:r>
              <w:t>(includes amendments listed above)</w:t>
            </w:r>
          </w:p>
        </w:tc>
      </w:tr>
      <w:tr>
        <w:trPr>
          <w:gridAfter w:val="1"/>
          <w:wAfter w:w="27" w:type="dxa"/>
          <w:cantSplit/>
        </w:trPr>
        <w:tc>
          <w:tcPr>
            <w:tcW w:w="2268" w:type="dxa"/>
            <w:gridSpan w:val="2"/>
          </w:tcPr>
          <w:p>
            <w:pPr>
              <w:pStyle w:val="nTable"/>
              <w:spacing w:after="40"/>
              <w:ind w:right="113"/>
            </w:pPr>
            <w:r>
              <w:rPr>
                <w:i/>
              </w:rPr>
              <w:t>Acts Amendment and Repeal (Competition Policy) Act 2003</w:t>
            </w:r>
            <w:r>
              <w:t xml:space="preserve"> Pt. 12</w:t>
            </w:r>
          </w:p>
        </w:tc>
        <w:tc>
          <w:tcPr>
            <w:tcW w:w="1134" w:type="dxa"/>
            <w:gridSpan w:val="2"/>
          </w:tcPr>
          <w:p>
            <w:pPr>
              <w:pStyle w:val="nTable"/>
              <w:spacing w:after="40"/>
            </w:pPr>
            <w:r>
              <w:t>70 of 2003</w:t>
            </w:r>
          </w:p>
        </w:tc>
        <w:tc>
          <w:tcPr>
            <w:tcW w:w="1134" w:type="dxa"/>
            <w:gridSpan w:val="2"/>
          </w:tcPr>
          <w:p>
            <w:pPr>
              <w:pStyle w:val="nTable"/>
              <w:spacing w:after="40"/>
            </w:pPr>
            <w:r>
              <w:t>15 Dec 2003</w:t>
            </w:r>
          </w:p>
        </w:tc>
        <w:tc>
          <w:tcPr>
            <w:tcW w:w="2552" w:type="dxa"/>
            <w:gridSpan w:val="2"/>
          </w:tcPr>
          <w:p>
            <w:pPr>
              <w:pStyle w:val="nTable"/>
              <w:spacing w:after="40"/>
            </w:pPr>
            <w:r>
              <w:t xml:space="preserve">21 Apr 2004 (see s. 2 and </w:t>
            </w:r>
            <w:r>
              <w:rPr>
                <w:i/>
              </w:rPr>
              <w:t>Gazette</w:t>
            </w:r>
            <w:r>
              <w:t xml:space="preserve"> 20 Apr 2004 p. 1297)</w:t>
            </w:r>
          </w:p>
        </w:tc>
      </w:tr>
      <w:tr>
        <w:trPr>
          <w:gridBefore w:val="1"/>
          <w:wBefore w:w="28" w:type="dxa"/>
          <w:cantSplit/>
        </w:trPr>
        <w:tc>
          <w:tcPr>
            <w:tcW w:w="2268" w:type="dxa"/>
            <w:gridSpan w:val="2"/>
          </w:tcPr>
          <w:p>
            <w:pPr>
              <w:pStyle w:val="nTable"/>
              <w:spacing w:after="40"/>
              <w:ind w:left="-28"/>
              <w:rPr>
                <w:iCs/>
                <w:snapToGrid w:val="0"/>
              </w:rPr>
            </w:pPr>
            <w:r>
              <w:rPr>
                <w:i/>
                <w:snapToGrid w:val="0"/>
              </w:rPr>
              <w:t>Machinery of Government (Miscellaneous Amendments) Act 2006</w:t>
            </w:r>
            <w:r>
              <w:rPr>
                <w:iCs/>
                <w:snapToGrid w:val="0"/>
              </w:rPr>
              <w:t xml:space="preserve"> Pt. 7 Div.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Pr>
          <w:p>
            <w:pPr>
              <w:pStyle w:val="nTable"/>
              <w:spacing w:after="40"/>
            </w:pPr>
            <w:r>
              <w:rPr>
                <w:b/>
              </w:rPr>
              <w:t xml:space="preserve">Reprint 4: The </w:t>
            </w:r>
            <w:r>
              <w:rPr>
                <w:b/>
                <w:i/>
              </w:rPr>
              <w:t>Sandalwood Act 1929</w:t>
            </w:r>
            <w:r>
              <w:rPr>
                <w:b/>
              </w:rPr>
              <w:t xml:space="preserve"> as at 25 Jan 2008 </w:t>
            </w:r>
            <w:r>
              <w:t>(includes amendments listed above)</w:t>
            </w:r>
          </w:p>
        </w:tc>
      </w:tr>
    </w:tbl>
    <w:p>
      <w:pPr>
        <w:pStyle w:val="nSubsection"/>
        <w:spacing w:before="360"/>
        <w:rPr>
          <w:del w:id="26" w:author="svcMRProcess" w:date="2018-12-31T11:06:00Z"/>
        </w:rPr>
      </w:pPr>
      <w:del w:id="27" w:author="svcMRProcess" w:date="2018-12-31T11: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 w:author="svcMRProcess" w:date="2018-12-31T11:06:00Z"/>
        </w:rPr>
      </w:pPr>
      <w:bookmarkStart w:id="29" w:name="_Toc462405365"/>
      <w:del w:id="30" w:author="svcMRProcess" w:date="2018-12-31T11:06:00Z">
        <w:r>
          <w:delText>Provisions that have not come into operation</w:delText>
        </w:r>
        <w:bookmarkEnd w:id="2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19"/>
      </w:tblGrid>
      <w:tr>
        <w:trPr>
          <w:tblHeader/>
          <w:del w:id="31" w:author="svcMRProcess" w:date="2018-12-31T11:06:00Z"/>
        </w:trPr>
        <w:tc>
          <w:tcPr>
            <w:tcW w:w="2268" w:type="dxa"/>
            <w:gridSpan w:val="3"/>
          </w:tcPr>
          <w:p>
            <w:pPr>
              <w:pStyle w:val="nTable"/>
              <w:spacing w:after="40"/>
              <w:rPr>
                <w:del w:id="32" w:author="svcMRProcess" w:date="2018-12-31T11:06:00Z"/>
                <w:b/>
              </w:rPr>
            </w:pPr>
            <w:del w:id="33" w:author="svcMRProcess" w:date="2018-12-31T11:06:00Z">
              <w:r>
                <w:rPr>
                  <w:b/>
                </w:rPr>
                <w:delText>Short title</w:delText>
              </w:r>
            </w:del>
          </w:p>
        </w:tc>
        <w:tc>
          <w:tcPr>
            <w:tcW w:w="1134" w:type="dxa"/>
          </w:tcPr>
          <w:p>
            <w:pPr>
              <w:pStyle w:val="nTable"/>
              <w:spacing w:after="40"/>
              <w:rPr>
                <w:del w:id="34" w:author="svcMRProcess" w:date="2018-12-31T11:06:00Z"/>
                <w:b/>
              </w:rPr>
            </w:pPr>
            <w:del w:id="35" w:author="svcMRProcess" w:date="2018-12-31T11:06:00Z">
              <w:r>
                <w:rPr>
                  <w:b/>
                </w:rPr>
                <w:delText>Number and year</w:delText>
              </w:r>
            </w:del>
          </w:p>
        </w:tc>
        <w:tc>
          <w:tcPr>
            <w:tcW w:w="1134" w:type="dxa"/>
          </w:tcPr>
          <w:p>
            <w:pPr>
              <w:pStyle w:val="nTable"/>
              <w:spacing w:after="40"/>
              <w:rPr>
                <w:del w:id="36" w:author="svcMRProcess" w:date="2018-12-31T11:06:00Z"/>
                <w:b/>
              </w:rPr>
            </w:pPr>
            <w:del w:id="37" w:author="svcMRProcess" w:date="2018-12-31T11:06:00Z">
              <w:r>
                <w:rPr>
                  <w:b/>
                </w:rPr>
                <w:delText>Assent</w:delText>
              </w:r>
            </w:del>
          </w:p>
        </w:tc>
        <w:tc>
          <w:tcPr>
            <w:tcW w:w="2552" w:type="dxa"/>
          </w:tcPr>
          <w:p>
            <w:pPr>
              <w:pStyle w:val="nTable"/>
              <w:spacing w:after="40"/>
              <w:rPr>
                <w:del w:id="38" w:author="svcMRProcess" w:date="2018-12-31T11:06:00Z"/>
                <w:b/>
              </w:rPr>
            </w:pPr>
            <w:del w:id="39" w:author="svcMRProcess" w:date="2018-12-31T11:06: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40" w:author="svcMRProcess" w:date="2018-12-31T11:06:00Z"/>
          </w:tcPr>
          <w:p>
            <w:pPr>
              <w:pStyle w:val="nTable"/>
              <w:spacing w:after="40"/>
              <w:rPr>
                <w:i/>
                <w:snapToGrid w:val="0"/>
              </w:rPr>
            </w:pPr>
            <w:del w:id="41" w:author="svcMRProcess" w:date="2018-12-31T11:06:00Z">
              <w:r>
                <w:rPr>
                  <w:i/>
                  <w:snapToGrid w:val="0"/>
                </w:rPr>
                <w:delText>Biodiversity Conservation Act 2016</w:delText>
              </w:r>
              <w:r>
                <w:rPr>
                  <w:snapToGrid w:val="0"/>
                </w:rPr>
                <w:delText xml:space="preserve"> s. 281 </w:delText>
              </w:r>
              <w:r>
                <w:rPr>
                  <w:snapToGrid w:val="0"/>
                  <w:vertAlign w:val="superscript"/>
                </w:rPr>
                <w:delText>3</w:delText>
              </w:r>
            </w:del>
          </w:p>
        </w:tc>
        <w:tc>
          <w:tcPr>
            <w:tcW w:w="1134" w:type="dxa"/>
            <w:cellDel w:id="42" w:author="svcMRProcess" w:date="2018-12-31T11:06:00Z"/>
          </w:tcPr>
          <w:p>
            <w:pPr>
              <w:pStyle w:val="nTable"/>
              <w:spacing w:after="40"/>
            </w:pPr>
            <w:del w:id="43" w:author="svcMRProcess" w:date="2018-12-31T11:06:00Z">
              <w:r>
                <w:delText>24 of 2016</w:delText>
              </w:r>
            </w:del>
          </w:p>
        </w:tc>
        <w:tc>
          <w:tcPr>
            <w:tcW w:w="1134" w:type="dxa"/>
            <w:cellDel w:id="44" w:author="svcMRProcess" w:date="2018-12-31T11:06:00Z"/>
          </w:tcPr>
          <w:p>
            <w:pPr>
              <w:pStyle w:val="nTable"/>
              <w:spacing w:after="40"/>
            </w:pPr>
            <w:del w:id="45" w:author="svcMRProcess" w:date="2018-12-31T11:06:00Z">
              <w:r>
                <w:delText>21 Sep 2016</w:delText>
              </w:r>
            </w:del>
          </w:p>
        </w:tc>
        <w:tc>
          <w:tcPr>
            <w:tcW w:w="7087" w:type="dxa"/>
            <w:gridSpan w:val="3"/>
            <w:tcBorders>
              <w:bottom w:val="single" w:sz="8" w:space="0" w:color="auto"/>
            </w:tcBorders>
          </w:tcPr>
          <w:p>
            <w:pPr>
              <w:pStyle w:val="nTable"/>
              <w:spacing w:after="40"/>
              <w:rPr>
                <w:b/>
              </w:rPr>
            </w:pPr>
            <w:ins w:id="46" w:author="svcMRProcess" w:date="2018-12-31T11:06:00Z">
              <w:r>
                <w:rPr>
                  <w:b/>
                  <w:snapToGrid w:val="0"/>
                  <w:color w:val="FF0000"/>
                </w:rPr>
                <w:t xml:space="preserve">This Act was repealed by the </w:t>
              </w:r>
              <w:r>
                <w:rPr>
                  <w:b/>
                  <w:i/>
                  <w:snapToGrid w:val="0"/>
                  <w:color w:val="FF0000"/>
                </w:rPr>
                <w:t>Biodiversity Conservation Act 2016</w:t>
              </w:r>
              <w:r>
                <w:rPr>
                  <w:b/>
                  <w:snapToGrid w:val="0"/>
                  <w:color w:val="FF0000"/>
                </w:rPr>
                <w:t xml:space="preserve"> s. 281 as at </w:t>
              </w:r>
            </w:ins>
            <w:r>
              <w:rPr>
                <w:b/>
                <w:snapToGrid w:val="0"/>
                <w:color w:val="FF0000"/>
              </w:rPr>
              <w:t xml:space="preserve">1 Jan 2019 (see s. 2(b) and </w:t>
            </w:r>
            <w:r>
              <w:rPr>
                <w:b/>
                <w:i/>
                <w:snapToGrid w:val="0"/>
                <w:color w:val="FF0000"/>
              </w:rPr>
              <w:t>Gazette</w:t>
            </w:r>
            <w:r>
              <w:rPr>
                <w:b/>
                <w:snapToGrid w:val="0"/>
                <w:color w:val="FF0000"/>
              </w:rPr>
              <w:t xml:space="preserve"> 14 Sep 2018 p. 3305)</w:t>
            </w:r>
          </w:p>
        </w:tc>
      </w:tr>
    </w:tbl>
    <w:p>
      <w:pPr>
        <w:pStyle w:val="nSubsection"/>
        <w:spacing w:before="160"/>
        <w:ind w:left="459" w:hanging="459"/>
      </w:pPr>
      <w:r>
        <w:rPr>
          <w:vertAlign w:val="superscript"/>
        </w:rPr>
        <w:t>2</w:t>
      </w:r>
      <w:r>
        <w:tab/>
        <w:t xml:space="preserve">Repealed by the </w:t>
      </w:r>
      <w:r>
        <w:rPr>
          <w:i/>
        </w:rPr>
        <w:t>Mining Act 1978</w:t>
      </w:r>
      <w:r>
        <w:t>.</w:t>
      </w:r>
    </w:p>
    <w:p>
      <w:pPr>
        <w:pStyle w:val="nSubsection"/>
        <w:spacing w:before="200"/>
        <w:rPr>
          <w:del w:id="47" w:author="svcMRProcess" w:date="2018-12-31T11:06:00Z"/>
          <w:snapToGrid w:val="0"/>
        </w:rPr>
      </w:pPr>
      <w:del w:id="48" w:author="svcMRProcess" w:date="2018-12-31T11:06: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281 had not come into operation. It reads as follows:</w:delText>
        </w:r>
      </w:del>
    </w:p>
    <w:p>
      <w:pPr>
        <w:pStyle w:val="BlankOpen"/>
        <w:rPr>
          <w:del w:id="49" w:author="svcMRProcess" w:date="2018-12-31T11:06:00Z"/>
          <w:snapToGrid w:val="0"/>
        </w:rPr>
      </w:pPr>
    </w:p>
    <w:p>
      <w:pPr>
        <w:pStyle w:val="nzHeading5"/>
        <w:rPr>
          <w:del w:id="50" w:author="svcMRProcess" w:date="2018-12-31T11:06:00Z"/>
        </w:rPr>
      </w:pPr>
      <w:bookmarkStart w:id="51" w:name="_Toc461715463"/>
      <w:del w:id="52" w:author="svcMRProcess" w:date="2018-12-31T11:06:00Z">
        <w:r>
          <w:rPr>
            <w:rStyle w:val="CharSectno"/>
          </w:rPr>
          <w:delText>281</w:delText>
        </w:r>
        <w:r>
          <w:delText>.</w:delText>
        </w:r>
        <w:r>
          <w:tab/>
        </w:r>
        <w:r>
          <w:rPr>
            <w:i/>
          </w:rPr>
          <w:delText>Sandalwood Act 1929</w:delText>
        </w:r>
        <w:r>
          <w:delText xml:space="preserve"> repealed</w:delText>
        </w:r>
        <w:bookmarkEnd w:id="51"/>
      </w:del>
    </w:p>
    <w:p>
      <w:pPr>
        <w:pStyle w:val="nzSubsection"/>
        <w:rPr>
          <w:del w:id="53" w:author="svcMRProcess" w:date="2018-12-31T11:06:00Z"/>
        </w:rPr>
      </w:pPr>
      <w:del w:id="54" w:author="svcMRProcess" w:date="2018-12-31T11:06:00Z">
        <w:r>
          <w:tab/>
        </w:r>
        <w:r>
          <w:tab/>
          <w:delText xml:space="preserve">The </w:delText>
        </w:r>
        <w:r>
          <w:rPr>
            <w:i/>
          </w:rPr>
          <w:delText>Sandalwood Act 1929</w:delText>
        </w:r>
        <w:r>
          <w:delText xml:space="preserve"> is repealed.</w:delText>
        </w:r>
      </w:del>
    </w:p>
    <w:p>
      <w:pPr>
        <w:pStyle w:val="BlankClose"/>
        <w:rPr>
          <w:del w:id="55" w:author="svcMRProcess" w:date="2018-12-31T11:06: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3EE2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39"/>
    <w:docVar w:name="WAFER_20140131143109" w:val="RemoveTocBookmarks,RemoveUnusedBookmarks,RemoveLanguageTags,UsedStyles,ResetPageSize,UpdateArrangement"/>
    <w:docVar w:name="WAFER_20140131143109_GUID" w:val="f644499f-d476-4790-a349-ed66197ec5e6"/>
    <w:docVar w:name="WAFER_20140131145951" w:val="RemoveTocBookmarks,RunningHeaders"/>
    <w:docVar w:name="WAFER_20140131145951_GUID" w:val="178caa77-11e0-4b89-a20d-a1566ef4c840"/>
    <w:docVar w:name="WAFER_20150710152927" w:val="ResetPageSize,UpdateArrangement,UpdateNTable"/>
    <w:docVar w:name="WAFER_20150710152927_GUID" w:val="77aca567-3f48-47f3-8353-996d819193df"/>
    <w:docVar w:name="WAFER_20151109160139" w:val="UpdateStyles,UsedStyles"/>
    <w:docVar w:name="WAFER_20151109160139_GUID" w:val="aca8376e-fcb8-460d-974e-d7fdd8b0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4182</Characters>
  <Application>Microsoft Office Word</Application>
  <DocSecurity>0</DocSecurity>
  <Lines>174</Lines>
  <Paragraphs>102</Paragraphs>
  <ScaleCrop>false</ScaleCrop>
  <HeadingPairs>
    <vt:vector size="2" baseType="variant">
      <vt:variant>
        <vt:lpstr>Title</vt:lpstr>
      </vt:variant>
      <vt:variant>
        <vt:i4>1</vt:i4>
      </vt:variant>
    </vt:vector>
  </HeadingPairs>
  <TitlesOfParts>
    <vt:vector size="1" baseType="lpstr">
      <vt:lpstr>Sandalwood Act 1929</vt:lpstr>
    </vt:vector>
  </TitlesOfParts>
  <Manager/>
  <Company/>
  <LinksUpToDate>false</LinksUpToDate>
  <CharactersWithSpaces>5030</CharactersWithSpaces>
  <SharedDoc>false</SharedDoc>
  <HLinks>
    <vt:vector size="18" baseType="variant">
      <vt:variant>
        <vt:i4>65542</vt:i4>
      </vt:variant>
      <vt:variant>
        <vt:i4>1982</vt:i4>
      </vt:variant>
      <vt:variant>
        <vt:i4>1025</vt:i4>
      </vt:variant>
      <vt:variant>
        <vt:i4>1</vt:i4>
      </vt:variant>
      <vt:variant>
        <vt:lpwstr>Crest</vt:lpwstr>
      </vt:variant>
      <vt:variant>
        <vt:lpwstr/>
      </vt:variant>
      <vt:variant>
        <vt:i4>131085</vt:i4>
      </vt:variant>
      <vt:variant>
        <vt:i4>4620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04-b0-02 - 04-c0-00</dc:title>
  <dc:subject/>
  <dc:creator/>
  <cp:keywords/>
  <dc:description/>
  <cp:lastModifiedBy>svcMRProcess</cp:lastModifiedBy>
  <cp:revision>2</cp:revision>
  <cp:lastPrinted>2008-01-22T04:06:00Z</cp:lastPrinted>
  <dcterms:created xsi:type="dcterms:W3CDTF">2018-12-31T03:06:00Z</dcterms:created>
  <dcterms:modified xsi:type="dcterms:W3CDTF">2018-12-31T03:06:00Z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DocumentType">
    <vt:lpwstr>Act</vt:lpwstr>
  </property>
  <property fmtid="{D5CDD505-2E9C-101B-9397-08002B2CF9AE}" pid="4" name="OwlsUID">
    <vt:i4>730</vt:i4>
  </property>
  <property fmtid="{D5CDD505-2E9C-101B-9397-08002B2CF9AE}" pid="5" name="ReprintedAsAt">
    <vt:filetime>2008-01-24T15:00:00Z</vt:filetime>
  </property>
  <property fmtid="{D5CDD505-2E9C-101B-9397-08002B2CF9AE}" pid="6" name="ReprintNo">
    <vt:lpwstr>4</vt:lpwstr>
  </property>
  <property fmtid="{D5CDD505-2E9C-101B-9397-08002B2CF9AE}" pid="7" name="CommencementDate">
    <vt:lpwstr>20190101</vt:lpwstr>
  </property>
  <property fmtid="{D5CDD505-2E9C-101B-9397-08002B2CF9AE}" pid="8" name="Status">
    <vt:lpwstr>NIF</vt:lpwstr>
  </property>
  <property fmtid="{D5CDD505-2E9C-101B-9397-08002B2CF9AE}" pid="9" name="FromSuffix">
    <vt:lpwstr>04-b0-02</vt:lpwstr>
  </property>
  <property fmtid="{D5CDD505-2E9C-101B-9397-08002B2CF9AE}" pid="10" name="FromAsAtDate">
    <vt:lpwstr>21 Sep 2016</vt:lpwstr>
  </property>
  <property fmtid="{D5CDD505-2E9C-101B-9397-08002B2CF9AE}" pid="11" name="ToSuffix">
    <vt:lpwstr>04-c0-00</vt:lpwstr>
  </property>
  <property fmtid="{D5CDD505-2E9C-101B-9397-08002B2CF9AE}" pid="12" name="ToAsAtDate">
    <vt:lpwstr>01 Jan 2019</vt:lpwstr>
  </property>
</Properties>
</file>