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Real Estate and Business Agents (General) Regulations 1979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Nov 2006</w:t>
      </w:r>
      <w:r>
        <w:fldChar w:fldCharType="end"/>
      </w:r>
      <w:r>
        <w:t xml:space="preserve">, </w:t>
      </w:r>
      <w:r>
        <w:fldChar w:fldCharType="begin"/>
      </w:r>
      <w:r>
        <w:instrText xml:space="preserve"> DocProperty FromSuffix </w:instrText>
      </w:r>
      <w:r>
        <w:fldChar w:fldCharType="separate"/>
      </w:r>
      <w:r>
        <w:t>04-e0-03</w:t>
      </w:r>
      <w:r>
        <w:fldChar w:fldCharType="end"/>
      </w:r>
      <w:r>
        <w:t>] and [</w:t>
      </w:r>
      <w:r>
        <w:fldChar w:fldCharType="begin"/>
      </w:r>
      <w:r>
        <w:instrText xml:space="preserve"> DocProperty ToAsAtDate</w:instrText>
      </w:r>
      <w:r>
        <w:fldChar w:fldCharType="separate"/>
      </w:r>
      <w:r>
        <w:t>06 Feb 2007</w:t>
      </w:r>
      <w:r>
        <w:fldChar w:fldCharType="end"/>
      </w:r>
      <w:r>
        <w:t xml:space="preserve">, </w:t>
      </w:r>
      <w:r>
        <w:fldChar w:fldCharType="begin"/>
      </w:r>
      <w:r>
        <w:instrText xml:space="preserve"> DocProperty ToSuffix</w:instrText>
      </w:r>
      <w:r>
        <w:fldChar w:fldCharType="separate"/>
      </w:r>
      <w:r>
        <w:t>04-f0-03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Real Estate and Business Agents Act 1978</w:t>
      </w:r>
    </w:p>
    <w:p>
      <w:pPr>
        <w:pStyle w:val="NameofActReg"/>
      </w:pPr>
      <w:r>
        <w:t>Real Estate and Business Agents (General) Regulations 1979</w:t>
      </w:r>
    </w:p>
    <w:p>
      <w:pPr>
        <w:pStyle w:val="Heading5"/>
        <w:rPr>
          <w:snapToGrid w:val="0"/>
        </w:rPr>
      </w:pPr>
      <w:bookmarkStart w:id="0" w:name="_Toc848593"/>
      <w:bookmarkStart w:id="1" w:name="_Toc3274242"/>
      <w:bookmarkStart w:id="2" w:name="_Toc3621791"/>
      <w:bookmarkStart w:id="3" w:name="_Toc93113960"/>
      <w:bookmarkStart w:id="4" w:name="_Toc158520389"/>
      <w:bookmarkStart w:id="5" w:name="_Toc151524250"/>
      <w:r>
        <w:rPr>
          <w:rStyle w:val="CharSectno"/>
        </w:rPr>
        <w:t>1</w:t>
      </w:r>
      <w:bookmarkStart w:id="6" w:name="_GoBack"/>
      <w:bookmarkEnd w:id="6"/>
      <w:r>
        <w:rPr>
          <w:snapToGrid w:val="0"/>
        </w:rPr>
        <w:t>.</w:t>
      </w:r>
      <w:r>
        <w:rPr>
          <w:snapToGrid w:val="0"/>
        </w:rPr>
        <w:tab/>
        <w:t>Citation</w:t>
      </w:r>
      <w:bookmarkEnd w:id="0"/>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Real Estate and Business Agents (General) Regulations 1979</w:t>
      </w:r>
      <w:r>
        <w:rPr>
          <w:snapToGrid w:val="0"/>
        </w:rPr>
        <w:t xml:space="preserve"> </w:t>
      </w:r>
      <w:r>
        <w:rPr>
          <w:snapToGrid w:val="0"/>
          <w:vertAlign w:val="superscript"/>
        </w:rPr>
        <w:t>1</w:t>
      </w:r>
      <w:r>
        <w:rPr>
          <w:snapToGrid w:val="0"/>
        </w:rPr>
        <w:t>.</w:t>
      </w:r>
    </w:p>
    <w:p>
      <w:pPr>
        <w:pStyle w:val="Heading5"/>
        <w:rPr>
          <w:snapToGrid w:val="0"/>
        </w:rPr>
      </w:pPr>
      <w:bookmarkStart w:id="7" w:name="_Toc848594"/>
      <w:bookmarkStart w:id="8" w:name="_Toc3274243"/>
      <w:bookmarkStart w:id="9" w:name="_Toc3621792"/>
      <w:bookmarkStart w:id="10" w:name="_Toc93113961"/>
      <w:bookmarkStart w:id="11" w:name="_Toc158520390"/>
      <w:bookmarkStart w:id="12" w:name="_Toc151524251"/>
      <w:r>
        <w:rPr>
          <w:rStyle w:val="CharSectno"/>
        </w:rPr>
        <w:t>2</w:t>
      </w:r>
      <w:r>
        <w:rPr>
          <w:snapToGrid w:val="0"/>
        </w:rPr>
        <w:t>.</w:t>
      </w:r>
      <w:r>
        <w:rPr>
          <w:snapToGrid w:val="0"/>
        </w:rPr>
        <w:tab/>
        <w:t>Interpretation</w:t>
      </w:r>
      <w:bookmarkEnd w:id="7"/>
      <w:bookmarkEnd w:id="8"/>
      <w:bookmarkEnd w:id="9"/>
      <w:bookmarkEnd w:id="10"/>
      <w:bookmarkEnd w:id="11"/>
      <w:bookmarkEnd w:id="12"/>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t>“</w:t>
      </w:r>
      <w:r>
        <w:rPr>
          <w:rStyle w:val="CharDefText"/>
        </w:rPr>
        <w:t>dwelling</w:t>
      </w:r>
      <w:r>
        <w:rPr>
          <w:b/>
        </w:rPr>
        <w:t>”</w:t>
      </w:r>
      <w:r>
        <w:t xml:space="preserve"> has the same meaning as it has in section 131L of the Act;</w:t>
      </w:r>
    </w:p>
    <w:p>
      <w:pPr>
        <w:pStyle w:val="Defstart"/>
      </w:pPr>
      <w:r>
        <w:rPr>
          <w:b/>
        </w:rPr>
        <w:tab/>
        <w:t>“</w:t>
      </w:r>
      <w:r>
        <w:rPr>
          <w:rStyle w:val="CharDefText"/>
        </w:rPr>
        <w:t>record</w:t>
      </w:r>
      <w:r>
        <w:rPr>
          <w:b/>
        </w:rPr>
        <w:t>”</w:t>
      </w:r>
      <w:r>
        <w:t xml:space="preserve"> means a record under section 69(1)(b) of the Act;</w:t>
      </w:r>
    </w:p>
    <w:p>
      <w:pPr>
        <w:pStyle w:val="Defstart"/>
      </w:pPr>
      <w:r>
        <w:rPr>
          <w:b/>
        </w:rPr>
        <w:tab/>
        <w:t>“</w:t>
      </w:r>
      <w:r>
        <w:rPr>
          <w:rStyle w:val="CharDefText"/>
        </w:rPr>
        <w:t>register</w:t>
      </w:r>
      <w:r>
        <w:rPr>
          <w:b/>
        </w:rPr>
        <w:t>”</w:t>
      </w:r>
      <w:r>
        <w:t xml:space="preserve"> means the register referred to in regulation 7(b);</w:t>
      </w:r>
    </w:p>
    <w:p>
      <w:pPr>
        <w:pStyle w:val="Defstart"/>
      </w:pPr>
      <w:r>
        <w:rPr>
          <w:b/>
        </w:rPr>
        <w:tab/>
        <w:t>“</w:t>
      </w:r>
      <w:r>
        <w:rPr>
          <w:rStyle w:val="CharDefText"/>
        </w:rPr>
        <w:t>registered training provider</w:t>
      </w:r>
      <w:r>
        <w:rPr>
          <w:b/>
        </w:rPr>
        <w:t>”</w:t>
      </w:r>
      <w:r>
        <w:t xml:space="preserve"> has the same meaning as in section 5(1) of the </w:t>
      </w:r>
      <w:r>
        <w:rPr>
          <w:i/>
        </w:rPr>
        <w:t>Vocational Education and Training Act 1996</w:t>
      </w:r>
      <w:r>
        <w:t>;</w:t>
      </w:r>
    </w:p>
    <w:p>
      <w:pPr>
        <w:pStyle w:val="Defstart"/>
      </w:pPr>
      <w:r>
        <w:rPr>
          <w:b/>
        </w:rPr>
        <w:tab/>
        <w:t>“</w:t>
      </w:r>
      <w:r>
        <w:rPr>
          <w:rStyle w:val="CharDefText"/>
        </w:rPr>
        <w:t>working day</w:t>
      </w:r>
      <w:r>
        <w:rPr>
          <w:b/>
        </w:rPr>
        <w:t>”</w:t>
      </w:r>
      <w:r>
        <w:t xml:space="preserve"> means a day that is not a Saturday, Sunday, public holiday or public service holiday.</w:t>
      </w:r>
    </w:p>
    <w:p>
      <w:pPr>
        <w:pStyle w:val="Footnotesection"/>
      </w:pPr>
      <w:r>
        <w:tab/>
        <w:t xml:space="preserve">[Regulation 2 inserted in Gazette 25 Jun 1996 p. 2918; amended in Gazette 7 Feb 2003 p. 385.] </w:t>
      </w:r>
    </w:p>
    <w:p>
      <w:pPr>
        <w:pStyle w:val="Heading5"/>
        <w:rPr>
          <w:snapToGrid w:val="0"/>
        </w:rPr>
      </w:pPr>
      <w:bookmarkStart w:id="13" w:name="_Toc848595"/>
      <w:bookmarkStart w:id="14" w:name="_Toc3274244"/>
      <w:bookmarkStart w:id="15" w:name="_Toc3621793"/>
      <w:bookmarkStart w:id="16" w:name="_Toc93113962"/>
      <w:bookmarkStart w:id="17" w:name="_Toc158520391"/>
      <w:bookmarkStart w:id="18" w:name="_Toc151524252"/>
      <w:r>
        <w:rPr>
          <w:rStyle w:val="CharSectno"/>
        </w:rPr>
        <w:t>3</w:t>
      </w:r>
      <w:r>
        <w:rPr>
          <w:snapToGrid w:val="0"/>
        </w:rPr>
        <w:t>.</w:t>
      </w:r>
      <w:r>
        <w:rPr>
          <w:snapToGrid w:val="0"/>
        </w:rPr>
        <w:tab/>
        <w:t>Common seal</w:t>
      </w:r>
      <w:bookmarkEnd w:id="13"/>
      <w:bookmarkEnd w:id="14"/>
      <w:bookmarkEnd w:id="15"/>
      <w:bookmarkEnd w:id="16"/>
      <w:bookmarkEnd w:id="17"/>
      <w:bookmarkEnd w:id="18"/>
      <w:r>
        <w:rPr>
          <w:snapToGrid w:val="0"/>
        </w:rPr>
        <w:t xml:space="preserve"> </w:t>
      </w:r>
    </w:p>
    <w:p>
      <w:pPr>
        <w:pStyle w:val="Subsection"/>
        <w:rPr>
          <w:snapToGrid w:val="0"/>
        </w:rPr>
      </w:pPr>
      <w:r>
        <w:rPr>
          <w:snapToGrid w:val="0"/>
        </w:rPr>
        <w:tab/>
        <w:t>(1)</w:t>
      </w:r>
      <w:r>
        <w:rPr>
          <w:snapToGrid w:val="0"/>
        </w:rPr>
        <w:tab/>
        <w:t>The common seal of the Board shall be in the form of a circular embossment inscribed with the passage “Real Estate and Business Agents Supervisory Board —Western Australia” around its circumference and the coat of arms of Western Australia in its centre.</w:t>
      </w:r>
    </w:p>
    <w:p>
      <w:pPr>
        <w:pStyle w:val="Subsection"/>
        <w:rPr>
          <w:snapToGrid w:val="0"/>
        </w:rPr>
      </w:pPr>
      <w:r>
        <w:rPr>
          <w:snapToGrid w:val="0"/>
        </w:rPr>
        <w:tab/>
        <w:t>(2)</w:t>
      </w:r>
      <w:r>
        <w:rPr>
          <w:snapToGrid w:val="0"/>
        </w:rPr>
        <w:tab/>
        <w:t>The common seal shall be kept in safe custody by the Registrar and shall not be applied to any document except pursuant to a resolution of the Board and upon the common seal being so applied the document shall be signed by the Chairman and either the Registrar or another officer nominated by the Board for that purpose.</w:t>
      </w:r>
    </w:p>
    <w:p>
      <w:pPr>
        <w:pStyle w:val="Subsection"/>
        <w:rPr>
          <w:snapToGrid w:val="0"/>
        </w:rPr>
      </w:pPr>
      <w:r>
        <w:rPr>
          <w:snapToGrid w:val="0"/>
        </w:rPr>
        <w:tab/>
        <w:t>(3)</w:t>
      </w:r>
      <w:r>
        <w:rPr>
          <w:snapToGrid w:val="0"/>
        </w:rPr>
        <w:tab/>
        <w:t>Every resolution to apply the common seal to a document shall be recorded in the minutes of the meetings of the Board.</w:t>
      </w:r>
    </w:p>
    <w:p>
      <w:pPr>
        <w:pStyle w:val="Heading5"/>
        <w:rPr>
          <w:snapToGrid w:val="0"/>
        </w:rPr>
      </w:pPr>
      <w:bookmarkStart w:id="19" w:name="_Toc848596"/>
      <w:bookmarkStart w:id="20" w:name="_Toc3274245"/>
      <w:bookmarkStart w:id="21" w:name="_Toc3621794"/>
      <w:bookmarkStart w:id="22" w:name="_Toc93113963"/>
      <w:bookmarkStart w:id="23" w:name="_Toc158520392"/>
      <w:bookmarkStart w:id="24" w:name="_Toc151524253"/>
      <w:r>
        <w:rPr>
          <w:rStyle w:val="CharSectno"/>
        </w:rPr>
        <w:t>4</w:t>
      </w:r>
      <w:r>
        <w:rPr>
          <w:snapToGrid w:val="0"/>
        </w:rPr>
        <w:t>.</w:t>
      </w:r>
      <w:r>
        <w:rPr>
          <w:snapToGrid w:val="0"/>
        </w:rPr>
        <w:tab/>
        <w:t>Fees</w:t>
      </w:r>
      <w:bookmarkEnd w:id="19"/>
      <w:bookmarkEnd w:id="20"/>
      <w:bookmarkEnd w:id="21"/>
      <w:bookmarkEnd w:id="22"/>
      <w:bookmarkEnd w:id="23"/>
      <w:bookmarkEnd w:id="24"/>
      <w:r>
        <w:rPr>
          <w:snapToGrid w:val="0"/>
        </w:rPr>
        <w:t xml:space="preserve"> </w:t>
      </w:r>
    </w:p>
    <w:p>
      <w:pPr>
        <w:pStyle w:val="Subsection"/>
        <w:rPr>
          <w:snapToGrid w:val="0"/>
        </w:rPr>
      </w:pPr>
      <w:r>
        <w:rPr>
          <w:snapToGrid w:val="0"/>
        </w:rPr>
        <w:tab/>
        <w:t>(1)</w:t>
      </w:r>
      <w:r>
        <w:rPr>
          <w:snapToGrid w:val="0"/>
        </w:rPr>
        <w:tab/>
        <w:t>The fees set out in Schedule 1 shall be payable in respect of the matters prescribed in that Schedule.</w:t>
      </w:r>
    </w:p>
    <w:p>
      <w:pPr>
        <w:pStyle w:val="Subsection"/>
        <w:rPr>
          <w:snapToGrid w:val="0"/>
        </w:rPr>
      </w:pPr>
      <w:r>
        <w:rPr>
          <w:snapToGrid w:val="0"/>
        </w:rPr>
        <w:tab/>
        <w:t>(2)</w:t>
      </w:r>
      <w:r>
        <w:rPr>
          <w:snapToGrid w:val="0"/>
        </w:rPr>
        <w:tab/>
        <w:t>If a certificate of registration is renewed in accordance with section 49 of the Act after the day on which the certificate expired, a late fee equal to one quarter of the fee specified in item 7 of Schedule 1 for the renewal of the certificate is payable in addition to that specified fee.</w:t>
      </w:r>
    </w:p>
    <w:p>
      <w:pPr>
        <w:pStyle w:val="Footnotesection"/>
      </w:pPr>
      <w:r>
        <w:tab/>
        <w:t xml:space="preserve">[Regulation 4 amended in Gazette 2 Jul 1982 p. 2334; 25 Jun 1996 p. 2924.] </w:t>
      </w:r>
    </w:p>
    <w:p>
      <w:pPr>
        <w:pStyle w:val="Heading5"/>
        <w:rPr>
          <w:snapToGrid w:val="0"/>
        </w:rPr>
      </w:pPr>
      <w:bookmarkStart w:id="25" w:name="_Toc848597"/>
      <w:bookmarkStart w:id="26" w:name="_Toc3274246"/>
      <w:bookmarkStart w:id="27" w:name="_Toc3621795"/>
      <w:bookmarkStart w:id="28" w:name="_Toc93113964"/>
      <w:bookmarkStart w:id="29" w:name="_Toc158520393"/>
      <w:bookmarkStart w:id="30" w:name="_Toc151524254"/>
      <w:r>
        <w:rPr>
          <w:rStyle w:val="CharSectno"/>
        </w:rPr>
        <w:t>4A</w:t>
      </w:r>
      <w:r>
        <w:rPr>
          <w:snapToGrid w:val="0"/>
        </w:rPr>
        <w:t>.</w:t>
      </w:r>
      <w:r>
        <w:rPr>
          <w:snapToGrid w:val="0"/>
        </w:rPr>
        <w:tab/>
        <w:t>Holding fee</w:t>
      </w:r>
      <w:bookmarkEnd w:id="25"/>
      <w:bookmarkEnd w:id="26"/>
      <w:bookmarkEnd w:id="27"/>
      <w:bookmarkEnd w:id="28"/>
      <w:bookmarkEnd w:id="29"/>
      <w:bookmarkEnd w:id="30"/>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holding fee</w:t>
      </w:r>
      <w:r>
        <w:rPr>
          <w:b/>
        </w:rPr>
        <w:t>”</w:t>
      </w:r>
      <w:r>
        <w:t xml:space="preserve"> means the fee set out in item 13 of Schedule 1 and referred to in section 30(2a)(b) of the Act.</w:t>
      </w:r>
    </w:p>
    <w:p>
      <w:pPr>
        <w:pStyle w:val="Subsection"/>
        <w:rPr>
          <w:snapToGrid w:val="0"/>
        </w:rPr>
      </w:pPr>
      <w:r>
        <w:rPr>
          <w:snapToGrid w:val="0"/>
        </w:rPr>
        <w:tab/>
        <w:t>(2)</w:t>
      </w:r>
      <w:r>
        <w:rPr>
          <w:snapToGrid w:val="0"/>
        </w:rPr>
        <w:tab/>
        <w:t>The holding fee is payable — </w:t>
      </w:r>
    </w:p>
    <w:p>
      <w:pPr>
        <w:pStyle w:val="Indenta"/>
        <w:rPr>
          <w:snapToGrid w:val="0"/>
        </w:rPr>
      </w:pPr>
      <w:r>
        <w:rPr>
          <w:snapToGrid w:val="0"/>
        </w:rPr>
        <w:tab/>
        <w:t>(a)</w:t>
      </w:r>
      <w:r>
        <w:rPr>
          <w:snapToGrid w:val="0"/>
        </w:rPr>
        <w:tab/>
        <w:t xml:space="preserve">in the case of a licensee who, on the coming into operation of Part 8 of the </w:t>
      </w:r>
      <w:r>
        <w:rPr>
          <w:i/>
          <w:snapToGrid w:val="0"/>
        </w:rPr>
        <w:t>Business Licensing Amendment Act 1995</w:t>
      </w:r>
      <w:r>
        <w:rPr>
          <w:snapToGrid w:val="0"/>
        </w:rPr>
        <w:t>, holds a licence but does not hold a triennial certificate in respect of the licence, within 60 days after the coming into operation of that Part, and triennially after that payment; or</w:t>
      </w:r>
    </w:p>
    <w:p>
      <w:pPr>
        <w:pStyle w:val="Indenta"/>
        <w:rPr>
          <w:snapToGrid w:val="0"/>
        </w:rPr>
      </w:pPr>
      <w:r>
        <w:rPr>
          <w:snapToGrid w:val="0"/>
        </w:rPr>
        <w:tab/>
        <w:t>(b)</w:t>
      </w:r>
      <w:r>
        <w:rPr>
          <w:snapToGrid w:val="0"/>
        </w:rPr>
        <w:tab/>
        <w:t>in any other case, within 60 days after a licensee ceases to hold a current triennial certificate in respect of the licence held by the licensee, and triennially after that payment.</w:t>
      </w:r>
    </w:p>
    <w:p>
      <w:pPr>
        <w:pStyle w:val="Subsection"/>
        <w:rPr>
          <w:snapToGrid w:val="0"/>
        </w:rPr>
      </w:pPr>
      <w:r>
        <w:rPr>
          <w:snapToGrid w:val="0"/>
        </w:rPr>
        <w:tab/>
        <w:t>(3)</w:t>
      </w:r>
      <w:r>
        <w:rPr>
          <w:snapToGrid w:val="0"/>
        </w:rPr>
        <w:tab/>
        <w:t>The Board may refund to a licensee — </w:t>
      </w:r>
    </w:p>
    <w:p>
      <w:pPr>
        <w:pStyle w:val="Indenta"/>
        <w:rPr>
          <w:snapToGrid w:val="0"/>
        </w:rPr>
      </w:pPr>
      <w:r>
        <w:rPr>
          <w:snapToGrid w:val="0"/>
        </w:rPr>
        <w:tab/>
        <w:t>(a)</w:t>
      </w:r>
      <w:r>
        <w:rPr>
          <w:snapToGrid w:val="0"/>
        </w:rPr>
        <w:tab/>
        <w:t>two</w:t>
      </w:r>
      <w:r>
        <w:rPr>
          <w:snapToGrid w:val="0"/>
        </w:rPr>
        <w:noBreakHyphen/>
        <w:t>thirds of the holding fee paid by the licensee if the licensee is granted a triennial certificate less than one year after paying the holding fee; or</w:t>
      </w:r>
    </w:p>
    <w:p>
      <w:pPr>
        <w:pStyle w:val="Indenta"/>
        <w:rPr>
          <w:snapToGrid w:val="0"/>
        </w:rPr>
      </w:pPr>
      <w:r>
        <w:rPr>
          <w:snapToGrid w:val="0"/>
        </w:rPr>
        <w:tab/>
        <w:t>(b)</w:t>
      </w:r>
      <w:r>
        <w:rPr>
          <w:snapToGrid w:val="0"/>
        </w:rPr>
        <w:tab/>
        <w:t>one</w:t>
      </w:r>
      <w:r>
        <w:rPr>
          <w:snapToGrid w:val="0"/>
        </w:rPr>
        <w:noBreakHyphen/>
        <w:t>third of the holding fee paid by the licensee if the licensee is granted a triennial certificate one year or more, but less than 2 years, after paying the holding fee.</w:t>
      </w:r>
    </w:p>
    <w:p>
      <w:pPr>
        <w:pStyle w:val="Footnotesection"/>
      </w:pPr>
      <w:r>
        <w:tab/>
        <w:t xml:space="preserve">[Regulation 4A inserted in Gazette 25 Jun 1996 p. 2924.] </w:t>
      </w:r>
    </w:p>
    <w:p>
      <w:pPr>
        <w:pStyle w:val="Heading5"/>
        <w:rPr>
          <w:ins w:id="31" w:author="Master Repository Process" w:date="2021-09-12T09:16:00Z"/>
        </w:rPr>
      </w:pPr>
      <w:bookmarkStart w:id="32" w:name="_Toc158520394"/>
      <w:bookmarkStart w:id="33" w:name="_Toc848598"/>
      <w:bookmarkStart w:id="34" w:name="_Toc3274247"/>
      <w:bookmarkStart w:id="35" w:name="_Toc3621796"/>
      <w:bookmarkStart w:id="36" w:name="_Toc93113965"/>
      <w:ins w:id="37" w:author="Master Repository Process" w:date="2021-09-12T09:16:00Z">
        <w:r>
          <w:rPr>
            <w:rStyle w:val="CharSectno"/>
          </w:rPr>
          <w:t>4AA</w:t>
        </w:r>
        <w:r>
          <w:t>.</w:t>
        </w:r>
        <w:r>
          <w:tab/>
          <w:t>Prescribed educational requirements for agents</w:t>
        </w:r>
        <w:bookmarkEnd w:id="32"/>
      </w:ins>
    </w:p>
    <w:p>
      <w:pPr>
        <w:pStyle w:val="Subsection"/>
        <w:rPr>
          <w:ins w:id="38" w:author="Master Repository Process" w:date="2021-09-12T09:16:00Z"/>
        </w:rPr>
      </w:pPr>
      <w:ins w:id="39" w:author="Master Repository Process" w:date="2021-09-12T09:16:00Z">
        <w:r>
          <w:tab/>
          <w:t>(1)</w:t>
        </w:r>
        <w:r>
          <w:tab/>
          <w:t xml:space="preserve">It is a prescribed educational requirement for the purposes of section 31(3)(b) of the Act that the licensee, or if the licensee is a body corporate, each person concerned in the management or conduct of the body corporate, has undertaken, during the preceding period — </w:t>
        </w:r>
      </w:ins>
    </w:p>
    <w:p>
      <w:pPr>
        <w:pStyle w:val="Indenta"/>
        <w:rPr>
          <w:ins w:id="40" w:author="Master Repository Process" w:date="2021-09-12T09:16:00Z"/>
        </w:rPr>
      </w:pPr>
      <w:ins w:id="41" w:author="Master Repository Process" w:date="2021-09-12T09:16:00Z">
        <w:r>
          <w:tab/>
          <w:t>(a)</w:t>
        </w:r>
        <w:r>
          <w:tab/>
          <w:t>an educational activity, approved under subregulation (3), for each of the subjects listed in Schedule 1A Division 1; and</w:t>
        </w:r>
      </w:ins>
    </w:p>
    <w:p>
      <w:pPr>
        <w:pStyle w:val="Indenta"/>
        <w:rPr>
          <w:ins w:id="42" w:author="Master Repository Process" w:date="2021-09-12T09:16:00Z"/>
        </w:rPr>
      </w:pPr>
      <w:ins w:id="43" w:author="Master Repository Process" w:date="2021-09-12T09:16:00Z">
        <w:r>
          <w:tab/>
          <w:t>(b)</w:t>
        </w:r>
        <w:r>
          <w:tab/>
          <w:t>an educational activity, approved under subregulation (3), for any of the subjects listed in Schedule 1A Division 2,</w:t>
        </w:r>
      </w:ins>
    </w:p>
    <w:p>
      <w:pPr>
        <w:pStyle w:val="Subsection"/>
        <w:rPr>
          <w:ins w:id="44" w:author="Master Repository Process" w:date="2021-09-12T09:16:00Z"/>
        </w:rPr>
      </w:pPr>
      <w:ins w:id="45" w:author="Master Repository Process" w:date="2021-09-12T09:16:00Z">
        <w:r>
          <w:tab/>
        </w:r>
        <w:r>
          <w:tab/>
          <w:t>so that the total value of the activities undertaken, calculated in accordance with subregulations (7) and (8), is 10 points or more.</w:t>
        </w:r>
      </w:ins>
    </w:p>
    <w:p>
      <w:pPr>
        <w:pStyle w:val="Subsection"/>
        <w:rPr>
          <w:ins w:id="46" w:author="Master Repository Process" w:date="2021-09-12T09:16:00Z"/>
        </w:rPr>
      </w:pPr>
      <w:ins w:id="47" w:author="Master Repository Process" w:date="2021-09-12T09:16:00Z">
        <w:r>
          <w:tab/>
          <w:t>(2)</w:t>
        </w:r>
        <w:r>
          <w:tab/>
          <w:t xml:space="preserve">In subregulation (1) — </w:t>
        </w:r>
      </w:ins>
    </w:p>
    <w:p>
      <w:pPr>
        <w:pStyle w:val="Defstart"/>
        <w:rPr>
          <w:ins w:id="48" w:author="Master Repository Process" w:date="2021-09-12T09:16:00Z"/>
        </w:rPr>
      </w:pPr>
      <w:ins w:id="49" w:author="Master Repository Process" w:date="2021-09-12T09:16:00Z">
        <w:r>
          <w:rPr>
            <w:b/>
          </w:rPr>
          <w:tab/>
          <w:t>“</w:t>
        </w:r>
        <w:r>
          <w:rPr>
            <w:rStyle w:val="CharDefText"/>
          </w:rPr>
          <w:t>preceding period</w:t>
        </w:r>
        <w:r>
          <w:rPr>
            <w:b/>
          </w:rPr>
          <w:t>”</w:t>
        </w:r>
        <w:r>
          <w:t xml:space="preserve"> means the 3 years preceding the day on which the triennial certificate for which the licensee is seeking renewal, expired or is due to expire.</w:t>
        </w:r>
      </w:ins>
    </w:p>
    <w:p>
      <w:pPr>
        <w:pStyle w:val="Subsection"/>
        <w:rPr>
          <w:ins w:id="50" w:author="Master Repository Process" w:date="2021-09-12T09:16:00Z"/>
        </w:rPr>
      </w:pPr>
      <w:ins w:id="51" w:author="Master Repository Process" w:date="2021-09-12T09:16:00Z">
        <w:r>
          <w:tab/>
          <w:t>(3)</w:t>
        </w:r>
        <w:r>
          <w:tab/>
          <w:t xml:space="preserve">For each subject listed in Schedule 1A Divisions 1 and 2, the Board is to approve one or more of the following educational activities as activities that may be undertaken for the purposes of subregulation (1) — </w:t>
        </w:r>
      </w:ins>
    </w:p>
    <w:p>
      <w:pPr>
        <w:pStyle w:val="Indenta"/>
        <w:rPr>
          <w:ins w:id="52" w:author="Master Repository Process" w:date="2021-09-12T09:16:00Z"/>
        </w:rPr>
      </w:pPr>
      <w:ins w:id="53" w:author="Master Repository Process" w:date="2021-09-12T09:16:00Z">
        <w:r>
          <w:tab/>
          <w:t>(a)</w:t>
        </w:r>
        <w:r>
          <w:tab/>
          <w:t>attendance, including by means of audiolink or videolink, at a training course provided by a specified body or person and successful completion of any assessment requirements for that course;</w:t>
        </w:r>
      </w:ins>
    </w:p>
    <w:p>
      <w:pPr>
        <w:pStyle w:val="Indenta"/>
        <w:rPr>
          <w:ins w:id="54" w:author="Master Repository Process" w:date="2021-09-12T09:16:00Z"/>
        </w:rPr>
      </w:pPr>
      <w:ins w:id="55" w:author="Master Repository Process" w:date="2021-09-12T09:16:00Z">
        <w:r>
          <w:tab/>
          <w:t>(b)</w:t>
        </w:r>
        <w:r>
          <w:tab/>
          <w:t>attendance, including by means of audiolink or videolink, at a seminar presented by a specified body or person;</w:t>
        </w:r>
      </w:ins>
    </w:p>
    <w:p>
      <w:pPr>
        <w:pStyle w:val="Indenta"/>
        <w:rPr>
          <w:ins w:id="56" w:author="Master Repository Process" w:date="2021-09-12T09:16:00Z"/>
        </w:rPr>
      </w:pPr>
      <w:ins w:id="57" w:author="Master Repository Process" w:date="2021-09-12T09:16:00Z">
        <w:r>
          <w:tab/>
          <w:t>(c)</w:t>
        </w:r>
        <w:r>
          <w:tab/>
          <w:t>viewing of a specified recording;</w:t>
        </w:r>
      </w:ins>
    </w:p>
    <w:p>
      <w:pPr>
        <w:pStyle w:val="Indenta"/>
        <w:rPr>
          <w:ins w:id="58" w:author="Master Repository Process" w:date="2021-09-12T09:16:00Z"/>
        </w:rPr>
      </w:pPr>
      <w:ins w:id="59" w:author="Master Repository Process" w:date="2021-09-12T09:16:00Z">
        <w:r>
          <w:tab/>
          <w:t>(d)</w:t>
        </w:r>
        <w:r>
          <w:tab/>
          <w:t>participation in a specified course of study, or a specified component of a course of study, and successful completion of any assessment requirements for that course or component.</w:t>
        </w:r>
      </w:ins>
    </w:p>
    <w:p>
      <w:pPr>
        <w:pStyle w:val="Subsection"/>
        <w:rPr>
          <w:ins w:id="60" w:author="Master Repository Process" w:date="2021-09-12T09:16:00Z"/>
        </w:rPr>
      </w:pPr>
      <w:ins w:id="61" w:author="Master Repository Process" w:date="2021-09-12T09:16:00Z">
        <w:r>
          <w:tab/>
          <w:t>(4)</w:t>
        </w:r>
        <w:r>
          <w:tab/>
          <w:t xml:space="preserve">In subregulation (3) — </w:t>
        </w:r>
      </w:ins>
    </w:p>
    <w:p>
      <w:pPr>
        <w:pStyle w:val="Defstart"/>
        <w:rPr>
          <w:ins w:id="62" w:author="Master Repository Process" w:date="2021-09-12T09:16:00Z"/>
        </w:rPr>
      </w:pPr>
      <w:ins w:id="63" w:author="Master Repository Process" w:date="2021-09-12T09:16:00Z">
        <w:r>
          <w:rPr>
            <w:b/>
          </w:rPr>
          <w:tab/>
          <w:t>“</w:t>
        </w:r>
        <w:r>
          <w:rPr>
            <w:rStyle w:val="CharDefText"/>
          </w:rPr>
          <w:t>specified</w:t>
        </w:r>
        <w:r>
          <w:rPr>
            <w:b/>
          </w:rPr>
          <w:t>”</w:t>
        </w:r>
        <w:r>
          <w:t xml:space="preserve"> means specified by the Board in the notice published under subregulation (5).</w:t>
        </w:r>
      </w:ins>
    </w:p>
    <w:p>
      <w:pPr>
        <w:pStyle w:val="Subsection"/>
        <w:rPr>
          <w:ins w:id="64" w:author="Master Repository Process" w:date="2021-09-12T09:16:00Z"/>
        </w:rPr>
      </w:pPr>
      <w:ins w:id="65" w:author="Master Repository Process" w:date="2021-09-12T09:16:00Z">
        <w:r>
          <w:tab/>
          <w:t>(5)</w:t>
        </w:r>
        <w:r>
          <w:tab/>
          <w:t>The Board is to publish notice of an approval under subregulation (3) on its website.</w:t>
        </w:r>
      </w:ins>
    </w:p>
    <w:p>
      <w:pPr>
        <w:pStyle w:val="Subsection"/>
        <w:rPr>
          <w:ins w:id="66" w:author="Master Repository Process" w:date="2021-09-12T09:16:00Z"/>
        </w:rPr>
      </w:pPr>
      <w:ins w:id="67" w:author="Master Repository Process" w:date="2021-09-12T09:16:00Z">
        <w:r>
          <w:tab/>
          <w:t>(6)</w:t>
        </w:r>
        <w:r>
          <w:tab/>
          <w:t>An approval under subregulation (3) may apply in relation to all licensees or to any class of licensees.</w:t>
        </w:r>
      </w:ins>
    </w:p>
    <w:p>
      <w:pPr>
        <w:pStyle w:val="Subsection"/>
        <w:rPr>
          <w:ins w:id="68" w:author="Master Repository Process" w:date="2021-09-12T09:16:00Z"/>
        </w:rPr>
      </w:pPr>
      <w:ins w:id="69" w:author="Master Repository Process" w:date="2021-09-12T09:16:00Z">
        <w:r>
          <w:tab/>
          <w:t>(7)</w:t>
        </w:r>
        <w:r>
          <w:tab/>
          <w:t xml:space="preserve">The value of an educational activity is measured in points and points accrue at the rate of — </w:t>
        </w:r>
      </w:ins>
    </w:p>
    <w:p>
      <w:pPr>
        <w:pStyle w:val="Indenta"/>
        <w:rPr>
          <w:ins w:id="70" w:author="Master Repository Process" w:date="2021-09-12T09:16:00Z"/>
        </w:rPr>
      </w:pPr>
      <w:ins w:id="71" w:author="Master Repository Process" w:date="2021-09-12T09:16:00Z">
        <w:r>
          <w:tab/>
          <w:t>(a)</w:t>
        </w:r>
        <w:r>
          <w:tab/>
          <w:t>0.5 points per half hour spent engaged in an activity of a kind referred to in subregulation (3)(a) or (b); and</w:t>
        </w:r>
      </w:ins>
    </w:p>
    <w:p>
      <w:pPr>
        <w:pStyle w:val="Indenta"/>
        <w:rPr>
          <w:ins w:id="72" w:author="Master Repository Process" w:date="2021-09-12T09:16:00Z"/>
        </w:rPr>
      </w:pPr>
      <w:ins w:id="73" w:author="Master Repository Process" w:date="2021-09-12T09:16:00Z">
        <w:r>
          <w:tab/>
          <w:t>(b)</w:t>
        </w:r>
        <w:r>
          <w:tab/>
          <w:t>0.5 points per hour spent engaged in an activity of a kind referred to in subregulation (3)(c) or (d).</w:t>
        </w:r>
      </w:ins>
    </w:p>
    <w:p>
      <w:pPr>
        <w:pStyle w:val="Subsection"/>
        <w:rPr>
          <w:ins w:id="74" w:author="Master Repository Process" w:date="2021-09-12T09:16:00Z"/>
        </w:rPr>
      </w:pPr>
      <w:ins w:id="75" w:author="Master Repository Process" w:date="2021-09-12T09:16:00Z">
        <w:r>
          <w:tab/>
          <w:t>(8)</w:t>
        </w:r>
        <w:r>
          <w:tab/>
          <w:t xml:space="preserve">The maximum number of points that a person can accrue in a year by undertaking educational activities of a kind referred to in subregulation (3)(c) or (d) is — </w:t>
        </w:r>
      </w:ins>
    </w:p>
    <w:p>
      <w:pPr>
        <w:pStyle w:val="Indenta"/>
        <w:rPr>
          <w:ins w:id="76" w:author="Master Repository Process" w:date="2021-09-12T09:16:00Z"/>
        </w:rPr>
      </w:pPr>
      <w:ins w:id="77" w:author="Master Repository Process" w:date="2021-09-12T09:16:00Z">
        <w:r>
          <w:tab/>
          <w:t>(a)</w:t>
        </w:r>
        <w:r>
          <w:tab/>
          <w:t>6 points if the person’s principal place of business is more than 100 km from Perth, Kalgoorlie, Geraldton, Albany, Bunbury and Busselton; or</w:t>
        </w:r>
      </w:ins>
    </w:p>
    <w:p>
      <w:pPr>
        <w:pStyle w:val="Indenta"/>
        <w:rPr>
          <w:ins w:id="78" w:author="Master Repository Process" w:date="2021-09-12T09:16:00Z"/>
        </w:rPr>
      </w:pPr>
      <w:ins w:id="79" w:author="Master Repository Process" w:date="2021-09-12T09:16:00Z">
        <w:r>
          <w:tab/>
          <w:t>(b)</w:t>
        </w:r>
        <w:r>
          <w:tab/>
          <w:t>3 points in any other case.</w:t>
        </w:r>
      </w:ins>
    </w:p>
    <w:p>
      <w:pPr>
        <w:pStyle w:val="Footnotesection"/>
        <w:rPr>
          <w:ins w:id="80" w:author="Master Repository Process" w:date="2021-09-12T09:16:00Z"/>
        </w:rPr>
      </w:pPr>
      <w:ins w:id="81" w:author="Master Repository Process" w:date="2021-09-12T09:16:00Z">
        <w:r>
          <w:tab/>
          <w:t>[Regulation 4AA inserted in Gazette 6 Feb 2007 p. 307-9.]</w:t>
        </w:r>
      </w:ins>
    </w:p>
    <w:p>
      <w:pPr>
        <w:pStyle w:val="Heading5"/>
        <w:rPr>
          <w:snapToGrid w:val="0"/>
        </w:rPr>
      </w:pPr>
      <w:bookmarkStart w:id="82" w:name="_Toc158520395"/>
      <w:bookmarkStart w:id="83" w:name="_Toc151524255"/>
      <w:r>
        <w:rPr>
          <w:rStyle w:val="CharSectno"/>
        </w:rPr>
        <w:t>4B</w:t>
      </w:r>
      <w:r>
        <w:rPr>
          <w:snapToGrid w:val="0"/>
        </w:rPr>
        <w:t>.</w:t>
      </w:r>
      <w:r>
        <w:rPr>
          <w:snapToGrid w:val="0"/>
        </w:rPr>
        <w:tab/>
        <w:t>Prescribed periods</w:t>
      </w:r>
      <w:bookmarkEnd w:id="33"/>
      <w:bookmarkEnd w:id="34"/>
      <w:bookmarkEnd w:id="35"/>
      <w:bookmarkEnd w:id="36"/>
      <w:bookmarkEnd w:id="82"/>
      <w:bookmarkEnd w:id="83"/>
      <w:r>
        <w:rPr>
          <w:snapToGrid w:val="0"/>
        </w:rPr>
        <w:t xml:space="preserve"> </w:t>
      </w:r>
    </w:p>
    <w:p>
      <w:pPr>
        <w:pStyle w:val="Subsection"/>
        <w:rPr>
          <w:snapToGrid w:val="0"/>
        </w:rPr>
      </w:pPr>
      <w:r>
        <w:rPr>
          <w:snapToGrid w:val="0"/>
        </w:rPr>
        <w:tab/>
        <w:t>(1)</w:t>
      </w:r>
      <w:r>
        <w:rPr>
          <w:snapToGrid w:val="0"/>
        </w:rPr>
        <w:tab/>
        <w:t>For the purposes of section 48(1) and (2) of the Act, the prescribed period is 3 years.</w:t>
      </w:r>
    </w:p>
    <w:p>
      <w:pPr>
        <w:pStyle w:val="Subsection"/>
        <w:rPr>
          <w:snapToGrid w:val="0"/>
        </w:rPr>
      </w:pPr>
      <w:r>
        <w:rPr>
          <w:snapToGrid w:val="0"/>
        </w:rPr>
        <w:tab/>
        <w:t>(2)</w:t>
      </w:r>
      <w:r>
        <w:rPr>
          <w:snapToGrid w:val="0"/>
        </w:rPr>
        <w:tab/>
        <w:t>For the purposes of section 49(2) of the Act, the prescribed period is 3 years.</w:t>
      </w:r>
    </w:p>
    <w:p>
      <w:pPr>
        <w:pStyle w:val="Footnotesection"/>
      </w:pPr>
      <w:r>
        <w:tab/>
        <w:t xml:space="preserve">[Regulation 4B inserted in Gazette 25 Jun 1996 p. 2924.] </w:t>
      </w:r>
    </w:p>
    <w:p>
      <w:pPr>
        <w:pStyle w:val="Heading5"/>
        <w:rPr>
          <w:snapToGrid w:val="0"/>
        </w:rPr>
      </w:pPr>
      <w:bookmarkStart w:id="84" w:name="_Toc848599"/>
      <w:bookmarkStart w:id="85" w:name="_Toc3274248"/>
      <w:bookmarkStart w:id="86" w:name="_Toc3621797"/>
      <w:bookmarkStart w:id="87" w:name="_Toc93113966"/>
      <w:bookmarkStart w:id="88" w:name="_Toc158520396"/>
      <w:bookmarkStart w:id="89" w:name="_Toc151524256"/>
      <w:r>
        <w:rPr>
          <w:rStyle w:val="CharSectno"/>
        </w:rPr>
        <w:t>5</w:t>
      </w:r>
      <w:r>
        <w:rPr>
          <w:snapToGrid w:val="0"/>
        </w:rPr>
        <w:t>.</w:t>
      </w:r>
      <w:r>
        <w:rPr>
          <w:snapToGrid w:val="0"/>
        </w:rPr>
        <w:tab/>
        <w:t xml:space="preserve">Notice of application for </w:t>
      </w:r>
      <w:bookmarkEnd w:id="84"/>
      <w:r>
        <w:rPr>
          <w:snapToGrid w:val="0"/>
        </w:rPr>
        <w:t>licence</w:t>
      </w:r>
      <w:bookmarkEnd w:id="85"/>
      <w:bookmarkEnd w:id="86"/>
      <w:bookmarkEnd w:id="87"/>
      <w:bookmarkEnd w:id="88"/>
      <w:bookmarkEnd w:id="89"/>
      <w:r>
        <w:rPr>
          <w:snapToGrid w:val="0"/>
        </w:rPr>
        <w:t xml:space="preserve"> </w:t>
      </w:r>
    </w:p>
    <w:p>
      <w:pPr>
        <w:pStyle w:val="Subsection"/>
        <w:rPr>
          <w:snapToGrid w:val="0"/>
        </w:rPr>
      </w:pPr>
      <w:r>
        <w:rPr>
          <w:snapToGrid w:val="0"/>
        </w:rPr>
        <w:tab/>
        <w:t>(1)</w:t>
      </w:r>
      <w:r>
        <w:rPr>
          <w:snapToGrid w:val="0"/>
        </w:rPr>
        <w:tab/>
        <w:t>Notice of an application for the grant of a licence to be advertised pursuant to section 24(2) of the Act — </w:t>
      </w:r>
    </w:p>
    <w:p>
      <w:pPr>
        <w:pStyle w:val="Indenta"/>
        <w:rPr>
          <w:snapToGrid w:val="0"/>
        </w:rPr>
      </w:pPr>
      <w:r>
        <w:rPr>
          <w:snapToGrid w:val="0"/>
        </w:rPr>
        <w:tab/>
        <w:t>(a)</w:t>
      </w:r>
      <w:r>
        <w:rPr>
          <w:snapToGrid w:val="0"/>
        </w:rPr>
        <w:tab/>
        <w:t>shall be in a form approved by the Board; and</w:t>
      </w:r>
    </w:p>
    <w:p>
      <w:pPr>
        <w:pStyle w:val="Indenta"/>
        <w:rPr>
          <w:snapToGrid w:val="0"/>
        </w:rPr>
      </w:pPr>
      <w:r>
        <w:rPr>
          <w:snapToGrid w:val="0"/>
        </w:rPr>
        <w:tab/>
        <w:t>(b)</w:t>
      </w:r>
      <w:r>
        <w:rPr>
          <w:snapToGrid w:val="0"/>
        </w:rPr>
        <w:tab/>
        <w:t>shall be published by the Board in an issue of the newspaper known as “The West Australian” on a Saturday not less than 14 days before the day fixed for the hearing of the application.</w:t>
      </w:r>
    </w:p>
    <w:p>
      <w:pPr>
        <w:pStyle w:val="Ednotesubsection"/>
      </w:pPr>
      <w:r>
        <w:tab/>
        <w:t>[(2)</w:t>
      </w:r>
      <w:r>
        <w:tab/>
        <w:t xml:space="preserve">deleted] </w:t>
      </w:r>
    </w:p>
    <w:p>
      <w:pPr>
        <w:pStyle w:val="Footnotesection"/>
      </w:pPr>
      <w:r>
        <w:tab/>
        <w:t xml:space="preserve">[Regulation 5 amended in Gazette 26 Oct 1990 p. 5370.] </w:t>
      </w:r>
    </w:p>
    <w:p>
      <w:pPr>
        <w:pStyle w:val="Heading5"/>
      </w:pPr>
      <w:bookmarkStart w:id="90" w:name="_Toc93113967"/>
      <w:bookmarkStart w:id="91" w:name="_Toc158520397"/>
      <w:bookmarkStart w:id="92" w:name="_Toc151524257"/>
      <w:bookmarkStart w:id="93" w:name="_Toc848601"/>
      <w:bookmarkStart w:id="94" w:name="_Toc3274250"/>
      <w:bookmarkStart w:id="95" w:name="_Toc3621799"/>
      <w:r>
        <w:rPr>
          <w:rStyle w:val="CharSectno"/>
        </w:rPr>
        <w:t>6</w:t>
      </w:r>
      <w:r>
        <w:t>.</w:t>
      </w:r>
      <w:r>
        <w:tab/>
        <w:t>Prescribed examinations</w:t>
      </w:r>
      <w:bookmarkEnd w:id="90"/>
      <w:bookmarkEnd w:id="91"/>
      <w:bookmarkEnd w:id="92"/>
    </w:p>
    <w:p>
      <w:pPr>
        <w:pStyle w:val="Subsection"/>
      </w:pPr>
      <w:r>
        <w:tab/>
        <w:t>(1)</w:t>
      </w:r>
      <w:r>
        <w:tab/>
        <w:t xml:space="preserve">The prescribed examinations for the purposes of clause 1(a) of the Schedule to the Act are — </w:t>
      </w:r>
    </w:p>
    <w:p>
      <w:pPr>
        <w:pStyle w:val="Indenta"/>
      </w:pPr>
      <w:r>
        <w:tab/>
        <w:t>(a)</w:t>
      </w:r>
      <w:r>
        <w:tab/>
        <w:t xml:space="preserve">the examinations which are required by a registered training provider to be passed for a Diploma of Property (Real Estate), together with the examinations conducted by a registered training provider in the following courses — </w:t>
      </w:r>
    </w:p>
    <w:p>
      <w:pPr>
        <w:pStyle w:val="Indenti"/>
      </w:pPr>
      <w:r>
        <w:tab/>
        <w:t>(i)</w:t>
      </w:r>
      <w:r>
        <w:tab/>
        <w:t>Unit 15826 — Rural Sales;</w:t>
      </w:r>
    </w:p>
    <w:p>
      <w:pPr>
        <w:pStyle w:val="Indenti"/>
      </w:pPr>
      <w:r>
        <w:tab/>
        <w:t>(ii)</w:t>
      </w:r>
      <w:r>
        <w:tab/>
        <w:t>Unit 15825 — Selling Businesses; and</w:t>
      </w:r>
    </w:p>
    <w:p>
      <w:pPr>
        <w:pStyle w:val="Indenti"/>
      </w:pPr>
      <w:r>
        <w:tab/>
        <w:t>(iii)</w:t>
      </w:r>
      <w:r>
        <w:tab/>
        <w:t xml:space="preserve">Unit 15892 — Real Estate Law; </w:t>
      </w:r>
    </w:p>
    <w:p>
      <w:pPr>
        <w:pStyle w:val="Indenta"/>
      </w:pPr>
      <w:r>
        <w:tab/>
      </w:r>
      <w:r>
        <w:tab/>
        <w:t>or</w:t>
      </w:r>
    </w:p>
    <w:p>
      <w:pPr>
        <w:pStyle w:val="Indenta"/>
      </w:pPr>
      <w:r>
        <w:tab/>
        <w:t>(b)</w:t>
      </w:r>
      <w:r>
        <w:tab/>
        <w:t>the examinations required to be passed for the conferring of a Bachelor of Commerce (Property and Marketing) or a Bachelor of Commerce (Property) by the Curtin University of Technology.</w:t>
      </w:r>
    </w:p>
    <w:p>
      <w:pPr>
        <w:pStyle w:val="Subsection"/>
      </w:pPr>
      <w:r>
        <w:tab/>
        <w:t>(2)</w:t>
      </w:r>
      <w:r>
        <w:tab/>
        <w:t xml:space="preserve">In respect of a person who was a licensee and ceased to be licensed due to section 30(2a) of the Act the prescribed examinations for the purposes of clause 1(a) of the Schedule also include the examinations which were prescribed under regulation 6 of these regulations immediately before the commencement of the </w:t>
      </w:r>
      <w:r>
        <w:rPr>
          <w:i/>
        </w:rPr>
        <w:t>Real Estate and Business Agents (General) Amendment Regulations 2003</w:t>
      </w:r>
      <w:r>
        <w:t>.</w:t>
      </w:r>
    </w:p>
    <w:p>
      <w:pPr>
        <w:pStyle w:val="Footnotesection"/>
      </w:pPr>
      <w:r>
        <w:tab/>
        <w:t>[Regulation 6 inserted in Gazette 7 Feb 2003 p. 385; amended in Gazette 13 Jan 2004 p. 145.]</w:t>
      </w:r>
    </w:p>
    <w:p>
      <w:pPr>
        <w:pStyle w:val="Heading5"/>
      </w:pPr>
      <w:bookmarkStart w:id="96" w:name="_Toc93113968"/>
      <w:bookmarkStart w:id="97" w:name="_Toc158520398"/>
      <w:bookmarkStart w:id="98" w:name="_Toc151524258"/>
      <w:bookmarkStart w:id="99" w:name="_Toc848602"/>
      <w:bookmarkStart w:id="100" w:name="_Toc3274251"/>
      <w:bookmarkStart w:id="101" w:name="_Toc3621800"/>
      <w:bookmarkEnd w:id="93"/>
      <w:bookmarkEnd w:id="94"/>
      <w:bookmarkEnd w:id="95"/>
      <w:r>
        <w:rPr>
          <w:rStyle w:val="CharSectno"/>
        </w:rPr>
        <w:t>6A</w:t>
      </w:r>
      <w:r>
        <w:t>.</w:t>
      </w:r>
      <w:r>
        <w:tab/>
        <w:t>Prescribed qualifications for sales representatives</w:t>
      </w:r>
      <w:bookmarkEnd w:id="96"/>
      <w:bookmarkEnd w:id="97"/>
      <w:bookmarkEnd w:id="98"/>
    </w:p>
    <w:p>
      <w:pPr>
        <w:pStyle w:val="Subsection"/>
      </w:pPr>
      <w:r>
        <w:tab/>
      </w:r>
      <w:r>
        <w:tab/>
        <w:t xml:space="preserve">The prescribed qualifications for the purposes of section 47(2) of the Act are the successful completion of — </w:t>
      </w:r>
    </w:p>
    <w:p>
      <w:pPr>
        <w:pStyle w:val="Indenta"/>
      </w:pPr>
      <w:r>
        <w:tab/>
        <w:t>(a)</w:t>
      </w:r>
      <w:r>
        <w:tab/>
        <w:t>the TAFE Sales Representatives Registration Course provided by a registered training provider;</w:t>
      </w:r>
    </w:p>
    <w:p>
      <w:pPr>
        <w:pStyle w:val="Indenta"/>
      </w:pPr>
      <w:r>
        <w:tab/>
        <w:t>(b)</w:t>
      </w:r>
      <w:r>
        <w:tab/>
        <w:t>the REIWA Sales Representatives Registration Course provided by the Real Estate Institute of Western Australia Incorporated; or</w:t>
      </w:r>
    </w:p>
    <w:p>
      <w:pPr>
        <w:pStyle w:val="Indenta"/>
      </w:pPr>
      <w:r>
        <w:tab/>
        <w:t>(c)</w:t>
      </w:r>
      <w:r>
        <w:tab/>
        <w:t xml:space="preserve">both — </w:t>
      </w:r>
    </w:p>
    <w:p>
      <w:pPr>
        <w:pStyle w:val="Indenti"/>
      </w:pPr>
      <w:r>
        <w:tab/>
        <w:t>(i)</w:t>
      </w:r>
      <w:r>
        <w:tab/>
        <w:t>Real Estate Business 305; and</w:t>
      </w:r>
    </w:p>
    <w:p>
      <w:pPr>
        <w:pStyle w:val="Indenti"/>
      </w:pPr>
      <w:r>
        <w:tab/>
        <w:t>(ii)</w:t>
      </w:r>
      <w:r>
        <w:tab/>
        <w:t>Property Management 330,</w:t>
      </w:r>
    </w:p>
    <w:p>
      <w:pPr>
        <w:pStyle w:val="Indenta"/>
      </w:pPr>
      <w:r>
        <w:tab/>
      </w:r>
      <w:r>
        <w:tab/>
        <w:t>provided by the Curtin University of Technology.</w:t>
      </w:r>
    </w:p>
    <w:p>
      <w:pPr>
        <w:pStyle w:val="Footnotesection"/>
      </w:pPr>
      <w:r>
        <w:tab/>
        <w:t>[Regulation 6A inserted in Gazette 7 Feb 2003 p. 386.]</w:t>
      </w:r>
    </w:p>
    <w:p>
      <w:pPr>
        <w:pStyle w:val="Heading5"/>
        <w:rPr>
          <w:snapToGrid w:val="0"/>
        </w:rPr>
      </w:pPr>
      <w:bookmarkStart w:id="102" w:name="_Toc93113969"/>
      <w:bookmarkStart w:id="103" w:name="_Toc158520399"/>
      <w:bookmarkStart w:id="104" w:name="_Toc151524259"/>
      <w:r>
        <w:rPr>
          <w:rStyle w:val="CharSectno"/>
        </w:rPr>
        <w:t>6B</w:t>
      </w:r>
      <w:r>
        <w:rPr>
          <w:snapToGrid w:val="0"/>
        </w:rPr>
        <w:t>.</w:t>
      </w:r>
      <w:r>
        <w:rPr>
          <w:snapToGrid w:val="0"/>
        </w:rPr>
        <w:tab/>
        <w:t>Grant of certificate of registration</w:t>
      </w:r>
      <w:bookmarkEnd w:id="99"/>
      <w:bookmarkEnd w:id="100"/>
      <w:bookmarkEnd w:id="101"/>
      <w:bookmarkEnd w:id="102"/>
      <w:bookmarkEnd w:id="103"/>
      <w:bookmarkEnd w:id="104"/>
      <w:r>
        <w:rPr>
          <w:snapToGrid w:val="0"/>
        </w:rPr>
        <w:t xml:space="preserve"> </w:t>
      </w:r>
    </w:p>
    <w:p>
      <w:pPr>
        <w:pStyle w:val="Subsection"/>
        <w:rPr>
          <w:snapToGrid w:val="0"/>
        </w:rPr>
      </w:pPr>
      <w:r>
        <w:rPr>
          <w:snapToGrid w:val="0"/>
        </w:rPr>
        <w:tab/>
      </w:r>
      <w:r>
        <w:rPr>
          <w:snapToGrid w:val="0"/>
        </w:rPr>
        <w:tab/>
        <w:t>The Board or the Registrar may grant a certificate of registration under section 47 of the Act to an applicant — </w:t>
      </w:r>
    </w:p>
    <w:p>
      <w:pPr>
        <w:pStyle w:val="Indenta"/>
      </w:pPr>
      <w:r>
        <w:tab/>
        <w:t>(a)</w:t>
      </w:r>
      <w:r>
        <w:tab/>
        <w:t>who applies within one year of successfully completing a qualification prescribed in regulation 6A;</w:t>
      </w:r>
    </w:p>
    <w:p>
      <w:pPr>
        <w:pStyle w:val="Indenta"/>
        <w:rPr>
          <w:snapToGrid w:val="0"/>
        </w:rPr>
      </w:pPr>
      <w:r>
        <w:rPr>
          <w:snapToGrid w:val="0"/>
        </w:rPr>
        <w:tab/>
        <w:t>(b)</w:t>
      </w:r>
      <w:r>
        <w:rPr>
          <w:snapToGrid w:val="0"/>
        </w:rPr>
        <w:tab/>
        <w:t xml:space="preserve">who has held a certificate of registration for at least 3 of the 5 years immediately preceding </w:t>
      </w:r>
      <w:r>
        <w:t>the making of the</w:t>
      </w:r>
      <w:r>
        <w:rPr>
          <w:snapToGrid w:val="0"/>
        </w:rPr>
        <w:t xml:space="preserve"> application; or</w:t>
      </w:r>
    </w:p>
    <w:p>
      <w:pPr>
        <w:pStyle w:val="Indenta"/>
        <w:keepNext/>
        <w:rPr>
          <w:snapToGrid w:val="0"/>
        </w:rPr>
      </w:pPr>
      <w:r>
        <w:rPr>
          <w:snapToGrid w:val="0"/>
        </w:rPr>
        <w:tab/>
        <w:t>(c)</w:t>
      </w:r>
      <w:r>
        <w:rPr>
          <w:snapToGrid w:val="0"/>
        </w:rPr>
        <w:tab/>
        <w:t xml:space="preserve">who complies with </w:t>
      </w:r>
      <w:r>
        <w:t>regulation 6(1)(a) or (b).</w:t>
      </w:r>
    </w:p>
    <w:p>
      <w:pPr>
        <w:pStyle w:val="Footnotesection"/>
      </w:pPr>
      <w:r>
        <w:tab/>
        <w:t xml:space="preserve">[Regulation 6B inserted in Gazette 8 May 1987 p. 2103; amended in Gazette 30 Oct 1987 p. 4047; 12 Aug 1988 p. 2770; 7 Feb 2003 p. 386-7; 30 Dec 2004 p. 6924; 17 Nov 2006 p. 4760.] </w:t>
      </w:r>
    </w:p>
    <w:p>
      <w:pPr>
        <w:pStyle w:val="Heading5"/>
        <w:rPr>
          <w:snapToGrid w:val="0"/>
        </w:rPr>
      </w:pPr>
      <w:bookmarkStart w:id="105" w:name="_Toc848603"/>
      <w:bookmarkStart w:id="106" w:name="_Toc3274252"/>
      <w:bookmarkStart w:id="107" w:name="_Toc3621801"/>
      <w:bookmarkStart w:id="108" w:name="_Toc93113970"/>
      <w:bookmarkStart w:id="109" w:name="_Toc158520400"/>
      <w:bookmarkStart w:id="110" w:name="_Toc151524260"/>
      <w:r>
        <w:rPr>
          <w:rStyle w:val="CharSectno"/>
        </w:rPr>
        <w:t>6BA</w:t>
      </w:r>
      <w:r>
        <w:rPr>
          <w:snapToGrid w:val="0"/>
        </w:rPr>
        <w:t>.</w:t>
      </w:r>
      <w:r>
        <w:rPr>
          <w:snapToGrid w:val="0"/>
        </w:rPr>
        <w:tab/>
        <w:t>Requirements for appointment to act as an agent</w:t>
      </w:r>
      <w:bookmarkEnd w:id="105"/>
      <w:bookmarkEnd w:id="106"/>
      <w:bookmarkEnd w:id="107"/>
      <w:bookmarkEnd w:id="108"/>
      <w:bookmarkEnd w:id="109"/>
      <w:bookmarkEnd w:id="110"/>
      <w:r>
        <w:rPr>
          <w:snapToGrid w:val="0"/>
        </w:rPr>
        <w:t xml:space="preserve"> </w:t>
      </w:r>
    </w:p>
    <w:p>
      <w:pPr>
        <w:pStyle w:val="Subsection"/>
        <w:rPr>
          <w:snapToGrid w:val="0"/>
        </w:rPr>
      </w:pPr>
      <w:r>
        <w:rPr>
          <w:snapToGrid w:val="0"/>
        </w:rPr>
        <w:tab/>
        <w:t>(1)</w:t>
      </w:r>
      <w:r>
        <w:rPr>
          <w:snapToGrid w:val="0"/>
        </w:rPr>
        <w:tab/>
        <w:t>If an amount is not fixed under section 61(1) of the Act, an appointment to act as an agent — </w:t>
      </w:r>
    </w:p>
    <w:p>
      <w:pPr>
        <w:pStyle w:val="Indenta"/>
        <w:rPr>
          <w:snapToGrid w:val="0"/>
        </w:rPr>
      </w:pPr>
      <w:r>
        <w:rPr>
          <w:snapToGrid w:val="0"/>
        </w:rPr>
        <w:tab/>
        <w:t>(a)</w:t>
      </w:r>
      <w:r>
        <w:rPr>
          <w:snapToGrid w:val="0"/>
        </w:rPr>
        <w:tab/>
        <w:t>where the commission, reward or other valuable consideration to be received by the agent for the services rendered by the agent is expressed as a percentage, is to clearly set out the basis (e.g. selling price, gross rental) on which the percentage is to be calculated;</w:t>
      </w:r>
    </w:p>
    <w:p>
      <w:pPr>
        <w:pStyle w:val="Indenta"/>
        <w:rPr>
          <w:snapToGrid w:val="0"/>
        </w:rPr>
      </w:pPr>
      <w:r>
        <w:rPr>
          <w:snapToGrid w:val="0"/>
        </w:rPr>
        <w:tab/>
        <w:t>(b)</w:t>
      </w:r>
      <w:r>
        <w:rPr>
          <w:snapToGrid w:val="0"/>
        </w:rPr>
        <w:tab/>
        <w:t>where — </w:t>
      </w:r>
    </w:p>
    <w:p>
      <w:pPr>
        <w:pStyle w:val="Indenti"/>
        <w:rPr>
          <w:snapToGrid w:val="0"/>
        </w:rPr>
      </w:pPr>
      <w:r>
        <w:rPr>
          <w:snapToGrid w:val="0"/>
        </w:rPr>
        <w:tab/>
        <w:t>(i)</w:t>
      </w:r>
      <w:r>
        <w:rPr>
          <w:snapToGrid w:val="0"/>
        </w:rPr>
        <w:tab/>
        <w:t>the appointment is to act as an agent in a transaction as defined in section 61(4a) of the Act; and</w:t>
      </w:r>
    </w:p>
    <w:p>
      <w:pPr>
        <w:pStyle w:val="Indenti"/>
        <w:rPr>
          <w:snapToGrid w:val="0"/>
        </w:rPr>
      </w:pPr>
      <w:r>
        <w:rPr>
          <w:snapToGrid w:val="0"/>
        </w:rPr>
        <w:tab/>
        <w:t>(ii)</w:t>
      </w:r>
      <w:r>
        <w:rPr>
          <w:snapToGrid w:val="0"/>
        </w:rPr>
        <w:tab/>
        <w:t>the commission, reward or other valuable consideration to be received by the agent for the services rendered is expressed as an hourly, weekly or other periodic rate,</w:t>
      </w:r>
    </w:p>
    <w:p>
      <w:pPr>
        <w:pStyle w:val="Indenta"/>
        <w:rPr>
          <w:snapToGrid w:val="0"/>
        </w:rPr>
      </w:pPr>
      <w:r>
        <w:rPr>
          <w:snapToGrid w:val="0"/>
        </w:rPr>
        <w:tab/>
      </w:r>
      <w:r>
        <w:rPr>
          <w:snapToGrid w:val="0"/>
        </w:rPr>
        <w:tab/>
        <w:t>is to specify the maximum amount to be received by the agent, expressed as a monetary amount;</w:t>
      </w:r>
    </w:p>
    <w:p>
      <w:pPr>
        <w:pStyle w:val="Indenta"/>
        <w:rPr>
          <w:snapToGrid w:val="0"/>
        </w:rPr>
      </w:pPr>
      <w:r>
        <w:rPr>
          <w:snapToGrid w:val="0"/>
        </w:rPr>
        <w:tab/>
        <w:t>(c)</w:t>
      </w:r>
      <w:r>
        <w:rPr>
          <w:snapToGrid w:val="0"/>
        </w:rPr>
        <w:tab/>
        <w:t>where the consideration to be received by the agent for the services rendered by the agent is based on the use by a person of certain services provided by the agent, is to provide a full explanation of the nature of the services so provided; and</w:t>
      </w:r>
    </w:p>
    <w:p>
      <w:pPr>
        <w:pStyle w:val="Indenta"/>
        <w:rPr>
          <w:snapToGrid w:val="0"/>
        </w:rPr>
      </w:pPr>
      <w:r>
        <w:rPr>
          <w:snapToGrid w:val="0"/>
        </w:rPr>
        <w:tab/>
        <w:t>(d)</w:t>
      </w:r>
      <w:r>
        <w:rPr>
          <w:snapToGrid w:val="0"/>
        </w:rPr>
        <w:tab/>
        <w:t>where any expenses (in addition to the commission, reward or other valuable consideration) are to be received by the agent, is to — </w:t>
      </w:r>
    </w:p>
    <w:p>
      <w:pPr>
        <w:pStyle w:val="Indenti"/>
        <w:rPr>
          <w:snapToGrid w:val="0"/>
        </w:rPr>
      </w:pPr>
      <w:r>
        <w:rPr>
          <w:snapToGrid w:val="0"/>
        </w:rPr>
        <w:tab/>
        <w:t>(i)</w:t>
      </w:r>
      <w:r>
        <w:rPr>
          <w:snapToGrid w:val="0"/>
        </w:rPr>
        <w:tab/>
        <w:t>specify the nature of those expenses; and</w:t>
      </w:r>
    </w:p>
    <w:p>
      <w:pPr>
        <w:pStyle w:val="Indenti"/>
        <w:rPr>
          <w:snapToGrid w:val="0"/>
        </w:rPr>
      </w:pPr>
      <w:r>
        <w:rPr>
          <w:snapToGrid w:val="0"/>
        </w:rPr>
        <w:tab/>
        <w:t>(ii)</w:t>
      </w:r>
      <w:r>
        <w:rPr>
          <w:snapToGrid w:val="0"/>
        </w:rPr>
        <w:tab/>
        <w:t>clearly set out the method by which the expenses will be calculated</w:t>
      </w:r>
      <w:r>
        <w:rPr>
          <w:i/>
          <w:snapToGrid w:val="0"/>
        </w:rPr>
        <w:t>.</w:t>
      </w:r>
      <w:r>
        <w:rPr>
          <w:snapToGrid w:val="0"/>
        </w:rPr>
        <w:t xml:space="preserve"> </w:t>
      </w:r>
    </w:p>
    <w:p>
      <w:pPr>
        <w:pStyle w:val="Subsection"/>
        <w:spacing w:before="100"/>
        <w:rPr>
          <w:snapToGrid w:val="0"/>
        </w:rPr>
      </w:pPr>
      <w:r>
        <w:rPr>
          <w:snapToGrid w:val="0"/>
        </w:rPr>
        <w:tab/>
        <w:t>(2)</w:t>
      </w:r>
      <w:r>
        <w:rPr>
          <w:snapToGrid w:val="0"/>
        </w:rPr>
        <w:tab/>
        <w:t>If an amount is not fixed under section 61(1) of the Act, an appointment to act as an agent by a person for whom services are to be rendered is to contain, immediately before the statement of the commission, reward or other valuable consideration to be received by the agent, a statement that the commission, reward or consideration is not to be received pursuant to a scale fixed by law but is to be agreed upon between the person and the agent.</w:t>
      </w:r>
    </w:p>
    <w:p>
      <w:pPr>
        <w:pStyle w:val="Subsection"/>
        <w:spacing w:before="100"/>
        <w:rPr>
          <w:snapToGrid w:val="0"/>
        </w:rPr>
      </w:pPr>
      <w:r>
        <w:rPr>
          <w:snapToGrid w:val="0"/>
        </w:rPr>
        <w:tab/>
        <w:t>(3)</w:t>
      </w:r>
      <w:r>
        <w:rPr>
          <w:snapToGrid w:val="0"/>
        </w:rPr>
        <w:tab/>
        <w:t>An appointment to act as an agent is to include a statement in clear, concise and plain English to the effect that the person for whom the services are to be rendered by the agent (e.g. the vendor or landlord) may seek assistance from the Real Estate and Business Agents Supervisory Board in relation to disputes as to the commission, reward or other valuable consideration to be received by the agent.</w:t>
      </w:r>
    </w:p>
    <w:p>
      <w:pPr>
        <w:pStyle w:val="Footnotesection"/>
      </w:pPr>
      <w:r>
        <w:tab/>
        <w:t>[Regulation 6BA inserted in Gazette 16 Oct 1998 p. 5734</w:t>
      </w:r>
      <w:r>
        <w:noBreakHyphen/>
        <w:t xml:space="preserve">5.] </w:t>
      </w:r>
    </w:p>
    <w:p>
      <w:pPr>
        <w:pStyle w:val="Heading5"/>
        <w:spacing w:before="120"/>
        <w:rPr>
          <w:snapToGrid w:val="0"/>
        </w:rPr>
      </w:pPr>
      <w:bookmarkStart w:id="111" w:name="_Toc848604"/>
      <w:bookmarkStart w:id="112" w:name="_Toc3274253"/>
      <w:bookmarkStart w:id="113" w:name="_Toc3621802"/>
      <w:bookmarkStart w:id="114" w:name="_Toc93113971"/>
      <w:bookmarkStart w:id="115" w:name="_Toc158520401"/>
      <w:bookmarkStart w:id="116" w:name="_Toc151524261"/>
      <w:r>
        <w:rPr>
          <w:rStyle w:val="CharSectno"/>
        </w:rPr>
        <w:t>6C</w:t>
      </w:r>
      <w:r>
        <w:rPr>
          <w:snapToGrid w:val="0"/>
        </w:rPr>
        <w:t>.</w:t>
      </w:r>
      <w:r>
        <w:rPr>
          <w:snapToGrid w:val="0"/>
        </w:rPr>
        <w:tab/>
        <w:t>Definition of “authorised financial institution” — prescribed classes</w:t>
      </w:r>
      <w:bookmarkEnd w:id="111"/>
      <w:bookmarkEnd w:id="112"/>
      <w:bookmarkEnd w:id="113"/>
      <w:bookmarkEnd w:id="114"/>
      <w:bookmarkEnd w:id="115"/>
      <w:bookmarkEnd w:id="116"/>
      <w:r>
        <w:rPr>
          <w:snapToGrid w:val="0"/>
        </w:rPr>
        <w:t xml:space="preserve"> </w:t>
      </w:r>
    </w:p>
    <w:p>
      <w:pPr>
        <w:pStyle w:val="Subsection"/>
        <w:spacing w:before="100"/>
        <w:rPr>
          <w:snapToGrid w:val="0"/>
        </w:rPr>
      </w:pPr>
      <w:r>
        <w:rPr>
          <w:snapToGrid w:val="0"/>
        </w:rPr>
        <w:tab/>
      </w:r>
      <w:r>
        <w:rPr>
          <w:snapToGrid w:val="0"/>
        </w:rPr>
        <w:tab/>
        <w:t>For the purposes of the definition of “</w:t>
      </w:r>
      <w:r>
        <w:rPr>
          <w:rStyle w:val="CharDefText"/>
          <w:b w:val="0"/>
        </w:rPr>
        <w:t>authorised</w:t>
      </w:r>
      <w:r>
        <w:rPr>
          <w:rStyle w:val="CharDefText"/>
        </w:rPr>
        <w:t xml:space="preserve"> </w:t>
      </w:r>
      <w:r>
        <w:rPr>
          <w:rStyle w:val="CharDefText"/>
          <w:b w:val="0"/>
        </w:rPr>
        <w:t>financial institution</w:t>
      </w:r>
      <w:r>
        <w:rPr>
          <w:snapToGrid w:val="0"/>
        </w:rPr>
        <w:t>” in section 67 of the Act, the following classes of bodies are prescribed — </w:t>
      </w:r>
    </w:p>
    <w:p>
      <w:pPr>
        <w:pStyle w:val="Indenta"/>
        <w:rPr>
          <w:snapToGrid w:val="0"/>
        </w:rPr>
      </w:pPr>
      <w:r>
        <w:rPr>
          <w:snapToGrid w:val="0"/>
        </w:rPr>
        <w:tab/>
        <w:t>(a)</w:t>
      </w:r>
      <w:r>
        <w:rPr>
          <w:snapToGrid w:val="0"/>
        </w:rPr>
        <w:tab/>
        <w:t>the class that consists of all banks; and</w:t>
      </w:r>
    </w:p>
    <w:p>
      <w:pPr>
        <w:pStyle w:val="Indenta"/>
        <w:rPr>
          <w:snapToGrid w:val="0"/>
        </w:rPr>
      </w:pPr>
      <w:r>
        <w:rPr>
          <w:snapToGrid w:val="0"/>
        </w:rPr>
        <w:tab/>
        <w:t>(b)</w:t>
      </w:r>
      <w:r>
        <w:rPr>
          <w:snapToGrid w:val="0"/>
        </w:rPr>
        <w:tab/>
        <w:t>the class that consists of all societies.</w:t>
      </w:r>
    </w:p>
    <w:p>
      <w:pPr>
        <w:pStyle w:val="Footnotesection"/>
      </w:pPr>
      <w:r>
        <w:tab/>
        <w:t xml:space="preserve">[Regulation 6C inserted in Gazette 25 Jun 1996 p. 2918.] </w:t>
      </w:r>
    </w:p>
    <w:p>
      <w:pPr>
        <w:pStyle w:val="Heading5"/>
        <w:rPr>
          <w:snapToGrid w:val="0"/>
        </w:rPr>
      </w:pPr>
      <w:bookmarkStart w:id="117" w:name="_Toc848605"/>
      <w:bookmarkStart w:id="118" w:name="_Toc3274254"/>
      <w:bookmarkStart w:id="119" w:name="_Toc3621803"/>
      <w:bookmarkStart w:id="120" w:name="_Toc93113972"/>
      <w:bookmarkStart w:id="121" w:name="_Toc158520402"/>
      <w:bookmarkStart w:id="122" w:name="_Toc151524262"/>
      <w:r>
        <w:rPr>
          <w:rStyle w:val="CharSectno"/>
        </w:rPr>
        <w:t>6D</w:t>
      </w:r>
      <w:r>
        <w:rPr>
          <w:snapToGrid w:val="0"/>
        </w:rPr>
        <w:t>.</w:t>
      </w:r>
      <w:r>
        <w:rPr>
          <w:snapToGrid w:val="0"/>
        </w:rPr>
        <w:tab/>
        <w:t>Designation of trust accounts</w:t>
      </w:r>
      <w:bookmarkEnd w:id="117"/>
      <w:bookmarkEnd w:id="118"/>
      <w:bookmarkEnd w:id="119"/>
      <w:bookmarkEnd w:id="120"/>
      <w:bookmarkEnd w:id="121"/>
      <w:bookmarkEnd w:id="122"/>
      <w:r>
        <w:rPr>
          <w:snapToGrid w:val="0"/>
        </w:rPr>
        <w:t xml:space="preserve"> </w:t>
      </w:r>
    </w:p>
    <w:p>
      <w:pPr>
        <w:pStyle w:val="Subsection"/>
        <w:rPr>
          <w:snapToGrid w:val="0"/>
        </w:rPr>
      </w:pPr>
      <w:r>
        <w:rPr>
          <w:snapToGrid w:val="0"/>
        </w:rPr>
        <w:tab/>
        <w:t>(1)</w:t>
      </w:r>
      <w:r>
        <w:rPr>
          <w:snapToGrid w:val="0"/>
        </w:rPr>
        <w:tab/>
        <w:t>For the purposes of section 68(1) of the Act, a trust account is to be designated in the manner provided for in this regulation.</w:t>
      </w:r>
    </w:p>
    <w:p>
      <w:pPr>
        <w:pStyle w:val="Subsection"/>
        <w:rPr>
          <w:snapToGrid w:val="0"/>
        </w:rPr>
      </w:pPr>
      <w:r>
        <w:rPr>
          <w:snapToGrid w:val="0"/>
        </w:rPr>
        <w:tab/>
        <w:t>(2)</w:t>
      </w:r>
      <w:r>
        <w:rPr>
          <w:snapToGrid w:val="0"/>
        </w:rPr>
        <w:tab/>
        <w:t>The designation of a trust account, other than a separate account, is to include — </w:t>
      </w:r>
    </w:p>
    <w:p>
      <w:pPr>
        <w:pStyle w:val="Indenta"/>
        <w:rPr>
          <w:snapToGrid w:val="0"/>
        </w:rPr>
      </w:pPr>
      <w:r>
        <w:rPr>
          <w:snapToGrid w:val="0"/>
        </w:rPr>
        <w:tab/>
        <w:t>(a)</w:t>
      </w:r>
      <w:r>
        <w:rPr>
          <w:snapToGrid w:val="0"/>
        </w:rPr>
        <w:tab/>
        <w:t>the description “REBA Trust Account” or “REBA Tenancy Bond Trust Account” as appropriate;</w:t>
      </w:r>
    </w:p>
    <w:p>
      <w:pPr>
        <w:pStyle w:val="Indenta"/>
        <w:rPr>
          <w:snapToGrid w:val="0"/>
        </w:rPr>
      </w:pPr>
      <w:r>
        <w:rPr>
          <w:snapToGrid w:val="0"/>
        </w:rPr>
        <w:tab/>
        <w:t>(b)</w:t>
      </w:r>
      <w:r>
        <w:rPr>
          <w:snapToGrid w:val="0"/>
        </w:rPr>
        <w:tab/>
        <w:t>the name of the holder of the triennial certificate, and any business name of that holder, recorded in the register; and</w:t>
      </w:r>
    </w:p>
    <w:p>
      <w:pPr>
        <w:pStyle w:val="Indenta"/>
        <w:rPr>
          <w:snapToGrid w:val="0"/>
        </w:rPr>
      </w:pPr>
      <w:r>
        <w:rPr>
          <w:snapToGrid w:val="0"/>
        </w:rPr>
        <w:tab/>
        <w:t>(c)</w:t>
      </w:r>
      <w:r>
        <w:rPr>
          <w:snapToGrid w:val="0"/>
        </w:rPr>
        <w:tab/>
        <w:t>the letters “TC” followed by the triennial certificate number recorded in the register.</w:t>
      </w:r>
    </w:p>
    <w:p>
      <w:pPr>
        <w:pStyle w:val="Subsection"/>
        <w:rPr>
          <w:snapToGrid w:val="0"/>
        </w:rPr>
      </w:pPr>
      <w:r>
        <w:rPr>
          <w:snapToGrid w:val="0"/>
        </w:rPr>
        <w:tab/>
        <w:t>(3)</w:t>
      </w:r>
      <w:r>
        <w:rPr>
          <w:snapToGrid w:val="0"/>
        </w:rPr>
        <w:tab/>
        <w:t>The designation of a separate account is to include — </w:t>
      </w:r>
    </w:p>
    <w:p>
      <w:pPr>
        <w:pStyle w:val="Indenta"/>
        <w:rPr>
          <w:snapToGrid w:val="0"/>
        </w:rPr>
      </w:pPr>
      <w:r>
        <w:rPr>
          <w:snapToGrid w:val="0"/>
        </w:rPr>
        <w:tab/>
        <w:t>(a)</w:t>
      </w:r>
      <w:r>
        <w:rPr>
          <w:snapToGrid w:val="0"/>
        </w:rPr>
        <w:tab/>
        <w:t>the description “REBA Trust Account — IB”;</w:t>
      </w:r>
    </w:p>
    <w:p>
      <w:pPr>
        <w:pStyle w:val="Indenta"/>
        <w:rPr>
          <w:snapToGrid w:val="0"/>
        </w:rPr>
      </w:pPr>
      <w:r>
        <w:rPr>
          <w:snapToGrid w:val="0"/>
        </w:rPr>
        <w:tab/>
        <w:t>(b)</w:t>
      </w:r>
      <w:r>
        <w:rPr>
          <w:snapToGrid w:val="0"/>
        </w:rPr>
        <w:tab/>
        <w:t>the name of the holder of the triennial certificate, and any business name of that holder, recorded in the register;</w:t>
      </w:r>
    </w:p>
    <w:p>
      <w:pPr>
        <w:pStyle w:val="Indenta"/>
        <w:rPr>
          <w:snapToGrid w:val="0"/>
        </w:rPr>
      </w:pPr>
      <w:r>
        <w:rPr>
          <w:snapToGrid w:val="0"/>
        </w:rPr>
        <w:tab/>
        <w:t>(c)</w:t>
      </w:r>
      <w:r>
        <w:rPr>
          <w:snapToGrid w:val="0"/>
        </w:rPr>
        <w:tab/>
        <w:t>the words “in trust for” followed by the name of the person who requested the separate account; and</w:t>
      </w:r>
    </w:p>
    <w:p>
      <w:pPr>
        <w:pStyle w:val="Indenta"/>
        <w:rPr>
          <w:snapToGrid w:val="0"/>
        </w:rPr>
      </w:pPr>
      <w:r>
        <w:rPr>
          <w:snapToGrid w:val="0"/>
        </w:rPr>
        <w:tab/>
        <w:t>(d)</w:t>
      </w:r>
      <w:r>
        <w:rPr>
          <w:snapToGrid w:val="0"/>
        </w:rPr>
        <w:tab/>
        <w:t>the letters “TC” followed by the triennial certificate number recorded in the register.</w:t>
      </w:r>
    </w:p>
    <w:p>
      <w:pPr>
        <w:pStyle w:val="Footnotesection"/>
      </w:pPr>
      <w:r>
        <w:tab/>
        <w:t>[Regulation 6D inserted in Gazette 25 Jun 1996 p. 2918</w:t>
      </w:r>
      <w:r>
        <w:noBreakHyphen/>
        <w:t xml:space="preserve">19.] </w:t>
      </w:r>
    </w:p>
    <w:p>
      <w:pPr>
        <w:pStyle w:val="Heading5"/>
        <w:rPr>
          <w:snapToGrid w:val="0"/>
        </w:rPr>
      </w:pPr>
      <w:bookmarkStart w:id="123" w:name="_Toc848606"/>
      <w:bookmarkStart w:id="124" w:name="_Toc3274255"/>
      <w:bookmarkStart w:id="125" w:name="_Toc3621804"/>
      <w:bookmarkStart w:id="126" w:name="_Toc93113973"/>
      <w:bookmarkStart w:id="127" w:name="_Toc158520403"/>
      <w:bookmarkStart w:id="128" w:name="_Toc151524263"/>
      <w:r>
        <w:rPr>
          <w:rStyle w:val="CharSectno"/>
        </w:rPr>
        <w:t>6E</w:t>
      </w:r>
      <w:r>
        <w:rPr>
          <w:snapToGrid w:val="0"/>
        </w:rPr>
        <w:t>.</w:t>
      </w:r>
      <w:r>
        <w:rPr>
          <w:snapToGrid w:val="0"/>
        </w:rPr>
        <w:tab/>
        <w:t>Prescribed requirements for separate accounts</w:t>
      </w:r>
      <w:bookmarkEnd w:id="123"/>
      <w:bookmarkEnd w:id="124"/>
      <w:bookmarkEnd w:id="125"/>
      <w:bookmarkEnd w:id="126"/>
      <w:bookmarkEnd w:id="127"/>
      <w:bookmarkEnd w:id="128"/>
      <w:r>
        <w:rPr>
          <w:snapToGrid w:val="0"/>
        </w:rPr>
        <w:t xml:space="preserve"> </w:t>
      </w:r>
    </w:p>
    <w:p>
      <w:pPr>
        <w:pStyle w:val="Subsection"/>
        <w:rPr>
          <w:snapToGrid w:val="0"/>
        </w:rPr>
      </w:pPr>
      <w:r>
        <w:rPr>
          <w:snapToGrid w:val="0"/>
        </w:rPr>
        <w:tab/>
        <w:t>(1)</w:t>
      </w:r>
      <w:r>
        <w:rPr>
          <w:snapToGrid w:val="0"/>
        </w:rPr>
        <w:tab/>
        <w:t>For the purposes of section 68A(4) of the Act, where the transaction in respect of which moneys are paid relates to the sale of real estate or a business, an agent shall only comply with the request for a separate account if the agent is satisfied that — </w:t>
      </w:r>
    </w:p>
    <w:p>
      <w:pPr>
        <w:pStyle w:val="Indenta"/>
        <w:rPr>
          <w:snapToGrid w:val="0"/>
        </w:rPr>
      </w:pPr>
      <w:r>
        <w:rPr>
          <w:snapToGrid w:val="0"/>
        </w:rPr>
        <w:tab/>
        <w:t>(a)</w:t>
      </w:r>
      <w:r>
        <w:rPr>
          <w:snapToGrid w:val="0"/>
        </w:rPr>
        <w:tab/>
        <w:t>the amount of moneys paid to the agent exceeds $20 000; or</w:t>
      </w:r>
    </w:p>
    <w:p>
      <w:pPr>
        <w:pStyle w:val="Indenta"/>
        <w:rPr>
          <w:snapToGrid w:val="0"/>
        </w:rPr>
      </w:pPr>
      <w:r>
        <w:rPr>
          <w:snapToGrid w:val="0"/>
        </w:rPr>
        <w:tab/>
        <w:t>(b)</w:t>
      </w:r>
      <w:r>
        <w:rPr>
          <w:snapToGrid w:val="0"/>
        </w:rPr>
        <w:tab/>
        <w:t>the transaction is not to be settled within 60 days.</w:t>
      </w:r>
    </w:p>
    <w:p>
      <w:pPr>
        <w:pStyle w:val="Subsection"/>
        <w:keepNext/>
        <w:rPr>
          <w:snapToGrid w:val="0"/>
        </w:rPr>
      </w:pPr>
      <w:r>
        <w:rPr>
          <w:snapToGrid w:val="0"/>
        </w:rPr>
        <w:tab/>
        <w:t>(2)</w:t>
      </w:r>
      <w:r>
        <w:rPr>
          <w:snapToGrid w:val="0"/>
        </w:rPr>
        <w:tab/>
        <w:t>In subregulation (1) — </w:t>
      </w:r>
    </w:p>
    <w:p>
      <w:pPr>
        <w:pStyle w:val="Defstart"/>
        <w:keepNext/>
      </w:pPr>
      <w:r>
        <w:rPr>
          <w:b/>
        </w:rPr>
        <w:tab/>
        <w:t>“</w:t>
      </w:r>
      <w:r>
        <w:rPr>
          <w:rStyle w:val="CharDefText"/>
        </w:rPr>
        <w:t>business</w:t>
      </w:r>
      <w:r>
        <w:rPr>
          <w:b/>
        </w:rPr>
        <w:t>”</w:t>
      </w:r>
      <w:r>
        <w:t xml:space="preserve"> means any commercial undertaking or enterprise in respect of any profession, trade, employment, vocation, or calling.</w:t>
      </w:r>
    </w:p>
    <w:p>
      <w:pPr>
        <w:pStyle w:val="Footnotesection"/>
      </w:pPr>
      <w:r>
        <w:tab/>
        <w:t xml:space="preserve">[Regulation 6E inserted in Gazette 25 Jun 1996 p. 2919.] </w:t>
      </w:r>
    </w:p>
    <w:p>
      <w:pPr>
        <w:pStyle w:val="Heading5"/>
        <w:rPr>
          <w:snapToGrid w:val="0"/>
        </w:rPr>
      </w:pPr>
      <w:bookmarkStart w:id="129" w:name="_Toc848607"/>
      <w:bookmarkStart w:id="130" w:name="_Toc3274256"/>
      <w:bookmarkStart w:id="131" w:name="_Toc3621805"/>
      <w:bookmarkStart w:id="132" w:name="_Toc93113974"/>
      <w:bookmarkStart w:id="133" w:name="_Toc158520404"/>
      <w:bookmarkStart w:id="134" w:name="_Toc151524264"/>
      <w:r>
        <w:rPr>
          <w:rStyle w:val="CharSectno"/>
        </w:rPr>
        <w:t>6F</w:t>
      </w:r>
      <w:r>
        <w:rPr>
          <w:snapToGrid w:val="0"/>
        </w:rPr>
        <w:t>.</w:t>
      </w:r>
      <w:r>
        <w:rPr>
          <w:snapToGrid w:val="0"/>
        </w:rPr>
        <w:tab/>
        <w:t>Interest payable on trust accounts</w:t>
      </w:r>
      <w:bookmarkEnd w:id="129"/>
      <w:bookmarkEnd w:id="130"/>
      <w:bookmarkEnd w:id="131"/>
      <w:bookmarkEnd w:id="132"/>
      <w:bookmarkEnd w:id="133"/>
      <w:bookmarkEnd w:id="134"/>
      <w:r>
        <w:rPr>
          <w:snapToGrid w:val="0"/>
        </w:rPr>
        <w:t xml:space="preserve"> </w:t>
      </w:r>
    </w:p>
    <w:p>
      <w:pPr>
        <w:pStyle w:val="Subsection"/>
        <w:rPr>
          <w:snapToGrid w:val="0"/>
        </w:rPr>
      </w:pPr>
      <w:r>
        <w:rPr>
          <w:snapToGrid w:val="0"/>
        </w:rPr>
        <w:tab/>
        <w:t>(1)</w:t>
      </w:r>
      <w:r>
        <w:rPr>
          <w:snapToGrid w:val="0"/>
        </w:rPr>
        <w:tab/>
        <w:t>For the purposes of section 68B(1) of the Act, interest on the balance of a trust account is to be paid — </w:t>
      </w:r>
    </w:p>
    <w:p>
      <w:pPr>
        <w:pStyle w:val="Indenta"/>
        <w:rPr>
          <w:snapToGrid w:val="0"/>
        </w:rPr>
      </w:pPr>
      <w:r>
        <w:rPr>
          <w:snapToGrid w:val="0"/>
        </w:rPr>
        <w:tab/>
        <w:t>(a)</w:t>
      </w:r>
      <w:r>
        <w:rPr>
          <w:snapToGrid w:val="0"/>
        </w:rPr>
        <w:tab/>
        <w:t>at the rate that is 70% of the relevant bank accepted bills rate calculated on a daily basis; and</w:t>
      </w:r>
    </w:p>
    <w:p>
      <w:pPr>
        <w:pStyle w:val="Indenta"/>
        <w:rPr>
          <w:snapToGrid w:val="0"/>
        </w:rPr>
      </w:pPr>
      <w:r>
        <w:rPr>
          <w:snapToGrid w:val="0"/>
        </w:rPr>
        <w:tab/>
        <w:t>(b)</w:t>
      </w:r>
      <w:r>
        <w:rPr>
          <w:snapToGrid w:val="0"/>
        </w:rPr>
        <w:tab/>
        <w:t>within 5 working days of the end of each month.</w:t>
      </w:r>
    </w:p>
    <w:p>
      <w:pPr>
        <w:pStyle w:val="Subsection"/>
        <w:rPr>
          <w:snapToGrid w:val="0"/>
        </w:rPr>
      </w:pPr>
      <w:r>
        <w:rPr>
          <w:snapToGrid w:val="0"/>
        </w:rPr>
        <w:tab/>
        <w:t>(2)</w:t>
      </w:r>
      <w:r>
        <w:rPr>
          <w:snapToGrid w:val="0"/>
        </w:rPr>
        <w:tab/>
        <w:t>In subregulation (1)(a) — </w:t>
      </w:r>
    </w:p>
    <w:p>
      <w:pPr>
        <w:pStyle w:val="Defstart"/>
      </w:pPr>
      <w:r>
        <w:rPr>
          <w:b/>
        </w:rPr>
        <w:tab/>
        <w:t>“</w:t>
      </w:r>
      <w:r>
        <w:rPr>
          <w:rStyle w:val="CharDefText"/>
        </w:rPr>
        <w:t>relevant bank accepted bills rate</w:t>
      </w:r>
      <w:r>
        <w:rPr>
          <w:b/>
        </w:rPr>
        <w:t>”</w:t>
      </w:r>
      <w:r>
        <w:t xml:space="preserve"> means the 30 day bank accepted bills rate as published in Table F.1 of the “Reserve Bank of Australia Bulletin” for the month that is 2 months before the month in respect of which the interest is to be paid.</w:t>
      </w:r>
    </w:p>
    <w:p>
      <w:pPr>
        <w:pStyle w:val="NotesPerm"/>
      </w:pPr>
      <w:r>
        <w:tab/>
        <w:t>(For example, the relevant bank accepted bills rate for May is the 30 day bank accepted bills rate for March.)</w:t>
      </w:r>
    </w:p>
    <w:p>
      <w:pPr>
        <w:pStyle w:val="Footnotesection"/>
      </w:pPr>
      <w:r>
        <w:tab/>
        <w:t xml:space="preserve">[Regulation 6F inserted in Gazette 25 Jun 1996 p. 2919.] </w:t>
      </w:r>
    </w:p>
    <w:p>
      <w:pPr>
        <w:pStyle w:val="Heading5"/>
      </w:pPr>
      <w:bookmarkStart w:id="135" w:name="_Toc848608"/>
      <w:bookmarkStart w:id="136" w:name="_Toc3274257"/>
      <w:bookmarkStart w:id="137" w:name="_Toc3621806"/>
      <w:bookmarkStart w:id="138" w:name="_Toc93113975"/>
      <w:bookmarkStart w:id="139" w:name="_Toc158520405"/>
      <w:bookmarkStart w:id="140" w:name="_Toc151524265"/>
      <w:r>
        <w:rPr>
          <w:rStyle w:val="CharSectno"/>
        </w:rPr>
        <w:t>6G</w:t>
      </w:r>
      <w:r>
        <w:t>.</w:t>
      </w:r>
      <w:r>
        <w:tab/>
        <w:t>Content of receipts</w:t>
      </w:r>
      <w:bookmarkEnd w:id="135"/>
      <w:bookmarkEnd w:id="136"/>
      <w:bookmarkEnd w:id="137"/>
      <w:bookmarkEnd w:id="138"/>
      <w:bookmarkEnd w:id="139"/>
      <w:bookmarkEnd w:id="140"/>
    </w:p>
    <w:p>
      <w:pPr>
        <w:pStyle w:val="Subsection"/>
      </w:pPr>
      <w:r>
        <w:tab/>
      </w:r>
      <w:r>
        <w:tab/>
        <w:t>A receipt given under section 69(1)(a) of the Act shall contain the following information — </w:t>
      </w:r>
    </w:p>
    <w:p>
      <w:pPr>
        <w:pStyle w:val="Indenta"/>
      </w:pPr>
      <w:r>
        <w:tab/>
        <w:t>(aa)</w:t>
      </w:r>
      <w:r>
        <w:tab/>
        <w:t>the heading “Trust Account Receipt”;</w:t>
      </w:r>
    </w:p>
    <w:p>
      <w:pPr>
        <w:pStyle w:val="Indenta"/>
      </w:pPr>
      <w:r>
        <w:tab/>
        <w:t>(a)</w:t>
      </w:r>
      <w:r>
        <w:tab/>
        <w:t>the name of the holder of the triennial certificate, and any business name of that holder, recorded in the register;</w:t>
      </w:r>
    </w:p>
    <w:p>
      <w:pPr>
        <w:pStyle w:val="Indenta"/>
      </w:pPr>
      <w:r>
        <w:tab/>
        <w:t>(b)</w:t>
      </w:r>
      <w:r>
        <w:tab/>
        <w:t>a number or letter, or a combination of both, in consecutive order that allows the receipt to be uniquely identified;</w:t>
      </w:r>
    </w:p>
    <w:p>
      <w:pPr>
        <w:pStyle w:val="Indenta"/>
      </w:pPr>
      <w:r>
        <w:tab/>
        <w:t>(c)</w:t>
      </w:r>
      <w:r>
        <w:tab/>
        <w:t>the date on which the money is received;</w:t>
      </w:r>
    </w:p>
    <w:p>
      <w:pPr>
        <w:pStyle w:val="Indenta"/>
      </w:pPr>
      <w:r>
        <w:tab/>
        <w:t>(d)</w:t>
      </w:r>
      <w:r>
        <w:tab/>
        <w:t>the name of the person paying the money;</w:t>
      </w:r>
    </w:p>
    <w:p>
      <w:pPr>
        <w:pStyle w:val="Indenta"/>
      </w:pPr>
      <w:r>
        <w:tab/>
        <w:t>(e)</w:t>
      </w:r>
      <w:r>
        <w:tab/>
        <w:t>the amount of money received;</w:t>
      </w:r>
    </w:p>
    <w:p>
      <w:pPr>
        <w:pStyle w:val="Indenta"/>
      </w:pPr>
      <w:r>
        <w:tab/>
        <w:t>(f)</w:t>
      </w:r>
      <w:r>
        <w:tab/>
        <w:t>a brief description of the purpose of the payment; and</w:t>
      </w:r>
    </w:p>
    <w:p>
      <w:pPr>
        <w:pStyle w:val="Indenta"/>
      </w:pPr>
      <w:r>
        <w:tab/>
        <w:t>(g)</w:t>
      </w:r>
      <w:r>
        <w:tab/>
        <w:t>if the receipt is hand</w:t>
      </w:r>
      <w:r>
        <w:noBreakHyphen/>
        <w:t>written, the name of the person receiving the money evidenced by the signature of that person.</w:t>
      </w:r>
    </w:p>
    <w:p>
      <w:pPr>
        <w:pStyle w:val="Footnotesection"/>
      </w:pPr>
      <w:r>
        <w:tab/>
        <w:t xml:space="preserve">[Regulation 6G inserted in Gazette 25 Jun 1996 p. 2919; amended in Gazette 17 Nov 2006 p. 4760.] </w:t>
      </w:r>
    </w:p>
    <w:p>
      <w:pPr>
        <w:pStyle w:val="Heading5"/>
        <w:rPr>
          <w:snapToGrid w:val="0"/>
        </w:rPr>
      </w:pPr>
      <w:bookmarkStart w:id="141" w:name="_Toc848609"/>
      <w:bookmarkStart w:id="142" w:name="_Toc3274258"/>
      <w:bookmarkStart w:id="143" w:name="_Toc3621807"/>
      <w:bookmarkStart w:id="144" w:name="_Toc93113976"/>
      <w:bookmarkStart w:id="145" w:name="_Toc158520406"/>
      <w:bookmarkStart w:id="146" w:name="_Toc151524266"/>
      <w:r>
        <w:rPr>
          <w:rStyle w:val="CharSectno"/>
        </w:rPr>
        <w:t>6H</w:t>
      </w:r>
      <w:r>
        <w:rPr>
          <w:snapToGrid w:val="0"/>
        </w:rPr>
        <w:t>.</w:t>
      </w:r>
      <w:r>
        <w:rPr>
          <w:snapToGrid w:val="0"/>
        </w:rPr>
        <w:tab/>
        <w:t>Records under section 69(1)(b)</w:t>
      </w:r>
      <w:bookmarkEnd w:id="141"/>
      <w:bookmarkEnd w:id="142"/>
      <w:bookmarkEnd w:id="143"/>
      <w:bookmarkEnd w:id="144"/>
      <w:bookmarkEnd w:id="145"/>
      <w:bookmarkEnd w:id="146"/>
      <w:r>
        <w:rPr>
          <w:snapToGrid w:val="0"/>
        </w:rPr>
        <w:t xml:space="preserve"> </w:t>
      </w:r>
    </w:p>
    <w:p>
      <w:pPr>
        <w:pStyle w:val="Subsection"/>
        <w:rPr>
          <w:snapToGrid w:val="0"/>
        </w:rPr>
      </w:pPr>
      <w:r>
        <w:rPr>
          <w:snapToGrid w:val="0"/>
        </w:rPr>
        <w:tab/>
        <w:t>(1)</w:t>
      </w:r>
      <w:r>
        <w:rPr>
          <w:snapToGrid w:val="0"/>
        </w:rPr>
        <w:tab/>
        <w:t>A record shall be — </w:t>
      </w:r>
    </w:p>
    <w:p>
      <w:pPr>
        <w:pStyle w:val="Indenta"/>
        <w:rPr>
          <w:snapToGrid w:val="0"/>
        </w:rPr>
      </w:pPr>
      <w:r>
        <w:rPr>
          <w:snapToGrid w:val="0"/>
        </w:rPr>
        <w:tab/>
        <w:t>(a)</w:t>
      </w:r>
      <w:r>
        <w:rPr>
          <w:snapToGrid w:val="0"/>
        </w:rPr>
        <w:tab/>
        <w:t>kept in written form;</w:t>
      </w:r>
    </w:p>
    <w:p>
      <w:pPr>
        <w:pStyle w:val="Indenta"/>
        <w:rPr>
          <w:snapToGrid w:val="0"/>
        </w:rPr>
      </w:pPr>
      <w:r>
        <w:rPr>
          <w:snapToGrid w:val="0"/>
        </w:rPr>
        <w:tab/>
        <w:t>(b)</w:t>
      </w:r>
      <w:r>
        <w:rPr>
          <w:snapToGrid w:val="0"/>
        </w:rPr>
        <w:tab/>
        <w:t>kept for a period of not less than 6 years from the date on which the money was received; and</w:t>
      </w:r>
    </w:p>
    <w:p>
      <w:pPr>
        <w:pStyle w:val="Indenta"/>
        <w:rPr>
          <w:snapToGrid w:val="0"/>
        </w:rPr>
      </w:pPr>
      <w:r>
        <w:rPr>
          <w:snapToGrid w:val="0"/>
        </w:rPr>
        <w:tab/>
        <w:t>(c)</w:t>
      </w:r>
      <w:r>
        <w:rPr>
          <w:snapToGrid w:val="0"/>
        </w:rPr>
        <w:tab/>
        <w:t>readily accessible.</w:t>
      </w:r>
    </w:p>
    <w:p>
      <w:pPr>
        <w:pStyle w:val="Subsection"/>
        <w:rPr>
          <w:snapToGrid w:val="0"/>
        </w:rPr>
      </w:pPr>
      <w:r>
        <w:rPr>
          <w:snapToGrid w:val="0"/>
        </w:rPr>
        <w:tab/>
        <w:t>(2)</w:t>
      </w:r>
      <w:r>
        <w:rPr>
          <w:snapToGrid w:val="0"/>
        </w:rPr>
        <w:tab/>
        <w:t>Where a receipt has been given for money received, a record shall contain the information contained in the receipt and may take the form of a duplicate copy of the receipt.</w:t>
      </w:r>
    </w:p>
    <w:p>
      <w:pPr>
        <w:pStyle w:val="Subsection"/>
        <w:rPr>
          <w:snapToGrid w:val="0"/>
        </w:rPr>
      </w:pPr>
      <w:r>
        <w:rPr>
          <w:snapToGrid w:val="0"/>
        </w:rPr>
        <w:tab/>
        <w:t>(3)</w:t>
      </w:r>
      <w:r>
        <w:rPr>
          <w:snapToGrid w:val="0"/>
        </w:rPr>
        <w:tab/>
        <w:t>Where money has been received by electronic transfer, a record shall contain the information specified in regulation 6G(b), (c), (d), (e) and (f) and, for that purpose, the reference in regulation 6G(b) to “receipt” is to be read as a reference to “record”.</w:t>
      </w:r>
    </w:p>
    <w:p>
      <w:pPr>
        <w:pStyle w:val="Footnotesection"/>
      </w:pPr>
      <w:r>
        <w:tab/>
        <w:t>[Regulation 6H inserted in Gazette 25 Jun 1996 p. 2919</w:t>
      </w:r>
      <w:r>
        <w:noBreakHyphen/>
        <w:t xml:space="preserve">20.] </w:t>
      </w:r>
    </w:p>
    <w:p>
      <w:pPr>
        <w:pStyle w:val="Heading5"/>
        <w:rPr>
          <w:snapToGrid w:val="0"/>
        </w:rPr>
      </w:pPr>
      <w:bookmarkStart w:id="147" w:name="_Toc848610"/>
      <w:bookmarkStart w:id="148" w:name="_Toc3274259"/>
      <w:bookmarkStart w:id="149" w:name="_Toc3621808"/>
      <w:bookmarkStart w:id="150" w:name="_Toc93113977"/>
      <w:bookmarkStart w:id="151" w:name="_Toc158520407"/>
      <w:bookmarkStart w:id="152" w:name="_Toc151524267"/>
      <w:r>
        <w:rPr>
          <w:rStyle w:val="CharSectno"/>
        </w:rPr>
        <w:t>7</w:t>
      </w:r>
      <w:r>
        <w:rPr>
          <w:snapToGrid w:val="0"/>
        </w:rPr>
        <w:t>.</w:t>
      </w:r>
      <w:r>
        <w:rPr>
          <w:snapToGrid w:val="0"/>
        </w:rPr>
        <w:tab/>
        <w:t>Particulars to be included in registers</w:t>
      </w:r>
      <w:bookmarkEnd w:id="147"/>
      <w:bookmarkEnd w:id="148"/>
      <w:bookmarkEnd w:id="149"/>
      <w:bookmarkEnd w:id="150"/>
      <w:bookmarkEnd w:id="151"/>
      <w:bookmarkEnd w:id="152"/>
      <w:r>
        <w:rPr>
          <w:snapToGrid w:val="0"/>
        </w:rPr>
        <w:t xml:space="preserve"> </w:t>
      </w:r>
    </w:p>
    <w:p>
      <w:pPr>
        <w:pStyle w:val="Subsection"/>
        <w:rPr>
          <w:snapToGrid w:val="0"/>
        </w:rPr>
      </w:pPr>
      <w:r>
        <w:rPr>
          <w:snapToGrid w:val="0"/>
        </w:rPr>
        <w:tab/>
      </w:r>
      <w:r>
        <w:rPr>
          <w:snapToGrid w:val="0"/>
        </w:rPr>
        <w:tab/>
        <w:t>The prescribed particulars to be recorded, pursuant to section 13(2) of the Act, by the Registrar — </w:t>
      </w:r>
    </w:p>
    <w:p>
      <w:pPr>
        <w:pStyle w:val="Indenta"/>
        <w:rPr>
          <w:snapToGrid w:val="0"/>
        </w:rPr>
      </w:pPr>
      <w:r>
        <w:rPr>
          <w:snapToGrid w:val="0"/>
        </w:rPr>
        <w:tab/>
        <w:t>(a)</w:t>
      </w:r>
      <w:r>
        <w:rPr>
          <w:snapToGrid w:val="0"/>
        </w:rPr>
        <w:tab/>
        <w:t>in the register of licensees are, in respect of each licensee — </w:t>
      </w:r>
    </w:p>
    <w:p>
      <w:pPr>
        <w:pStyle w:val="Indenti"/>
        <w:rPr>
          <w:snapToGrid w:val="0"/>
        </w:rPr>
      </w:pPr>
      <w:r>
        <w:rPr>
          <w:snapToGrid w:val="0"/>
        </w:rPr>
        <w:tab/>
        <w:t>(i)</w:t>
      </w:r>
      <w:r>
        <w:rPr>
          <w:snapToGrid w:val="0"/>
        </w:rPr>
        <w:tab/>
        <w:t>the name and address of the licensee;</w:t>
      </w:r>
    </w:p>
    <w:p>
      <w:pPr>
        <w:pStyle w:val="Indenti"/>
        <w:rPr>
          <w:snapToGrid w:val="0"/>
        </w:rPr>
      </w:pPr>
      <w:r>
        <w:rPr>
          <w:snapToGrid w:val="0"/>
        </w:rPr>
        <w:tab/>
        <w:t>(ii)</w:t>
      </w:r>
      <w:r>
        <w:rPr>
          <w:snapToGrid w:val="0"/>
        </w:rPr>
        <w:tab/>
        <w:t>where the licensee is a firm, the name, address, and, where applicable, licence number of each partner constituting the firm;</w:t>
      </w:r>
    </w:p>
    <w:p>
      <w:pPr>
        <w:pStyle w:val="Indenti"/>
        <w:rPr>
          <w:snapToGrid w:val="0"/>
        </w:rPr>
      </w:pPr>
      <w:r>
        <w:rPr>
          <w:snapToGrid w:val="0"/>
        </w:rPr>
        <w:tab/>
        <w:t>(iii)</w:t>
      </w:r>
      <w:r>
        <w:rPr>
          <w:snapToGrid w:val="0"/>
        </w:rPr>
        <w:tab/>
        <w:t>where the licensee is a body corporate, the name, address, and, where applicable, licence number of each director of the licensee;</w:t>
      </w:r>
    </w:p>
    <w:p>
      <w:pPr>
        <w:pStyle w:val="Indenti"/>
        <w:rPr>
          <w:snapToGrid w:val="0"/>
        </w:rPr>
      </w:pPr>
      <w:r>
        <w:rPr>
          <w:snapToGrid w:val="0"/>
        </w:rPr>
        <w:tab/>
        <w:t>(iv)</w:t>
      </w:r>
      <w:r>
        <w:rPr>
          <w:snapToGrid w:val="0"/>
        </w:rPr>
        <w:tab/>
        <w:t>the licence number and the date on which the licence held by the licensee was granted;</w:t>
      </w:r>
    </w:p>
    <w:p>
      <w:pPr>
        <w:pStyle w:val="Indenti"/>
        <w:rPr>
          <w:snapToGrid w:val="0"/>
        </w:rPr>
      </w:pPr>
      <w:r>
        <w:rPr>
          <w:snapToGrid w:val="0"/>
        </w:rPr>
        <w:tab/>
        <w:t>(v)</w:t>
      </w:r>
      <w:r>
        <w:rPr>
          <w:snapToGrid w:val="0"/>
        </w:rPr>
        <w:tab/>
        <w:t>any special condition to which the licence held by the licensee is subject;</w:t>
      </w:r>
    </w:p>
    <w:p>
      <w:pPr>
        <w:pStyle w:val="Indenti"/>
        <w:rPr>
          <w:snapToGrid w:val="0"/>
        </w:rPr>
      </w:pPr>
      <w:r>
        <w:rPr>
          <w:snapToGrid w:val="0"/>
        </w:rPr>
        <w:tab/>
        <w:t>(vi)</w:t>
      </w:r>
      <w:r>
        <w:rPr>
          <w:snapToGrid w:val="0"/>
        </w:rPr>
        <w:tab/>
        <w:t>where a claim has been made or sustained against the Fund in respect of the licensee, a reference to that claim;</w:t>
      </w:r>
    </w:p>
    <w:p>
      <w:pPr>
        <w:pStyle w:val="Indenta"/>
        <w:rPr>
          <w:snapToGrid w:val="0"/>
        </w:rPr>
      </w:pPr>
      <w:r>
        <w:rPr>
          <w:snapToGrid w:val="0"/>
        </w:rPr>
        <w:tab/>
        <w:t>(b)</w:t>
      </w:r>
      <w:r>
        <w:rPr>
          <w:snapToGrid w:val="0"/>
        </w:rPr>
        <w:tab/>
        <w:t>in the register of holders of current triennial certificates are, in respect of each holder — </w:t>
      </w:r>
    </w:p>
    <w:p>
      <w:pPr>
        <w:pStyle w:val="Indenti"/>
        <w:rPr>
          <w:snapToGrid w:val="0"/>
        </w:rPr>
      </w:pPr>
      <w:r>
        <w:rPr>
          <w:snapToGrid w:val="0"/>
        </w:rPr>
        <w:tab/>
        <w:t>(i)</w:t>
      </w:r>
      <w:r>
        <w:rPr>
          <w:snapToGrid w:val="0"/>
        </w:rPr>
        <w:tab/>
        <w:t>the name and address of the holder;</w:t>
      </w:r>
    </w:p>
    <w:p>
      <w:pPr>
        <w:pStyle w:val="Indenti"/>
        <w:rPr>
          <w:snapToGrid w:val="0"/>
        </w:rPr>
      </w:pPr>
      <w:r>
        <w:rPr>
          <w:snapToGrid w:val="0"/>
        </w:rPr>
        <w:tab/>
        <w:t>(ii)</w:t>
      </w:r>
      <w:r>
        <w:rPr>
          <w:snapToGrid w:val="0"/>
        </w:rPr>
        <w:tab/>
        <w:t>any business name under which the holder carries on business as an agent;</w:t>
      </w:r>
    </w:p>
    <w:p>
      <w:pPr>
        <w:pStyle w:val="Indenti"/>
        <w:rPr>
          <w:snapToGrid w:val="0"/>
        </w:rPr>
      </w:pPr>
      <w:r>
        <w:rPr>
          <w:snapToGrid w:val="0"/>
        </w:rPr>
        <w:tab/>
        <w:t>(iii)</w:t>
      </w:r>
      <w:r>
        <w:rPr>
          <w:snapToGrid w:val="0"/>
        </w:rPr>
        <w:tab/>
        <w:t>the situation of the registered office of the holder;</w:t>
      </w:r>
    </w:p>
    <w:p>
      <w:pPr>
        <w:pStyle w:val="Indenti"/>
        <w:rPr>
          <w:snapToGrid w:val="0"/>
        </w:rPr>
      </w:pPr>
      <w:r>
        <w:rPr>
          <w:snapToGrid w:val="0"/>
        </w:rPr>
        <w:tab/>
        <w:t>(iv)</w:t>
      </w:r>
      <w:r>
        <w:rPr>
          <w:snapToGrid w:val="0"/>
        </w:rPr>
        <w:tab/>
        <w:t>where the holder is a firm, the name, address, and, where applicable, licence number of each partner constituting the firm;</w:t>
      </w:r>
    </w:p>
    <w:p>
      <w:pPr>
        <w:pStyle w:val="Indenti"/>
        <w:rPr>
          <w:snapToGrid w:val="0"/>
        </w:rPr>
      </w:pPr>
      <w:r>
        <w:rPr>
          <w:snapToGrid w:val="0"/>
        </w:rPr>
        <w:tab/>
        <w:t>(v)</w:t>
      </w:r>
      <w:r>
        <w:rPr>
          <w:snapToGrid w:val="0"/>
        </w:rPr>
        <w:tab/>
        <w:t>where the holder is a body corporate, the name, address and, where applicable, licence number of each director of the holder;</w:t>
      </w:r>
    </w:p>
    <w:p>
      <w:pPr>
        <w:pStyle w:val="Indenti"/>
        <w:rPr>
          <w:snapToGrid w:val="0"/>
        </w:rPr>
      </w:pPr>
      <w:r>
        <w:rPr>
          <w:snapToGrid w:val="0"/>
        </w:rPr>
        <w:tab/>
        <w:t>(vi)</w:t>
      </w:r>
      <w:r>
        <w:rPr>
          <w:snapToGrid w:val="0"/>
        </w:rPr>
        <w:tab/>
        <w:t xml:space="preserve">where the holder is a firm or body corporate, the name and address of the person in </w:t>
      </w:r>
      <w:r>
        <w:rPr>
          <w:i/>
          <w:snapToGrid w:val="0"/>
        </w:rPr>
        <w:t>bona fide</w:t>
      </w:r>
      <w:r>
        <w:rPr>
          <w:snapToGrid w:val="0"/>
        </w:rPr>
        <w:t xml:space="preserve"> control of the business of the holder;</w:t>
      </w:r>
    </w:p>
    <w:p>
      <w:pPr>
        <w:pStyle w:val="Indenti"/>
        <w:rPr>
          <w:snapToGrid w:val="0"/>
        </w:rPr>
      </w:pPr>
      <w:r>
        <w:rPr>
          <w:snapToGrid w:val="0"/>
        </w:rPr>
        <w:tab/>
        <w:t>(vii)</w:t>
      </w:r>
      <w:r>
        <w:rPr>
          <w:snapToGrid w:val="0"/>
        </w:rPr>
        <w:tab/>
        <w:t>the licence number, and the date on which the licence held by the holder of the certificate was granted;</w:t>
      </w:r>
    </w:p>
    <w:p>
      <w:pPr>
        <w:pStyle w:val="Indenti"/>
        <w:rPr>
          <w:snapToGrid w:val="0"/>
        </w:rPr>
      </w:pPr>
      <w:r>
        <w:rPr>
          <w:snapToGrid w:val="0"/>
        </w:rPr>
        <w:tab/>
        <w:t>(viii)</w:t>
      </w:r>
      <w:r>
        <w:rPr>
          <w:snapToGrid w:val="0"/>
        </w:rPr>
        <w:tab/>
        <w:t>the certificate number, and the date on which the certificate currently held by the holder was granted or renewed, as the case may be;</w:t>
      </w:r>
    </w:p>
    <w:p>
      <w:pPr>
        <w:pStyle w:val="Indenti"/>
        <w:rPr>
          <w:snapToGrid w:val="0"/>
        </w:rPr>
      </w:pPr>
      <w:r>
        <w:rPr>
          <w:snapToGrid w:val="0"/>
        </w:rPr>
        <w:tab/>
        <w:t>(ix)</w:t>
      </w:r>
      <w:r>
        <w:rPr>
          <w:snapToGrid w:val="0"/>
        </w:rPr>
        <w:tab/>
        <w:t>the name and address of the auditor appointed by the holder;</w:t>
      </w:r>
    </w:p>
    <w:p>
      <w:pPr>
        <w:pStyle w:val="Indenti"/>
        <w:rPr>
          <w:snapToGrid w:val="0"/>
        </w:rPr>
      </w:pPr>
      <w:r>
        <w:rPr>
          <w:snapToGrid w:val="0"/>
        </w:rPr>
        <w:tab/>
        <w:t>(x)</w:t>
      </w:r>
      <w:r>
        <w:rPr>
          <w:snapToGrid w:val="0"/>
        </w:rPr>
        <w:tab/>
        <w:t>the amount of any payment made under section 113 of the Act by the holder;</w:t>
      </w:r>
    </w:p>
    <w:p>
      <w:pPr>
        <w:pStyle w:val="Indenta"/>
        <w:rPr>
          <w:snapToGrid w:val="0"/>
        </w:rPr>
      </w:pPr>
      <w:r>
        <w:rPr>
          <w:snapToGrid w:val="0"/>
        </w:rPr>
        <w:tab/>
        <w:t>(c)</w:t>
      </w:r>
      <w:r>
        <w:rPr>
          <w:snapToGrid w:val="0"/>
        </w:rPr>
        <w:tab/>
        <w:t>in the register of holders of current certificates of registration are, in respect of each holder — </w:t>
      </w:r>
    </w:p>
    <w:p>
      <w:pPr>
        <w:pStyle w:val="Indenti"/>
        <w:rPr>
          <w:snapToGrid w:val="0"/>
        </w:rPr>
      </w:pPr>
      <w:r>
        <w:rPr>
          <w:snapToGrid w:val="0"/>
        </w:rPr>
        <w:tab/>
        <w:t>(i)</w:t>
      </w:r>
      <w:r>
        <w:rPr>
          <w:snapToGrid w:val="0"/>
        </w:rPr>
        <w:tab/>
        <w:t>the name and address of the holder;</w:t>
      </w:r>
    </w:p>
    <w:p>
      <w:pPr>
        <w:pStyle w:val="Indenti"/>
        <w:rPr>
          <w:snapToGrid w:val="0"/>
        </w:rPr>
      </w:pPr>
      <w:r>
        <w:rPr>
          <w:snapToGrid w:val="0"/>
        </w:rPr>
        <w:tab/>
        <w:t>(ii)</w:t>
      </w:r>
      <w:r>
        <w:rPr>
          <w:snapToGrid w:val="0"/>
        </w:rPr>
        <w:tab/>
        <w:t>the certificate number and the date on which the certificate currently held by the holder was granted or renewed, as the case may be;</w:t>
      </w:r>
    </w:p>
    <w:p>
      <w:pPr>
        <w:pStyle w:val="Indenti"/>
        <w:rPr>
          <w:snapToGrid w:val="0"/>
        </w:rPr>
      </w:pPr>
      <w:r>
        <w:rPr>
          <w:snapToGrid w:val="0"/>
        </w:rPr>
        <w:tab/>
        <w:t>(iii)</w:t>
      </w:r>
      <w:r>
        <w:rPr>
          <w:snapToGrid w:val="0"/>
        </w:rPr>
        <w:tab/>
        <w:t>any special condition to which the certificate held by the holder is subject;</w:t>
      </w:r>
    </w:p>
    <w:p>
      <w:pPr>
        <w:pStyle w:val="Indenti"/>
        <w:rPr>
          <w:snapToGrid w:val="0"/>
        </w:rPr>
      </w:pPr>
      <w:r>
        <w:rPr>
          <w:snapToGrid w:val="0"/>
        </w:rPr>
        <w:tab/>
        <w:t>(iv)</w:t>
      </w:r>
      <w:r>
        <w:rPr>
          <w:snapToGrid w:val="0"/>
        </w:rPr>
        <w:tab/>
        <w:t>the amount of any payment made under section 113 of the Act by the holder;</w:t>
      </w:r>
    </w:p>
    <w:p>
      <w:pPr>
        <w:pStyle w:val="Indenti"/>
        <w:rPr>
          <w:snapToGrid w:val="0"/>
        </w:rPr>
      </w:pPr>
      <w:r>
        <w:rPr>
          <w:snapToGrid w:val="0"/>
        </w:rPr>
        <w:tab/>
        <w:t>(v)</w:t>
      </w:r>
      <w:r>
        <w:rPr>
          <w:snapToGrid w:val="0"/>
        </w:rPr>
        <w:tab/>
        <w:t>the name and address of the licensee or developer for and on behalf of whom the holder acts or by whom the holder is employed;</w:t>
      </w:r>
    </w:p>
    <w:p>
      <w:pPr>
        <w:pStyle w:val="Indenti"/>
        <w:rPr>
          <w:snapToGrid w:val="0"/>
        </w:rPr>
      </w:pPr>
      <w:r>
        <w:rPr>
          <w:snapToGrid w:val="0"/>
        </w:rPr>
        <w:tab/>
        <w:t>(vi)</w:t>
      </w:r>
      <w:r>
        <w:rPr>
          <w:snapToGrid w:val="0"/>
        </w:rPr>
        <w:tab/>
        <w:t>the date upon which a holder commenced in that capacity to act for and on behalf of, or be employed by, the licensee or developer referred to in subparagraph (v);</w:t>
      </w:r>
    </w:p>
    <w:p>
      <w:pPr>
        <w:pStyle w:val="Indenti"/>
        <w:rPr>
          <w:snapToGrid w:val="0"/>
        </w:rPr>
      </w:pPr>
      <w:r>
        <w:rPr>
          <w:snapToGrid w:val="0"/>
        </w:rPr>
        <w:tab/>
        <w:t>(vii)</w:t>
      </w:r>
      <w:r>
        <w:rPr>
          <w:snapToGrid w:val="0"/>
        </w:rPr>
        <w:tab/>
        <w:t>the name and address of every other licensee or developer for and on behalf of whom the holder has acted, or by whom the holder has been employed in that capacity, and the dates on which the holder commenced and ceased to so act or be employed by each of them, respectively.</w:t>
      </w:r>
    </w:p>
    <w:p>
      <w:pPr>
        <w:pStyle w:val="Footnotesection"/>
      </w:pPr>
      <w:r>
        <w:tab/>
        <w:t>[Regulation 7 amended in Gazette 7 Feb 2003 p. 387.]</w:t>
      </w:r>
    </w:p>
    <w:p>
      <w:pPr>
        <w:pStyle w:val="Heading5"/>
        <w:rPr>
          <w:snapToGrid w:val="0"/>
        </w:rPr>
      </w:pPr>
      <w:bookmarkStart w:id="153" w:name="_Toc848611"/>
      <w:bookmarkStart w:id="154" w:name="_Toc3274260"/>
      <w:bookmarkStart w:id="155" w:name="_Toc3621809"/>
      <w:bookmarkStart w:id="156" w:name="_Toc93113978"/>
      <w:bookmarkStart w:id="157" w:name="_Toc158520408"/>
      <w:bookmarkStart w:id="158" w:name="_Toc151524268"/>
      <w:r>
        <w:rPr>
          <w:rStyle w:val="CharSectno"/>
        </w:rPr>
        <w:t>7AA</w:t>
      </w:r>
      <w:r>
        <w:rPr>
          <w:snapToGrid w:val="0"/>
        </w:rPr>
        <w:t>.</w:t>
      </w:r>
      <w:r>
        <w:rPr>
          <w:snapToGrid w:val="0"/>
        </w:rPr>
        <w:tab/>
        <w:t>Definition of “</w:t>
      </w:r>
      <w:r>
        <w:rPr>
          <w:rStyle w:val="CharDefText"/>
          <w:b/>
        </w:rPr>
        <w:t>lending institution</w:t>
      </w:r>
      <w:r>
        <w:rPr>
          <w:snapToGrid w:val="0"/>
        </w:rPr>
        <w:t>” — prescribed class</w:t>
      </w:r>
      <w:bookmarkEnd w:id="153"/>
      <w:bookmarkEnd w:id="154"/>
      <w:bookmarkEnd w:id="155"/>
      <w:bookmarkEnd w:id="156"/>
      <w:bookmarkEnd w:id="157"/>
      <w:bookmarkEnd w:id="158"/>
      <w:r>
        <w:rPr>
          <w:snapToGrid w:val="0"/>
        </w:rPr>
        <w:t xml:space="preserve"> </w:t>
      </w:r>
    </w:p>
    <w:p>
      <w:pPr>
        <w:pStyle w:val="Subsection"/>
        <w:rPr>
          <w:snapToGrid w:val="0"/>
        </w:rPr>
      </w:pPr>
      <w:r>
        <w:rPr>
          <w:snapToGrid w:val="0"/>
        </w:rPr>
        <w:tab/>
      </w:r>
      <w:r>
        <w:rPr>
          <w:snapToGrid w:val="0"/>
        </w:rPr>
        <w:tab/>
        <w:t>For the purposes of the definition of “</w:t>
      </w:r>
      <w:r>
        <w:rPr>
          <w:rStyle w:val="CharDefText"/>
          <w:b w:val="0"/>
        </w:rPr>
        <w:t>lending institution</w:t>
      </w:r>
      <w:r>
        <w:rPr>
          <w:snapToGrid w:val="0"/>
        </w:rPr>
        <w:t>” in section 131A of the Act, the class consisting of bodies, other than bodies referred to in paragraphs (a), (b) and (c) of that definition, that provide loans to persons in order to assist those persons to purchase a dwelling is prescribed.</w:t>
      </w:r>
    </w:p>
    <w:p>
      <w:pPr>
        <w:pStyle w:val="Footnotesection"/>
      </w:pPr>
      <w:r>
        <w:tab/>
        <w:t xml:space="preserve">[Regulation 7AA inserted in Gazette 25 Jun 1996 p. 2920.] </w:t>
      </w:r>
    </w:p>
    <w:p>
      <w:pPr>
        <w:pStyle w:val="Heading5"/>
        <w:rPr>
          <w:snapToGrid w:val="0"/>
        </w:rPr>
      </w:pPr>
      <w:bookmarkStart w:id="159" w:name="_Toc848612"/>
      <w:bookmarkStart w:id="160" w:name="_Toc3274261"/>
      <w:bookmarkStart w:id="161" w:name="_Toc3621810"/>
      <w:bookmarkStart w:id="162" w:name="_Toc93113979"/>
      <w:bookmarkStart w:id="163" w:name="_Toc158520409"/>
      <w:bookmarkStart w:id="164" w:name="_Toc151524269"/>
      <w:r>
        <w:rPr>
          <w:rStyle w:val="CharSectno"/>
        </w:rPr>
        <w:t>7A</w:t>
      </w:r>
      <w:r>
        <w:rPr>
          <w:snapToGrid w:val="0"/>
        </w:rPr>
        <w:t>.</w:t>
      </w:r>
      <w:r>
        <w:rPr>
          <w:snapToGrid w:val="0"/>
        </w:rPr>
        <w:tab/>
        <w:t>Prescribed form of application for assistance from Home Buyers Assistance Fund</w:t>
      </w:r>
      <w:bookmarkEnd w:id="159"/>
      <w:bookmarkEnd w:id="160"/>
      <w:bookmarkEnd w:id="161"/>
      <w:bookmarkEnd w:id="162"/>
      <w:bookmarkEnd w:id="163"/>
      <w:bookmarkEnd w:id="164"/>
      <w:r>
        <w:rPr>
          <w:snapToGrid w:val="0"/>
        </w:rPr>
        <w:t xml:space="preserve"> </w:t>
      </w:r>
    </w:p>
    <w:p>
      <w:pPr>
        <w:pStyle w:val="Subsection"/>
        <w:rPr>
          <w:snapToGrid w:val="0"/>
        </w:rPr>
      </w:pPr>
      <w:r>
        <w:rPr>
          <w:snapToGrid w:val="0"/>
        </w:rPr>
        <w:tab/>
      </w:r>
      <w:r>
        <w:rPr>
          <w:snapToGrid w:val="0"/>
        </w:rPr>
        <w:tab/>
        <w:t>For the purposes of section 131L(1) of the Act, the prescribed form of application is in the form of Form 1 set out in Schedule 2.</w:t>
      </w:r>
    </w:p>
    <w:p>
      <w:pPr>
        <w:pStyle w:val="Footnotesection"/>
      </w:pPr>
      <w:r>
        <w:tab/>
        <w:t xml:space="preserve">[Regulation 7A inserted in Gazette 2 Jul 1982 p. 2355.] </w:t>
      </w:r>
    </w:p>
    <w:p>
      <w:pPr>
        <w:pStyle w:val="Heading5"/>
        <w:rPr>
          <w:snapToGrid w:val="0"/>
        </w:rPr>
      </w:pPr>
      <w:bookmarkStart w:id="165" w:name="_Toc848613"/>
      <w:bookmarkStart w:id="166" w:name="_Toc3274262"/>
      <w:bookmarkStart w:id="167" w:name="_Toc3621811"/>
      <w:bookmarkStart w:id="168" w:name="_Toc93113980"/>
      <w:bookmarkStart w:id="169" w:name="_Toc158520410"/>
      <w:bookmarkStart w:id="170" w:name="_Toc151524270"/>
      <w:r>
        <w:rPr>
          <w:rStyle w:val="CharSectno"/>
        </w:rPr>
        <w:t>7B</w:t>
      </w:r>
      <w:r>
        <w:rPr>
          <w:snapToGrid w:val="0"/>
        </w:rPr>
        <w:t>.</w:t>
      </w:r>
      <w:r>
        <w:rPr>
          <w:snapToGrid w:val="0"/>
        </w:rPr>
        <w:tab/>
        <w:t>Prescribed amount for purposes of section 131M(3)</w:t>
      </w:r>
      <w:bookmarkEnd w:id="165"/>
      <w:bookmarkEnd w:id="166"/>
      <w:bookmarkEnd w:id="167"/>
      <w:bookmarkEnd w:id="168"/>
      <w:bookmarkEnd w:id="169"/>
      <w:bookmarkEnd w:id="170"/>
      <w:r>
        <w:rPr>
          <w:snapToGrid w:val="0"/>
        </w:rPr>
        <w:t xml:space="preserve"> </w:t>
      </w:r>
    </w:p>
    <w:p>
      <w:pPr>
        <w:pStyle w:val="Subsection"/>
        <w:rPr>
          <w:snapToGrid w:val="0"/>
        </w:rPr>
      </w:pPr>
      <w:r>
        <w:rPr>
          <w:snapToGrid w:val="0"/>
        </w:rPr>
        <w:tab/>
      </w:r>
      <w:r>
        <w:rPr>
          <w:snapToGrid w:val="0"/>
        </w:rPr>
        <w:tab/>
        <w:t>For the purposes of section 131M(3) the prescribed maximum amount is $2 000.</w:t>
      </w:r>
    </w:p>
    <w:p>
      <w:pPr>
        <w:pStyle w:val="Footnotesection"/>
      </w:pPr>
      <w:r>
        <w:tab/>
        <w:t xml:space="preserve">[Regulation 7B inserted in Gazette 30 Sep 1994 p. 4969.] </w:t>
      </w:r>
    </w:p>
    <w:p>
      <w:pPr>
        <w:pStyle w:val="Heading5"/>
        <w:rPr>
          <w:snapToGrid w:val="0"/>
        </w:rPr>
      </w:pPr>
      <w:bookmarkStart w:id="171" w:name="_Toc848614"/>
      <w:bookmarkStart w:id="172" w:name="_Toc3274263"/>
      <w:bookmarkStart w:id="173" w:name="_Toc3621812"/>
      <w:bookmarkStart w:id="174" w:name="_Toc93113981"/>
      <w:bookmarkStart w:id="175" w:name="_Toc158520411"/>
      <w:bookmarkStart w:id="176" w:name="_Toc151524271"/>
      <w:r>
        <w:rPr>
          <w:rStyle w:val="CharSectno"/>
        </w:rPr>
        <w:t>8</w:t>
      </w:r>
      <w:r>
        <w:rPr>
          <w:snapToGrid w:val="0"/>
        </w:rPr>
        <w:t>.</w:t>
      </w:r>
      <w:r>
        <w:rPr>
          <w:snapToGrid w:val="0"/>
        </w:rPr>
        <w:tab/>
        <w:t>Notice of changes in particulars</w:t>
      </w:r>
      <w:bookmarkEnd w:id="171"/>
      <w:bookmarkEnd w:id="172"/>
      <w:bookmarkEnd w:id="173"/>
      <w:bookmarkEnd w:id="174"/>
      <w:bookmarkEnd w:id="175"/>
      <w:bookmarkEnd w:id="176"/>
      <w:r>
        <w:rPr>
          <w:snapToGrid w:val="0"/>
        </w:rPr>
        <w:t xml:space="preserve"> </w:t>
      </w:r>
    </w:p>
    <w:p>
      <w:pPr>
        <w:pStyle w:val="Subsection"/>
        <w:rPr>
          <w:snapToGrid w:val="0"/>
        </w:rPr>
      </w:pPr>
      <w:r>
        <w:rPr>
          <w:snapToGrid w:val="0"/>
        </w:rPr>
        <w:tab/>
      </w:r>
      <w:r>
        <w:rPr>
          <w:snapToGrid w:val="0"/>
        </w:rPr>
        <w:tab/>
        <w:t>A licensee shall give to the Registrar notice in writing — </w:t>
      </w:r>
    </w:p>
    <w:p>
      <w:pPr>
        <w:pStyle w:val="Indenta"/>
        <w:spacing w:before="120"/>
        <w:rPr>
          <w:snapToGrid w:val="0"/>
        </w:rPr>
      </w:pPr>
      <w:r>
        <w:rPr>
          <w:snapToGrid w:val="0"/>
        </w:rPr>
        <w:tab/>
        <w:t>(a)</w:t>
      </w:r>
      <w:r>
        <w:rPr>
          <w:snapToGrid w:val="0"/>
        </w:rPr>
        <w:tab/>
        <w:t>where the licensee is a body corporate, of any change in the directors of the body corporate;</w:t>
      </w:r>
    </w:p>
    <w:p>
      <w:pPr>
        <w:pStyle w:val="Indenta"/>
        <w:spacing w:before="120"/>
        <w:rPr>
          <w:snapToGrid w:val="0"/>
        </w:rPr>
      </w:pPr>
      <w:r>
        <w:rPr>
          <w:snapToGrid w:val="0"/>
        </w:rPr>
        <w:tab/>
        <w:t>(b)</w:t>
      </w:r>
      <w:r>
        <w:rPr>
          <w:snapToGrid w:val="0"/>
        </w:rPr>
        <w:tab/>
        <w:t>where the licensee is a firm and any of the persons by whom or by which it is constituted is a body corporate, of any change in the directors of any such body corporate;</w:t>
      </w:r>
    </w:p>
    <w:p>
      <w:pPr>
        <w:pStyle w:val="Indenta"/>
        <w:keepNext/>
        <w:rPr>
          <w:snapToGrid w:val="0"/>
        </w:rPr>
      </w:pPr>
      <w:r>
        <w:rPr>
          <w:snapToGrid w:val="0"/>
        </w:rPr>
        <w:tab/>
        <w:t>(c)</w:t>
      </w:r>
      <w:r>
        <w:rPr>
          <w:snapToGrid w:val="0"/>
        </w:rPr>
        <w:tab/>
        <w:t xml:space="preserve">where the licensee is a firm or body corporate, of any change in the person in </w:t>
      </w:r>
      <w:r>
        <w:rPr>
          <w:i/>
          <w:snapToGrid w:val="0"/>
        </w:rPr>
        <w:t>bona fide</w:t>
      </w:r>
      <w:r>
        <w:rPr>
          <w:snapToGrid w:val="0"/>
        </w:rPr>
        <w:t xml:space="preserve"> control of the business operated under the licence held by the licensee,</w:t>
      </w:r>
    </w:p>
    <w:p>
      <w:pPr>
        <w:pStyle w:val="Subsection"/>
        <w:keepNext/>
        <w:rPr>
          <w:snapToGrid w:val="0"/>
        </w:rPr>
      </w:pPr>
      <w:r>
        <w:rPr>
          <w:snapToGrid w:val="0"/>
        </w:rPr>
        <w:tab/>
      </w:r>
      <w:r>
        <w:rPr>
          <w:snapToGrid w:val="0"/>
        </w:rPr>
        <w:tab/>
        <w:t>within one month of the change.</w:t>
      </w:r>
    </w:p>
    <w:p>
      <w:pPr>
        <w:pStyle w:val="Penstart"/>
        <w:rPr>
          <w:snapToGrid w:val="0"/>
        </w:rPr>
      </w:pPr>
      <w:r>
        <w:rPr>
          <w:snapToGrid w:val="0"/>
        </w:rPr>
        <w:tab/>
        <w:t>Penalty: $100.</w:t>
      </w:r>
    </w:p>
    <w:p>
      <w:pPr>
        <w:pStyle w:val="Heading5"/>
        <w:rPr>
          <w:snapToGrid w:val="0"/>
        </w:rPr>
      </w:pPr>
      <w:bookmarkStart w:id="177" w:name="_Toc848615"/>
      <w:bookmarkStart w:id="178" w:name="_Toc3274264"/>
      <w:bookmarkStart w:id="179" w:name="_Toc3621813"/>
      <w:bookmarkStart w:id="180" w:name="_Toc93113982"/>
      <w:bookmarkStart w:id="181" w:name="_Toc158520412"/>
      <w:bookmarkStart w:id="182" w:name="_Toc151524272"/>
      <w:r>
        <w:rPr>
          <w:rStyle w:val="CharSectno"/>
        </w:rPr>
        <w:t>9</w:t>
      </w:r>
      <w:r>
        <w:rPr>
          <w:snapToGrid w:val="0"/>
        </w:rPr>
        <w:t>.</w:t>
      </w:r>
      <w:r>
        <w:rPr>
          <w:snapToGrid w:val="0"/>
        </w:rPr>
        <w:tab/>
        <w:t>Recovery of fees, fines and costs</w:t>
      </w:r>
      <w:bookmarkEnd w:id="177"/>
      <w:bookmarkEnd w:id="178"/>
      <w:bookmarkEnd w:id="179"/>
      <w:bookmarkEnd w:id="180"/>
      <w:bookmarkEnd w:id="181"/>
      <w:bookmarkEnd w:id="182"/>
      <w:r>
        <w:rPr>
          <w:snapToGrid w:val="0"/>
        </w:rPr>
        <w:t xml:space="preserve"> </w:t>
      </w:r>
    </w:p>
    <w:p>
      <w:pPr>
        <w:pStyle w:val="Subsection"/>
        <w:rPr>
          <w:snapToGrid w:val="0"/>
        </w:rPr>
      </w:pPr>
      <w:r>
        <w:rPr>
          <w:snapToGrid w:val="0"/>
        </w:rPr>
        <w:tab/>
        <w:t>(1)</w:t>
      </w:r>
      <w:r>
        <w:rPr>
          <w:snapToGrid w:val="0"/>
        </w:rPr>
        <w:tab/>
        <w:t>The amount of — </w:t>
      </w:r>
    </w:p>
    <w:p>
      <w:pPr>
        <w:pStyle w:val="Indenta"/>
        <w:rPr>
          <w:snapToGrid w:val="0"/>
        </w:rPr>
      </w:pPr>
      <w:r>
        <w:rPr>
          <w:snapToGrid w:val="0"/>
        </w:rPr>
        <w:tab/>
        <w:t>(a)</w:t>
      </w:r>
      <w:r>
        <w:rPr>
          <w:snapToGrid w:val="0"/>
        </w:rPr>
        <w:tab/>
        <w:t>any fees prescribed by these regulations;</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any costs ordered by the Board to be paid to the Registrar upon the determination of any proceedings,</w:t>
      </w:r>
    </w:p>
    <w:p>
      <w:pPr>
        <w:pStyle w:val="Subsection"/>
        <w:rPr>
          <w:snapToGrid w:val="0"/>
        </w:rPr>
      </w:pPr>
      <w:r>
        <w:rPr>
          <w:snapToGrid w:val="0"/>
        </w:rPr>
        <w:tab/>
      </w:r>
      <w:r>
        <w:rPr>
          <w:snapToGrid w:val="0"/>
        </w:rPr>
        <w:tab/>
        <w:t>may be sued for and recovered by the Registrar on behalf of the Crown in any court of competent jurisdiction.</w:t>
      </w:r>
    </w:p>
    <w:p>
      <w:pPr>
        <w:pStyle w:val="Subsection"/>
        <w:rPr>
          <w:snapToGrid w:val="0"/>
        </w:rPr>
      </w:pPr>
      <w:r>
        <w:rPr>
          <w:snapToGrid w:val="0"/>
        </w:rPr>
        <w:tab/>
        <w:t>(2)</w:t>
      </w:r>
      <w:r>
        <w:rPr>
          <w:snapToGrid w:val="0"/>
        </w:rPr>
        <w:tab/>
        <w:t>Where, upon the determination of any proceedings, the Board makes an order for costs in favour of a person other than the Registrar, the amount of those costs may be sued for by that person and recovered from the person against whom the order is made, in any court of competent jurisdiction.</w:t>
      </w:r>
    </w:p>
    <w:p>
      <w:pPr>
        <w:pStyle w:val="Footnotesection"/>
      </w:pPr>
      <w:bookmarkStart w:id="183" w:name="_Toc848616"/>
      <w:bookmarkStart w:id="184" w:name="_Toc3274265"/>
      <w:bookmarkStart w:id="185" w:name="_Toc3621814"/>
      <w:r>
        <w:tab/>
        <w:t>[Regulation 9 amended in Gazette 30 Dec 2004 p. 6924.]</w:t>
      </w:r>
    </w:p>
    <w:p>
      <w:pPr>
        <w:pStyle w:val="Heading5"/>
        <w:rPr>
          <w:snapToGrid w:val="0"/>
        </w:rPr>
      </w:pPr>
      <w:bookmarkStart w:id="186" w:name="_Toc93113983"/>
      <w:bookmarkStart w:id="187" w:name="_Toc158520413"/>
      <w:bookmarkStart w:id="188" w:name="_Toc151524273"/>
      <w:r>
        <w:rPr>
          <w:rStyle w:val="CharSectno"/>
        </w:rPr>
        <w:t>10</w:t>
      </w:r>
      <w:r>
        <w:rPr>
          <w:snapToGrid w:val="0"/>
        </w:rPr>
        <w:t>.</w:t>
      </w:r>
      <w:r>
        <w:rPr>
          <w:snapToGrid w:val="0"/>
        </w:rPr>
        <w:tab/>
        <w:t>Refund to unsuccessful applicant</w:t>
      </w:r>
      <w:bookmarkEnd w:id="183"/>
      <w:bookmarkEnd w:id="184"/>
      <w:bookmarkEnd w:id="185"/>
      <w:bookmarkEnd w:id="186"/>
      <w:bookmarkEnd w:id="187"/>
      <w:bookmarkEnd w:id="188"/>
      <w:r>
        <w:rPr>
          <w:snapToGrid w:val="0"/>
        </w:rPr>
        <w:t xml:space="preserve"> </w:t>
      </w:r>
    </w:p>
    <w:p>
      <w:pPr>
        <w:pStyle w:val="Subsection"/>
        <w:rPr>
          <w:snapToGrid w:val="0"/>
        </w:rPr>
      </w:pPr>
      <w:r>
        <w:rPr>
          <w:snapToGrid w:val="0"/>
        </w:rPr>
        <w:tab/>
      </w:r>
      <w:r>
        <w:rPr>
          <w:snapToGrid w:val="0"/>
        </w:rPr>
        <w:tab/>
        <w:t>An amount paid to the Board under section 113 of the Act in respect of an application referred to in that section shall, where that application does not result in the grant or renewal of a licence, triennial certificate, or certificate of registration, be refunded to the applicant from the Fidelity Guarantee Fund.</w:t>
      </w:r>
    </w:p>
    <w:p>
      <w:pPr>
        <w:pStyle w:val="Heading5"/>
        <w:rPr>
          <w:snapToGrid w:val="0"/>
        </w:rPr>
      </w:pPr>
      <w:bookmarkStart w:id="189" w:name="_Toc848617"/>
      <w:bookmarkStart w:id="190" w:name="_Toc3274266"/>
      <w:bookmarkStart w:id="191" w:name="_Toc3621815"/>
      <w:bookmarkStart w:id="192" w:name="_Toc93113984"/>
      <w:bookmarkStart w:id="193" w:name="_Toc158520414"/>
      <w:bookmarkStart w:id="194" w:name="_Toc151524274"/>
      <w:r>
        <w:rPr>
          <w:rStyle w:val="CharSectno"/>
        </w:rPr>
        <w:t>11</w:t>
      </w:r>
      <w:r>
        <w:rPr>
          <w:snapToGrid w:val="0"/>
        </w:rPr>
        <w:t>.</w:t>
      </w:r>
      <w:r>
        <w:rPr>
          <w:snapToGrid w:val="0"/>
        </w:rPr>
        <w:tab/>
        <w:t>Application of Board Interest Account</w:t>
      </w:r>
      <w:bookmarkEnd w:id="189"/>
      <w:bookmarkEnd w:id="190"/>
      <w:bookmarkEnd w:id="191"/>
      <w:bookmarkEnd w:id="192"/>
      <w:bookmarkEnd w:id="193"/>
      <w:bookmarkEnd w:id="194"/>
      <w:r>
        <w:rPr>
          <w:snapToGrid w:val="0"/>
        </w:rPr>
        <w:t xml:space="preserve"> </w:t>
      </w:r>
    </w:p>
    <w:p>
      <w:pPr>
        <w:pStyle w:val="Subsection"/>
        <w:rPr>
          <w:snapToGrid w:val="0"/>
        </w:rPr>
      </w:pPr>
      <w:r>
        <w:rPr>
          <w:snapToGrid w:val="0"/>
        </w:rPr>
        <w:tab/>
      </w:r>
      <w:r>
        <w:rPr>
          <w:snapToGrid w:val="0"/>
        </w:rPr>
        <w:tab/>
        <w:t>For the purposes of section 127 of the Act — </w:t>
      </w:r>
    </w:p>
    <w:p>
      <w:pPr>
        <w:pStyle w:val="Indenta"/>
        <w:rPr>
          <w:snapToGrid w:val="0"/>
        </w:rPr>
      </w:pPr>
      <w:r>
        <w:rPr>
          <w:snapToGrid w:val="0"/>
        </w:rPr>
        <w:tab/>
        <w:t>(a)</w:t>
      </w:r>
      <w:r>
        <w:rPr>
          <w:snapToGrid w:val="0"/>
        </w:rPr>
        <w:tab/>
        <w:t>moneys standing to the credit of the Account are to be applied monthly before the end of each month; and</w:t>
      </w:r>
    </w:p>
    <w:p>
      <w:pPr>
        <w:pStyle w:val="Indenta"/>
        <w:rPr>
          <w:snapToGrid w:val="0"/>
        </w:rPr>
      </w:pPr>
      <w:r>
        <w:rPr>
          <w:snapToGrid w:val="0"/>
        </w:rPr>
        <w:tab/>
        <w:t>(b)</w:t>
      </w:r>
      <w:r>
        <w:rPr>
          <w:snapToGrid w:val="0"/>
        </w:rPr>
        <w:tab/>
        <w:t>the following proportions are prescribed — </w:t>
      </w:r>
    </w:p>
    <w:p>
      <w:pPr>
        <w:pStyle w:val="Indenti"/>
        <w:rPr>
          <w:snapToGrid w:val="0"/>
        </w:rPr>
      </w:pPr>
      <w:r>
        <w:rPr>
          <w:snapToGrid w:val="0"/>
        </w:rPr>
        <w:tab/>
        <w:t>(i)</w:t>
      </w:r>
      <w:r>
        <w:rPr>
          <w:snapToGrid w:val="0"/>
        </w:rPr>
        <w:tab/>
        <w:t>4.5% to the Fidelity Fund;</w:t>
      </w:r>
    </w:p>
    <w:p>
      <w:pPr>
        <w:pStyle w:val="Indenti"/>
        <w:rPr>
          <w:snapToGrid w:val="0"/>
        </w:rPr>
      </w:pPr>
      <w:r>
        <w:rPr>
          <w:snapToGrid w:val="0"/>
        </w:rPr>
        <w:tab/>
        <w:t>(ii)</w:t>
      </w:r>
      <w:r>
        <w:rPr>
          <w:snapToGrid w:val="0"/>
        </w:rPr>
        <w:tab/>
        <w:t>57% to the General Purpose Fund; and</w:t>
      </w:r>
    </w:p>
    <w:p>
      <w:pPr>
        <w:pStyle w:val="Indenti"/>
        <w:rPr>
          <w:snapToGrid w:val="0"/>
        </w:rPr>
      </w:pPr>
      <w:r>
        <w:rPr>
          <w:snapToGrid w:val="0"/>
        </w:rPr>
        <w:tab/>
        <w:t>(iii)</w:t>
      </w:r>
      <w:r>
        <w:rPr>
          <w:snapToGrid w:val="0"/>
        </w:rPr>
        <w:tab/>
        <w:t>38.5% to the Assistance Fund.</w:t>
      </w:r>
    </w:p>
    <w:p>
      <w:pPr>
        <w:pStyle w:val="Footnotesection"/>
      </w:pPr>
      <w:r>
        <w:tab/>
        <w:t xml:space="preserve">[Regulation 11 inserted in Gazette 25 Jun 1996 p. 2920; amended in Gazette 6 Nov 2001 p. 5837.] </w:t>
      </w:r>
    </w:p>
    <w:p>
      <w:pPr>
        <w:pStyle w:val="Ednotesection"/>
      </w:pPr>
      <w:r>
        <w:t>[</w:t>
      </w:r>
      <w:r>
        <w:rPr>
          <w:b/>
        </w:rPr>
        <w:t>11A, 11AA and 11B.</w:t>
      </w:r>
      <w:r>
        <w:tab/>
        <w:t xml:space="preserve">Repealed in Gazette 25 Jun 1996 p. 2920.] </w:t>
      </w:r>
    </w:p>
    <w:p>
      <w:pPr>
        <w:pStyle w:val="Heading5"/>
        <w:rPr>
          <w:snapToGrid w:val="0"/>
        </w:rPr>
      </w:pPr>
      <w:bookmarkStart w:id="195" w:name="_Toc848618"/>
      <w:bookmarkStart w:id="196" w:name="_Toc3274267"/>
      <w:bookmarkStart w:id="197" w:name="_Toc3621816"/>
      <w:bookmarkStart w:id="198" w:name="_Toc93113985"/>
      <w:bookmarkStart w:id="199" w:name="_Toc158520415"/>
      <w:bookmarkStart w:id="200" w:name="_Toc151524275"/>
      <w:r>
        <w:rPr>
          <w:rStyle w:val="CharSectno"/>
        </w:rPr>
        <w:t>12</w:t>
      </w:r>
      <w:r>
        <w:rPr>
          <w:snapToGrid w:val="0"/>
        </w:rPr>
        <w:t>.</w:t>
      </w:r>
      <w:r>
        <w:rPr>
          <w:snapToGrid w:val="0"/>
        </w:rPr>
        <w:tab/>
        <w:t>Claims against the Fidelity Fund</w:t>
      </w:r>
      <w:bookmarkEnd w:id="195"/>
      <w:bookmarkEnd w:id="196"/>
      <w:bookmarkEnd w:id="197"/>
      <w:bookmarkEnd w:id="198"/>
      <w:bookmarkEnd w:id="199"/>
      <w:bookmarkEnd w:id="200"/>
      <w:r>
        <w:rPr>
          <w:snapToGrid w:val="0"/>
        </w:rPr>
        <w:t xml:space="preserve"> </w:t>
      </w:r>
    </w:p>
    <w:p>
      <w:pPr>
        <w:pStyle w:val="Subsection"/>
        <w:rPr>
          <w:snapToGrid w:val="0"/>
        </w:rPr>
      </w:pPr>
      <w:r>
        <w:rPr>
          <w:snapToGrid w:val="0"/>
        </w:rPr>
        <w:tab/>
      </w:r>
      <w:r>
        <w:rPr>
          <w:snapToGrid w:val="0"/>
        </w:rPr>
        <w:tab/>
        <w:t>A claim against the Fidelity Guarantee Fund shall be made in writing and be verified by a statutory declaration made by a person who deposes to the facts therein set out of his own knowledge.</w:t>
      </w:r>
    </w:p>
    <w:p>
      <w:pPr>
        <w:pStyle w:val="Heading5"/>
        <w:rPr>
          <w:snapToGrid w:val="0"/>
        </w:rPr>
      </w:pPr>
      <w:bookmarkStart w:id="201" w:name="_Toc848619"/>
      <w:bookmarkStart w:id="202" w:name="_Toc3274268"/>
      <w:bookmarkStart w:id="203" w:name="_Toc3621817"/>
      <w:bookmarkStart w:id="204" w:name="_Toc93113986"/>
      <w:bookmarkStart w:id="205" w:name="_Toc158520416"/>
      <w:bookmarkStart w:id="206" w:name="_Toc151524276"/>
      <w:r>
        <w:rPr>
          <w:rStyle w:val="CharSectno"/>
        </w:rPr>
        <w:t>13</w:t>
      </w:r>
      <w:r>
        <w:rPr>
          <w:snapToGrid w:val="0"/>
        </w:rPr>
        <w:t>.</w:t>
      </w:r>
      <w:r>
        <w:rPr>
          <w:snapToGrid w:val="0"/>
        </w:rPr>
        <w:tab/>
        <w:t>Codes of conduct</w:t>
      </w:r>
      <w:bookmarkEnd w:id="201"/>
      <w:bookmarkEnd w:id="202"/>
      <w:bookmarkEnd w:id="203"/>
      <w:bookmarkEnd w:id="204"/>
      <w:bookmarkEnd w:id="205"/>
      <w:bookmarkEnd w:id="206"/>
      <w:r>
        <w:rPr>
          <w:snapToGrid w:val="0"/>
        </w:rPr>
        <w:t xml:space="preserve"> </w:t>
      </w:r>
    </w:p>
    <w:p>
      <w:pPr>
        <w:pStyle w:val="Subsection"/>
        <w:rPr>
          <w:snapToGrid w:val="0"/>
        </w:rPr>
      </w:pPr>
      <w:r>
        <w:rPr>
          <w:snapToGrid w:val="0"/>
        </w:rPr>
        <w:tab/>
      </w:r>
      <w:r>
        <w:rPr>
          <w:snapToGrid w:val="0"/>
        </w:rPr>
        <w:tab/>
        <w:t xml:space="preserve">Any code of conduct that the Board may from time to time prescribe pursuant to section 101 of the Act shall be published in the </w:t>
      </w:r>
      <w:r>
        <w:rPr>
          <w:i/>
          <w:snapToGrid w:val="0"/>
        </w:rPr>
        <w:t>Government Gazette.</w:t>
      </w:r>
      <w:r>
        <w:rPr>
          <w:snapToGrid w:val="0"/>
        </w:rPr>
        <w:t xml:space="preserve"> </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207" w:name="_Toc151450702"/>
      <w:bookmarkStart w:id="208" w:name="_Toc151524277"/>
      <w:bookmarkStart w:id="209" w:name="_Toc158520417"/>
      <w:bookmarkStart w:id="210" w:name="_Toc3621819"/>
      <w:bookmarkStart w:id="211" w:name="_Toc93113988"/>
      <w:bookmarkStart w:id="212" w:name="_Toc110923032"/>
      <w:bookmarkStart w:id="213" w:name="_Toc110923162"/>
      <w:r>
        <w:rPr>
          <w:rStyle w:val="CharSchNo"/>
        </w:rPr>
        <w:t>Schedule 1</w:t>
      </w:r>
      <w:r>
        <w:t> — </w:t>
      </w:r>
      <w:r>
        <w:rPr>
          <w:rStyle w:val="CharSchText"/>
        </w:rPr>
        <w:t>Fees</w:t>
      </w:r>
      <w:bookmarkEnd w:id="207"/>
      <w:bookmarkEnd w:id="208"/>
      <w:bookmarkEnd w:id="209"/>
    </w:p>
    <w:p>
      <w:pPr>
        <w:pStyle w:val="yShoulderClause"/>
      </w:pPr>
      <w:r>
        <w:t>[r. 4, 4A]</w:t>
      </w:r>
    </w:p>
    <w:p>
      <w:pPr>
        <w:pStyle w:val="yFootnoteheading"/>
      </w:pPr>
      <w:r>
        <w:tab/>
        <w:t>[Heading inserted in Gazette 27 Jun 2006 p. 2269.]</w:t>
      </w:r>
    </w:p>
    <w:tbl>
      <w:tblPr>
        <w:tblW w:w="0" w:type="auto"/>
        <w:tblInd w:w="57" w:type="dxa"/>
        <w:tblLayout w:type="fixed"/>
        <w:tblCellMar>
          <w:left w:w="57" w:type="dxa"/>
          <w:right w:w="57" w:type="dxa"/>
        </w:tblCellMar>
        <w:tblLook w:val="0000" w:firstRow="0" w:lastRow="0" w:firstColumn="0" w:lastColumn="0" w:noHBand="0" w:noVBand="0"/>
      </w:tblPr>
      <w:tblGrid>
        <w:gridCol w:w="5670"/>
        <w:gridCol w:w="993"/>
      </w:tblGrid>
      <w:tr>
        <w:tc>
          <w:tcPr>
            <w:tcW w:w="5670" w:type="dxa"/>
          </w:tcPr>
          <w:p>
            <w:pPr>
              <w:pStyle w:val="zytable"/>
              <w:tabs>
                <w:tab w:val="left" w:pos="425"/>
              </w:tabs>
              <w:ind w:left="425" w:right="-198" w:hanging="425"/>
            </w:pPr>
          </w:p>
        </w:tc>
        <w:tc>
          <w:tcPr>
            <w:tcW w:w="993" w:type="dxa"/>
          </w:tcPr>
          <w:p>
            <w:pPr>
              <w:pStyle w:val="yTable"/>
              <w:jc w:val="center"/>
            </w:pPr>
            <w:r>
              <w:rPr>
                <w:b/>
              </w:rPr>
              <w:t>$</w:t>
            </w:r>
          </w:p>
        </w:tc>
      </w:tr>
      <w:tr>
        <w:tc>
          <w:tcPr>
            <w:tcW w:w="5670" w:type="dxa"/>
          </w:tcPr>
          <w:p>
            <w:pPr>
              <w:pStyle w:val="yTable"/>
              <w:tabs>
                <w:tab w:val="left" w:pos="652"/>
              </w:tabs>
            </w:pPr>
            <w:r>
              <w:t>1.</w:t>
            </w:r>
            <w:r>
              <w:tab/>
              <w:t>Application for licence ............................................…</w:t>
            </w:r>
          </w:p>
        </w:tc>
        <w:tc>
          <w:tcPr>
            <w:tcW w:w="993" w:type="dxa"/>
          </w:tcPr>
          <w:p>
            <w:pPr>
              <w:pStyle w:val="yTable"/>
              <w:tabs>
                <w:tab w:val="right" w:pos="510"/>
              </w:tabs>
            </w:pPr>
            <w:r>
              <w:tab/>
              <w:t>55</w:t>
            </w:r>
          </w:p>
        </w:tc>
      </w:tr>
      <w:tr>
        <w:tc>
          <w:tcPr>
            <w:tcW w:w="5670" w:type="dxa"/>
          </w:tcPr>
          <w:p>
            <w:pPr>
              <w:pStyle w:val="yTable"/>
              <w:tabs>
                <w:tab w:val="left" w:pos="652"/>
              </w:tabs>
            </w:pPr>
            <w:r>
              <w:t>2.</w:t>
            </w:r>
            <w:r>
              <w:tab/>
              <w:t>Grant of licence to natural person ...........................…</w:t>
            </w:r>
          </w:p>
        </w:tc>
        <w:tc>
          <w:tcPr>
            <w:tcW w:w="993" w:type="dxa"/>
          </w:tcPr>
          <w:p>
            <w:pPr>
              <w:pStyle w:val="yTable"/>
              <w:tabs>
                <w:tab w:val="right" w:pos="510"/>
              </w:tabs>
            </w:pPr>
            <w:r>
              <w:tab/>
              <w:t>580</w:t>
            </w:r>
          </w:p>
        </w:tc>
      </w:tr>
      <w:tr>
        <w:tc>
          <w:tcPr>
            <w:tcW w:w="5670" w:type="dxa"/>
          </w:tcPr>
          <w:p>
            <w:pPr>
              <w:pStyle w:val="yTable"/>
              <w:tabs>
                <w:tab w:val="left" w:pos="652"/>
              </w:tabs>
            </w:pPr>
            <w:r>
              <w:t>3.</w:t>
            </w:r>
            <w:r>
              <w:tab/>
              <w:t>Grant of licence to firm ...............................................</w:t>
            </w:r>
          </w:p>
        </w:tc>
        <w:tc>
          <w:tcPr>
            <w:tcW w:w="993" w:type="dxa"/>
          </w:tcPr>
          <w:p>
            <w:pPr>
              <w:pStyle w:val="yTable"/>
              <w:tabs>
                <w:tab w:val="right" w:pos="510"/>
              </w:tabs>
            </w:pPr>
            <w:r>
              <w:tab/>
              <w:t>760</w:t>
            </w:r>
          </w:p>
        </w:tc>
      </w:tr>
      <w:tr>
        <w:tc>
          <w:tcPr>
            <w:tcW w:w="5670" w:type="dxa"/>
          </w:tcPr>
          <w:p>
            <w:pPr>
              <w:pStyle w:val="yTable"/>
              <w:tabs>
                <w:tab w:val="left" w:pos="652"/>
              </w:tabs>
            </w:pPr>
            <w:r>
              <w:t>4.</w:t>
            </w:r>
            <w:r>
              <w:tab/>
              <w:t>Grant of licence to body corporate ..........................…</w:t>
            </w:r>
          </w:p>
        </w:tc>
        <w:tc>
          <w:tcPr>
            <w:tcW w:w="993" w:type="dxa"/>
          </w:tcPr>
          <w:p>
            <w:pPr>
              <w:pStyle w:val="yTable"/>
              <w:tabs>
                <w:tab w:val="right" w:pos="510"/>
              </w:tabs>
            </w:pPr>
            <w:r>
              <w:tab/>
              <w:t>760</w:t>
            </w:r>
          </w:p>
        </w:tc>
      </w:tr>
      <w:tr>
        <w:tc>
          <w:tcPr>
            <w:tcW w:w="5670" w:type="dxa"/>
          </w:tcPr>
          <w:p>
            <w:pPr>
              <w:pStyle w:val="yTable"/>
              <w:tabs>
                <w:tab w:val="left" w:pos="652"/>
              </w:tabs>
            </w:pPr>
            <w:r>
              <w:t>5.</w:t>
            </w:r>
            <w:r>
              <w:tab/>
              <w:t>Renewal of triennial certificate ...................................</w:t>
            </w:r>
          </w:p>
        </w:tc>
        <w:tc>
          <w:tcPr>
            <w:tcW w:w="993" w:type="dxa"/>
          </w:tcPr>
          <w:p>
            <w:pPr>
              <w:pStyle w:val="yTable"/>
              <w:tabs>
                <w:tab w:val="right" w:pos="510"/>
              </w:tabs>
            </w:pPr>
            <w:r>
              <w:tab/>
              <w:t>375</w:t>
            </w:r>
          </w:p>
        </w:tc>
      </w:tr>
      <w:tr>
        <w:tc>
          <w:tcPr>
            <w:tcW w:w="5670" w:type="dxa"/>
          </w:tcPr>
          <w:p>
            <w:pPr>
              <w:pStyle w:val="yTable"/>
              <w:tabs>
                <w:tab w:val="left" w:pos="652"/>
              </w:tabs>
            </w:pPr>
            <w:r>
              <w:t>6.</w:t>
            </w:r>
            <w:r>
              <w:tab/>
              <w:t>Grant of certificate of registration ...........................…</w:t>
            </w:r>
          </w:p>
        </w:tc>
        <w:tc>
          <w:tcPr>
            <w:tcW w:w="993" w:type="dxa"/>
          </w:tcPr>
          <w:p>
            <w:pPr>
              <w:pStyle w:val="yTable"/>
              <w:tabs>
                <w:tab w:val="right" w:pos="510"/>
              </w:tabs>
            </w:pPr>
            <w:r>
              <w:tab/>
              <w:t>150</w:t>
            </w:r>
          </w:p>
        </w:tc>
      </w:tr>
      <w:tr>
        <w:tc>
          <w:tcPr>
            <w:tcW w:w="5670" w:type="dxa"/>
          </w:tcPr>
          <w:p>
            <w:pPr>
              <w:pStyle w:val="yTable"/>
              <w:tabs>
                <w:tab w:val="left" w:pos="652"/>
              </w:tabs>
            </w:pPr>
            <w:r>
              <w:t>7.</w:t>
            </w:r>
            <w:r>
              <w:tab/>
              <w:t>Renewal of certificate of registration ......................…</w:t>
            </w:r>
          </w:p>
        </w:tc>
        <w:tc>
          <w:tcPr>
            <w:tcW w:w="993" w:type="dxa"/>
          </w:tcPr>
          <w:p>
            <w:pPr>
              <w:pStyle w:val="yTable"/>
              <w:tabs>
                <w:tab w:val="right" w:pos="510"/>
              </w:tabs>
            </w:pPr>
            <w:r>
              <w:tab/>
              <w:t>132</w:t>
            </w:r>
          </w:p>
        </w:tc>
      </w:tr>
      <w:tr>
        <w:tc>
          <w:tcPr>
            <w:tcW w:w="5670" w:type="dxa"/>
          </w:tcPr>
          <w:p>
            <w:pPr>
              <w:pStyle w:val="yTable"/>
              <w:tabs>
                <w:tab w:val="left" w:pos="652"/>
              </w:tabs>
            </w:pPr>
            <w:r>
              <w:t>[</w:t>
            </w:r>
            <w:r>
              <w:rPr>
                <w:i/>
              </w:rPr>
              <w:t>8-9.</w:t>
            </w:r>
            <w:r>
              <w:rPr>
                <w:i/>
              </w:rPr>
              <w:tab/>
              <w:t>deleted</w:t>
            </w:r>
            <w:r>
              <w:t>]</w:t>
            </w:r>
          </w:p>
        </w:tc>
        <w:tc>
          <w:tcPr>
            <w:tcW w:w="993" w:type="dxa"/>
          </w:tcPr>
          <w:p>
            <w:pPr>
              <w:pStyle w:val="yTable"/>
              <w:tabs>
                <w:tab w:val="right" w:pos="510"/>
              </w:tabs>
            </w:pPr>
          </w:p>
        </w:tc>
      </w:tr>
      <w:tr>
        <w:tc>
          <w:tcPr>
            <w:tcW w:w="5670" w:type="dxa"/>
          </w:tcPr>
          <w:p>
            <w:pPr>
              <w:pStyle w:val="yTable"/>
              <w:tabs>
                <w:tab w:val="left" w:pos="652"/>
              </w:tabs>
            </w:pPr>
            <w:r>
              <w:t>10.</w:t>
            </w:r>
            <w:r>
              <w:tab/>
              <w:t>Inspection of a register .............................................…</w:t>
            </w:r>
          </w:p>
        </w:tc>
        <w:tc>
          <w:tcPr>
            <w:tcW w:w="993" w:type="dxa"/>
          </w:tcPr>
          <w:p>
            <w:pPr>
              <w:pStyle w:val="yTable"/>
              <w:tabs>
                <w:tab w:val="right" w:pos="510"/>
              </w:tabs>
            </w:pPr>
            <w:r>
              <w:tab/>
              <w:t>10</w:t>
            </w:r>
          </w:p>
        </w:tc>
      </w:tr>
      <w:tr>
        <w:tc>
          <w:tcPr>
            <w:tcW w:w="5670" w:type="dxa"/>
          </w:tcPr>
          <w:p>
            <w:pPr>
              <w:pStyle w:val="yTable"/>
              <w:ind w:left="652" w:hanging="652"/>
            </w:pPr>
            <w:r>
              <w:t>11.</w:t>
            </w:r>
            <w:r>
              <w:tab/>
              <w:t>Copy (certified or uncertified) or an extract of an individual registration — </w:t>
            </w:r>
          </w:p>
        </w:tc>
        <w:tc>
          <w:tcPr>
            <w:tcW w:w="993" w:type="dxa"/>
          </w:tcPr>
          <w:p>
            <w:pPr>
              <w:pStyle w:val="yTable"/>
            </w:pPr>
          </w:p>
        </w:tc>
      </w:tr>
      <w:tr>
        <w:tc>
          <w:tcPr>
            <w:tcW w:w="5670" w:type="dxa"/>
          </w:tcPr>
          <w:p>
            <w:pPr>
              <w:pStyle w:val="yTable"/>
              <w:tabs>
                <w:tab w:val="left" w:pos="652"/>
              </w:tabs>
            </w:pPr>
            <w:r>
              <w:tab/>
              <w:t>first page .............................................................…….</w:t>
            </w:r>
          </w:p>
        </w:tc>
        <w:tc>
          <w:tcPr>
            <w:tcW w:w="993" w:type="dxa"/>
          </w:tcPr>
          <w:p>
            <w:pPr>
              <w:pStyle w:val="yTable"/>
              <w:tabs>
                <w:tab w:val="right" w:pos="510"/>
              </w:tabs>
            </w:pPr>
            <w:r>
              <w:tab/>
              <w:t>20</w:t>
            </w:r>
          </w:p>
        </w:tc>
      </w:tr>
      <w:tr>
        <w:tc>
          <w:tcPr>
            <w:tcW w:w="5670" w:type="dxa"/>
          </w:tcPr>
          <w:p>
            <w:pPr>
              <w:pStyle w:val="yTable"/>
              <w:tabs>
                <w:tab w:val="left" w:pos="652"/>
              </w:tabs>
            </w:pPr>
            <w:r>
              <w:tab/>
              <w:t>each subsequent page .......................................………</w:t>
            </w:r>
          </w:p>
        </w:tc>
        <w:tc>
          <w:tcPr>
            <w:tcW w:w="993" w:type="dxa"/>
          </w:tcPr>
          <w:p>
            <w:pPr>
              <w:pStyle w:val="yTable"/>
              <w:tabs>
                <w:tab w:val="right" w:pos="510"/>
              </w:tabs>
            </w:pPr>
            <w:r>
              <w:tab/>
              <w:t>2</w:t>
            </w:r>
          </w:p>
        </w:tc>
      </w:tr>
      <w:tr>
        <w:tc>
          <w:tcPr>
            <w:tcW w:w="5670" w:type="dxa"/>
          </w:tcPr>
          <w:p>
            <w:pPr>
              <w:pStyle w:val="yTable"/>
              <w:ind w:left="652" w:hanging="652"/>
            </w:pPr>
            <w:r>
              <w:t>12.</w:t>
            </w:r>
            <w:r>
              <w:tab/>
              <w:t>Copy (certified or uncertified) or an extract of all registrations in a register .........................................….</w:t>
            </w:r>
          </w:p>
        </w:tc>
        <w:tc>
          <w:tcPr>
            <w:tcW w:w="993" w:type="dxa"/>
          </w:tcPr>
          <w:p>
            <w:pPr>
              <w:pStyle w:val="yTable"/>
              <w:tabs>
                <w:tab w:val="right" w:pos="510"/>
              </w:tabs>
            </w:pPr>
            <w:r>
              <w:br/>
            </w:r>
            <w:r>
              <w:tab/>
              <w:t>278</w:t>
            </w:r>
          </w:p>
        </w:tc>
      </w:tr>
      <w:tr>
        <w:tc>
          <w:tcPr>
            <w:tcW w:w="5670" w:type="dxa"/>
          </w:tcPr>
          <w:p>
            <w:pPr>
              <w:pStyle w:val="yTable"/>
              <w:tabs>
                <w:tab w:val="left" w:pos="652"/>
              </w:tabs>
            </w:pPr>
            <w:r>
              <w:t>13.</w:t>
            </w:r>
            <w:r>
              <w:tab/>
              <w:t>For the purposes of section 30(2a) (the holding fee) …</w:t>
            </w:r>
          </w:p>
        </w:tc>
        <w:tc>
          <w:tcPr>
            <w:tcW w:w="993" w:type="dxa"/>
          </w:tcPr>
          <w:p>
            <w:pPr>
              <w:pStyle w:val="yTable"/>
              <w:tabs>
                <w:tab w:val="right" w:pos="510"/>
              </w:tabs>
            </w:pPr>
            <w:r>
              <w:tab/>
              <w:t>170</w:t>
            </w:r>
          </w:p>
        </w:tc>
      </w:tr>
    </w:tbl>
    <w:p>
      <w:pPr>
        <w:pStyle w:val="yFootnotesection"/>
      </w:pPr>
      <w:r>
        <w:tab/>
        <w:t xml:space="preserve">[Schedule 1 inserted in Gazette 27 Jun 2006 p. 2269-70; amended in Gazette 17 Nov 2006 p. 4760.] </w:t>
      </w:r>
    </w:p>
    <w:p>
      <w:pPr>
        <w:pStyle w:val="yScheduleHeading"/>
        <w:rPr>
          <w:ins w:id="214" w:author="Master Repository Process" w:date="2021-09-12T09:16:00Z"/>
          <w:rStyle w:val="CharSchNo"/>
        </w:rPr>
        <w:sectPr>
          <w:headerReference w:type="even" r:id="rId20"/>
          <w:headerReference w:type="default" r:id="rId21"/>
          <w:headerReference w:type="first" r:id="rId22"/>
          <w:pgSz w:w="11906" w:h="16838" w:code="9"/>
          <w:pgMar w:top="2381" w:right="2409" w:bottom="3543" w:left="2409" w:header="720" w:footer="3380" w:gutter="0"/>
          <w:cols w:space="720"/>
          <w:noEndnote/>
          <w:docGrid w:linePitch="326"/>
        </w:sectPr>
      </w:pPr>
      <w:bookmarkStart w:id="215" w:name="_Toc151450703"/>
      <w:bookmarkStart w:id="216" w:name="_Toc151524278"/>
    </w:p>
    <w:p>
      <w:pPr>
        <w:pStyle w:val="yScheduleHeading"/>
        <w:rPr>
          <w:ins w:id="217" w:author="Master Repository Process" w:date="2021-09-12T09:16:00Z"/>
          <w:rStyle w:val="CharSchNo"/>
        </w:rPr>
      </w:pPr>
      <w:bookmarkStart w:id="218" w:name="_Toc158520418"/>
      <w:ins w:id="219" w:author="Master Repository Process" w:date="2021-09-12T09:16:00Z">
        <w:r>
          <w:rPr>
            <w:rStyle w:val="CharSchNo"/>
          </w:rPr>
          <w:t>Schedule 1A — Professional development subjects</w:t>
        </w:r>
        <w:bookmarkEnd w:id="218"/>
      </w:ins>
    </w:p>
    <w:p>
      <w:pPr>
        <w:pStyle w:val="yShoulderClause"/>
        <w:rPr>
          <w:ins w:id="220" w:author="Master Repository Process" w:date="2021-09-12T09:16:00Z"/>
        </w:rPr>
      </w:pPr>
      <w:ins w:id="221" w:author="Master Repository Process" w:date="2021-09-12T09:16:00Z">
        <w:r>
          <w:t>[r. 4AA]</w:t>
        </w:r>
      </w:ins>
    </w:p>
    <w:p>
      <w:pPr>
        <w:pStyle w:val="yFootnoteheading"/>
        <w:rPr>
          <w:ins w:id="222" w:author="Master Repository Process" w:date="2021-09-12T09:16:00Z"/>
        </w:rPr>
      </w:pPr>
      <w:ins w:id="223" w:author="Master Repository Process" w:date="2021-09-12T09:16:00Z">
        <w:r>
          <w:tab/>
          <w:t>[Heading inserted in Gazette 6 Feb 2007 p. 309.]</w:t>
        </w:r>
      </w:ins>
    </w:p>
    <w:p>
      <w:pPr>
        <w:pStyle w:val="yHeading3"/>
        <w:rPr>
          <w:ins w:id="224" w:author="Master Repository Process" w:date="2021-09-12T09:16:00Z"/>
        </w:rPr>
      </w:pPr>
      <w:bookmarkStart w:id="225" w:name="_Toc158520419"/>
      <w:ins w:id="226" w:author="Master Repository Process" w:date="2021-09-12T09:16:00Z">
        <w:r>
          <w:rPr>
            <w:rStyle w:val="CharSDivNo"/>
          </w:rPr>
          <w:t>Division 1</w:t>
        </w:r>
        <w:r>
          <w:rPr>
            <w:b w:val="0"/>
          </w:rPr>
          <w:t> — </w:t>
        </w:r>
        <w:r>
          <w:rPr>
            <w:rStyle w:val="CharSDivText"/>
          </w:rPr>
          <w:t>Mandatory professional development subjects</w:t>
        </w:r>
        <w:bookmarkEnd w:id="225"/>
      </w:ins>
    </w:p>
    <w:p>
      <w:pPr>
        <w:pStyle w:val="yFootnoteheading"/>
        <w:rPr>
          <w:ins w:id="227" w:author="Master Repository Process" w:date="2021-09-12T09:16:00Z"/>
        </w:rPr>
      </w:pPr>
      <w:ins w:id="228" w:author="Master Repository Process" w:date="2021-09-12T09:16:00Z">
        <w:r>
          <w:tab/>
          <w:t>[Heading inserted in Gazette 6 Feb 2007 p. 309.]</w:t>
        </w:r>
      </w:ins>
    </w:p>
    <w:p>
      <w:pPr>
        <w:pStyle w:val="yNumberedItem"/>
        <w:rPr>
          <w:ins w:id="229" w:author="Master Repository Process" w:date="2021-09-12T09:16:00Z"/>
        </w:rPr>
      </w:pPr>
      <w:ins w:id="230" w:author="Master Repository Process" w:date="2021-09-12T09:16:00Z">
        <w:r>
          <w:t>1.</w:t>
        </w:r>
        <w:r>
          <w:tab/>
          <w:t>Valid appointments</w:t>
        </w:r>
      </w:ins>
    </w:p>
    <w:p>
      <w:pPr>
        <w:pStyle w:val="yNumberedItem"/>
        <w:rPr>
          <w:ins w:id="231" w:author="Master Repository Process" w:date="2021-09-12T09:16:00Z"/>
        </w:rPr>
      </w:pPr>
      <w:ins w:id="232" w:author="Master Repository Process" w:date="2021-09-12T09:16:00Z">
        <w:r>
          <w:t>2.</w:t>
        </w:r>
        <w:r>
          <w:tab/>
          <w:t>Conflicts of interest and disclosures</w:t>
        </w:r>
      </w:ins>
    </w:p>
    <w:p>
      <w:pPr>
        <w:pStyle w:val="yNumberedItem"/>
        <w:rPr>
          <w:ins w:id="233" w:author="Master Repository Process" w:date="2021-09-12T09:16:00Z"/>
        </w:rPr>
      </w:pPr>
      <w:ins w:id="234" w:author="Master Repository Process" w:date="2021-09-12T09:16:00Z">
        <w:r>
          <w:t>3.</w:t>
        </w:r>
        <w:r>
          <w:tab/>
          <w:t>Reconciliation of trust accounts</w:t>
        </w:r>
      </w:ins>
    </w:p>
    <w:p>
      <w:pPr>
        <w:pStyle w:val="yFootnotesection"/>
        <w:rPr>
          <w:ins w:id="235" w:author="Master Repository Process" w:date="2021-09-12T09:16:00Z"/>
        </w:rPr>
      </w:pPr>
      <w:ins w:id="236" w:author="Master Repository Process" w:date="2021-09-12T09:16:00Z">
        <w:r>
          <w:tab/>
          <w:t>[Division 1 inserted in Gazette 6 Feb 2007 p. 309.]</w:t>
        </w:r>
      </w:ins>
    </w:p>
    <w:p>
      <w:pPr>
        <w:pStyle w:val="yHeading3"/>
        <w:rPr>
          <w:ins w:id="237" w:author="Master Repository Process" w:date="2021-09-12T09:16:00Z"/>
        </w:rPr>
      </w:pPr>
      <w:bookmarkStart w:id="238" w:name="_Toc158520420"/>
      <w:ins w:id="239" w:author="Master Repository Process" w:date="2021-09-12T09:16:00Z">
        <w:r>
          <w:rPr>
            <w:rStyle w:val="CharSDivNo"/>
          </w:rPr>
          <w:t>Division 2</w:t>
        </w:r>
        <w:r>
          <w:rPr>
            <w:b w:val="0"/>
          </w:rPr>
          <w:t> — </w:t>
        </w:r>
        <w:r>
          <w:rPr>
            <w:rStyle w:val="CharSDivText"/>
          </w:rPr>
          <w:t>Elective professional development subjects</w:t>
        </w:r>
        <w:bookmarkEnd w:id="238"/>
      </w:ins>
    </w:p>
    <w:p>
      <w:pPr>
        <w:pStyle w:val="yFootnoteheading"/>
        <w:rPr>
          <w:ins w:id="240" w:author="Master Repository Process" w:date="2021-09-12T09:16:00Z"/>
        </w:rPr>
      </w:pPr>
      <w:ins w:id="241" w:author="Master Repository Process" w:date="2021-09-12T09:16:00Z">
        <w:r>
          <w:tab/>
          <w:t>[Heading inserted in Gazette 6 Feb 2007 p. 309.]</w:t>
        </w:r>
      </w:ins>
    </w:p>
    <w:p>
      <w:pPr>
        <w:pStyle w:val="yNumberedItem"/>
        <w:rPr>
          <w:ins w:id="242" w:author="Master Repository Process" w:date="2021-09-12T09:16:00Z"/>
        </w:rPr>
      </w:pPr>
      <w:ins w:id="243" w:author="Master Repository Process" w:date="2021-09-12T09:16:00Z">
        <w:r>
          <w:t>1.</w:t>
        </w:r>
        <w:r>
          <w:tab/>
          <w:t>Agency agreements</w:t>
        </w:r>
      </w:ins>
    </w:p>
    <w:p>
      <w:pPr>
        <w:pStyle w:val="yNumberedItem"/>
        <w:rPr>
          <w:ins w:id="244" w:author="Master Repository Process" w:date="2021-09-12T09:16:00Z"/>
        </w:rPr>
      </w:pPr>
      <w:ins w:id="245" w:author="Master Repository Process" w:date="2021-09-12T09:16:00Z">
        <w:r>
          <w:t>2.</w:t>
        </w:r>
        <w:r>
          <w:tab/>
          <w:t>Auctions</w:t>
        </w:r>
      </w:ins>
    </w:p>
    <w:p>
      <w:pPr>
        <w:pStyle w:val="yNumberedItem"/>
        <w:rPr>
          <w:ins w:id="246" w:author="Master Repository Process" w:date="2021-09-12T09:16:00Z"/>
        </w:rPr>
      </w:pPr>
      <w:ins w:id="247" w:author="Master Repository Process" w:date="2021-09-12T09:16:00Z">
        <w:r>
          <w:t>3.</w:t>
        </w:r>
        <w:r>
          <w:tab/>
          <w:t>Business broking</w:t>
        </w:r>
      </w:ins>
    </w:p>
    <w:p>
      <w:pPr>
        <w:pStyle w:val="yNumberedItem"/>
        <w:rPr>
          <w:ins w:id="248" w:author="Master Repository Process" w:date="2021-09-12T09:16:00Z"/>
        </w:rPr>
      </w:pPr>
      <w:ins w:id="249" w:author="Master Repository Process" w:date="2021-09-12T09:16:00Z">
        <w:r>
          <w:t>4.</w:t>
        </w:r>
        <w:r>
          <w:tab/>
          <w:t>Business management practices</w:t>
        </w:r>
      </w:ins>
    </w:p>
    <w:p>
      <w:pPr>
        <w:pStyle w:val="yNumberedItem"/>
        <w:rPr>
          <w:ins w:id="250" w:author="Master Repository Process" w:date="2021-09-12T09:16:00Z"/>
        </w:rPr>
      </w:pPr>
      <w:ins w:id="251" w:author="Master Repository Process" w:date="2021-09-12T09:16:00Z">
        <w:r>
          <w:t>5.</w:t>
        </w:r>
        <w:r>
          <w:tab/>
          <w:t>Buyer’s agents</w:t>
        </w:r>
      </w:ins>
    </w:p>
    <w:p>
      <w:pPr>
        <w:pStyle w:val="yNumberedItem"/>
        <w:rPr>
          <w:ins w:id="252" w:author="Master Repository Process" w:date="2021-09-12T09:16:00Z"/>
        </w:rPr>
      </w:pPr>
      <w:ins w:id="253" w:author="Master Repository Process" w:date="2021-09-12T09:16:00Z">
        <w:r>
          <w:t>6.</w:t>
        </w:r>
        <w:r>
          <w:tab/>
          <w:t>Communication</w:t>
        </w:r>
      </w:ins>
    </w:p>
    <w:p>
      <w:pPr>
        <w:pStyle w:val="yNumberedItem"/>
        <w:rPr>
          <w:ins w:id="254" w:author="Master Repository Process" w:date="2021-09-12T09:16:00Z"/>
        </w:rPr>
      </w:pPr>
      <w:ins w:id="255" w:author="Master Repository Process" w:date="2021-09-12T09:16:00Z">
        <w:r>
          <w:t>7.</w:t>
        </w:r>
        <w:r>
          <w:tab/>
          <w:t>Conflict of interest and disclosure</w:t>
        </w:r>
      </w:ins>
    </w:p>
    <w:p>
      <w:pPr>
        <w:pStyle w:val="yNumberedItem"/>
        <w:rPr>
          <w:ins w:id="256" w:author="Master Repository Process" w:date="2021-09-12T09:16:00Z"/>
        </w:rPr>
      </w:pPr>
      <w:ins w:id="257" w:author="Master Repository Process" w:date="2021-09-12T09:16:00Z">
        <w:r>
          <w:t>8.</w:t>
        </w:r>
        <w:r>
          <w:tab/>
          <w:t>Customer service skills</w:t>
        </w:r>
      </w:ins>
    </w:p>
    <w:p>
      <w:pPr>
        <w:pStyle w:val="yNumberedItem"/>
        <w:rPr>
          <w:ins w:id="258" w:author="Master Repository Process" w:date="2021-09-12T09:16:00Z"/>
        </w:rPr>
      </w:pPr>
      <w:ins w:id="259" w:author="Master Repository Process" w:date="2021-09-12T09:16:00Z">
        <w:r>
          <w:t>9.</w:t>
        </w:r>
        <w:r>
          <w:tab/>
          <w:t>Disciplinary proceedings</w:t>
        </w:r>
      </w:ins>
    </w:p>
    <w:p>
      <w:pPr>
        <w:pStyle w:val="yNumberedItem"/>
        <w:rPr>
          <w:ins w:id="260" w:author="Master Repository Process" w:date="2021-09-12T09:16:00Z"/>
        </w:rPr>
      </w:pPr>
      <w:ins w:id="261" w:author="Master Repository Process" w:date="2021-09-12T09:16:00Z">
        <w:r>
          <w:t>10.</w:t>
        </w:r>
        <w:r>
          <w:tab/>
          <w:t>Law of contracts</w:t>
        </w:r>
      </w:ins>
    </w:p>
    <w:p>
      <w:pPr>
        <w:pStyle w:val="yNumberedItem"/>
        <w:rPr>
          <w:ins w:id="262" w:author="Master Repository Process" w:date="2021-09-12T09:16:00Z"/>
        </w:rPr>
      </w:pPr>
      <w:ins w:id="263" w:author="Master Repository Process" w:date="2021-09-12T09:16:00Z">
        <w:r>
          <w:t>11.</w:t>
        </w:r>
        <w:r>
          <w:tab/>
          <w:t>Managing agency risk</w:t>
        </w:r>
      </w:ins>
    </w:p>
    <w:p>
      <w:pPr>
        <w:pStyle w:val="yNumberedItem"/>
        <w:rPr>
          <w:ins w:id="264" w:author="Master Repository Process" w:date="2021-09-12T09:16:00Z"/>
        </w:rPr>
      </w:pPr>
      <w:ins w:id="265" w:author="Master Repository Process" w:date="2021-09-12T09:16:00Z">
        <w:r>
          <w:t>12.</w:t>
        </w:r>
        <w:r>
          <w:tab/>
          <w:t>Legislation regulating the carrying on of business as an agent in Western Australia</w:t>
        </w:r>
      </w:ins>
    </w:p>
    <w:p>
      <w:pPr>
        <w:pStyle w:val="yNumberedItem"/>
        <w:rPr>
          <w:ins w:id="266" w:author="Master Repository Process" w:date="2021-09-12T09:16:00Z"/>
        </w:rPr>
      </w:pPr>
      <w:ins w:id="267" w:author="Master Repository Process" w:date="2021-09-12T09:16:00Z">
        <w:r>
          <w:t>13.</w:t>
        </w:r>
        <w:r>
          <w:tab/>
          <w:t>Property management</w:t>
        </w:r>
      </w:ins>
    </w:p>
    <w:p>
      <w:pPr>
        <w:pStyle w:val="yNumberedItem"/>
        <w:rPr>
          <w:ins w:id="268" w:author="Master Repository Process" w:date="2021-09-12T09:16:00Z"/>
        </w:rPr>
      </w:pPr>
      <w:ins w:id="269" w:author="Master Repository Process" w:date="2021-09-12T09:16:00Z">
        <w:r>
          <w:t>14.</w:t>
        </w:r>
        <w:r>
          <w:tab/>
          <w:t>Sale and lease of commercial property</w:t>
        </w:r>
      </w:ins>
    </w:p>
    <w:p>
      <w:pPr>
        <w:pStyle w:val="yNumberedItem"/>
        <w:rPr>
          <w:ins w:id="270" w:author="Master Repository Process" w:date="2021-09-12T09:16:00Z"/>
        </w:rPr>
      </w:pPr>
      <w:ins w:id="271" w:author="Master Repository Process" w:date="2021-09-12T09:16:00Z">
        <w:r>
          <w:t>15.</w:t>
        </w:r>
        <w:r>
          <w:tab/>
          <w:t>Sale process</w:t>
        </w:r>
      </w:ins>
    </w:p>
    <w:p>
      <w:pPr>
        <w:pStyle w:val="yNumberedItem"/>
        <w:rPr>
          <w:ins w:id="272" w:author="Master Repository Process" w:date="2021-09-12T09:16:00Z"/>
        </w:rPr>
      </w:pPr>
      <w:ins w:id="273" w:author="Master Repository Process" w:date="2021-09-12T09:16:00Z">
        <w:r>
          <w:t>16.</w:t>
        </w:r>
        <w:r>
          <w:tab/>
          <w:t>Strata management</w:t>
        </w:r>
      </w:ins>
    </w:p>
    <w:p>
      <w:pPr>
        <w:pStyle w:val="yNumberedItem"/>
        <w:rPr>
          <w:ins w:id="274" w:author="Master Repository Process" w:date="2021-09-12T09:16:00Z"/>
        </w:rPr>
      </w:pPr>
      <w:ins w:id="275" w:author="Master Repository Process" w:date="2021-09-12T09:16:00Z">
        <w:r>
          <w:t>17.</w:t>
        </w:r>
        <w:r>
          <w:tab/>
          <w:t>Trust accounting</w:t>
        </w:r>
      </w:ins>
    </w:p>
    <w:p>
      <w:pPr>
        <w:pStyle w:val="yNumberedItem"/>
        <w:rPr>
          <w:ins w:id="276" w:author="Master Repository Process" w:date="2021-09-12T09:16:00Z"/>
        </w:rPr>
      </w:pPr>
      <w:ins w:id="277" w:author="Master Repository Process" w:date="2021-09-12T09:16:00Z">
        <w:r>
          <w:t>18.</w:t>
        </w:r>
        <w:r>
          <w:tab/>
          <w:t>Understanding real estate documents</w:t>
        </w:r>
      </w:ins>
    </w:p>
    <w:p>
      <w:pPr>
        <w:pStyle w:val="yNumberedItem"/>
        <w:rPr>
          <w:ins w:id="278" w:author="Master Repository Process" w:date="2021-09-12T09:16:00Z"/>
        </w:rPr>
      </w:pPr>
      <w:ins w:id="279" w:author="Master Repository Process" w:date="2021-09-12T09:16:00Z">
        <w:r>
          <w:t>19.</w:t>
        </w:r>
        <w:r>
          <w:tab/>
          <w:t>Valid appointment to act</w:t>
        </w:r>
      </w:ins>
    </w:p>
    <w:p>
      <w:pPr>
        <w:pStyle w:val="yFootnotesection"/>
        <w:rPr>
          <w:ins w:id="280" w:author="Master Repository Process" w:date="2021-09-12T09:16:00Z"/>
        </w:rPr>
      </w:pPr>
      <w:ins w:id="281" w:author="Master Repository Process" w:date="2021-09-12T09:16:00Z">
        <w:r>
          <w:tab/>
          <w:t>[Division 2 inserted in Gazette 6 Feb 2007 p. 309-10.]</w:t>
        </w:r>
      </w:ins>
    </w:p>
    <w:p>
      <w:pPr>
        <w:rPr>
          <w:ins w:id="282" w:author="Master Repository Process" w:date="2021-09-12T09:16:00Z"/>
        </w:rPr>
        <w:sectPr>
          <w:headerReference w:type="even" r:id="rId23"/>
          <w:headerReference w:type="default" r:id="rId24"/>
          <w:pgSz w:w="11906" w:h="16838" w:code="9"/>
          <w:pgMar w:top="2381" w:right="2409" w:bottom="3543" w:left="2409" w:header="720" w:footer="3380" w:gutter="0"/>
          <w:cols w:space="720"/>
          <w:noEndnote/>
          <w:docGrid w:linePitch="326"/>
        </w:sectPr>
      </w:pPr>
    </w:p>
    <w:p>
      <w:pPr>
        <w:pStyle w:val="yScheduleHeading"/>
      </w:pPr>
      <w:bookmarkStart w:id="283" w:name="_Toc158520421"/>
      <w:r>
        <w:rPr>
          <w:rStyle w:val="CharSchNo"/>
        </w:rPr>
        <w:t>Schedule 2</w:t>
      </w:r>
      <w:bookmarkEnd w:id="210"/>
      <w:bookmarkEnd w:id="211"/>
      <w:bookmarkEnd w:id="212"/>
      <w:bookmarkEnd w:id="213"/>
      <w:bookmarkEnd w:id="215"/>
      <w:bookmarkEnd w:id="216"/>
      <w:bookmarkEnd w:id="283"/>
      <w:r>
        <w:rPr>
          <w:rStyle w:val="CharSchText"/>
        </w:rPr>
        <w:t xml:space="preserve"> </w:t>
      </w:r>
    </w:p>
    <w:p>
      <w:pPr>
        <w:pStyle w:val="yShoulderClause"/>
        <w:rPr>
          <w:snapToGrid w:val="0"/>
        </w:rPr>
      </w:pPr>
      <w:r>
        <w:rPr>
          <w:snapToGrid w:val="0"/>
        </w:rPr>
        <w:t>[Regulation 7A]</w:t>
      </w:r>
    </w:p>
    <w:p>
      <w:pPr>
        <w:pStyle w:val="MiscellaneousHeading"/>
        <w:rPr>
          <w:b/>
          <w:snapToGrid w:val="0"/>
          <w:sz w:val="28"/>
        </w:rPr>
      </w:pPr>
      <w:r>
        <w:rPr>
          <w:b/>
          <w:snapToGrid w:val="0"/>
          <w:sz w:val="28"/>
        </w:rPr>
        <w:t>Forms</w:t>
      </w:r>
    </w:p>
    <w:p>
      <w:pPr>
        <w:pStyle w:val="yMiscellaneousHeading"/>
        <w:rPr>
          <w:snapToGrid w:val="0"/>
        </w:rPr>
      </w:pPr>
      <w:r>
        <w:rPr>
          <w:snapToGrid w:val="0"/>
        </w:rPr>
        <w:t>Form 1</w:t>
      </w:r>
    </w:p>
    <w:p>
      <w:pPr>
        <w:pStyle w:val="yMiscellaneousHeading"/>
        <w:rPr>
          <w:snapToGrid w:val="0"/>
        </w:rPr>
      </w:pPr>
      <w:r>
        <w:rPr>
          <w:snapToGrid w:val="0"/>
        </w:rPr>
        <w:t>Western Australia</w:t>
      </w:r>
    </w:p>
    <w:p>
      <w:pPr>
        <w:pStyle w:val="yMiscellaneousHeading"/>
        <w:rPr>
          <w:i/>
          <w:snapToGrid w:val="0"/>
        </w:rPr>
      </w:pPr>
      <w:r>
        <w:rPr>
          <w:i/>
          <w:snapToGrid w:val="0"/>
        </w:rPr>
        <w:t>Real Estate and Business Agents Act 1978</w:t>
      </w:r>
    </w:p>
    <w:p>
      <w:pPr>
        <w:pStyle w:val="yShoulderClause"/>
        <w:rPr>
          <w:snapToGrid w:val="0"/>
        </w:rPr>
      </w:pPr>
      <w:r>
        <w:rPr>
          <w:snapToGrid w:val="0"/>
        </w:rPr>
        <w:t>[s. 131L(1)]</w:t>
      </w:r>
    </w:p>
    <w:p>
      <w:pPr>
        <w:pStyle w:val="yMiscellaneousHeading"/>
        <w:rPr>
          <w:i/>
          <w:snapToGrid w:val="0"/>
        </w:rPr>
      </w:pPr>
      <w:r>
        <w:rPr>
          <w:i/>
          <w:snapToGrid w:val="0"/>
        </w:rPr>
        <w:t>Real Estate and Business Agents (General) Regulations 1979</w:t>
      </w:r>
    </w:p>
    <w:p>
      <w:pPr>
        <w:pStyle w:val="yShoulderClause"/>
        <w:rPr>
          <w:snapToGrid w:val="0"/>
        </w:rPr>
      </w:pPr>
      <w:r>
        <w:rPr>
          <w:snapToGrid w:val="0"/>
        </w:rPr>
        <w:t>[r. 7A]</w:t>
      </w:r>
    </w:p>
    <w:p>
      <w:pPr>
        <w:pStyle w:val="yMiscellaneousHeading"/>
        <w:rPr>
          <w:b/>
          <w:snapToGrid w:val="0"/>
        </w:rPr>
      </w:pPr>
      <w:r>
        <w:rPr>
          <w:b/>
          <w:snapToGrid w:val="0"/>
        </w:rPr>
        <w:t>APPLICATION FOR GRANT OF WHOLE OR ANY PART OF INCIDENTAL EXPENSES IN CONNECTION WITH PURCHASE OF A DWELLING OR PARTIALLY ERECTED DWELLING</w:t>
      </w:r>
    </w:p>
    <w:p>
      <w:pPr>
        <w:pStyle w:val="yMiscellaneousBody"/>
        <w:rPr>
          <w:snapToGrid w:val="0"/>
        </w:rPr>
      </w:pPr>
      <w:r>
        <w:rPr>
          <w:snapToGrid w:val="0"/>
        </w:rPr>
        <w:t>To be completed by applicant and submitted to a lending institution with application for a housing loan.</w:t>
      </w:r>
    </w:p>
    <w:p>
      <w:pPr>
        <w:pStyle w:val="yMiscellaneousBody"/>
        <w:rPr>
          <w:snapToGrid w:val="0"/>
        </w:rPr>
      </w:pPr>
      <w:r>
        <w:rPr>
          <w:snapToGrid w:val="0"/>
        </w:rPr>
        <w:t>All details in this application form must be supplied.</w:t>
      </w:r>
    </w:p>
    <w:p>
      <w:pPr>
        <w:pStyle w:val="yMiscellaneousHeading"/>
        <w:tabs>
          <w:tab w:val="left" w:pos="567"/>
        </w:tabs>
        <w:ind w:left="567" w:hanging="567"/>
        <w:jc w:val="left"/>
        <w:rPr>
          <w:b/>
          <w:snapToGrid w:val="0"/>
        </w:rPr>
      </w:pPr>
      <w:r>
        <w:rPr>
          <w:b/>
          <w:snapToGrid w:val="0"/>
        </w:rPr>
        <w:t>1.</w:t>
      </w:r>
      <w:r>
        <w:rPr>
          <w:b/>
          <w:snapToGrid w:val="0"/>
        </w:rPr>
        <w:tab/>
        <w:t>Particulars of Applicant(s)</w:t>
      </w:r>
    </w:p>
    <w:p>
      <w:pPr>
        <w:pStyle w:val="yMiscellaneousHeading"/>
        <w:jc w:val="left"/>
        <w:rPr>
          <w:b/>
          <w:snapToGrid w:val="0"/>
        </w:rPr>
      </w:pPr>
      <w:r>
        <w:rPr>
          <w:b/>
          <w:snapToGrid w:val="0"/>
        </w:rPr>
        <w:t>Applicant 1.</w:t>
      </w:r>
    </w:p>
    <w:p>
      <w:pPr>
        <w:pStyle w:val="yMiscellaneousBody"/>
        <w:rPr>
          <w:snapToGrid w:val="0"/>
        </w:rPr>
      </w:pPr>
      <w:r>
        <w:rPr>
          <w:snapToGrid w:val="0"/>
        </w:rPr>
        <w:t>Please tick (</w:t>
      </w:r>
      <w:r>
        <w:rPr>
          <w:snapToGrid w:val="0"/>
        </w:rPr>
        <w:sym w:font="Wingdings" w:char="F0FC"/>
      </w:r>
      <w:r>
        <w:rPr>
          <w:snapToGrid w:val="0"/>
        </w:rPr>
        <w:t xml:space="preserve">): </w:t>
      </w:r>
      <w:r>
        <w:rPr>
          <w:snapToGrid w:val="0"/>
        </w:rPr>
        <w:sym w:font="Wingdings" w:char="F072"/>
      </w:r>
      <w:r>
        <w:rPr>
          <w:snapToGrid w:val="0"/>
        </w:rPr>
        <w:t xml:space="preserve"> Mr </w:t>
      </w:r>
      <w:r>
        <w:rPr>
          <w:snapToGrid w:val="0"/>
        </w:rPr>
        <w:sym w:font="Wingdings" w:char="F072"/>
      </w:r>
      <w:r>
        <w:rPr>
          <w:snapToGrid w:val="0"/>
        </w:rPr>
        <w:t xml:space="preserve"> Mrs </w:t>
      </w:r>
      <w:r>
        <w:rPr>
          <w:snapToGrid w:val="0"/>
        </w:rPr>
        <w:sym w:font="Wingdings" w:char="F072"/>
      </w:r>
      <w:r>
        <w:rPr>
          <w:snapToGrid w:val="0"/>
        </w:rPr>
        <w:t xml:space="preserve"> Miss </w:t>
      </w:r>
      <w:r>
        <w:rPr>
          <w:snapToGrid w:val="0"/>
        </w:rPr>
        <w:sym w:font="Wingdings" w:char="F072"/>
      </w:r>
      <w:r>
        <w:rPr>
          <w:snapToGrid w:val="0"/>
        </w:rPr>
        <w:t xml:space="preserve"> Ms </w:t>
      </w:r>
      <w:r>
        <w:rPr>
          <w:snapToGrid w:val="0"/>
        </w:rPr>
        <w:sym w:font="Wingdings" w:char="F072"/>
      </w:r>
      <w:r>
        <w:rPr>
          <w:snapToGrid w:val="0"/>
        </w:rPr>
        <w:t xml:space="preserve"> Other .........................................</w:t>
      </w:r>
    </w:p>
    <w:p>
      <w:pPr>
        <w:pStyle w:val="yMiscellaneousBody"/>
        <w:tabs>
          <w:tab w:val="left" w:pos="1701"/>
        </w:tabs>
        <w:spacing w:before="40"/>
        <w:rPr>
          <w:snapToGrid w:val="0"/>
        </w:rPr>
      </w:pPr>
      <w:r>
        <w:rPr>
          <w:snapToGrid w:val="0"/>
        </w:rPr>
        <w:t>Surname</w:t>
      </w:r>
      <w:r>
        <w:rPr>
          <w:snapToGrid w:val="0"/>
        </w:rPr>
        <w:tab/>
        <w:t>.................................................................................................</w:t>
      </w:r>
    </w:p>
    <w:p>
      <w:pPr>
        <w:pStyle w:val="yMiscellaneousBody"/>
        <w:tabs>
          <w:tab w:val="left" w:pos="1701"/>
        </w:tabs>
        <w:spacing w:before="40"/>
        <w:rPr>
          <w:snapToGrid w:val="0"/>
        </w:rPr>
      </w:pPr>
      <w:r>
        <w:rPr>
          <w:snapToGrid w:val="0"/>
        </w:rPr>
        <w:t>Given Names</w:t>
      </w:r>
      <w:r>
        <w:rPr>
          <w:snapToGrid w:val="0"/>
        </w:rPr>
        <w:tab/>
        <w:t>.................................................................................................</w:t>
      </w:r>
    </w:p>
    <w:p>
      <w:pPr>
        <w:pStyle w:val="yMiscellaneousBody"/>
        <w:tabs>
          <w:tab w:val="left" w:pos="1701"/>
        </w:tabs>
        <w:spacing w:before="40"/>
        <w:rPr>
          <w:snapToGrid w:val="0"/>
        </w:rPr>
      </w:pPr>
      <w:r>
        <w:rPr>
          <w:snapToGrid w:val="0"/>
        </w:rPr>
        <w:t>Previous Name</w:t>
      </w:r>
      <w:r>
        <w:rPr>
          <w:snapToGrid w:val="0"/>
        </w:rPr>
        <w:tab/>
        <w:t>.................................................................................................</w:t>
      </w:r>
    </w:p>
    <w:p>
      <w:pPr>
        <w:pStyle w:val="yMiscellaneousBody"/>
        <w:tabs>
          <w:tab w:val="left" w:pos="1701"/>
        </w:tabs>
        <w:spacing w:before="40"/>
        <w:rPr>
          <w:snapToGrid w:val="0"/>
        </w:rPr>
      </w:pPr>
      <w:r>
        <w:rPr>
          <w:snapToGrid w:val="0"/>
        </w:rPr>
        <w:t>Occupation</w:t>
      </w:r>
      <w:r>
        <w:rPr>
          <w:snapToGrid w:val="0"/>
        </w:rPr>
        <w:tab/>
        <w:t>.................................................................................................</w:t>
      </w:r>
    </w:p>
    <w:p>
      <w:pPr>
        <w:pStyle w:val="yMiscellaneousBody"/>
        <w:tabs>
          <w:tab w:val="left" w:pos="1701"/>
        </w:tabs>
        <w:spacing w:before="40"/>
        <w:rPr>
          <w:snapToGrid w:val="0"/>
        </w:rPr>
      </w:pPr>
      <w:r>
        <w:rPr>
          <w:snapToGrid w:val="0"/>
        </w:rPr>
        <w:t>Street Address</w:t>
      </w:r>
      <w:r>
        <w:rPr>
          <w:snapToGrid w:val="0"/>
        </w:rPr>
        <w:tab/>
        <w:t>.................................................................................................</w:t>
      </w:r>
    </w:p>
    <w:p>
      <w:pPr>
        <w:pStyle w:val="yMiscellaneousBody"/>
        <w:tabs>
          <w:tab w:val="left" w:pos="1701"/>
        </w:tabs>
        <w:spacing w:before="40"/>
        <w:rPr>
          <w:snapToGrid w:val="0"/>
        </w:rPr>
      </w:pPr>
      <w:r>
        <w:rPr>
          <w:snapToGrid w:val="0"/>
        </w:rPr>
        <w:t>Suburb/Town</w:t>
      </w:r>
      <w:r>
        <w:rPr>
          <w:snapToGrid w:val="0"/>
        </w:rPr>
        <w:tab/>
        <w:t>........................................................ Post Code .......................</w:t>
      </w:r>
    </w:p>
    <w:p>
      <w:pPr>
        <w:pStyle w:val="yMiscellaneousBody"/>
        <w:tabs>
          <w:tab w:val="left" w:pos="1701"/>
        </w:tabs>
        <w:spacing w:before="40"/>
        <w:rPr>
          <w:snapToGrid w:val="0"/>
        </w:rPr>
      </w:pPr>
      <w:r>
        <w:rPr>
          <w:snapToGrid w:val="0"/>
        </w:rPr>
        <w:t>Telephone No.</w:t>
      </w:r>
      <w:r>
        <w:rPr>
          <w:snapToGrid w:val="0"/>
        </w:rPr>
        <w:tab/>
        <w:t>............................. (Business) .................................... (Home)</w:t>
      </w:r>
    </w:p>
    <w:p>
      <w:pPr>
        <w:pStyle w:val="yMiscellaneousBody"/>
        <w:tabs>
          <w:tab w:val="left" w:pos="1701"/>
        </w:tabs>
        <w:spacing w:before="40"/>
        <w:rPr>
          <w:snapToGrid w:val="0"/>
        </w:rPr>
      </w:pPr>
      <w:r>
        <w:rPr>
          <w:snapToGrid w:val="0"/>
        </w:rPr>
        <w:tab/>
        <w:t>.............................. (Mobile)</w:t>
      </w:r>
    </w:p>
    <w:p>
      <w:pPr>
        <w:pStyle w:val="yMiscellaneousBody"/>
        <w:tabs>
          <w:tab w:val="left" w:pos="1701"/>
        </w:tabs>
        <w:spacing w:before="40"/>
        <w:rPr>
          <w:snapToGrid w:val="0"/>
        </w:rPr>
      </w:pPr>
      <w:r>
        <w:rPr>
          <w:snapToGrid w:val="0"/>
        </w:rPr>
        <w:t>Date of Birth</w:t>
      </w:r>
      <w:r>
        <w:rPr>
          <w:snapToGrid w:val="0"/>
        </w:rPr>
        <w:tab/>
        <w:t>............../.............../.............</w:t>
      </w:r>
    </w:p>
    <w:p>
      <w:pPr>
        <w:pStyle w:val="yMiscellaneousHeading"/>
        <w:jc w:val="left"/>
        <w:rPr>
          <w:b/>
          <w:snapToGrid w:val="0"/>
        </w:rPr>
      </w:pPr>
      <w:r>
        <w:rPr>
          <w:b/>
          <w:snapToGrid w:val="0"/>
        </w:rPr>
        <w:t>Applicant 2. (If applicable)</w:t>
      </w:r>
    </w:p>
    <w:p>
      <w:pPr>
        <w:pStyle w:val="yMiscellaneousBody"/>
        <w:keepNext/>
        <w:spacing w:before="40"/>
        <w:rPr>
          <w:snapToGrid w:val="0"/>
        </w:rPr>
      </w:pPr>
      <w:r>
        <w:rPr>
          <w:snapToGrid w:val="0"/>
        </w:rPr>
        <w:t>Please tick (</w:t>
      </w:r>
      <w:r>
        <w:rPr>
          <w:snapToGrid w:val="0"/>
        </w:rPr>
        <w:sym w:font="Wingdings" w:char="F0FC"/>
      </w:r>
      <w:r>
        <w:rPr>
          <w:snapToGrid w:val="0"/>
        </w:rPr>
        <w:t xml:space="preserve">): </w:t>
      </w:r>
      <w:r>
        <w:rPr>
          <w:snapToGrid w:val="0"/>
        </w:rPr>
        <w:sym w:font="Wingdings" w:char="F072"/>
      </w:r>
      <w:r>
        <w:rPr>
          <w:snapToGrid w:val="0"/>
        </w:rPr>
        <w:t xml:space="preserve"> Mr </w:t>
      </w:r>
      <w:r>
        <w:rPr>
          <w:snapToGrid w:val="0"/>
        </w:rPr>
        <w:sym w:font="Wingdings" w:char="F072"/>
      </w:r>
      <w:r>
        <w:rPr>
          <w:snapToGrid w:val="0"/>
        </w:rPr>
        <w:t xml:space="preserve"> Mrs </w:t>
      </w:r>
      <w:r>
        <w:rPr>
          <w:snapToGrid w:val="0"/>
        </w:rPr>
        <w:sym w:font="Wingdings" w:char="F072"/>
      </w:r>
      <w:r>
        <w:rPr>
          <w:snapToGrid w:val="0"/>
        </w:rPr>
        <w:t xml:space="preserve"> Miss </w:t>
      </w:r>
      <w:r>
        <w:rPr>
          <w:snapToGrid w:val="0"/>
        </w:rPr>
        <w:sym w:font="Wingdings" w:char="F072"/>
      </w:r>
      <w:r>
        <w:rPr>
          <w:snapToGrid w:val="0"/>
        </w:rPr>
        <w:t xml:space="preserve"> Ms </w:t>
      </w:r>
      <w:r>
        <w:rPr>
          <w:snapToGrid w:val="0"/>
        </w:rPr>
        <w:sym w:font="Wingdings" w:char="F072"/>
      </w:r>
      <w:r>
        <w:rPr>
          <w:snapToGrid w:val="0"/>
        </w:rPr>
        <w:t xml:space="preserve"> Other .........................................</w:t>
      </w:r>
    </w:p>
    <w:p>
      <w:pPr>
        <w:pStyle w:val="yMiscellaneousBody"/>
        <w:tabs>
          <w:tab w:val="left" w:pos="1701"/>
        </w:tabs>
        <w:spacing w:before="40"/>
        <w:rPr>
          <w:snapToGrid w:val="0"/>
        </w:rPr>
      </w:pPr>
      <w:r>
        <w:rPr>
          <w:snapToGrid w:val="0"/>
        </w:rPr>
        <w:t>Surname</w:t>
      </w:r>
      <w:r>
        <w:rPr>
          <w:snapToGrid w:val="0"/>
        </w:rPr>
        <w:tab/>
        <w:t>.................................................................................................</w:t>
      </w:r>
    </w:p>
    <w:p>
      <w:pPr>
        <w:pStyle w:val="yMiscellaneousBody"/>
        <w:tabs>
          <w:tab w:val="left" w:pos="1701"/>
        </w:tabs>
        <w:spacing w:before="40"/>
        <w:rPr>
          <w:snapToGrid w:val="0"/>
        </w:rPr>
      </w:pPr>
      <w:r>
        <w:rPr>
          <w:snapToGrid w:val="0"/>
        </w:rPr>
        <w:t>Given Names</w:t>
      </w:r>
      <w:r>
        <w:rPr>
          <w:snapToGrid w:val="0"/>
        </w:rPr>
        <w:tab/>
        <w:t>.................................................................................................</w:t>
      </w:r>
    </w:p>
    <w:p>
      <w:pPr>
        <w:pStyle w:val="yMiscellaneousBody"/>
        <w:tabs>
          <w:tab w:val="left" w:pos="1701"/>
        </w:tabs>
        <w:spacing w:before="40"/>
        <w:rPr>
          <w:snapToGrid w:val="0"/>
        </w:rPr>
      </w:pPr>
      <w:r>
        <w:rPr>
          <w:snapToGrid w:val="0"/>
        </w:rPr>
        <w:t>Previous Name</w:t>
      </w:r>
      <w:r>
        <w:rPr>
          <w:snapToGrid w:val="0"/>
        </w:rPr>
        <w:tab/>
        <w:t>.................................................................................................</w:t>
      </w:r>
    </w:p>
    <w:p>
      <w:pPr>
        <w:pStyle w:val="yMiscellaneousBody"/>
        <w:tabs>
          <w:tab w:val="left" w:pos="1701"/>
        </w:tabs>
        <w:spacing w:before="40"/>
        <w:rPr>
          <w:snapToGrid w:val="0"/>
        </w:rPr>
      </w:pPr>
      <w:r>
        <w:rPr>
          <w:snapToGrid w:val="0"/>
        </w:rPr>
        <w:t>Occupation</w:t>
      </w:r>
      <w:r>
        <w:rPr>
          <w:snapToGrid w:val="0"/>
        </w:rPr>
        <w:tab/>
        <w:t>.................................................................................................</w:t>
      </w:r>
    </w:p>
    <w:p>
      <w:pPr>
        <w:pStyle w:val="yMiscellaneousBody"/>
        <w:tabs>
          <w:tab w:val="left" w:pos="1701"/>
        </w:tabs>
        <w:spacing w:before="40"/>
        <w:rPr>
          <w:snapToGrid w:val="0"/>
        </w:rPr>
      </w:pPr>
      <w:r>
        <w:rPr>
          <w:snapToGrid w:val="0"/>
        </w:rPr>
        <w:t>Street Address</w:t>
      </w:r>
      <w:r>
        <w:rPr>
          <w:snapToGrid w:val="0"/>
        </w:rPr>
        <w:tab/>
        <w:t>.................................................................................................</w:t>
      </w:r>
    </w:p>
    <w:p>
      <w:pPr>
        <w:pStyle w:val="yMiscellaneousBody"/>
        <w:tabs>
          <w:tab w:val="left" w:pos="1701"/>
        </w:tabs>
        <w:spacing w:before="40"/>
        <w:rPr>
          <w:snapToGrid w:val="0"/>
        </w:rPr>
      </w:pPr>
      <w:r>
        <w:rPr>
          <w:snapToGrid w:val="0"/>
        </w:rPr>
        <w:t>Suburb/Town</w:t>
      </w:r>
      <w:r>
        <w:rPr>
          <w:snapToGrid w:val="0"/>
        </w:rPr>
        <w:tab/>
        <w:t>.......................................................... Post Code .....................</w:t>
      </w:r>
    </w:p>
    <w:p>
      <w:pPr>
        <w:pStyle w:val="yMiscellaneousBody"/>
        <w:tabs>
          <w:tab w:val="left" w:pos="1701"/>
        </w:tabs>
        <w:spacing w:before="40"/>
        <w:rPr>
          <w:snapToGrid w:val="0"/>
        </w:rPr>
      </w:pPr>
      <w:r>
        <w:rPr>
          <w:snapToGrid w:val="0"/>
        </w:rPr>
        <w:t>Telephone No.</w:t>
      </w:r>
      <w:r>
        <w:rPr>
          <w:snapToGrid w:val="0"/>
        </w:rPr>
        <w:tab/>
        <w:t>.................................. (Business) .............................. .(Home)</w:t>
      </w:r>
    </w:p>
    <w:p>
      <w:pPr>
        <w:pStyle w:val="yMiscellaneousBody"/>
        <w:tabs>
          <w:tab w:val="left" w:pos="1701"/>
        </w:tabs>
        <w:spacing w:before="40"/>
        <w:rPr>
          <w:snapToGrid w:val="0"/>
        </w:rPr>
      </w:pPr>
      <w:r>
        <w:rPr>
          <w:snapToGrid w:val="0"/>
        </w:rPr>
        <w:tab/>
        <w:t>................................. (Mobile)</w:t>
      </w:r>
    </w:p>
    <w:p>
      <w:pPr>
        <w:pStyle w:val="yMiscellaneousBody"/>
        <w:tabs>
          <w:tab w:val="left" w:pos="1701"/>
        </w:tabs>
        <w:spacing w:before="40"/>
        <w:rPr>
          <w:snapToGrid w:val="0"/>
        </w:rPr>
      </w:pPr>
      <w:r>
        <w:rPr>
          <w:snapToGrid w:val="0"/>
        </w:rPr>
        <w:t>Date of Birth</w:t>
      </w:r>
      <w:r>
        <w:rPr>
          <w:snapToGrid w:val="0"/>
        </w:rPr>
        <w:tab/>
        <w:t>............../.............../.............</w:t>
      </w:r>
    </w:p>
    <w:p>
      <w:pPr>
        <w:pStyle w:val="yMiscellaneousHeading"/>
        <w:tabs>
          <w:tab w:val="left" w:pos="567"/>
        </w:tabs>
        <w:ind w:left="567" w:hanging="567"/>
        <w:jc w:val="left"/>
        <w:rPr>
          <w:b/>
          <w:snapToGrid w:val="0"/>
        </w:rPr>
      </w:pPr>
      <w:r>
        <w:rPr>
          <w:b/>
          <w:snapToGrid w:val="0"/>
        </w:rPr>
        <w:t>2.</w:t>
      </w:r>
      <w:r>
        <w:rPr>
          <w:b/>
          <w:snapToGrid w:val="0"/>
        </w:rPr>
        <w:tab/>
        <w:t>Particulars of any other dwelling owned or partially owned</w:t>
      </w:r>
    </w:p>
    <w:p>
      <w:pPr>
        <w:pStyle w:val="yMiscellaneousBody"/>
        <w:rPr>
          <w:snapToGrid w:val="0"/>
        </w:rPr>
      </w:pPr>
      <w:r>
        <w:rPr>
          <w:snapToGrid w:val="0"/>
        </w:rPr>
        <w:t>Do either of the applicants own or partially own, or have either of the applicants ever owned, or partially owned, any dwelling in Western Australia?</w:t>
      </w:r>
    </w:p>
    <w:p>
      <w:pPr>
        <w:pStyle w:val="yMiscellaneousBody"/>
        <w:rPr>
          <w:snapToGrid w:val="0"/>
        </w:rPr>
      </w:pPr>
      <w:r>
        <w:rPr>
          <w:snapToGrid w:val="0"/>
        </w:rPr>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pPr>
        <w:pStyle w:val="yMiscellaneousBody"/>
        <w:rPr>
          <w:snapToGrid w:val="0"/>
        </w:rPr>
      </w:pPr>
      <w:r>
        <w:rPr>
          <w:snapToGrid w:val="0"/>
        </w:rPr>
        <w:t>If so, please give particulars of the dwelling(s) and ownership: ...........................</w:t>
      </w:r>
    </w:p>
    <w:p>
      <w:pPr>
        <w:pStyle w:val="yMiscellaneousBody"/>
        <w:spacing w:before="40"/>
        <w:rPr>
          <w:snapToGrid w:val="0"/>
        </w:rPr>
      </w:pPr>
      <w:r>
        <w:rPr>
          <w:snapToGrid w:val="0"/>
        </w:rPr>
        <w:t>................................................................................................................................</w:t>
      </w:r>
    </w:p>
    <w:p>
      <w:pPr>
        <w:pStyle w:val="yMiscellaneousBody"/>
        <w:spacing w:before="40"/>
        <w:rPr>
          <w:snapToGrid w:val="0"/>
        </w:rPr>
      </w:pPr>
      <w:r>
        <w:rPr>
          <w:snapToGrid w:val="0"/>
        </w:rPr>
        <w:t>................................................................................................................................</w:t>
      </w:r>
    </w:p>
    <w:p>
      <w:pPr>
        <w:pStyle w:val="yMiscellaneousHeading"/>
        <w:tabs>
          <w:tab w:val="left" w:pos="567"/>
        </w:tabs>
        <w:ind w:left="567" w:hanging="567"/>
        <w:jc w:val="left"/>
        <w:rPr>
          <w:b/>
          <w:snapToGrid w:val="0"/>
        </w:rPr>
      </w:pPr>
      <w:r>
        <w:rPr>
          <w:b/>
          <w:snapToGrid w:val="0"/>
        </w:rPr>
        <w:t>3.</w:t>
      </w:r>
      <w:r>
        <w:rPr>
          <w:b/>
          <w:snapToGrid w:val="0"/>
        </w:rPr>
        <w:tab/>
        <w:t>Particulars of Dwelling to be purchased</w:t>
      </w:r>
    </w:p>
    <w:p>
      <w:pPr>
        <w:pStyle w:val="yMiscellaneousBody"/>
        <w:rPr>
          <w:snapToGrid w:val="0"/>
        </w:rPr>
      </w:pPr>
      <w:r>
        <w:rPr>
          <w:snapToGrid w:val="0"/>
        </w:rPr>
        <w:t>Please tick (</w:t>
      </w:r>
      <w:r>
        <w:rPr>
          <w:snapToGrid w:val="0"/>
        </w:rPr>
        <w:sym w:font="Wingdings" w:char="F0FC"/>
      </w:r>
      <w:r>
        <w:rPr>
          <w:snapToGrid w:val="0"/>
        </w:rPr>
        <w:t>):</w:t>
      </w:r>
    </w:p>
    <w:p>
      <w:pPr>
        <w:pStyle w:val="yMiscellaneousBody"/>
        <w:rPr>
          <w:snapToGrid w:val="0"/>
        </w:rPr>
      </w:pPr>
      <w:r>
        <w:rPr>
          <w:snapToGrid w:val="0"/>
        </w:rPr>
        <w:t xml:space="preserve">Is dwelling complete? </w:t>
      </w:r>
      <w:r>
        <w:rPr>
          <w:snapToGrid w:val="0"/>
        </w:rPr>
        <w:sym w:font="Wingdings" w:char="F072"/>
      </w:r>
      <w:r>
        <w:rPr>
          <w:snapToGrid w:val="0"/>
        </w:rPr>
        <w:t xml:space="preserve"> Yes </w:t>
      </w:r>
      <w:r>
        <w:rPr>
          <w:snapToGrid w:val="0"/>
        </w:rPr>
        <w:sym w:font="Wingdings" w:char="F072"/>
      </w:r>
      <w:r>
        <w:rPr>
          <w:snapToGrid w:val="0"/>
        </w:rPr>
        <w:t xml:space="preserve"> No     Partially erected? </w:t>
      </w:r>
      <w:r>
        <w:rPr>
          <w:snapToGrid w:val="0"/>
        </w:rPr>
        <w:sym w:font="Wingdings" w:char="F072"/>
      </w:r>
      <w:r>
        <w:rPr>
          <w:snapToGrid w:val="0"/>
        </w:rPr>
        <w:t xml:space="preserve"> Yes </w:t>
      </w:r>
      <w:r>
        <w:rPr>
          <w:snapToGrid w:val="0"/>
        </w:rPr>
        <w:sym w:font="Wingdings" w:char="F072"/>
      </w:r>
      <w:r>
        <w:rPr>
          <w:snapToGrid w:val="0"/>
        </w:rPr>
        <w:t xml:space="preserve"> No</w:t>
      </w:r>
    </w:p>
    <w:p>
      <w:pPr>
        <w:pStyle w:val="yMiscellaneousBody"/>
        <w:tabs>
          <w:tab w:val="left" w:pos="1701"/>
        </w:tabs>
        <w:spacing w:before="40"/>
        <w:rPr>
          <w:snapToGrid w:val="0"/>
        </w:rPr>
      </w:pPr>
      <w:r>
        <w:rPr>
          <w:snapToGrid w:val="0"/>
        </w:rPr>
        <w:t>Street Address</w:t>
      </w:r>
      <w:r>
        <w:rPr>
          <w:snapToGrid w:val="0"/>
        </w:rPr>
        <w:tab/>
        <w:t>.................................................................................................</w:t>
      </w:r>
    </w:p>
    <w:p>
      <w:pPr>
        <w:pStyle w:val="yMiscellaneousBody"/>
        <w:tabs>
          <w:tab w:val="left" w:pos="1701"/>
        </w:tabs>
        <w:spacing w:before="40"/>
        <w:rPr>
          <w:snapToGrid w:val="0"/>
        </w:rPr>
      </w:pPr>
      <w:r>
        <w:rPr>
          <w:snapToGrid w:val="0"/>
        </w:rPr>
        <w:t>Suburb/Town</w:t>
      </w:r>
      <w:r>
        <w:rPr>
          <w:snapToGrid w:val="0"/>
        </w:rPr>
        <w:tab/>
        <w:t>.................................................... Post Code ...........................</w:t>
      </w:r>
    </w:p>
    <w:p>
      <w:pPr>
        <w:pStyle w:val="yMiscellaneousBody"/>
        <w:tabs>
          <w:tab w:val="left" w:pos="1701"/>
        </w:tabs>
        <w:spacing w:before="40"/>
        <w:rPr>
          <w:snapToGrid w:val="0"/>
        </w:rPr>
      </w:pPr>
      <w:r>
        <w:rPr>
          <w:snapToGrid w:val="0"/>
        </w:rPr>
        <w:t>Purchase price</w:t>
      </w:r>
      <w:r>
        <w:rPr>
          <w:snapToGrid w:val="0"/>
        </w:rPr>
        <w:tab/>
        <w:t>........................................</w:t>
      </w:r>
    </w:p>
    <w:p>
      <w:pPr>
        <w:pStyle w:val="yMiscellaneousBody"/>
        <w:tabs>
          <w:tab w:val="left" w:pos="1701"/>
        </w:tabs>
        <w:spacing w:before="40"/>
        <w:rPr>
          <w:snapToGrid w:val="0"/>
        </w:rPr>
      </w:pPr>
      <w:r>
        <w:rPr>
          <w:snapToGrid w:val="0"/>
        </w:rPr>
        <w:t>Amount of loan</w:t>
      </w:r>
      <w:r>
        <w:rPr>
          <w:snapToGrid w:val="0"/>
        </w:rPr>
        <w:tab/>
        <w:t>........................................</w:t>
      </w:r>
    </w:p>
    <w:p>
      <w:pPr>
        <w:pStyle w:val="yMiscellaneousBody"/>
        <w:tabs>
          <w:tab w:val="left" w:pos="1701"/>
        </w:tabs>
        <w:spacing w:before="40"/>
        <w:rPr>
          <w:snapToGrid w:val="0"/>
        </w:rPr>
      </w:pPr>
      <w:r>
        <w:rPr>
          <w:snapToGrid w:val="0"/>
        </w:rPr>
        <w:t>Name of lending institution(s) ...............................................................................</w:t>
      </w:r>
    </w:p>
    <w:p>
      <w:pPr>
        <w:pStyle w:val="yMiscellaneousBody"/>
        <w:tabs>
          <w:tab w:val="left" w:pos="1701"/>
        </w:tabs>
        <w:spacing w:before="40"/>
        <w:rPr>
          <w:snapToGrid w:val="0"/>
        </w:rPr>
      </w:pPr>
      <w:r>
        <w:rPr>
          <w:snapToGrid w:val="0"/>
        </w:rPr>
        <w:t>Name of real estate agent .......................................................................................</w:t>
      </w:r>
    </w:p>
    <w:p>
      <w:pPr>
        <w:pStyle w:val="yMiscellaneousHeading"/>
        <w:tabs>
          <w:tab w:val="left" w:pos="567"/>
        </w:tabs>
        <w:spacing w:after="80"/>
        <w:ind w:left="567" w:hanging="567"/>
        <w:jc w:val="left"/>
        <w:rPr>
          <w:b/>
          <w:snapToGrid w:val="0"/>
        </w:rPr>
      </w:pPr>
      <w:r>
        <w:rPr>
          <w:b/>
          <w:snapToGrid w:val="0"/>
        </w:rPr>
        <w:t>4.</w:t>
      </w:r>
      <w:r>
        <w:rPr>
          <w:b/>
          <w:snapToGrid w:val="0"/>
        </w:rPr>
        <w:tab/>
        <w:t>Particulars of Incidental Expenses</w:t>
      </w:r>
    </w:p>
    <w:tbl>
      <w:tblPr>
        <w:tblW w:w="0" w:type="auto"/>
        <w:tblInd w:w="120" w:type="dxa"/>
        <w:tblLayout w:type="fixed"/>
        <w:tblCellMar>
          <w:left w:w="120" w:type="dxa"/>
          <w:right w:w="120" w:type="dxa"/>
        </w:tblCellMar>
        <w:tblLook w:val="0000" w:firstRow="0" w:lastRow="0" w:firstColumn="0" w:lastColumn="0" w:noHBand="0" w:noVBand="0"/>
      </w:tblPr>
      <w:tblGrid>
        <w:gridCol w:w="1644"/>
        <w:gridCol w:w="1316"/>
        <w:gridCol w:w="1934"/>
        <w:gridCol w:w="1342"/>
      </w:tblGrid>
      <w:tr>
        <w:tc>
          <w:tcPr>
            <w:tcW w:w="1644" w:type="dxa"/>
            <w:tcBorders>
              <w:top w:val="single" w:sz="7" w:space="0" w:color="auto"/>
              <w:left w:val="single" w:sz="7" w:space="0" w:color="auto"/>
            </w:tcBorders>
          </w:tcPr>
          <w:p>
            <w:pPr>
              <w:pStyle w:val="yTable"/>
              <w:keepNext/>
              <w:spacing w:before="0"/>
              <w:rPr>
                <w:b/>
                <w:sz w:val="18"/>
              </w:rPr>
            </w:pPr>
            <w:r>
              <w:rPr>
                <w:b/>
                <w:sz w:val="18"/>
              </w:rPr>
              <w:t>Expense</w:t>
            </w:r>
          </w:p>
        </w:tc>
        <w:tc>
          <w:tcPr>
            <w:tcW w:w="1316" w:type="dxa"/>
            <w:tcBorders>
              <w:top w:val="single" w:sz="7" w:space="0" w:color="auto"/>
              <w:left w:val="single" w:sz="7" w:space="0" w:color="auto"/>
            </w:tcBorders>
          </w:tcPr>
          <w:p>
            <w:pPr>
              <w:pStyle w:val="yTable"/>
              <w:keepNext/>
              <w:spacing w:before="0"/>
              <w:rPr>
                <w:b/>
                <w:sz w:val="18"/>
              </w:rPr>
            </w:pPr>
            <w:r>
              <w:rPr>
                <w:b/>
                <w:sz w:val="18"/>
              </w:rPr>
              <w:t xml:space="preserve"> Amount  $</w:t>
            </w:r>
          </w:p>
        </w:tc>
        <w:tc>
          <w:tcPr>
            <w:tcW w:w="1934" w:type="dxa"/>
            <w:tcBorders>
              <w:top w:val="single" w:sz="7" w:space="0" w:color="auto"/>
              <w:left w:val="single" w:sz="7" w:space="0" w:color="auto"/>
            </w:tcBorders>
          </w:tcPr>
          <w:p>
            <w:pPr>
              <w:pStyle w:val="yTable"/>
              <w:keepNext/>
              <w:spacing w:before="0"/>
              <w:rPr>
                <w:b/>
                <w:sz w:val="18"/>
              </w:rPr>
            </w:pPr>
            <w:r>
              <w:rPr>
                <w:b/>
                <w:sz w:val="18"/>
              </w:rPr>
              <w:t xml:space="preserve">  Carried forward</w:t>
            </w:r>
          </w:p>
        </w:tc>
        <w:tc>
          <w:tcPr>
            <w:tcW w:w="1342" w:type="dxa"/>
            <w:tcBorders>
              <w:top w:val="single" w:sz="7" w:space="0" w:color="auto"/>
              <w:left w:val="single" w:sz="7" w:space="0" w:color="auto"/>
              <w:right w:val="single" w:sz="7" w:space="0" w:color="auto"/>
            </w:tcBorders>
          </w:tcPr>
          <w:p>
            <w:pPr>
              <w:pStyle w:val="yTable"/>
              <w:keepNext/>
              <w:spacing w:before="0"/>
              <w:rPr>
                <w:b/>
                <w:sz w:val="18"/>
              </w:rPr>
            </w:pPr>
            <w:r>
              <w:rPr>
                <w:b/>
                <w:sz w:val="18"/>
              </w:rPr>
              <w:t xml:space="preserve"> $</w:t>
            </w:r>
          </w:p>
        </w:tc>
      </w:tr>
      <w:tr>
        <w:tc>
          <w:tcPr>
            <w:tcW w:w="1644" w:type="dxa"/>
            <w:tcBorders>
              <w:top w:val="single" w:sz="7" w:space="0" w:color="auto"/>
              <w:left w:val="single" w:sz="7" w:space="0" w:color="auto"/>
            </w:tcBorders>
          </w:tcPr>
          <w:p>
            <w:pPr>
              <w:pStyle w:val="yTable"/>
              <w:keepNext/>
              <w:spacing w:before="0"/>
              <w:rPr>
                <w:sz w:val="18"/>
              </w:rPr>
            </w:pPr>
            <w:r>
              <w:rPr>
                <w:sz w:val="18"/>
              </w:rPr>
              <w:t>Stamp duty</w:t>
            </w:r>
          </w:p>
          <w:p>
            <w:pPr>
              <w:pStyle w:val="yTable"/>
              <w:keepNext/>
              <w:spacing w:before="0"/>
              <w:rPr>
                <w:sz w:val="18"/>
              </w:rPr>
            </w:pPr>
            <w:r>
              <w:rPr>
                <w:sz w:val="18"/>
              </w:rPr>
              <w:t xml:space="preserve">     — transfer</w:t>
            </w:r>
          </w:p>
          <w:p>
            <w:pPr>
              <w:pStyle w:val="yTable"/>
              <w:keepNext/>
              <w:spacing w:before="0"/>
              <w:rPr>
                <w:sz w:val="18"/>
              </w:rPr>
            </w:pPr>
            <w:r>
              <w:rPr>
                <w:sz w:val="18"/>
              </w:rPr>
              <w:t xml:space="preserve">     — mortgage</w:t>
            </w:r>
          </w:p>
          <w:p>
            <w:pPr>
              <w:pStyle w:val="yTable"/>
              <w:keepNext/>
              <w:spacing w:before="0"/>
              <w:rPr>
                <w:sz w:val="18"/>
                <w:lang w:val="en-US"/>
              </w:rPr>
            </w:pPr>
          </w:p>
          <w:p>
            <w:pPr>
              <w:pStyle w:val="yTable"/>
              <w:keepNext/>
              <w:spacing w:before="0"/>
              <w:rPr>
                <w:sz w:val="18"/>
                <w:lang w:val="en-US"/>
              </w:rPr>
            </w:pPr>
          </w:p>
          <w:p>
            <w:pPr>
              <w:pStyle w:val="yTable"/>
              <w:keepNext/>
              <w:spacing w:before="0"/>
              <w:rPr>
                <w:sz w:val="18"/>
              </w:rPr>
            </w:pPr>
            <w:r>
              <w:rPr>
                <w:sz w:val="18"/>
              </w:rPr>
              <w:t>Registration fees</w:t>
            </w:r>
          </w:p>
          <w:p>
            <w:pPr>
              <w:pStyle w:val="yTable"/>
              <w:keepNext/>
              <w:spacing w:before="0"/>
              <w:rPr>
                <w:sz w:val="18"/>
              </w:rPr>
            </w:pPr>
            <w:r>
              <w:rPr>
                <w:sz w:val="18"/>
              </w:rPr>
              <w:t xml:space="preserve">     — transfer</w:t>
            </w:r>
          </w:p>
          <w:p>
            <w:pPr>
              <w:pStyle w:val="yTable"/>
              <w:keepNext/>
              <w:spacing w:before="0"/>
              <w:rPr>
                <w:sz w:val="18"/>
              </w:rPr>
            </w:pPr>
            <w:r>
              <w:rPr>
                <w:sz w:val="18"/>
              </w:rPr>
              <w:t xml:space="preserve">     — mortgage</w:t>
            </w:r>
          </w:p>
          <w:p>
            <w:pPr>
              <w:pStyle w:val="yTable"/>
              <w:keepNext/>
              <w:spacing w:before="0"/>
              <w:rPr>
                <w:sz w:val="18"/>
              </w:rPr>
            </w:pPr>
            <w:r>
              <w:rPr>
                <w:sz w:val="18"/>
              </w:rPr>
              <w:t xml:space="preserve">     — caveat</w:t>
            </w: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r>
              <w:rPr>
                <w:sz w:val="18"/>
              </w:rPr>
              <w:t>Conveyancing fees</w:t>
            </w:r>
          </w:p>
          <w:p>
            <w:pPr>
              <w:pStyle w:val="yTable"/>
              <w:keepNext/>
              <w:spacing w:before="0"/>
              <w:rPr>
                <w:sz w:val="18"/>
              </w:rPr>
            </w:pPr>
          </w:p>
          <w:p>
            <w:pPr>
              <w:pStyle w:val="yTable"/>
              <w:keepNext/>
              <w:spacing w:before="0"/>
              <w:rPr>
                <w:sz w:val="18"/>
              </w:rPr>
            </w:pPr>
            <w:r>
              <w:rPr>
                <w:sz w:val="18"/>
              </w:rPr>
              <w:t>Solicitor’s fees</w:t>
            </w:r>
          </w:p>
          <w:p>
            <w:pPr>
              <w:pStyle w:val="yTable"/>
              <w:keepNext/>
              <w:spacing w:before="0"/>
              <w:rPr>
                <w:sz w:val="18"/>
              </w:rPr>
            </w:pPr>
          </w:p>
          <w:p>
            <w:pPr>
              <w:pStyle w:val="yTable"/>
              <w:keepNext/>
              <w:spacing w:before="0"/>
              <w:rPr>
                <w:sz w:val="18"/>
              </w:rPr>
            </w:pPr>
            <w:r>
              <w:rPr>
                <w:sz w:val="18"/>
              </w:rPr>
              <w:t>Valuation fees</w:t>
            </w:r>
          </w:p>
          <w:p>
            <w:pPr>
              <w:pStyle w:val="yTable"/>
              <w:keepNext/>
              <w:spacing w:before="0"/>
              <w:rPr>
                <w:sz w:val="18"/>
              </w:rPr>
            </w:pPr>
          </w:p>
          <w:p>
            <w:pPr>
              <w:pStyle w:val="yTable"/>
              <w:keepNext/>
              <w:spacing w:before="0"/>
              <w:rPr>
                <w:sz w:val="18"/>
              </w:rPr>
            </w:pPr>
          </w:p>
        </w:tc>
        <w:tc>
          <w:tcPr>
            <w:tcW w:w="1316" w:type="dxa"/>
            <w:tcBorders>
              <w:top w:val="single" w:sz="7" w:space="0" w:color="auto"/>
              <w:left w:val="single" w:sz="7" w:space="0" w:color="auto"/>
            </w:tcBorders>
          </w:tcPr>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tc>
        <w:tc>
          <w:tcPr>
            <w:tcW w:w="1934" w:type="dxa"/>
            <w:tcBorders>
              <w:top w:val="single" w:sz="7" w:space="0" w:color="auto"/>
              <w:left w:val="single" w:sz="7" w:space="0" w:color="auto"/>
            </w:tcBorders>
          </w:tcPr>
          <w:p>
            <w:pPr>
              <w:pStyle w:val="yTable"/>
              <w:keepNext/>
              <w:spacing w:before="0"/>
              <w:rPr>
                <w:sz w:val="18"/>
              </w:rPr>
            </w:pPr>
            <w:r>
              <w:rPr>
                <w:sz w:val="18"/>
              </w:rPr>
              <w:t>Lending institution fees for lodging this application</w:t>
            </w:r>
          </w:p>
          <w:p>
            <w:pPr>
              <w:pStyle w:val="yTable"/>
              <w:keepNext/>
              <w:spacing w:before="0"/>
              <w:rPr>
                <w:sz w:val="18"/>
              </w:rPr>
            </w:pPr>
          </w:p>
          <w:p>
            <w:pPr>
              <w:pStyle w:val="yTable"/>
              <w:keepNext/>
              <w:spacing w:before="0"/>
              <w:rPr>
                <w:sz w:val="18"/>
              </w:rPr>
            </w:pPr>
          </w:p>
          <w:p>
            <w:pPr>
              <w:pStyle w:val="yTable"/>
              <w:keepNext/>
              <w:spacing w:before="0"/>
              <w:rPr>
                <w:sz w:val="18"/>
              </w:rPr>
            </w:pPr>
            <w:r>
              <w:rPr>
                <w:sz w:val="18"/>
              </w:rPr>
              <w:t>Mortgage guarantee fees or mortgage insurance premium (not house and contents insurance or mortgage protection insurance)</w:t>
            </w:r>
          </w:p>
          <w:p>
            <w:pPr>
              <w:pStyle w:val="yTable"/>
              <w:keepNext/>
              <w:spacing w:before="0"/>
              <w:rPr>
                <w:sz w:val="18"/>
              </w:rPr>
            </w:pPr>
          </w:p>
          <w:p>
            <w:pPr>
              <w:pStyle w:val="yTable"/>
              <w:keepNext/>
              <w:spacing w:before="0"/>
              <w:rPr>
                <w:sz w:val="18"/>
              </w:rPr>
            </w:pPr>
          </w:p>
          <w:p>
            <w:pPr>
              <w:pStyle w:val="yTable"/>
              <w:keepNext/>
              <w:spacing w:before="0"/>
              <w:rPr>
                <w:sz w:val="18"/>
              </w:rPr>
            </w:pPr>
            <w:r>
              <w:rPr>
                <w:sz w:val="18"/>
              </w:rPr>
              <w:t>Inspection fees</w:t>
            </w:r>
          </w:p>
          <w:p>
            <w:pPr>
              <w:pStyle w:val="yTable"/>
              <w:keepNext/>
              <w:spacing w:before="0"/>
              <w:rPr>
                <w:sz w:val="18"/>
              </w:rPr>
            </w:pPr>
          </w:p>
          <w:p>
            <w:pPr>
              <w:pStyle w:val="yTable"/>
              <w:keepNext/>
              <w:spacing w:before="0"/>
              <w:rPr>
                <w:sz w:val="18"/>
              </w:rPr>
            </w:pPr>
          </w:p>
          <w:p>
            <w:pPr>
              <w:pStyle w:val="yTable"/>
              <w:keepNext/>
              <w:spacing w:before="0"/>
              <w:rPr>
                <w:sz w:val="18"/>
              </w:rPr>
            </w:pPr>
            <w:r>
              <w:rPr>
                <w:sz w:val="18"/>
              </w:rPr>
              <w:t>Establishment fees</w:t>
            </w:r>
          </w:p>
        </w:tc>
        <w:tc>
          <w:tcPr>
            <w:tcW w:w="1342" w:type="dxa"/>
            <w:tcBorders>
              <w:left w:val="single" w:sz="7" w:space="0" w:color="auto"/>
              <w:right w:val="single" w:sz="7" w:space="0" w:color="auto"/>
            </w:tcBorders>
          </w:tcPr>
          <w:p>
            <w:pPr>
              <w:pStyle w:val="yTable"/>
              <w:keepNext/>
              <w:spacing w:before="0"/>
              <w:rPr>
                <w:sz w:val="18"/>
              </w:rPr>
            </w:pPr>
          </w:p>
        </w:tc>
      </w:tr>
      <w:tr>
        <w:tc>
          <w:tcPr>
            <w:tcW w:w="1644" w:type="dxa"/>
            <w:tcBorders>
              <w:left w:val="single" w:sz="7" w:space="0" w:color="auto"/>
              <w:bottom w:val="single" w:sz="7" w:space="0" w:color="auto"/>
            </w:tcBorders>
          </w:tcPr>
          <w:p>
            <w:pPr>
              <w:pStyle w:val="yTable"/>
              <w:spacing w:after="60"/>
              <w:rPr>
                <w:b/>
                <w:sz w:val="18"/>
              </w:rPr>
            </w:pPr>
            <w:r>
              <w:rPr>
                <w:b/>
                <w:sz w:val="18"/>
              </w:rPr>
              <w:t>Sub Total</w:t>
            </w:r>
          </w:p>
        </w:tc>
        <w:tc>
          <w:tcPr>
            <w:tcW w:w="1316" w:type="dxa"/>
            <w:tcBorders>
              <w:top w:val="single" w:sz="7" w:space="0" w:color="auto"/>
              <w:left w:val="single" w:sz="7" w:space="0" w:color="auto"/>
              <w:bottom w:val="single" w:sz="7" w:space="0" w:color="auto"/>
            </w:tcBorders>
          </w:tcPr>
          <w:p>
            <w:pPr>
              <w:pStyle w:val="yTable"/>
              <w:spacing w:after="60"/>
              <w:rPr>
                <w:b/>
                <w:sz w:val="18"/>
              </w:rPr>
            </w:pPr>
            <w:r>
              <w:rPr>
                <w:b/>
                <w:sz w:val="18"/>
              </w:rPr>
              <w:t>$</w:t>
            </w:r>
          </w:p>
        </w:tc>
        <w:tc>
          <w:tcPr>
            <w:tcW w:w="1934" w:type="dxa"/>
            <w:tcBorders>
              <w:left w:val="single" w:sz="7" w:space="0" w:color="auto"/>
              <w:bottom w:val="single" w:sz="7" w:space="0" w:color="auto"/>
            </w:tcBorders>
          </w:tcPr>
          <w:p>
            <w:pPr>
              <w:pStyle w:val="yTable"/>
              <w:spacing w:after="60"/>
              <w:rPr>
                <w:b/>
                <w:sz w:val="18"/>
              </w:rPr>
            </w:pPr>
            <w:r>
              <w:rPr>
                <w:b/>
                <w:sz w:val="18"/>
              </w:rPr>
              <w:t>Total</w:t>
            </w:r>
          </w:p>
        </w:tc>
        <w:tc>
          <w:tcPr>
            <w:tcW w:w="1342" w:type="dxa"/>
            <w:tcBorders>
              <w:top w:val="single" w:sz="7" w:space="0" w:color="auto"/>
              <w:left w:val="single" w:sz="7" w:space="0" w:color="auto"/>
              <w:bottom w:val="single" w:sz="7" w:space="0" w:color="auto"/>
              <w:right w:val="single" w:sz="7" w:space="0" w:color="auto"/>
            </w:tcBorders>
          </w:tcPr>
          <w:p>
            <w:pPr>
              <w:pStyle w:val="yTable"/>
              <w:spacing w:after="60"/>
              <w:rPr>
                <w:b/>
                <w:sz w:val="18"/>
              </w:rPr>
            </w:pPr>
            <w:r>
              <w:rPr>
                <w:b/>
                <w:sz w:val="18"/>
              </w:rPr>
              <w:t>$</w:t>
            </w:r>
          </w:p>
        </w:tc>
      </w:tr>
    </w:tbl>
    <w:p>
      <w:pPr>
        <w:pStyle w:val="yMiscellaneousHeading"/>
        <w:spacing w:after="80"/>
        <w:jc w:val="left"/>
        <w:rPr>
          <w:b/>
          <w:snapToGrid w:val="0"/>
        </w:rPr>
      </w:pPr>
      <w:r>
        <w:rPr>
          <w:b/>
          <w:snapToGrid w:val="0"/>
        </w:rPr>
        <w:t>Declaration</w:t>
      </w:r>
    </w:p>
    <w:p>
      <w:pPr>
        <w:pStyle w:val="yMiscellaneousBody"/>
        <w:rPr>
          <w:snapToGrid w:val="0"/>
        </w:rPr>
      </w:pPr>
      <w:r>
        <w:rPr>
          <w:snapToGrid w:val="0"/>
        </w:rPr>
        <w:t>I do solemnly declare that:</w:t>
      </w:r>
    </w:p>
    <w:p>
      <w:pPr>
        <w:pStyle w:val="yMiscellaneousBody"/>
        <w:tabs>
          <w:tab w:val="left" w:pos="567"/>
          <w:tab w:val="left" w:pos="1134"/>
        </w:tabs>
        <w:ind w:left="1134" w:hanging="1134"/>
        <w:rPr>
          <w:snapToGrid w:val="0"/>
        </w:rPr>
      </w:pPr>
      <w:r>
        <w:rPr>
          <w:snapToGrid w:val="0"/>
        </w:rPr>
        <w:tab/>
        <w:t>(a)</w:t>
      </w:r>
      <w:r>
        <w:rPr>
          <w:snapToGrid w:val="0"/>
        </w:rPr>
        <w:tab/>
        <w:t>the information provided by me in this application is true and correct;</w:t>
      </w:r>
    </w:p>
    <w:p>
      <w:pPr>
        <w:pStyle w:val="yMiscellaneousBody"/>
        <w:tabs>
          <w:tab w:val="left" w:pos="567"/>
          <w:tab w:val="left" w:pos="1134"/>
        </w:tabs>
        <w:ind w:left="1134" w:hanging="1134"/>
        <w:rPr>
          <w:snapToGrid w:val="0"/>
        </w:rPr>
      </w:pPr>
      <w:r>
        <w:rPr>
          <w:snapToGrid w:val="0"/>
        </w:rPr>
        <w:tab/>
        <w:t>(b)</w:t>
      </w:r>
      <w:r>
        <w:rPr>
          <w:snapToGrid w:val="0"/>
        </w:rPr>
        <w:tab/>
        <w:t>I do not intend to lease the dwelling, or permit it to be leased, for the period of 12 months after settlement on its purchase; and</w:t>
      </w:r>
    </w:p>
    <w:p>
      <w:pPr>
        <w:pStyle w:val="yMiscellaneousBody"/>
        <w:tabs>
          <w:tab w:val="left" w:pos="567"/>
          <w:tab w:val="left" w:pos="1134"/>
        </w:tabs>
        <w:ind w:left="1134" w:hanging="1134"/>
        <w:rPr>
          <w:snapToGrid w:val="0"/>
        </w:rPr>
      </w:pPr>
      <w:r>
        <w:rPr>
          <w:snapToGrid w:val="0"/>
        </w:rPr>
        <w:tab/>
        <w:t>(c)</w:t>
      </w:r>
      <w:r>
        <w:rPr>
          <w:snapToGrid w:val="0"/>
        </w:rPr>
        <w:tab/>
        <w:t>the dwelling, unless it is a partly built dwelling, is to be used as the principal place of residence of myself and my immediate family for at least the period referred to in paragraph (b) of this declaration.</w:t>
      </w:r>
    </w:p>
    <w:p>
      <w:pPr>
        <w:pStyle w:val="yMiscellaneousBody"/>
        <w:rPr>
          <w:snapToGrid w:val="0"/>
        </w:rPr>
      </w:pPr>
      <w:r>
        <w:rPr>
          <w:snapToGrid w:val="0"/>
        </w:rPr>
        <w:t xml:space="preserve">And I make this solemn declaration by virtue of section 106 of the </w:t>
      </w:r>
      <w:r>
        <w:rPr>
          <w:i/>
          <w:snapToGrid w:val="0"/>
        </w:rPr>
        <w:t>Evidence Act 1906</w:t>
      </w:r>
      <w:r>
        <w:rPr>
          <w:snapToGrid w:val="0"/>
        </w:rPr>
        <w:t>.</w:t>
      </w:r>
    </w:p>
    <w:p>
      <w:pPr>
        <w:pStyle w:val="yMiscellaneousBody"/>
        <w:tabs>
          <w:tab w:val="left" w:pos="1418"/>
        </w:tabs>
        <w:rPr>
          <w:snapToGrid w:val="0"/>
        </w:rPr>
      </w:pPr>
      <w:r>
        <w:rPr>
          <w:snapToGrid w:val="0"/>
        </w:rPr>
        <w:t>Declared at</w:t>
      </w:r>
      <w:r>
        <w:rPr>
          <w:snapToGrid w:val="0"/>
        </w:rPr>
        <w:tab/>
        <w:t>.......................................................................................................</w:t>
      </w:r>
    </w:p>
    <w:p>
      <w:pPr>
        <w:pStyle w:val="yMiscellaneousBody"/>
        <w:tabs>
          <w:tab w:val="left" w:pos="1418"/>
        </w:tabs>
        <w:rPr>
          <w:snapToGrid w:val="0"/>
        </w:rPr>
      </w:pPr>
      <w:r>
        <w:rPr>
          <w:snapToGrid w:val="0"/>
        </w:rPr>
        <w:t>Dated this</w:t>
      </w:r>
      <w:r>
        <w:rPr>
          <w:snapToGrid w:val="0"/>
        </w:rPr>
        <w:tab/>
        <w:t>................... day of ................................................... 2 ................</w:t>
      </w:r>
    </w:p>
    <w:p>
      <w:pPr>
        <w:pStyle w:val="yMiscellaneousBody"/>
        <w:tabs>
          <w:tab w:val="left" w:pos="1418"/>
        </w:tabs>
        <w:spacing w:before="240"/>
        <w:rPr>
          <w:snapToGrid w:val="0"/>
        </w:rPr>
      </w:pPr>
      <w:r>
        <w:rPr>
          <w:snapToGrid w:val="0"/>
        </w:rPr>
        <w:t>Declarant 1.</w:t>
      </w:r>
      <w:r>
        <w:rPr>
          <w:snapToGrid w:val="0"/>
        </w:rPr>
        <w:tab/>
        <w:t>.......................................................................................................</w:t>
      </w:r>
    </w:p>
    <w:p>
      <w:pPr>
        <w:pStyle w:val="yMiscellaneousBody"/>
        <w:tabs>
          <w:tab w:val="left" w:pos="1418"/>
        </w:tabs>
        <w:spacing w:before="240"/>
        <w:rPr>
          <w:snapToGrid w:val="0"/>
        </w:rPr>
      </w:pPr>
      <w:r>
        <w:rPr>
          <w:snapToGrid w:val="0"/>
        </w:rPr>
        <w:t>Declarant 2.</w:t>
      </w:r>
      <w:r>
        <w:rPr>
          <w:snapToGrid w:val="0"/>
        </w:rPr>
        <w:tab/>
        <w:t>.......................................................................................................</w:t>
      </w:r>
    </w:p>
    <w:p>
      <w:pPr>
        <w:pStyle w:val="yMiscellaneousBody"/>
        <w:spacing w:before="0"/>
        <w:rPr>
          <w:snapToGrid w:val="0"/>
        </w:rPr>
      </w:pPr>
      <w:r>
        <w:rPr>
          <w:snapToGrid w:val="0"/>
        </w:rPr>
        <w:t>(If applicable)</w:t>
      </w:r>
    </w:p>
    <w:p>
      <w:pPr>
        <w:pStyle w:val="yMiscellaneousBody"/>
        <w:tabs>
          <w:tab w:val="left" w:pos="1418"/>
        </w:tabs>
        <w:spacing w:before="240"/>
        <w:rPr>
          <w:snapToGrid w:val="0"/>
        </w:rPr>
      </w:pPr>
      <w:r>
        <w:rPr>
          <w:snapToGrid w:val="0"/>
        </w:rPr>
        <w:t>Before me</w:t>
      </w:r>
      <w:r>
        <w:rPr>
          <w:snapToGrid w:val="0"/>
        </w:rPr>
        <w:tab/>
        <w:t>.......................................................................................................</w:t>
      </w:r>
    </w:p>
    <w:p>
      <w:pPr>
        <w:pStyle w:val="yMiscellaneousBody"/>
        <w:tabs>
          <w:tab w:val="left" w:pos="1418"/>
        </w:tabs>
        <w:spacing w:before="0"/>
        <w:ind w:left="1418" w:hanging="1418"/>
        <w:rPr>
          <w:snapToGrid w:val="0"/>
        </w:rPr>
      </w:pPr>
      <w:r>
        <w:rPr>
          <w:snapToGrid w:val="0"/>
        </w:rPr>
        <w:tab/>
        <w:t>[Justice of the Peace, Commissioner for Declarations, or Authorised Person]</w:t>
      </w:r>
    </w:p>
    <w:p>
      <w:pPr>
        <w:pStyle w:val="yFootnotesection"/>
      </w:pPr>
      <w:r>
        <w:tab/>
        <w:t>[Schedule 2 inserted in Gazette 2 Jul 1982 p. 2335</w:t>
      </w:r>
      <w:r>
        <w:noBreakHyphen/>
        <w:t>6; amended in Gazette 30 Dec 1983 p. 5121</w:t>
      </w:r>
      <w:r>
        <w:noBreakHyphen/>
        <w:t>2; 30 Sep 1994 p. 4969</w:t>
      </w:r>
      <w:r>
        <w:noBreakHyphen/>
        <w:t>72; 25 Jun 1996 p. 2920</w:t>
      </w:r>
      <w:r>
        <w:noBreakHyphen/>
        <w:t>2; 27 Jun 1997 p. 3099</w:t>
      </w:r>
      <w:r>
        <w:noBreakHyphen/>
        <w:t>101; 8 Feb 2002 p. 599</w:t>
      </w:r>
      <w:r>
        <w:noBreakHyphen/>
        <w:t xml:space="preserve">602.] </w:t>
      </w:r>
    </w:p>
    <w:p>
      <w:pPr>
        <w:sectPr>
          <w:headerReference w:type="even" r:id="rId25"/>
          <w:headerReference w:type="default" r:id="rId26"/>
          <w:pgSz w:w="11906" w:h="16838" w:code="9"/>
          <w:pgMar w:top="2381" w:right="2409" w:bottom="3543" w:left="2409" w:header="720" w:footer="3380" w:gutter="0"/>
          <w:cols w:space="720"/>
          <w:noEndnote/>
          <w:docGrid w:linePitch="326"/>
        </w:sectPr>
      </w:pPr>
    </w:p>
    <w:p>
      <w:pPr>
        <w:pStyle w:val="nHeading2"/>
      </w:pPr>
      <w:bookmarkStart w:id="284" w:name="_Toc73408508"/>
      <w:bookmarkStart w:id="285" w:name="_Toc92795391"/>
      <w:bookmarkStart w:id="286" w:name="_Toc93113930"/>
      <w:bookmarkStart w:id="287" w:name="_Toc93113989"/>
      <w:bookmarkStart w:id="288" w:name="_Toc110923033"/>
      <w:bookmarkStart w:id="289" w:name="_Toc110923163"/>
      <w:bookmarkStart w:id="290" w:name="_Toc151450704"/>
      <w:bookmarkStart w:id="291" w:name="_Toc151524279"/>
      <w:bookmarkStart w:id="292" w:name="_Toc158520422"/>
      <w:r>
        <w:t>Notes</w:t>
      </w:r>
      <w:bookmarkEnd w:id="284"/>
      <w:bookmarkEnd w:id="285"/>
      <w:bookmarkEnd w:id="286"/>
      <w:bookmarkEnd w:id="287"/>
      <w:bookmarkEnd w:id="288"/>
      <w:bookmarkEnd w:id="289"/>
      <w:bookmarkEnd w:id="290"/>
      <w:bookmarkEnd w:id="291"/>
      <w:bookmarkEnd w:id="292"/>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Real Estate and Business Agents (General) Regulations 1979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93" w:name="_Toc3621820"/>
      <w:bookmarkStart w:id="294" w:name="_Toc93113990"/>
      <w:bookmarkStart w:id="295" w:name="_Toc158520423"/>
      <w:bookmarkStart w:id="296" w:name="_Toc151524280"/>
      <w:r>
        <w:t>Compilation table</w:t>
      </w:r>
      <w:bookmarkEnd w:id="293"/>
      <w:bookmarkEnd w:id="294"/>
      <w:bookmarkEnd w:id="295"/>
      <w:bookmarkEnd w:id="29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12" w:space="0" w:color="auto"/>
              <w:bottom w:val="single" w:sz="12" w:space="0" w:color="auto"/>
            </w:tcBorders>
          </w:tcPr>
          <w:p>
            <w:pPr>
              <w:pStyle w:val="nTable"/>
              <w:spacing w:before="60" w:after="60"/>
              <w:ind w:right="113"/>
              <w:rPr>
                <w:b/>
                <w:sz w:val="19"/>
              </w:rPr>
            </w:pPr>
            <w:r>
              <w:rPr>
                <w:b/>
                <w:sz w:val="19"/>
              </w:rPr>
              <w:t>Citation</w:t>
            </w:r>
          </w:p>
        </w:tc>
        <w:tc>
          <w:tcPr>
            <w:tcW w:w="1276" w:type="dxa"/>
            <w:tcBorders>
              <w:top w:val="single" w:sz="12" w:space="0" w:color="auto"/>
              <w:bottom w:val="single" w:sz="12" w:space="0" w:color="auto"/>
            </w:tcBorders>
          </w:tcPr>
          <w:p>
            <w:pPr>
              <w:pStyle w:val="nTable"/>
              <w:spacing w:before="60" w:after="60"/>
              <w:rPr>
                <w:b/>
                <w:sz w:val="19"/>
              </w:rPr>
            </w:pPr>
            <w:r>
              <w:rPr>
                <w:b/>
                <w:sz w:val="19"/>
              </w:rPr>
              <w:t>Gazettal</w:t>
            </w:r>
          </w:p>
        </w:tc>
        <w:tc>
          <w:tcPr>
            <w:tcW w:w="2693"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3119" w:type="dxa"/>
          </w:tcPr>
          <w:p>
            <w:pPr>
              <w:pStyle w:val="nTable"/>
              <w:spacing w:before="120"/>
              <w:ind w:right="113"/>
              <w:rPr>
                <w:sz w:val="19"/>
              </w:rPr>
            </w:pPr>
            <w:r>
              <w:rPr>
                <w:i/>
                <w:sz w:val="19"/>
              </w:rPr>
              <w:t>Real Estate and Business Agents (General) Regulations 1979</w:t>
            </w:r>
          </w:p>
        </w:tc>
        <w:tc>
          <w:tcPr>
            <w:tcW w:w="1276" w:type="dxa"/>
          </w:tcPr>
          <w:p>
            <w:pPr>
              <w:pStyle w:val="nTable"/>
              <w:spacing w:before="120"/>
              <w:rPr>
                <w:sz w:val="19"/>
              </w:rPr>
            </w:pPr>
            <w:r>
              <w:rPr>
                <w:sz w:val="19"/>
              </w:rPr>
              <w:t>31 Aug 1979 p. 2616</w:t>
            </w:r>
            <w:r>
              <w:rPr>
                <w:sz w:val="19"/>
              </w:rPr>
              <w:noBreakHyphen/>
              <w:t>18</w:t>
            </w:r>
          </w:p>
        </w:tc>
        <w:tc>
          <w:tcPr>
            <w:tcW w:w="2693" w:type="dxa"/>
          </w:tcPr>
          <w:p>
            <w:pPr>
              <w:pStyle w:val="nTable"/>
              <w:spacing w:before="120"/>
              <w:rPr>
                <w:sz w:val="19"/>
              </w:rPr>
            </w:pPr>
            <w:r>
              <w:rPr>
                <w:sz w:val="19"/>
              </w:rPr>
              <w:t>1 Sep 1979</w:t>
            </w:r>
          </w:p>
        </w:tc>
      </w:tr>
      <w:tr>
        <w:trPr>
          <w:cantSplit/>
        </w:trPr>
        <w:tc>
          <w:tcPr>
            <w:tcW w:w="3119" w:type="dxa"/>
          </w:tcPr>
          <w:p>
            <w:pPr>
              <w:pStyle w:val="nTable"/>
              <w:spacing w:before="120"/>
              <w:ind w:right="113"/>
              <w:rPr>
                <w:sz w:val="19"/>
              </w:rPr>
            </w:pPr>
            <w:r>
              <w:rPr>
                <w:i/>
                <w:sz w:val="19"/>
              </w:rPr>
              <w:t>Real Estate and Business Agents (General) Amendment Regulations 1980</w:t>
            </w:r>
          </w:p>
        </w:tc>
        <w:tc>
          <w:tcPr>
            <w:tcW w:w="1276" w:type="dxa"/>
          </w:tcPr>
          <w:p>
            <w:pPr>
              <w:pStyle w:val="nTable"/>
              <w:spacing w:before="120"/>
              <w:rPr>
                <w:sz w:val="19"/>
              </w:rPr>
            </w:pPr>
            <w:r>
              <w:rPr>
                <w:sz w:val="19"/>
              </w:rPr>
              <w:t>26 Sep 1980 p. 3312</w:t>
            </w:r>
          </w:p>
        </w:tc>
        <w:tc>
          <w:tcPr>
            <w:tcW w:w="2693" w:type="dxa"/>
          </w:tcPr>
          <w:p>
            <w:pPr>
              <w:pStyle w:val="nTable"/>
              <w:spacing w:before="120"/>
              <w:rPr>
                <w:sz w:val="19"/>
              </w:rPr>
            </w:pPr>
            <w:r>
              <w:rPr>
                <w:sz w:val="19"/>
              </w:rPr>
              <w:t>26 Sep 1980</w:t>
            </w:r>
          </w:p>
        </w:tc>
      </w:tr>
      <w:tr>
        <w:trPr>
          <w:cantSplit/>
        </w:trPr>
        <w:tc>
          <w:tcPr>
            <w:tcW w:w="3119" w:type="dxa"/>
          </w:tcPr>
          <w:p>
            <w:pPr>
              <w:pStyle w:val="nTable"/>
              <w:spacing w:before="120"/>
              <w:ind w:right="113"/>
              <w:rPr>
                <w:sz w:val="19"/>
              </w:rPr>
            </w:pPr>
            <w:r>
              <w:rPr>
                <w:i/>
                <w:sz w:val="19"/>
              </w:rPr>
              <w:t>Real Estate and Business Agents (General) Amendment Regulations 1981</w:t>
            </w:r>
          </w:p>
        </w:tc>
        <w:tc>
          <w:tcPr>
            <w:tcW w:w="1276" w:type="dxa"/>
          </w:tcPr>
          <w:p>
            <w:pPr>
              <w:pStyle w:val="nTable"/>
              <w:spacing w:before="120"/>
              <w:rPr>
                <w:sz w:val="19"/>
              </w:rPr>
            </w:pPr>
            <w:r>
              <w:rPr>
                <w:sz w:val="19"/>
              </w:rPr>
              <w:t>26 Jun 1981 p. 2293</w:t>
            </w:r>
          </w:p>
        </w:tc>
        <w:tc>
          <w:tcPr>
            <w:tcW w:w="2693" w:type="dxa"/>
          </w:tcPr>
          <w:p>
            <w:pPr>
              <w:pStyle w:val="nTable"/>
              <w:spacing w:before="120"/>
              <w:rPr>
                <w:sz w:val="19"/>
              </w:rPr>
            </w:pPr>
            <w:r>
              <w:rPr>
                <w:sz w:val="19"/>
              </w:rPr>
              <w:t>26 Jun 1981</w:t>
            </w:r>
          </w:p>
        </w:tc>
      </w:tr>
      <w:tr>
        <w:trPr>
          <w:cantSplit/>
        </w:trPr>
        <w:tc>
          <w:tcPr>
            <w:tcW w:w="3119" w:type="dxa"/>
          </w:tcPr>
          <w:p>
            <w:pPr>
              <w:pStyle w:val="nTable"/>
              <w:spacing w:before="120"/>
              <w:ind w:right="113"/>
              <w:rPr>
                <w:i/>
                <w:sz w:val="19"/>
              </w:rPr>
            </w:pPr>
            <w:r>
              <w:rPr>
                <w:i/>
                <w:sz w:val="19"/>
              </w:rPr>
              <w:t>Real Estate and Business Agents (General) Amendment Regulations (No. 2) 1981</w:t>
            </w:r>
          </w:p>
        </w:tc>
        <w:tc>
          <w:tcPr>
            <w:tcW w:w="1276" w:type="dxa"/>
          </w:tcPr>
          <w:p>
            <w:pPr>
              <w:pStyle w:val="nTable"/>
              <w:spacing w:before="120"/>
              <w:rPr>
                <w:sz w:val="19"/>
              </w:rPr>
            </w:pPr>
            <w:r>
              <w:rPr>
                <w:sz w:val="19"/>
              </w:rPr>
              <w:t>6 Nov 1981 p. 4526</w:t>
            </w:r>
          </w:p>
        </w:tc>
        <w:tc>
          <w:tcPr>
            <w:tcW w:w="2693" w:type="dxa"/>
          </w:tcPr>
          <w:p>
            <w:pPr>
              <w:pStyle w:val="nTable"/>
              <w:spacing w:before="120"/>
              <w:rPr>
                <w:sz w:val="19"/>
              </w:rPr>
            </w:pPr>
            <w:r>
              <w:rPr>
                <w:sz w:val="19"/>
              </w:rPr>
              <w:t>1 Dec 1981 (see r. 2)</w:t>
            </w:r>
          </w:p>
        </w:tc>
      </w:tr>
      <w:tr>
        <w:trPr>
          <w:cantSplit/>
        </w:trPr>
        <w:tc>
          <w:tcPr>
            <w:tcW w:w="3119" w:type="dxa"/>
          </w:tcPr>
          <w:p>
            <w:pPr>
              <w:pStyle w:val="nTable"/>
              <w:spacing w:before="120"/>
              <w:ind w:right="113"/>
              <w:rPr>
                <w:sz w:val="19"/>
              </w:rPr>
            </w:pPr>
            <w:r>
              <w:rPr>
                <w:i/>
                <w:sz w:val="19"/>
              </w:rPr>
              <w:t>Real Estate and Business Agents (General) Amendment Regulations 1982</w:t>
            </w:r>
          </w:p>
        </w:tc>
        <w:tc>
          <w:tcPr>
            <w:tcW w:w="1276" w:type="dxa"/>
          </w:tcPr>
          <w:p>
            <w:pPr>
              <w:pStyle w:val="nTable"/>
              <w:spacing w:before="120"/>
              <w:rPr>
                <w:sz w:val="19"/>
              </w:rPr>
            </w:pPr>
            <w:r>
              <w:rPr>
                <w:sz w:val="19"/>
              </w:rPr>
              <w:t>2 Jul 1982 p. 2334-6</w:t>
            </w:r>
          </w:p>
        </w:tc>
        <w:tc>
          <w:tcPr>
            <w:tcW w:w="2693" w:type="dxa"/>
          </w:tcPr>
          <w:p>
            <w:pPr>
              <w:pStyle w:val="nTable"/>
              <w:spacing w:before="120"/>
              <w:rPr>
                <w:sz w:val="19"/>
              </w:rPr>
            </w:pPr>
            <w:r>
              <w:rPr>
                <w:sz w:val="19"/>
              </w:rPr>
              <w:t>2 Jul 1982</w:t>
            </w:r>
            <w:r>
              <w:rPr>
                <w:sz w:val="19"/>
              </w:rPr>
              <w:br/>
              <w:t>(The commencement date in r. 2 was of no effect as it was before the date of gazettal.)</w:t>
            </w:r>
          </w:p>
        </w:tc>
      </w:tr>
      <w:tr>
        <w:trPr>
          <w:cantSplit/>
        </w:trPr>
        <w:tc>
          <w:tcPr>
            <w:tcW w:w="7088" w:type="dxa"/>
            <w:gridSpan w:val="3"/>
          </w:tcPr>
          <w:p>
            <w:pPr>
              <w:pStyle w:val="nTable"/>
              <w:spacing w:before="120"/>
              <w:rPr>
                <w:sz w:val="19"/>
              </w:rPr>
            </w:pPr>
            <w:r>
              <w:rPr>
                <w:b/>
                <w:sz w:val="19"/>
              </w:rPr>
              <w:t xml:space="preserve">Reprint of the </w:t>
            </w:r>
            <w:r>
              <w:rPr>
                <w:b/>
                <w:i/>
                <w:sz w:val="19"/>
              </w:rPr>
              <w:t>Real Estate and Business Agents (General) Regulations 1976</w:t>
            </w:r>
            <w:r>
              <w:rPr>
                <w:i/>
                <w:sz w:val="19"/>
              </w:rPr>
              <w:t xml:space="preserve"> </w:t>
            </w:r>
            <w:r>
              <w:rPr>
                <w:sz w:val="19"/>
              </w:rPr>
              <w:t>in</w:t>
            </w:r>
            <w:r>
              <w:rPr>
                <w:i/>
                <w:sz w:val="19"/>
              </w:rPr>
              <w:t xml:space="preserve"> Gazette </w:t>
            </w:r>
            <w:r>
              <w:rPr>
                <w:sz w:val="19"/>
              </w:rPr>
              <w:t>26 Nov 1982 p. 4667-74 (includes amendments listed above)</w:t>
            </w:r>
          </w:p>
        </w:tc>
      </w:tr>
      <w:tr>
        <w:trPr>
          <w:cantSplit/>
        </w:trPr>
        <w:tc>
          <w:tcPr>
            <w:tcW w:w="3119" w:type="dxa"/>
          </w:tcPr>
          <w:p>
            <w:pPr>
              <w:pStyle w:val="nTable"/>
              <w:spacing w:before="120"/>
              <w:ind w:right="113"/>
              <w:rPr>
                <w:sz w:val="19"/>
              </w:rPr>
            </w:pPr>
            <w:r>
              <w:rPr>
                <w:i/>
                <w:sz w:val="19"/>
              </w:rPr>
              <w:t>Real Estate and Business Agents (General) Amendment Regulations 1983</w:t>
            </w:r>
          </w:p>
        </w:tc>
        <w:tc>
          <w:tcPr>
            <w:tcW w:w="1276" w:type="dxa"/>
          </w:tcPr>
          <w:p>
            <w:pPr>
              <w:pStyle w:val="nTable"/>
              <w:spacing w:before="120"/>
              <w:rPr>
                <w:sz w:val="19"/>
              </w:rPr>
            </w:pPr>
            <w:r>
              <w:rPr>
                <w:sz w:val="19"/>
              </w:rPr>
              <w:t>21 Oct 1983 p. 4298</w:t>
            </w:r>
          </w:p>
        </w:tc>
        <w:tc>
          <w:tcPr>
            <w:tcW w:w="2693" w:type="dxa"/>
          </w:tcPr>
          <w:p>
            <w:pPr>
              <w:pStyle w:val="nTable"/>
              <w:spacing w:before="120"/>
              <w:rPr>
                <w:sz w:val="19"/>
              </w:rPr>
            </w:pPr>
            <w:r>
              <w:rPr>
                <w:sz w:val="19"/>
              </w:rPr>
              <w:t>1 Jan 1984 (see r. 2)</w:t>
            </w:r>
          </w:p>
        </w:tc>
      </w:tr>
      <w:tr>
        <w:trPr>
          <w:cantSplit/>
        </w:trPr>
        <w:tc>
          <w:tcPr>
            <w:tcW w:w="3119" w:type="dxa"/>
          </w:tcPr>
          <w:p>
            <w:pPr>
              <w:pStyle w:val="nTable"/>
              <w:spacing w:before="120"/>
              <w:ind w:right="113"/>
              <w:rPr>
                <w:sz w:val="19"/>
              </w:rPr>
            </w:pPr>
            <w:r>
              <w:rPr>
                <w:i/>
                <w:sz w:val="19"/>
              </w:rPr>
              <w:t>Real Estate and Business Agents (General) Amendment Regulations (No. 2) 1983</w:t>
            </w:r>
          </w:p>
        </w:tc>
        <w:tc>
          <w:tcPr>
            <w:tcW w:w="1276" w:type="dxa"/>
          </w:tcPr>
          <w:p>
            <w:pPr>
              <w:pStyle w:val="nTable"/>
              <w:spacing w:before="120"/>
              <w:rPr>
                <w:sz w:val="19"/>
              </w:rPr>
            </w:pPr>
            <w:r>
              <w:rPr>
                <w:sz w:val="19"/>
              </w:rPr>
              <w:t>30 Dec 1983 p. 5121-2</w:t>
            </w:r>
          </w:p>
        </w:tc>
        <w:tc>
          <w:tcPr>
            <w:tcW w:w="2693" w:type="dxa"/>
          </w:tcPr>
          <w:p>
            <w:pPr>
              <w:pStyle w:val="nTable"/>
              <w:spacing w:before="120"/>
              <w:rPr>
                <w:sz w:val="19"/>
              </w:rPr>
            </w:pPr>
            <w:r>
              <w:rPr>
                <w:sz w:val="19"/>
              </w:rPr>
              <w:t>30 Dec 1983</w:t>
            </w:r>
          </w:p>
        </w:tc>
      </w:tr>
      <w:tr>
        <w:trPr>
          <w:cantSplit/>
        </w:trPr>
        <w:tc>
          <w:tcPr>
            <w:tcW w:w="3119" w:type="dxa"/>
          </w:tcPr>
          <w:p>
            <w:pPr>
              <w:pStyle w:val="nTable"/>
              <w:spacing w:before="120"/>
              <w:ind w:right="113"/>
              <w:rPr>
                <w:sz w:val="19"/>
                <w:vertAlign w:val="superscript"/>
              </w:rPr>
            </w:pPr>
            <w:r>
              <w:rPr>
                <w:i/>
                <w:sz w:val="19"/>
              </w:rPr>
              <w:t>Real Estate and Business Agents (General) Amendment Regulations 1984 </w:t>
            </w:r>
            <w:r>
              <w:rPr>
                <w:i/>
                <w:sz w:val="19"/>
                <w:vertAlign w:val="superscript"/>
              </w:rPr>
              <w:t>5</w:t>
            </w:r>
          </w:p>
        </w:tc>
        <w:tc>
          <w:tcPr>
            <w:tcW w:w="1276" w:type="dxa"/>
          </w:tcPr>
          <w:p>
            <w:pPr>
              <w:pStyle w:val="nTable"/>
              <w:spacing w:before="120"/>
              <w:rPr>
                <w:sz w:val="19"/>
              </w:rPr>
            </w:pPr>
            <w:r>
              <w:rPr>
                <w:sz w:val="19"/>
              </w:rPr>
              <w:t>21 Dec 1984 p. 4191</w:t>
            </w:r>
          </w:p>
        </w:tc>
        <w:tc>
          <w:tcPr>
            <w:tcW w:w="2693" w:type="dxa"/>
          </w:tcPr>
          <w:p>
            <w:pPr>
              <w:pStyle w:val="nTable"/>
              <w:spacing w:before="120"/>
              <w:rPr>
                <w:sz w:val="19"/>
              </w:rPr>
            </w:pPr>
            <w:r>
              <w:rPr>
                <w:sz w:val="19"/>
              </w:rPr>
              <w:t>21 Dec 1984</w:t>
            </w:r>
          </w:p>
        </w:tc>
      </w:tr>
      <w:tr>
        <w:trPr>
          <w:cantSplit/>
        </w:trPr>
        <w:tc>
          <w:tcPr>
            <w:tcW w:w="3119" w:type="dxa"/>
          </w:tcPr>
          <w:p>
            <w:pPr>
              <w:pStyle w:val="nTable"/>
              <w:spacing w:before="120"/>
              <w:ind w:right="113"/>
              <w:rPr>
                <w:sz w:val="19"/>
              </w:rPr>
            </w:pPr>
            <w:r>
              <w:rPr>
                <w:i/>
                <w:sz w:val="19"/>
              </w:rPr>
              <w:t>Real Estate and Business Agents (General) Amendment Regulations 1985</w:t>
            </w:r>
          </w:p>
        </w:tc>
        <w:tc>
          <w:tcPr>
            <w:tcW w:w="1276" w:type="dxa"/>
          </w:tcPr>
          <w:p>
            <w:pPr>
              <w:pStyle w:val="nTable"/>
              <w:spacing w:before="120"/>
              <w:rPr>
                <w:sz w:val="19"/>
              </w:rPr>
            </w:pPr>
            <w:r>
              <w:rPr>
                <w:sz w:val="19"/>
              </w:rPr>
              <w:t>21 Jun 1985 p. 2262</w:t>
            </w:r>
          </w:p>
        </w:tc>
        <w:tc>
          <w:tcPr>
            <w:tcW w:w="2693" w:type="dxa"/>
          </w:tcPr>
          <w:p>
            <w:pPr>
              <w:pStyle w:val="nTable"/>
              <w:spacing w:before="120"/>
              <w:rPr>
                <w:sz w:val="19"/>
              </w:rPr>
            </w:pPr>
            <w:r>
              <w:rPr>
                <w:sz w:val="19"/>
              </w:rPr>
              <w:t>21 Jun 1985</w:t>
            </w:r>
          </w:p>
        </w:tc>
      </w:tr>
      <w:tr>
        <w:trPr>
          <w:cantSplit/>
        </w:trPr>
        <w:tc>
          <w:tcPr>
            <w:tcW w:w="3119" w:type="dxa"/>
          </w:tcPr>
          <w:p>
            <w:pPr>
              <w:pStyle w:val="nTable"/>
              <w:spacing w:before="120"/>
              <w:ind w:right="113"/>
              <w:rPr>
                <w:sz w:val="19"/>
              </w:rPr>
            </w:pPr>
            <w:r>
              <w:rPr>
                <w:i/>
                <w:sz w:val="19"/>
              </w:rPr>
              <w:t>Real Estate and Business Agents (General) Amendment Regulations 1986</w:t>
            </w:r>
          </w:p>
        </w:tc>
        <w:tc>
          <w:tcPr>
            <w:tcW w:w="1276" w:type="dxa"/>
          </w:tcPr>
          <w:p>
            <w:pPr>
              <w:pStyle w:val="nTable"/>
              <w:spacing w:before="120"/>
              <w:rPr>
                <w:sz w:val="19"/>
              </w:rPr>
            </w:pPr>
            <w:r>
              <w:rPr>
                <w:sz w:val="19"/>
              </w:rPr>
              <w:t>28 Feb 1986 p. 668</w:t>
            </w:r>
          </w:p>
        </w:tc>
        <w:tc>
          <w:tcPr>
            <w:tcW w:w="2693" w:type="dxa"/>
          </w:tcPr>
          <w:p>
            <w:pPr>
              <w:pStyle w:val="nTable"/>
              <w:spacing w:before="120"/>
              <w:rPr>
                <w:sz w:val="19"/>
              </w:rPr>
            </w:pPr>
            <w:r>
              <w:rPr>
                <w:sz w:val="19"/>
              </w:rPr>
              <w:t>28 Feb 1986</w:t>
            </w:r>
          </w:p>
        </w:tc>
      </w:tr>
      <w:tr>
        <w:trPr>
          <w:cantSplit/>
        </w:trPr>
        <w:tc>
          <w:tcPr>
            <w:tcW w:w="3119" w:type="dxa"/>
          </w:tcPr>
          <w:p>
            <w:pPr>
              <w:pStyle w:val="nTable"/>
              <w:spacing w:before="120"/>
              <w:ind w:right="113"/>
              <w:rPr>
                <w:sz w:val="19"/>
              </w:rPr>
            </w:pPr>
            <w:r>
              <w:rPr>
                <w:i/>
                <w:sz w:val="19"/>
              </w:rPr>
              <w:t>Real Estate and Business Agents (General) Amendment Regulations 1986</w:t>
            </w:r>
          </w:p>
        </w:tc>
        <w:tc>
          <w:tcPr>
            <w:tcW w:w="1276" w:type="dxa"/>
          </w:tcPr>
          <w:p>
            <w:pPr>
              <w:pStyle w:val="nTable"/>
              <w:spacing w:before="120"/>
              <w:rPr>
                <w:sz w:val="19"/>
              </w:rPr>
            </w:pPr>
            <w:r>
              <w:rPr>
                <w:sz w:val="19"/>
              </w:rPr>
              <w:t>13 Jun 1986 p. 1997-8</w:t>
            </w:r>
          </w:p>
        </w:tc>
        <w:tc>
          <w:tcPr>
            <w:tcW w:w="2693" w:type="dxa"/>
          </w:tcPr>
          <w:p>
            <w:pPr>
              <w:pStyle w:val="nTable"/>
              <w:spacing w:before="120"/>
              <w:rPr>
                <w:sz w:val="19"/>
              </w:rPr>
            </w:pPr>
            <w:r>
              <w:rPr>
                <w:sz w:val="19"/>
              </w:rPr>
              <w:t>1 Jul 1986 (see r. 2)</w:t>
            </w:r>
          </w:p>
        </w:tc>
      </w:tr>
      <w:tr>
        <w:trPr>
          <w:cantSplit/>
        </w:trPr>
        <w:tc>
          <w:tcPr>
            <w:tcW w:w="3119" w:type="dxa"/>
          </w:tcPr>
          <w:p>
            <w:pPr>
              <w:pStyle w:val="nTable"/>
              <w:spacing w:before="120"/>
              <w:ind w:right="113"/>
              <w:rPr>
                <w:sz w:val="19"/>
              </w:rPr>
            </w:pPr>
            <w:r>
              <w:rPr>
                <w:i/>
                <w:sz w:val="19"/>
              </w:rPr>
              <w:t>Real Estate and Business Agents (General) Amendment Regulations (No. 3) 1986</w:t>
            </w:r>
          </w:p>
        </w:tc>
        <w:tc>
          <w:tcPr>
            <w:tcW w:w="1276" w:type="dxa"/>
          </w:tcPr>
          <w:p>
            <w:pPr>
              <w:pStyle w:val="nTable"/>
              <w:spacing w:before="120"/>
              <w:rPr>
                <w:sz w:val="19"/>
              </w:rPr>
            </w:pPr>
            <w:r>
              <w:rPr>
                <w:sz w:val="19"/>
              </w:rPr>
              <w:t>8 Aug 1986 p. 2870-1</w:t>
            </w:r>
          </w:p>
        </w:tc>
        <w:tc>
          <w:tcPr>
            <w:tcW w:w="2693" w:type="dxa"/>
          </w:tcPr>
          <w:p>
            <w:pPr>
              <w:pStyle w:val="nTable"/>
              <w:spacing w:before="120"/>
              <w:rPr>
                <w:sz w:val="19"/>
              </w:rPr>
            </w:pPr>
            <w:r>
              <w:rPr>
                <w:sz w:val="19"/>
              </w:rPr>
              <w:t>1 Feb 1987 (see r. 2)</w:t>
            </w:r>
          </w:p>
        </w:tc>
      </w:tr>
      <w:tr>
        <w:trPr>
          <w:cantSplit/>
        </w:trPr>
        <w:tc>
          <w:tcPr>
            <w:tcW w:w="3119" w:type="dxa"/>
          </w:tcPr>
          <w:p>
            <w:pPr>
              <w:pStyle w:val="nTable"/>
              <w:spacing w:before="120"/>
              <w:ind w:right="113"/>
              <w:rPr>
                <w:sz w:val="19"/>
              </w:rPr>
            </w:pPr>
            <w:r>
              <w:rPr>
                <w:i/>
                <w:sz w:val="19"/>
              </w:rPr>
              <w:t>Real Estate and Business Agents (General) Amendment Regulations (No. 4) 1986</w:t>
            </w:r>
          </w:p>
        </w:tc>
        <w:tc>
          <w:tcPr>
            <w:tcW w:w="1276" w:type="dxa"/>
          </w:tcPr>
          <w:p>
            <w:pPr>
              <w:pStyle w:val="nTable"/>
              <w:spacing w:before="120"/>
              <w:rPr>
                <w:sz w:val="19"/>
              </w:rPr>
            </w:pPr>
            <w:r>
              <w:rPr>
                <w:sz w:val="19"/>
              </w:rPr>
              <w:t>24 Dec 1986 p. 4998</w:t>
            </w:r>
          </w:p>
        </w:tc>
        <w:tc>
          <w:tcPr>
            <w:tcW w:w="2693" w:type="dxa"/>
          </w:tcPr>
          <w:p>
            <w:pPr>
              <w:pStyle w:val="nTable"/>
              <w:spacing w:before="120"/>
              <w:rPr>
                <w:sz w:val="19"/>
              </w:rPr>
            </w:pPr>
            <w:r>
              <w:rPr>
                <w:sz w:val="19"/>
              </w:rPr>
              <w:t>24 Dec 1986</w:t>
            </w:r>
          </w:p>
        </w:tc>
      </w:tr>
      <w:tr>
        <w:trPr>
          <w:cantSplit/>
        </w:trPr>
        <w:tc>
          <w:tcPr>
            <w:tcW w:w="3119" w:type="dxa"/>
          </w:tcPr>
          <w:p>
            <w:pPr>
              <w:pStyle w:val="nTable"/>
              <w:spacing w:before="120"/>
              <w:ind w:right="113"/>
              <w:rPr>
                <w:sz w:val="19"/>
              </w:rPr>
            </w:pPr>
            <w:r>
              <w:rPr>
                <w:i/>
                <w:sz w:val="19"/>
              </w:rPr>
              <w:t>Real Estate and Business Agents (General) Amendment Regulations 1987</w:t>
            </w:r>
          </w:p>
        </w:tc>
        <w:tc>
          <w:tcPr>
            <w:tcW w:w="1276" w:type="dxa"/>
          </w:tcPr>
          <w:p>
            <w:pPr>
              <w:pStyle w:val="nTable"/>
              <w:spacing w:before="120"/>
              <w:rPr>
                <w:sz w:val="19"/>
              </w:rPr>
            </w:pPr>
            <w:r>
              <w:rPr>
                <w:sz w:val="19"/>
              </w:rPr>
              <w:t>8 May 1987 p. 2103</w:t>
            </w:r>
          </w:p>
        </w:tc>
        <w:tc>
          <w:tcPr>
            <w:tcW w:w="2693" w:type="dxa"/>
          </w:tcPr>
          <w:p>
            <w:pPr>
              <w:pStyle w:val="nTable"/>
              <w:spacing w:before="120"/>
              <w:rPr>
                <w:sz w:val="19"/>
              </w:rPr>
            </w:pPr>
            <w:r>
              <w:rPr>
                <w:sz w:val="19"/>
              </w:rPr>
              <w:t>8 May 1987</w:t>
            </w:r>
          </w:p>
        </w:tc>
      </w:tr>
      <w:tr>
        <w:trPr>
          <w:cantSplit/>
        </w:trPr>
        <w:tc>
          <w:tcPr>
            <w:tcW w:w="3119" w:type="dxa"/>
          </w:tcPr>
          <w:p>
            <w:pPr>
              <w:pStyle w:val="nTable"/>
              <w:spacing w:before="120"/>
              <w:ind w:right="113"/>
              <w:rPr>
                <w:sz w:val="19"/>
              </w:rPr>
            </w:pPr>
            <w:r>
              <w:rPr>
                <w:i/>
                <w:sz w:val="19"/>
              </w:rPr>
              <w:t>Real Estate and Business Agents (General) Amendment Regulations (No. 2) 1987</w:t>
            </w:r>
          </w:p>
        </w:tc>
        <w:tc>
          <w:tcPr>
            <w:tcW w:w="1276" w:type="dxa"/>
          </w:tcPr>
          <w:p>
            <w:pPr>
              <w:pStyle w:val="nTable"/>
              <w:spacing w:before="120"/>
              <w:rPr>
                <w:sz w:val="19"/>
              </w:rPr>
            </w:pPr>
            <w:r>
              <w:rPr>
                <w:sz w:val="19"/>
              </w:rPr>
              <w:t>4 Sep 1987 p. 3519</w:t>
            </w:r>
          </w:p>
        </w:tc>
        <w:tc>
          <w:tcPr>
            <w:tcW w:w="2693" w:type="dxa"/>
          </w:tcPr>
          <w:p>
            <w:pPr>
              <w:pStyle w:val="nTable"/>
              <w:spacing w:before="120"/>
              <w:rPr>
                <w:sz w:val="19"/>
              </w:rPr>
            </w:pPr>
            <w:r>
              <w:rPr>
                <w:sz w:val="19"/>
              </w:rPr>
              <w:t>4 Sep 1987</w:t>
            </w:r>
          </w:p>
        </w:tc>
      </w:tr>
      <w:tr>
        <w:trPr>
          <w:cantSplit/>
        </w:trPr>
        <w:tc>
          <w:tcPr>
            <w:tcW w:w="3119" w:type="dxa"/>
          </w:tcPr>
          <w:p>
            <w:pPr>
              <w:pStyle w:val="nTable"/>
              <w:spacing w:before="120"/>
              <w:ind w:right="113"/>
              <w:rPr>
                <w:sz w:val="19"/>
              </w:rPr>
            </w:pPr>
            <w:r>
              <w:rPr>
                <w:i/>
                <w:sz w:val="19"/>
              </w:rPr>
              <w:t>Real Estate and Business Agents (General) Amendment Regulations (No. 3) 1987</w:t>
            </w:r>
          </w:p>
        </w:tc>
        <w:tc>
          <w:tcPr>
            <w:tcW w:w="1276" w:type="dxa"/>
          </w:tcPr>
          <w:p>
            <w:pPr>
              <w:pStyle w:val="nTable"/>
              <w:spacing w:before="120"/>
              <w:rPr>
                <w:sz w:val="19"/>
              </w:rPr>
            </w:pPr>
            <w:r>
              <w:rPr>
                <w:sz w:val="19"/>
              </w:rPr>
              <w:t>30 Oct 1987 p. 4047</w:t>
            </w:r>
          </w:p>
        </w:tc>
        <w:tc>
          <w:tcPr>
            <w:tcW w:w="2693" w:type="dxa"/>
          </w:tcPr>
          <w:p>
            <w:pPr>
              <w:pStyle w:val="nTable"/>
              <w:spacing w:before="120"/>
              <w:rPr>
                <w:sz w:val="19"/>
              </w:rPr>
            </w:pPr>
            <w:r>
              <w:rPr>
                <w:sz w:val="19"/>
              </w:rPr>
              <w:t>30 Oct 1987</w:t>
            </w:r>
          </w:p>
        </w:tc>
      </w:tr>
      <w:tr>
        <w:trPr>
          <w:cantSplit/>
        </w:trPr>
        <w:tc>
          <w:tcPr>
            <w:tcW w:w="3119" w:type="dxa"/>
          </w:tcPr>
          <w:p>
            <w:pPr>
              <w:pStyle w:val="nTable"/>
              <w:spacing w:before="120"/>
              <w:ind w:right="113"/>
              <w:rPr>
                <w:sz w:val="19"/>
              </w:rPr>
            </w:pPr>
            <w:r>
              <w:rPr>
                <w:i/>
                <w:sz w:val="19"/>
              </w:rPr>
              <w:t>Real Estate and Business Agents (General) Amendment Regulations (No. 4) 1987</w:t>
            </w:r>
          </w:p>
        </w:tc>
        <w:tc>
          <w:tcPr>
            <w:tcW w:w="1276" w:type="dxa"/>
          </w:tcPr>
          <w:p>
            <w:pPr>
              <w:pStyle w:val="nTable"/>
              <w:spacing w:before="120"/>
              <w:rPr>
                <w:sz w:val="19"/>
              </w:rPr>
            </w:pPr>
            <w:r>
              <w:rPr>
                <w:sz w:val="19"/>
              </w:rPr>
              <w:t>18 Dec 1987 p. 4516</w:t>
            </w:r>
          </w:p>
        </w:tc>
        <w:tc>
          <w:tcPr>
            <w:tcW w:w="2693" w:type="dxa"/>
          </w:tcPr>
          <w:p>
            <w:pPr>
              <w:pStyle w:val="nTable"/>
              <w:spacing w:before="120"/>
              <w:rPr>
                <w:sz w:val="19"/>
              </w:rPr>
            </w:pPr>
            <w:r>
              <w:rPr>
                <w:sz w:val="19"/>
              </w:rPr>
              <w:t>18 Dec 1987</w:t>
            </w:r>
          </w:p>
        </w:tc>
      </w:tr>
      <w:tr>
        <w:trPr>
          <w:cantSplit/>
        </w:trPr>
        <w:tc>
          <w:tcPr>
            <w:tcW w:w="3119" w:type="dxa"/>
          </w:tcPr>
          <w:p>
            <w:pPr>
              <w:pStyle w:val="nTable"/>
              <w:spacing w:before="120"/>
              <w:ind w:right="113"/>
              <w:rPr>
                <w:sz w:val="19"/>
              </w:rPr>
            </w:pPr>
            <w:r>
              <w:rPr>
                <w:i/>
                <w:sz w:val="19"/>
              </w:rPr>
              <w:t>Real Estate and Business Agents (General) Amendment Regulations 1988</w:t>
            </w:r>
          </w:p>
        </w:tc>
        <w:tc>
          <w:tcPr>
            <w:tcW w:w="1276" w:type="dxa"/>
          </w:tcPr>
          <w:p>
            <w:pPr>
              <w:pStyle w:val="nTable"/>
              <w:spacing w:before="120"/>
              <w:rPr>
                <w:sz w:val="19"/>
              </w:rPr>
            </w:pPr>
            <w:r>
              <w:rPr>
                <w:sz w:val="19"/>
              </w:rPr>
              <w:t>12 Aug 1988 p. 2770</w:t>
            </w:r>
          </w:p>
        </w:tc>
        <w:tc>
          <w:tcPr>
            <w:tcW w:w="2693" w:type="dxa"/>
          </w:tcPr>
          <w:p>
            <w:pPr>
              <w:pStyle w:val="nTable"/>
              <w:spacing w:before="120"/>
              <w:rPr>
                <w:sz w:val="19"/>
              </w:rPr>
            </w:pPr>
            <w:r>
              <w:rPr>
                <w:sz w:val="19"/>
              </w:rPr>
              <w:t>12 Aug 1988</w:t>
            </w:r>
          </w:p>
        </w:tc>
      </w:tr>
      <w:tr>
        <w:trPr>
          <w:cantSplit/>
        </w:trPr>
        <w:tc>
          <w:tcPr>
            <w:tcW w:w="3119" w:type="dxa"/>
          </w:tcPr>
          <w:p>
            <w:pPr>
              <w:pStyle w:val="nTable"/>
              <w:spacing w:before="120"/>
              <w:ind w:right="113"/>
              <w:rPr>
                <w:sz w:val="19"/>
              </w:rPr>
            </w:pPr>
            <w:r>
              <w:rPr>
                <w:i/>
                <w:sz w:val="19"/>
              </w:rPr>
              <w:t>Real Estate and Business Agents (General) Amendment Regulations (No. 2) 1988</w:t>
            </w:r>
          </w:p>
        </w:tc>
        <w:tc>
          <w:tcPr>
            <w:tcW w:w="1276" w:type="dxa"/>
          </w:tcPr>
          <w:p>
            <w:pPr>
              <w:pStyle w:val="nTable"/>
              <w:spacing w:before="120"/>
              <w:rPr>
                <w:sz w:val="19"/>
              </w:rPr>
            </w:pPr>
            <w:r>
              <w:rPr>
                <w:sz w:val="19"/>
              </w:rPr>
              <w:t>2 Sep 1988 p. 3466</w:t>
            </w:r>
          </w:p>
        </w:tc>
        <w:tc>
          <w:tcPr>
            <w:tcW w:w="2693" w:type="dxa"/>
          </w:tcPr>
          <w:p>
            <w:pPr>
              <w:pStyle w:val="nTable"/>
              <w:spacing w:before="120"/>
              <w:rPr>
                <w:sz w:val="19"/>
              </w:rPr>
            </w:pPr>
            <w:r>
              <w:rPr>
                <w:sz w:val="19"/>
              </w:rPr>
              <w:t>2 Sep 1988</w:t>
            </w:r>
          </w:p>
        </w:tc>
      </w:tr>
      <w:tr>
        <w:trPr>
          <w:cantSplit/>
        </w:trPr>
        <w:tc>
          <w:tcPr>
            <w:tcW w:w="3119" w:type="dxa"/>
          </w:tcPr>
          <w:p>
            <w:pPr>
              <w:pStyle w:val="nTable"/>
              <w:spacing w:before="120"/>
              <w:ind w:right="113"/>
              <w:rPr>
                <w:sz w:val="19"/>
              </w:rPr>
            </w:pPr>
            <w:r>
              <w:rPr>
                <w:i/>
                <w:sz w:val="19"/>
              </w:rPr>
              <w:t>Real Estate and Business Agents (General) Amendment Regulations 1989</w:t>
            </w:r>
          </w:p>
        </w:tc>
        <w:tc>
          <w:tcPr>
            <w:tcW w:w="1276" w:type="dxa"/>
          </w:tcPr>
          <w:p>
            <w:pPr>
              <w:pStyle w:val="nTable"/>
              <w:spacing w:before="120"/>
              <w:rPr>
                <w:sz w:val="19"/>
              </w:rPr>
            </w:pPr>
            <w:r>
              <w:rPr>
                <w:sz w:val="19"/>
              </w:rPr>
              <w:t>20 Jan 1989 p. 132</w:t>
            </w:r>
          </w:p>
        </w:tc>
        <w:tc>
          <w:tcPr>
            <w:tcW w:w="2693" w:type="dxa"/>
          </w:tcPr>
          <w:p>
            <w:pPr>
              <w:pStyle w:val="nTable"/>
              <w:spacing w:before="120"/>
              <w:rPr>
                <w:sz w:val="19"/>
              </w:rPr>
            </w:pPr>
            <w:r>
              <w:rPr>
                <w:sz w:val="19"/>
              </w:rPr>
              <w:t>20 Jan 1989</w:t>
            </w:r>
          </w:p>
        </w:tc>
      </w:tr>
      <w:tr>
        <w:trPr>
          <w:cantSplit/>
        </w:trPr>
        <w:tc>
          <w:tcPr>
            <w:tcW w:w="3119" w:type="dxa"/>
          </w:tcPr>
          <w:p>
            <w:pPr>
              <w:pStyle w:val="nTable"/>
              <w:spacing w:before="120"/>
              <w:ind w:right="113"/>
              <w:rPr>
                <w:sz w:val="19"/>
              </w:rPr>
            </w:pPr>
            <w:r>
              <w:rPr>
                <w:i/>
                <w:sz w:val="19"/>
              </w:rPr>
              <w:t>Real Estate and Business Agents (General) Amendment Regulations (No. 2) 1989</w:t>
            </w:r>
          </w:p>
        </w:tc>
        <w:tc>
          <w:tcPr>
            <w:tcW w:w="1276" w:type="dxa"/>
          </w:tcPr>
          <w:p>
            <w:pPr>
              <w:pStyle w:val="nTable"/>
              <w:spacing w:before="120"/>
              <w:rPr>
                <w:sz w:val="19"/>
              </w:rPr>
            </w:pPr>
            <w:r>
              <w:rPr>
                <w:sz w:val="19"/>
              </w:rPr>
              <w:t>3 Feb 1989 p. 360</w:t>
            </w:r>
          </w:p>
        </w:tc>
        <w:tc>
          <w:tcPr>
            <w:tcW w:w="2693" w:type="dxa"/>
          </w:tcPr>
          <w:p>
            <w:pPr>
              <w:pStyle w:val="nTable"/>
              <w:spacing w:before="120"/>
              <w:rPr>
                <w:sz w:val="19"/>
              </w:rPr>
            </w:pPr>
            <w:r>
              <w:rPr>
                <w:sz w:val="19"/>
              </w:rPr>
              <w:t>3 Feb 1989</w:t>
            </w:r>
          </w:p>
        </w:tc>
      </w:tr>
      <w:tr>
        <w:trPr>
          <w:cantSplit/>
        </w:trPr>
        <w:tc>
          <w:tcPr>
            <w:tcW w:w="3119" w:type="dxa"/>
          </w:tcPr>
          <w:p>
            <w:pPr>
              <w:pStyle w:val="nTable"/>
              <w:spacing w:before="120"/>
              <w:ind w:right="113"/>
              <w:rPr>
                <w:sz w:val="19"/>
              </w:rPr>
            </w:pPr>
            <w:r>
              <w:rPr>
                <w:i/>
                <w:sz w:val="19"/>
              </w:rPr>
              <w:t>Real Estate and Business Agents (General) Amendment Regulations (No. 3) 1989</w:t>
            </w:r>
          </w:p>
        </w:tc>
        <w:tc>
          <w:tcPr>
            <w:tcW w:w="1276" w:type="dxa"/>
          </w:tcPr>
          <w:p>
            <w:pPr>
              <w:pStyle w:val="nTable"/>
              <w:spacing w:before="120"/>
              <w:rPr>
                <w:sz w:val="19"/>
              </w:rPr>
            </w:pPr>
            <w:r>
              <w:rPr>
                <w:sz w:val="19"/>
              </w:rPr>
              <w:t>30 Jun 1989 p. 1979</w:t>
            </w:r>
          </w:p>
        </w:tc>
        <w:tc>
          <w:tcPr>
            <w:tcW w:w="2693" w:type="dxa"/>
          </w:tcPr>
          <w:p>
            <w:pPr>
              <w:pStyle w:val="nTable"/>
              <w:spacing w:before="120"/>
              <w:rPr>
                <w:sz w:val="20"/>
              </w:rPr>
            </w:pPr>
            <w:r>
              <w:rPr>
                <w:sz w:val="19"/>
              </w:rPr>
              <w:t>1 Jul 1989 (see r.</w:t>
            </w:r>
            <w:r>
              <w:rPr>
                <w:sz w:val="20"/>
              </w:rPr>
              <w:t> 2)</w:t>
            </w:r>
          </w:p>
        </w:tc>
      </w:tr>
      <w:tr>
        <w:trPr>
          <w:cantSplit/>
        </w:trPr>
        <w:tc>
          <w:tcPr>
            <w:tcW w:w="3119" w:type="dxa"/>
          </w:tcPr>
          <w:p>
            <w:pPr>
              <w:pStyle w:val="nTable"/>
              <w:spacing w:before="120"/>
              <w:ind w:right="113"/>
              <w:rPr>
                <w:sz w:val="19"/>
              </w:rPr>
            </w:pPr>
            <w:r>
              <w:rPr>
                <w:i/>
                <w:sz w:val="19"/>
              </w:rPr>
              <w:t>Real Estate and Business Agents (General) Amendment Regulations 1990</w:t>
            </w:r>
          </w:p>
        </w:tc>
        <w:tc>
          <w:tcPr>
            <w:tcW w:w="1276" w:type="dxa"/>
          </w:tcPr>
          <w:p>
            <w:pPr>
              <w:pStyle w:val="nTable"/>
              <w:spacing w:before="120"/>
              <w:rPr>
                <w:sz w:val="19"/>
              </w:rPr>
            </w:pPr>
            <w:r>
              <w:rPr>
                <w:sz w:val="19"/>
              </w:rPr>
              <w:t>15 Jun 1990 p. 2723 (erratum 22 Jun 1990 p. 3034)</w:t>
            </w:r>
          </w:p>
        </w:tc>
        <w:tc>
          <w:tcPr>
            <w:tcW w:w="2693" w:type="dxa"/>
          </w:tcPr>
          <w:p>
            <w:pPr>
              <w:pStyle w:val="nTable"/>
              <w:spacing w:before="120"/>
              <w:rPr>
                <w:sz w:val="19"/>
              </w:rPr>
            </w:pPr>
            <w:r>
              <w:rPr>
                <w:sz w:val="19"/>
              </w:rPr>
              <w:t>15 Jun 1990</w:t>
            </w:r>
          </w:p>
        </w:tc>
      </w:tr>
      <w:tr>
        <w:trPr>
          <w:cantSplit/>
        </w:trPr>
        <w:tc>
          <w:tcPr>
            <w:tcW w:w="3119" w:type="dxa"/>
          </w:tcPr>
          <w:p>
            <w:pPr>
              <w:pStyle w:val="nTable"/>
              <w:spacing w:before="120"/>
              <w:ind w:right="113"/>
              <w:rPr>
                <w:i/>
                <w:sz w:val="19"/>
              </w:rPr>
            </w:pPr>
            <w:r>
              <w:rPr>
                <w:i/>
                <w:sz w:val="19"/>
              </w:rPr>
              <w:t>Real Estate and Business Agents (General) Amendment Regulations (No. 2) 1990</w:t>
            </w:r>
          </w:p>
        </w:tc>
        <w:tc>
          <w:tcPr>
            <w:tcW w:w="1276" w:type="dxa"/>
          </w:tcPr>
          <w:p>
            <w:pPr>
              <w:pStyle w:val="nTable"/>
              <w:spacing w:before="120"/>
              <w:rPr>
                <w:sz w:val="19"/>
              </w:rPr>
            </w:pPr>
            <w:r>
              <w:rPr>
                <w:sz w:val="19"/>
              </w:rPr>
              <w:t>20 Jul 1990 p. 3461</w:t>
            </w:r>
          </w:p>
        </w:tc>
        <w:tc>
          <w:tcPr>
            <w:tcW w:w="2693" w:type="dxa"/>
          </w:tcPr>
          <w:p>
            <w:pPr>
              <w:pStyle w:val="nTable"/>
              <w:spacing w:before="120"/>
              <w:rPr>
                <w:sz w:val="19"/>
              </w:rPr>
            </w:pPr>
            <w:r>
              <w:rPr>
                <w:sz w:val="19"/>
              </w:rPr>
              <w:t>20 Jul 1990</w:t>
            </w:r>
          </w:p>
        </w:tc>
      </w:tr>
      <w:tr>
        <w:trPr>
          <w:cantSplit/>
        </w:trPr>
        <w:tc>
          <w:tcPr>
            <w:tcW w:w="3119" w:type="dxa"/>
          </w:tcPr>
          <w:p>
            <w:pPr>
              <w:pStyle w:val="nTable"/>
              <w:spacing w:before="120"/>
              <w:ind w:right="113"/>
              <w:rPr>
                <w:sz w:val="19"/>
              </w:rPr>
            </w:pPr>
            <w:r>
              <w:rPr>
                <w:i/>
                <w:sz w:val="19"/>
              </w:rPr>
              <w:t>Real Estate and Business Agents (General) Amendment Regulations (No. 3) 1990</w:t>
            </w:r>
          </w:p>
        </w:tc>
        <w:tc>
          <w:tcPr>
            <w:tcW w:w="1276" w:type="dxa"/>
          </w:tcPr>
          <w:p>
            <w:pPr>
              <w:pStyle w:val="nTable"/>
              <w:spacing w:before="120"/>
              <w:rPr>
                <w:sz w:val="19"/>
              </w:rPr>
            </w:pPr>
            <w:r>
              <w:rPr>
                <w:sz w:val="19"/>
              </w:rPr>
              <w:t>1 Aug 1990 p. 3652-3</w:t>
            </w:r>
          </w:p>
        </w:tc>
        <w:tc>
          <w:tcPr>
            <w:tcW w:w="2693" w:type="dxa"/>
          </w:tcPr>
          <w:p>
            <w:pPr>
              <w:pStyle w:val="nTable"/>
              <w:spacing w:before="120"/>
              <w:rPr>
                <w:sz w:val="19"/>
              </w:rPr>
            </w:pPr>
            <w:r>
              <w:rPr>
                <w:sz w:val="19"/>
              </w:rPr>
              <w:t>1 Aug 1990</w:t>
            </w:r>
          </w:p>
        </w:tc>
      </w:tr>
      <w:tr>
        <w:trPr>
          <w:cantSplit/>
        </w:trPr>
        <w:tc>
          <w:tcPr>
            <w:tcW w:w="3119" w:type="dxa"/>
          </w:tcPr>
          <w:p>
            <w:pPr>
              <w:pStyle w:val="nTable"/>
              <w:spacing w:before="120"/>
              <w:ind w:right="113"/>
              <w:rPr>
                <w:sz w:val="19"/>
              </w:rPr>
            </w:pPr>
            <w:r>
              <w:rPr>
                <w:i/>
                <w:sz w:val="19"/>
              </w:rPr>
              <w:t>Real Estate and Business Agents (General) Amendment Regulations (No. 4) 1990</w:t>
            </w:r>
          </w:p>
        </w:tc>
        <w:tc>
          <w:tcPr>
            <w:tcW w:w="1276" w:type="dxa"/>
          </w:tcPr>
          <w:p>
            <w:pPr>
              <w:pStyle w:val="nTable"/>
              <w:spacing w:before="120"/>
              <w:rPr>
                <w:sz w:val="19"/>
              </w:rPr>
            </w:pPr>
            <w:r>
              <w:rPr>
                <w:sz w:val="19"/>
              </w:rPr>
              <w:t>26 Oct 1990 p. 5370</w:t>
            </w:r>
          </w:p>
        </w:tc>
        <w:tc>
          <w:tcPr>
            <w:tcW w:w="2693" w:type="dxa"/>
          </w:tcPr>
          <w:p>
            <w:pPr>
              <w:pStyle w:val="nTable"/>
              <w:spacing w:before="120"/>
              <w:rPr>
                <w:sz w:val="19"/>
              </w:rPr>
            </w:pPr>
            <w:r>
              <w:rPr>
                <w:sz w:val="19"/>
              </w:rPr>
              <w:t>26 Oct 1990</w:t>
            </w:r>
          </w:p>
        </w:tc>
      </w:tr>
      <w:tr>
        <w:trPr>
          <w:cantSplit/>
        </w:trPr>
        <w:tc>
          <w:tcPr>
            <w:tcW w:w="3119" w:type="dxa"/>
          </w:tcPr>
          <w:p>
            <w:pPr>
              <w:pStyle w:val="nTable"/>
              <w:spacing w:before="120"/>
              <w:ind w:right="113"/>
              <w:rPr>
                <w:sz w:val="19"/>
              </w:rPr>
            </w:pPr>
            <w:r>
              <w:rPr>
                <w:i/>
                <w:sz w:val="19"/>
              </w:rPr>
              <w:t>Real Estate and Business Agents (General) Amendment Regulations 1991</w:t>
            </w:r>
          </w:p>
        </w:tc>
        <w:tc>
          <w:tcPr>
            <w:tcW w:w="1276" w:type="dxa"/>
          </w:tcPr>
          <w:p>
            <w:pPr>
              <w:pStyle w:val="nTable"/>
              <w:spacing w:before="120"/>
              <w:rPr>
                <w:sz w:val="19"/>
              </w:rPr>
            </w:pPr>
            <w:r>
              <w:rPr>
                <w:sz w:val="19"/>
              </w:rPr>
              <w:t>28 Jun 1991 p. 3119</w:t>
            </w:r>
          </w:p>
        </w:tc>
        <w:tc>
          <w:tcPr>
            <w:tcW w:w="2693" w:type="dxa"/>
          </w:tcPr>
          <w:p>
            <w:pPr>
              <w:pStyle w:val="nTable"/>
              <w:spacing w:before="120"/>
              <w:rPr>
                <w:sz w:val="19"/>
              </w:rPr>
            </w:pPr>
            <w:r>
              <w:rPr>
                <w:sz w:val="19"/>
              </w:rPr>
              <w:t>28 Jun 1991</w:t>
            </w:r>
          </w:p>
        </w:tc>
      </w:tr>
      <w:tr>
        <w:trPr>
          <w:cantSplit/>
        </w:trPr>
        <w:tc>
          <w:tcPr>
            <w:tcW w:w="3119" w:type="dxa"/>
          </w:tcPr>
          <w:p>
            <w:pPr>
              <w:pStyle w:val="nTable"/>
              <w:spacing w:before="120"/>
              <w:ind w:right="113"/>
              <w:rPr>
                <w:sz w:val="19"/>
              </w:rPr>
            </w:pPr>
            <w:r>
              <w:rPr>
                <w:i/>
                <w:sz w:val="19"/>
              </w:rPr>
              <w:t>Real Estate and Business Agents (General) Amendment Regulations (No. 2) 1991</w:t>
            </w:r>
          </w:p>
        </w:tc>
        <w:tc>
          <w:tcPr>
            <w:tcW w:w="1276" w:type="dxa"/>
          </w:tcPr>
          <w:p>
            <w:pPr>
              <w:pStyle w:val="nTable"/>
              <w:spacing w:before="120"/>
              <w:rPr>
                <w:sz w:val="19"/>
              </w:rPr>
            </w:pPr>
            <w:r>
              <w:rPr>
                <w:sz w:val="19"/>
              </w:rPr>
              <w:t>13 Dec 1991 p. 6160</w:t>
            </w:r>
          </w:p>
        </w:tc>
        <w:tc>
          <w:tcPr>
            <w:tcW w:w="2693" w:type="dxa"/>
          </w:tcPr>
          <w:p>
            <w:pPr>
              <w:pStyle w:val="nTable"/>
              <w:spacing w:before="120"/>
              <w:rPr>
                <w:sz w:val="19"/>
              </w:rPr>
            </w:pPr>
            <w:r>
              <w:rPr>
                <w:sz w:val="19"/>
              </w:rPr>
              <w:t>13 Dec 1991</w:t>
            </w:r>
          </w:p>
        </w:tc>
      </w:tr>
      <w:tr>
        <w:trPr>
          <w:cantSplit/>
        </w:trPr>
        <w:tc>
          <w:tcPr>
            <w:tcW w:w="3119" w:type="dxa"/>
          </w:tcPr>
          <w:p>
            <w:pPr>
              <w:pStyle w:val="nTable"/>
              <w:spacing w:before="120"/>
              <w:ind w:right="113"/>
              <w:rPr>
                <w:sz w:val="19"/>
              </w:rPr>
            </w:pPr>
            <w:r>
              <w:rPr>
                <w:i/>
                <w:sz w:val="19"/>
              </w:rPr>
              <w:t>Real Estate and Business Agents (General) Amendment Regulations 1992</w:t>
            </w:r>
          </w:p>
        </w:tc>
        <w:tc>
          <w:tcPr>
            <w:tcW w:w="1276" w:type="dxa"/>
          </w:tcPr>
          <w:p>
            <w:pPr>
              <w:pStyle w:val="nTable"/>
              <w:spacing w:before="120"/>
              <w:rPr>
                <w:sz w:val="19"/>
              </w:rPr>
            </w:pPr>
            <w:r>
              <w:rPr>
                <w:sz w:val="19"/>
              </w:rPr>
              <w:t>14 Aug 1992 p. 4011-12</w:t>
            </w:r>
          </w:p>
        </w:tc>
        <w:tc>
          <w:tcPr>
            <w:tcW w:w="2693" w:type="dxa"/>
          </w:tcPr>
          <w:p>
            <w:pPr>
              <w:pStyle w:val="nTable"/>
              <w:spacing w:before="120"/>
              <w:rPr>
                <w:sz w:val="19"/>
              </w:rPr>
            </w:pPr>
            <w:r>
              <w:rPr>
                <w:sz w:val="19"/>
              </w:rPr>
              <w:t>14 Aug 1992</w:t>
            </w:r>
          </w:p>
        </w:tc>
      </w:tr>
      <w:tr>
        <w:trPr>
          <w:cantSplit/>
        </w:trPr>
        <w:tc>
          <w:tcPr>
            <w:tcW w:w="7088" w:type="dxa"/>
            <w:gridSpan w:val="3"/>
          </w:tcPr>
          <w:p>
            <w:pPr>
              <w:pStyle w:val="nTable"/>
              <w:spacing w:before="120"/>
              <w:rPr>
                <w:sz w:val="19"/>
              </w:rPr>
            </w:pPr>
            <w:r>
              <w:rPr>
                <w:b/>
                <w:sz w:val="19"/>
              </w:rPr>
              <w:t xml:space="preserve">Reprint of the </w:t>
            </w:r>
            <w:r>
              <w:rPr>
                <w:b/>
                <w:i/>
                <w:sz w:val="19"/>
              </w:rPr>
              <w:t>Real Estate and Business Agents (General) Regulations 1979</w:t>
            </w:r>
            <w:r>
              <w:rPr>
                <w:b/>
                <w:sz w:val="19"/>
              </w:rPr>
              <w:t xml:space="preserve"> as at 1 Oct 1992 </w:t>
            </w:r>
            <w:r>
              <w:rPr>
                <w:sz w:val="19"/>
              </w:rPr>
              <w:t>(includes amendments listed above)</w:t>
            </w:r>
          </w:p>
        </w:tc>
      </w:tr>
      <w:tr>
        <w:trPr>
          <w:cantSplit/>
        </w:trPr>
        <w:tc>
          <w:tcPr>
            <w:tcW w:w="3119" w:type="dxa"/>
          </w:tcPr>
          <w:p>
            <w:pPr>
              <w:pStyle w:val="nTable"/>
              <w:spacing w:before="120"/>
              <w:ind w:right="113"/>
              <w:rPr>
                <w:sz w:val="19"/>
              </w:rPr>
            </w:pPr>
            <w:r>
              <w:rPr>
                <w:i/>
                <w:sz w:val="19"/>
              </w:rPr>
              <w:t>Real Estate and Business Agents (General) Amendment Regulations 1993</w:t>
            </w:r>
          </w:p>
        </w:tc>
        <w:tc>
          <w:tcPr>
            <w:tcW w:w="1276" w:type="dxa"/>
          </w:tcPr>
          <w:p>
            <w:pPr>
              <w:pStyle w:val="nTable"/>
              <w:spacing w:before="120"/>
              <w:rPr>
                <w:sz w:val="19"/>
              </w:rPr>
            </w:pPr>
            <w:r>
              <w:rPr>
                <w:sz w:val="19"/>
              </w:rPr>
              <w:t>30 Nov 1993 p. 6411</w:t>
            </w:r>
            <w:r>
              <w:rPr>
                <w:sz w:val="19"/>
              </w:rPr>
              <w:noBreakHyphen/>
              <w:t>12</w:t>
            </w:r>
          </w:p>
        </w:tc>
        <w:tc>
          <w:tcPr>
            <w:tcW w:w="2693" w:type="dxa"/>
          </w:tcPr>
          <w:p>
            <w:pPr>
              <w:pStyle w:val="nTable"/>
              <w:spacing w:before="120"/>
              <w:rPr>
                <w:sz w:val="19"/>
              </w:rPr>
            </w:pPr>
            <w:r>
              <w:rPr>
                <w:sz w:val="19"/>
              </w:rPr>
              <w:t>30 Nov 1993</w:t>
            </w:r>
          </w:p>
        </w:tc>
      </w:tr>
      <w:tr>
        <w:trPr>
          <w:cantSplit/>
        </w:trPr>
        <w:tc>
          <w:tcPr>
            <w:tcW w:w="3119" w:type="dxa"/>
          </w:tcPr>
          <w:p>
            <w:pPr>
              <w:pStyle w:val="nTable"/>
              <w:spacing w:before="120"/>
              <w:ind w:right="113"/>
              <w:rPr>
                <w:sz w:val="19"/>
              </w:rPr>
            </w:pPr>
            <w:r>
              <w:rPr>
                <w:i/>
                <w:sz w:val="19"/>
              </w:rPr>
              <w:t>Real Estate and Business Agents (General) Amendment Regulations 1994</w:t>
            </w:r>
          </w:p>
        </w:tc>
        <w:tc>
          <w:tcPr>
            <w:tcW w:w="1276" w:type="dxa"/>
          </w:tcPr>
          <w:p>
            <w:pPr>
              <w:pStyle w:val="nTable"/>
              <w:spacing w:before="120"/>
              <w:rPr>
                <w:sz w:val="19"/>
              </w:rPr>
            </w:pPr>
            <w:r>
              <w:rPr>
                <w:sz w:val="19"/>
              </w:rPr>
              <w:t>30 Sep 1994 p. 4969</w:t>
            </w:r>
            <w:r>
              <w:rPr>
                <w:sz w:val="19"/>
              </w:rPr>
              <w:noBreakHyphen/>
              <w:t>72</w:t>
            </w:r>
          </w:p>
        </w:tc>
        <w:tc>
          <w:tcPr>
            <w:tcW w:w="2693" w:type="dxa"/>
          </w:tcPr>
          <w:p>
            <w:pPr>
              <w:pStyle w:val="nTable"/>
              <w:spacing w:before="120"/>
              <w:rPr>
                <w:sz w:val="19"/>
              </w:rPr>
            </w:pPr>
            <w:r>
              <w:rPr>
                <w:sz w:val="19"/>
              </w:rPr>
              <w:t>6 Oct 1994 (see r. 2)</w:t>
            </w:r>
          </w:p>
        </w:tc>
      </w:tr>
      <w:tr>
        <w:trPr>
          <w:cantSplit/>
        </w:trPr>
        <w:tc>
          <w:tcPr>
            <w:tcW w:w="3119" w:type="dxa"/>
          </w:tcPr>
          <w:p>
            <w:pPr>
              <w:pStyle w:val="nTable"/>
              <w:spacing w:before="120"/>
              <w:ind w:right="113"/>
              <w:rPr>
                <w:sz w:val="19"/>
              </w:rPr>
            </w:pPr>
            <w:r>
              <w:rPr>
                <w:i/>
                <w:sz w:val="19"/>
              </w:rPr>
              <w:t>Real Estate and Business Agents (General) Amendment Regulations (No. 2) 1994</w:t>
            </w:r>
          </w:p>
        </w:tc>
        <w:tc>
          <w:tcPr>
            <w:tcW w:w="1276" w:type="dxa"/>
          </w:tcPr>
          <w:p>
            <w:pPr>
              <w:pStyle w:val="nTable"/>
              <w:spacing w:before="120"/>
              <w:rPr>
                <w:sz w:val="19"/>
              </w:rPr>
            </w:pPr>
            <w:r>
              <w:rPr>
                <w:sz w:val="19"/>
              </w:rPr>
              <w:t>9 Dec 1994 p. 6661</w:t>
            </w:r>
            <w:r>
              <w:rPr>
                <w:sz w:val="19"/>
              </w:rPr>
              <w:noBreakHyphen/>
              <w:t>2</w:t>
            </w:r>
          </w:p>
        </w:tc>
        <w:tc>
          <w:tcPr>
            <w:tcW w:w="2693" w:type="dxa"/>
          </w:tcPr>
          <w:p>
            <w:pPr>
              <w:pStyle w:val="nTable"/>
              <w:spacing w:before="120"/>
              <w:rPr>
                <w:sz w:val="19"/>
              </w:rPr>
            </w:pPr>
            <w:r>
              <w:rPr>
                <w:sz w:val="19"/>
              </w:rPr>
              <w:t>9 Dec 1994</w:t>
            </w:r>
          </w:p>
        </w:tc>
      </w:tr>
      <w:tr>
        <w:trPr>
          <w:cantSplit/>
        </w:trPr>
        <w:tc>
          <w:tcPr>
            <w:tcW w:w="3119" w:type="dxa"/>
          </w:tcPr>
          <w:p>
            <w:pPr>
              <w:pStyle w:val="nTable"/>
              <w:spacing w:before="120"/>
              <w:ind w:right="113"/>
              <w:rPr>
                <w:sz w:val="19"/>
              </w:rPr>
            </w:pPr>
            <w:r>
              <w:rPr>
                <w:i/>
                <w:sz w:val="19"/>
              </w:rPr>
              <w:t>Real Estate and Business Agents (General) Amendment Regulations 1996</w:t>
            </w:r>
          </w:p>
        </w:tc>
        <w:tc>
          <w:tcPr>
            <w:tcW w:w="1276" w:type="dxa"/>
          </w:tcPr>
          <w:p>
            <w:pPr>
              <w:pStyle w:val="nTable"/>
              <w:spacing w:before="120"/>
              <w:rPr>
                <w:sz w:val="19"/>
              </w:rPr>
            </w:pPr>
            <w:r>
              <w:rPr>
                <w:sz w:val="19"/>
              </w:rPr>
              <w:t>7 Jun 1996 p. 2392</w:t>
            </w:r>
          </w:p>
        </w:tc>
        <w:tc>
          <w:tcPr>
            <w:tcW w:w="2693" w:type="dxa"/>
          </w:tcPr>
          <w:p>
            <w:pPr>
              <w:pStyle w:val="nTable"/>
              <w:spacing w:before="120"/>
              <w:rPr>
                <w:sz w:val="19"/>
              </w:rPr>
            </w:pPr>
            <w:r>
              <w:rPr>
                <w:sz w:val="19"/>
              </w:rPr>
              <w:t>7 Jun 1996</w:t>
            </w:r>
          </w:p>
        </w:tc>
      </w:tr>
      <w:tr>
        <w:trPr>
          <w:cantSplit/>
        </w:trPr>
        <w:tc>
          <w:tcPr>
            <w:tcW w:w="3119" w:type="dxa"/>
          </w:tcPr>
          <w:p>
            <w:pPr>
              <w:pStyle w:val="nTable"/>
              <w:spacing w:before="120"/>
              <w:ind w:right="113"/>
              <w:rPr>
                <w:sz w:val="19"/>
              </w:rPr>
            </w:pPr>
            <w:r>
              <w:rPr>
                <w:i/>
                <w:sz w:val="19"/>
              </w:rPr>
              <w:t>Real Estate and Business Agents (General) Amendment Regulations (No. 3) 1996</w:t>
            </w:r>
          </w:p>
        </w:tc>
        <w:tc>
          <w:tcPr>
            <w:tcW w:w="1276" w:type="dxa"/>
          </w:tcPr>
          <w:p>
            <w:pPr>
              <w:pStyle w:val="nTable"/>
              <w:spacing w:before="120"/>
              <w:rPr>
                <w:sz w:val="19"/>
              </w:rPr>
            </w:pPr>
            <w:r>
              <w:rPr>
                <w:sz w:val="19"/>
              </w:rPr>
              <w:t>25 Jun 1996 p. 2917</w:t>
            </w:r>
            <w:r>
              <w:rPr>
                <w:sz w:val="19"/>
              </w:rPr>
              <w:noBreakHyphen/>
              <w:t>22</w:t>
            </w:r>
          </w:p>
        </w:tc>
        <w:tc>
          <w:tcPr>
            <w:tcW w:w="2693" w:type="dxa"/>
          </w:tcPr>
          <w:p>
            <w:pPr>
              <w:pStyle w:val="nTable"/>
              <w:spacing w:before="120"/>
              <w:rPr>
                <w:sz w:val="19"/>
              </w:rPr>
            </w:pPr>
            <w:r>
              <w:rPr>
                <w:sz w:val="19"/>
              </w:rPr>
              <w:t xml:space="preserve">1 Jul 1996 (see r. 2 and </w:t>
            </w:r>
            <w:r>
              <w:rPr>
                <w:i/>
                <w:sz w:val="19"/>
              </w:rPr>
              <w:t>Gazette</w:t>
            </w:r>
            <w:r>
              <w:rPr>
                <w:sz w:val="19"/>
              </w:rPr>
              <w:t xml:space="preserve"> 25 Jun 1996 p. 2902)</w:t>
            </w:r>
          </w:p>
        </w:tc>
      </w:tr>
      <w:tr>
        <w:trPr>
          <w:cantSplit/>
        </w:trPr>
        <w:tc>
          <w:tcPr>
            <w:tcW w:w="3119" w:type="dxa"/>
          </w:tcPr>
          <w:p>
            <w:pPr>
              <w:pStyle w:val="nTable"/>
              <w:spacing w:before="120"/>
              <w:ind w:right="113"/>
              <w:rPr>
                <w:sz w:val="19"/>
              </w:rPr>
            </w:pPr>
            <w:r>
              <w:rPr>
                <w:i/>
                <w:sz w:val="19"/>
              </w:rPr>
              <w:t>Real Estate and Business Agents (General) Amendment Regulations (No. 2) 1996</w:t>
            </w:r>
          </w:p>
        </w:tc>
        <w:tc>
          <w:tcPr>
            <w:tcW w:w="1276" w:type="dxa"/>
          </w:tcPr>
          <w:p>
            <w:pPr>
              <w:pStyle w:val="nTable"/>
              <w:spacing w:before="120"/>
              <w:rPr>
                <w:sz w:val="19"/>
              </w:rPr>
            </w:pPr>
            <w:r>
              <w:rPr>
                <w:sz w:val="19"/>
              </w:rPr>
              <w:t>25 Jun 1996 p. 2923</w:t>
            </w:r>
            <w:r>
              <w:rPr>
                <w:sz w:val="19"/>
              </w:rPr>
              <w:noBreakHyphen/>
              <w:t>5</w:t>
            </w:r>
          </w:p>
        </w:tc>
        <w:tc>
          <w:tcPr>
            <w:tcW w:w="2693" w:type="dxa"/>
          </w:tcPr>
          <w:p>
            <w:pPr>
              <w:pStyle w:val="nTable"/>
              <w:spacing w:before="120"/>
              <w:rPr>
                <w:sz w:val="19"/>
              </w:rPr>
            </w:pPr>
            <w:r>
              <w:rPr>
                <w:sz w:val="19"/>
              </w:rPr>
              <w:t xml:space="preserve">1 Jul 1996 (see r. 2 and </w:t>
            </w:r>
            <w:r>
              <w:rPr>
                <w:i/>
                <w:sz w:val="19"/>
              </w:rPr>
              <w:t>Gazette</w:t>
            </w:r>
            <w:r>
              <w:rPr>
                <w:sz w:val="19"/>
              </w:rPr>
              <w:t xml:space="preserve"> 1 Jul 1996 p. 3179)</w:t>
            </w:r>
          </w:p>
        </w:tc>
      </w:tr>
      <w:tr>
        <w:trPr>
          <w:cantSplit/>
        </w:trPr>
        <w:tc>
          <w:tcPr>
            <w:tcW w:w="3119" w:type="dxa"/>
          </w:tcPr>
          <w:p>
            <w:pPr>
              <w:pStyle w:val="nTable"/>
              <w:spacing w:before="120"/>
              <w:ind w:right="113"/>
              <w:rPr>
                <w:sz w:val="19"/>
              </w:rPr>
            </w:pPr>
            <w:r>
              <w:rPr>
                <w:i/>
                <w:sz w:val="19"/>
              </w:rPr>
              <w:t>Real Estate and Business Agents (General) Amendment Regulations 1997</w:t>
            </w:r>
          </w:p>
        </w:tc>
        <w:tc>
          <w:tcPr>
            <w:tcW w:w="1276" w:type="dxa"/>
          </w:tcPr>
          <w:p>
            <w:pPr>
              <w:pStyle w:val="nTable"/>
              <w:spacing w:before="120"/>
              <w:rPr>
                <w:sz w:val="19"/>
              </w:rPr>
            </w:pPr>
            <w:r>
              <w:rPr>
                <w:sz w:val="19"/>
              </w:rPr>
              <w:t>27 Jun 1997 p. 3099</w:t>
            </w:r>
            <w:r>
              <w:rPr>
                <w:sz w:val="19"/>
              </w:rPr>
              <w:noBreakHyphen/>
              <w:t>101</w:t>
            </w:r>
          </w:p>
        </w:tc>
        <w:tc>
          <w:tcPr>
            <w:tcW w:w="2693" w:type="dxa"/>
          </w:tcPr>
          <w:p>
            <w:pPr>
              <w:pStyle w:val="nTable"/>
              <w:spacing w:before="120"/>
              <w:rPr>
                <w:sz w:val="19"/>
              </w:rPr>
            </w:pPr>
            <w:r>
              <w:rPr>
                <w:sz w:val="19"/>
              </w:rPr>
              <w:t>1 Jul 1997 (see r. 2)</w:t>
            </w:r>
          </w:p>
        </w:tc>
      </w:tr>
      <w:tr>
        <w:trPr>
          <w:cantSplit/>
        </w:trPr>
        <w:tc>
          <w:tcPr>
            <w:tcW w:w="7088" w:type="dxa"/>
            <w:gridSpan w:val="3"/>
          </w:tcPr>
          <w:p>
            <w:pPr>
              <w:pStyle w:val="nTable"/>
              <w:spacing w:before="120"/>
              <w:rPr>
                <w:sz w:val="19"/>
              </w:rPr>
            </w:pPr>
            <w:r>
              <w:rPr>
                <w:b/>
                <w:sz w:val="19"/>
              </w:rPr>
              <w:t xml:space="preserve">Reprint of the </w:t>
            </w:r>
            <w:r>
              <w:rPr>
                <w:b/>
                <w:i/>
                <w:sz w:val="19"/>
              </w:rPr>
              <w:t>Real Estate and Business Agents (General) Regulations 1979</w:t>
            </w:r>
            <w:r>
              <w:rPr>
                <w:b/>
                <w:sz w:val="19"/>
              </w:rPr>
              <w:t xml:space="preserve"> as at 28 Nov 1997 </w:t>
            </w:r>
            <w:r>
              <w:rPr>
                <w:sz w:val="19"/>
              </w:rPr>
              <w:t>(includes amendments listed above)</w:t>
            </w:r>
          </w:p>
        </w:tc>
      </w:tr>
      <w:tr>
        <w:trPr>
          <w:cantSplit/>
        </w:trPr>
        <w:tc>
          <w:tcPr>
            <w:tcW w:w="3119" w:type="dxa"/>
          </w:tcPr>
          <w:p>
            <w:pPr>
              <w:pStyle w:val="nTable"/>
              <w:spacing w:before="120"/>
              <w:ind w:right="113"/>
              <w:rPr>
                <w:sz w:val="19"/>
              </w:rPr>
            </w:pPr>
            <w:r>
              <w:rPr>
                <w:i/>
                <w:sz w:val="19"/>
              </w:rPr>
              <w:t>Real Estate and Business Agents (General) Amendment Regulations 1998</w:t>
            </w:r>
          </w:p>
        </w:tc>
        <w:tc>
          <w:tcPr>
            <w:tcW w:w="1276" w:type="dxa"/>
          </w:tcPr>
          <w:p>
            <w:pPr>
              <w:pStyle w:val="nTable"/>
              <w:spacing w:before="120"/>
              <w:rPr>
                <w:sz w:val="19"/>
              </w:rPr>
            </w:pPr>
            <w:r>
              <w:rPr>
                <w:sz w:val="19"/>
              </w:rPr>
              <w:t>16 Oct 1998 p. 5733</w:t>
            </w:r>
            <w:r>
              <w:rPr>
                <w:sz w:val="19"/>
              </w:rPr>
              <w:noBreakHyphen/>
              <w:t>5</w:t>
            </w:r>
          </w:p>
        </w:tc>
        <w:tc>
          <w:tcPr>
            <w:tcW w:w="2693" w:type="dxa"/>
          </w:tcPr>
          <w:p>
            <w:pPr>
              <w:pStyle w:val="nTable"/>
              <w:spacing w:before="120"/>
              <w:rPr>
                <w:sz w:val="19"/>
              </w:rPr>
            </w:pPr>
            <w:r>
              <w:rPr>
                <w:sz w:val="19"/>
              </w:rPr>
              <w:t xml:space="preserve">1 Nov 1998 (see r. 2 and </w:t>
            </w:r>
            <w:r>
              <w:rPr>
                <w:i/>
                <w:sz w:val="19"/>
              </w:rPr>
              <w:t>Gazette</w:t>
            </w:r>
            <w:r>
              <w:rPr>
                <w:sz w:val="19"/>
              </w:rPr>
              <w:t xml:space="preserve"> 16 Oct 1998 p. 5729)</w:t>
            </w:r>
          </w:p>
        </w:tc>
      </w:tr>
      <w:tr>
        <w:trPr>
          <w:cantSplit/>
        </w:trPr>
        <w:tc>
          <w:tcPr>
            <w:tcW w:w="3119" w:type="dxa"/>
          </w:tcPr>
          <w:p>
            <w:pPr>
              <w:pStyle w:val="nTable"/>
              <w:spacing w:before="120"/>
              <w:ind w:right="113"/>
              <w:rPr>
                <w:i/>
                <w:sz w:val="19"/>
              </w:rPr>
            </w:pPr>
            <w:r>
              <w:rPr>
                <w:i/>
                <w:sz w:val="19"/>
              </w:rPr>
              <w:t>Real Estate and Business Agents (General) Amendment Regulations 1999</w:t>
            </w:r>
          </w:p>
        </w:tc>
        <w:tc>
          <w:tcPr>
            <w:tcW w:w="1276" w:type="dxa"/>
          </w:tcPr>
          <w:p>
            <w:pPr>
              <w:pStyle w:val="nTable"/>
              <w:spacing w:before="120"/>
              <w:rPr>
                <w:sz w:val="19"/>
              </w:rPr>
            </w:pPr>
            <w:r>
              <w:rPr>
                <w:sz w:val="19"/>
              </w:rPr>
              <w:t>8 Oct 1999 p. 4782</w:t>
            </w:r>
            <w:r>
              <w:rPr>
                <w:sz w:val="19"/>
              </w:rPr>
              <w:noBreakHyphen/>
              <w:t>3</w:t>
            </w:r>
          </w:p>
        </w:tc>
        <w:tc>
          <w:tcPr>
            <w:tcW w:w="2693" w:type="dxa"/>
          </w:tcPr>
          <w:p>
            <w:pPr>
              <w:pStyle w:val="nTable"/>
              <w:spacing w:before="120"/>
              <w:rPr>
                <w:sz w:val="19"/>
              </w:rPr>
            </w:pPr>
            <w:r>
              <w:rPr>
                <w:sz w:val="19"/>
              </w:rPr>
              <w:t>8 Oct 1999</w:t>
            </w:r>
          </w:p>
        </w:tc>
      </w:tr>
      <w:tr>
        <w:trPr>
          <w:cantSplit/>
        </w:trPr>
        <w:tc>
          <w:tcPr>
            <w:tcW w:w="3119" w:type="dxa"/>
          </w:tcPr>
          <w:p>
            <w:pPr>
              <w:pStyle w:val="nTable"/>
              <w:spacing w:before="120"/>
              <w:ind w:right="113"/>
              <w:rPr>
                <w:i/>
                <w:sz w:val="19"/>
              </w:rPr>
            </w:pPr>
            <w:r>
              <w:rPr>
                <w:i/>
                <w:sz w:val="19"/>
              </w:rPr>
              <w:t>Real Estate and Business Agents (General) Amendment Regulations 2000</w:t>
            </w:r>
          </w:p>
        </w:tc>
        <w:tc>
          <w:tcPr>
            <w:tcW w:w="1276" w:type="dxa"/>
          </w:tcPr>
          <w:p>
            <w:pPr>
              <w:pStyle w:val="nTable"/>
              <w:spacing w:before="120"/>
              <w:rPr>
                <w:sz w:val="19"/>
              </w:rPr>
            </w:pPr>
            <w:r>
              <w:rPr>
                <w:sz w:val="19"/>
              </w:rPr>
              <w:t>18 Feb 2000 p. 913</w:t>
            </w:r>
            <w:r>
              <w:rPr>
                <w:sz w:val="19"/>
              </w:rPr>
              <w:noBreakHyphen/>
              <w:t>14</w:t>
            </w:r>
          </w:p>
        </w:tc>
        <w:tc>
          <w:tcPr>
            <w:tcW w:w="2693" w:type="dxa"/>
          </w:tcPr>
          <w:p>
            <w:pPr>
              <w:pStyle w:val="nTable"/>
              <w:spacing w:before="120"/>
              <w:rPr>
                <w:sz w:val="19"/>
              </w:rPr>
            </w:pPr>
            <w:r>
              <w:rPr>
                <w:sz w:val="19"/>
              </w:rPr>
              <w:t>18 Feb 2000</w:t>
            </w:r>
          </w:p>
        </w:tc>
      </w:tr>
      <w:tr>
        <w:trPr>
          <w:cantSplit/>
        </w:trPr>
        <w:tc>
          <w:tcPr>
            <w:tcW w:w="3119" w:type="dxa"/>
          </w:tcPr>
          <w:p>
            <w:pPr>
              <w:pStyle w:val="nTable"/>
              <w:spacing w:before="120"/>
              <w:ind w:right="113"/>
              <w:rPr>
                <w:i/>
                <w:sz w:val="19"/>
              </w:rPr>
            </w:pPr>
            <w:r>
              <w:rPr>
                <w:i/>
                <w:sz w:val="19"/>
              </w:rPr>
              <w:t>Real Estate and Business Agents (General) Amendment Regulations 2001</w:t>
            </w:r>
          </w:p>
        </w:tc>
        <w:tc>
          <w:tcPr>
            <w:tcW w:w="1276" w:type="dxa"/>
          </w:tcPr>
          <w:p>
            <w:pPr>
              <w:pStyle w:val="nTable"/>
              <w:spacing w:before="120"/>
              <w:rPr>
                <w:sz w:val="19"/>
              </w:rPr>
            </w:pPr>
            <w:r>
              <w:rPr>
                <w:sz w:val="19"/>
              </w:rPr>
              <w:t>6 Nov 2001 p. 5837</w:t>
            </w:r>
          </w:p>
        </w:tc>
        <w:tc>
          <w:tcPr>
            <w:tcW w:w="2693" w:type="dxa"/>
          </w:tcPr>
          <w:p>
            <w:pPr>
              <w:pStyle w:val="nTable"/>
              <w:spacing w:before="120"/>
              <w:rPr>
                <w:sz w:val="19"/>
              </w:rPr>
            </w:pPr>
            <w:r>
              <w:rPr>
                <w:sz w:val="19"/>
              </w:rPr>
              <w:t>6 Nov 2001</w:t>
            </w:r>
          </w:p>
        </w:tc>
      </w:tr>
      <w:tr>
        <w:trPr>
          <w:cantSplit/>
        </w:trPr>
        <w:tc>
          <w:tcPr>
            <w:tcW w:w="3119" w:type="dxa"/>
          </w:tcPr>
          <w:p>
            <w:pPr>
              <w:pStyle w:val="nTable"/>
              <w:spacing w:before="120"/>
              <w:ind w:right="113"/>
              <w:rPr>
                <w:i/>
                <w:sz w:val="19"/>
              </w:rPr>
            </w:pPr>
            <w:r>
              <w:rPr>
                <w:i/>
                <w:sz w:val="19"/>
              </w:rPr>
              <w:t>Real Estate and Business Agents (General) Amendment Regulations 2002</w:t>
            </w:r>
          </w:p>
        </w:tc>
        <w:tc>
          <w:tcPr>
            <w:tcW w:w="1276" w:type="dxa"/>
          </w:tcPr>
          <w:p>
            <w:pPr>
              <w:pStyle w:val="nTable"/>
              <w:spacing w:before="120"/>
              <w:rPr>
                <w:sz w:val="19"/>
              </w:rPr>
            </w:pPr>
            <w:r>
              <w:rPr>
                <w:sz w:val="19"/>
              </w:rPr>
              <w:t>8 Feb 2002 p. 599</w:t>
            </w:r>
            <w:r>
              <w:rPr>
                <w:sz w:val="19"/>
              </w:rPr>
              <w:noBreakHyphen/>
              <w:t>602</w:t>
            </w:r>
          </w:p>
        </w:tc>
        <w:tc>
          <w:tcPr>
            <w:tcW w:w="2693" w:type="dxa"/>
          </w:tcPr>
          <w:p>
            <w:pPr>
              <w:pStyle w:val="nTable"/>
              <w:spacing w:before="120"/>
              <w:rPr>
                <w:sz w:val="19"/>
              </w:rPr>
            </w:pPr>
            <w:r>
              <w:rPr>
                <w:sz w:val="19"/>
              </w:rPr>
              <w:t>8 Feb 2002</w:t>
            </w:r>
          </w:p>
        </w:tc>
      </w:tr>
      <w:tr>
        <w:trPr>
          <w:cantSplit/>
        </w:trPr>
        <w:tc>
          <w:tcPr>
            <w:tcW w:w="7088" w:type="dxa"/>
            <w:gridSpan w:val="3"/>
          </w:tcPr>
          <w:p>
            <w:pPr>
              <w:pStyle w:val="nTable"/>
              <w:spacing w:before="120"/>
              <w:rPr>
                <w:sz w:val="19"/>
              </w:rPr>
            </w:pPr>
            <w:r>
              <w:rPr>
                <w:b/>
                <w:sz w:val="19"/>
              </w:rPr>
              <w:t xml:space="preserve">Reprint of the </w:t>
            </w:r>
            <w:r>
              <w:rPr>
                <w:b/>
                <w:i/>
                <w:sz w:val="19"/>
              </w:rPr>
              <w:t>Real Estate and Business Agents (General) Regulations  1979</w:t>
            </w:r>
            <w:r>
              <w:rPr>
                <w:b/>
                <w:sz w:val="19"/>
              </w:rPr>
              <w:t xml:space="preserve"> as at 8 Mar 2002 </w:t>
            </w:r>
            <w:r>
              <w:rPr>
                <w:sz w:val="19"/>
              </w:rPr>
              <w:t>(includes amendments listed above)</w:t>
            </w:r>
          </w:p>
        </w:tc>
      </w:tr>
      <w:tr>
        <w:trPr>
          <w:cantSplit/>
        </w:trPr>
        <w:tc>
          <w:tcPr>
            <w:tcW w:w="3119" w:type="dxa"/>
          </w:tcPr>
          <w:p>
            <w:pPr>
              <w:pStyle w:val="nTable"/>
              <w:spacing w:before="120"/>
              <w:ind w:right="113"/>
              <w:rPr>
                <w:i/>
                <w:sz w:val="19"/>
                <w:vertAlign w:val="superscript"/>
              </w:rPr>
            </w:pPr>
            <w:r>
              <w:rPr>
                <w:i/>
                <w:sz w:val="19"/>
              </w:rPr>
              <w:t>Real Estate and Business Agents (General) Amendment Regulations 2003 </w:t>
            </w:r>
            <w:r>
              <w:rPr>
                <w:sz w:val="19"/>
                <w:vertAlign w:val="superscript"/>
              </w:rPr>
              <w:t>3, 4</w:t>
            </w:r>
          </w:p>
        </w:tc>
        <w:tc>
          <w:tcPr>
            <w:tcW w:w="1276" w:type="dxa"/>
          </w:tcPr>
          <w:p>
            <w:pPr>
              <w:pStyle w:val="nTable"/>
              <w:spacing w:before="120"/>
              <w:rPr>
                <w:sz w:val="19"/>
              </w:rPr>
            </w:pPr>
            <w:r>
              <w:rPr>
                <w:sz w:val="19"/>
              </w:rPr>
              <w:t xml:space="preserve">7 Feb 2003 p. 384-7 </w:t>
            </w:r>
            <w:r>
              <w:rPr>
                <w:sz w:val="16"/>
              </w:rPr>
              <w:t>(as amended 13 Jan 2004 p. 145</w:t>
            </w:r>
            <w:r>
              <w:rPr>
                <w:sz w:val="16"/>
              </w:rPr>
              <w:noBreakHyphen/>
              <w:t>6)</w:t>
            </w:r>
          </w:p>
        </w:tc>
        <w:tc>
          <w:tcPr>
            <w:tcW w:w="2693" w:type="dxa"/>
          </w:tcPr>
          <w:p>
            <w:pPr>
              <w:pStyle w:val="nTable"/>
              <w:spacing w:before="120"/>
              <w:rPr>
                <w:sz w:val="19"/>
              </w:rPr>
            </w:pPr>
            <w:r>
              <w:rPr>
                <w:sz w:val="19"/>
              </w:rPr>
              <w:t>7 Feb 2003</w:t>
            </w:r>
          </w:p>
        </w:tc>
      </w:tr>
      <w:tr>
        <w:trPr>
          <w:cantSplit/>
        </w:trPr>
        <w:tc>
          <w:tcPr>
            <w:tcW w:w="3119" w:type="dxa"/>
          </w:tcPr>
          <w:p>
            <w:pPr>
              <w:pStyle w:val="nTable"/>
              <w:spacing w:before="120"/>
              <w:ind w:right="113"/>
              <w:rPr>
                <w:sz w:val="19"/>
              </w:rPr>
            </w:pPr>
            <w:r>
              <w:rPr>
                <w:i/>
                <w:sz w:val="19"/>
              </w:rPr>
              <w:t>Real Estate and Business Agents (General) Amendment Regulations 2004</w:t>
            </w:r>
            <w:r>
              <w:rPr>
                <w:sz w:val="19"/>
                <w:vertAlign w:val="superscript"/>
              </w:rPr>
              <w:t xml:space="preserve">  </w:t>
            </w:r>
          </w:p>
        </w:tc>
        <w:tc>
          <w:tcPr>
            <w:tcW w:w="1276" w:type="dxa"/>
          </w:tcPr>
          <w:p>
            <w:pPr>
              <w:pStyle w:val="nTable"/>
              <w:spacing w:before="120"/>
              <w:rPr>
                <w:sz w:val="19"/>
              </w:rPr>
            </w:pPr>
            <w:r>
              <w:rPr>
                <w:sz w:val="19"/>
              </w:rPr>
              <w:t>13 Jan 2004 p. 145</w:t>
            </w:r>
            <w:r>
              <w:rPr>
                <w:sz w:val="19"/>
              </w:rPr>
              <w:noBreakHyphen/>
              <w:t>6</w:t>
            </w:r>
          </w:p>
        </w:tc>
        <w:tc>
          <w:tcPr>
            <w:tcW w:w="2693" w:type="dxa"/>
          </w:tcPr>
          <w:p>
            <w:pPr>
              <w:pStyle w:val="nTable"/>
              <w:spacing w:before="120"/>
              <w:rPr>
                <w:sz w:val="19"/>
              </w:rPr>
            </w:pPr>
            <w:r>
              <w:rPr>
                <w:sz w:val="19"/>
              </w:rPr>
              <w:t>13 Jan 2004</w:t>
            </w:r>
          </w:p>
        </w:tc>
      </w:tr>
      <w:tr>
        <w:trPr>
          <w:cantSplit/>
        </w:trPr>
        <w:tc>
          <w:tcPr>
            <w:tcW w:w="3119" w:type="dxa"/>
          </w:tcPr>
          <w:p>
            <w:pPr>
              <w:pStyle w:val="nTable"/>
              <w:spacing w:before="120"/>
              <w:ind w:right="113"/>
              <w:rPr>
                <w:i/>
                <w:sz w:val="19"/>
              </w:rPr>
            </w:pPr>
            <w:r>
              <w:rPr>
                <w:i/>
                <w:sz w:val="19"/>
              </w:rPr>
              <w:t>Real Estate and Business Agents (General) Amendment Regulations (No. 2) 2004</w:t>
            </w:r>
          </w:p>
        </w:tc>
        <w:tc>
          <w:tcPr>
            <w:tcW w:w="1276" w:type="dxa"/>
          </w:tcPr>
          <w:p>
            <w:pPr>
              <w:pStyle w:val="nTable"/>
              <w:spacing w:before="120"/>
              <w:rPr>
                <w:sz w:val="19"/>
              </w:rPr>
            </w:pPr>
            <w:r>
              <w:rPr>
                <w:sz w:val="19"/>
              </w:rPr>
              <w:t>30 Dec 2004 p. 6924</w:t>
            </w:r>
          </w:p>
        </w:tc>
        <w:tc>
          <w:tcPr>
            <w:tcW w:w="2693" w:type="dxa"/>
          </w:tcPr>
          <w:p>
            <w:pPr>
              <w:pStyle w:val="nTable"/>
              <w:spacing w:before="12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before="120"/>
              <w:ind w:right="113"/>
              <w:rPr>
                <w:i/>
                <w:sz w:val="19"/>
              </w:rPr>
            </w:pPr>
            <w:r>
              <w:rPr>
                <w:i/>
                <w:sz w:val="19"/>
              </w:rPr>
              <w:t>Real Estate and Business Agents (General) Amendment Regulations 2006</w:t>
            </w:r>
          </w:p>
        </w:tc>
        <w:tc>
          <w:tcPr>
            <w:tcW w:w="1276" w:type="dxa"/>
          </w:tcPr>
          <w:p>
            <w:pPr>
              <w:pStyle w:val="nTable"/>
              <w:spacing w:before="120"/>
              <w:rPr>
                <w:sz w:val="19"/>
              </w:rPr>
            </w:pPr>
            <w:r>
              <w:rPr>
                <w:sz w:val="19"/>
              </w:rPr>
              <w:t>27 Jun 2006 p. 2269-70</w:t>
            </w:r>
          </w:p>
        </w:tc>
        <w:tc>
          <w:tcPr>
            <w:tcW w:w="2693" w:type="dxa"/>
          </w:tcPr>
          <w:p>
            <w:pPr>
              <w:pStyle w:val="nTable"/>
              <w:spacing w:before="120"/>
              <w:rPr>
                <w:sz w:val="19"/>
              </w:rPr>
            </w:pPr>
            <w:r>
              <w:rPr>
                <w:sz w:val="19"/>
              </w:rPr>
              <w:t>1 Jul 2006 (see r. 2)</w:t>
            </w:r>
          </w:p>
        </w:tc>
      </w:tr>
      <w:tr>
        <w:trPr>
          <w:cantSplit/>
        </w:trPr>
        <w:tc>
          <w:tcPr>
            <w:tcW w:w="3119" w:type="dxa"/>
          </w:tcPr>
          <w:p>
            <w:pPr>
              <w:pStyle w:val="nTable"/>
              <w:spacing w:before="120"/>
              <w:ind w:right="113"/>
              <w:rPr>
                <w:i/>
                <w:sz w:val="19"/>
              </w:rPr>
            </w:pPr>
            <w:r>
              <w:rPr>
                <w:i/>
                <w:sz w:val="19"/>
              </w:rPr>
              <w:t>Real Estate and Business Agents (General) Amendment Regulations (No. 2) 2006</w:t>
            </w:r>
          </w:p>
        </w:tc>
        <w:tc>
          <w:tcPr>
            <w:tcW w:w="1276" w:type="dxa"/>
          </w:tcPr>
          <w:p>
            <w:pPr>
              <w:pStyle w:val="nTable"/>
              <w:spacing w:before="120"/>
              <w:rPr>
                <w:sz w:val="19"/>
              </w:rPr>
            </w:pPr>
            <w:r>
              <w:rPr>
                <w:sz w:val="19"/>
              </w:rPr>
              <w:t>17 Nov 2006 p. 4759-60</w:t>
            </w:r>
          </w:p>
        </w:tc>
        <w:tc>
          <w:tcPr>
            <w:tcW w:w="2693" w:type="dxa"/>
          </w:tcPr>
          <w:p>
            <w:pPr>
              <w:pStyle w:val="nTable"/>
              <w:spacing w:before="120"/>
              <w:rPr>
                <w:sz w:val="19"/>
              </w:rPr>
            </w:pPr>
            <w:r>
              <w:rPr>
                <w:sz w:val="19"/>
              </w:rPr>
              <w:t>17 Nov 2006</w:t>
            </w:r>
          </w:p>
        </w:tc>
      </w:tr>
      <w:tr>
        <w:trPr>
          <w:cantSplit/>
          <w:ins w:id="297" w:author="Master Repository Process" w:date="2021-09-12T09:16:00Z"/>
        </w:trPr>
        <w:tc>
          <w:tcPr>
            <w:tcW w:w="3119" w:type="dxa"/>
            <w:tcBorders>
              <w:bottom w:val="single" w:sz="4" w:space="0" w:color="auto"/>
            </w:tcBorders>
          </w:tcPr>
          <w:p>
            <w:pPr>
              <w:pStyle w:val="nTable"/>
              <w:spacing w:before="120"/>
              <w:ind w:right="113"/>
              <w:rPr>
                <w:ins w:id="298" w:author="Master Repository Process" w:date="2021-09-12T09:16:00Z"/>
                <w:i/>
                <w:sz w:val="19"/>
              </w:rPr>
            </w:pPr>
            <w:ins w:id="299" w:author="Master Repository Process" w:date="2021-09-12T09:16:00Z">
              <w:r>
                <w:rPr>
                  <w:i/>
                  <w:sz w:val="19"/>
                </w:rPr>
                <w:t>Real Estate and Business Agents (General) Amendment Regulations 2007</w:t>
              </w:r>
            </w:ins>
          </w:p>
        </w:tc>
        <w:tc>
          <w:tcPr>
            <w:tcW w:w="1276" w:type="dxa"/>
            <w:tcBorders>
              <w:bottom w:val="single" w:sz="4" w:space="0" w:color="auto"/>
            </w:tcBorders>
          </w:tcPr>
          <w:p>
            <w:pPr>
              <w:pStyle w:val="nTable"/>
              <w:spacing w:before="120"/>
              <w:rPr>
                <w:ins w:id="300" w:author="Master Repository Process" w:date="2021-09-12T09:16:00Z"/>
                <w:sz w:val="19"/>
              </w:rPr>
            </w:pPr>
            <w:ins w:id="301" w:author="Master Repository Process" w:date="2021-09-12T09:16:00Z">
              <w:r>
                <w:rPr>
                  <w:sz w:val="19"/>
                </w:rPr>
                <w:t>6 Feb 2007 p. 307-10</w:t>
              </w:r>
            </w:ins>
          </w:p>
        </w:tc>
        <w:tc>
          <w:tcPr>
            <w:tcW w:w="2693" w:type="dxa"/>
            <w:tcBorders>
              <w:bottom w:val="single" w:sz="4" w:space="0" w:color="auto"/>
            </w:tcBorders>
          </w:tcPr>
          <w:p>
            <w:pPr>
              <w:pStyle w:val="nTable"/>
              <w:spacing w:before="120"/>
              <w:rPr>
                <w:ins w:id="302" w:author="Master Repository Process" w:date="2021-09-12T09:16:00Z"/>
                <w:sz w:val="19"/>
              </w:rPr>
            </w:pPr>
            <w:ins w:id="303" w:author="Master Repository Process" w:date="2021-09-12T09:16:00Z">
              <w:r>
                <w:rPr>
                  <w:sz w:val="19"/>
                </w:rPr>
                <w:t>6 Feb 2007</w:t>
              </w:r>
            </w:ins>
          </w:p>
        </w:tc>
      </w:tr>
    </w:tbl>
    <w:p>
      <w:pPr>
        <w:pStyle w:val="nSubsection"/>
        <w:rPr>
          <w:snapToGrid w:val="0"/>
        </w:rPr>
      </w:pPr>
      <w:r>
        <w:rPr>
          <w:snapToGrid w:val="0"/>
          <w:vertAlign w:val="superscript"/>
        </w:rPr>
        <w:t>2</w:t>
      </w:r>
      <w:r>
        <w:rPr>
          <w:snapToGrid w:val="0"/>
          <w:vertAlign w:val="superscript"/>
        </w:rPr>
        <w:tab/>
      </w:r>
      <w:r>
        <w:rPr>
          <w:snapToGrid w:val="0"/>
        </w:rPr>
        <w:t xml:space="preserve">Under the </w:t>
      </w:r>
      <w:r>
        <w:rPr>
          <w:i/>
          <w:snapToGrid w:val="0"/>
        </w:rPr>
        <w:t>Alteration of Statutory Designations Amendment Order (No. 3) 2001</w:t>
      </w:r>
      <w:r>
        <w:rPr>
          <w:snapToGrid w:val="0"/>
        </w:rPr>
        <w:t xml:space="preserve"> the former Education Department is now known as the Department of Education.</w:t>
      </w:r>
    </w:p>
    <w:p>
      <w:pPr>
        <w:pStyle w:val="nSubsection"/>
        <w:rPr>
          <w:sz w:val="19"/>
        </w:rPr>
      </w:pPr>
      <w:r>
        <w:rPr>
          <w:snapToGrid w:val="0"/>
          <w:vertAlign w:val="superscript"/>
        </w:rPr>
        <w:t>3</w:t>
      </w:r>
      <w:r>
        <w:rPr>
          <w:snapToGrid w:val="0"/>
        </w:rPr>
        <w:tab/>
        <w:t xml:space="preserve">The </w:t>
      </w:r>
      <w:r>
        <w:rPr>
          <w:i/>
          <w:sz w:val="19"/>
        </w:rPr>
        <w:t>Real Estate and Business Agents (General) Amendment Regulations 2003 </w:t>
      </w:r>
      <w:r>
        <w:rPr>
          <w:sz w:val="19"/>
        </w:rPr>
        <w:t xml:space="preserve">r. 4(2) (as </w:t>
      </w:r>
      <w:r>
        <w:t>amended in Gazette 13 Jan 2004 p. 146)</w:t>
      </w:r>
      <w:r>
        <w:rPr>
          <w:sz w:val="19"/>
        </w:rPr>
        <w:t xml:space="preserve"> reads as follows:</w:t>
      </w:r>
    </w:p>
    <w:p>
      <w:pPr>
        <w:pStyle w:val="MiscOpen"/>
        <w:ind w:right="851"/>
        <w:rPr>
          <w:snapToGrid w:val="0"/>
        </w:rPr>
      </w:pPr>
      <w:r>
        <w:rPr>
          <w:snapToGrid w:val="0"/>
        </w:rPr>
        <w:t>“</w:t>
      </w:r>
    </w:p>
    <w:p>
      <w:pPr>
        <w:pStyle w:val="nzSubsection"/>
        <w:ind w:right="851"/>
      </w:pPr>
      <w:r>
        <w:tab/>
        <w:t>(2)</w:t>
      </w:r>
      <w:r>
        <w:tab/>
        <w:t xml:space="preserve">Despite the amendments effected by subregulation (1), examinations referred to in a provision of the </w:t>
      </w:r>
      <w:r>
        <w:rPr>
          <w:i/>
        </w:rPr>
        <w:t xml:space="preserve">Real Estate and Business Agents (General) Regulations 1979 </w:t>
      </w:r>
      <w:r>
        <w:t>referred to in column 1 of the Table to this subregulation, as in force immediately before the commencement of these regulations, continue to be prescribed examinations for the purposes of clause 1(a) of the Schedule to the Act until the date specified in column 2 of that Table opposite the reference to the provision.</w:t>
      </w:r>
    </w:p>
    <w:p>
      <w:pPr>
        <w:pStyle w:val="nTable"/>
        <w:jc w:val="center"/>
      </w:pPr>
      <w:r>
        <w:t>Table</w:t>
      </w:r>
    </w:p>
    <w:tbl>
      <w:tblPr>
        <w:tblW w:w="0" w:type="auto"/>
        <w:tblInd w:w="1101" w:type="dxa"/>
        <w:tblLayout w:type="fixed"/>
        <w:tblLook w:val="0000" w:firstRow="0" w:lastRow="0" w:firstColumn="0" w:lastColumn="0" w:noHBand="0" w:noVBand="0"/>
      </w:tblPr>
      <w:tblGrid>
        <w:gridCol w:w="3118"/>
        <w:gridCol w:w="2552"/>
      </w:tblGrid>
      <w:tr>
        <w:tc>
          <w:tcPr>
            <w:tcW w:w="3118" w:type="dxa"/>
          </w:tcPr>
          <w:p>
            <w:pPr>
              <w:pStyle w:val="nTable"/>
            </w:pPr>
            <w:r>
              <w:t>r. 6(a)(i)</w:t>
            </w:r>
          </w:p>
        </w:tc>
        <w:tc>
          <w:tcPr>
            <w:tcW w:w="2552" w:type="dxa"/>
          </w:tcPr>
          <w:p>
            <w:pPr>
              <w:pStyle w:val="nTable"/>
            </w:pPr>
            <w:r>
              <w:t>1 July 2003</w:t>
            </w:r>
          </w:p>
        </w:tc>
      </w:tr>
      <w:tr>
        <w:tc>
          <w:tcPr>
            <w:tcW w:w="3118" w:type="dxa"/>
          </w:tcPr>
          <w:p>
            <w:pPr>
              <w:pStyle w:val="nTable"/>
            </w:pPr>
            <w:r>
              <w:t>r. 6(a)(ii), (b) or (c)</w:t>
            </w:r>
          </w:p>
        </w:tc>
        <w:tc>
          <w:tcPr>
            <w:tcW w:w="2552" w:type="dxa"/>
          </w:tcPr>
          <w:p>
            <w:pPr>
              <w:pStyle w:val="nTable"/>
            </w:pPr>
            <w:r>
              <w:t>1 January 2004</w:t>
            </w:r>
          </w:p>
        </w:tc>
      </w:tr>
      <w:tr>
        <w:tc>
          <w:tcPr>
            <w:tcW w:w="3118" w:type="dxa"/>
          </w:tcPr>
          <w:p>
            <w:pPr>
              <w:pStyle w:val="nTable"/>
            </w:pPr>
            <w:r>
              <w:t>r. 6(a)(iii)</w:t>
            </w:r>
          </w:p>
        </w:tc>
        <w:tc>
          <w:tcPr>
            <w:tcW w:w="2552" w:type="dxa"/>
          </w:tcPr>
          <w:p>
            <w:pPr>
              <w:pStyle w:val="nTable"/>
            </w:pPr>
            <w:r>
              <w:t>1 January 2006</w:t>
            </w:r>
          </w:p>
        </w:tc>
      </w:tr>
    </w:tbl>
    <w:p>
      <w:pPr>
        <w:pStyle w:val="MiscClose"/>
        <w:rPr>
          <w:snapToGrid w:val="0"/>
        </w:rPr>
      </w:pPr>
      <w:r>
        <w:rPr>
          <w:snapToGrid w:val="0"/>
        </w:rPr>
        <w:t>”.</w:t>
      </w:r>
    </w:p>
    <w:p>
      <w:pPr>
        <w:pStyle w:val="Footnotesection"/>
        <w:rPr>
          <w:sz w:val="20"/>
        </w:rPr>
      </w:pPr>
      <w:r>
        <w:rPr>
          <w:sz w:val="20"/>
        </w:rPr>
        <w:tab/>
        <w:t>[Regulation 4(2) amended in Gazette 13 Jan 2004 p. 146.]</w:t>
      </w:r>
    </w:p>
    <w:p>
      <w:pPr>
        <w:pStyle w:val="nSubsection"/>
        <w:rPr>
          <w:sz w:val="19"/>
        </w:rPr>
      </w:pPr>
      <w:r>
        <w:rPr>
          <w:snapToGrid w:val="0"/>
          <w:vertAlign w:val="superscript"/>
        </w:rPr>
        <w:t>4</w:t>
      </w:r>
      <w:r>
        <w:rPr>
          <w:snapToGrid w:val="0"/>
        </w:rPr>
        <w:tab/>
        <w:t xml:space="preserve">The </w:t>
      </w:r>
      <w:r>
        <w:rPr>
          <w:i/>
          <w:sz w:val="19"/>
        </w:rPr>
        <w:t>Real Estate and Business Agents (General) Amendment Regulations 2003 </w:t>
      </w:r>
      <w:r>
        <w:rPr>
          <w:sz w:val="19"/>
        </w:rPr>
        <w:t>r. 5(2) reads as follows:</w:t>
      </w:r>
    </w:p>
    <w:p>
      <w:pPr>
        <w:pStyle w:val="MiscOpen"/>
      </w:pPr>
      <w:r>
        <w:t>“</w:t>
      </w:r>
    </w:p>
    <w:p>
      <w:pPr>
        <w:pStyle w:val="nzSubsection"/>
        <w:ind w:right="851"/>
      </w:pPr>
      <w:r>
        <w:tab/>
        <w:t>(2)</w:t>
      </w:r>
      <w:r>
        <w:tab/>
        <w:t xml:space="preserve">Despite the amendment effected by subregulation (1), the qualification referred to in regulation 6A(c) of the </w:t>
      </w:r>
      <w:r>
        <w:rPr>
          <w:i/>
        </w:rPr>
        <w:t>Real Estate and Business Agents (General) Regulations 1979</w:t>
      </w:r>
      <w:r>
        <w:t>, as in force immediately before the commencement of these regulations, continues to be a prescribed qualification for the purposes of section 47(2) of the Act in respect of an application for registration as a real estate and business sales representative made under the Act on or before 1 January 2004.</w:t>
      </w:r>
    </w:p>
    <w:p>
      <w:pPr>
        <w:pStyle w:val="MiscClose"/>
        <w:rPr>
          <w:snapToGrid w:val="0"/>
        </w:rPr>
      </w:pPr>
      <w:r>
        <w:rPr>
          <w:snapToGrid w:val="0"/>
        </w:rPr>
        <w:t>”.</w:t>
      </w:r>
    </w:p>
    <w:p>
      <w:pPr>
        <w:pStyle w:val="nSubsection"/>
      </w:pPr>
      <w:r>
        <w:rPr>
          <w:vertAlign w:val="superscript"/>
        </w:rPr>
        <w:t>5</w:t>
      </w:r>
      <w:r>
        <w:tab/>
        <w:t xml:space="preserve">The </w:t>
      </w:r>
      <w:r>
        <w:rPr>
          <w:i/>
        </w:rPr>
        <w:t>Miscellaneous Regulations (Validation) Act 1985</w:t>
      </w:r>
      <w:r>
        <w:t xml:space="preserve"> applied to these regulations.  It deems the regulations not to have ceased to have effect as a result of the failure to comply with section 42(1) of the </w:t>
      </w:r>
      <w:r>
        <w:rPr>
          <w:i/>
        </w:rPr>
        <w:t>Interpretation Act 1984</w:t>
      </w:r>
      <w:r>
        <w:t xml:space="preserve">, subject to their being laid before the Legislative Assembly.  The </w:t>
      </w:r>
      <w:r>
        <w:rPr>
          <w:i/>
        </w:rPr>
        <w:t>Interpretation Act 1984</w:t>
      </w:r>
      <w:r>
        <w:t xml:space="preserve"> s. 42(2) then applied as if the words “or if any regulations are not laid before both Houses of Parliament in accordance with subsection (1)” had been omitted.</w:t>
      </w:r>
    </w:p>
    <w:p/>
    <w:p>
      <w:pPr>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sectPr>
      <w:headerReference w:type="even" r:id="rId30"/>
      <w:headerReference w:type="default" r:id="rId31"/>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Real Estate and Business Agents (General) Regulations 1979</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separate"/>
          </w:r>
          <w:r>
            <w:rPr>
              <w:b w:val="0"/>
              <w:bCs/>
              <w:noProof/>
              <w:lang w:val="en-US"/>
            </w:rPr>
            <w:instrText>Error! No text of specified style in document.</w:instrText>
          </w:r>
          <w:r>
            <w:fldChar w:fldCharType="end"/>
          </w:r>
          <w:r>
            <w:instrText xml:space="preserve"> </w:instrText>
          </w:r>
          <w:r>
            <w:fldChar w:fldCharType="begin"/>
          </w:r>
          <w:r>
            <w:instrText xml:space="preserve"> STYLEREF CharPartNo \n </w:instrText>
          </w:r>
          <w:r>
            <w:fldChar w:fldCharType="separate"/>
          </w:r>
          <w:r>
            <w:rPr>
              <w:b w:val="0"/>
              <w:bCs/>
              <w:noProof/>
              <w:lang w:val="en-US"/>
            </w:rPr>
            <w:instrText>Error! No text of specified style in document.</w:instrText>
          </w:r>
          <w:r>
            <w:rPr>
              <w:noProof/>
            </w:rPr>
            <w:fldChar w:fldCharType="end"/>
          </w:r>
          <w:r>
            <w:instrText>"</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separate"/>
          </w:r>
          <w:r>
            <w:rPr>
              <w:b w:val="0"/>
              <w:bCs/>
              <w:noProof/>
              <w:lang w:val="en-US"/>
            </w:rPr>
            <w:instrText>Error! No text of specified style in document.</w:instrText>
          </w:r>
          <w:r>
            <w:fldChar w:fldCharType="end"/>
          </w:r>
          <w:r>
            <w:instrText xml:space="preserve"> </w:instrText>
          </w:r>
          <w:r>
            <w:fldChar w:fldCharType="begin"/>
          </w:r>
          <w:r>
            <w:instrText xml:space="preserve"> STYLEREF CharDivNo \n </w:instrText>
          </w:r>
          <w:r>
            <w:fldChar w:fldCharType="separate"/>
          </w:r>
          <w:r>
            <w:rPr>
              <w:b w:val="0"/>
              <w:bCs/>
              <w:noProof/>
              <w:lang w:val="en-US"/>
            </w:rPr>
            <w:instrText>Error! No text of specified style in document.</w:instrText>
          </w:r>
          <w:r>
            <w:rPr>
              <w:noProof/>
            </w:rPr>
            <w:fldChar w:fldCharType="end"/>
          </w:r>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Real Estate and Business Agents (General) Regulations 1979</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Real Estate and Business Agents (General) Regulations 1979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Real Estate and Business Agents (General) Regulations 1979</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Real Estate and Business Agents (General) Regulations 1979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Fees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Real Estate and Business Agents (General) Regulations 1979</w:t>
            </w:r>
          </w:fldSimple>
        </w:p>
      </w:tc>
    </w:tr>
    <w:tr>
      <w:tc>
        <w:tcPr>
          <w:tcW w:w="5715" w:type="dxa"/>
          <w:vAlign w:val="bottom"/>
        </w:tcPr>
        <w:p>
          <w:pPr>
            <w:pStyle w:val="HeaderTextRight"/>
          </w:pPr>
          <w:fldSimple w:instr=" styleref CharSchText ">
            <w:r>
              <w:rPr>
                <w:noProof/>
              </w:rPr>
              <w:t>Fees</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Real Estate and Business Agents (General) Regulations 1979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1A — Professional development subjects</w:instrText>
            </w:r>
            <w:r>
              <w:rPr>
                <w:noProof/>
              </w:rPr>
              <w:cr/>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1A — Professional development subjects</w:t>
          </w:r>
          <w:r>
            <w:rPr>
              <w:noProof/>
            </w:rPr>
            <w:cr/>
          </w:r>
          <w:r>
            <w:fldChar w:fldCharType="end"/>
          </w:r>
        </w:p>
      </w:tc>
      <w:tc>
        <w:tcPr>
          <w:tcW w:w="5715" w:type="dxa"/>
        </w:tcPr>
        <w:p>
          <w:pPr>
            <w:pStyle w:val="HeaderTextLeft"/>
          </w:pPr>
          <w:fldSimple w:instr=" styleref CharSchText ">
            <w:r>
              <w:rPr>
                <w:noProof/>
              </w:rPr>
              <w:t>Fees</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Real Estate and Business Agents (General) Regulations 1979</w:t>
            </w:r>
          </w:fldSimple>
        </w:p>
      </w:tc>
    </w:tr>
    <w:tr>
      <w:tc>
        <w:tcPr>
          <w:tcW w:w="5715" w:type="dxa"/>
          <w:vAlign w:val="bottom"/>
        </w:tcPr>
        <w:p>
          <w:pPr>
            <w:pStyle w:val="HeaderTextRight"/>
          </w:pPr>
          <w:fldSimple w:instr=" styleref CharSchText ">
            <w:r>
              <w:rPr>
                <w:noProof/>
              </w:rPr>
              <w:t>Fees</w:t>
            </w:r>
          </w:fldSimple>
        </w:p>
      </w:tc>
      <w:tc>
        <w:tcPr>
          <w:tcW w:w="1548" w:type="dxa"/>
        </w:tcPr>
        <w:p>
          <w:pPr>
            <w:pStyle w:val="HeaderNumberRight"/>
            <w:ind w:right="17"/>
          </w:pPr>
          <w:fldSimple w:instr=" styleref CharSchno ">
            <w:r>
              <w:rPr>
                <w:noProof/>
              </w:rPr>
              <w:t>Schedule 1A — Professional development subjects</w:t>
            </w:r>
            <w:r>
              <w:rPr>
                <w:noProof/>
              </w:rPr>
              <w:cr/>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Real Estate and Business Agents (General) Regulations 1979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Real Estate and Business Agents (General) Regulations 1979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Real Estate and Business Agents (General) Regulations 1979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Real Estate and Business Agents (General) Regulations 1979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358E2D6"/>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53007A0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F425438"/>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2644742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C04B09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9926C32"/>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11E32D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1298A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7E609C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0D0985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CA82A1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35D6A816"/>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C08A0E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C81EAD78"/>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14244"/>
    <w:docVar w:name="WAFER_20151209114244" w:val="RemoveTrackChanges"/>
    <w:docVar w:name="WAFER_20151209114244_GUID" w:val="e70d931f-1088-4e13-8b02-aa8afa7e710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E524E36-1C3E-4555-8FB4-A4DD6F198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right" w:pos="6804"/>
      </w:tabs>
      <w:ind w:left="1418" w:right="1134" w:hanging="567"/>
    </w:pPr>
    <w:rPr>
      <w:noProof/>
      <w:sz w:val="22"/>
      <w:lang w:eastAsia="en-US"/>
    </w:rPr>
  </w:style>
  <w:style w:type="paragraph" w:styleId="TOC9">
    <w:name w:val="toc 9"/>
    <w:next w:val="Normal"/>
    <w:semiHidden/>
    <w:pPr>
      <w:tabs>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7.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6121</Words>
  <Characters>32386</Characters>
  <Application>Microsoft Office Word</Application>
  <DocSecurity>0</DocSecurity>
  <Lines>1079</Lines>
  <Paragraphs>652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37855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Real Estate and Business Agents (General) Regulations 1979 04-e0-03 - 04-f0-03</dc:title>
  <dc:subject/>
  <dc:creator/>
  <cp:keywords/>
  <dc:description/>
  <cp:lastModifiedBy>Master Repository Process</cp:lastModifiedBy>
  <cp:revision>2</cp:revision>
  <cp:lastPrinted>2002-03-14T08:16:00Z</cp:lastPrinted>
  <dcterms:created xsi:type="dcterms:W3CDTF">2021-09-12T01:16:00Z</dcterms:created>
  <dcterms:modified xsi:type="dcterms:W3CDTF">2021-09-12T01:16:00Z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August 1979 pp.2616-18</vt:lpwstr>
  </property>
  <property fmtid="{D5CDD505-2E9C-101B-9397-08002B2CF9AE}" pid="3" name="CommencementDate">
    <vt:lpwstr>20070206</vt:lpwstr>
  </property>
  <property fmtid="{D5CDD505-2E9C-101B-9397-08002B2CF9AE}" pid="4" name="DocumentType">
    <vt:lpwstr>Reg</vt:lpwstr>
  </property>
  <property fmtid="{D5CDD505-2E9C-101B-9397-08002B2CF9AE}" pid="5" name="OwlsUID">
    <vt:i4>4732</vt:i4>
  </property>
  <property fmtid="{D5CDD505-2E9C-101B-9397-08002B2CF9AE}" pid="6" name="FromSuffix">
    <vt:lpwstr>04-e0-03</vt:lpwstr>
  </property>
  <property fmtid="{D5CDD505-2E9C-101B-9397-08002B2CF9AE}" pid="7" name="FromAsAtDate">
    <vt:lpwstr>17 Nov 2006</vt:lpwstr>
  </property>
  <property fmtid="{D5CDD505-2E9C-101B-9397-08002B2CF9AE}" pid="8" name="ToSuffix">
    <vt:lpwstr>04-f0-03</vt:lpwstr>
  </property>
  <property fmtid="{D5CDD505-2E9C-101B-9397-08002B2CF9AE}" pid="9" name="ToAsAtDate">
    <vt:lpwstr>06 Feb 2007</vt:lpwstr>
  </property>
</Properties>
</file>