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05-e0-02</w:t>
      </w:r>
      <w:r>
        <w:fldChar w:fldCharType="end"/>
      </w:r>
      <w:r>
        <w:t>] and [</w:t>
      </w:r>
      <w:r>
        <w:fldChar w:fldCharType="begin"/>
      </w:r>
      <w:r>
        <w:instrText xml:space="preserve"> DocProperty ToAsAtDate</w:instrText>
      </w:r>
      <w:r>
        <w:fldChar w:fldCharType="separate"/>
      </w:r>
      <w:r>
        <w:t>01 Apr 2019</w:t>
      </w:r>
      <w:r>
        <w:fldChar w:fldCharType="end"/>
      </w:r>
      <w:r>
        <w:t xml:space="preserve">, </w:t>
      </w:r>
      <w:r>
        <w:fldChar w:fldCharType="begin"/>
      </w:r>
      <w:r>
        <w:instrText xml:space="preserve"> DocProperty ToSuffix</w:instrText>
      </w:r>
      <w:r>
        <w:fldChar w:fldCharType="separate"/>
      </w:r>
      <w:r>
        <w:t>05-f0-00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1" w:name="_GoBack"/>
      <w:bookmarkEnd w:id="1"/>
      <w:r>
        <w:rPr>
          <w:snapToGrid w:val="0"/>
        </w:rPr>
        <w:t>n Act to provide for the administration and enforcement of legislation dealing with State taxation</w:t>
      </w:r>
      <w:r>
        <w:t>.</w:t>
      </w:r>
    </w:p>
    <w:p>
      <w:pPr>
        <w:pStyle w:val="Heading2"/>
      </w:pPr>
      <w:bookmarkStart w:id="2" w:name="_Toc4569610"/>
      <w:bookmarkStart w:id="3" w:name="_Toc4580209"/>
      <w:bookmarkStart w:id="4" w:name="_Toc440362504"/>
      <w:bookmarkStart w:id="5" w:name="_Toc450559940"/>
      <w:bookmarkStart w:id="6" w:name="_Toc455399470"/>
      <w:bookmarkStart w:id="7" w:name="_Toc528769055"/>
      <w:bookmarkStart w:id="8" w:name="_Toc532472816"/>
      <w:bookmarkStart w:id="9" w:name="_Toc532812040"/>
      <w:bookmarkStart w:id="10" w:name="_Toc215038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4580210"/>
      <w:bookmarkStart w:id="12" w:name="_Toc2150386"/>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13" w:name="_Toc4580211"/>
      <w:bookmarkStart w:id="14" w:name="_Toc2150387"/>
      <w:r>
        <w:rPr>
          <w:rStyle w:val="CharSectno"/>
        </w:rPr>
        <w:t>2</w:t>
      </w:r>
      <w:r>
        <w:rPr>
          <w:snapToGrid w:val="0"/>
        </w:rPr>
        <w:t>.</w:t>
      </w:r>
      <w:r>
        <w:rPr>
          <w:snapToGrid w:val="0"/>
        </w:rPr>
        <w:tab/>
        <w:t>Commencement</w:t>
      </w:r>
      <w:bookmarkEnd w:id="13"/>
      <w:bookmarkEnd w:id="14"/>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5" w:name="_Toc4580212"/>
      <w:bookmarkStart w:id="16" w:name="_Toc2150388"/>
      <w:r>
        <w:rPr>
          <w:rStyle w:val="CharSectno"/>
        </w:rPr>
        <w:t>3</w:t>
      </w:r>
      <w:r>
        <w:t>.</w:t>
      </w:r>
      <w:r>
        <w:tab/>
        <w:t>Taxation Acts</w:t>
      </w:r>
      <w:bookmarkEnd w:id="15"/>
      <w:bookmarkEnd w:id="16"/>
    </w:p>
    <w:p>
      <w:pPr>
        <w:pStyle w:val="Subsection"/>
      </w:pPr>
      <w:r>
        <w:tab/>
        <w:t>(1)</w:t>
      </w:r>
      <w:r>
        <w:tab/>
        <w:t>The following enactments are taxation Acts for the purposes of this Act — </w:t>
      </w:r>
    </w:p>
    <w:p>
      <w:pPr>
        <w:pStyle w:val="Indenta"/>
      </w:pPr>
      <w:r>
        <w:tab/>
        <w:t>(a)</w:t>
      </w:r>
      <w:r>
        <w:tab/>
        <w:t>this Act;</w:t>
      </w:r>
    </w:p>
    <w:p>
      <w:pPr>
        <w:pStyle w:val="Ednotepara"/>
        <w:tabs>
          <w:tab w:val="left" w:pos="993"/>
        </w:tabs>
        <w:spacing w:before="80"/>
      </w:pPr>
      <w:r>
        <w:tab/>
        <w:t>[(b), (c)  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 Act;</w:t>
      </w:r>
    </w:p>
    <w:p>
      <w:pPr>
        <w:pStyle w:val="Indenta"/>
        <w:rPr>
          <w:ins w:id="17" w:author="svcMRProcess" w:date="2019-03-27T12:18:00Z"/>
        </w:rPr>
      </w:pPr>
      <w:ins w:id="18" w:author="svcMRProcess" w:date="2019-03-27T12:18:00Z">
        <w:r>
          <w:tab/>
          <w:t>(jaa)</w:t>
        </w:r>
        <w:r>
          <w:tab/>
          <w:t xml:space="preserve">the </w:t>
        </w:r>
        <w:r>
          <w:rPr>
            <w:i/>
          </w:rPr>
          <w:t xml:space="preserve">Transport (Road Passenger Services) Act 2018 </w:t>
        </w:r>
        <w:r>
          <w:t>Part 9 Division 2;</w:t>
        </w:r>
      </w:ins>
    </w:p>
    <w:p>
      <w:pPr>
        <w:pStyle w:val="Indenta"/>
        <w:keepNext/>
      </w:pPr>
      <w:r>
        <w:lastRenderedPageBreak/>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(jc)</w:t>
      </w:r>
      <w:r>
        <w:tab/>
        <w:t xml:space="preserve">the </w:t>
      </w:r>
      <w:r>
        <w:rPr>
          <w:i/>
        </w:rPr>
        <w:t>Betting Tax Act 2018</w:t>
      </w:r>
      <w:r>
        <w:t>;</w:t>
      </w:r>
    </w:p>
    <w:p>
      <w:pPr>
        <w:pStyle w:val="Indenta"/>
      </w:pPr>
      <w:r>
        <w:tab/>
        <w:t>(jd)</w:t>
      </w:r>
      <w:r>
        <w:tab/>
        <w:t xml:space="preserve">the </w:t>
      </w:r>
      <w:r>
        <w:rPr>
          <w:i/>
        </w:rPr>
        <w:t>Betting Tax Assessment Act 2018</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No. 38 of 2005 s. 15; No.</w:t>
      </w:r>
      <w:del w:id="19" w:author="svcMRProcess" w:date="2019-03-27T12:18:00Z">
        <w:r>
          <w:delText xml:space="preserve"> </w:delText>
        </w:r>
      </w:del>
      <w:ins w:id="20" w:author="svcMRProcess" w:date="2019-03-27T12:18:00Z">
        <w:r>
          <w:t> </w:t>
        </w:r>
      </w:ins>
      <w:r>
        <w:t>24 of 2007 s. 94; No. 12 of 2008 s. 34; No. 17 of 2010 s. 30(2); No.</w:t>
      </w:r>
      <w:del w:id="21" w:author="svcMRProcess" w:date="2019-03-27T12:18:00Z">
        <w:r>
          <w:delText xml:space="preserve"> </w:delText>
        </w:r>
      </w:del>
      <w:ins w:id="22" w:author="svcMRProcess" w:date="2019-03-27T12:18:00Z">
        <w:r>
          <w:t> 26 of 2018 s. 329; No. </w:t>
        </w:r>
      </w:ins>
      <w:r>
        <w:t>37 of 2018 s. 45.]</w:t>
      </w:r>
    </w:p>
    <w:p>
      <w:pPr>
        <w:pStyle w:val="Footnotesection"/>
      </w:pPr>
      <w:r>
        <w:tab/>
        <w:t>[Section 3, modifications have effect under the Commonwealth Places (Mirror Taxes Administration) Act 1999, see note 1M.]</w:t>
      </w:r>
    </w:p>
    <w:p>
      <w:pPr>
        <w:pStyle w:val="Footnotesection"/>
      </w:pPr>
      <w:r>
        <w:tab/>
        <w:t>[Section 3, modifications have effect under the Commonwealth Places (Mirror Taxes) Act 1998 (Cth), see note 1MC.]</w:t>
      </w:r>
    </w:p>
    <w:p>
      <w:pPr>
        <w:pStyle w:val="Heading5"/>
      </w:pPr>
      <w:bookmarkStart w:id="23" w:name="_Toc4580213"/>
      <w:bookmarkStart w:id="24" w:name="_Toc2150389"/>
      <w:r>
        <w:rPr>
          <w:rStyle w:val="CharSectno"/>
        </w:rPr>
        <w:t>4</w:t>
      </w:r>
      <w:r>
        <w:rPr>
          <w:b w:val="0"/>
        </w:rPr>
        <w:t>.</w:t>
      </w:r>
      <w:r>
        <w:rPr>
          <w:snapToGrid w:val="0"/>
        </w:rPr>
        <w:tab/>
      </w:r>
      <w:r>
        <w:t>Terms used (Glossary)</w:t>
      </w:r>
      <w:bookmarkEnd w:id="23"/>
      <w:bookmarkEnd w:id="24"/>
    </w:p>
    <w:p>
      <w:pPr>
        <w:pStyle w:val="Subsection"/>
      </w:pPr>
      <w:r>
        <w:tab/>
      </w:r>
      <w:r>
        <w:tab/>
        <w:t>The Glossary at the end of this Act defines or affects the meaning of some of the words and expressions used in this Act.</w:t>
      </w:r>
    </w:p>
    <w:p>
      <w:pPr>
        <w:pStyle w:val="Heading5"/>
      </w:pPr>
      <w:bookmarkStart w:id="25" w:name="_Toc4580214"/>
      <w:bookmarkStart w:id="26" w:name="_Toc2150390"/>
      <w:r>
        <w:rPr>
          <w:rStyle w:val="CharSectno"/>
        </w:rPr>
        <w:t>5</w:t>
      </w:r>
      <w:r>
        <w:t>.</w:t>
      </w:r>
      <w:r>
        <w:tab/>
        <w:t>Crown bound</w:t>
      </w:r>
      <w:bookmarkEnd w:id="25"/>
      <w:bookmarkEnd w:id="26"/>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Footnotesection"/>
      </w:pPr>
      <w:r>
        <w:tab/>
        <w:t>[Section 5, modifications have effect under the Commonwealth Places (Mirror Taxes) Act 1998 (Cth), see note 1MC.]</w:t>
      </w:r>
    </w:p>
    <w:p>
      <w:pPr>
        <w:pStyle w:val="Footnotesection"/>
      </w:pPr>
      <w:r>
        <w:t>[</w:t>
      </w:r>
      <w:r>
        <w:rPr>
          <w:b/>
        </w:rPr>
        <w:t>5A.</w:t>
      </w:r>
      <w:r>
        <w:rPr>
          <w:vertAlign w:val="superscript"/>
        </w:rPr>
        <w:t> 1M</w:t>
      </w:r>
      <w:r>
        <w:tab/>
        <w:t>A modification, to insert section 5A, has effect under the Commonwealth Places (Mirror Taxes Administration) Act 1999, see note 1M.]</w:t>
      </w:r>
    </w:p>
    <w:p>
      <w:pPr>
        <w:pStyle w:val="Footnotesection"/>
      </w:pPr>
      <w:r>
        <w:t>[</w:t>
      </w:r>
      <w:r>
        <w:rPr>
          <w:b/>
        </w:rPr>
        <w:t>5A.</w:t>
      </w:r>
      <w:r>
        <w:rPr>
          <w:vertAlign w:val="superscript"/>
        </w:rPr>
        <w:t> 1MC</w:t>
      </w:r>
      <w:r>
        <w:tab/>
        <w:t>A modification, to insert section 5A, has effect under the Commonwealth Places (Mirror Taxes) Act 1998 (Cth), see note 1MC.]</w:t>
      </w:r>
    </w:p>
    <w:p>
      <w:pPr>
        <w:pStyle w:val="Footnotesection"/>
      </w:pPr>
      <w:r>
        <w:t xml:space="preserve"> [</w:t>
      </w:r>
      <w:r>
        <w:rPr>
          <w:b/>
        </w:rPr>
        <w:t>5B.</w:t>
      </w:r>
      <w:r>
        <w:rPr>
          <w:vertAlign w:val="superscript"/>
        </w:rPr>
        <w:t> 1M</w:t>
      </w:r>
      <w:r>
        <w:tab/>
        <w:t>A modification, to insert section 5B, has effect under the Commonwealth Places (Mirror Taxes Administration) Act 1999, see note 1M.]</w:t>
      </w:r>
    </w:p>
    <w:p>
      <w:pPr>
        <w:pStyle w:val="Footnotesection"/>
      </w:pPr>
      <w:r>
        <w:t>[</w:t>
      </w:r>
      <w:r>
        <w:rPr>
          <w:b/>
        </w:rPr>
        <w:t>5B.</w:t>
      </w:r>
      <w:r>
        <w:rPr>
          <w:vertAlign w:val="superscript"/>
        </w:rPr>
        <w:t> 1MC</w:t>
      </w:r>
      <w:r>
        <w:tab/>
        <w:t>A modification, to insert section 5B, has effect under the Commonwealth Places (Mirror Taxes) Act 1998 (Cth), see note 1MC.]</w:t>
      </w:r>
    </w:p>
    <w:p>
      <w:pPr>
        <w:pStyle w:val="Heading2"/>
      </w:pPr>
      <w:bookmarkStart w:id="27" w:name="_Toc4569616"/>
      <w:bookmarkStart w:id="28" w:name="_Toc4580215"/>
      <w:bookmarkStart w:id="29" w:name="_Toc440362510"/>
      <w:bookmarkStart w:id="30" w:name="_Toc450559946"/>
      <w:bookmarkStart w:id="31" w:name="_Toc455399476"/>
      <w:bookmarkStart w:id="32" w:name="_Toc528769061"/>
      <w:bookmarkStart w:id="33" w:name="_Toc532472822"/>
      <w:bookmarkStart w:id="34" w:name="_Toc532812046"/>
      <w:bookmarkStart w:id="35" w:name="_Toc2150391"/>
      <w:r>
        <w:rPr>
          <w:rStyle w:val="CharPartNo"/>
        </w:rPr>
        <w:t>Part 2</w:t>
      </w:r>
      <w:r>
        <w:rPr>
          <w:rStyle w:val="CharDivNo"/>
        </w:rPr>
        <w:t xml:space="preserve"> </w:t>
      </w:r>
      <w:r>
        <w:t>—</w:t>
      </w:r>
      <w:r>
        <w:rPr>
          <w:rStyle w:val="CharDivText"/>
        </w:rPr>
        <w:t xml:space="preserve"> </w:t>
      </w:r>
      <w:r>
        <w:rPr>
          <w:rStyle w:val="CharPartText"/>
        </w:rPr>
        <w:t>Tax administration generally</w:t>
      </w:r>
      <w:bookmarkEnd w:id="27"/>
      <w:bookmarkEnd w:id="28"/>
      <w:bookmarkEnd w:id="29"/>
      <w:bookmarkEnd w:id="30"/>
      <w:bookmarkEnd w:id="31"/>
      <w:bookmarkEnd w:id="32"/>
      <w:bookmarkEnd w:id="33"/>
      <w:bookmarkEnd w:id="34"/>
      <w:bookmarkEnd w:id="35"/>
    </w:p>
    <w:p>
      <w:pPr>
        <w:pStyle w:val="Heading5"/>
        <w:spacing w:before="180"/>
      </w:pPr>
      <w:bookmarkStart w:id="36" w:name="_Toc4580216"/>
      <w:bookmarkStart w:id="37" w:name="_Toc2150392"/>
      <w:r>
        <w:rPr>
          <w:rStyle w:val="CharSectno"/>
        </w:rPr>
        <w:t>6</w:t>
      </w:r>
      <w:r>
        <w:t>.</w:t>
      </w:r>
      <w:r>
        <w:tab/>
        <w:t>Commissioner of State Revenue</w:t>
      </w:r>
      <w:bookmarkEnd w:id="36"/>
      <w:bookmarkEnd w:id="37"/>
    </w:p>
    <w:p>
      <w:pPr>
        <w:pStyle w:val="Subsection"/>
        <w:spacing w:before="120"/>
      </w:pPr>
      <w:r>
        <w:tab/>
      </w:r>
      <w:r>
        <w:tab/>
        <w:t xml:space="preserve">A Commissioner of State Revenue is to be appointed under Part 3 of the </w:t>
      </w:r>
      <w:r>
        <w:rPr>
          <w:i/>
        </w:rPr>
        <w:t>Public Sector Management Act 1994</w:t>
      </w:r>
      <w:r>
        <w:t>.</w:t>
      </w:r>
    </w:p>
    <w:p>
      <w:pPr>
        <w:pStyle w:val="Footnotesection"/>
        <w:spacing w:before="80"/>
        <w:ind w:left="890" w:hanging="890"/>
      </w:pPr>
      <w:r>
        <w:tab/>
        <w:t>[A modification, to repeal section 6, has effect under the Commonwealth Places (Mirror Taxes) Act 1998 (Cth), see note 1MC.]</w:t>
      </w:r>
    </w:p>
    <w:p>
      <w:pPr>
        <w:pStyle w:val="Heading5"/>
        <w:spacing w:before="160"/>
      </w:pPr>
      <w:bookmarkStart w:id="38" w:name="_Toc4580217"/>
      <w:bookmarkStart w:id="39" w:name="_Toc2150393"/>
      <w:r>
        <w:rPr>
          <w:rStyle w:val="CharSectno"/>
        </w:rPr>
        <w:t>7</w:t>
      </w:r>
      <w:r>
        <w:t>.</w:t>
      </w:r>
      <w:r>
        <w:tab/>
        <w:t>Commissioner’s functions as to taxation Acts</w:t>
      </w:r>
      <w:bookmarkEnd w:id="38"/>
      <w:bookmarkEnd w:id="39"/>
    </w:p>
    <w:p>
      <w:pPr>
        <w:pStyle w:val="Subsection"/>
        <w:spacing w:before="120"/>
      </w:pPr>
      <w:r>
        <w:tab/>
        <w:t>(1)</w:t>
      </w:r>
      <w:r>
        <w:tab/>
        <w:t>The Commissioner has the general administration of the taxation Acts and may do anything necessary or convenient to be done for that purpose.</w:t>
      </w:r>
    </w:p>
    <w:p>
      <w:pPr>
        <w:pStyle w:val="Subsection"/>
        <w:spacing w:before="120"/>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spacing w:before="120"/>
      </w:pPr>
      <w:r>
        <w:tab/>
      </w:r>
      <w:r>
        <w:tab/>
        <w:t xml:space="preserve">that the Commissioner considers appropriate in the interests of good management. </w:t>
      </w:r>
    </w:p>
    <w:p>
      <w:pPr>
        <w:pStyle w:val="Subsection"/>
        <w:spacing w:before="120"/>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spacing w:before="80"/>
        <w:ind w:left="890" w:hanging="890"/>
      </w:pPr>
      <w:r>
        <w:tab/>
        <w:t>[Section 7 inserted: No. 31 of 2008 s. 23.]</w:t>
      </w:r>
    </w:p>
    <w:p>
      <w:pPr>
        <w:pStyle w:val="Heading5"/>
        <w:spacing w:before="160"/>
      </w:pPr>
      <w:bookmarkStart w:id="40" w:name="_Toc4580218"/>
      <w:bookmarkStart w:id="41" w:name="_Toc2150394"/>
      <w:r>
        <w:rPr>
          <w:rStyle w:val="CharSectno"/>
        </w:rPr>
        <w:t>8</w:t>
      </w:r>
      <w:r>
        <w:t>.</w:t>
      </w:r>
      <w:r>
        <w:tab/>
        <w:t>Commissioner may perform investigators’ functions</w:t>
      </w:r>
      <w:bookmarkEnd w:id="40"/>
      <w:bookmarkEnd w:id="41"/>
    </w:p>
    <w:p>
      <w:pPr>
        <w:pStyle w:val="Subsection"/>
        <w:spacing w:before="120"/>
      </w:pPr>
      <w:r>
        <w:tab/>
      </w:r>
      <w:r>
        <w:tab/>
        <w:t>In addition to performing the functions conferred on the Commissioner under a taxation Act, the Commissioner may perform any function conferred on an investigator under a taxation Act.</w:t>
      </w:r>
    </w:p>
    <w:p>
      <w:pPr>
        <w:pStyle w:val="Heading5"/>
        <w:spacing w:before="160"/>
      </w:pPr>
      <w:bookmarkStart w:id="42" w:name="_Toc4580219"/>
      <w:bookmarkStart w:id="43" w:name="_Toc2150395"/>
      <w:r>
        <w:rPr>
          <w:rStyle w:val="CharSectno"/>
        </w:rPr>
        <w:t>9</w:t>
      </w:r>
      <w:r>
        <w:t>.</w:t>
      </w:r>
      <w:r>
        <w:tab/>
        <w:t>Commissioner, judicial notice of appointment and signature</w:t>
      </w:r>
      <w:bookmarkEnd w:id="42"/>
      <w:bookmarkEnd w:id="43"/>
    </w:p>
    <w:p>
      <w:pPr>
        <w:pStyle w:val="Subsection"/>
        <w:spacing w:before="120"/>
      </w:pPr>
      <w:r>
        <w:rPr>
          <w:b/>
        </w:rPr>
        <w:tab/>
      </w:r>
      <w:r>
        <w:rPr>
          <w:b/>
        </w:rPr>
        <w:tab/>
      </w:r>
      <w:r>
        <w:t>All courts and persons acting judicially are to take judicial notice — </w:t>
      </w:r>
    </w:p>
    <w:p>
      <w:pPr>
        <w:pStyle w:val="Indenta"/>
        <w:spacing w:before="60"/>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44" w:name="_Toc4580220"/>
      <w:bookmarkStart w:id="45" w:name="_Toc2150396"/>
      <w:r>
        <w:rPr>
          <w:rStyle w:val="CharSectno"/>
        </w:rPr>
        <w:t>10</w:t>
      </w:r>
      <w:r>
        <w:t>.</w:t>
      </w:r>
      <w:r>
        <w:tab/>
        <w:t>Delegation by Commissioner</w:t>
      </w:r>
      <w:bookmarkEnd w:id="44"/>
      <w:bookmarkEnd w:id="45"/>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Footnotesection"/>
        <w:keepLines w:val="0"/>
        <w:ind w:left="890" w:hanging="890"/>
      </w:pPr>
      <w:r>
        <w:tab/>
        <w:t>[Section 10, modifications have effect under the Commonwealth Places (Mirror Taxes Administration) Act 1999, see note 1M.]</w:t>
      </w:r>
    </w:p>
    <w:p>
      <w:pPr>
        <w:pStyle w:val="Footnotesection"/>
      </w:pPr>
      <w:r>
        <w:tab/>
        <w:t>[A modification, to replace section 10, has effect under the Commonwealth Places (Mirror Taxes) Act 1998 (Cth), see note 1MC.]</w:t>
      </w:r>
    </w:p>
    <w:p>
      <w:pPr>
        <w:pStyle w:val="Heading5"/>
      </w:pPr>
      <w:bookmarkStart w:id="46" w:name="_Toc4580221"/>
      <w:bookmarkStart w:id="47" w:name="_Toc2150397"/>
      <w:r>
        <w:rPr>
          <w:rStyle w:val="CharSectno"/>
        </w:rPr>
        <w:t>11</w:t>
      </w:r>
      <w:r>
        <w:t>.</w:t>
      </w:r>
      <w:r>
        <w:tab/>
        <w:t>Tax investigators</w:t>
      </w:r>
      <w:bookmarkEnd w:id="46"/>
      <w:bookmarkEnd w:id="47"/>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keepNext/>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Footnotesection"/>
      </w:pPr>
      <w:r>
        <w:tab/>
        <w:t>[A modification, to replace section 11, has effect under the Commonwealth Places (Mirror Taxes) Act 1998 (Cth), see note 1MC.]</w:t>
      </w:r>
    </w:p>
    <w:p>
      <w:pPr>
        <w:pStyle w:val="Heading5"/>
      </w:pPr>
      <w:bookmarkStart w:id="48" w:name="_Toc4580222"/>
      <w:bookmarkStart w:id="49" w:name="_Toc2150398"/>
      <w:r>
        <w:rPr>
          <w:rStyle w:val="CharSectno"/>
        </w:rPr>
        <w:t>12</w:t>
      </w:r>
      <w:r>
        <w:t>.</w:t>
      </w:r>
      <w:r>
        <w:tab/>
        <w:t>Appointed representatives for court proceedings</w:t>
      </w:r>
      <w:bookmarkEnd w:id="48"/>
      <w:bookmarkEnd w:id="49"/>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50" w:name="_Toc4569624"/>
      <w:bookmarkStart w:id="51" w:name="_Toc4580223"/>
      <w:bookmarkStart w:id="52" w:name="_Toc440362518"/>
      <w:bookmarkStart w:id="53" w:name="_Toc450559954"/>
      <w:bookmarkStart w:id="54" w:name="_Toc455399484"/>
      <w:bookmarkStart w:id="55" w:name="_Toc528769069"/>
      <w:bookmarkStart w:id="56" w:name="_Toc532472830"/>
      <w:bookmarkStart w:id="57" w:name="_Toc532812054"/>
      <w:bookmarkStart w:id="58" w:name="_Toc2150399"/>
      <w:r>
        <w:rPr>
          <w:rStyle w:val="CharPartNo"/>
        </w:rPr>
        <w:t>Part 3</w:t>
      </w:r>
      <w:r>
        <w:t xml:space="preserve"> — </w:t>
      </w:r>
      <w:r>
        <w:rPr>
          <w:rStyle w:val="CharPartText"/>
        </w:rPr>
        <w:t>Assessments of tax</w:t>
      </w:r>
      <w:bookmarkEnd w:id="50"/>
      <w:bookmarkEnd w:id="51"/>
      <w:bookmarkEnd w:id="52"/>
      <w:bookmarkEnd w:id="53"/>
      <w:bookmarkEnd w:id="54"/>
      <w:bookmarkEnd w:id="55"/>
      <w:bookmarkEnd w:id="56"/>
      <w:bookmarkEnd w:id="57"/>
      <w:bookmarkEnd w:id="58"/>
    </w:p>
    <w:p>
      <w:pPr>
        <w:pStyle w:val="Heading3"/>
      </w:pPr>
      <w:bookmarkStart w:id="59" w:name="_Toc4569625"/>
      <w:bookmarkStart w:id="60" w:name="_Toc4580224"/>
      <w:bookmarkStart w:id="61" w:name="_Toc440362519"/>
      <w:bookmarkStart w:id="62" w:name="_Toc450559955"/>
      <w:bookmarkStart w:id="63" w:name="_Toc455399485"/>
      <w:bookmarkStart w:id="64" w:name="_Toc528769070"/>
      <w:bookmarkStart w:id="65" w:name="_Toc532472831"/>
      <w:bookmarkStart w:id="66" w:name="_Toc532812055"/>
      <w:bookmarkStart w:id="67" w:name="_Toc2150400"/>
      <w:r>
        <w:rPr>
          <w:rStyle w:val="CharDivNo"/>
        </w:rPr>
        <w:t>Division 1</w:t>
      </w:r>
      <w:r>
        <w:t xml:space="preserve"> — </w:t>
      </w:r>
      <w:r>
        <w:rPr>
          <w:rStyle w:val="CharDivText"/>
        </w:rPr>
        <w:t>Assessments</w:t>
      </w:r>
      <w:bookmarkEnd w:id="59"/>
      <w:bookmarkEnd w:id="60"/>
      <w:bookmarkEnd w:id="61"/>
      <w:bookmarkEnd w:id="62"/>
      <w:bookmarkEnd w:id="63"/>
      <w:bookmarkEnd w:id="64"/>
      <w:bookmarkEnd w:id="65"/>
      <w:bookmarkEnd w:id="66"/>
      <w:bookmarkEnd w:id="67"/>
    </w:p>
    <w:p>
      <w:pPr>
        <w:pStyle w:val="Heading5"/>
      </w:pPr>
      <w:bookmarkStart w:id="68" w:name="_Toc4580225"/>
      <w:bookmarkStart w:id="69" w:name="_Toc2150401"/>
      <w:r>
        <w:rPr>
          <w:rStyle w:val="CharSectno"/>
        </w:rPr>
        <w:t>13</w:t>
      </w:r>
      <w:r>
        <w:t>.</w:t>
      </w:r>
      <w:r>
        <w:tab/>
        <w:t>Assessments</w:t>
      </w:r>
      <w:bookmarkEnd w:id="68"/>
      <w:bookmarkEnd w:id="69"/>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No. 10 of 2013 s. 11.]</w:t>
      </w:r>
    </w:p>
    <w:p>
      <w:pPr>
        <w:pStyle w:val="Heading5"/>
      </w:pPr>
      <w:bookmarkStart w:id="70" w:name="_Toc4580226"/>
      <w:bookmarkStart w:id="71" w:name="_Toc2150402"/>
      <w:r>
        <w:rPr>
          <w:rStyle w:val="CharSectno"/>
        </w:rPr>
        <w:t>14</w:t>
      </w:r>
      <w:r>
        <w:t>.</w:t>
      </w:r>
      <w:r>
        <w:tab/>
        <w:t>Self</w:t>
      </w:r>
      <w:r>
        <w:noBreakHyphen/>
        <w:t>assessments</w:t>
      </w:r>
      <w:bookmarkEnd w:id="70"/>
      <w:bookmarkEnd w:id="71"/>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72" w:name="_Toc4580227"/>
      <w:bookmarkStart w:id="73" w:name="_Toc2150403"/>
      <w:r>
        <w:rPr>
          <w:rStyle w:val="CharSectno"/>
        </w:rPr>
        <w:t>15</w:t>
      </w:r>
      <w:r>
        <w:t>.</w:t>
      </w:r>
      <w:r>
        <w:tab/>
        <w:t>Official assessments</w:t>
      </w:r>
      <w:bookmarkEnd w:id="72"/>
      <w:bookmarkEnd w:id="73"/>
    </w:p>
    <w:p>
      <w:pPr>
        <w:pStyle w:val="Subsection"/>
      </w:pPr>
      <w:r>
        <w:tab/>
        <w:t>(1)</w:t>
      </w:r>
      <w:r>
        <w:tab/>
        <w:t>An official assessment is an assessment made by the Commissioner.</w:t>
      </w:r>
    </w:p>
    <w:p>
      <w:pPr>
        <w:pStyle w:val="Subsection"/>
        <w:keepNext/>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74" w:name="_Toc4580228"/>
      <w:bookmarkStart w:id="75" w:name="_Toc2150404"/>
      <w:r>
        <w:rPr>
          <w:rStyle w:val="CharSectno"/>
        </w:rPr>
        <w:t>16A</w:t>
      </w:r>
      <w:r>
        <w:t>.</w:t>
      </w:r>
      <w:r>
        <w:tab/>
        <w:t>Interim assessments</w:t>
      </w:r>
      <w:bookmarkEnd w:id="74"/>
      <w:bookmarkEnd w:id="75"/>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No. 10 of 2013 s. 12.]</w:t>
      </w:r>
    </w:p>
    <w:p>
      <w:pPr>
        <w:pStyle w:val="Heading5"/>
        <w:spacing w:before="240"/>
      </w:pPr>
      <w:bookmarkStart w:id="76" w:name="_Toc4580229"/>
      <w:bookmarkStart w:id="77" w:name="_Toc2150405"/>
      <w:r>
        <w:rPr>
          <w:rStyle w:val="CharSectno"/>
        </w:rPr>
        <w:t>16</w:t>
      </w:r>
      <w:r>
        <w:t>.</w:t>
      </w:r>
      <w:r>
        <w:tab/>
        <w:t>Reassessments</w:t>
      </w:r>
      <w:bookmarkEnd w:id="76"/>
      <w:bookmarkEnd w:id="77"/>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No.</w:t>
      </w:r>
      <w:del w:id="78" w:author="svcMRProcess" w:date="2019-03-27T12:18:00Z">
        <w:r>
          <w:delText xml:space="preserve"> </w:delText>
        </w:r>
      </w:del>
      <w:ins w:id="79" w:author="svcMRProcess" w:date="2019-03-27T12:18:00Z">
        <w:r>
          <w:t> </w:t>
        </w:r>
      </w:ins>
      <w:r>
        <w:t>55 of 2004 s. 1165; No. 10 of 2013 s. 13.]</w:t>
      </w:r>
    </w:p>
    <w:p>
      <w:pPr>
        <w:pStyle w:val="Heading5"/>
      </w:pPr>
      <w:bookmarkStart w:id="80" w:name="_Toc4580230"/>
      <w:bookmarkStart w:id="81" w:name="_Toc2150406"/>
      <w:r>
        <w:rPr>
          <w:rStyle w:val="CharSectno"/>
        </w:rPr>
        <w:t>17</w:t>
      </w:r>
      <w:r>
        <w:t>.</w:t>
      </w:r>
      <w:r>
        <w:tab/>
        <w:t>Time limits on reassessments</w:t>
      </w:r>
      <w:bookmarkEnd w:id="80"/>
      <w:bookmarkEnd w:id="81"/>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or betting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No.</w:t>
      </w:r>
      <w:del w:id="82" w:author="svcMRProcess" w:date="2019-03-27T12:18:00Z">
        <w:r>
          <w:delText xml:space="preserve"> </w:delText>
        </w:r>
      </w:del>
      <w:ins w:id="83" w:author="svcMRProcess" w:date="2019-03-27T12:18:00Z">
        <w:r>
          <w:t> </w:t>
        </w:r>
      </w:ins>
      <w:r>
        <w:t>55 of 2004 s. 1166; No.</w:t>
      </w:r>
      <w:del w:id="84" w:author="svcMRProcess" w:date="2019-03-27T12:18:00Z">
        <w:r>
          <w:delText xml:space="preserve"> </w:delText>
        </w:r>
      </w:del>
      <w:ins w:id="85" w:author="svcMRProcess" w:date="2019-03-27T12:18:00Z">
        <w:r>
          <w:t> </w:t>
        </w:r>
      </w:ins>
      <w:r>
        <w:t>37 of 2018 s. 46.]</w:t>
      </w:r>
    </w:p>
    <w:p>
      <w:pPr>
        <w:pStyle w:val="Heading5"/>
      </w:pPr>
      <w:bookmarkStart w:id="86" w:name="_Toc4580231"/>
      <w:bookmarkStart w:id="87" w:name="_Toc2150407"/>
      <w:r>
        <w:rPr>
          <w:rStyle w:val="CharSectno"/>
        </w:rPr>
        <w:t>18</w:t>
      </w:r>
      <w:r>
        <w:t>.</w:t>
      </w:r>
      <w:r>
        <w:tab/>
        <w:t>Effect of reassessment</w:t>
      </w:r>
      <w:bookmarkEnd w:id="86"/>
      <w:bookmarkEnd w:id="87"/>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No.</w:t>
      </w:r>
      <w:del w:id="88" w:author="svcMRProcess" w:date="2019-03-27T12:18:00Z">
        <w:r>
          <w:delText xml:space="preserve"> </w:delText>
        </w:r>
      </w:del>
      <w:ins w:id="89" w:author="svcMRProcess" w:date="2019-03-27T12:18:00Z">
        <w:r>
          <w:t> </w:t>
        </w:r>
      </w:ins>
      <w:r>
        <w:t>12 of 2008 s. 35; No. 10 of 2013 s. 14.]</w:t>
      </w:r>
    </w:p>
    <w:p>
      <w:pPr>
        <w:pStyle w:val="Heading5"/>
        <w:spacing w:before="180"/>
      </w:pPr>
      <w:bookmarkStart w:id="90" w:name="_Toc4580232"/>
      <w:bookmarkStart w:id="91" w:name="_Toc2150408"/>
      <w:r>
        <w:rPr>
          <w:rStyle w:val="CharSectno"/>
        </w:rPr>
        <w:t>18A</w:t>
      </w:r>
      <w:r>
        <w:rPr>
          <w:color w:val="000000"/>
        </w:rPr>
        <w:t>.</w:t>
      </w:r>
      <w:r>
        <w:rPr>
          <w:color w:val="000000"/>
        </w:rPr>
        <w:tab/>
        <w:t>Withdrawal of assessments</w:t>
      </w:r>
      <w:bookmarkEnd w:id="90"/>
      <w:bookmarkEnd w:id="91"/>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No. 66 of 2003 s. 95(2).]</w:t>
      </w:r>
    </w:p>
    <w:p>
      <w:pPr>
        <w:pStyle w:val="Heading5"/>
        <w:spacing w:before="180"/>
      </w:pPr>
      <w:bookmarkStart w:id="92" w:name="_Toc4580233"/>
      <w:bookmarkStart w:id="93" w:name="_Toc2150409"/>
      <w:r>
        <w:rPr>
          <w:rStyle w:val="CharSectno"/>
        </w:rPr>
        <w:t>19</w:t>
      </w:r>
      <w:r>
        <w:t>.</w:t>
      </w:r>
      <w:r>
        <w:tab/>
        <w:t>Assessments based on estimated or suspected liability</w:t>
      </w:r>
      <w:bookmarkEnd w:id="92"/>
      <w:bookmarkEnd w:id="93"/>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No. 10 of 2013 s. 15.]</w:t>
      </w:r>
    </w:p>
    <w:p>
      <w:pPr>
        <w:pStyle w:val="Heading5"/>
      </w:pPr>
      <w:bookmarkStart w:id="94" w:name="_Toc4580234"/>
      <w:bookmarkStart w:id="95" w:name="_Toc2150410"/>
      <w:r>
        <w:rPr>
          <w:rStyle w:val="CharSectno"/>
        </w:rPr>
        <w:t>20A</w:t>
      </w:r>
      <w:r>
        <w:t>.</w:t>
      </w:r>
      <w:r>
        <w:tab/>
        <w:t>Compromise assessments</w:t>
      </w:r>
      <w:bookmarkEnd w:id="94"/>
      <w:bookmarkEnd w:id="95"/>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spacing w:before="120"/>
      </w:pPr>
      <w:r>
        <w:tab/>
        <w:t>(4)</w:t>
      </w:r>
      <w:r>
        <w:tab/>
        <w:t>No action can be brought in any court or tribunal to compel the Commissioner to make a compromise agreement.</w:t>
      </w:r>
    </w:p>
    <w:p>
      <w:pPr>
        <w:pStyle w:val="Subsection"/>
        <w:spacing w:before="120"/>
      </w:pPr>
      <w:r>
        <w:tab/>
        <w:t>(5)</w:t>
      </w:r>
      <w:r>
        <w:tab/>
        <w:t>This section does not limit the Commissioner’s powers under section 19.</w:t>
      </w:r>
    </w:p>
    <w:p>
      <w:pPr>
        <w:pStyle w:val="Footnotesection"/>
      </w:pPr>
      <w:r>
        <w:tab/>
        <w:t>[Section 20A inserted: No. 31 of 2008 s. 29; amended: No. 17 of 2010 s. 23; No. 10 of 2013 s. 16.]</w:t>
      </w:r>
    </w:p>
    <w:p>
      <w:pPr>
        <w:pStyle w:val="Heading5"/>
        <w:spacing w:before="180"/>
      </w:pPr>
      <w:bookmarkStart w:id="96" w:name="_Toc4580235"/>
      <w:bookmarkStart w:id="97" w:name="_Toc2150411"/>
      <w:r>
        <w:rPr>
          <w:rStyle w:val="CharSectno"/>
        </w:rPr>
        <w:t>20</w:t>
      </w:r>
      <w:r>
        <w:t>.</w:t>
      </w:r>
      <w:r>
        <w:tab/>
        <w:t>Assessments when instrument misleading or unavailable</w:t>
      </w:r>
      <w:bookmarkEnd w:id="96"/>
      <w:bookmarkEnd w:id="97"/>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spacing w:before="120"/>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spacing w:before="120"/>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No. 66 of 2003 s. 95(3); No. 12 of 2008 s. 36.]</w:t>
      </w:r>
    </w:p>
    <w:p>
      <w:pPr>
        <w:pStyle w:val="Heading5"/>
        <w:spacing w:before="240"/>
      </w:pPr>
      <w:bookmarkStart w:id="98" w:name="_Toc4580236"/>
      <w:bookmarkStart w:id="99" w:name="_Toc2150412"/>
      <w:r>
        <w:rPr>
          <w:rStyle w:val="CharSectno"/>
        </w:rPr>
        <w:t>21</w:t>
      </w:r>
      <w:r>
        <w:t>.</w:t>
      </w:r>
      <w:r>
        <w:tab/>
        <w:t>Ascertaining value of property, consideration or benefit</w:t>
      </w:r>
      <w:bookmarkEnd w:id="98"/>
      <w:bookmarkEnd w:id="99"/>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No. 10 of 2013 s. 29.]</w:t>
      </w:r>
    </w:p>
    <w:p>
      <w:pPr>
        <w:pStyle w:val="Heading5"/>
        <w:spacing w:before="240"/>
      </w:pPr>
      <w:bookmarkStart w:id="100" w:name="_Toc4580237"/>
      <w:bookmarkStart w:id="101" w:name="_Toc2150413"/>
      <w:r>
        <w:rPr>
          <w:rStyle w:val="CharSectno"/>
        </w:rPr>
        <w:t>22</w:t>
      </w:r>
      <w:r>
        <w:t>.</w:t>
      </w:r>
      <w:r>
        <w:tab/>
        <w:t>Commissioner’s power to have valuation made</w:t>
      </w:r>
      <w:bookmarkEnd w:id="100"/>
      <w:bookmarkEnd w:id="101"/>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102" w:name="_Toc4580238"/>
      <w:bookmarkStart w:id="103" w:name="_Toc2150414"/>
      <w:r>
        <w:rPr>
          <w:rStyle w:val="CharSectno"/>
        </w:rPr>
        <w:t>23A</w:t>
      </w:r>
      <w:r>
        <w:t>.</w:t>
      </w:r>
      <w:r>
        <w:tab/>
        <w:t>Recovery of valuation costs</w:t>
      </w:r>
      <w:bookmarkEnd w:id="102"/>
      <w:bookmarkEnd w:id="103"/>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spacing w:before="120"/>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spacing w:before="120"/>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spacing w:before="120"/>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spacing w:before="120"/>
      </w:pPr>
      <w:r>
        <w:tab/>
        <w:t>(5)</w:t>
      </w:r>
      <w:r>
        <w:tab/>
        <w:t>The nomination must be in writing.</w:t>
      </w:r>
    </w:p>
    <w:p>
      <w:pPr>
        <w:pStyle w:val="Subsection"/>
        <w:spacing w:before="120"/>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No. 10 of 2013 s. 30.]</w:t>
      </w:r>
    </w:p>
    <w:p>
      <w:pPr>
        <w:pStyle w:val="Heading3"/>
        <w:spacing w:before="180"/>
      </w:pPr>
      <w:bookmarkStart w:id="104" w:name="_Toc4569640"/>
      <w:bookmarkStart w:id="105" w:name="_Toc4580239"/>
      <w:bookmarkStart w:id="106" w:name="_Toc440362534"/>
      <w:bookmarkStart w:id="107" w:name="_Toc450559970"/>
      <w:bookmarkStart w:id="108" w:name="_Toc455399500"/>
      <w:bookmarkStart w:id="109" w:name="_Toc528769085"/>
      <w:bookmarkStart w:id="110" w:name="_Toc532472846"/>
      <w:bookmarkStart w:id="111" w:name="_Toc532812070"/>
      <w:bookmarkStart w:id="112" w:name="_Toc2150415"/>
      <w:r>
        <w:rPr>
          <w:rStyle w:val="CharDivNo"/>
        </w:rPr>
        <w:t>Division 2</w:t>
      </w:r>
      <w:r>
        <w:t xml:space="preserve"> — </w:t>
      </w:r>
      <w:r>
        <w:rPr>
          <w:rStyle w:val="CharDivText"/>
        </w:rPr>
        <w:t>Assessment notices and returns</w:t>
      </w:r>
      <w:bookmarkEnd w:id="104"/>
      <w:bookmarkEnd w:id="105"/>
      <w:bookmarkEnd w:id="106"/>
      <w:bookmarkEnd w:id="107"/>
      <w:bookmarkEnd w:id="108"/>
      <w:bookmarkEnd w:id="109"/>
      <w:bookmarkEnd w:id="110"/>
      <w:bookmarkEnd w:id="111"/>
      <w:bookmarkEnd w:id="112"/>
    </w:p>
    <w:p>
      <w:pPr>
        <w:pStyle w:val="Heading5"/>
        <w:spacing w:before="180"/>
      </w:pPr>
      <w:bookmarkStart w:id="113" w:name="_Toc4580240"/>
      <w:bookmarkStart w:id="114" w:name="_Toc2150416"/>
      <w:r>
        <w:rPr>
          <w:rStyle w:val="CharSectno"/>
        </w:rPr>
        <w:t>23</w:t>
      </w:r>
      <w:r>
        <w:t>.</w:t>
      </w:r>
      <w:r>
        <w:tab/>
        <w:t>Assessment notices</w:t>
      </w:r>
      <w:bookmarkEnd w:id="113"/>
      <w:bookmarkEnd w:id="114"/>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ind w:left="890" w:hanging="890"/>
      </w:pPr>
      <w:r>
        <w:tab/>
        <w:t>[Section 23 amended: No. 66 of 2003 s. 108(2); No.</w:t>
      </w:r>
      <w:del w:id="115" w:author="svcMRProcess" w:date="2019-03-27T12:18:00Z">
        <w:r>
          <w:delText xml:space="preserve"> </w:delText>
        </w:r>
      </w:del>
      <w:ins w:id="116" w:author="svcMRProcess" w:date="2019-03-27T12:18:00Z">
        <w:r>
          <w:t> </w:t>
        </w:r>
      </w:ins>
      <w:r>
        <w:t>82 of 2004 s. 19; No.</w:t>
      </w:r>
      <w:del w:id="117" w:author="svcMRProcess" w:date="2019-03-27T12:18:00Z">
        <w:r>
          <w:delText xml:space="preserve"> </w:delText>
        </w:r>
      </w:del>
      <w:ins w:id="118" w:author="svcMRProcess" w:date="2019-03-27T12:18:00Z">
        <w:r>
          <w:t> </w:t>
        </w:r>
      </w:ins>
      <w:r>
        <w:t>13 of 2007 s. 14; No. 12 of 2008 s. 37.]</w:t>
      </w:r>
    </w:p>
    <w:p>
      <w:pPr>
        <w:pStyle w:val="Heading5"/>
        <w:spacing w:before="180"/>
      </w:pPr>
      <w:bookmarkStart w:id="119" w:name="_Toc4580241"/>
      <w:bookmarkStart w:id="120" w:name="_Toc2150417"/>
      <w:r>
        <w:rPr>
          <w:rStyle w:val="CharSectno"/>
        </w:rPr>
        <w:t>24</w:t>
      </w:r>
      <w:r>
        <w:t>.</w:t>
      </w:r>
      <w:r>
        <w:tab/>
        <w:t>Form of assessment notice</w:t>
      </w:r>
      <w:bookmarkEnd w:id="119"/>
      <w:bookmarkEnd w:id="120"/>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spacing w:before="140"/>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spacing w:before="140"/>
      </w:pPr>
      <w:r>
        <w:tab/>
        <w:t>(5)</w:t>
      </w:r>
      <w:r>
        <w:tab/>
        <w:t>The date specified in an assessment notice in relation to an assessment other than a reassessment as the due date for payment must be at least 14 days after the date of the assessment notice.</w:t>
      </w:r>
    </w:p>
    <w:p>
      <w:pPr>
        <w:pStyle w:val="Subsection"/>
        <w:spacing w:before="140"/>
      </w:pPr>
      <w:r>
        <w:tab/>
        <w:t>(5a)</w:t>
      </w:r>
      <w:r>
        <w:tab/>
        <w:t>The date specified in an assessment notice in relation to a reassessment as the due date for payment must be at least 28 days after the date of the assessment notice.</w:t>
      </w:r>
    </w:p>
    <w:p>
      <w:pPr>
        <w:pStyle w:val="Subsection"/>
        <w:spacing w:before="140"/>
      </w:pPr>
      <w:r>
        <w:tab/>
        <w:t>(6)</w:t>
      </w:r>
      <w:r>
        <w:tab/>
        <w:t>More than one assessment of primary tax, penalty tax or costs of valuation, or any of them, may be included in an assessment notice, whether or not the assessments are made in respect of the same matter.</w:t>
      </w:r>
    </w:p>
    <w:p>
      <w:pPr>
        <w:pStyle w:val="Subsection"/>
        <w:spacing w:before="140"/>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spacing w:before="80"/>
        <w:ind w:left="890" w:hanging="890"/>
      </w:pPr>
      <w:r>
        <w:tab/>
        <w:t>[Section 24 amended: No. 12 of 2004 s. 9; No. 12 of 2008 s. 38; No. 10 of 2013 s. 17 and 31.]</w:t>
      </w:r>
    </w:p>
    <w:p>
      <w:pPr>
        <w:pStyle w:val="Heading5"/>
      </w:pPr>
      <w:bookmarkStart w:id="121" w:name="_Toc4580242"/>
      <w:bookmarkStart w:id="122" w:name="_Toc2150418"/>
      <w:r>
        <w:rPr>
          <w:rStyle w:val="CharSectno"/>
        </w:rPr>
        <w:t>25</w:t>
      </w:r>
      <w:r>
        <w:t>.</w:t>
      </w:r>
      <w:r>
        <w:tab/>
        <w:t>Statement of grounds of assessment</w:t>
      </w:r>
      <w:bookmarkEnd w:id="121"/>
      <w:bookmarkEnd w:id="122"/>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No. 10 of 2013 s. 18 and 32.]</w:t>
      </w:r>
    </w:p>
    <w:p>
      <w:pPr>
        <w:pStyle w:val="Heading3"/>
        <w:spacing w:before="180"/>
      </w:pPr>
      <w:bookmarkStart w:id="123" w:name="_Toc4569644"/>
      <w:bookmarkStart w:id="124" w:name="_Toc4580243"/>
      <w:bookmarkStart w:id="125" w:name="_Toc440362538"/>
      <w:bookmarkStart w:id="126" w:name="_Toc450559974"/>
      <w:bookmarkStart w:id="127" w:name="_Toc455399504"/>
      <w:bookmarkStart w:id="128" w:name="_Toc528769089"/>
      <w:bookmarkStart w:id="129" w:name="_Toc532472850"/>
      <w:bookmarkStart w:id="130" w:name="_Toc532812074"/>
      <w:bookmarkStart w:id="131" w:name="_Toc2150419"/>
      <w:r>
        <w:rPr>
          <w:rStyle w:val="CharDivNo"/>
        </w:rPr>
        <w:t>Division 3</w:t>
      </w:r>
      <w:r>
        <w:t xml:space="preserve"> — </w:t>
      </w:r>
      <w:r>
        <w:rPr>
          <w:rStyle w:val="CharDivText"/>
        </w:rPr>
        <w:t>Penalty tax</w:t>
      </w:r>
      <w:bookmarkEnd w:id="123"/>
      <w:bookmarkEnd w:id="124"/>
      <w:bookmarkEnd w:id="125"/>
      <w:bookmarkEnd w:id="126"/>
      <w:bookmarkEnd w:id="127"/>
      <w:bookmarkEnd w:id="128"/>
      <w:bookmarkEnd w:id="129"/>
      <w:bookmarkEnd w:id="130"/>
      <w:bookmarkEnd w:id="131"/>
    </w:p>
    <w:p>
      <w:pPr>
        <w:pStyle w:val="Heading5"/>
        <w:spacing w:before="180"/>
      </w:pPr>
      <w:bookmarkStart w:id="132" w:name="_Toc4580244"/>
      <w:bookmarkStart w:id="133" w:name="_Toc2150420"/>
      <w:r>
        <w:rPr>
          <w:rStyle w:val="CharSectno"/>
        </w:rPr>
        <w:t>26</w:t>
      </w:r>
      <w:r>
        <w:t>.</w:t>
      </w:r>
      <w:r>
        <w:tab/>
        <w:t>Penalty tax for contravention of taxation Act</w:t>
      </w:r>
      <w:bookmarkEnd w:id="132"/>
      <w:bookmarkEnd w:id="133"/>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No. 66 of 2003 s. 95(4).]</w:t>
      </w:r>
    </w:p>
    <w:p>
      <w:pPr>
        <w:pStyle w:val="Heading5"/>
      </w:pPr>
      <w:bookmarkStart w:id="134" w:name="_Toc4580245"/>
      <w:bookmarkStart w:id="135" w:name="_Toc2150421"/>
      <w:r>
        <w:rPr>
          <w:rStyle w:val="CharSectno"/>
        </w:rPr>
        <w:t>27A</w:t>
      </w:r>
      <w:r>
        <w:t>.</w:t>
      </w:r>
      <w:r>
        <w:tab/>
        <w:t>Penalty tax for undervaluation</w:t>
      </w:r>
      <w:bookmarkEnd w:id="134"/>
      <w:bookmarkEnd w:id="135"/>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keepNext/>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No. 10 of 2013 s. 33.]</w:t>
      </w:r>
    </w:p>
    <w:p>
      <w:pPr>
        <w:pStyle w:val="Heading5"/>
      </w:pPr>
      <w:bookmarkStart w:id="136" w:name="_Toc4580246"/>
      <w:bookmarkStart w:id="137" w:name="_Toc2150422"/>
      <w:r>
        <w:rPr>
          <w:rStyle w:val="CharSectno"/>
        </w:rPr>
        <w:t>27</w:t>
      </w:r>
      <w:r>
        <w:t>.</w:t>
      </w:r>
      <w:r>
        <w:tab/>
        <w:t>Penalty tax for late payment</w:t>
      </w:r>
      <w:bookmarkEnd w:id="136"/>
      <w:bookmarkEnd w:id="137"/>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138" w:name="_Toc4580247"/>
      <w:bookmarkStart w:id="139" w:name="_Toc2150423"/>
      <w:r>
        <w:rPr>
          <w:rStyle w:val="CharSectno"/>
        </w:rPr>
        <w:t>28</w:t>
      </w:r>
      <w:r>
        <w:t>.</w:t>
      </w:r>
      <w:r>
        <w:tab/>
        <w:t>Limitation on amount of penalty tax</w:t>
      </w:r>
      <w:bookmarkEnd w:id="138"/>
      <w:bookmarkEnd w:id="139"/>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140" w:name="_Toc4580248"/>
      <w:bookmarkStart w:id="141" w:name="_Toc2150424"/>
      <w:r>
        <w:rPr>
          <w:rStyle w:val="CharSectno"/>
        </w:rPr>
        <w:t>29</w:t>
      </w:r>
      <w:r>
        <w:t>.</w:t>
      </w:r>
      <w:r>
        <w:tab/>
        <w:t>Remitting penalty tax</w:t>
      </w:r>
      <w:bookmarkEnd w:id="140"/>
      <w:bookmarkEnd w:id="141"/>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142" w:name="_Toc4580249"/>
      <w:bookmarkStart w:id="143" w:name="_Toc2150425"/>
      <w:r>
        <w:rPr>
          <w:rStyle w:val="CharSectno"/>
        </w:rPr>
        <w:t>30</w:t>
      </w:r>
      <w:r>
        <w:t>.</w:t>
      </w:r>
      <w:r>
        <w:tab/>
        <w:t>Guidelines for remitting penalty tax</w:t>
      </w:r>
      <w:bookmarkEnd w:id="142"/>
      <w:bookmarkEnd w:id="143"/>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144" w:name="_Toc4569651"/>
      <w:bookmarkStart w:id="145" w:name="_Toc4580250"/>
      <w:bookmarkStart w:id="146" w:name="_Toc440362545"/>
      <w:bookmarkStart w:id="147" w:name="_Toc450559981"/>
      <w:bookmarkStart w:id="148" w:name="_Toc455399511"/>
      <w:bookmarkStart w:id="149" w:name="_Toc528769096"/>
      <w:bookmarkStart w:id="150" w:name="_Toc532472857"/>
      <w:bookmarkStart w:id="151" w:name="_Toc532812081"/>
      <w:bookmarkStart w:id="152" w:name="_Toc2150426"/>
      <w:r>
        <w:rPr>
          <w:rStyle w:val="CharPartNo"/>
        </w:rPr>
        <w:t>Part 4</w:t>
      </w:r>
      <w:r>
        <w:t xml:space="preserve"> — </w:t>
      </w:r>
      <w:r>
        <w:rPr>
          <w:rStyle w:val="CharPartText"/>
        </w:rPr>
        <w:t>Objections and review proceedings</w:t>
      </w:r>
      <w:bookmarkEnd w:id="144"/>
      <w:bookmarkEnd w:id="145"/>
      <w:bookmarkEnd w:id="146"/>
      <w:bookmarkEnd w:id="147"/>
      <w:bookmarkEnd w:id="148"/>
      <w:bookmarkEnd w:id="149"/>
      <w:bookmarkEnd w:id="150"/>
      <w:bookmarkEnd w:id="151"/>
      <w:bookmarkEnd w:id="152"/>
    </w:p>
    <w:p>
      <w:pPr>
        <w:pStyle w:val="Footnoteheading"/>
        <w:tabs>
          <w:tab w:val="left" w:pos="851"/>
        </w:tabs>
      </w:pPr>
      <w:r>
        <w:tab/>
        <w:t>[Heading amended: No.</w:t>
      </w:r>
      <w:del w:id="153" w:author="svcMRProcess" w:date="2019-03-27T12:18:00Z">
        <w:r>
          <w:delText xml:space="preserve"> </w:delText>
        </w:r>
      </w:del>
      <w:ins w:id="154" w:author="svcMRProcess" w:date="2019-03-27T12:18:00Z">
        <w:r>
          <w:t> </w:t>
        </w:r>
      </w:ins>
      <w:r>
        <w:t>55 of 2004 s. 1167.]</w:t>
      </w:r>
    </w:p>
    <w:p>
      <w:pPr>
        <w:pStyle w:val="Heading3"/>
      </w:pPr>
      <w:bookmarkStart w:id="155" w:name="_Toc4569652"/>
      <w:bookmarkStart w:id="156" w:name="_Toc4580251"/>
      <w:bookmarkStart w:id="157" w:name="_Toc440362546"/>
      <w:bookmarkStart w:id="158" w:name="_Toc450559982"/>
      <w:bookmarkStart w:id="159" w:name="_Toc455399512"/>
      <w:bookmarkStart w:id="160" w:name="_Toc528769097"/>
      <w:bookmarkStart w:id="161" w:name="_Toc532472858"/>
      <w:bookmarkStart w:id="162" w:name="_Toc532812082"/>
      <w:bookmarkStart w:id="163" w:name="_Toc2150427"/>
      <w:r>
        <w:rPr>
          <w:rStyle w:val="CharDivNo"/>
        </w:rPr>
        <w:t>Division 1</w:t>
      </w:r>
      <w:r>
        <w:t xml:space="preserve"> — </w:t>
      </w:r>
      <w:r>
        <w:rPr>
          <w:rStyle w:val="CharDivText"/>
        </w:rPr>
        <w:t>Procedures and restrictions</w:t>
      </w:r>
      <w:bookmarkEnd w:id="155"/>
      <w:bookmarkEnd w:id="156"/>
      <w:bookmarkEnd w:id="157"/>
      <w:bookmarkEnd w:id="158"/>
      <w:bookmarkEnd w:id="159"/>
      <w:bookmarkEnd w:id="160"/>
      <w:bookmarkEnd w:id="161"/>
      <w:bookmarkEnd w:id="162"/>
      <w:bookmarkEnd w:id="163"/>
    </w:p>
    <w:p>
      <w:pPr>
        <w:pStyle w:val="Heading5"/>
      </w:pPr>
      <w:bookmarkStart w:id="164" w:name="_Toc4580252"/>
      <w:bookmarkStart w:id="165" w:name="_Toc2150428"/>
      <w:r>
        <w:rPr>
          <w:rStyle w:val="CharSectno"/>
        </w:rPr>
        <w:t>31</w:t>
      </w:r>
      <w:r>
        <w:t>.</w:t>
      </w:r>
      <w:r>
        <w:tab/>
        <w:t>Procedure for challenging assessments</w:t>
      </w:r>
      <w:bookmarkEnd w:id="164"/>
      <w:bookmarkEnd w:id="165"/>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No.</w:t>
      </w:r>
      <w:del w:id="166" w:author="svcMRProcess" w:date="2019-03-27T12:18:00Z">
        <w:r>
          <w:delText xml:space="preserve"> </w:delText>
        </w:r>
      </w:del>
      <w:ins w:id="167" w:author="svcMRProcess" w:date="2019-03-27T12:18:00Z">
        <w:r>
          <w:t> </w:t>
        </w:r>
      </w:ins>
      <w:r>
        <w:t>55 of 2004 s. 1168.]</w:t>
      </w:r>
    </w:p>
    <w:p>
      <w:pPr>
        <w:pStyle w:val="Heading5"/>
      </w:pPr>
      <w:bookmarkStart w:id="168" w:name="_Toc4580253"/>
      <w:bookmarkStart w:id="169" w:name="_Toc2150429"/>
      <w:r>
        <w:rPr>
          <w:rStyle w:val="CharSectno"/>
        </w:rPr>
        <w:t>32</w:t>
      </w:r>
      <w:r>
        <w:t>.</w:t>
      </w:r>
      <w:r>
        <w:tab/>
        <w:t>Objections to land valuations</w:t>
      </w:r>
      <w:bookmarkEnd w:id="168"/>
      <w:bookmarkEnd w:id="169"/>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No.</w:t>
      </w:r>
      <w:del w:id="170" w:author="svcMRProcess" w:date="2019-03-27T12:18:00Z">
        <w:r>
          <w:delText xml:space="preserve"> </w:delText>
        </w:r>
      </w:del>
      <w:ins w:id="171" w:author="svcMRProcess" w:date="2019-03-27T12:18:00Z">
        <w:r>
          <w:t> </w:t>
        </w:r>
      </w:ins>
      <w:r>
        <w:t>55 of 2004 s. 1169.]</w:t>
      </w:r>
    </w:p>
    <w:p>
      <w:pPr>
        <w:pStyle w:val="Heading5"/>
      </w:pPr>
      <w:bookmarkStart w:id="172" w:name="_Toc4580254"/>
      <w:bookmarkStart w:id="173" w:name="_Toc2150430"/>
      <w:r>
        <w:t>33.</w:t>
      </w:r>
      <w:r>
        <w:tab/>
        <w:t>Continuing obligation to pay assessed tax</w:t>
      </w:r>
      <w:bookmarkEnd w:id="172"/>
      <w:bookmarkEnd w:id="173"/>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No.</w:t>
      </w:r>
      <w:del w:id="174" w:author="svcMRProcess" w:date="2019-03-27T12:18:00Z">
        <w:r>
          <w:delText xml:space="preserve"> </w:delText>
        </w:r>
      </w:del>
      <w:ins w:id="175" w:author="svcMRProcess" w:date="2019-03-27T12:18:00Z">
        <w:r>
          <w:t> </w:t>
        </w:r>
      </w:ins>
      <w:r>
        <w:t>55 of 2004 s. 1170.]</w:t>
      </w:r>
    </w:p>
    <w:p>
      <w:pPr>
        <w:pStyle w:val="Heading5"/>
      </w:pPr>
      <w:bookmarkStart w:id="176" w:name="_Toc4580255"/>
      <w:bookmarkStart w:id="177" w:name="_Toc2150431"/>
      <w:r>
        <w:t>34A.</w:t>
      </w:r>
      <w:r>
        <w:tab/>
        <w:t>Beneficial body determinations</w:t>
      </w:r>
      <w:bookmarkEnd w:id="176"/>
      <w:bookmarkEnd w:id="177"/>
    </w:p>
    <w:p>
      <w:pPr>
        <w:pStyle w:val="Subsection"/>
      </w:pPr>
      <w:r>
        <w:tab/>
        <w:t>(1)</w:t>
      </w:r>
      <w:r>
        <w:tab/>
        <w:t>A decision to make, or not to make, or to revoke or amend, a beneficial body determination is final and not subject to 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No.</w:t>
      </w:r>
      <w:del w:id="178" w:author="svcMRProcess" w:date="2019-03-27T12:18:00Z">
        <w:r>
          <w:delText xml:space="preserve"> </w:delText>
        </w:r>
      </w:del>
      <w:ins w:id="179" w:author="svcMRProcess" w:date="2019-03-27T12:18:00Z">
        <w:r>
          <w:t> </w:t>
        </w:r>
      </w:ins>
      <w:r>
        <w:t>8 of 2015 s. 18.]</w:t>
      </w:r>
    </w:p>
    <w:p>
      <w:pPr>
        <w:pStyle w:val="Heading5"/>
      </w:pPr>
      <w:bookmarkStart w:id="180" w:name="_Toc4580256"/>
      <w:bookmarkStart w:id="181" w:name="_Toc2150432"/>
      <w:r>
        <w:rPr>
          <w:rStyle w:val="CharSectno"/>
        </w:rPr>
        <w:t>34B</w:t>
      </w:r>
      <w:r>
        <w:t>.</w:t>
      </w:r>
      <w:r>
        <w:tab/>
        <w:t>Surrender of right of objection or review</w:t>
      </w:r>
      <w:bookmarkEnd w:id="180"/>
      <w:bookmarkEnd w:id="181"/>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No.</w:t>
      </w:r>
      <w:del w:id="182" w:author="svcMRProcess" w:date="2019-03-27T12:18:00Z">
        <w:r>
          <w:delText xml:space="preserve"> </w:delText>
        </w:r>
      </w:del>
      <w:ins w:id="183" w:author="svcMRProcess" w:date="2019-03-27T12:18:00Z">
        <w:r>
          <w:t> </w:t>
        </w:r>
      </w:ins>
      <w:r>
        <w:t>8 of 2015 s. 18.]</w:t>
      </w:r>
    </w:p>
    <w:p>
      <w:pPr>
        <w:pStyle w:val="Heading3"/>
      </w:pPr>
      <w:bookmarkStart w:id="184" w:name="_Toc4569658"/>
      <w:bookmarkStart w:id="185" w:name="_Toc4580257"/>
      <w:bookmarkStart w:id="186" w:name="_Toc440362552"/>
      <w:bookmarkStart w:id="187" w:name="_Toc450559988"/>
      <w:bookmarkStart w:id="188" w:name="_Toc455399518"/>
      <w:bookmarkStart w:id="189" w:name="_Toc528769103"/>
      <w:bookmarkStart w:id="190" w:name="_Toc532472864"/>
      <w:bookmarkStart w:id="191" w:name="_Toc532812088"/>
      <w:bookmarkStart w:id="192" w:name="_Toc2150433"/>
      <w:r>
        <w:rPr>
          <w:rStyle w:val="CharDivNo"/>
        </w:rPr>
        <w:t>Division 2</w:t>
      </w:r>
      <w:r>
        <w:t xml:space="preserve"> — </w:t>
      </w:r>
      <w:r>
        <w:rPr>
          <w:rStyle w:val="CharDivText"/>
        </w:rPr>
        <w:t>Objections</w:t>
      </w:r>
      <w:bookmarkEnd w:id="184"/>
      <w:bookmarkEnd w:id="185"/>
      <w:bookmarkEnd w:id="186"/>
      <w:bookmarkEnd w:id="187"/>
      <w:bookmarkEnd w:id="188"/>
      <w:bookmarkEnd w:id="189"/>
      <w:bookmarkEnd w:id="190"/>
      <w:bookmarkEnd w:id="191"/>
      <w:bookmarkEnd w:id="192"/>
    </w:p>
    <w:p>
      <w:pPr>
        <w:pStyle w:val="Heading5"/>
        <w:spacing w:before="200"/>
      </w:pPr>
      <w:bookmarkStart w:id="193" w:name="_Toc4580258"/>
      <w:bookmarkStart w:id="194" w:name="_Toc2150434"/>
      <w:r>
        <w:rPr>
          <w:rStyle w:val="CharSectno"/>
        </w:rPr>
        <w:t>34</w:t>
      </w:r>
      <w:r>
        <w:t>.</w:t>
      </w:r>
      <w:r>
        <w:tab/>
        <w:t>Right to object</w:t>
      </w:r>
      <w:bookmarkEnd w:id="193"/>
      <w:bookmarkEnd w:id="194"/>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ind w:left="890" w:hanging="890"/>
      </w:pPr>
      <w:r>
        <w:tab/>
        <w:t>[Section 34 amended: No.</w:t>
      </w:r>
      <w:del w:id="195" w:author="svcMRProcess" w:date="2019-03-27T12:18:00Z">
        <w:r>
          <w:delText xml:space="preserve"> </w:delText>
        </w:r>
      </w:del>
      <w:ins w:id="196" w:author="svcMRProcess" w:date="2019-03-27T12:18:00Z">
        <w:r>
          <w:t> </w:t>
        </w:r>
      </w:ins>
      <w:r>
        <w:t>55 of 2004 s. 1171; No.</w:t>
      </w:r>
      <w:del w:id="197" w:author="svcMRProcess" w:date="2019-03-27T12:18:00Z">
        <w:r>
          <w:delText xml:space="preserve"> </w:delText>
        </w:r>
      </w:del>
      <w:ins w:id="198" w:author="svcMRProcess" w:date="2019-03-27T12:18:00Z">
        <w:r>
          <w:t> </w:t>
        </w:r>
      </w:ins>
      <w:r>
        <w:t>12 of 2008 s. 39; No. 31 of 2008 s. 24 and 30; No.</w:t>
      </w:r>
      <w:del w:id="199" w:author="svcMRProcess" w:date="2019-03-27T12:18:00Z">
        <w:r>
          <w:delText xml:space="preserve"> </w:delText>
        </w:r>
      </w:del>
      <w:ins w:id="200" w:author="svcMRProcess" w:date="2019-03-27T12:18:00Z">
        <w:r>
          <w:t> </w:t>
        </w:r>
      </w:ins>
      <w:r>
        <w:t>8 of 2012 s. 178; No. 10 of 2013 s. 19 and 34; No.</w:t>
      </w:r>
      <w:del w:id="201" w:author="svcMRProcess" w:date="2019-03-27T12:18:00Z">
        <w:r>
          <w:delText xml:space="preserve"> </w:delText>
        </w:r>
      </w:del>
      <w:ins w:id="202" w:author="svcMRProcess" w:date="2019-03-27T12:18:00Z">
        <w:r>
          <w:t> </w:t>
        </w:r>
      </w:ins>
      <w:r>
        <w:t>8 of 2015 s. 19.]</w:t>
      </w:r>
    </w:p>
    <w:p>
      <w:pPr>
        <w:pStyle w:val="Heading5"/>
        <w:spacing w:before="240"/>
      </w:pPr>
      <w:bookmarkStart w:id="203" w:name="_Toc4580259"/>
      <w:bookmarkStart w:id="204" w:name="_Toc2150435"/>
      <w:r>
        <w:rPr>
          <w:rStyle w:val="CharSectno"/>
        </w:rPr>
        <w:t>35</w:t>
      </w:r>
      <w:r>
        <w:t>.</w:t>
      </w:r>
      <w:r>
        <w:tab/>
        <w:t>Form of objection</w:t>
      </w:r>
      <w:bookmarkEnd w:id="203"/>
      <w:bookmarkEnd w:id="204"/>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spacing w:before="240"/>
      </w:pPr>
      <w:bookmarkStart w:id="205" w:name="_Toc4580260"/>
      <w:bookmarkStart w:id="206" w:name="_Toc2150436"/>
      <w:r>
        <w:rPr>
          <w:rStyle w:val="CharSectno"/>
        </w:rPr>
        <w:t>36</w:t>
      </w:r>
      <w:r>
        <w:t>.</w:t>
      </w:r>
      <w:r>
        <w:tab/>
        <w:t>Time for lodging objection</w:t>
      </w:r>
      <w:bookmarkEnd w:id="205"/>
      <w:bookmarkEnd w:id="206"/>
    </w:p>
    <w:p>
      <w:pPr>
        <w:pStyle w:val="Subsection"/>
      </w:pPr>
      <w:r>
        <w:tab/>
        <w:t>(1)</w:t>
      </w:r>
      <w:r>
        <w:tab/>
        <w:t xml:space="preserve">An objection to an official assessment must be lodged within 60 days after — </w:t>
      </w:r>
    </w:p>
    <w:p>
      <w:pPr>
        <w:pStyle w:val="Indenta"/>
      </w:pPr>
      <w:r>
        <w:tab/>
        <w:t>(a)</w:t>
      </w:r>
      <w:r>
        <w:tab/>
        <w:t>the assessment notice is issued; or</w:t>
      </w:r>
    </w:p>
    <w:p>
      <w:pPr>
        <w:pStyle w:val="Indenta"/>
        <w:keepNext/>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No.</w:t>
      </w:r>
      <w:del w:id="207" w:author="svcMRProcess" w:date="2019-03-27T12:18:00Z">
        <w:r>
          <w:delText xml:space="preserve"> </w:delText>
        </w:r>
      </w:del>
      <w:ins w:id="208" w:author="svcMRProcess" w:date="2019-03-27T12:18:00Z">
        <w:r>
          <w:t> </w:t>
        </w:r>
      </w:ins>
      <w:r>
        <w:t>12 of 2008 s. 40; No. 10 of 2013 s. 20.]</w:t>
      </w:r>
    </w:p>
    <w:p>
      <w:pPr>
        <w:pStyle w:val="Heading5"/>
      </w:pPr>
      <w:bookmarkStart w:id="209" w:name="_Toc4580261"/>
      <w:bookmarkStart w:id="210" w:name="_Toc2150437"/>
      <w:r>
        <w:rPr>
          <w:rStyle w:val="CharSectno"/>
        </w:rPr>
        <w:t>37</w:t>
      </w:r>
      <w:r>
        <w:t>.</w:t>
      </w:r>
      <w:r>
        <w:tab/>
        <w:t>Consideration of objections</w:t>
      </w:r>
      <w:bookmarkEnd w:id="209"/>
      <w:bookmarkEnd w:id="210"/>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keepNext/>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No. 10 of 2013 s. 21.]</w:t>
      </w:r>
    </w:p>
    <w:p>
      <w:pPr>
        <w:pStyle w:val="Heading5"/>
      </w:pPr>
      <w:bookmarkStart w:id="211" w:name="_Toc4580262"/>
      <w:bookmarkStart w:id="212" w:name="_Toc2150438"/>
      <w:r>
        <w:rPr>
          <w:rStyle w:val="CharSectno"/>
        </w:rPr>
        <w:t>38</w:t>
      </w:r>
      <w:r>
        <w:t>.</w:t>
      </w:r>
      <w:r>
        <w:tab/>
        <w:t>Time limit for determining objections</w:t>
      </w:r>
      <w:bookmarkEnd w:id="211"/>
      <w:bookmarkEnd w:id="212"/>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No.</w:t>
      </w:r>
      <w:del w:id="213" w:author="svcMRProcess" w:date="2019-03-27T12:18:00Z">
        <w:r>
          <w:delText xml:space="preserve"> </w:delText>
        </w:r>
      </w:del>
      <w:ins w:id="214" w:author="svcMRProcess" w:date="2019-03-27T12:18:00Z">
        <w:r>
          <w:t> </w:t>
        </w:r>
      </w:ins>
      <w:r>
        <w:t>55 of 2004 s. 1172; No.</w:t>
      </w:r>
      <w:del w:id="215" w:author="svcMRProcess" w:date="2019-03-27T12:18:00Z">
        <w:r>
          <w:delText xml:space="preserve"> </w:delText>
        </w:r>
      </w:del>
      <w:ins w:id="216" w:author="svcMRProcess" w:date="2019-03-27T12:18:00Z">
        <w:r>
          <w:t> </w:t>
        </w:r>
      </w:ins>
      <w:r>
        <w:t>12 of 2005 s. 9.]</w:t>
      </w:r>
    </w:p>
    <w:p>
      <w:pPr>
        <w:pStyle w:val="Heading5"/>
      </w:pPr>
      <w:bookmarkStart w:id="217" w:name="_Toc4580263"/>
      <w:bookmarkStart w:id="218" w:name="_Toc2150439"/>
      <w:r>
        <w:rPr>
          <w:rStyle w:val="CharSectno"/>
        </w:rPr>
        <w:t>39</w:t>
      </w:r>
      <w:r>
        <w:t>.</w:t>
      </w:r>
      <w:r>
        <w:tab/>
        <w:t>Reassessment on determination of objection</w:t>
      </w:r>
      <w:bookmarkEnd w:id="217"/>
      <w:bookmarkEnd w:id="218"/>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keepNext/>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No. 17 of 2010 s. 24.]</w:t>
      </w:r>
    </w:p>
    <w:p>
      <w:pPr>
        <w:pStyle w:val="Heading3"/>
      </w:pPr>
      <w:bookmarkStart w:id="219" w:name="_Toc4569665"/>
      <w:bookmarkStart w:id="220" w:name="_Toc4580264"/>
      <w:bookmarkStart w:id="221" w:name="_Toc440362559"/>
      <w:bookmarkStart w:id="222" w:name="_Toc450559995"/>
      <w:bookmarkStart w:id="223" w:name="_Toc455399525"/>
      <w:bookmarkStart w:id="224" w:name="_Toc528769110"/>
      <w:bookmarkStart w:id="225" w:name="_Toc532472871"/>
      <w:bookmarkStart w:id="226" w:name="_Toc532812095"/>
      <w:bookmarkStart w:id="227" w:name="_Toc2150440"/>
      <w:r>
        <w:rPr>
          <w:rStyle w:val="CharDivNo"/>
        </w:rPr>
        <w:t>Division 3</w:t>
      </w:r>
      <w:r>
        <w:t> — </w:t>
      </w:r>
      <w:r>
        <w:rPr>
          <w:rStyle w:val="CharDivText"/>
        </w:rPr>
        <w:t>Reviews and stated cases</w:t>
      </w:r>
      <w:bookmarkEnd w:id="219"/>
      <w:bookmarkEnd w:id="220"/>
      <w:bookmarkEnd w:id="221"/>
      <w:bookmarkEnd w:id="222"/>
      <w:bookmarkEnd w:id="223"/>
      <w:bookmarkEnd w:id="224"/>
      <w:bookmarkEnd w:id="225"/>
      <w:bookmarkEnd w:id="226"/>
      <w:bookmarkEnd w:id="227"/>
    </w:p>
    <w:p>
      <w:pPr>
        <w:pStyle w:val="Footnoteheading"/>
        <w:tabs>
          <w:tab w:val="left" w:pos="851"/>
        </w:tabs>
      </w:pPr>
      <w:r>
        <w:rPr>
          <w:i w:val="0"/>
        </w:rPr>
        <w:tab/>
      </w:r>
      <w:r>
        <w:t>[Heading amended: No.</w:t>
      </w:r>
      <w:del w:id="228" w:author="svcMRProcess" w:date="2019-03-27T12:18:00Z">
        <w:r>
          <w:delText xml:space="preserve"> </w:delText>
        </w:r>
      </w:del>
      <w:ins w:id="229" w:author="svcMRProcess" w:date="2019-03-27T12:18:00Z">
        <w:r>
          <w:t> </w:t>
        </w:r>
      </w:ins>
      <w:r>
        <w:t>55 of 2004 s. 1173.]</w:t>
      </w:r>
    </w:p>
    <w:p>
      <w:pPr>
        <w:pStyle w:val="Heading5"/>
      </w:pPr>
      <w:bookmarkStart w:id="230" w:name="_Toc4580265"/>
      <w:bookmarkStart w:id="231" w:name="_Toc2150441"/>
      <w:r>
        <w:rPr>
          <w:rStyle w:val="CharSectno"/>
        </w:rPr>
        <w:t>40</w:t>
      </w:r>
      <w:r>
        <w:t>.</w:t>
      </w:r>
      <w:r>
        <w:tab/>
        <w:t xml:space="preserve">Right of review by State </w:t>
      </w:r>
      <w:r>
        <w:rPr>
          <w:snapToGrid w:val="0"/>
        </w:rPr>
        <w:t>Administrative Tribunal</w:t>
      </w:r>
      <w:bookmarkEnd w:id="230"/>
      <w:bookmarkEnd w:id="231"/>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keepNext/>
      </w:pPr>
      <w:r>
        <w:tab/>
        <w:t>(3)</w:t>
      </w:r>
      <w:r>
        <w:tab/>
        <w:t>Subsection (1) does not apply to, or in respect of, a decision if this Act expressly provides that the decision is not subject to review under this Act.</w:t>
      </w:r>
    </w:p>
    <w:p>
      <w:pPr>
        <w:pStyle w:val="Footnotesection"/>
        <w:ind w:left="890" w:hanging="890"/>
        <w:rPr>
          <w:i w:val="0"/>
        </w:rPr>
      </w:pPr>
      <w:r>
        <w:tab/>
        <w:t>[Section 40 amended: No.</w:t>
      </w:r>
      <w:del w:id="232" w:author="svcMRProcess" w:date="2019-03-27T12:18:00Z">
        <w:r>
          <w:delText xml:space="preserve"> </w:delText>
        </w:r>
      </w:del>
      <w:ins w:id="233" w:author="svcMRProcess" w:date="2019-03-27T12:18:00Z">
        <w:r>
          <w:t> </w:t>
        </w:r>
      </w:ins>
      <w:r>
        <w:t>55 of 2004 s. 1174; No. 10 of 2013 s. 22; No.</w:t>
      </w:r>
      <w:del w:id="234" w:author="svcMRProcess" w:date="2019-03-27T12:18:00Z">
        <w:r>
          <w:delText xml:space="preserve"> </w:delText>
        </w:r>
      </w:del>
      <w:ins w:id="235" w:author="svcMRProcess" w:date="2019-03-27T12:18:00Z">
        <w:r>
          <w:t> </w:t>
        </w:r>
      </w:ins>
      <w:r>
        <w:t>8 of 2015 s. 20.]</w:t>
      </w:r>
    </w:p>
    <w:p>
      <w:pPr>
        <w:pStyle w:val="Ednotesection"/>
        <w:rPr>
          <w:i w:val="0"/>
        </w:rPr>
      </w:pPr>
      <w:r>
        <w:t>[</w:t>
      </w:r>
      <w:r>
        <w:rPr>
          <w:b/>
        </w:rPr>
        <w:t>41.</w:t>
      </w:r>
      <w:r>
        <w:tab/>
        <w:t>Deleted: No.</w:t>
      </w:r>
      <w:del w:id="236" w:author="svcMRProcess" w:date="2019-03-27T12:18:00Z">
        <w:r>
          <w:delText xml:space="preserve"> </w:delText>
        </w:r>
      </w:del>
      <w:ins w:id="237" w:author="svcMRProcess" w:date="2019-03-27T12:18:00Z">
        <w:r>
          <w:t> </w:t>
        </w:r>
      </w:ins>
      <w:r>
        <w:t>55 of 2004 s. 1175.]</w:t>
      </w:r>
    </w:p>
    <w:p>
      <w:pPr>
        <w:pStyle w:val="Heading5"/>
      </w:pPr>
      <w:bookmarkStart w:id="238" w:name="_Toc4580266"/>
      <w:bookmarkStart w:id="239" w:name="_Toc2150442"/>
      <w:r>
        <w:rPr>
          <w:rStyle w:val="CharSectno"/>
        </w:rPr>
        <w:t>42</w:t>
      </w:r>
      <w:r>
        <w:t>.</w:t>
      </w:r>
      <w:r>
        <w:tab/>
        <w:t>Time for review</w:t>
      </w:r>
      <w:bookmarkEnd w:id="238"/>
      <w:bookmarkEnd w:id="239"/>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No.</w:t>
      </w:r>
      <w:del w:id="240" w:author="svcMRProcess" w:date="2019-03-27T12:18:00Z">
        <w:r>
          <w:delText xml:space="preserve"> </w:delText>
        </w:r>
      </w:del>
      <w:ins w:id="241" w:author="svcMRProcess" w:date="2019-03-27T12:18:00Z">
        <w:r>
          <w:t> </w:t>
        </w:r>
      </w:ins>
      <w:r>
        <w:t>55 of 2004 s. 1176.]</w:t>
      </w:r>
    </w:p>
    <w:p>
      <w:pPr>
        <w:pStyle w:val="Heading5"/>
      </w:pPr>
      <w:bookmarkStart w:id="242" w:name="_Toc4580267"/>
      <w:bookmarkStart w:id="243" w:name="_Toc2150443"/>
      <w:r>
        <w:rPr>
          <w:rStyle w:val="CharSectno"/>
        </w:rPr>
        <w:t>43</w:t>
      </w:r>
      <w:r>
        <w:t>.</w:t>
      </w:r>
      <w:r>
        <w:tab/>
        <w:t xml:space="preserve">Proceedings before State </w:t>
      </w:r>
      <w:r>
        <w:rPr>
          <w:snapToGrid w:val="0"/>
        </w:rPr>
        <w:t>Administrative Tribunal</w:t>
      </w:r>
      <w:bookmarkEnd w:id="242"/>
      <w:bookmarkEnd w:id="243"/>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pPr>
      <w:r>
        <w:tab/>
        <w:t>(a)</w:t>
      </w:r>
      <w:r>
        <w:tab/>
        <w:t>its President or a Deputy President of it; or</w:t>
      </w:r>
    </w:p>
    <w:p>
      <w:pPr>
        <w:pStyle w:val="Indenta"/>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spacing w:before="180"/>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spacing w:before="180"/>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No.</w:t>
      </w:r>
      <w:del w:id="244" w:author="svcMRProcess" w:date="2019-03-27T12:18:00Z">
        <w:r>
          <w:delText xml:space="preserve"> </w:delText>
        </w:r>
      </w:del>
      <w:ins w:id="245" w:author="svcMRProcess" w:date="2019-03-27T12:18:00Z">
        <w:r>
          <w:t> </w:t>
        </w:r>
      </w:ins>
      <w:r>
        <w:t>55 of 2004 s. 1177; No. 12 of 2008 s. 41; No. 17 of 2010 s. 25 and 30(3); No. 29 of 2012 s. 41; No. 10 of 2013 s. 23.]</w:t>
      </w:r>
    </w:p>
    <w:p>
      <w:pPr>
        <w:pStyle w:val="Footnotesection"/>
      </w:pPr>
      <w:r>
        <w:tab/>
        <w:t>[Section 43, modifications have effect under the Commonwealth Places (Mirror Taxes) Act 1998 (Cth), see note 1MC.]</w:t>
      </w:r>
    </w:p>
    <w:p>
      <w:pPr>
        <w:pStyle w:val="Heading5"/>
      </w:pPr>
      <w:bookmarkStart w:id="246" w:name="_Toc4580268"/>
      <w:bookmarkStart w:id="247" w:name="_Toc2150444"/>
      <w:r>
        <w:rPr>
          <w:rStyle w:val="CharSectno"/>
        </w:rPr>
        <w:t>43A</w:t>
      </w:r>
      <w:r>
        <w:t>.</w:t>
      </w:r>
      <w:r>
        <w:tab/>
        <w:t xml:space="preserve">Appeal from decision of State </w:t>
      </w:r>
      <w:r>
        <w:rPr>
          <w:snapToGrid w:val="0"/>
        </w:rPr>
        <w:t>Administrative Tribunal</w:t>
      </w:r>
      <w:bookmarkEnd w:id="246"/>
      <w:bookmarkEnd w:id="247"/>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No.</w:t>
      </w:r>
      <w:del w:id="248" w:author="svcMRProcess" w:date="2019-03-27T12:18:00Z">
        <w:r>
          <w:delText xml:space="preserve"> </w:delText>
        </w:r>
      </w:del>
      <w:ins w:id="249" w:author="svcMRProcess" w:date="2019-03-27T12:18:00Z">
        <w:r>
          <w:t> </w:t>
        </w:r>
      </w:ins>
      <w:r>
        <w:t>55 of 2004 s. 1178.]</w:t>
      </w:r>
    </w:p>
    <w:p>
      <w:pPr>
        <w:pStyle w:val="Heading5"/>
      </w:pPr>
      <w:bookmarkStart w:id="250" w:name="_Toc4580269"/>
      <w:bookmarkStart w:id="251" w:name="_Toc2150445"/>
      <w:r>
        <w:rPr>
          <w:rStyle w:val="CharSectno"/>
        </w:rPr>
        <w:t>44</w:t>
      </w:r>
      <w:r>
        <w:t>.</w:t>
      </w:r>
      <w:r>
        <w:tab/>
        <w:t>Cases stated by Commissioner</w:t>
      </w:r>
      <w:bookmarkEnd w:id="250"/>
      <w:bookmarkEnd w:id="251"/>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252" w:name="_Toc4569671"/>
      <w:bookmarkStart w:id="253" w:name="_Toc4580270"/>
      <w:bookmarkStart w:id="254" w:name="_Toc440362565"/>
      <w:bookmarkStart w:id="255" w:name="_Toc450560001"/>
      <w:bookmarkStart w:id="256" w:name="_Toc455399531"/>
      <w:bookmarkStart w:id="257" w:name="_Toc528769116"/>
      <w:bookmarkStart w:id="258" w:name="_Toc532472877"/>
      <w:bookmarkStart w:id="259" w:name="_Toc532812101"/>
      <w:bookmarkStart w:id="260" w:name="_Toc2150446"/>
      <w:r>
        <w:rPr>
          <w:rStyle w:val="CharPartNo"/>
        </w:rPr>
        <w:t>Part 5</w:t>
      </w:r>
      <w:r>
        <w:t xml:space="preserve"> — </w:t>
      </w:r>
      <w:r>
        <w:rPr>
          <w:rStyle w:val="CharPartText"/>
        </w:rPr>
        <w:t>Payment and refund of tax</w:t>
      </w:r>
      <w:bookmarkEnd w:id="252"/>
      <w:bookmarkEnd w:id="253"/>
      <w:bookmarkEnd w:id="254"/>
      <w:bookmarkEnd w:id="255"/>
      <w:bookmarkEnd w:id="256"/>
      <w:bookmarkEnd w:id="257"/>
      <w:bookmarkEnd w:id="258"/>
      <w:bookmarkEnd w:id="259"/>
      <w:bookmarkEnd w:id="260"/>
    </w:p>
    <w:p>
      <w:pPr>
        <w:pStyle w:val="Heading3"/>
      </w:pPr>
      <w:bookmarkStart w:id="261" w:name="_Toc4569672"/>
      <w:bookmarkStart w:id="262" w:name="_Toc4580271"/>
      <w:bookmarkStart w:id="263" w:name="_Toc440362566"/>
      <w:bookmarkStart w:id="264" w:name="_Toc450560002"/>
      <w:bookmarkStart w:id="265" w:name="_Toc455399532"/>
      <w:bookmarkStart w:id="266" w:name="_Toc528769117"/>
      <w:bookmarkStart w:id="267" w:name="_Toc532472878"/>
      <w:bookmarkStart w:id="268" w:name="_Toc532812102"/>
      <w:bookmarkStart w:id="269" w:name="_Toc2150447"/>
      <w:r>
        <w:rPr>
          <w:rStyle w:val="CharDivNo"/>
        </w:rPr>
        <w:t>Division 1</w:t>
      </w:r>
      <w:r>
        <w:t xml:space="preserve"> — </w:t>
      </w:r>
      <w:r>
        <w:rPr>
          <w:rStyle w:val="CharDivText"/>
        </w:rPr>
        <w:t>Payment</w:t>
      </w:r>
      <w:bookmarkEnd w:id="261"/>
      <w:bookmarkEnd w:id="262"/>
      <w:bookmarkEnd w:id="263"/>
      <w:bookmarkEnd w:id="264"/>
      <w:bookmarkEnd w:id="265"/>
      <w:bookmarkEnd w:id="266"/>
      <w:bookmarkEnd w:id="267"/>
      <w:bookmarkEnd w:id="268"/>
      <w:bookmarkEnd w:id="269"/>
    </w:p>
    <w:p>
      <w:pPr>
        <w:pStyle w:val="Heading5"/>
      </w:pPr>
      <w:bookmarkStart w:id="270" w:name="_Toc4580272"/>
      <w:bookmarkStart w:id="271" w:name="_Toc2150448"/>
      <w:r>
        <w:rPr>
          <w:rStyle w:val="CharSectno"/>
        </w:rPr>
        <w:t>45</w:t>
      </w:r>
      <w:r>
        <w:t>.</w:t>
      </w:r>
      <w:r>
        <w:tab/>
        <w:t>When tax is due for payment</w:t>
      </w:r>
      <w:bookmarkEnd w:id="270"/>
      <w:bookmarkEnd w:id="271"/>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No. 12 of 2004 s. 10.]</w:t>
      </w:r>
    </w:p>
    <w:p>
      <w:pPr>
        <w:pStyle w:val="Heading5"/>
      </w:pPr>
      <w:bookmarkStart w:id="272" w:name="_Toc4580273"/>
      <w:bookmarkStart w:id="273" w:name="_Toc2150449"/>
      <w:r>
        <w:rPr>
          <w:rStyle w:val="CharSectno"/>
        </w:rPr>
        <w:t>46</w:t>
      </w:r>
      <w:r>
        <w:t>.</w:t>
      </w:r>
      <w:r>
        <w:tab/>
        <w:t>Allocation of payment</w:t>
      </w:r>
      <w:bookmarkEnd w:id="272"/>
      <w:bookmarkEnd w:id="273"/>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274" w:name="_Toc4580274"/>
      <w:bookmarkStart w:id="275" w:name="_Toc2150450"/>
      <w:r>
        <w:rPr>
          <w:rStyle w:val="CharSectno"/>
        </w:rPr>
        <w:t>47</w:t>
      </w:r>
      <w:r>
        <w:t>.</w:t>
      </w:r>
      <w:r>
        <w:tab/>
        <w:t>Arrangements for instalments and extensions of time</w:t>
      </w:r>
      <w:bookmarkEnd w:id="274"/>
      <w:bookmarkEnd w:id="275"/>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No.</w:t>
      </w:r>
      <w:del w:id="276" w:author="svcMRProcess" w:date="2019-03-27T12:18:00Z">
        <w:r>
          <w:rPr>
            <w:iCs/>
          </w:rPr>
          <w:delText xml:space="preserve"> </w:delText>
        </w:r>
      </w:del>
      <w:ins w:id="277" w:author="svcMRProcess" w:date="2019-03-27T12:18:00Z">
        <w:r>
          <w:rPr>
            <w:iCs/>
          </w:rPr>
          <w:t> </w:t>
        </w:r>
      </w:ins>
      <w:r>
        <w:rPr>
          <w:iCs/>
        </w:rPr>
        <w:t>55 of 2004 s. 1179.]</w:t>
      </w:r>
    </w:p>
    <w:p>
      <w:pPr>
        <w:pStyle w:val="Heading5"/>
      </w:pPr>
      <w:bookmarkStart w:id="278" w:name="_Toc4580275"/>
      <w:bookmarkStart w:id="279" w:name="_Toc2150451"/>
      <w:r>
        <w:rPr>
          <w:rStyle w:val="CharSectno"/>
        </w:rPr>
        <w:t>48</w:t>
      </w:r>
      <w:r>
        <w:t>.</w:t>
      </w:r>
      <w:r>
        <w:tab/>
        <w:t>No action to compel approval of tax payment arrangement</w:t>
      </w:r>
      <w:bookmarkEnd w:id="278"/>
      <w:bookmarkEnd w:id="279"/>
    </w:p>
    <w:p>
      <w:pPr>
        <w:pStyle w:val="Subsection"/>
      </w:pPr>
      <w:r>
        <w:tab/>
      </w:r>
      <w:r>
        <w:tab/>
        <w:t>No action can be brought in a court to compel the Commissioner to approve a tax payment arrangement.</w:t>
      </w:r>
    </w:p>
    <w:p>
      <w:pPr>
        <w:pStyle w:val="Heading3"/>
      </w:pPr>
      <w:bookmarkStart w:id="280" w:name="_Toc4569677"/>
      <w:bookmarkStart w:id="281" w:name="_Toc4580276"/>
      <w:bookmarkStart w:id="282" w:name="_Toc440362571"/>
      <w:bookmarkStart w:id="283" w:name="_Toc450560007"/>
      <w:bookmarkStart w:id="284" w:name="_Toc455399537"/>
      <w:bookmarkStart w:id="285" w:name="_Toc528769122"/>
      <w:bookmarkStart w:id="286" w:name="_Toc532472883"/>
      <w:bookmarkStart w:id="287" w:name="_Toc532812107"/>
      <w:bookmarkStart w:id="288" w:name="_Toc2150452"/>
      <w:r>
        <w:rPr>
          <w:rStyle w:val="CharDivNo"/>
        </w:rPr>
        <w:t>Division 2</w:t>
      </w:r>
      <w:r>
        <w:t xml:space="preserve"> — </w:t>
      </w:r>
      <w:r>
        <w:rPr>
          <w:rStyle w:val="CharDivText"/>
        </w:rPr>
        <w:t>Special tax return arrangements</w:t>
      </w:r>
      <w:bookmarkEnd w:id="280"/>
      <w:bookmarkEnd w:id="281"/>
      <w:bookmarkEnd w:id="282"/>
      <w:bookmarkEnd w:id="283"/>
      <w:bookmarkEnd w:id="284"/>
      <w:bookmarkEnd w:id="285"/>
      <w:bookmarkEnd w:id="286"/>
      <w:bookmarkEnd w:id="287"/>
      <w:bookmarkEnd w:id="288"/>
    </w:p>
    <w:p>
      <w:pPr>
        <w:pStyle w:val="Heading5"/>
      </w:pPr>
      <w:bookmarkStart w:id="289" w:name="_Toc4580277"/>
      <w:bookmarkStart w:id="290" w:name="_Toc2150453"/>
      <w:r>
        <w:rPr>
          <w:rStyle w:val="CharSectno"/>
        </w:rPr>
        <w:t>49</w:t>
      </w:r>
      <w:r>
        <w:t>.</w:t>
      </w:r>
      <w:r>
        <w:tab/>
        <w:t>Approval of special tax return arrangements</w:t>
      </w:r>
      <w:bookmarkEnd w:id="289"/>
      <w:bookmarkEnd w:id="290"/>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291" w:name="_Toc4580278"/>
      <w:bookmarkStart w:id="292" w:name="_Toc2150454"/>
      <w:r>
        <w:rPr>
          <w:rStyle w:val="CharSectno"/>
        </w:rPr>
        <w:t>50</w:t>
      </w:r>
      <w:r>
        <w:t>.</w:t>
      </w:r>
      <w:r>
        <w:tab/>
        <w:t>Content of special tax return arrangement</w:t>
      </w:r>
      <w:bookmarkEnd w:id="291"/>
      <w:bookmarkEnd w:id="292"/>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No.</w:t>
      </w:r>
      <w:del w:id="293" w:author="svcMRProcess" w:date="2019-03-27T12:18:00Z">
        <w:r>
          <w:delText xml:space="preserve"> </w:delText>
        </w:r>
      </w:del>
      <w:ins w:id="294" w:author="svcMRProcess" w:date="2019-03-27T12:18:00Z">
        <w:r>
          <w:t> </w:t>
        </w:r>
      </w:ins>
      <w:r>
        <w:t>12 of 2005 s. 10; No. 12 of 2008 s. 42.]</w:t>
      </w:r>
    </w:p>
    <w:p>
      <w:pPr>
        <w:pStyle w:val="Heading5"/>
      </w:pPr>
      <w:bookmarkStart w:id="295" w:name="_Toc4580279"/>
      <w:bookmarkStart w:id="296" w:name="_Toc2150455"/>
      <w:r>
        <w:rPr>
          <w:rStyle w:val="CharSectno"/>
        </w:rPr>
        <w:t>51</w:t>
      </w:r>
      <w:r>
        <w:t>.</w:t>
      </w:r>
      <w:r>
        <w:tab/>
        <w:t>Improper endorsement or certification of instrument</w:t>
      </w:r>
      <w:bookmarkEnd w:id="295"/>
      <w:bookmarkEnd w:id="296"/>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No. 12 of 2008 s. 43.]</w:t>
      </w:r>
    </w:p>
    <w:p>
      <w:pPr>
        <w:pStyle w:val="Heading5"/>
      </w:pPr>
      <w:bookmarkStart w:id="297" w:name="_Toc4580280"/>
      <w:bookmarkStart w:id="298" w:name="_Toc2150456"/>
      <w:r>
        <w:rPr>
          <w:rStyle w:val="CharSectno"/>
        </w:rPr>
        <w:t>52</w:t>
      </w:r>
      <w:r>
        <w:t>.</w:t>
      </w:r>
      <w:r>
        <w:tab/>
        <w:t>Lodging returns under special tax return arrangement</w:t>
      </w:r>
      <w:bookmarkEnd w:id="297"/>
      <w:bookmarkEnd w:id="298"/>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299" w:name="_Toc4580281"/>
      <w:bookmarkStart w:id="300" w:name="_Toc2150457"/>
      <w:r>
        <w:rPr>
          <w:rStyle w:val="CharSectno"/>
        </w:rPr>
        <w:t>53</w:t>
      </w:r>
      <w:r>
        <w:t>.</w:t>
      </w:r>
      <w:r>
        <w:tab/>
        <w:t>Amendment or cancellation of arrangement</w:t>
      </w:r>
      <w:bookmarkEnd w:id="299"/>
      <w:bookmarkEnd w:id="300"/>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ageBreakBefore/>
        <w:spacing w:before="0"/>
      </w:pPr>
      <w:bookmarkStart w:id="301" w:name="_Toc4569683"/>
      <w:bookmarkStart w:id="302" w:name="_Toc4580282"/>
      <w:bookmarkStart w:id="303" w:name="_Toc440362577"/>
      <w:bookmarkStart w:id="304" w:name="_Toc450560013"/>
      <w:bookmarkStart w:id="305" w:name="_Toc455399543"/>
      <w:bookmarkStart w:id="306" w:name="_Toc528769128"/>
      <w:bookmarkStart w:id="307" w:name="_Toc532472889"/>
      <w:bookmarkStart w:id="308" w:name="_Toc532812113"/>
      <w:bookmarkStart w:id="309" w:name="_Toc2150458"/>
      <w:r>
        <w:rPr>
          <w:rStyle w:val="CharDivNo"/>
        </w:rPr>
        <w:t>Division 3</w:t>
      </w:r>
      <w:r>
        <w:t xml:space="preserve"> — </w:t>
      </w:r>
      <w:r>
        <w:rPr>
          <w:rStyle w:val="CharDivText"/>
        </w:rPr>
        <w:t>Refunds of tax</w:t>
      </w:r>
      <w:bookmarkEnd w:id="301"/>
      <w:bookmarkEnd w:id="302"/>
      <w:bookmarkEnd w:id="303"/>
      <w:bookmarkEnd w:id="304"/>
      <w:bookmarkEnd w:id="305"/>
      <w:bookmarkEnd w:id="306"/>
      <w:bookmarkEnd w:id="307"/>
      <w:bookmarkEnd w:id="308"/>
      <w:bookmarkEnd w:id="309"/>
    </w:p>
    <w:p>
      <w:pPr>
        <w:pStyle w:val="Heading5"/>
      </w:pPr>
      <w:bookmarkStart w:id="310" w:name="_Toc4580283"/>
      <w:bookmarkStart w:id="311" w:name="_Toc2150459"/>
      <w:r>
        <w:rPr>
          <w:rStyle w:val="CharSectno"/>
        </w:rPr>
        <w:t>54</w:t>
      </w:r>
      <w:r>
        <w:t>.</w:t>
      </w:r>
      <w:r>
        <w:tab/>
        <w:t>Refunds</w:t>
      </w:r>
      <w:bookmarkEnd w:id="310"/>
      <w:bookmarkEnd w:id="311"/>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No. 10 of 2013 s. 24.]</w:t>
      </w:r>
    </w:p>
    <w:p>
      <w:pPr>
        <w:pStyle w:val="Heading5"/>
      </w:pPr>
      <w:bookmarkStart w:id="312" w:name="_Toc4580284"/>
      <w:bookmarkStart w:id="313" w:name="_Toc2150460"/>
      <w:r>
        <w:rPr>
          <w:rStyle w:val="CharSectno"/>
        </w:rPr>
        <w:t>55A</w:t>
      </w:r>
      <w:r>
        <w:t>.</w:t>
      </w:r>
      <w:r>
        <w:tab/>
        <w:t>Unused credit</w:t>
      </w:r>
      <w:bookmarkEnd w:id="312"/>
      <w:bookmarkEnd w:id="313"/>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No. 31 of 2008 s. 25.]</w:t>
      </w:r>
    </w:p>
    <w:p>
      <w:pPr>
        <w:pStyle w:val="Heading5"/>
        <w:keepLines w:val="0"/>
        <w:pageBreakBefore/>
        <w:spacing w:before="0"/>
      </w:pPr>
      <w:bookmarkStart w:id="314" w:name="_Toc4580285"/>
      <w:bookmarkStart w:id="315" w:name="_Toc2150461"/>
      <w:r>
        <w:rPr>
          <w:rStyle w:val="CharSectno"/>
        </w:rPr>
        <w:t>55</w:t>
      </w:r>
      <w:r>
        <w:t>.</w:t>
      </w:r>
      <w:r>
        <w:tab/>
        <w:t>Refunds or credits to be passed on to third parties in some cases</w:t>
      </w:r>
      <w:bookmarkEnd w:id="314"/>
      <w:bookmarkEnd w:id="315"/>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No. 12 of 2008 s. 44; No. 17 of 2010 s. 30(4).]</w:t>
      </w:r>
    </w:p>
    <w:p>
      <w:pPr>
        <w:pStyle w:val="Heading3"/>
        <w:spacing w:before="280"/>
      </w:pPr>
      <w:bookmarkStart w:id="316" w:name="_Toc4569687"/>
      <w:bookmarkStart w:id="317" w:name="_Toc4580286"/>
      <w:bookmarkStart w:id="318" w:name="_Toc440362581"/>
      <w:bookmarkStart w:id="319" w:name="_Toc450560017"/>
      <w:bookmarkStart w:id="320" w:name="_Toc455399547"/>
      <w:bookmarkStart w:id="321" w:name="_Toc528769132"/>
      <w:bookmarkStart w:id="322" w:name="_Toc532472893"/>
      <w:bookmarkStart w:id="323" w:name="_Toc532812117"/>
      <w:bookmarkStart w:id="324" w:name="_Toc2150462"/>
      <w:r>
        <w:rPr>
          <w:rStyle w:val="CharDivNo"/>
        </w:rPr>
        <w:t>Division 4</w:t>
      </w:r>
      <w:r>
        <w:t xml:space="preserve"> — </w:t>
      </w:r>
      <w:r>
        <w:rPr>
          <w:rStyle w:val="CharDivText"/>
        </w:rPr>
        <w:t>Power to waive or write off liability</w:t>
      </w:r>
      <w:bookmarkEnd w:id="316"/>
      <w:bookmarkEnd w:id="317"/>
      <w:bookmarkEnd w:id="318"/>
      <w:bookmarkEnd w:id="319"/>
      <w:bookmarkEnd w:id="320"/>
      <w:bookmarkEnd w:id="321"/>
      <w:bookmarkEnd w:id="322"/>
      <w:bookmarkEnd w:id="323"/>
      <w:bookmarkEnd w:id="324"/>
    </w:p>
    <w:p>
      <w:pPr>
        <w:pStyle w:val="Heading5"/>
      </w:pPr>
      <w:bookmarkStart w:id="325" w:name="_Toc4580287"/>
      <w:bookmarkStart w:id="326" w:name="_Toc2150463"/>
      <w:r>
        <w:rPr>
          <w:rStyle w:val="CharSectno"/>
        </w:rPr>
        <w:t>56</w:t>
      </w:r>
      <w:r>
        <w:t>.</w:t>
      </w:r>
      <w:r>
        <w:tab/>
        <w:t>Waiving tax</w:t>
      </w:r>
      <w:bookmarkEnd w:id="325"/>
      <w:bookmarkEnd w:id="326"/>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Subsection"/>
      </w:pPr>
      <w:r>
        <w:tab/>
        <w:t>(3)</w:t>
      </w:r>
      <w:r>
        <w:tab/>
        <w:t>A decision by the Commissioner to waive tax, or not to waive tax, is directly reviewable.</w:t>
      </w:r>
    </w:p>
    <w:p>
      <w:pPr>
        <w:pStyle w:val="Footnotesection"/>
      </w:pPr>
      <w:r>
        <w:tab/>
        <w:t>[Section 56 amended: No.</w:t>
      </w:r>
      <w:del w:id="327" w:author="svcMRProcess" w:date="2019-03-27T12:18:00Z">
        <w:r>
          <w:delText xml:space="preserve"> </w:delText>
        </w:r>
      </w:del>
      <w:ins w:id="328" w:author="svcMRProcess" w:date="2019-03-27T12:18:00Z">
        <w:r>
          <w:t> </w:t>
        </w:r>
      </w:ins>
      <w:r>
        <w:t>55 of 2004 s. 1180.]</w:t>
      </w:r>
    </w:p>
    <w:p>
      <w:pPr>
        <w:pStyle w:val="Heading5"/>
      </w:pPr>
      <w:bookmarkStart w:id="329" w:name="_Toc4580288"/>
      <w:bookmarkStart w:id="330" w:name="_Toc2150464"/>
      <w:r>
        <w:rPr>
          <w:rStyle w:val="CharSectno"/>
        </w:rPr>
        <w:t>57</w:t>
      </w:r>
      <w:r>
        <w:t>.</w:t>
      </w:r>
      <w:r>
        <w:tab/>
        <w:t>Writing off tax liability</w:t>
      </w:r>
      <w:bookmarkEnd w:id="329"/>
      <w:bookmarkEnd w:id="330"/>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keepNext/>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No.</w:t>
      </w:r>
      <w:del w:id="331" w:author="svcMRProcess" w:date="2019-03-27T12:18:00Z">
        <w:r>
          <w:rPr>
            <w:iCs/>
          </w:rPr>
          <w:delText xml:space="preserve"> </w:delText>
        </w:r>
      </w:del>
      <w:ins w:id="332" w:author="svcMRProcess" w:date="2019-03-27T12:18:00Z">
        <w:r>
          <w:rPr>
            <w:iCs/>
          </w:rPr>
          <w:t> </w:t>
        </w:r>
      </w:ins>
      <w:r>
        <w:rPr>
          <w:iCs/>
        </w:rPr>
        <w:t>55 of 2004 s. 1181.]</w:t>
      </w:r>
    </w:p>
    <w:p>
      <w:pPr>
        <w:pStyle w:val="Heading5"/>
      </w:pPr>
      <w:bookmarkStart w:id="333" w:name="_Toc4580289"/>
      <w:bookmarkStart w:id="334" w:name="_Toc2150465"/>
      <w:r>
        <w:rPr>
          <w:rStyle w:val="CharSectno"/>
        </w:rPr>
        <w:t>58</w:t>
      </w:r>
      <w:r>
        <w:t>.</w:t>
      </w:r>
      <w:r>
        <w:tab/>
        <w:t>Powers subject to</w:t>
      </w:r>
      <w:r>
        <w:rPr>
          <w:i/>
        </w:rPr>
        <w:t xml:space="preserve"> Financial Management Act 2006</w:t>
      </w:r>
      <w:bookmarkEnd w:id="333"/>
      <w:bookmarkEnd w:id="334"/>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No.</w:t>
      </w:r>
      <w:del w:id="335" w:author="svcMRProcess" w:date="2019-03-27T12:18:00Z">
        <w:r>
          <w:delText xml:space="preserve"> </w:delText>
        </w:r>
      </w:del>
      <w:ins w:id="336" w:author="svcMRProcess" w:date="2019-03-27T12:18:00Z">
        <w:r>
          <w:t> </w:t>
        </w:r>
      </w:ins>
      <w:r>
        <w:t>77 of 2006 Sch. 1 cl. 166.]</w:t>
      </w:r>
    </w:p>
    <w:p>
      <w:pPr>
        <w:pStyle w:val="Heading5"/>
      </w:pPr>
      <w:bookmarkStart w:id="337" w:name="_Toc4580290"/>
      <w:bookmarkStart w:id="338" w:name="_Toc2150466"/>
      <w:r>
        <w:rPr>
          <w:rStyle w:val="CharSectno"/>
        </w:rPr>
        <w:t>59.</w:t>
      </w:r>
      <w:r>
        <w:tab/>
        <w:t>No action to compel waiver or writing off</w:t>
      </w:r>
      <w:bookmarkEnd w:id="337"/>
      <w:bookmarkEnd w:id="338"/>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No.</w:t>
      </w:r>
      <w:del w:id="339" w:author="svcMRProcess" w:date="2019-03-27T12:18:00Z">
        <w:r>
          <w:rPr>
            <w:iCs/>
          </w:rPr>
          <w:delText xml:space="preserve"> </w:delText>
        </w:r>
      </w:del>
      <w:ins w:id="340" w:author="svcMRProcess" w:date="2019-03-27T12:18:00Z">
        <w:r>
          <w:rPr>
            <w:iCs/>
          </w:rPr>
          <w:t> </w:t>
        </w:r>
      </w:ins>
      <w:r>
        <w:rPr>
          <w:iCs/>
        </w:rPr>
        <w:t>55 of 2004 s. 1182.]</w:t>
      </w:r>
    </w:p>
    <w:p>
      <w:pPr>
        <w:pStyle w:val="Heading2"/>
      </w:pPr>
      <w:bookmarkStart w:id="341" w:name="_Toc4569692"/>
      <w:bookmarkStart w:id="342" w:name="_Toc4580291"/>
      <w:bookmarkStart w:id="343" w:name="_Toc440362586"/>
      <w:bookmarkStart w:id="344" w:name="_Toc450560022"/>
      <w:bookmarkStart w:id="345" w:name="_Toc455399552"/>
      <w:bookmarkStart w:id="346" w:name="_Toc528769137"/>
      <w:bookmarkStart w:id="347" w:name="_Toc532472898"/>
      <w:bookmarkStart w:id="348" w:name="_Toc532812122"/>
      <w:bookmarkStart w:id="349" w:name="_Toc2150467"/>
      <w:r>
        <w:rPr>
          <w:rStyle w:val="CharPartNo"/>
        </w:rPr>
        <w:t>Part 6</w:t>
      </w:r>
      <w:r>
        <w:t xml:space="preserve"> — </w:t>
      </w:r>
      <w:r>
        <w:rPr>
          <w:rStyle w:val="CharPartText"/>
        </w:rPr>
        <w:t>Recovery of tax</w:t>
      </w:r>
      <w:bookmarkEnd w:id="341"/>
      <w:bookmarkEnd w:id="342"/>
      <w:bookmarkEnd w:id="343"/>
      <w:bookmarkEnd w:id="344"/>
      <w:bookmarkEnd w:id="345"/>
      <w:bookmarkEnd w:id="346"/>
      <w:bookmarkEnd w:id="347"/>
      <w:bookmarkEnd w:id="348"/>
      <w:bookmarkEnd w:id="349"/>
    </w:p>
    <w:p>
      <w:pPr>
        <w:pStyle w:val="Heading3"/>
      </w:pPr>
      <w:bookmarkStart w:id="350" w:name="_Toc4569693"/>
      <w:bookmarkStart w:id="351" w:name="_Toc4580292"/>
      <w:bookmarkStart w:id="352" w:name="_Toc440362587"/>
      <w:bookmarkStart w:id="353" w:name="_Toc450560023"/>
      <w:bookmarkStart w:id="354" w:name="_Toc455399553"/>
      <w:bookmarkStart w:id="355" w:name="_Toc528769138"/>
      <w:bookmarkStart w:id="356" w:name="_Toc532472899"/>
      <w:bookmarkStart w:id="357" w:name="_Toc532812123"/>
      <w:bookmarkStart w:id="358" w:name="_Toc2150468"/>
      <w:r>
        <w:rPr>
          <w:rStyle w:val="CharDivNo"/>
        </w:rPr>
        <w:t>Division 1</w:t>
      </w:r>
      <w:r>
        <w:t xml:space="preserve"> — </w:t>
      </w:r>
      <w:r>
        <w:rPr>
          <w:rStyle w:val="CharDivText"/>
        </w:rPr>
        <w:t>Recovery generally</w:t>
      </w:r>
      <w:bookmarkEnd w:id="350"/>
      <w:bookmarkEnd w:id="351"/>
      <w:bookmarkEnd w:id="352"/>
      <w:bookmarkEnd w:id="353"/>
      <w:bookmarkEnd w:id="354"/>
      <w:bookmarkEnd w:id="355"/>
      <w:bookmarkEnd w:id="356"/>
      <w:bookmarkEnd w:id="357"/>
      <w:bookmarkEnd w:id="358"/>
    </w:p>
    <w:p>
      <w:pPr>
        <w:pStyle w:val="Heading5"/>
      </w:pPr>
      <w:bookmarkStart w:id="359" w:name="_Toc4580293"/>
      <w:bookmarkStart w:id="360" w:name="_Toc2150469"/>
      <w:r>
        <w:rPr>
          <w:rStyle w:val="CharSectno"/>
        </w:rPr>
        <w:t>60</w:t>
      </w:r>
      <w:r>
        <w:t>.</w:t>
      </w:r>
      <w:r>
        <w:tab/>
        <w:t>Recovery of unpaid tax</w:t>
      </w:r>
      <w:bookmarkEnd w:id="359"/>
      <w:bookmarkEnd w:id="360"/>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Footnotesection"/>
      </w:pPr>
      <w:r>
        <w:tab/>
        <w:t>[Section 60, modifications have effect under the Commonwealth Places (Mirror Taxes) Act 1998 (Cth), see note 1MC.]</w:t>
      </w:r>
    </w:p>
    <w:p>
      <w:pPr>
        <w:pStyle w:val="Heading5"/>
      </w:pPr>
      <w:bookmarkStart w:id="361" w:name="_Toc4580294"/>
      <w:bookmarkStart w:id="362" w:name="_Toc2150470"/>
      <w:r>
        <w:rPr>
          <w:rStyle w:val="CharSectno"/>
        </w:rPr>
        <w:t>61</w:t>
      </w:r>
      <w:r>
        <w:t>.</w:t>
      </w:r>
      <w:r>
        <w:tab/>
        <w:t>Power of court to order payment of tax</w:t>
      </w:r>
      <w:bookmarkEnd w:id="361"/>
      <w:bookmarkEnd w:id="362"/>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363" w:name="_Toc4580295"/>
      <w:bookmarkStart w:id="364" w:name="_Toc2150471"/>
      <w:r>
        <w:rPr>
          <w:rStyle w:val="CharSectno"/>
        </w:rPr>
        <w:t>62</w:t>
      </w:r>
      <w:r>
        <w:t>.</w:t>
      </w:r>
      <w:r>
        <w:tab/>
        <w:t>This Part applies to tax and also costs and interest</w:t>
      </w:r>
      <w:bookmarkEnd w:id="363"/>
      <w:bookmarkEnd w:id="364"/>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No. 17 of 2010 s. 26.]</w:t>
      </w:r>
    </w:p>
    <w:p>
      <w:pPr>
        <w:pStyle w:val="Heading5"/>
      </w:pPr>
      <w:bookmarkStart w:id="365" w:name="_Toc4580296"/>
      <w:bookmarkStart w:id="366" w:name="_Toc2150472"/>
      <w:r>
        <w:rPr>
          <w:rStyle w:val="CharSectno"/>
        </w:rPr>
        <w:t>63</w:t>
      </w:r>
      <w:r>
        <w:t>.</w:t>
      </w:r>
      <w:r>
        <w:tab/>
        <w:t>Recovery in cases of joint liability</w:t>
      </w:r>
      <w:bookmarkEnd w:id="365"/>
      <w:bookmarkEnd w:id="366"/>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367" w:name="_Toc4580297"/>
      <w:bookmarkStart w:id="368" w:name="_Toc2150473"/>
      <w:r>
        <w:rPr>
          <w:rStyle w:val="CharSectno"/>
        </w:rPr>
        <w:t>64</w:t>
      </w:r>
      <w:r>
        <w:t>.</w:t>
      </w:r>
      <w:r>
        <w:tab/>
        <w:t>Notice of administrator’s appointment</w:t>
      </w:r>
      <w:bookmarkEnd w:id="367"/>
      <w:bookmarkEnd w:id="368"/>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369" w:name="_Toc4580298"/>
      <w:bookmarkStart w:id="370" w:name="_Toc2150474"/>
      <w:r>
        <w:rPr>
          <w:rStyle w:val="CharSectno"/>
        </w:rPr>
        <w:t>65</w:t>
      </w:r>
      <w:r>
        <w:t>.</w:t>
      </w:r>
      <w:r>
        <w:tab/>
        <w:t>Recovery from garnishee</w:t>
      </w:r>
      <w:bookmarkEnd w:id="369"/>
      <w:bookmarkEnd w:id="370"/>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spacing w:before="120"/>
      </w:pPr>
      <w:r>
        <w:tab/>
        <w:t>(3)</w:t>
      </w:r>
      <w:r>
        <w:tab/>
        <w:t>The Commissioner may serve a garnishee notice even though the taxpayer’s entitlement to the money may be subject to unfulfilled conditions.</w:t>
      </w:r>
    </w:p>
    <w:p>
      <w:pPr>
        <w:pStyle w:val="Subsection"/>
        <w:spacing w:before="120"/>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spacing w:before="120"/>
      </w:pPr>
      <w:r>
        <w:tab/>
        <w:t>(5)</w:t>
      </w:r>
      <w:r>
        <w:tab/>
        <w:t>The Commissioner must serve a copy of the garnishee notice on the taxpayer.</w:t>
      </w:r>
    </w:p>
    <w:p>
      <w:pPr>
        <w:pStyle w:val="Subsection"/>
        <w:spacing w:before="120"/>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spacing w:before="140"/>
      </w:pPr>
      <w:r>
        <w:tab/>
        <w:t>(7)</w:t>
      </w:r>
      <w:r>
        <w:tab/>
        <w:t>A garnishee who does not comply with a garnishee notice commits an offence.</w:t>
      </w:r>
    </w:p>
    <w:p>
      <w:pPr>
        <w:pStyle w:val="Penstart"/>
      </w:pPr>
      <w:r>
        <w:tab/>
        <w:t>Penalty: $20 000.</w:t>
      </w:r>
    </w:p>
    <w:p>
      <w:pPr>
        <w:pStyle w:val="Subsection"/>
        <w:spacing w:before="140"/>
      </w:pPr>
      <w:r>
        <w:tab/>
        <w:t>(8)</w:t>
      </w:r>
      <w:r>
        <w:tab/>
        <w:t>A garnishee who is under an obligation to pay money to the taxpayer is taken to have satisfied that obligation to the extent of the payment made under the garnishee notice.</w:t>
      </w:r>
    </w:p>
    <w:p>
      <w:pPr>
        <w:pStyle w:val="Heading5"/>
        <w:keepNext w:val="0"/>
        <w:keepLines w:val="0"/>
        <w:pageBreakBefore/>
      </w:pPr>
      <w:bookmarkStart w:id="371" w:name="_Toc4580299"/>
      <w:bookmarkStart w:id="372" w:name="_Toc2150475"/>
      <w:r>
        <w:rPr>
          <w:rStyle w:val="CharSectno"/>
        </w:rPr>
        <w:t>66</w:t>
      </w:r>
      <w:r>
        <w:t>.</w:t>
      </w:r>
      <w:r>
        <w:tab/>
        <w:t>Recovery from partnerships</w:t>
      </w:r>
      <w:bookmarkEnd w:id="371"/>
      <w:bookmarkEnd w:id="372"/>
    </w:p>
    <w:p>
      <w:pPr>
        <w:pStyle w:val="Subsection"/>
        <w:spacing w:before="120"/>
      </w:pPr>
      <w:r>
        <w:tab/>
      </w:r>
      <w:r>
        <w:tab/>
        <w:t>If a tax liability is incurred by or on behalf of a partnership, the tax is recoverable jointly and severally from any one or more of the partners.</w:t>
      </w:r>
    </w:p>
    <w:p>
      <w:pPr>
        <w:pStyle w:val="Heading5"/>
      </w:pPr>
      <w:bookmarkStart w:id="373" w:name="_Toc4580300"/>
      <w:bookmarkStart w:id="374" w:name="_Toc2150476"/>
      <w:r>
        <w:rPr>
          <w:rStyle w:val="CharSectno"/>
        </w:rPr>
        <w:t>67</w:t>
      </w:r>
      <w:r>
        <w:t>.</w:t>
      </w:r>
      <w:r>
        <w:tab/>
        <w:t>Recovery from directors of body corporate</w:t>
      </w:r>
      <w:bookmarkEnd w:id="373"/>
      <w:bookmarkEnd w:id="374"/>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keepNext/>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pPr>
      <w:r>
        <w:tab/>
        <w:t>(b)</w:t>
      </w:r>
      <w:r>
        <w:tab/>
        <w:t xml:space="preserve">a director of a body that is incorporated or taken to be incorporated under the </w:t>
      </w:r>
      <w:r>
        <w:rPr>
          <w:i/>
        </w:rPr>
        <w:t>Associations Incorporation Act 2015</w:t>
      </w:r>
      <w:r>
        <w:t>.</w:t>
      </w:r>
    </w:p>
    <w:p>
      <w:pPr>
        <w:pStyle w:val="Footnotesection"/>
      </w:pPr>
      <w:r>
        <w:tab/>
        <w:t>[Section 67 amended: No. 30 of 2015 s. 229.]</w:t>
      </w:r>
    </w:p>
    <w:p>
      <w:pPr>
        <w:pStyle w:val="Heading5"/>
        <w:spacing w:before="180"/>
      </w:pPr>
      <w:bookmarkStart w:id="375" w:name="_Toc4580301"/>
      <w:bookmarkStart w:id="376" w:name="_Toc2150477"/>
      <w:r>
        <w:rPr>
          <w:rStyle w:val="CharSectno"/>
        </w:rPr>
        <w:t>68</w:t>
      </w:r>
      <w:r>
        <w:t>.</w:t>
      </w:r>
      <w:r>
        <w:tab/>
        <w:t>Director or body corporate may apply to Supreme Court to set aside s. 67 notice</w:t>
      </w:r>
      <w:bookmarkEnd w:id="375"/>
      <w:bookmarkEnd w:id="376"/>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spacing w:before="180"/>
      </w:pPr>
      <w:bookmarkStart w:id="377" w:name="_Toc4580302"/>
      <w:bookmarkStart w:id="378" w:name="_Toc2150478"/>
      <w:r>
        <w:rPr>
          <w:rStyle w:val="CharSectno"/>
        </w:rPr>
        <w:t>69</w:t>
      </w:r>
      <w:r>
        <w:t>.</w:t>
      </w:r>
      <w:r>
        <w:tab/>
        <w:t>Proceedings on s. 68 application where genuine dispute as to assessment of pay-roll tax</w:t>
      </w:r>
      <w:bookmarkEnd w:id="377"/>
      <w:bookmarkEnd w:id="378"/>
    </w:p>
    <w:p>
      <w:pPr>
        <w:pStyle w:val="Subsection"/>
        <w:keepNext/>
        <w:spacing w:before="120"/>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379" w:name="_Toc4580303"/>
      <w:bookmarkStart w:id="380" w:name="_Toc2150479"/>
      <w:r>
        <w:rPr>
          <w:rStyle w:val="CharSectno"/>
        </w:rPr>
        <w:t>70</w:t>
      </w:r>
      <w:r>
        <w:t>.</w:t>
      </w:r>
      <w:r>
        <w:tab/>
        <w:t>On s. 68 application, court may set aside s. 67 notice etc.</w:t>
      </w:r>
      <w:bookmarkEnd w:id="379"/>
      <w:bookmarkEnd w:id="380"/>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381" w:name="_Toc4580304"/>
      <w:bookmarkStart w:id="382" w:name="_Toc2150480"/>
      <w:r>
        <w:rPr>
          <w:rStyle w:val="CharSectno"/>
        </w:rPr>
        <w:t>71</w:t>
      </w:r>
      <w:r>
        <w:t>.</w:t>
      </w:r>
      <w:r>
        <w:tab/>
        <w:t>Effect of order setting aside s. 67 notice</w:t>
      </w:r>
      <w:bookmarkEnd w:id="381"/>
      <w:bookmarkEnd w:id="382"/>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383" w:name="_Toc4580305"/>
      <w:bookmarkStart w:id="384" w:name="_Toc2150481"/>
      <w:r>
        <w:rPr>
          <w:rStyle w:val="CharSectno"/>
        </w:rPr>
        <w:t>72</w:t>
      </w:r>
      <w:r>
        <w:t>.</w:t>
      </w:r>
      <w:r>
        <w:tab/>
        <w:t>Dismissal of s. 68 application</w:t>
      </w:r>
      <w:bookmarkEnd w:id="383"/>
      <w:bookmarkEnd w:id="384"/>
    </w:p>
    <w:p>
      <w:pPr>
        <w:pStyle w:val="Subsection"/>
      </w:pPr>
      <w:r>
        <w:tab/>
      </w:r>
      <w:r>
        <w:tab/>
        <w:t>Unless the court makes, on an application under section 68, an order under section 69 or 70, the court is to dismiss the application.</w:t>
      </w:r>
    </w:p>
    <w:p>
      <w:pPr>
        <w:pStyle w:val="Heading5"/>
      </w:pPr>
      <w:bookmarkStart w:id="385" w:name="_Toc4580306"/>
      <w:bookmarkStart w:id="386" w:name="_Toc2150482"/>
      <w:r>
        <w:rPr>
          <w:rStyle w:val="CharSectno"/>
        </w:rPr>
        <w:t>73</w:t>
      </w:r>
      <w:r>
        <w:t>.</w:t>
      </w:r>
      <w:r>
        <w:tab/>
        <w:t>Order under s. 69 or 70 may be subject to conditions</w:t>
      </w:r>
      <w:bookmarkEnd w:id="385"/>
      <w:bookmarkEnd w:id="386"/>
    </w:p>
    <w:p>
      <w:pPr>
        <w:pStyle w:val="Subsection"/>
      </w:pPr>
      <w:r>
        <w:tab/>
      </w:r>
      <w:r>
        <w:tab/>
        <w:t>An order under section 69 or 70 may be made subject to conditions.</w:t>
      </w:r>
    </w:p>
    <w:p>
      <w:pPr>
        <w:pStyle w:val="Heading5"/>
      </w:pPr>
      <w:bookmarkStart w:id="387" w:name="_Toc4580307"/>
      <w:bookmarkStart w:id="388" w:name="_Toc2150483"/>
      <w:r>
        <w:rPr>
          <w:rStyle w:val="CharSectno"/>
        </w:rPr>
        <w:t>74</w:t>
      </w:r>
      <w:r>
        <w:t>.</w:t>
      </w:r>
      <w:r>
        <w:tab/>
        <w:t>Costs where applicant successful</w:t>
      </w:r>
      <w:bookmarkEnd w:id="387"/>
      <w:bookmarkEnd w:id="388"/>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389" w:name="_Toc4580308"/>
      <w:bookmarkStart w:id="390" w:name="_Toc2150484"/>
      <w:r>
        <w:rPr>
          <w:rStyle w:val="CharSectno"/>
        </w:rPr>
        <w:t>75</w:t>
      </w:r>
      <w:r>
        <w:t>.</w:t>
      </w:r>
      <w:r>
        <w:tab/>
        <w:t>Period for complying with s. 67 notice if s. 68 application made</w:t>
      </w:r>
      <w:bookmarkEnd w:id="389"/>
      <w:bookmarkEnd w:id="390"/>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391" w:name="_Toc4569710"/>
      <w:bookmarkStart w:id="392" w:name="_Toc4580309"/>
      <w:bookmarkStart w:id="393" w:name="_Toc440362604"/>
      <w:bookmarkStart w:id="394" w:name="_Toc450560040"/>
      <w:bookmarkStart w:id="395" w:name="_Toc455399570"/>
      <w:bookmarkStart w:id="396" w:name="_Toc528769155"/>
      <w:bookmarkStart w:id="397" w:name="_Toc532472916"/>
      <w:bookmarkStart w:id="398" w:name="_Toc532812140"/>
      <w:bookmarkStart w:id="399" w:name="_Toc2150485"/>
      <w:r>
        <w:rPr>
          <w:rStyle w:val="CharDivNo"/>
        </w:rPr>
        <w:t>Division 2</w:t>
      </w:r>
      <w:r>
        <w:t xml:space="preserve"> — </w:t>
      </w:r>
      <w:r>
        <w:rPr>
          <w:rStyle w:val="CharDivText"/>
        </w:rPr>
        <w:t>Charges on land</w:t>
      </w:r>
      <w:bookmarkEnd w:id="391"/>
      <w:bookmarkEnd w:id="392"/>
      <w:bookmarkEnd w:id="393"/>
      <w:bookmarkEnd w:id="394"/>
      <w:bookmarkEnd w:id="395"/>
      <w:bookmarkEnd w:id="396"/>
      <w:bookmarkEnd w:id="397"/>
      <w:bookmarkEnd w:id="398"/>
      <w:bookmarkEnd w:id="399"/>
    </w:p>
    <w:p>
      <w:pPr>
        <w:pStyle w:val="Heading5"/>
        <w:spacing w:before="180"/>
      </w:pPr>
      <w:bookmarkStart w:id="400" w:name="_Toc4580310"/>
      <w:bookmarkStart w:id="401" w:name="_Toc2150486"/>
      <w:r>
        <w:rPr>
          <w:rStyle w:val="CharSectno"/>
        </w:rPr>
        <w:t>76A</w:t>
      </w:r>
      <w:r>
        <w:t>.</w:t>
      </w:r>
      <w:r>
        <w:tab/>
        <w:t>Terms used</w:t>
      </w:r>
      <w:bookmarkEnd w:id="400"/>
      <w:bookmarkEnd w:id="401"/>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Footnotesection"/>
      </w:pPr>
      <w:r>
        <w:tab/>
        <w:t>[Section 76A inserted: No. 31 of 2008 s. 4; amended: No. 31 of 2008 s. 18; No. 10 of 2013 s. 35.]</w:t>
      </w:r>
    </w:p>
    <w:p>
      <w:pPr>
        <w:pStyle w:val="Heading5"/>
      </w:pPr>
      <w:bookmarkStart w:id="402" w:name="_Toc4580311"/>
      <w:bookmarkStart w:id="403" w:name="_Toc2150487"/>
      <w:r>
        <w:rPr>
          <w:rStyle w:val="CharSectno"/>
        </w:rPr>
        <w:t>76</w:t>
      </w:r>
      <w:r>
        <w:t>.</w:t>
      </w:r>
      <w:r>
        <w:tab/>
        <w:t>Charge on land to secure land tax</w:t>
      </w:r>
      <w:bookmarkEnd w:id="402"/>
      <w:bookmarkEnd w:id="403"/>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Ednotesubsection"/>
        <w:spacing w:before="120"/>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spacing w:before="120"/>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spacing w:before="120"/>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No. 31 of 2008 s. 5 and 26; No. 29 of 2012 s. 42 </w:t>
      </w:r>
      <w:r>
        <w:rPr>
          <w:vertAlign w:val="superscript"/>
        </w:rPr>
        <w:t>3</w:t>
      </w:r>
      <w:r>
        <w:t>.]</w:t>
      </w:r>
    </w:p>
    <w:p>
      <w:pPr>
        <w:pStyle w:val="Footnotesection"/>
      </w:pPr>
      <w:r>
        <w:tab/>
        <w:t>[Section 76, modifications have effect under the Commonwealth Places (Mirror Taxes) Act 1998 (Cth), see note 1MC.]</w:t>
      </w:r>
    </w:p>
    <w:p>
      <w:pPr>
        <w:pStyle w:val="Heading5"/>
        <w:keepNext w:val="0"/>
        <w:keepLines w:val="0"/>
        <w:spacing w:before="180"/>
      </w:pPr>
      <w:bookmarkStart w:id="404" w:name="_Toc4580312"/>
      <w:bookmarkStart w:id="405" w:name="_Toc2150488"/>
      <w:r>
        <w:rPr>
          <w:rStyle w:val="CharSectno"/>
        </w:rPr>
        <w:t>77</w:t>
      </w:r>
      <w:r>
        <w:t>.</w:t>
      </w:r>
      <w:r>
        <w:tab/>
        <w:t>Charge on land to secure stamp duty</w:t>
      </w:r>
      <w:bookmarkEnd w:id="404"/>
      <w:bookmarkEnd w:id="405"/>
    </w:p>
    <w:p>
      <w:pPr>
        <w:pStyle w:val="Subsection"/>
        <w:spacing w:before="120"/>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No. 12 of 2004 s. 11; No. 31 of 2008 s. 6.]</w:t>
      </w:r>
    </w:p>
    <w:p>
      <w:pPr>
        <w:pStyle w:val="Footnotesection"/>
        <w:ind w:left="890" w:hanging="890"/>
      </w:pPr>
      <w:r>
        <w:tab/>
        <w:t>[Section 77, modifications have effect under the Commonwealth Places (Mirror Taxes) Act 1998 (Cth), see note 1MC.]</w:t>
      </w:r>
    </w:p>
    <w:p>
      <w:pPr>
        <w:pStyle w:val="Heading5"/>
      </w:pPr>
      <w:bookmarkStart w:id="406" w:name="_Toc4580313"/>
      <w:bookmarkStart w:id="407" w:name="_Toc2150489"/>
      <w:r>
        <w:rPr>
          <w:rStyle w:val="CharSectno"/>
        </w:rPr>
        <w:t>77A</w:t>
      </w:r>
      <w:r>
        <w:t>.</w:t>
      </w:r>
      <w:r>
        <w:tab/>
        <w:t>Charge on land to secure transfer duty or landholder duty</w:t>
      </w:r>
      <w:bookmarkEnd w:id="406"/>
      <w:bookmarkEnd w:id="407"/>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spacing w:before="180"/>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spacing w:before="180"/>
      </w:pPr>
      <w:r>
        <w:tab/>
        <w:t>(5)</w:t>
      </w:r>
      <w:r>
        <w:tab/>
        <w:t xml:space="preserve">The charge arises on the land when the memorial is registered. </w:t>
      </w:r>
    </w:p>
    <w:p>
      <w:pPr>
        <w:pStyle w:val="Subsection"/>
        <w:spacing w:before="180"/>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spacing w:before="180"/>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ind w:left="890" w:hanging="890"/>
      </w:pPr>
      <w:r>
        <w:tab/>
        <w:t>[Section 77A inserted: No. 12 of 2008 s. 45; amended: No. 31 of 2008 s. 19; No. 17 of 2010 s. 27.]</w:t>
      </w:r>
    </w:p>
    <w:p>
      <w:pPr>
        <w:pStyle w:val="Heading5"/>
        <w:spacing w:before="240"/>
      </w:pPr>
      <w:bookmarkStart w:id="408" w:name="_Toc4580314"/>
      <w:bookmarkStart w:id="409" w:name="_Toc2150490"/>
      <w:r>
        <w:rPr>
          <w:rStyle w:val="CharSectno"/>
        </w:rPr>
        <w:t>78</w:t>
      </w:r>
      <w:r>
        <w:t>.</w:t>
      </w:r>
      <w:r>
        <w:tab/>
        <w:t>Charge on subsequent mining tenement</w:t>
      </w:r>
      <w:bookmarkEnd w:id="408"/>
      <w:bookmarkEnd w:id="409"/>
    </w:p>
    <w:p>
      <w:pPr>
        <w:pStyle w:val="Subsection"/>
        <w:spacing w:before="180"/>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spacing w:before="180"/>
      </w:pPr>
      <w:r>
        <w:tab/>
      </w:r>
      <w:r>
        <w:tab/>
        <w:t>the registration of the memorial against the later tenement creates a charge on that later tenement for the unpaid tax secured by the charge referred to in paragraph (a).</w:t>
      </w:r>
    </w:p>
    <w:p>
      <w:pPr>
        <w:pStyle w:val="Footnotesection"/>
        <w:ind w:left="890" w:hanging="890"/>
      </w:pPr>
      <w:r>
        <w:tab/>
        <w:t>[Section 78 inserted: No.</w:t>
      </w:r>
      <w:del w:id="410" w:author="svcMRProcess" w:date="2019-03-27T12:18:00Z">
        <w:r>
          <w:delText xml:space="preserve"> </w:delText>
        </w:r>
      </w:del>
      <w:ins w:id="411" w:author="svcMRProcess" w:date="2019-03-27T12:18:00Z">
        <w:r>
          <w:t> </w:t>
        </w:r>
      </w:ins>
      <w:r>
        <w:t>31 of 2008 s. 7.]</w:t>
      </w:r>
    </w:p>
    <w:p>
      <w:pPr>
        <w:pStyle w:val="Heading5"/>
        <w:keepNext w:val="0"/>
        <w:keepLines w:val="0"/>
        <w:spacing w:before="240"/>
      </w:pPr>
      <w:bookmarkStart w:id="412" w:name="_Toc4580315"/>
      <w:bookmarkStart w:id="413" w:name="_Toc2150491"/>
      <w:r>
        <w:rPr>
          <w:rStyle w:val="CharSectno"/>
        </w:rPr>
        <w:t>79</w:t>
      </w:r>
      <w:r>
        <w:t>.</w:t>
      </w:r>
      <w:r>
        <w:tab/>
        <w:t>Priority of charge</w:t>
      </w:r>
      <w:bookmarkEnd w:id="412"/>
      <w:bookmarkEnd w:id="413"/>
    </w:p>
    <w:p>
      <w:pPr>
        <w:pStyle w:val="Subsection"/>
      </w:pPr>
      <w:r>
        <w:tab/>
        <w:t>(1)</w:t>
      </w:r>
      <w:r>
        <w:tab/>
        <w:t>A charge arising under this Division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No.</w:t>
      </w:r>
      <w:del w:id="414" w:author="svcMRProcess" w:date="2019-03-27T12:18:00Z">
        <w:r>
          <w:delText xml:space="preserve"> </w:delText>
        </w:r>
      </w:del>
      <w:ins w:id="415" w:author="svcMRProcess" w:date="2019-03-27T12:18:00Z">
        <w:r>
          <w:t> </w:t>
        </w:r>
      </w:ins>
      <w:r>
        <w:t>31 of 2008 s. 8.]</w:t>
      </w:r>
    </w:p>
    <w:p>
      <w:pPr>
        <w:pStyle w:val="Heading5"/>
      </w:pPr>
      <w:bookmarkStart w:id="416" w:name="_Toc4580316"/>
      <w:bookmarkStart w:id="417" w:name="_Toc2150492"/>
      <w:r>
        <w:rPr>
          <w:rStyle w:val="CharSectno"/>
        </w:rPr>
        <w:t>80</w:t>
      </w:r>
      <w:r>
        <w:t>.</w:t>
      </w:r>
      <w:r>
        <w:tab/>
        <w:t>Certificate as to charge to secure unpaid land tax</w:t>
      </w:r>
      <w:bookmarkEnd w:id="416"/>
      <w:bookmarkEnd w:id="417"/>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keepNext/>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No.</w:t>
      </w:r>
      <w:del w:id="418" w:author="svcMRProcess" w:date="2019-03-27T12:18:00Z">
        <w:r>
          <w:delText xml:space="preserve"> </w:delText>
        </w:r>
      </w:del>
      <w:ins w:id="419" w:author="svcMRProcess" w:date="2019-03-27T12:18:00Z">
        <w:r>
          <w:t> </w:t>
        </w:r>
      </w:ins>
      <w:r>
        <w:t>29 of 2012 s. 43.]</w:t>
      </w:r>
    </w:p>
    <w:p>
      <w:pPr>
        <w:pStyle w:val="Heading5"/>
      </w:pPr>
      <w:bookmarkStart w:id="420" w:name="_Toc4580317"/>
      <w:bookmarkStart w:id="421" w:name="_Toc2150493"/>
      <w:r>
        <w:rPr>
          <w:rStyle w:val="CharSectno"/>
        </w:rPr>
        <w:t>81</w:t>
      </w:r>
      <w:r>
        <w:t>.</w:t>
      </w:r>
      <w:r>
        <w:tab/>
        <w:t>Withdrawal of memorial to be given when tax paid</w:t>
      </w:r>
      <w:bookmarkEnd w:id="420"/>
      <w:bookmarkEnd w:id="421"/>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No.</w:t>
      </w:r>
      <w:del w:id="422" w:author="svcMRProcess" w:date="2019-03-27T12:18:00Z">
        <w:r>
          <w:delText xml:space="preserve"> </w:delText>
        </w:r>
      </w:del>
      <w:ins w:id="423" w:author="svcMRProcess" w:date="2019-03-27T12:18:00Z">
        <w:r>
          <w:t> </w:t>
        </w:r>
      </w:ins>
      <w:r>
        <w:t>31 of 2008 s. 9; amended: No. 31 of 2008 s. 20.]</w:t>
      </w:r>
    </w:p>
    <w:p>
      <w:pPr>
        <w:pStyle w:val="Heading5"/>
        <w:spacing w:before="180"/>
      </w:pPr>
      <w:bookmarkStart w:id="424" w:name="_Toc4580318"/>
      <w:bookmarkStart w:id="425" w:name="_Toc2150494"/>
      <w:r>
        <w:rPr>
          <w:rStyle w:val="CharSectno"/>
        </w:rPr>
        <w:t>82</w:t>
      </w:r>
      <w:r>
        <w:t>.</w:t>
      </w:r>
      <w:r>
        <w:tab/>
        <w:t>Memorials etc. affecting TLA land or real property, lodging etc.</w:t>
      </w:r>
      <w:bookmarkEnd w:id="424"/>
      <w:bookmarkEnd w:id="425"/>
    </w:p>
    <w:p>
      <w:pPr>
        <w:pStyle w:val="Subsection"/>
        <w:spacing w:before="120"/>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No.</w:t>
      </w:r>
      <w:del w:id="426" w:author="svcMRProcess" w:date="2019-03-27T12:18:00Z">
        <w:r>
          <w:delText xml:space="preserve"> </w:delText>
        </w:r>
      </w:del>
      <w:ins w:id="427" w:author="svcMRProcess" w:date="2019-03-27T12:18:00Z">
        <w:r>
          <w:t> </w:t>
        </w:r>
      </w:ins>
      <w:r>
        <w:t>31 of 2008 s. 9.]</w:t>
      </w:r>
    </w:p>
    <w:p>
      <w:pPr>
        <w:pStyle w:val="Heading5"/>
      </w:pPr>
      <w:bookmarkStart w:id="428" w:name="_Toc4580319"/>
      <w:bookmarkStart w:id="429" w:name="_Toc2150495"/>
      <w:r>
        <w:rPr>
          <w:rStyle w:val="CharSectno"/>
        </w:rPr>
        <w:t>83</w:t>
      </w:r>
      <w:r>
        <w:t>.</w:t>
      </w:r>
      <w:r>
        <w:tab/>
        <w:t>Memorials affecting mining tenements, lodging etc.</w:t>
      </w:r>
      <w:bookmarkEnd w:id="428"/>
      <w:bookmarkEnd w:id="429"/>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No.</w:t>
      </w:r>
      <w:del w:id="430" w:author="svcMRProcess" w:date="2019-03-27T12:18:00Z">
        <w:r>
          <w:delText xml:space="preserve"> </w:delText>
        </w:r>
      </w:del>
      <w:ins w:id="431" w:author="svcMRProcess" w:date="2019-03-27T12:18:00Z">
        <w:r>
          <w:t> </w:t>
        </w:r>
      </w:ins>
      <w:r>
        <w:t>31 of 2008 s. 9.]</w:t>
      </w:r>
    </w:p>
    <w:p>
      <w:pPr>
        <w:pStyle w:val="Heading5"/>
      </w:pPr>
      <w:bookmarkStart w:id="432" w:name="_Toc4580320"/>
      <w:bookmarkStart w:id="433" w:name="_Toc2150496"/>
      <w:r>
        <w:rPr>
          <w:rStyle w:val="CharSectno"/>
        </w:rPr>
        <w:t>84</w:t>
      </w:r>
      <w:r>
        <w:t>.</w:t>
      </w:r>
      <w:r>
        <w:tab/>
        <w:t>Mortgagees to be notified if memorial registered</w:t>
      </w:r>
      <w:bookmarkEnd w:id="432"/>
      <w:bookmarkEnd w:id="433"/>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No.</w:t>
      </w:r>
      <w:del w:id="434" w:author="svcMRProcess" w:date="2019-03-27T12:18:00Z">
        <w:r>
          <w:delText xml:space="preserve"> </w:delText>
        </w:r>
      </w:del>
      <w:ins w:id="435" w:author="svcMRProcess" w:date="2019-03-27T12:18:00Z">
        <w:r>
          <w:t> </w:t>
        </w:r>
      </w:ins>
      <w:r>
        <w:t>31 of 2008 s. 10.]</w:t>
      </w:r>
    </w:p>
    <w:p>
      <w:pPr>
        <w:pStyle w:val="Heading5"/>
      </w:pPr>
      <w:bookmarkStart w:id="436" w:name="_Toc4580321"/>
      <w:bookmarkStart w:id="437" w:name="_Toc2150497"/>
      <w:r>
        <w:rPr>
          <w:rStyle w:val="CharSectno"/>
        </w:rPr>
        <w:t>85</w:t>
      </w:r>
      <w:r>
        <w:t>.</w:t>
      </w:r>
      <w:r>
        <w:tab/>
        <w:t>Orders for sale of land</w:t>
      </w:r>
      <w:bookmarkEnd w:id="436"/>
      <w:bookmarkEnd w:id="437"/>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No.</w:t>
      </w:r>
      <w:del w:id="438" w:author="svcMRProcess" w:date="2019-03-27T12:18:00Z">
        <w:r>
          <w:delText xml:space="preserve"> </w:delText>
        </w:r>
      </w:del>
      <w:ins w:id="439" w:author="svcMRProcess" w:date="2019-03-27T12:18:00Z">
        <w:r>
          <w:t> </w:t>
        </w:r>
      </w:ins>
      <w:r>
        <w:t>31 of 2008 s. 11 and 21.]</w:t>
      </w:r>
    </w:p>
    <w:p>
      <w:pPr>
        <w:pStyle w:val="Heading5"/>
      </w:pPr>
      <w:bookmarkStart w:id="440" w:name="_Toc4580322"/>
      <w:bookmarkStart w:id="441" w:name="_Toc2150498"/>
      <w:r>
        <w:rPr>
          <w:rStyle w:val="CharSectno"/>
        </w:rPr>
        <w:t>86</w:t>
      </w:r>
      <w:r>
        <w:t>.</w:t>
      </w:r>
      <w:r>
        <w:tab/>
        <w:t>Means of enforcement not limited to charge</w:t>
      </w:r>
      <w:bookmarkEnd w:id="440"/>
      <w:bookmarkEnd w:id="441"/>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No.</w:t>
      </w:r>
      <w:del w:id="442" w:author="svcMRProcess" w:date="2019-03-27T12:18:00Z">
        <w:r>
          <w:delText xml:space="preserve"> </w:delText>
        </w:r>
      </w:del>
      <w:ins w:id="443" w:author="svcMRProcess" w:date="2019-03-27T12:18:00Z">
        <w:r>
          <w:t> </w:t>
        </w:r>
      </w:ins>
      <w:r>
        <w:t>31 of 2008 s. 12.]</w:t>
      </w:r>
    </w:p>
    <w:p>
      <w:pPr>
        <w:pStyle w:val="Heading2"/>
      </w:pPr>
      <w:bookmarkStart w:id="444" w:name="_Toc4569724"/>
      <w:bookmarkStart w:id="445" w:name="_Toc4580323"/>
      <w:bookmarkStart w:id="446" w:name="_Toc440362618"/>
      <w:bookmarkStart w:id="447" w:name="_Toc450560054"/>
      <w:bookmarkStart w:id="448" w:name="_Toc455399584"/>
      <w:bookmarkStart w:id="449" w:name="_Toc528769169"/>
      <w:bookmarkStart w:id="450" w:name="_Toc532472930"/>
      <w:bookmarkStart w:id="451" w:name="_Toc532812154"/>
      <w:bookmarkStart w:id="452" w:name="_Toc2150499"/>
      <w:r>
        <w:rPr>
          <w:rStyle w:val="CharPartNo"/>
        </w:rPr>
        <w:t>Part 7</w:t>
      </w:r>
      <w:r>
        <w:rPr>
          <w:rStyle w:val="CharDivNo"/>
        </w:rPr>
        <w:t xml:space="preserve"> </w:t>
      </w:r>
      <w:r>
        <w:t>—</w:t>
      </w:r>
      <w:r>
        <w:rPr>
          <w:rStyle w:val="CharDivText"/>
        </w:rPr>
        <w:t xml:space="preserve"> </w:t>
      </w:r>
      <w:r>
        <w:rPr>
          <w:rStyle w:val="CharPartText"/>
        </w:rPr>
        <w:t>Tax records</w:t>
      </w:r>
      <w:bookmarkEnd w:id="444"/>
      <w:bookmarkEnd w:id="445"/>
      <w:bookmarkEnd w:id="446"/>
      <w:bookmarkEnd w:id="447"/>
      <w:bookmarkEnd w:id="448"/>
      <w:bookmarkEnd w:id="449"/>
      <w:bookmarkEnd w:id="450"/>
      <w:bookmarkEnd w:id="451"/>
      <w:bookmarkEnd w:id="452"/>
    </w:p>
    <w:p>
      <w:pPr>
        <w:pStyle w:val="Heading5"/>
      </w:pPr>
      <w:bookmarkStart w:id="453" w:name="_Toc4580324"/>
      <w:bookmarkStart w:id="454" w:name="_Toc2150500"/>
      <w:r>
        <w:rPr>
          <w:rStyle w:val="CharSectno"/>
        </w:rPr>
        <w:t>87</w:t>
      </w:r>
      <w:r>
        <w:t>.</w:t>
      </w:r>
      <w:r>
        <w:tab/>
        <w:t>How long tax records to be kept</w:t>
      </w:r>
      <w:bookmarkEnd w:id="453"/>
      <w:bookmarkEnd w:id="454"/>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455" w:name="_Toc4580325"/>
      <w:bookmarkStart w:id="456" w:name="_Toc2150501"/>
      <w:r>
        <w:rPr>
          <w:rStyle w:val="CharSectno"/>
        </w:rPr>
        <w:t>88</w:t>
      </w:r>
      <w:r>
        <w:t>.</w:t>
      </w:r>
      <w:r>
        <w:tab/>
        <w:t>Form of tax records</w:t>
      </w:r>
      <w:bookmarkEnd w:id="455"/>
      <w:bookmarkEnd w:id="456"/>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457" w:name="_Toc4580326"/>
      <w:bookmarkStart w:id="458" w:name="_Toc2150502"/>
      <w:r>
        <w:rPr>
          <w:rStyle w:val="CharSectno"/>
        </w:rPr>
        <w:t>89</w:t>
      </w:r>
      <w:r>
        <w:t>.</w:t>
      </w:r>
      <w:r>
        <w:tab/>
        <w:t>Where tax records to be kept</w:t>
      </w:r>
      <w:bookmarkEnd w:id="457"/>
      <w:bookmarkEnd w:id="458"/>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459" w:name="_Toc4580327"/>
      <w:bookmarkStart w:id="460" w:name="_Toc2150503"/>
      <w:r>
        <w:rPr>
          <w:rStyle w:val="CharSectno"/>
        </w:rPr>
        <w:t>90</w:t>
      </w:r>
      <w:r>
        <w:t>.</w:t>
      </w:r>
      <w:r>
        <w:tab/>
        <w:t>Failure to keep proper tax records</w:t>
      </w:r>
      <w:bookmarkEnd w:id="459"/>
      <w:bookmarkEnd w:id="460"/>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461" w:name="_Toc4580328"/>
      <w:bookmarkStart w:id="462" w:name="_Toc2150504"/>
      <w:r>
        <w:rPr>
          <w:rStyle w:val="CharSectno"/>
        </w:rPr>
        <w:t>91</w:t>
      </w:r>
      <w:r>
        <w:t>.</w:t>
      </w:r>
      <w:r>
        <w:tab/>
        <w:t>General and specific exemptions</w:t>
      </w:r>
      <w:bookmarkEnd w:id="461"/>
      <w:bookmarkEnd w:id="462"/>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463" w:name="_Toc4569730"/>
      <w:bookmarkStart w:id="464" w:name="_Toc4580329"/>
      <w:bookmarkStart w:id="465" w:name="_Toc440362624"/>
      <w:bookmarkStart w:id="466" w:name="_Toc450560060"/>
      <w:bookmarkStart w:id="467" w:name="_Toc455399590"/>
      <w:bookmarkStart w:id="468" w:name="_Toc528769175"/>
      <w:bookmarkStart w:id="469" w:name="_Toc532472936"/>
      <w:bookmarkStart w:id="470" w:name="_Toc532812160"/>
      <w:bookmarkStart w:id="471" w:name="_Toc2150505"/>
      <w:r>
        <w:rPr>
          <w:rStyle w:val="CharPartNo"/>
        </w:rPr>
        <w:t>Part 8</w:t>
      </w:r>
      <w:r>
        <w:t xml:space="preserve"> — </w:t>
      </w:r>
      <w:r>
        <w:rPr>
          <w:rStyle w:val="CharPartText"/>
        </w:rPr>
        <w:t>Investigations</w:t>
      </w:r>
      <w:bookmarkEnd w:id="463"/>
      <w:bookmarkEnd w:id="464"/>
      <w:bookmarkEnd w:id="465"/>
      <w:bookmarkEnd w:id="466"/>
      <w:bookmarkEnd w:id="467"/>
      <w:bookmarkEnd w:id="468"/>
      <w:bookmarkEnd w:id="469"/>
      <w:bookmarkEnd w:id="470"/>
      <w:bookmarkEnd w:id="471"/>
    </w:p>
    <w:p>
      <w:pPr>
        <w:pStyle w:val="Heading3"/>
      </w:pPr>
      <w:bookmarkStart w:id="472" w:name="_Toc4569731"/>
      <w:bookmarkStart w:id="473" w:name="_Toc4580330"/>
      <w:bookmarkStart w:id="474" w:name="_Toc440362625"/>
      <w:bookmarkStart w:id="475" w:name="_Toc450560061"/>
      <w:bookmarkStart w:id="476" w:name="_Toc455399591"/>
      <w:bookmarkStart w:id="477" w:name="_Toc528769176"/>
      <w:bookmarkStart w:id="478" w:name="_Toc532472937"/>
      <w:bookmarkStart w:id="479" w:name="_Toc532812161"/>
      <w:bookmarkStart w:id="480" w:name="_Toc2150506"/>
      <w:r>
        <w:rPr>
          <w:rStyle w:val="CharDivNo"/>
        </w:rPr>
        <w:t>Division 1</w:t>
      </w:r>
      <w:r>
        <w:t xml:space="preserve"> — </w:t>
      </w:r>
      <w:r>
        <w:rPr>
          <w:rStyle w:val="CharDivText"/>
        </w:rPr>
        <w:t>Investigations</w:t>
      </w:r>
      <w:bookmarkEnd w:id="472"/>
      <w:bookmarkEnd w:id="473"/>
      <w:bookmarkEnd w:id="474"/>
      <w:bookmarkEnd w:id="475"/>
      <w:bookmarkEnd w:id="476"/>
      <w:bookmarkEnd w:id="477"/>
      <w:bookmarkEnd w:id="478"/>
      <w:bookmarkEnd w:id="479"/>
      <w:bookmarkEnd w:id="480"/>
    </w:p>
    <w:p>
      <w:pPr>
        <w:pStyle w:val="Heading5"/>
      </w:pPr>
      <w:bookmarkStart w:id="481" w:name="_Toc4580331"/>
      <w:bookmarkStart w:id="482" w:name="_Toc2150507"/>
      <w:r>
        <w:rPr>
          <w:rStyle w:val="CharSectno"/>
        </w:rPr>
        <w:t>92</w:t>
      </w:r>
      <w:r>
        <w:t>.</w:t>
      </w:r>
      <w:r>
        <w:tab/>
        <w:t>Investigations, purposes of</w:t>
      </w:r>
      <w:bookmarkEnd w:id="481"/>
      <w:bookmarkEnd w:id="482"/>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483" w:name="_Toc4580332"/>
      <w:bookmarkStart w:id="484" w:name="_Toc2150508"/>
      <w:r>
        <w:rPr>
          <w:rStyle w:val="CharSectno"/>
        </w:rPr>
        <w:t>93</w:t>
      </w:r>
      <w:r>
        <w:t>.</w:t>
      </w:r>
      <w:r>
        <w:tab/>
        <w:t>Investigations for purposes of recognised revenue laws</w:t>
      </w:r>
      <w:bookmarkEnd w:id="483"/>
      <w:bookmarkEnd w:id="484"/>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485" w:name="_Toc4569734"/>
      <w:bookmarkStart w:id="486" w:name="_Toc4580333"/>
      <w:bookmarkStart w:id="487" w:name="_Toc440362628"/>
      <w:bookmarkStart w:id="488" w:name="_Toc450560064"/>
      <w:bookmarkStart w:id="489" w:name="_Toc455399594"/>
      <w:bookmarkStart w:id="490" w:name="_Toc528769179"/>
      <w:bookmarkStart w:id="491" w:name="_Toc532472940"/>
      <w:bookmarkStart w:id="492" w:name="_Toc532812164"/>
      <w:bookmarkStart w:id="493" w:name="_Toc2150509"/>
      <w:r>
        <w:rPr>
          <w:rStyle w:val="CharDivNo"/>
        </w:rPr>
        <w:t>Division 2</w:t>
      </w:r>
      <w:r>
        <w:t xml:space="preserve"> — </w:t>
      </w:r>
      <w:r>
        <w:rPr>
          <w:rStyle w:val="CharDivText"/>
        </w:rPr>
        <w:t>Obtaining tax records and other information</w:t>
      </w:r>
      <w:bookmarkEnd w:id="485"/>
      <w:bookmarkEnd w:id="486"/>
      <w:bookmarkEnd w:id="487"/>
      <w:bookmarkEnd w:id="488"/>
      <w:bookmarkEnd w:id="489"/>
      <w:bookmarkEnd w:id="490"/>
      <w:bookmarkEnd w:id="491"/>
      <w:bookmarkEnd w:id="492"/>
      <w:bookmarkEnd w:id="493"/>
    </w:p>
    <w:p>
      <w:pPr>
        <w:pStyle w:val="Heading5"/>
      </w:pPr>
      <w:bookmarkStart w:id="494" w:name="_Toc4580334"/>
      <w:bookmarkStart w:id="495" w:name="_Toc2150510"/>
      <w:r>
        <w:rPr>
          <w:rStyle w:val="CharSectno"/>
        </w:rPr>
        <w:t>94</w:t>
      </w:r>
      <w:r>
        <w:t>.</w:t>
      </w:r>
      <w:r>
        <w:tab/>
        <w:t>Power to require person to provide information</w:t>
      </w:r>
      <w:bookmarkEnd w:id="494"/>
      <w:bookmarkEnd w:id="495"/>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spacing w:before="120"/>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spacing w:before="120"/>
      </w:pPr>
      <w:r>
        <w:tab/>
        <w:t>(3)</w:t>
      </w:r>
      <w:r>
        <w:tab/>
        <w:t>The Commissioner may require a person to verify written answers to questions by statutory declaration.</w:t>
      </w:r>
    </w:p>
    <w:p>
      <w:pPr>
        <w:pStyle w:val="Subsection"/>
        <w:spacing w:before="120"/>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spacing w:before="120"/>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spacing w:before="180"/>
      </w:pPr>
      <w:bookmarkStart w:id="496" w:name="_Toc4580335"/>
      <w:bookmarkStart w:id="497" w:name="_Toc2150511"/>
      <w:r>
        <w:rPr>
          <w:rStyle w:val="CharSectno"/>
        </w:rPr>
        <w:t>95</w:t>
      </w:r>
      <w:r>
        <w:t>.</w:t>
      </w:r>
      <w:r>
        <w:tab/>
        <w:t>Power to require person to attend for examination</w:t>
      </w:r>
      <w:bookmarkEnd w:id="496"/>
      <w:bookmarkEnd w:id="497"/>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498" w:name="_Toc4580336"/>
      <w:bookmarkStart w:id="499" w:name="_Toc2150512"/>
      <w:r>
        <w:rPr>
          <w:rStyle w:val="CharSectno"/>
        </w:rPr>
        <w:t>96</w:t>
      </w:r>
      <w:r>
        <w:t>.</w:t>
      </w:r>
      <w:r>
        <w:tab/>
        <w:t>Power to retain documents and other records</w:t>
      </w:r>
      <w:bookmarkEnd w:id="498"/>
      <w:bookmarkEnd w:id="499"/>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No.</w:t>
      </w:r>
      <w:del w:id="500" w:author="svcMRProcess" w:date="2019-03-27T12:18:00Z">
        <w:r>
          <w:delText xml:space="preserve"> </w:delText>
        </w:r>
      </w:del>
      <w:ins w:id="501" w:author="svcMRProcess" w:date="2019-03-27T12:18:00Z">
        <w:r>
          <w:t> </w:t>
        </w:r>
      </w:ins>
      <w:r>
        <w:t>12 of 2008 s. 48; No. 10 of 2013 s. 25 and 36.]</w:t>
      </w:r>
    </w:p>
    <w:p>
      <w:pPr>
        <w:pStyle w:val="Heading5"/>
      </w:pPr>
      <w:bookmarkStart w:id="502" w:name="_Toc4580337"/>
      <w:bookmarkStart w:id="503" w:name="_Toc2150513"/>
      <w:r>
        <w:rPr>
          <w:rStyle w:val="CharSectno"/>
        </w:rPr>
        <w:t>97</w:t>
      </w:r>
      <w:r>
        <w:t>.</w:t>
      </w:r>
      <w:r>
        <w:tab/>
        <w:t>Recording proceedings under s. 95</w:t>
      </w:r>
      <w:bookmarkEnd w:id="502"/>
      <w:bookmarkEnd w:id="503"/>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keepNext w:val="0"/>
      </w:pPr>
      <w:bookmarkStart w:id="504" w:name="_Toc4569739"/>
      <w:bookmarkStart w:id="505" w:name="_Toc4580338"/>
      <w:bookmarkStart w:id="506" w:name="_Toc440362633"/>
      <w:bookmarkStart w:id="507" w:name="_Toc450560069"/>
      <w:bookmarkStart w:id="508" w:name="_Toc455399599"/>
      <w:bookmarkStart w:id="509" w:name="_Toc528769184"/>
      <w:bookmarkStart w:id="510" w:name="_Toc532472945"/>
      <w:bookmarkStart w:id="511" w:name="_Toc532812169"/>
      <w:bookmarkStart w:id="512" w:name="_Toc2150514"/>
      <w:r>
        <w:rPr>
          <w:rStyle w:val="CharDivNo"/>
        </w:rPr>
        <w:t>Division 3</w:t>
      </w:r>
      <w:r>
        <w:t xml:space="preserve"> — </w:t>
      </w:r>
      <w:r>
        <w:rPr>
          <w:rStyle w:val="CharDivText"/>
        </w:rPr>
        <w:t>Access to premises</w:t>
      </w:r>
      <w:bookmarkEnd w:id="504"/>
      <w:bookmarkEnd w:id="505"/>
      <w:bookmarkEnd w:id="506"/>
      <w:bookmarkEnd w:id="507"/>
      <w:bookmarkEnd w:id="508"/>
      <w:bookmarkEnd w:id="509"/>
      <w:bookmarkEnd w:id="510"/>
      <w:bookmarkEnd w:id="511"/>
      <w:bookmarkEnd w:id="512"/>
    </w:p>
    <w:p>
      <w:pPr>
        <w:pStyle w:val="Heading5"/>
      </w:pPr>
      <w:bookmarkStart w:id="513" w:name="_Toc4580339"/>
      <w:bookmarkStart w:id="514" w:name="_Toc2150515"/>
      <w:r>
        <w:rPr>
          <w:rStyle w:val="CharSectno"/>
        </w:rPr>
        <w:t>98</w:t>
      </w:r>
      <w:r>
        <w:t>.</w:t>
      </w:r>
      <w:r>
        <w:tab/>
        <w:t>Power to enter premises</w:t>
      </w:r>
      <w:bookmarkEnd w:id="513"/>
      <w:bookmarkEnd w:id="514"/>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keepNext w:val="0"/>
        <w:keepLines w:val="0"/>
        <w:spacing w:before="180"/>
      </w:pPr>
      <w:bookmarkStart w:id="515" w:name="_Toc4580340"/>
      <w:bookmarkStart w:id="516" w:name="_Toc2150516"/>
      <w:r>
        <w:rPr>
          <w:rStyle w:val="CharSectno"/>
        </w:rPr>
        <w:t>99</w:t>
      </w:r>
      <w:r>
        <w:t>.</w:t>
      </w:r>
      <w:r>
        <w:tab/>
        <w:t>Powers of investigator while on premises</w:t>
      </w:r>
      <w:bookmarkEnd w:id="515"/>
      <w:bookmarkEnd w:id="516"/>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pPr>
      <w:r>
        <w:tab/>
        <w:t>(d)</w:t>
      </w:r>
      <w:r>
        <w:tab/>
        <w:t>photograph or film anything on the premises;</w:t>
      </w:r>
    </w:p>
    <w:p>
      <w:pPr>
        <w:pStyle w:val="Indenta"/>
      </w:pPr>
      <w:r>
        <w:tab/>
        <w:t>(e)</w:t>
      </w:r>
      <w:r>
        <w:tab/>
        <w:t xml:space="preserve">if anything on the premises that is relevant to the investigation cannot be conveniently removed — secure it against interference; </w:t>
      </w:r>
    </w:p>
    <w:p>
      <w:pPr>
        <w:pStyle w:val="Indenta"/>
      </w:pPr>
      <w:r>
        <w:tab/>
        <w:t>(f)</w:t>
      </w:r>
      <w:r>
        <w:tab/>
        <w:t>require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investigator that are relevant to the investigation; </w:t>
      </w:r>
    </w:p>
    <w:p>
      <w:pPr>
        <w:pStyle w:val="Indenti"/>
      </w:pPr>
      <w:r>
        <w:tab/>
        <w:t>(iii)</w:t>
      </w:r>
      <w:r>
        <w:tab/>
        <w:t xml:space="preserve">to give the investigator any information in the person’s possession or control that is relevant to the investigation; </w:t>
      </w:r>
    </w:p>
    <w:p>
      <w:pPr>
        <w:pStyle w:val="Indenti"/>
      </w:pPr>
      <w:r>
        <w:tab/>
        <w:t>(iv)</w:t>
      </w:r>
      <w:r>
        <w:tab/>
        <w:t xml:space="preserve">to operate or allow the investigator to operate equipment or facilities on the premises for investigation purposes; </w:t>
      </w:r>
    </w:p>
    <w:p>
      <w:pPr>
        <w:pStyle w:val="Indenti"/>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pPr>
      <w:r>
        <w:tab/>
        <w:t>(vi)</w:t>
      </w:r>
      <w:r>
        <w:tab/>
        <w:t>to give other assistance that the investigator reasonably requires to carry out the investigation.</w:t>
      </w:r>
    </w:p>
    <w:p>
      <w:pPr>
        <w:pStyle w:val="Subsection"/>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pPr>
      <w:r>
        <w:tab/>
        <w:t>(a)</w:t>
      </w:r>
      <w:r>
        <w:tab/>
        <w:t>does not comply with a requirement under subsection (1)(f); or</w:t>
      </w:r>
    </w:p>
    <w:p>
      <w:pPr>
        <w:pStyle w:val="Indenta"/>
      </w:pPr>
      <w:r>
        <w:tab/>
        <w:t>(b)</w:t>
      </w:r>
      <w:r>
        <w:tab/>
        <w:t>gives an investigator information that the person knows to be false or misleading,</w:t>
      </w:r>
    </w:p>
    <w:p>
      <w:pPr>
        <w:pStyle w:val="Subsection"/>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No. 10 of 2013 s. 37.]</w:t>
      </w:r>
    </w:p>
    <w:p>
      <w:pPr>
        <w:pStyle w:val="Heading5"/>
        <w:spacing w:before="180"/>
      </w:pPr>
      <w:bookmarkStart w:id="517" w:name="_Toc4580341"/>
      <w:bookmarkStart w:id="518" w:name="_Toc2150517"/>
      <w:r>
        <w:rPr>
          <w:rStyle w:val="CharSectno"/>
        </w:rPr>
        <w:t>100</w:t>
      </w:r>
      <w:r>
        <w:t>.</w:t>
      </w:r>
      <w:r>
        <w:tab/>
        <w:t>Warrants to enter premises</w:t>
      </w:r>
      <w:bookmarkEnd w:id="517"/>
      <w:bookmarkEnd w:id="518"/>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[Section 100 amended: No.</w:t>
      </w:r>
      <w:del w:id="519" w:author="svcMRProcess" w:date="2019-03-27T12:18:00Z">
        <w:r>
          <w:delText xml:space="preserve"> </w:delText>
        </w:r>
      </w:del>
      <w:ins w:id="520" w:author="svcMRProcess" w:date="2019-03-27T12:18:00Z">
        <w:r>
          <w:t> </w:t>
        </w:r>
      </w:ins>
      <w:r>
        <w:t xml:space="preserve">84 of 2004 s. 80.] </w:t>
      </w:r>
    </w:p>
    <w:p>
      <w:pPr>
        <w:pStyle w:val="Heading5"/>
        <w:spacing w:before="180"/>
      </w:pPr>
      <w:bookmarkStart w:id="521" w:name="_Toc4580342"/>
      <w:bookmarkStart w:id="522" w:name="_Toc2150518"/>
      <w:r>
        <w:rPr>
          <w:rStyle w:val="CharSectno"/>
        </w:rPr>
        <w:t>101</w:t>
      </w:r>
      <w:r>
        <w:t>.</w:t>
      </w:r>
      <w:r>
        <w:tab/>
        <w:t>Use of force</w:t>
      </w:r>
      <w:bookmarkEnd w:id="521"/>
      <w:bookmarkEnd w:id="522"/>
    </w:p>
    <w:p>
      <w:pPr>
        <w:pStyle w:val="Subsection"/>
        <w:spacing w:before="120"/>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spacing w:before="120"/>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523" w:name="_Toc4569744"/>
      <w:bookmarkStart w:id="524" w:name="_Toc4580343"/>
      <w:bookmarkStart w:id="525" w:name="_Toc440362638"/>
      <w:bookmarkStart w:id="526" w:name="_Toc450560074"/>
      <w:bookmarkStart w:id="527" w:name="_Toc455399604"/>
      <w:bookmarkStart w:id="528" w:name="_Toc528769189"/>
      <w:bookmarkStart w:id="529" w:name="_Toc532472950"/>
      <w:bookmarkStart w:id="530" w:name="_Toc532812174"/>
      <w:bookmarkStart w:id="531" w:name="_Toc2150519"/>
      <w:r>
        <w:rPr>
          <w:rStyle w:val="CharDivNo"/>
        </w:rPr>
        <w:t>Division 4</w:t>
      </w:r>
      <w:r>
        <w:t xml:space="preserve"> — </w:t>
      </w:r>
      <w:r>
        <w:rPr>
          <w:rStyle w:val="CharDivText"/>
        </w:rPr>
        <w:t>General provisions</w:t>
      </w:r>
      <w:bookmarkEnd w:id="523"/>
      <w:bookmarkEnd w:id="524"/>
      <w:bookmarkEnd w:id="525"/>
      <w:bookmarkEnd w:id="526"/>
      <w:bookmarkEnd w:id="527"/>
      <w:bookmarkEnd w:id="528"/>
      <w:bookmarkEnd w:id="529"/>
      <w:bookmarkEnd w:id="530"/>
      <w:bookmarkEnd w:id="531"/>
    </w:p>
    <w:p>
      <w:pPr>
        <w:pStyle w:val="Heading5"/>
      </w:pPr>
      <w:bookmarkStart w:id="532" w:name="_Toc4580344"/>
      <w:bookmarkStart w:id="533" w:name="_Toc2150520"/>
      <w:r>
        <w:rPr>
          <w:rStyle w:val="CharSectno"/>
        </w:rPr>
        <w:t>102</w:t>
      </w:r>
      <w:r>
        <w:t>.</w:t>
      </w:r>
      <w:r>
        <w:tab/>
        <w:t>Complying with requirements to provide information</w:t>
      </w:r>
      <w:bookmarkEnd w:id="532"/>
      <w:bookmarkEnd w:id="533"/>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534" w:name="_Toc4580345"/>
      <w:bookmarkStart w:id="535" w:name="_Toc2150521"/>
      <w:r>
        <w:rPr>
          <w:rStyle w:val="CharSectno"/>
        </w:rPr>
        <w:t>103</w:t>
      </w:r>
      <w:r>
        <w:t>.</w:t>
      </w:r>
      <w:r>
        <w:tab/>
        <w:t>Legal professional privilege</w:t>
      </w:r>
      <w:bookmarkEnd w:id="534"/>
      <w:bookmarkEnd w:id="535"/>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keepNext/>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536" w:name="_Toc4580346"/>
      <w:bookmarkStart w:id="537" w:name="_Toc2150522"/>
      <w:r>
        <w:rPr>
          <w:rStyle w:val="CharSectno"/>
        </w:rPr>
        <w:t>104</w:t>
      </w:r>
      <w:r>
        <w:t>.</w:t>
      </w:r>
      <w:r>
        <w:tab/>
        <w:t>Interaction with other Acts</w:t>
      </w:r>
      <w:bookmarkEnd w:id="536"/>
      <w:bookmarkEnd w:id="537"/>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538" w:name="_Toc4569748"/>
      <w:bookmarkStart w:id="539" w:name="_Toc4580347"/>
      <w:bookmarkStart w:id="540" w:name="_Toc440362642"/>
      <w:bookmarkStart w:id="541" w:name="_Toc450560078"/>
      <w:bookmarkStart w:id="542" w:name="_Toc455399608"/>
      <w:bookmarkStart w:id="543" w:name="_Toc528769193"/>
      <w:bookmarkStart w:id="544" w:name="_Toc532472954"/>
      <w:bookmarkStart w:id="545" w:name="_Toc532812178"/>
      <w:bookmarkStart w:id="546" w:name="_Toc2150523"/>
      <w:r>
        <w:rPr>
          <w:rStyle w:val="CharPartNo"/>
        </w:rPr>
        <w:t>Part 9</w:t>
      </w:r>
      <w:r>
        <w:rPr>
          <w:rStyle w:val="CharDivNo"/>
        </w:rPr>
        <w:t xml:space="preserve"> </w:t>
      </w:r>
      <w:r>
        <w:t>—</w:t>
      </w:r>
      <w:r>
        <w:rPr>
          <w:rStyle w:val="CharDivText"/>
        </w:rPr>
        <w:t xml:space="preserve"> </w:t>
      </w:r>
      <w:r>
        <w:rPr>
          <w:rStyle w:val="CharPartText"/>
        </w:rPr>
        <w:t>Offences</w:t>
      </w:r>
      <w:bookmarkEnd w:id="538"/>
      <w:bookmarkEnd w:id="539"/>
      <w:bookmarkEnd w:id="540"/>
      <w:bookmarkEnd w:id="541"/>
      <w:bookmarkEnd w:id="542"/>
      <w:bookmarkEnd w:id="543"/>
      <w:bookmarkEnd w:id="544"/>
      <w:bookmarkEnd w:id="545"/>
      <w:bookmarkEnd w:id="546"/>
    </w:p>
    <w:p>
      <w:pPr>
        <w:pStyle w:val="Heading5"/>
        <w:spacing w:before="180"/>
      </w:pPr>
      <w:bookmarkStart w:id="547" w:name="_Toc4580348"/>
      <w:bookmarkStart w:id="548" w:name="_Toc2150524"/>
      <w:r>
        <w:rPr>
          <w:rStyle w:val="CharSectno"/>
        </w:rPr>
        <w:t>105</w:t>
      </w:r>
      <w:r>
        <w:t>.</w:t>
      </w:r>
      <w:r>
        <w:tab/>
        <w:t>General penalty provision</w:t>
      </w:r>
      <w:bookmarkEnd w:id="547"/>
      <w:bookmarkEnd w:id="548"/>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549" w:name="_Toc4580349"/>
      <w:bookmarkStart w:id="550" w:name="_Toc2150525"/>
      <w:r>
        <w:rPr>
          <w:rStyle w:val="CharSectno"/>
        </w:rPr>
        <w:t>106</w:t>
      </w:r>
      <w:r>
        <w:t>.</w:t>
      </w:r>
      <w:r>
        <w:tab/>
        <w:t>Evasion of tax</w:t>
      </w:r>
      <w:bookmarkEnd w:id="549"/>
      <w:bookmarkEnd w:id="550"/>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[Section 106 amended: No.</w:t>
      </w:r>
      <w:del w:id="551" w:author="svcMRProcess" w:date="2019-03-27T12:18:00Z">
        <w:r>
          <w:delText xml:space="preserve"> </w:delText>
        </w:r>
      </w:del>
      <w:ins w:id="552" w:author="svcMRProcess" w:date="2019-03-27T12:18:00Z">
        <w:r>
          <w:t> </w:t>
        </w:r>
      </w:ins>
      <w:r>
        <w:t xml:space="preserve">84 of 2004 s. 82.] </w:t>
      </w:r>
    </w:p>
    <w:p>
      <w:pPr>
        <w:pStyle w:val="Heading5"/>
        <w:spacing w:before="180"/>
      </w:pPr>
      <w:bookmarkStart w:id="553" w:name="_Toc4580350"/>
      <w:bookmarkStart w:id="554" w:name="_Toc2150526"/>
      <w:r>
        <w:rPr>
          <w:rStyle w:val="CharSectno"/>
        </w:rPr>
        <w:t>107</w:t>
      </w:r>
      <w:r>
        <w:t>.</w:t>
      </w:r>
      <w:r>
        <w:tab/>
        <w:t>False or misleading information</w:t>
      </w:r>
      <w:bookmarkEnd w:id="553"/>
      <w:bookmarkEnd w:id="554"/>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555" w:name="_Toc4580351"/>
      <w:bookmarkStart w:id="556" w:name="_Toc2150527"/>
      <w:r>
        <w:rPr>
          <w:rStyle w:val="CharSectno"/>
        </w:rPr>
        <w:t>108</w:t>
      </w:r>
      <w:r>
        <w:t>.</w:t>
      </w:r>
      <w:r>
        <w:tab/>
        <w:t>Obstructing or misleading investigator</w:t>
      </w:r>
      <w:bookmarkEnd w:id="555"/>
      <w:bookmarkEnd w:id="556"/>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557" w:name="_Toc4580352"/>
      <w:bookmarkStart w:id="558" w:name="_Toc2150528"/>
      <w:r>
        <w:rPr>
          <w:rStyle w:val="CharSectno"/>
        </w:rPr>
        <w:t>109</w:t>
      </w:r>
      <w:r>
        <w:t>.</w:t>
      </w:r>
      <w:r>
        <w:tab/>
        <w:t>Offence by body corporate</w:t>
      </w:r>
      <w:bookmarkEnd w:id="557"/>
      <w:bookmarkEnd w:id="558"/>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[Section 109 amended: No.</w:t>
      </w:r>
      <w:del w:id="559" w:author="svcMRProcess" w:date="2019-03-27T12:18:00Z">
        <w:r>
          <w:delText xml:space="preserve"> </w:delText>
        </w:r>
      </w:del>
      <w:ins w:id="560" w:author="svcMRProcess" w:date="2019-03-27T12:18:00Z">
        <w:r>
          <w:t> </w:t>
        </w:r>
      </w:ins>
      <w:r>
        <w:t xml:space="preserve">84 of 2004 s. 82.] </w:t>
      </w:r>
    </w:p>
    <w:p>
      <w:pPr>
        <w:pStyle w:val="Heading5"/>
      </w:pPr>
      <w:bookmarkStart w:id="561" w:name="_Toc4580353"/>
      <w:bookmarkStart w:id="562" w:name="_Toc2150529"/>
      <w:r>
        <w:rPr>
          <w:rStyle w:val="CharSectno"/>
        </w:rPr>
        <w:t>110</w:t>
      </w:r>
      <w:r>
        <w:t>.</w:t>
      </w:r>
      <w:r>
        <w:tab/>
        <w:t>Criminal penalties not to affect civil liabilities</w:t>
      </w:r>
      <w:bookmarkEnd w:id="561"/>
      <w:bookmarkEnd w:id="562"/>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563" w:name="_Toc4580354"/>
      <w:bookmarkStart w:id="564" w:name="_Toc2150530"/>
      <w:r>
        <w:rPr>
          <w:rStyle w:val="CharSectno"/>
        </w:rPr>
        <w:t>111</w:t>
      </w:r>
      <w:r>
        <w:t>.</w:t>
      </w:r>
      <w:r>
        <w:tab/>
        <w:t>Time for commencing prosecutions</w:t>
      </w:r>
      <w:bookmarkEnd w:id="563"/>
      <w:bookmarkEnd w:id="564"/>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565" w:name="_Toc4580355"/>
      <w:bookmarkStart w:id="566" w:name="_Toc2150531"/>
      <w:r>
        <w:rPr>
          <w:rStyle w:val="CharSectno"/>
        </w:rPr>
        <w:t>112</w:t>
      </w:r>
      <w:r>
        <w:t>.</w:t>
      </w:r>
      <w:r>
        <w:tab/>
        <w:t>Authority required for prosecution</w:t>
      </w:r>
      <w:bookmarkEnd w:id="565"/>
      <w:bookmarkEnd w:id="566"/>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[Section 112 amended: No.</w:t>
      </w:r>
      <w:del w:id="567" w:author="svcMRProcess" w:date="2019-03-27T12:18:00Z">
        <w:r>
          <w:delText xml:space="preserve"> </w:delText>
        </w:r>
      </w:del>
      <w:ins w:id="568" w:author="svcMRProcess" w:date="2019-03-27T12:18:00Z">
        <w:r>
          <w:t> </w:t>
        </w:r>
      </w:ins>
      <w:r>
        <w:t xml:space="preserve">84 of 2004 s. 80.] </w:t>
      </w:r>
    </w:p>
    <w:p>
      <w:pPr>
        <w:pStyle w:val="Heading5"/>
      </w:pPr>
      <w:bookmarkStart w:id="569" w:name="_Toc4580356"/>
      <w:bookmarkStart w:id="570" w:name="_Toc2150532"/>
      <w:r>
        <w:rPr>
          <w:rStyle w:val="CharSectno"/>
        </w:rPr>
        <w:t>113</w:t>
      </w:r>
      <w:r>
        <w:t>.</w:t>
      </w:r>
      <w:r>
        <w:tab/>
        <w:t>General defence</w:t>
      </w:r>
      <w:bookmarkEnd w:id="569"/>
      <w:bookmarkEnd w:id="570"/>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[Section 113 amended: No.</w:t>
      </w:r>
      <w:del w:id="571" w:author="svcMRProcess" w:date="2019-03-27T12:18:00Z">
        <w:r>
          <w:delText xml:space="preserve"> </w:delText>
        </w:r>
      </w:del>
      <w:ins w:id="572" w:author="svcMRProcess" w:date="2019-03-27T12:18:00Z">
        <w:r>
          <w:t> </w:t>
        </w:r>
      </w:ins>
      <w:r>
        <w:t xml:space="preserve">84 of 2004 s. 82.] </w:t>
      </w:r>
    </w:p>
    <w:p>
      <w:pPr>
        <w:pStyle w:val="Heading2"/>
      </w:pPr>
      <w:bookmarkStart w:id="573" w:name="_Toc4569758"/>
      <w:bookmarkStart w:id="574" w:name="_Toc4580357"/>
      <w:bookmarkStart w:id="575" w:name="_Toc440362652"/>
      <w:bookmarkStart w:id="576" w:name="_Toc450560088"/>
      <w:bookmarkStart w:id="577" w:name="_Toc455399618"/>
      <w:bookmarkStart w:id="578" w:name="_Toc528769203"/>
      <w:bookmarkStart w:id="579" w:name="_Toc532472964"/>
      <w:bookmarkStart w:id="580" w:name="_Toc532812188"/>
      <w:bookmarkStart w:id="581" w:name="_Toc2150533"/>
      <w:r>
        <w:rPr>
          <w:rStyle w:val="CharPartNo"/>
        </w:rPr>
        <w:t>Part 10</w:t>
      </w:r>
      <w:r>
        <w:t xml:space="preserve"> — </w:t>
      </w:r>
      <w:r>
        <w:rPr>
          <w:rStyle w:val="CharPartText"/>
        </w:rPr>
        <w:t>Miscellaneous</w:t>
      </w:r>
      <w:bookmarkEnd w:id="573"/>
      <w:bookmarkEnd w:id="574"/>
      <w:bookmarkEnd w:id="575"/>
      <w:bookmarkEnd w:id="576"/>
      <w:bookmarkEnd w:id="577"/>
      <w:bookmarkEnd w:id="578"/>
      <w:bookmarkEnd w:id="579"/>
      <w:bookmarkEnd w:id="580"/>
      <w:bookmarkEnd w:id="581"/>
    </w:p>
    <w:p>
      <w:pPr>
        <w:pStyle w:val="Heading3"/>
      </w:pPr>
      <w:bookmarkStart w:id="582" w:name="_Toc4569759"/>
      <w:bookmarkStart w:id="583" w:name="_Toc4580358"/>
      <w:bookmarkStart w:id="584" w:name="_Toc440362653"/>
      <w:bookmarkStart w:id="585" w:name="_Toc450560089"/>
      <w:bookmarkStart w:id="586" w:name="_Toc455399619"/>
      <w:bookmarkStart w:id="587" w:name="_Toc528769204"/>
      <w:bookmarkStart w:id="588" w:name="_Toc532472965"/>
      <w:bookmarkStart w:id="589" w:name="_Toc532812189"/>
      <w:bookmarkStart w:id="590" w:name="_Toc2150534"/>
      <w:r>
        <w:rPr>
          <w:rStyle w:val="CharDivNo"/>
        </w:rPr>
        <w:t>Division 1</w:t>
      </w:r>
      <w:r>
        <w:t xml:space="preserve"> — </w:t>
      </w:r>
      <w:r>
        <w:rPr>
          <w:rStyle w:val="CharDivText"/>
        </w:rPr>
        <w:t>Confidentiality</w:t>
      </w:r>
      <w:bookmarkEnd w:id="582"/>
      <w:bookmarkEnd w:id="583"/>
      <w:bookmarkEnd w:id="584"/>
      <w:bookmarkEnd w:id="585"/>
      <w:bookmarkEnd w:id="586"/>
      <w:bookmarkEnd w:id="587"/>
      <w:bookmarkEnd w:id="588"/>
      <w:bookmarkEnd w:id="589"/>
      <w:bookmarkEnd w:id="590"/>
    </w:p>
    <w:p>
      <w:pPr>
        <w:pStyle w:val="Heading5"/>
      </w:pPr>
      <w:bookmarkStart w:id="591" w:name="_Toc4580359"/>
      <w:bookmarkStart w:id="592" w:name="_Toc2150535"/>
      <w:r>
        <w:rPr>
          <w:rStyle w:val="CharSectno"/>
        </w:rPr>
        <w:t>114</w:t>
      </w:r>
      <w:r>
        <w:t>.</w:t>
      </w:r>
      <w:r>
        <w:tab/>
        <w:t>Duty of confidentiality</w:t>
      </w:r>
      <w:bookmarkEnd w:id="591"/>
      <w:bookmarkEnd w:id="592"/>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 or</w:t>
      </w:r>
    </w:p>
    <w:p>
      <w:pPr>
        <w:pStyle w:val="Indenti"/>
      </w:pPr>
      <w:r>
        <w:tab/>
        <w:t>(iii)</w:t>
      </w:r>
      <w:r>
        <w:tab/>
        <w:t xml:space="preserve">an officer of the department of the Public Service principally assisting in the administration of the </w:t>
      </w:r>
      <w:r>
        <w:rPr>
          <w:i/>
        </w:rPr>
        <w:t>Betting Control Act 1954</w:t>
      </w:r>
      <w:r>
        <w:t xml:space="preserve">, the </w:t>
      </w:r>
      <w:r>
        <w:rPr>
          <w:i/>
        </w:rPr>
        <w:t>Gaming and Wagering Commission Act 1987</w:t>
      </w:r>
      <w:r>
        <w:t xml:space="preserve"> or the </w:t>
      </w:r>
      <w:r>
        <w:rPr>
          <w:i/>
        </w:rPr>
        <w:t>Racing and Wagering Western Australia Act 2003</w:t>
      </w:r>
      <w:r>
        <w:t>;</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spacing w:before="120"/>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spacing w:before="120"/>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spacing w:before="120"/>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spacing w:before="120"/>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spacing w:before="120"/>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spacing w:before="120"/>
      </w:pPr>
      <w:r>
        <w:tab/>
        <w:t>(7)</w:t>
      </w:r>
      <w:r>
        <w:tab/>
        <w:t>This section does not create a right in any person to be given confidential information.</w:t>
      </w:r>
    </w:p>
    <w:p>
      <w:pPr>
        <w:pStyle w:val="Footnotesection"/>
      </w:pPr>
      <w:r>
        <w:tab/>
        <w:t>[Section 114 amended: No. 66 of 2003 s. 100; No. 31 of 2008 s. 27; No. 17 of 2010 s. 28; No. 29 of 2012 s. 44; No.</w:t>
      </w:r>
      <w:del w:id="593" w:author="svcMRProcess" w:date="2019-03-27T12:18:00Z">
        <w:r>
          <w:delText xml:space="preserve"> </w:delText>
        </w:r>
      </w:del>
      <w:ins w:id="594" w:author="svcMRProcess" w:date="2019-03-27T12:18:00Z">
        <w:r>
          <w:t> </w:t>
        </w:r>
      </w:ins>
      <w:r>
        <w:t>2 of 2014 s. 60; No.</w:t>
      </w:r>
      <w:del w:id="595" w:author="svcMRProcess" w:date="2019-03-27T12:18:00Z">
        <w:r>
          <w:delText xml:space="preserve"> </w:delText>
        </w:r>
      </w:del>
      <w:ins w:id="596" w:author="svcMRProcess" w:date="2019-03-27T12:18:00Z">
        <w:r>
          <w:t> </w:t>
        </w:r>
      </w:ins>
      <w:r>
        <w:t>37 of 2018 s. 47.]</w:t>
      </w:r>
    </w:p>
    <w:p>
      <w:pPr>
        <w:pStyle w:val="Footnotesection"/>
        <w:keepLines w:val="0"/>
        <w:ind w:left="890" w:hanging="890"/>
      </w:pPr>
      <w:r>
        <w:tab/>
        <w:t>[Section 114, modifications have effect under the Commonwealth Places (Mirror Taxes Administration) Act 1999, see note 1M.]</w:t>
      </w:r>
    </w:p>
    <w:p>
      <w:pPr>
        <w:pStyle w:val="Footnotesection"/>
      </w:pPr>
      <w:r>
        <w:tab/>
        <w:t>[Section 114, modifications have effect under the Commonwealth Places (Mirror Taxes) Act 1998 (Cth), see note 1MC.]</w:t>
      </w:r>
    </w:p>
    <w:p>
      <w:pPr>
        <w:pStyle w:val="Heading3"/>
      </w:pPr>
      <w:bookmarkStart w:id="597" w:name="_Toc4569761"/>
      <w:bookmarkStart w:id="598" w:name="_Toc4580360"/>
      <w:bookmarkStart w:id="599" w:name="_Toc440362655"/>
      <w:bookmarkStart w:id="600" w:name="_Toc450560091"/>
      <w:bookmarkStart w:id="601" w:name="_Toc455399621"/>
      <w:bookmarkStart w:id="602" w:name="_Toc528769206"/>
      <w:bookmarkStart w:id="603" w:name="_Toc532472967"/>
      <w:bookmarkStart w:id="604" w:name="_Toc532812191"/>
      <w:bookmarkStart w:id="605" w:name="_Toc2150536"/>
      <w:r>
        <w:rPr>
          <w:rStyle w:val="CharDivNo"/>
        </w:rPr>
        <w:t>Division 2</w:t>
      </w:r>
      <w:r>
        <w:t xml:space="preserve"> — </w:t>
      </w:r>
      <w:r>
        <w:rPr>
          <w:rStyle w:val="CharDivText"/>
        </w:rPr>
        <w:t>Service of documents</w:t>
      </w:r>
      <w:bookmarkEnd w:id="597"/>
      <w:bookmarkEnd w:id="598"/>
      <w:bookmarkEnd w:id="599"/>
      <w:bookmarkEnd w:id="600"/>
      <w:bookmarkEnd w:id="601"/>
      <w:bookmarkEnd w:id="602"/>
      <w:bookmarkEnd w:id="603"/>
      <w:bookmarkEnd w:id="604"/>
      <w:bookmarkEnd w:id="605"/>
    </w:p>
    <w:p>
      <w:pPr>
        <w:pStyle w:val="Heading5"/>
      </w:pPr>
      <w:bookmarkStart w:id="606" w:name="_Toc4580361"/>
      <w:bookmarkStart w:id="607" w:name="_Toc2150537"/>
      <w:r>
        <w:rPr>
          <w:rStyle w:val="CharSectno"/>
        </w:rPr>
        <w:t>115</w:t>
      </w:r>
      <w:r>
        <w:t>.</w:t>
      </w:r>
      <w:r>
        <w:tab/>
        <w:t>Service on Commissioner</w:t>
      </w:r>
      <w:bookmarkEnd w:id="606"/>
      <w:bookmarkEnd w:id="607"/>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608" w:name="_Toc4580362"/>
      <w:bookmarkStart w:id="609" w:name="_Toc2150538"/>
      <w:r>
        <w:rPr>
          <w:rStyle w:val="CharSectno"/>
        </w:rPr>
        <w:t>116</w:t>
      </w:r>
      <w:r>
        <w:t>.</w:t>
      </w:r>
      <w:r>
        <w:tab/>
        <w:t>Service on agent or representative of taxpayer</w:t>
      </w:r>
      <w:bookmarkEnd w:id="608"/>
      <w:bookmarkEnd w:id="609"/>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No. 17 of 2010 s. 30(5).]</w:t>
      </w:r>
    </w:p>
    <w:p>
      <w:pPr>
        <w:pStyle w:val="Heading5"/>
      </w:pPr>
      <w:bookmarkStart w:id="610" w:name="_Toc4580363"/>
      <w:bookmarkStart w:id="611" w:name="_Toc2150539"/>
      <w:r>
        <w:rPr>
          <w:rStyle w:val="CharSectno"/>
        </w:rPr>
        <w:t>117</w:t>
      </w:r>
      <w:r>
        <w:t>.</w:t>
      </w:r>
      <w:r>
        <w:tab/>
        <w:t>Method of service by Commissioner</w:t>
      </w:r>
      <w:bookmarkEnd w:id="610"/>
      <w:bookmarkEnd w:id="611"/>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612" w:name="_Toc4580364"/>
      <w:bookmarkStart w:id="613" w:name="_Toc2150540"/>
      <w:r>
        <w:rPr>
          <w:rStyle w:val="CharSectno"/>
        </w:rPr>
        <w:t>118</w:t>
      </w:r>
      <w:r>
        <w:t>.</w:t>
      </w:r>
      <w:r>
        <w:tab/>
        <w:t>This Division in addition to other laws about service</w:t>
      </w:r>
      <w:bookmarkEnd w:id="612"/>
      <w:bookmarkEnd w:id="613"/>
    </w:p>
    <w:p>
      <w:pPr>
        <w:pStyle w:val="Subsection"/>
      </w:pPr>
      <w:r>
        <w:tab/>
      </w:r>
      <w:r>
        <w:tab/>
        <w:t>The provisions of this Division are in addition to, and do not derogate from, other provisions of an enactment for facilitating service.</w:t>
      </w:r>
    </w:p>
    <w:p>
      <w:pPr>
        <w:pStyle w:val="Heading3"/>
      </w:pPr>
      <w:bookmarkStart w:id="614" w:name="_Toc4569766"/>
      <w:bookmarkStart w:id="615" w:name="_Toc4580365"/>
      <w:bookmarkStart w:id="616" w:name="_Toc440362660"/>
      <w:bookmarkStart w:id="617" w:name="_Toc450560096"/>
      <w:bookmarkStart w:id="618" w:name="_Toc455399626"/>
      <w:bookmarkStart w:id="619" w:name="_Toc528769211"/>
      <w:bookmarkStart w:id="620" w:name="_Toc532472972"/>
      <w:bookmarkStart w:id="621" w:name="_Toc532812196"/>
      <w:bookmarkStart w:id="622" w:name="_Toc2150541"/>
      <w:r>
        <w:rPr>
          <w:rStyle w:val="CharDivNo"/>
        </w:rPr>
        <w:t>Division 3</w:t>
      </w:r>
      <w:r>
        <w:t xml:space="preserve"> — </w:t>
      </w:r>
      <w:r>
        <w:rPr>
          <w:rStyle w:val="CharDivText"/>
        </w:rPr>
        <w:t>Evidentiary provisions</w:t>
      </w:r>
      <w:bookmarkEnd w:id="614"/>
      <w:bookmarkEnd w:id="615"/>
      <w:bookmarkEnd w:id="616"/>
      <w:bookmarkEnd w:id="617"/>
      <w:bookmarkEnd w:id="618"/>
      <w:bookmarkEnd w:id="619"/>
      <w:bookmarkEnd w:id="620"/>
      <w:bookmarkEnd w:id="621"/>
      <w:bookmarkEnd w:id="622"/>
    </w:p>
    <w:p>
      <w:pPr>
        <w:pStyle w:val="Heading5"/>
        <w:spacing w:before="240"/>
      </w:pPr>
      <w:bookmarkStart w:id="623" w:name="_Toc4580366"/>
      <w:bookmarkStart w:id="624" w:name="_Toc2150542"/>
      <w:r>
        <w:rPr>
          <w:rStyle w:val="CharSectno"/>
        </w:rPr>
        <w:t>119</w:t>
      </w:r>
      <w:r>
        <w:t>.</w:t>
      </w:r>
      <w:r>
        <w:tab/>
        <w:t>Evidentiary value of assessment notice</w:t>
      </w:r>
      <w:bookmarkEnd w:id="623"/>
      <w:bookmarkEnd w:id="624"/>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625" w:name="_Toc4580367"/>
      <w:bookmarkStart w:id="626" w:name="_Toc2150543"/>
      <w:r>
        <w:rPr>
          <w:rStyle w:val="CharSectno"/>
        </w:rPr>
        <w:t>120</w:t>
      </w:r>
      <w:r>
        <w:t>.</w:t>
      </w:r>
      <w:r>
        <w:tab/>
        <w:t>Evidentiary value of copies and reproductions of documents</w:t>
      </w:r>
      <w:bookmarkEnd w:id="625"/>
      <w:bookmarkEnd w:id="626"/>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627" w:name="_Toc4580368"/>
      <w:bookmarkStart w:id="628" w:name="_Toc2150544"/>
      <w:r>
        <w:rPr>
          <w:rStyle w:val="CharSectno"/>
        </w:rPr>
        <w:t>121</w:t>
      </w:r>
      <w:r>
        <w:t>.</w:t>
      </w:r>
      <w:r>
        <w:tab/>
        <w:t>Evidentiary certificates</w:t>
      </w:r>
      <w:bookmarkEnd w:id="627"/>
      <w:bookmarkEnd w:id="628"/>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629" w:name="_Toc4580369"/>
      <w:bookmarkStart w:id="630" w:name="_Toc2150545"/>
      <w:r>
        <w:rPr>
          <w:rStyle w:val="CharSectno"/>
        </w:rPr>
        <w:t>122</w:t>
      </w:r>
      <w:r>
        <w:t>.</w:t>
      </w:r>
      <w:r>
        <w:tab/>
        <w:t>Extracts from register of delegates</w:t>
      </w:r>
      <w:bookmarkEnd w:id="629"/>
      <w:bookmarkEnd w:id="630"/>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631" w:name="_Toc4580370"/>
      <w:bookmarkStart w:id="632" w:name="_Toc2150546"/>
      <w:r>
        <w:rPr>
          <w:rStyle w:val="CharSectno"/>
        </w:rPr>
        <w:t>123</w:t>
      </w:r>
      <w:r>
        <w:t>.</w:t>
      </w:r>
      <w:r>
        <w:tab/>
        <w:t>Averments in charges</w:t>
      </w:r>
      <w:bookmarkEnd w:id="631"/>
      <w:bookmarkEnd w:id="632"/>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[Section 123 amended: No.</w:t>
      </w:r>
      <w:del w:id="633" w:author="svcMRProcess" w:date="2019-03-27T12:18:00Z">
        <w:r>
          <w:delText xml:space="preserve"> </w:delText>
        </w:r>
      </w:del>
      <w:ins w:id="634" w:author="svcMRProcess" w:date="2019-03-27T12:18:00Z">
        <w:r>
          <w:t> </w:t>
        </w:r>
      </w:ins>
      <w:r>
        <w:t xml:space="preserve">84 of 2004 s. 80 and 82.] </w:t>
      </w:r>
    </w:p>
    <w:p>
      <w:pPr>
        <w:pStyle w:val="Heading5"/>
      </w:pPr>
      <w:bookmarkStart w:id="635" w:name="_Toc4580371"/>
      <w:bookmarkStart w:id="636" w:name="_Toc2150547"/>
      <w:r>
        <w:rPr>
          <w:rStyle w:val="CharSectno"/>
        </w:rPr>
        <w:t>124</w:t>
      </w:r>
      <w:r>
        <w:t>.</w:t>
      </w:r>
      <w:r>
        <w:tab/>
        <w:t>Presumption of regularity</w:t>
      </w:r>
      <w:bookmarkEnd w:id="635"/>
      <w:bookmarkEnd w:id="636"/>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637" w:name="_Toc4569773"/>
      <w:bookmarkStart w:id="638" w:name="_Toc4580372"/>
      <w:bookmarkStart w:id="639" w:name="_Toc440362667"/>
      <w:bookmarkStart w:id="640" w:name="_Toc450560103"/>
      <w:bookmarkStart w:id="641" w:name="_Toc455399633"/>
      <w:bookmarkStart w:id="642" w:name="_Toc528769218"/>
      <w:bookmarkStart w:id="643" w:name="_Toc532472979"/>
      <w:bookmarkStart w:id="644" w:name="_Toc532812203"/>
      <w:bookmarkStart w:id="645" w:name="_Toc2150548"/>
      <w:r>
        <w:rPr>
          <w:rStyle w:val="CharDivNo"/>
        </w:rPr>
        <w:t>Division 4</w:t>
      </w:r>
      <w:r>
        <w:t xml:space="preserve"> — </w:t>
      </w:r>
      <w:r>
        <w:rPr>
          <w:rStyle w:val="CharDivText"/>
        </w:rPr>
        <w:t>Exemption from personal liability</w:t>
      </w:r>
      <w:bookmarkEnd w:id="637"/>
      <w:bookmarkEnd w:id="638"/>
      <w:bookmarkEnd w:id="639"/>
      <w:bookmarkEnd w:id="640"/>
      <w:bookmarkEnd w:id="641"/>
      <w:bookmarkEnd w:id="642"/>
      <w:bookmarkEnd w:id="643"/>
      <w:bookmarkEnd w:id="644"/>
      <w:bookmarkEnd w:id="645"/>
    </w:p>
    <w:p>
      <w:pPr>
        <w:pStyle w:val="Heading5"/>
      </w:pPr>
      <w:bookmarkStart w:id="646" w:name="_Toc4580373"/>
      <w:bookmarkStart w:id="647" w:name="_Toc2150549"/>
      <w:r>
        <w:rPr>
          <w:rStyle w:val="CharSectno"/>
        </w:rPr>
        <w:t>125</w:t>
      </w:r>
      <w:r>
        <w:t>.</w:t>
      </w:r>
      <w:r>
        <w:tab/>
        <w:t>Exemption from personal liability</w:t>
      </w:r>
      <w:bookmarkEnd w:id="646"/>
      <w:bookmarkEnd w:id="647"/>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Footnotesection"/>
        <w:ind w:left="890" w:hanging="890"/>
      </w:pPr>
      <w:r>
        <w:tab/>
        <w:t>[Section 3, modifications have effect under the Commonwealth Places (Mirror Taxes) Act 1998 (Cth), see note 1MC.]</w:t>
      </w:r>
    </w:p>
    <w:p>
      <w:pPr>
        <w:pStyle w:val="Heading3"/>
      </w:pPr>
      <w:bookmarkStart w:id="648" w:name="_Toc4569775"/>
      <w:bookmarkStart w:id="649" w:name="_Toc4580374"/>
      <w:bookmarkStart w:id="650" w:name="_Toc440362669"/>
      <w:bookmarkStart w:id="651" w:name="_Toc450560105"/>
      <w:bookmarkStart w:id="652" w:name="_Toc455399635"/>
      <w:bookmarkStart w:id="653" w:name="_Toc528769220"/>
      <w:bookmarkStart w:id="654" w:name="_Toc532472981"/>
      <w:bookmarkStart w:id="655" w:name="_Toc532812205"/>
      <w:bookmarkStart w:id="656" w:name="_Toc2150550"/>
      <w:r>
        <w:rPr>
          <w:rStyle w:val="CharDivNo"/>
        </w:rPr>
        <w:t>Division 5</w:t>
      </w:r>
      <w:r>
        <w:t xml:space="preserve"> — </w:t>
      </w:r>
      <w:r>
        <w:rPr>
          <w:rStyle w:val="CharDivText"/>
        </w:rPr>
        <w:t>Regulations, practices and forms</w:t>
      </w:r>
      <w:bookmarkEnd w:id="648"/>
      <w:bookmarkEnd w:id="649"/>
      <w:bookmarkEnd w:id="650"/>
      <w:bookmarkEnd w:id="651"/>
      <w:bookmarkEnd w:id="652"/>
      <w:bookmarkEnd w:id="653"/>
      <w:bookmarkEnd w:id="654"/>
      <w:bookmarkEnd w:id="655"/>
      <w:bookmarkEnd w:id="656"/>
    </w:p>
    <w:p>
      <w:pPr>
        <w:pStyle w:val="Footnoteheading"/>
      </w:pPr>
      <w:r>
        <w:tab/>
        <w:t>[Heading amended: No. 12 of 2008 s. 49.]</w:t>
      </w:r>
    </w:p>
    <w:p>
      <w:pPr>
        <w:pStyle w:val="Heading5"/>
        <w:spacing w:before="240"/>
      </w:pPr>
      <w:bookmarkStart w:id="657" w:name="_Toc4580375"/>
      <w:bookmarkStart w:id="658" w:name="_Toc2150551"/>
      <w:r>
        <w:rPr>
          <w:rStyle w:val="CharSectno"/>
        </w:rPr>
        <w:t>126</w:t>
      </w:r>
      <w:r>
        <w:t>.</w:t>
      </w:r>
      <w:r>
        <w:tab/>
        <w:t>Regulations</w:t>
      </w:r>
      <w:bookmarkEnd w:id="657"/>
      <w:bookmarkEnd w:id="658"/>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659" w:name="_Toc4580376"/>
      <w:bookmarkStart w:id="660" w:name="_Toc2150552"/>
      <w:r>
        <w:rPr>
          <w:rStyle w:val="CharSectno"/>
        </w:rPr>
        <w:t>127</w:t>
      </w:r>
      <w:r>
        <w:t>.</w:t>
      </w:r>
      <w:r>
        <w:tab/>
        <w:t>Practices</w:t>
      </w:r>
      <w:bookmarkEnd w:id="659"/>
      <w:bookmarkEnd w:id="660"/>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keepNext w:val="0"/>
        <w:keepLines w:val="0"/>
      </w:pPr>
      <w:bookmarkStart w:id="661" w:name="_Toc4580377"/>
      <w:bookmarkStart w:id="662" w:name="_Toc2150553"/>
      <w:r>
        <w:rPr>
          <w:rStyle w:val="CharSectno"/>
        </w:rPr>
        <w:t>128</w:t>
      </w:r>
      <w:r>
        <w:t>.</w:t>
      </w:r>
      <w:r>
        <w:tab/>
        <w:t>Forms</w:t>
      </w:r>
      <w:bookmarkEnd w:id="661"/>
      <w:bookmarkEnd w:id="662"/>
    </w:p>
    <w:p>
      <w:pPr>
        <w:pStyle w:val="Subsection"/>
      </w:pPr>
      <w:r>
        <w:tab/>
      </w:r>
      <w:r>
        <w:tab/>
        <w:t>A form approved for use under a taxation Act may require information provided in the form to be verified by statutory declaration.</w:t>
      </w:r>
    </w:p>
    <w:p>
      <w:pPr>
        <w:pStyle w:val="Footnotesection"/>
        <w:ind w:left="890" w:hanging="890"/>
      </w:pPr>
      <w:r>
        <w:tab/>
        <w:t>[Section 128 inserted: No. 12 of 2008 s. 50.]</w:t>
      </w:r>
    </w:p>
    <w:p>
      <w:pPr>
        <w:pStyle w:val="Heading3"/>
        <w:pageBreakBefore/>
        <w:spacing w:before="0"/>
      </w:pPr>
      <w:bookmarkStart w:id="663" w:name="_Toc4569779"/>
      <w:bookmarkStart w:id="664" w:name="_Toc4580378"/>
      <w:bookmarkStart w:id="665" w:name="_Toc440362673"/>
      <w:bookmarkStart w:id="666" w:name="_Toc450560109"/>
      <w:bookmarkStart w:id="667" w:name="_Toc455399639"/>
      <w:bookmarkStart w:id="668" w:name="_Toc528769224"/>
      <w:bookmarkStart w:id="669" w:name="_Toc532472985"/>
      <w:bookmarkStart w:id="670" w:name="_Toc532812209"/>
      <w:bookmarkStart w:id="671" w:name="_Toc2150554"/>
      <w:r>
        <w:rPr>
          <w:rStyle w:val="CharDivNo"/>
        </w:rPr>
        <w:t>Division 6</w:t>
      </w:r>
      <w:r>
        <w:t> — </w:t>
      </w:r>
      <w:r>
        <w:rPr>
          <w:rStyle w:val="CharDivText"/>
        </w:rPr>
        <w:t>Early operation of certain amendments to taxation Acts</w:t>
      </w:r>
      <w:bookmarkEnd w:id="663"/>
      <w:bookmarkEnd w:id="664"/>
      <w:bookmarkEnd w:id="665"/>
      <w:bookmarkEnd w:id="666"/>
      <w:bookmarkEnd w:id="667"/>
      <w:bookmarkEnd w:id="668"/>
      <w:bookmarkEnd w:id="669"/>
      <w:bookmarkEnd w:id="670"/>
      <w:bookmarkEnd w:id="671"/>
    </w:p>
    <w:p>
      <w:pPr>
        <w:pStyle w:val="Footnoteheading"/>
        <w:spacing w:before="100"/>
      </w:pPr>
      <w:r>
        <w:tab/>
        <w:t>[Heading inserted: No. 31 of 2008 s. 28.]</w:t>
      </w:r>
    </w:p>
    <w:p>
      <w:pPr>
        <w:pStyle w:val="Heading5"/>
        <w:spacing w:before="180"/>
      </w:pPr>
      <w:bookmarkStart w:id="672" w:name="_Toc4580379"/>
      <w:bookmarkStart w:id="673" w:name="_Toc2150555"/>
      <w:r>
        <w:rPr>
          <w:rStyle w:val="CharSectno"/>
        </w:rPr>
        <w:t>129</w:t>
      </w:r>
      <w:r>
        <w:t>.</w:t>
      </w:r>
      <w:r>
        <w:tab/>
        <w:t>Terms used</w:t>
      </w:r>
      <w:bookmarkEnd w:id="672"/>
      <w:bookmarkEnd w:id="673"/>
    </w:p>
    <w:p>
      <w:pPr>
        <w:pStyle w:val="Subsection"/>
        <w:spacing w:before="120"/>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spacing w:before="120"/>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No.</w:t>
      </w:r>
      <w:del w:id="674" w:author="svcMRProcess" w:date="2019-03-27T12:18:00Z">
        <w:r>
          <w:delText xml:space="preserve"> </w:delText>
        </w:r>
      </w:del>
      <w:ins w:id="675" w:author="svcMRProcess" w:date="2019-03-27T12:18:00Z">
        <w:r>
          <w:t> </w:t>
        </w:r>
      </w:ins>
      <w:r>
        <w:t>31 of 2008 s. 28.]</w:t>
      </w:r>
    </w:p>
    <w:p>
      <w:pPr>
        <w:pStyle w:val="Heading5"/>
        <w:spacing w:before="180"/>
      </w:pPr>
      <w:bookmarkStart w:id="676" w:name="_Toc4580380"/>
      <w:bookmarkStart w:id="677" w:name="_Toc2150556"/>
      <w:r>
        <w:rPr>
          <w:rStyle w:val="CharSectno"/>
        </w:rPr>
        <w:t>130</w:t>
      </w:r>
      <w:r>
        <w:t>.</w:t>
      </w:r>
      <w:r>
        <w:tab/>
        <w:t>Determination of pre</w:t>
      </w:r>
      <w:r>
        <w:noBreakHyphen/>
        <w:t>enactment provisions</w:t>
      </w:r>
      <w:bookmarkEnd w:id="676"/>
      <w:bookmarkEnd w:id="677"/>
    </w:p>
    <w:p>
      <w:pPr>
        <w:pStyle w:val="Subsection"/>
        <w:spacing w:before="120"/>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spacing w:before="120"/>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No.</w:t>
      </w:r>
      <w:del w:id="678" w:author="svcMRProcess" w:date="2019-03-27T12:18:00Z">
        <w:r>
          <w:delText xml:space="preserve"> </w:delText>
        </w:r>
      </w:del>
      <w:ins w:id="679" w:author="svcMRProcess" w:date="2019-03-27T12:18:00Z">
        <w:r>
          <w:t> </w:t>
        </w:r>
      </w:ins>
      <w:r>
        <w:t>31 of 2008 s. 28.]</w:t>
      </w:r>
    </w:p>
    <w:p>
      <w:pPr>
        <w:pStyle w:val="Heading5"/>
      </w:pPr>
      <w:bookmarkStart w:id="680" w:name="_Toc4580381"/>
      <w:bookmarkStart w:id="681" w:name="_Toc2150557"/>
      <w:r>
        <w:rPr>
          <w:rStyle w:val="CharSectno"/>
        </w:rPr>
        <w:t>131</w:t>
      </w:r>
      <w:r>
        <w:t>.</w:t>
      </w:r>
      <w:r>
        <w:tab/>
        <w:t>Duration of determination notice</w:t>
      </w:r>
      <w:bookmarkEnd w:id="680"/>
      <w:bookmarkEnd w:id="681"/>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No.</w:t>
      </w:r>
      <w:del w:id="682" w:author="svcMRProcess" w:date="2019-03-27T12:18:00Z">
        <w:r>
          <w:delText xml:space="preserve"> </w:delText>
        </w:r>
      </w:del>
      <w:ins w:id="683" w:author="svcMRProcess" w:date="2019-03-27T12:18:00Z">
        <w:r>
          <w:t> </w:t>
        </w:r>
      </w:ins>
      <w:r>
        <w:t>31 of 2008 s. 28.]</w:t>
      </w:r>
    </w:p>
    <w:p>
      <w:pPr>
        <w:pStyle w:val="Heading5"/>
      </w:pPr>
      <w:bookmarkStart w:id="684" w:name="_Toc4580382"/>
      <w:bookmarkStart w:id="685" w:name="_Toc2150558"/>
      <w:r>
        <w:rPr>
          <w:rStyle w:val="CharSectno"/>
        </w:rPr>
        <w:t>132</w:t>
      </w:r>
      <w:r>
        <w:t>.</w:t>
      </w:r>
      <w:r>
        <w:tab/>
        <w:t>Amendment and replacement of determination notice</w:t>
      </w:r>
      <w:bookmarkEnd w:id="684"/>
      <w:bookmarkEnd w:id="685"/>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No.</w:t>
      </w:r>
      <w:del w:id="686" w:author="svcMRProcess" w:date="2019-03-27T12:18:00Z">
        <w:r>
          <w:delText xml:space="preserve"> </w:delText>
        </w:r>
      </w:del>
      <w:ins w:id="687" w:author="svcMRProcess" w:date="2019-03-27T12:18:00Z">
        <w:r>
          <w:t> </w:t>
        </w:r>
      </w:ins>
      <w:r>
        <w:t>31 of 2008 s. 28.]</w:t>
      </w:r>
    </w:p>
    <w:p>
      <w:pPr>
        <w:pStyle w:val="Heading5"/>
      </w:pPr>
      <w:bookmarkStart w:id="688" w:name="_Toc4580383"/>
      <w:bookmarkStart w:id="689" w:name="_Toc2150559"/>
      <w:r>
        <w:rPr>
          <w:rStyle w:val="CharSectno"/>
        </w:rPr>
        <w:t>133</w:t>
      </w:r>
      <w:r>
        <w:t>.</w:t>
      </w:r>
      <w:r>
        <w:tab/>
        <w:t>Effect of pre</w:t>
      </w:r>
      <w:r>
        <w:noBreakHyphen/>
        <w:t>enactment provisions</w:t>
      </w:r>
      <w:bookmarkEnd w:id="688"/>
      <w:bookmarkEnd w:id="689"/>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No.</w:t>
      </w:r>
      <w:del w:id="690" w:author="svcMRProcess" w:date="2019-03-27T12:18:00Z">
        <w:r>
          <w:delText xml:space="preserve"> </w:delText>
        </w:r>
      </w:del>
      <w:ins w:id="691" w:author="svcMRProcess" w:date="2019-03-27T12:18:00Z">
        <w:r>
          <w:t> </w:t>
        </w:r>
      </w:ins>
      <w:r>
        <w:t>31 of 2008 s. 28.]</w:t>
      </w:r>
    </w:p>
    <w:p>
      <w:pPr>
        <w:pStyle w:val="Heading5"/>
      </w:pPr>
      <w:bookmarkStart w:id="692" w:name="_Toc4580384"/>
      <w:bookmarkStart w:id="693" w:name="_Toc2150560"/>
      <w:r>
        <w:rPr>
          <w:rStyle w:val="CharSectno"/>
        </w:rPr>
        <w:t>134</w:t>
      </w:r>
      <w:r>
        <w:t>.</w:t>
      </w:r>
      <w:r>
        <w:tab/>
        <w:t>Review of Division</w:t>
      </w:r>
      <w:bookmarkEnd w:id="692"/>
      <w:bookmarkEnd w:id="693"/>
    </w:p>
    <w:p>
      <w:pPr>
        <w:pStyle w:val="Subsection"/>
      </w:pPr>
      <w:r>
        <w:tab/>
        <w:t>(1)</w:t>
      </w:r>
      <w:r>
        <w:tab/>
        <w:t>The Minister is to carry out a review of the operation and effectiveness of this Division as soon as is practicable after —</w:t>
      </w:r>
    </w:p>
    <w:p>
      <w:pPr>
        <w:pStyle w:val="Indenta"/>
      </w:pPr>
      <w:r>
        <w:tab/>
        <w:t>(a)</w:t>
      </w:r>
      <w:r>
        <w:tab/>
        <w:t>the 5</w:t>
      </w:r>
      <w:r>
        <w:rPr>
          <w:vertAlign w:val="superscript"/>
        </w:rPr>
        <w:t>th</w:t>
      </w:r>
      <w:r>
        <w:t xml:space="preserve"> anniversary of the commencement of the </w:t>
      </w:r>
      <w:r>
        <w:rPr>
          <w:i/>
        </w:rPr>
        <w:t>Revenue Laws Amendment Act (No. 2) 2008</w:t>
      </w:r>
      <w:r>
        <w:t xml:space="preserve"> section 28</w:t>
      </w:r>
      <w:r>
        <w:rPr>
          <w:vertAlign w:val="superscript"/>
        </w:rPr>
        <w:t> 1</w:t>
      </w:r>
      <w:r>
        <w: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No.</w:t>
      </w:r>
      <w:del w:id="694" w:author="svcMRProcess" w:date="2019-03-27T12:18:00Z">
        <w:r>
          <w:delText xml:space="preserve"> </w:delText>
        </w:r>
      </w:del>
      <w:ins w:id="695" w:author="svcMRProcess" w:date="2019-03-27T12:18:00Z">
        <w:r>
          <w:t> </w:t>
        </w:r>
      </w:ins>
      <w:r>
        <w:t>31 of 2008 s. 28.]</w:t>
      </w:r>
    </w:p>
    <w:p>
      <w:pPr>
        <w:pStyle w:val="Heading3"/>
        <w:keepNext w:val="0"/>
        <w:pageBreakBefore/>
        <w:spacing w:before="0"/>
      </w:pPr>
      <w:bookmarkStart w:id="696" w:name="_Toc4569786"/>
      <w:bookmarkStart w:id="697" w:name="_Toc4580385"/>
      <w:bookmarkStart w:id="698" w:name="_Toc440362680"/>
      <w:bookmarkStart w:id="699" w:name="_Toc450560116"/>
      <w:bookmarkStart w:id="700" w:name="_Toc455399646"/>
      <w:bookmarkStart w:id="701" w:name="_Toc528769231"/>
      <w:bookmarkStart w:id="702" w:name="_Toc532472992"/>
      <w:bookmarkStart w:id="703" w:name="_Toc532812216"/>
      <w:bookmarkStart w:id="704" w:name="_Toc2150561"/>
      <w:r>
        <w:rPr>
          <w:rStyle w:val="CharDivNo"/>
        </w:rPr>
        <w:t>Division 7</w:t>
      </w:r>
      <w:r>
        <w:t> — </w:t>
      </w:r>
      <w:r>
        <w:rPr>
          <w:rStyle w:val="CharDivText"/>
        </w:rPr>
        <w:t>Review of operation and effectiveness of interim assessments</w:t>
      </w:r>
      <w:bookmarkEnd w:id="696"/>
      <w:bookmarkEnd w:id="697"/>
      <w:bookmarkEnd w:id="698"/>
      <w:bookmarkEnd w:id="699"/>
      <w:bookmarkEnd w:id="700"/>
      <w:bookmarkEnd w:id="701"/>
      <w:bookmarkEnd w:id="702"/>
      <w:bookmarkEnd w:id="703"/>
      <w:bookmarkEnd w:id="704"/>
    </w:p>
    <w:p>
      <w:pPr>
        <w:pStyle w:val="Footnoteheading"/>
      </w:pPr>
      <w:r>
        <w:tab/>
        <w:t>[Heading inserted: No. 10 of 2013 s. 26.]</w:t>
      </w:r>
    </w:p>
    <w:p>
      <w:pPr>
        <w:pStyle w:val="Heading5"/>
      </w:pPr>
      <w:bookmarkStart w:id="705" w:name="_Toc4580386"/>
      <w:bookmarkStart w:id="706" w:name="_Toc2150562"/>
      <w:r>
        <w:rPr>
          <w:rStyle w:val="CharSectno"/>
        </w:rPr>
        <w:t>135</w:t>
      </w:r>
      <w:r>
        <w:t>.</w:t>
      </w:r>
      <w:r>
        <w:tab/>
        <w:t>Review of operation and effectiveness</w:t>
      </w:r>
      <w:bookmarkEnd w:id="705"/>
      <w:bookmarkEnd w:id="706"/>
    </w:p>
    <w:p>
      <w:pPr>
        <w:pStyle w:val="Subsection"/>
        <w:rPr>
          <w:snapToGrid w:val="0"/>
        </w:rPr>
      </w:pPr>
      <w:r>
        <w:tab/>
        <w:t>(1)</w:t>
      </w:r>
      <w:r>
        <w:tab/>
        <w:t xml:space="preserve">The Minister must carry out a review of the operation and effectiveness of the provisions of this Act and the </w:t>
      </w:r>
      <w:r>
        <w:rPr>
          <w:i/>
        </w:rPr>
        <w:t>Duties Act 2008</w:t>
      </w:r>
      <w:r>
        <w:t xml:space="preserve"> relating to interim assessments as soon as practicable after the 3</w:t>
      </w:r>
      <w:r>
        <w:rPr>
          <w:vertAlign w:val="superscript"/>
        </w:rPr>
        <w:t>rd</w:t>
      </w:r>
      <w:r>
        <w:t xml:space="preserve"> anniversary of the commencement of the </w:t>
      </w:r>
      <w:r>
        <w:rPr>
          <w:i/>
          <w:snapToGrid w:val="0"/>
        </w:rPr>
        <w:t>Revenue Laws Amendment Act 2013</w:t>
      </w:r>
      <w:r>
        <w:rPr>
          <w:snapToGrid w:val="0"/>
        </w:rPr>
        <w:t xml:space="preserve"> Part 2</w:t>
      </w:r>
      <w:r>
        <w:rPr>
          <w:vertAlign w:val="superscript"/>
        </w:rPr>
        <w:t> 1</w:t>
      </w:r>
      <w:r>
        <w:rPr>
          <w:snapToGrid w:val="0"/>
        </w:rPr>
        <w:t>.</w:t>
      </w:r>
    </w:p>
    <w:p>
      <w:pPr>
        <w:pStyle w:val="Subsection"/>
      </w:pPr>
      <w:r>
        <w:tab/>
        <w:t>(2)</w:t>
      </w:r>
      <w:r>
        <w:tab/>
        <w:t>The Minister must prepare a report based on the review and, as soon as is practicable after the report is prepared, and in any event not more than 12 months after the anniversary referred to in subsection (1), cause it to be laid before each House of Parliament.</w:t>
      </w:r>
    </w:p>
    <w:p>
      <w:pPr>
        <w:pStyle w:val="Footnotesection"/>
      </w:pPr>
      <w:r>
        <w:tab/>
        <w:t>[Section 135 inserted: No. 10 of 2013 s. 26.]</w:t>
      </w:r>
    </w:p>
    <w:p>
      <w:pPr>
        <w:pStyle w:val="Heading2"/>
      </w:pPr>
      <w:bookmarkStart w:id="707" w:name="_Toc4569788"/>
      <w:bookmarkStart w:id="708" w:name="_Toc4580387"/>
      <w:bookmarkStart w:id="709" w:name="_Toc440362682"/>
      <w:bookmarkStart w:id="710" w:name="_Toc450560118"/>
      <w:bookmarkStart w:id="711" w:name="_Toc455399648"/>
      <w:bookmarkStart w:id="712" w:name="_Toc528769233"/>
      <w:bookmarkStart w:id="713" w:name="_Toc532472994"/>
      <w:bookmarkStart w:id="714" w:name="_Toc532812218"/>
      <w:bookmarkStart w:id="715" w:name="_Toc2150563"/>
      <w:r>
        <w:rPr>
          <w:rStyle w:val="CharPartNo"/>
        </w:rPr>
        <w:t>Part 11</w:t>
      </w:r>
      <w:r>
        <w:rPr>
          <w:rStyle w:val="CharDivNo"/>
        </w:rPr>
        <w:t> </w:t>
      </w:r>
      <w:r>
        <w:t>—</w:t>
      </w:r>
      <w:r>
        <w:rPr>
          <w:rStyle w:val="CharDivText"/>
        </w:rPr>
        <w:t> </w:t>
      </w:r>
      <w:r>
        <w:rPr>
          <w:rStyle w:val="CharPartText"/>
        </w:rPr>
        <w:t>Transitional matters</w:t>
      </w:r>
      <w:bookmarkEnd w:id="707"/>
      <w:bookmarkEnd w:id="708"/>
      <w:bookmarkEnd w:id="709"/>
      <w:bookmarkEnd w:id="710"/>
      <w:bookmarkEnd w:id="711"/>
      <w:bookmarkEnd w:id="712"/>
      <w:bookmarkEnd w:id="713"/>
      <w:bookmarkEnd w:id="714"/>
      <w:bookmarkEnd w:id="715"/>
    </w:p>
    <w:p>
      <w:pPr>
        <w:pStyle w:val="Footnoteheading"/>
      </w:pPr>
      <w:r>
        <w:tab/>
        <w:t>[Heading inserted: No. 10 of 2013 s. 38.]</w:t>
      </w:r>
    </w:p>
    <w:p>
      <w:pPr>
        <w:pStyle w:val="Heading5"/>
      </w:pPr>
      <w:bookmarkStart w:id="716" w:name="_Toc4580388"/>
      <w:bookmarkStart w:id="717" w:name="_Toc2150564"/>
      <w:r>
        <w:rPr>
          <w:rStyle w:val="CharSectno"/>
        </w:rPr>
        <w:t>136</w:t>
      </w:r>
      <w:r>
        <w:t>.</w:t>
      </w:r>
      <w:r>
        <w:tab/>
        <w:t xml:space="preserve">Provisions for </w:t>
      </w:r>
      <w:r>
        <w:rPr>
          <w:i/>
          <w:snapToGrid w:val="0"/>
        </w:rPr>
        <w:t>Revenue Laws Amendment Act 2013</w:t>
      </w:r>
      <w:r>
        <w:t xml:space="preserve"> Part 3</w:t>
      </w:r>
      <w:bookmarkEnd w:id="716"/>
      <w:bookmarkEnd w:id="71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r>
        <w:rPr>
          <w:vertAlign w:val="superscript"/>
        </w:rPr>
        <w:t> 1</w:t>
      </w:r>
      <w:r>
        <w:t>.</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No. 10 of 2013 s. 38.]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718" w:name="_Toc4569790"/>
      <w:bookmarkStart w:id="719" w:name="_Toc4580389"/>
      <w:bookmarkStart w:id="720" w:name="_Toc440362684"/>
      <w:bookmarkStart w:id="721" w:name="_Toc450560120"/>
      <w:bookmarkStart w:id="722" w:name="_Toc455399650"/>
      <w:bookmarkStart w:id="723" w:name="_Toc528769235"/>
      <w:bookmarkStart w:id="724" w:name="_Toc532472996"/>
      <w:bookmarkStart w:id="725" w:name="_Toc532812220"/>
      <w:bookmarkStart w:id="726" w:name="_Toc2150565"/>
      <w:r>
        <w:rPr>
          <w:rStyle w:val="CharSchNo"/>
        </w:rPr>
        <w:t>Glossary</w:t>
      </w:r>
      <w:bookmarkEnd w:id="718"/>
      <w:bookmarkEnd w:id="719"/>
      <w:bookmarkEnd w:id="720"/>
      <w:bookmarkEnd w:id="721"/>
      <w:bookmarkEnd w:id="722"/>
      <w:bookmarkEnd w:id="723"/>
      <w:bookmarkEnd w:id="724"/>
      <w:bookmarkEnd w:id="725"/>
      <w:bookmarkEnd w:id="726"/>
    </w:p>
    <w:p>
      <w:pPr>
        <w:pStyle w:val="yShoulderClause"/>
      </w:pPr>
      <w:r>
        <w:t>[s. 4]</w:t>
      </w:r>
    </w:p>
    <w:p>
      <w:pPr>
        <w:pStyle w:val="yHeading5"/>
      </w:pPr>
      <w:bookmarkStart w:id="727" w:name="_Toc4580390"/>
      <w:bookmarkStart w:id="728" w:name="_Toc2150566"/>
      <w:r>
        <w:rPr>
          <w:rStyle w:val="CharSClsNo"/>
        </w:rPr>
        <w:t>1</w:t>
      </w:r>
      <w:r>
        <w:t>.</w:t>
      </w:r>
      <w:r>
        <w:tab/>
        <w:t>Terms used</w:t>
      </w:r>
      <w:bookmarkEnd w:id="727"/>
      <w:bookmarkEnd w:id="728"/>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No. 66 of 2003 s. 95(5) and 108(3); No. 12 of 2004 s. 12; No. 55 of 2004 s. 1183; No. 60 of 2006 s. 184; No. 12 of 2008 s. 51; No. 31 of 2008 s. 31; No. 19 of 2010 s. 51; No. 10 of 2013 s. 27 and 39; No. 8 of 2015 s. 21.]</w:t>
      </w:r>
    </w:p>
    <w:p>
      <w:pPr>
        <w:pStyle w:val="Footnotesection"/>
      </w:pPr>
      <w:r>
        <w:tab/>
        <w:t>[Glossary, modifications have effect under the Commonwealth Places (Mirror Taxes Administration) Act 1999, see note 1M.]</w:t>
      </w:r>
    </w:p>
    <w:p>
      <w:pPr>
        <w:pStyle w:val="Footnotesection"/>
      </w:pPr>
      <w:r>
        <w:tab/>
        <w:t>[Glossary, modifications have effect under the Commonwealth Places (Mirror Taxes) Act 1998 (Cth), see note 1MC.]</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730" w:name="_Toc4569792"/>
      <w:bookmarkStart w:id="731" w:name="_Toc4580391"/>
      <w:bookmarkStart w:id="732" w:name="_Toc440362686"/>
      <w:bookmarkStart w:id="733" w:name="_Toc450560122"/>
      <w:bookmarkStart w:id="734" w:name="_Toc455399652"/>
      <w:bookmarkStart w:id="735" w:name="_Toc528769237"/>
      <w:bookmarkStart w:id="736" w:name="_Toc532472998"/>
      <w:bookmarkStart w:id="737" w:name="_Toc532812222"/>
      <w:bookmarkStart w:id="738" w:name="_Toc2150567"/>
      <w:r>
        <w:t>Notes</w:t>
      </w:r>
      <w:bookmarkEnd w:id="730"/>
      <w:bookmarkEnd w:id="731"/>
      <w:bookmarkEnd w:id="732"/>
      <w:bookmarkEnd w:id="733"/>
      <w:bookmarkEnd w:id="734"/>
      <w:bookmarkEnd w:id="735"/>
      <w:bookmarkEnd w:id="736"/>
      <w:bookmarkEnd w:id="737"/>
      <w:bookmarkEnd w:id="738"/>
    </w:p>
    <w:p>
      <w:pPr>
        <w:pStyle w:val="nSubsection"/>
        <w:spacing w:before="40"/>
      </w:pPr>
      <w:r>
        <w:rPr>
          <w:vertAlign w:val="superscript"/>
        </w:rPr>
        <w:t>1</w:t>
      </w:r>
      <w:r>
        <w:tab/>
        <w:t xml:space="preserve">This is a compilation of the </w:t>
      </w:r>
      <w:r>
        <w:rPr>
          <w:i/>
          <w:noProof/>
        </w:rPr>
        <w:t>Taxation Administration Act 2003</w:t>
      </w:r>
      <w:r>
        <w:t xml:space="preserve"> and includes the amendments made by the other written laws referred to in the following table</w:t>
      </w:r>
      <w:r>
        <w:rPr>
          <w:vertAlign w:val="superscript"/>
        </w:rPr>
        <w:t> </w:t>
      </w:r>
      <w:del w:id="739" w:author="svcMRProcess" w:date="2019-03-27T12:18:00Z">
        <w:r>
          <w:rPr>
            <w:vertAlign w:val="superscript"/>
          </w:rPr>
          <w:delText>1a, </w:delText>
        </w:r>
      </w:del>
      <w:r>
        <w:rPr>
          <w:snapToGrid w:val="0"/>
          <w:vertAlign w:val="superscript"/>
        </w:rPr>
        <w:t>1M, 1MC</w:t>
      </w:r>
      <w:r>
        <w:t>.  The table also contains information about any reprint.</w:t>
      </w:r>
    </w:p>
    <w:p>
      <w:pPr>
        <w:pStyle w:val="nHeading3"/>
      </w:pPr>
      <w:bookmarkStart w:id="740" w:name="_Toc4580392"/>
      <w:bookmarkStart w:id="741" w:name="_Toc2150568"/>
      <w:r>
        <w:t>Compilation table</w:t>
      </w:r>
      <w:bookmarkEnd w:id="740"/>
      <w:bookmarkEnd w:id="741"/>
    </w:p>
    <w:tbl>
      <w:tblPr>
        <w:tblW w:w="0" w:type="auto"/>
        <w:tblInd w:w="28" w:type="dxa"/>
        <w:tblLayout w:type="fixed"/>
        <w:tblCellMar>
          <w:left w:w="56" w:type="dxa"/>
          <w:right w:w="56" w:type="dxa"/>
        </w:tblCellMar>
        <w:tblLook w:val="0000" w:firstRow="0" w:lastRow="0" w:firstColumn="0" w:lastColumn="0" w:noHBand="0" w:noVBand="0"/>
      </w:tblPr>
      <w:tblGrid>
        <w:gridCol w:w="2273"/>
        <w:gridCol w:w="93"/>
        <w:gridCol w:w="1046"/>
        <w:gridCol w:w="18"/>
        <w:gridCol w:w="1118"/>
        <w:gridCol w:w="16"/>
        <w:gridCol w:w="2535"/>
        <w:gridCol w:w="19"/>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9"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70"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9" w:type="dxa"/>
        </w:trPr>
        <w:tc>
          <w:tcPr>
            <w:tcW w:w="2273" w:type="dxa"/>
            <w:tcBorders>
              <w:top w:val="single" w:sz="8" w:space="0" w:color="auto"/>
            </w:tcBorders>
          </w:tcPr>
          <w:p>
            <w:pPr>
              <w:pStyle w:val="nTable"/>
              <w:spacing w:after="40"/>
            </w:pPr>
            <w:r>
              <w:rPr>
                <w:i/>
                <w:snapToGrid w:val="0"/>
              </w:rPr>
              <w:t>Taxation Administration Act 2003</w:t>
            </w:r>
            <w:r>
              <w:rPr>
                <w:snapToGrid w:val="0"/>
                <w:vertAlign w:val="superscript"/>
              </w:rPr>
              <w:t> 4</w:t>
            </w:r>
          </w:p>
        </w:tc>
        <w:tc>
          <w:tcPr>
            <w:tcW w:w="1139" w:type="dxa"/>
            <w:gridSpan w:val="2"/>
            <w:tcBorders>
              <w:top w:val="single" w:sz="8" w:space="0" w:color="auto"/>
            </w:tcBorders>
          </w:tcPr>
          <w:p>
            <w:pPr>
              <w:pStyle w:val="nTable"/>
              <w:spacing w:after="40"/>
            </w:pPr>
            <w:r>
              <w:t xml:space="preserve">1 of 2003 </w:t>
            </w:r>
          </w:p>
        </w:tc>
        <w:tc>
          <w:tcPr>
            <w:tcW w:w="1136" w:type="dxa"/>
            <w:gridSpan w:val="2"/>
            <w:tcBorders>
              <w:top w:val="single" w:sz="8" w:space="0" w:color="auto"/>
            </w:tcBorders>
          </w:tcPr>
          <w:p>
            <w:pPr>
              <w:pStyle w:val="nTable"/>
              <w:spacing w:after="40"/>
            </w:pPr>
            <w:r>
              <w:t>20 Mar 2003</w:t>
            </w:r>
          </w:p>
        </w:tc>
        <w:tc>
          <w:tcPr>
            <w:tcW w:w="2551" w:type="dxa"/>
            <w:gridSpan w:val="2"/>
            <w:tcBorders>
              <w:top w:val="single" w:sz="8" w:space="0" w:color="auto"/>
            </w:tcBorders>
          </w:tcPr>
          <w:p>
            <w:pPr>
              <w:pStyle w:val="nTable"/>
              <w:spacing w:after="40"/>
            </w:pPr>
            <w:r>
              <w:t>s. 1 and 2: 20 Mar 2003;</w:t>
            </w:r>
            <w:r>
              <w:br/>
              <w:t xml:space="preserve">Act other than s. 1, 2, 34(2)(c), (4) and (5), 41(2) and (4), 47(8), 48, 56(3), 57(3), 59 and 127 and the definition of </w:t>
            </w:r>
            <w:r>
              <w:rPr>
                <w:b/>
                <w:bCs/>
                <w:i/>
                <w:iCs/>
              </w:rPr>
              <w:t>non</w:t>
            </w:r>
            <w:r>
              <w:rPr>
                <w:b/>
                <w:bCs/>
                <w:i/>
                <w:iCs/>
              </w:rPr>
              <w:noBreakHyphen/>
              <w:t>reviewable decision</w:t>
            </w:r>
            <w:r>
              <w:t xml:space="preserve"> in the Glossary: 1 Jul 2003 (see s. 2 and </w:t>
            </w:r>
            <w:r>
              <w:rPr>
                <w:i/>
              </w:rPr>
              <w:t>Gazette</w:t>
            </w:r>
            <w:r>
              <w:t xml:space="preserve"> 27 Jun 2003 p. 2383);</w:t>
            </w:r>
            <w:r>
              <w:br/>
            </w:r>
            <w:r>
              <w:rPr>
                <w:spacing w:val="-2"/>
              </w:rPr>
              <w:t xml:space="preserve">s. 127: 2 Jan 2004 (see s. 2 and </w:t>
            </w:r>
            <w:r>
              <w:rPr>
                <w:i/>
                <w:spacing w:val="-2"/>
              </w:rPr>
              <w:t>Gazette</w:t>
            </w:r>
            <w:r>
              <w:rPr>
                <w:spacing w:val="-2"/>
              </w:rPr>
              <w:t xml:space="preserve"> 19 Dec 2003 p. 5137);</w:t>
            </w:r>
            <w:r>
              <w:rPr>
                <w:spacing w:val="-2"/>
              </w:rPr>
              <w:br/>
            </w:r>
            <w:r>
              <w:t xml:space="preserve">s. 34(2)(c) and (4), 47(8), 48, 56(3), 57(3) and 59: 2 Mar 2009 (see s. 2 and </w:t>
            </w:r>
            <w:r>
              <w:rPr>
                <w:i/>
                <w:iCs/>
              </w:rPr>
              <w:t xml:space="preserve">Gazette </w:t>
            </w:r>
            <w:r>
              <w:t>24 Feb 2009 p. 385)</w:t>
            </w:r>
          </w:p>
        </w:tc>
      </w:tr>
      <w:tr>
        <w:trPr>
          <w:gridAfter w:val="1"/>
          <w:wAfter w:w="19" w:type="dxa"/>
        </w:trPr>
        <w:tc>
          <w:tcPr>
            <w:tcW w:w="2273" w:type="dxa"/>
          </w:tcPr>
          <w:p>
            <w:pPr>
              <w:pStyle w:val="nTable"/>
              <w:spacing w:after="40"/>
              <w:rPr>
                <w:snapToGrid w:val="0"/>
              </w:rPr>
            </w:pPr>
            <w:r>
              <w:rPr>
                <w:i/>
                <w:snapToGrid w:val="0"/>
              </w:rPr>
              <w:t>Business Tax Review (Assessment) Act (No. 2) 2003</w:t>
            </w:r>
            <w:r>
              <w:rPr>
                <w:snapToGrid w:val="0"/>
              </w:rPr>
              <w:t xml:space="preserve"> s. 95, 100 and 108</w:t>
            </w:r>
            <w:r>
              <w:rPr>
                <w:snapToGrid w:val="0"/>
                <w:vertAlign w:val="superscript"/>
              </w:rPr>
              <w:t> 5</w:t>
            </w:r>
          </w:p>
        </w:tc>
        <w:tc>
          <w:tcPr>
            <w:tcW w:w="1139" w:type="dxa"/>
            <w:gridSpan w:val="2"/>
          </w:tcPr>
          <w:p>
            <w:pPr>
              <w:pStyle w:val="nTable"/>
              <w:spacing w:after="40"/>
            </w:pPr>
            <w:r>
              <w:t>66 of 2003</w:t>
            </w:r>
          </w:p>
        </w:tc>
        <w:tc>
          <w:tcPr>
            <w:tcW w:w="1136" w:type="dxa"/>
            <w:gridSpan w:val="2"/>
          </w:tcPr>
          <w:p>
            <w:pPr>
              <w:pStyle w:val="nTable"/>
              <w:spacing w:after="40"/>
            </w:pPr>
            <w:r>
              <w:t>5 Dec 2003</w:t>
            </w:r>
          </w:p>
        </w:tc>
        <w:tc>
          <w:tcPr>
            <w:tcW w:w="2551" w:type="dxa"/>
            <w:gridSpan w:val="2"/>
          </w:tcPr>
          <w:p>
            <w:pPr>
              <w:pStyle w:val="nTable"/>
              <w:spacing w:after="40"/>
              <w:rPr>
                <w:b/>
              </w:rPr>
            </w:pPr>
            <w:r>
              <w:t xml:space="preserve">s. 108: 1 Jul 2003 (see s. 2(5) and </w:t>
            </w:r>
            <w:r>
              <w:rPr>
                <w:i/>
              </w:rPr>
              <w:t>Gazette</w:t>
            </w:r>
            <w:r>
              <w:t xml:space="preserve"> 27 Jun 2003 p. 2383);</w:t>
            </w:r>
            <w:r>
              <w:br/>
              <w:t>s. 95(1)</w:t>
            </w:r>
            <w:r>
              <w:noBreakHyphen/>
              <w:t xml:space="preserve">(4) and (5)(a): 1 Jan 2004 (see s. 2(1) and (2) and </w:t>
            </w:r>
            <w:r>
              <w:rPr>
                <w:i/>
              </w:rPr>
              <w:t>Gazette</w:t>
            </w:r>
            <w:r>
              <w:t xml:space="preserve"> 30 Dec 2003 p. 5721);</w:t>
            </w:r>
            <w:r>
              <w:br/>
              <w:t>s. 100: 1 Jul 2004 (see s. 2(3));</w:t>
            </w:r>
            <w:r>
              <w:br/>
              <w:t xml:space="preserve">s. 95(5)(b): </w:t>
            </w:r>
            <w:r>
              <w:rPr>
                <w:spacing w:val="-2"/>
              </w:rPr>
              <w:t xml:space="preserve">1 Jul 2004 (see s. 2(1) and (2) and </w:t>
            </w:r>
            <w:r>
              <w:rPr>
                <w:i/>
                <w:spacing w:val="-2"/>
              </w:rPr>
              <w:t>Gazette</w:t>
            </w:r>
            <w:r>
              <w:rPr>
                <w:spacing w:val="-2"/>
              </w:rPr>
              <w:t xml:space="preserve"> 21 May 2004 p. 1711)</w:t>
            </w:r>
          </w:p>
        </w:tc>
      </w:tr>
      <w:tr>
        <w:trPr>
          <w:gridAfter w:val="1"/>
          <w:wAfter w:w="19" w:type="dxa"/>
        </w:trPr>
        <w:tc>
          <w:tcPr>
            <w:tcW w:w="2273" w:type="dxa"/>
          </w:tcPr>
          <w:p>
            <w:pPr>
              <w:pStyle w:val="nTable"/>
              <w:spacing w:after="40"/>
              <w:rPr>
                <w:i/>
                <w:snapToGrid w:val="0"/>
              </w:rPr>
            </w:pPr>
            <w:r>
              <w:rPr>
                <w:i/>
                <w:noProof/>
                <w:snapToGrid w:val="0"/>
              </w:rPr>
              <w:t xml:space="preserve">Revenue Laws Amendment and Repeal Act 2004 </w:t>
            </w:r>
            <w:r>
              <w:rPr>
                <w:noProof/>
                <w:snapToGrid w:val="0"/>
              </w:rPr>
              <w:t>Pt. 4</w:t>
            </w:r>
          </w:p>
        </w:tc>
        <w:tc>
          <w:tcPr>
            <w:tcW w:w="1139" w:type="dxa"/>
            <w:gridSpan w:val="2"/>
          </w:tcPr>
          <w:p>
            <w:pPr>
              <w:pStyle w:val="nTable"/>
              <w:spacing w:after="40"/>
            </w:pPr>
            <w:r>
              <w:t>12 of 2004</w:t>
            </w:r>
          </w:p>
        </w:tc>
        <w:tc>
          <w:tcPr>
            <w:tcW w:w="1136" w:type="dxa"/>
            <w:gridSpan w:val="2"/>
          </w:tcPr>
          <w:p>
            <w:pPr>
              <w:pStyle w:val="nTable"/>
              <w:spacing w:after="40"/>
            </w:pPr>
            <w:r>
              <w:t>29 Jun 2004</w:t>
            </w:r>
          </w:p>
        </w:tc>
        <w:tc>
          <w:tcPr>
            <w:tcW w:w="2551" w:type="dxa"/>
            <w:gridSpan w:val="2"/>
          </w:tcPr>
          <w:p>
            <w:pPr>
              <w:pStyle w:val="nTable"/>
              <w:spacing w:after="40"/>
            </w:pPr>
            <w:r>
              <w:t>29 Jun 2004 (see s. 2(1))</w:t>
            </w:r>
          </w:p>
        </w:tc>
      </w:tr>
      <w:tr>
        <w:trPr>
          <w:gridAfter w:val="1"/>
          <w:wAfter w:w="19" w:type="dxa"/>
        </w:trPr>
        <w:tc>
          <w:tcPr>
            <w:tcW w:w="2273" w:type="dxa"/>
          </w:tcPr>
          <w:p>
            <w:pPr>
              <w:pStyle w:val="nTable"/>
              <w:spacing w:after="40"/>
              <w:rPr>
                <w:i/>
              </w:rPr>
            </w:pPr>
            <w:r>
              <w:rPr>
                <w:i/>
              </w:rPr>
              <w:t>State Administrative Tribunal (Conferral of Jurisdiction) Amendment and Repeal Act 2004</w:t>
            </w:r>
            <w:r>
              <w:t xml:space="preserve"> Pt. 2 Div. 124</w:t>
            </w:r>
            <w:r>
              <w:rPr>
                <w:vertAlign w:val="superscript"/>
              </w:rPr>
              <w:t> 6</w:t>
            </w:r>
          </w:p>
        </w:tc>
        <w:tc>
          <w:tcPr>
            <w:tcW w:w="1139" w:type="dxa"/>
            <w:gridSpan w:val="2"/>
          </w:tcPr>
          <w:p>
            <w:pPr>
              <w:pStyle w:val="nTable"/>
              <w:spacing w:after="40"/>
            </w:pPr>
            <w:r>
              <w:t>55 of 2004</w:t>
            </w:r>
          </w:p>
        </w:tc>
        <w:tc>
          <w:tcPr>
            <w:tcW w:w="1136" w:type="dxa"/>
            <w:gridSpan w:val="2"/>
          </w:tcPr>
          <w:p>
            <w:pPr>
              <w:pStyle w:val="nTable"/>
              <w:spacing w:after="40"/>
            </w:pPr>
            <w:r>
              <w:t>24 Nov 2004</w:t>
            </w:r>
          </w:p>
        </w:tc>
        <w:tc>
          <w:tcPr>
            <w:tcW w:w="2551" w:type="dxa"/>
            <w:gridSpan w:val="2"/>
          </w:tcPr>
          <w:p>
            <w:pPr>
              <w:pStyle w:val="nTable"/>
              <w:spacing w:after="40"/>
            </w:pPr>
            <w:r>
              <w:t xml:space="preserve">1 Jan 2005 (see s. 2 and </w:t>
            </w:r>
            <w:r>
              <w:rPr>
                <w:i/>
              </w:rPr>
              <w:t>Gazette</w:t>
            </w:r>
            <w:r>
              <w:t xml:space="preserve"> 31 Dec 2004 p. 7130)</w:t>
            </w:r>
          </w:p>
        </w:tc>
      </w:tr>
      <w:tr>
        <w:trPr>
          <w:gridAfter w:val="1"/>
          <w:wAfter w:w="19" w:type="dxa"/>
          <w:cantSplit/>
        </w:trPr>
        <w:tc>
          <w:tcPr>
            <w:tcW w:w="2273" w:type="dxa"/>
          </w:tcPr>
          <w:p>
            <w:pPr>
              <w:pStyle w:val="nTable"/>
              <w:spacing w:after="40"/>
              <w:rPr>
                <w:i/>
              </w:rPr>
            </w:pPr>
            <w:r>
              <w:rPr>
                <w:i/>
              </w:rPr>
              <w:t xml:space="preserve">Revenue Laws Amendment (Tax Relief) Act 2004 </w:t>
            </w:r>
            <w:r>
              <w:t>Pt. 3</w:t>
            </w:r>
            <w:r>
              <w:rPr>
                <w:vertAlign w:val="superscript"/>
              </w:rPr>
              <w:t> 7</w:t>
            </w:r>
          </w:p>
        </w:tc>
        <w:tc>
          <w:tcPr>
            <w:tcW w:w="1139" w:type="dxa"/>
            <w:gridSpan w:val="2"/>
          </w:tcPr>
          <w:p>
            <w:pPr>
              <w:pStyle w:val="nTable"/>
              <w:spacing w:after="40"/>
            </w:pPr>
            <w:r>
              <w:t>82 of 2004</w:t>
            </w:r>
          </w:p>
        </w:tc>
        <w:tc>
          <w:tcPr>
            <w:tcW w:w="1136" w:type="dxa"/>
            <w:gridSpan w:val="2"/>
          </w:tcPr>
          <w:p>
            <w:pPr>
              <w:pStyle w:val="nTable"/>
              <w:spacing w:after="40"/>
            </w:pPr>
            <w:r>
              <w:t>8 Dec 2004</w:t>
            </w:r>
          </w:p>
        </w:tc>
        <w:tc>
          <w:tcPr>
            <w:tcW w:w="2551" w:type="dxa"/>
            <w:gridSpan w:val="2"/>
          </w:tcPr>
          <w:p>
            <w:pPr>
              <w:pStyle w:val="nTable"/>
              <w:spacing w:after="40"/>
            </w:pPr>
            <w:r>
              <w:t>8 Dec 2004 (see s. 2(1))</w:t>
            </w:r>
          </w:p>
        </w:tc>
      </w:tr>
      <w:tr>
        <w:trPr>
          <w:gridAfter w:val="1"/>
          <w:wAfter w:w="19" w:type="dxa"/>
          <w:cantSplit/>
        </w:trPr>
        <w:tc>
          <w:tcPr>
            <w:tcW w:w="2273" w:type="dxa"/>
          </w:tcPr>
          <w:p>
            <w:pPr>
              <w:pStyle w:val="nTable"/>
              <w:spacing w:after="40"/>
              <w:rPr>
                <w:i/>
              </w:rPr>
            </w:pPr>
            <w:r>
              <w:rPr>
                <w:i/>
                <w:snapToGrid w:val="0"/>
              </w:rPr>
              <w:t>Criminal Procedure and Appeals (Consequential and Other Provisions) Act 2004</w:t>
            </w:r>
            <w:r>
              <w:rPr>
                <w:snapToGrid w:val="0"/>
              </w:rPr>
              <w:t xml:space="preserve"> s. 80 and 82</w:t>
            </w:r>
          </w:p>
        </w:tc>
        <w:tc>
          <w:tcPr>
            <w:tcW w:w="1139" w:type="dxa"/>
            <w:gridSpan w:val="2"/>
          </w:tcPr>
          <w:p>
            <w:pPr>
              <w:pStyle w:val="nTable"/>
              <w:spacing w:after="40"/>
            </w:pPr>
            <w:r>
              <w:rPr>
                <w:snapToGrid w:val="0"/>
              </w:rPr>
              <w:t>84 of 2004</w:t>
            </w:r>
          </w:p>
        </w:tc>
        <w:tc>
          <w:tcPr>
            <w:tcW w:w="1136" w:type="dxa"/>
            <w:gridSpan w:val="2"/>
          </w:tcPr>
          <w:p>
            <w:pPr>
              <w:pStyle w:val="nTable"/>
              <w:spacing w:after="40"/>
            </w:pPr>
            <w:r>
              <w:t>16 Dec 2004</w:t>
            </w:r>
          </w:p>
        </w:tc>
        <w:tc>
          <w:tcPr>
            <w:tcW w:w="2551"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rPr>
          <w:gridAfter w:val="1"/>
          <w:wAfter w:w="19" w:type="dxa"/>
        </w:trPr>
        <w:tc>
          <w:tcPr>
            <w:tcW w:w="2273" w:type="dxa"/>
          </w:tcPr>
          <w:p>
            <w:pPr>
              <w:pStyle w:val="nTable"/>
              <w:spacing w:after="40"/>
              <w:rPr>
                <w:snapToGrid w:val="0"/>
              </w:rPr>
            </w:pPr>
            <w:r>
              <w:rPr>
                <w:i/>
                <w:snapToGrid w:val="0"/>
              </w:rPr>
              <w:t>Revenue Laws Amendment Act (No. 2) 2005</w:t>
            </w:r>
            <w:r>
              <w:rPr>
                <w:snapToGrid w:val="0"/>
              </w:rPr>
              <w:t xml:space="preserve"> Pt. 4</w:t>
            </w:r>
          </w:p>
        </w:tc>
        <w:tc>
          <w:tcPr>
            <w:tcW w:w="1139" w:type="dxa"/>
            <w:gridSpan w:val="2"/>
          </w:tcPr>
          <w:p>
            <w:pPr>
              <w:pStyle w:val="nTable"/>
              <w:keepNext/>
              <w:keepLines/>
              <w:spacing w:after="40"/>
              <w:rPr>
                <w:snapToGrid w:val="0"/>
              </w:rPr>
            </w:pPr>
            <w:r>
              <w:rPr>
                <w:snapToGrid w:val="0"/>
              </w:rPr>
              <w:t>12 of 2005</w:t>
            </w:r>
          </w:p>
        </w:tc>
        <w:tc>
          <w:tcPr>
            <w:tcW w:w="1136" w:type="dxa"/>
            <w:gridSpan w:val="2"/>
          </w:tcPr>
          <w:p>
            <w:pPr>
              <w:pStyle w:val="nTable"/>
              <w:keepNext/>
              <w:keepLines/>
              <w:spacing w:after="40"/>
            </w:pPr>
            <w:r>
              <w:t>30 Aug 2005</w:t>
            </w:r>
          </w:p>
        </w:tc>
        <w:tc>
          <w:tcPr>
            <w:tcW w:w="2551" w:type="dxa"/>
            <w:gridSpan w:val="2"/>
          </w:tcPr>
          <w:p>
            <w:pPr>
              <w:pStyle w:val="nTable"/>
              <w:keepNext/>
              <w:keepLines/>
              <w:spacing w:after="40"/>
              <w:rPr>
                <w:snapToGrid w:val="0"/>
              </w:rPr>
            </w:pPr>
            <w:r>
              <w:rPr>
                <w:snapToGrid w:val="0"/>
              </w:rPr>
              <w:t>30 Aug 2005 (see s. 2(1))</w:t>
            </w:r>
          </w:p>
        </w:tc>
      </w:tr>
      <w:tr>
        <w:trPr>
          <w:gridAfter w:val="1"/>
          <w:wAfter w:w="19" w:type="dxa"/>
          <w:cantSplit/>
        </w:trPr>
        <w:tc>
          <w:tcPr>
            <w:tcW w:w="7099" w:type="dxa"/>
            <w:gridSpan w:val="7"/>
          </w:tcPr>
          <w:p>
            <w:pPr>
              <w:pStyle w:val="nTable"/>
              <w:spacing w:after="40"/>
              <w:rPr>
                <w:snapToGrid w:val="0"/>
              </w:rPr>
            </w:pPr>
            <w:r>
              <w:rPr>
                <w:b/>
                <w:snapToGrid w:val="0"/>
              </w:rPr>
              <w:t xml:space="preserve">Reprint 1: The </w:t>
            </w:r>
            <w:r>
              <w:rPr>
                <w:b/>
                <w:i/>
                <w:snapToGrid w:val="0"/>
              </w:rPr>
              <w:t xml:space="preserve">Taxation Administration Act 2003 </w:t>
            </w:r>
            <w:r>
              <w:rPr>
                <w:b/>
                <w:snapToGrid w:val="0"/>
              </w:rPr>
              <w:t xml:space="preserve">as at 14 Oct 2005 </w:t>
            </w:r>
            <w:r>
              <w:rPr>
                <w:snapToGrid w:val="0"/>
              </w:rPr>
              <w:t>(includes amendments listed above)</w:t>
            </w:r>
          </w:p>
        </w:tc>
      </w:tr>
      <w:tr>
        <w:trPr>
          <w:gridAfter w:val="1"/>
          <w:wAfter w:w="19" w:type="dxa"/>
        </w:trPr>
        <w:tc>
          <w:tcPr>
            <w:tcW w:w="2273" w:type="dxa"/>
          </w:tcPr>
          <w:p>
            <w:pPr>
              <w:pStyle w:val="nTable"/>
              <w:spacing w:after="40"/>
            </w:pPr>
            <w:r>
              <w:rPr>
                <w:i/>
                <w:snapToGrid w:val="0"/>
              </w:rPr>
              <w:t>Planning and Development (Consequential and Transitional Provisions) Act 2005</w:t>
            </w:r>
            <w:r>
              <w:t xml:space="preserve"> s. 15</w:t>
            </w:r>
          </w:p>
        </w:tc>
        <w:tc>
          <w:tcPr>
            <w:tcW w:w="1139" w:type="dxa"/>
            <w:gridSpan w:val="2"/>
          </w:tcPr>
          <w:p>
            <w:pPr>
              <w:pStyle w:val="nTable"/>
              <w:spacing w:after="40"/>
            </w:pPr>
            <w:r>
              <w:rPr>
                <w:snapToGrid w:val="0"/>
              </w:rPr>
              <w:t>38 of 2005</w:t>
            </w:r>
          </w:p>
        </w:tc>
        <w:tc>
          <w:tcPr>
            <w:tcW w:w="1136" w:type="dxa"/>
            <w:gridSpan w:val="2"/>
          </w:tcPr>
          <w:p>
            <w:pPr>
              <w:pStyle w:val="nTable"/>
              <w:spacing w:after="40"/>
            </w:pPr>
            <w:r>
              <w:t>12 Dec 2005</w:t>
            </w:r>
          </w:p>
        </w:tc>
        <w:tc>
          <w:tcPr>
            <w:tcW w:w="2551" w:type="dxa"/>
            <w:gridSpan w:val="2"/>
          </w:tcPr>
          <w:p>
            <w:pPr>
              <w:pStyle w:val="nTable"/>
              <w:spacing w:after="40"/>
            </w:pPr>
            <w:r>
              <w:t xml:space="preserve">9 Apr 2006 (see s. 2 and </w:t>
            </w:r>
            <w:r>
              <w:rPr>
                <w:i/>
              </w:rPr>
              <w:t>Gazette</w:t>
            </w:r>
            <w:r>
              <w:t xml:space="preserve"> 21 Mar 2006 p. 1078)</w:t>
            </w:r>
          </w:p>
        </w:tc>
      </w:tr>
      <w:tr>
        <w:trPr>
          <w:gridAfter w:val="1"/>
          <w:wAfter w:w="19" w:type="dxa"/>
        </w:trPr>
        <w:tc>
          <w:tcPr>
            <w:tcW w:w="2273" w:type="dxa"/>
          </w:tcPr>
          <w:p>
            <w:pPr>
              <w:pStyle w:val="nTable"/>
              <w:spacing w:after="40"/>
              <w:rPr>
                <w:i/>
                <w:snapToGrid w:val="0"/>
              </w:rPr>
            </w:pPr>
            <w:r>
              <w:rPr>
                <w:i/>
                <w:snapToGrid w:val="0"/>
              </w:rPr>
              <w:t>Land Information Authority Act 2006</w:t>
            </w:r>
            <w:r>
              <w:rPr>
                <w:snapToGrid w:val="0"/>
              </w:rPr>
              <w:t xml:space="preserve"> s. 184</w:t>
            </w:r>
            <w:r>
              <w:rPr>
                <w:snapToGrid w:val="0"/>
                <w:vertAlign w:val="superscript"/>
              </w:rPr>
              <w:t xml:space="preserve"> </w:t>
            </w:r>
          </w:p>
        </w:tc>
        <w:tc>
          <w:tcPr>
            <w:tcW w:w="1139" w:type="dxa"/>
            <w:gridSpan w:val="2"/>
          </w:tcPr>
          <w:p>
            <w:pPr>
              <w:pStyle w:val="nTable"/>
              <w:spacing w:after="40"/>
              <w:rPr>
                <w:snapToGrid w:val="0"/>
              </w:rPr>
            </w:pPr>
            <w:r>
              <w:rPr>
                <w:snapToGrid w:val="0"/>
              </w:rPr>
              <w:t>60 of 2006</w:t>
            </w:r>
          </w:p>
        </w:tc>
        <w:tc>
          <w:tcPr>
            <w:tcW w:w="1136" w:type="dxa"/>
            <w:gridSpan w:val="2"/>
          </w:tcPr>
          <w:p>
            <w:pPr>
              <w:pStyle w:val="nTable"/>
              <w:spacing w:after="40"/>
            </w:pPr>
            <w:r>
              <w:rPr>
                <w:snapToGrid w:val="0"/>
              </w:rPr>
              <w:t>16 Nov 2006</w:t>
            </w:r>
          </w:p>
        </w:tc>
        <w:tc>
          <w:tcPr>
            <w:tcW w:w="2551" w:type="dxa"/>
            <w:gridSpan w:val="2"/>
          </w:tcPr>
          <w:p>
            <w:pPr>
              <w:pStyle w:val="nTable"/>
              <w:spacing w:after="40"/>
            </w:pPr>
            <w:r>
              <w:t xml:space="preserve">1 Jan 2007 (see s. 2(1) and </w:t>
            </w:r>
            <w:r>
              <w:rPr>
                <w:i/>
              </w:rPr>
              <w:t xml:space="preserve">Gazette </w:t>
            </w:r>
            <w:r>
              <w:t>8 Dec 2006 p. 5369)</w:t>
            </w:r>
          </w:p>
        </w:tc>
      </w:tr>
      <w:tr>
        <w:trPr>
          <w:gridAfter w:val="1"/>
          <w:wAfter w:w="19" w:type="dxa"/>
        </w:trPr>
        <w:tc>
          <w:tcPr>
            <w:tcW w:w="2273" w:type="dxa"/>
          </w:tcPr>
          <w:p>
            <w:pPr>
              <w:pStyle w:val="nTable"/>
              <w:spacing w:after="40"/>
              <w:rPr>
                <w:i/>
                <w:snapToGrid w:val="0"/>
              </w:rPr>
            </w:pPr>
            <w:r>
              <w:rPr>
                <w:i/>
                <w:snapToGrid w:val="0"/>
              </w:rPr>
              <w:t>Financial Legislation Amendment and Repeal Act 2006</w:t>
            </w:r>
            <w:r>
              <w:rPr>
                <w:snapToGrid w:val="0"/>
              </w:rPr>
              <w:t xml:space="preserve"> Sch. 1 cl. 166</w:t>
            </w:r>
          </w:p>
        </w:tc>
        <w:tc>
          <w:tcPr>
            <w:tcW w:w="1139" w:type="dxa"/>
            <w:gridSpan w:val="2"/>
          </w:tcPr>
          <w:p>
            <w:pPr>
              <w:pStyle w:val="nTable"/>
              <w:spacing w:after="40"/>
              <w:rPr>
                <w:snapToGrid w:val="0"/>
              </w:rPr>
            </w:pPr>
            <w:r>
              <w:rPr>
                <w:snapToGrid w:val="0"/>
              </w:rPr>
              <w:t>77 of 2006</w:t>
            </w:r>
          </w:p>
        </w:tc>
        <w:tc>
          <w:tcPr>
            <w:tcW w:w="1136" w:type="dxa"/>
            <w:gridSpan w:val="2"/>
          </w:tcPr>
          <w:p>
            <w:pPr>
              <w:pStyle w:val="nTable"/>
              <w:spacing w:after="40"/>
              <w:rPr>
                <w:snapToGrid w:val="0"/>
              </w:rPr>
            </w:pPr>
            <w:r>
              <w:rPr>
                <w:snapToGrid w:val="0"/>
              </w:rP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After w:val="1"/>
          <w:wAfter w:w="19" w:type="dxa"/>
        </w:trPr>
        <w:tc>
          <w:tcPr>
            <w:tcW w:w="2273" w:type="dxa"/>
          </w:tcPr>
          <w:p>
            <w:pPr>
              <w:pStyle w:val="nTable"/>
              <w:spacing w:after="40"/>
              <w:rPr>
                <w:iCs/>
                <w:snapToGrid w:val="0"/>
              </w:rPr>
            </w:pPr>
            <w:r>
              <w:rPr>
                <w:i/>
                <w:snapToGrid w:val="0"/>
              </w:rPr>
              <w:t>Revenue Laws Amendment (Assessment) Act 2007</w:t>
            </w:r>
            <w:r>
              <w:rPr>
                <w:iCs/>
                <w:snapToGrid w:val="0"/>
              </w:rPr>
              <w:t xml:space="preserve"> Pt. 3</w:t>
            </w:r>
          </w:p>
        </w:tc>
        <w:tc>
          <w:tcPr>
            <w:tcW w:w="1139" w:type="dxa"/>
            <w:gridSpan w:val="2"/>
          </w:tcPr>
          <w:p>
            <w:pPr>
              <w:pStyle w:val="nTable"/>
              <w:spacing w:after="40"/>
              <w:rPr>
                <w:snapToGrid w:val="0"/>
              </w:rPr>
            </w:pPr>
            <w:r>
              <w:rPr>
                <w:snapToGrid w:val="0"/>
              </w:rPr>
              <w:t xml:space="preserve">13 of 2007 </w:t>
            </w:r>
          </w:p>
        </w:tc>
        <w:tc>
          <w:tcPr>
            <w:tcW w:w="1136" w:type="dxa"/>
            <w:gridSpan w:val="2"/>
          </w:tcPr>
          <w:p>
            <w:pPr>
              <w:pStyle w:val="nTable"/>
              <w:spacing w:after="40"/>
              <w:rPr>
                <w:snapToGrid w:val="0"/>
              </w:rPr>
            </w:pPr>
            <w:r>
              <w:rPr>
                <w:snapToGrid w:val="0"/>
              </w:rPr>
              <w:t>29 Jun 2007</w:t>
            </w:r>
          </w:p>
        </w:tc>
        <w:tc>
          <w:tcPr>
            <w:tcW w:w="2551" w:type="dxa"/>
            <w:gridSpan w:val="2"/>
          </w:tcPr>
          <w:p>
            <w:pPr>
              <w:pStyle w:val="nTable"/>
              <w:spacing w:after="40"/>
            </w:pPr>
            <w:r>
              <w:t>30 Jun 2007 (see s. 2(b))</w:t>
            </w:r>
          </w:p>
        </w:tc>
      </w:tr>
      <w:tr>
        <w:trPr>
          <w:gridAfter w:val="1"/>
          <w:wAfter w:w="19" w:type="dxa"/>
          <w:cantSplit/>
        </w:trPr>
        <w:tc>
          <w:tcPr>
            <w:tcW w:w="7099" w:type="dxa"/>
            <w:gridSpan w:val="7"/>
          </w:tcPr>
          <w:p>
            <w:pPr>
              <w:pStyle w:val="nTable"/>
              <w:spacing w:after="40"/>
            </w:pPr>
            <w:r>
              <w:rPr>
                <w:b/>
                <w:bCs/>
              </w:rPr>
              <w:t xml:space="preserve">Reprint 2:  The </w:t>
            </w:r>
            <w:r>
              <w:rPr>
                <w:b/>
                <w:bCs/>
                <w:i/>
                <w:snapToGrid w:val="0"/>
              </w:rPr>
              <w:t xml:space="preserve">Taxation Administration Act 2003 </w:t>
            </w:r>
            <w:r>
              <w:rPr>
                <w:b/>
                <w:bCs/>
              </w:rPr>
              <w:t>as at 7 Sep 2007</w:t>
            </w:r>
            <w:r>
              <w:t xml:space="preserve"> (includes amendments listed above)</w:t>
            </w:r>
          </w:p>
        </w:tc>
      </w:tr>
      <w:tr>
        <w:trPr>
          <w:gridAfter w:val="1"/>
          <w:wAfter w:w="19" w:type="dxa"/>
        </w:trPr>
        <w:tc>
          <w:tcPr>
            <w:tcW w:w="2273" w:type="dxa"/>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94</w:t>
            </w:r>
          </w:p>
        </w:tc>
        <w:tc>
          <w:tcPr>
            <w:tcW w:w="1139" w:type="dxa"/>
            <w:gridSpan w:val="2"/>
          </w:tcPr>
          <w:p>
            <w:pPr>
              <w:pStyle w:val="nTable"/>
              <w:spacing w:after="40"/>
              <w:rPr>
                <w:snapToGrid w:val="0"/>
              </w:rPr>
            </w:pPr>
            <w:r>
              <w:rPr>
                <w:snapToGrid w:val="0"/>
              </w:rPr>
              <w:t>24 of 2007</w:t>
            </w:r>
          </w:p>
        </w:tc>
        <w:tc>
          <w:tcPr>
            <w:tcW w:w="1136" w:type="dxa"/>
            <w:gridSpan w:val="2"/>
          </w:tcPr>
          <w:p>
            <w:pPr>
              <w:pStyle w:val="nTable"/>
              <w:spacing w:after="40"/>
            </w:pPr>
            <w:r>
              <w:rPr>
                <w:snapToGrid w:val="0"/>
              </w:rPr>
              <w:t>12 Oct 2007</w:t>
            </w:r>
          </w:p>
        </w:tc>
        <w:tc>
          <w:tcPr>
            <w:tcW w:w="2551" w:type="dxa"/>
            <w:gridSpan w:val="2"/>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rPr>
          <w:gridAfter w:val="1"/>
          <w:wAfter w:w="19" w:type="dxa"/>
        </w:trPr>
        <w:tc>
          <w:tcPr>
            <w:tcW w:w="2273" w:type="dxa"/>
          </w:tcPr>
          <w:p>
            <w:pPr>
              <w:pStyle w:val="nTable"/>
              <w:spacing w:after="40"/>
              <w:rPr>
                <w:i/>
                <w:snapToGrid w:val="0"/>
              </w:rPr>
            </w:pPr>
            <w:r>
              <w:rPr>
                <w:i/>
              </w:rPr>
              <w:t>Duties Legislation Amendment Act 2008</w:t>
            </w:r>
            <w:r>
              <w:rPr>
                <w:iCs/>
              </w:rPr>
              <w:t xml:space="preserve"> Pt. 2 Div. 3</w:t>
            </w:r>
            <w:r>
              <w:rPr>
                <w:iCs/>
                <w:vertAlign w:val="superscript"/>
              </w:rPr>
              <w:t> 8</w:t>
            </w:r>
          </w:p>
        </w:tc>
        <w:tc>
          <w:tcPr>
            <w:tcW w:w="1139" w:type="dxa"/>
            <w:gridSpan w:val="2"/>
          </w:tcPr>
          <w:p>
            <w:pPr>
              <w:pStyle w:val="nTable"/>
              <w:spacing w:after="40"/>
              <w:rPr>
                <w:snapToGrid w:val="0"/>
              </w:rPr>
            </w:pPr>
            <w:r>
              <w:t>12 of 2008</w:t>
            </w:r>
          </w:p>
        </w:tc>
        <w:tc>
          <w:tcPr>
            <w:tcW w:w="1136" w:type="dxa"/>
            <w:gridSpan w:val="2"/>
          </w:tcPr>
          <w:p>
            <w:pPr>
              <w:pStyle w:val="nTable"/>
              <w:spacing w:after="40"/>
              <w:rPr>
                <w:snapToGrid w:val="0"/>
              </w:rPr>
            </w:pPr>
            <w:r>
              <w:t>14 Apr 2008</w:t>
            </w:r>
          </w:p>
        </w:tc>
        <w:tc>
          <w:tcPr>
            <w:tcW w:w="2551" w:type="dxa"/>
            <w:gridSpan w:val="2"/>
          </w:tcPr>
          <w:p>
            <w:pPr>
              <w:pStyle w:val="nTable"/>
              <w:spacing w:after="40"/>
              <w:rPr>
                <w:snapToGrid w:val="0"/>
              </w:rPr>
            </w:pPr>
            <w:r>
              <w:t>1 Jul 2008 (see s. 2(d))</w:t>
            </w:r>
          </w:p>
        </w:tc>
      </w:tr>
      <w:tr>
        <w:trPr>
          <w:gridAfter w:val="1"/>
          <w:wAfter w:w="19" w:type="dxa"/>
        </w:trPr>
        <w:tc>
          <w:tcPr>
            <w:tcW w:w="2273" w:type="dxa"/>
          </w:tcPr>
          <w:p>
            <w:pPr>
              <w:pStyle w:val="nTable"/>
              <w:spacing w:after="40"/>
              <w:rPr>
                <w:iCs/>
                <w:snapToGrid w:val="0"/>
              </w:rPr>
            </w:pPr>
            <w:r>
              <w:rPr>
                <w:i/>
                <w:snapToGrid w:val="0"/>
              </w:rPr>
              <w:t>Revenue Laws Amendment Act (No. 2) 2008</w:t>
            </w:r>
            <w:r>
              <w:rPr>
                <w:iCs/>
                <w:snapToGrid w:val="0"/>
              </w:rPr>
              <w:t xml:space="preserve"> Pt. 2 Div. 1 and 3 and Pt. 3</w:t>
            </w:r>
          </w:p>
        </w:tc>
        <w:tc>
          <w:tcPr>
            <w:tcW w:w="1139" w:type="dxa"/>
            <w:gridSpan w:val="2"/>
          </w:tcPr>
          <w:p>
            <w:pPr>
              <w:pStyle w:val="nTable"/>
              <w:spacing w:after="40"/>
              <w:rPr>
                <w:snapToGrid w:val="0"/>
              </w:rPr>
            </w:pPr>
            <w:r>
              <w:rPr>
                <w:snapToGrid w:val="0"/>
              </w:rPr>
              <w:t>31 of 2008</w:t>
            </w:r>
          </w:p>
        </w:tc>
        <w:tc>
          <w:tcPr>
            <w:tcW w:w="1136" w:type="dxa"/>
            <w:gridSpan w:val="2"/>
          </w:tcPr>
          <w:p>
            <w:pPr>
              <w:pStyle w:val="nTable"/>
              <w:spacing w:after="40"/>
              <w:rPr>
                <w:snapToGrid w:val="0"/>
              </w:rPr>
            </w:pPr>
            <w:r>
              <w:rPr>
                <w:snapToGrid w:val="0"/>
              </w:rPr>
              <w:t>27 Jun 2008</w:t>
            </w:r>
          </w:p>
        </w:tc>
        <w:tc>
          <w:tcPr>
            <w:tcW w:w="2551" w:type="dxa"/>
            <w:gridSpan w:val="2"/>
          </w:tcPr>
          <w:p>
            <w:pPr>
              <w:pStyle w:val="nTable"/>
              <w:spacing w:after="40"/>
              <w:ind w:right="-76"/>
            </w:pPr>
            <w:r>
              <w:t>Pt. 2 Div. 1 and Pt. 3 Div. 1 and 2: 28 Jun 2008 (see s. 2(b));</w:t>
            </w:r>
            <w:r>
              <w:br/>
              <w:t>Pt. 2 Div. 3: 1 Jul 2008 (see s. 2(c)(ii));</w:t>
            </w:r>
            <w:r>
              <w:br/>
              <w:t xml:space="preserve">Pt. 3 Div. 3: 11 Oct 2008 (see s. 2(d) and </w:t>
            </w:r>
            <w:r>
              <w:rPr>
                <w:i/>
                <w:iCs/>
              </w:rPr>
              <w:t>Gazette</w:t>
            </w:r>
            <w:r>
              <w:t xml:space="preserve"> 10 Oct 2008 p. 4539)</w:t>
            </w:r>
          </w:p>
        </w:tc>
      </w:tr>
      <w:tr>
        <w:trPr>
          <w:gridAfter w:val="1"/>
          <w:wAfter w:w="19" w:type="dxa"/>
          <w:cantSplit/>
        </w:trPr>
        <w:tc>
          <w:tcPr>
            <w:tcW w:w="7099" w:type="dxa"/>
            <w:gridSpan w:val="7"/>
          </w:tcPr>
          <w:p>
            <w:pPr>
              <w:pStyle w:val="nTable"/>
              <w:spacing w:after="40"/>
            </w:pPr>
            <w:r>
              <w:rPr>
                <w:b/>
                <w:bCs/>
              </w:rPr>
              <w:t xml:space="preserve">Reprint 3:  The </w:t>
            </w:r>
            <w:r>
              <w:rPr>
                <w:b/>
                <w:bCs/>
                <w:i/>
                <w:snapToGrid w:val="0"/>
              </w:rPr>
              <w:t xml:space="preserve">Taxation Administration Act 2003 </w:t>
            </w:r>
            <w:r>
              <w:rPr>
                <w:b/>
                <w:bCs/>
              </w:rPr>
              <w:t>as at 22 Aug 2008</w:t>
            </w:r>
            <w:r>
              <w:t xml:space="preserve"> (includes amendments listed above except those in the </w:t>
            </w:r>
            <w:r>
              <w:rPr>
                <w:i/>
                <w:snapToGrid w:val="0"/>
              </w:rPr>
              <w:t>Biosecurity and Agriculture Management (Repeal and Consequential Provisions) Act 2007</w:t>
            </w:r>
            <w:r>
              <w:rPr>
                <w:iCs/>
                <w:snapToGrid w:val="0"/>
              </w:rPr>
              <w:t xml:space="preserve"> and the</w:t>
            </w:r>
            <w:r>
              <w:t xml:space="preserve"> </w:t>
            </w:r>
            <w:r>
              <w:rPr>
                <w:i/>
                <w:iCs/>
              </w:rPr>
              <w:t>Revenue Laws Amendment Act (No. 2) 2008</w:t>
            </w:r>
            <w:r>
              <w:t xml:space="preserve"> Pt. 3 Div. 3)</w:t>
            </w:r>
          </w:p>
        </w:tc>
      </w:tr>
      <w:tr>
        <w:trPr>
          <w:gridAfter w:val="1"/>
          <w:wAfter w:w="19" w:type="dxa"/>
        </w:trPr>
        <w:tc>
          <w:tcPr>
            <w:tcW w:w="2273" w:type="dxa"/>
          </w:tcPr>
          <w:p>
            <w:pPr>
              <w:pStyle w:val="nTable"/>
              <w:spacing w:after="40"/>
              <w:rPr>
                <w:iCs/>
                <w:snapToGrid w:val="0"/>
              </w:rPr>
            </w:pPr>
            <w:r>
              <w:rPr>
                <w:i/>
                <w:snapToGrid w:val="0"/>
              </w:rPr>
              <w:t>Revenue Laws Amendment and Repeal Act 2010</w:t>
            </w:r>
            <w:r>
              <w:rPr>
                <w:iCs/>
                <w:snapToGrid w:val="0"/>
              </w:rPr>
              <w:t xml:space="preserve"> Pt. 5 and s. 30</w:t>
            </w:r>
          </w:p>
        </w:tc>
        <w:tc>
          <w:tcPr>
            <w:tcW w:w="1139" w:type="dxa"/>
            <w:gridSpan w:val="2"/>
          </w:tcPr>
          <w:p>
            <w:pPr>
              <w:pStyle w:val="nTable"/>
              <w:keepNext/>
              <w:keepLines/>
              <w:spacing w:after="40"/>
              <w:rPr>
                <w:snapToGrid w:val="0"/>
              </w:rPr>
            </w:pPr>
            <w:r>
              <w:rPr>
                <w:snapToGrid w:val="0"/>
              </w:rPr>
              <w:t>17 of 2010</w:t>
            </w:r>
          </w:p>
        </w:tc>
        <w:tc>
          <w:tcPr>
            <w:tcW w:w="1136" w:type="dxa"/>
            <w:gridSpan w:val="2"/>
          </w:tcPr>
          <w:p>
            <w:pPr>
              <w:pStyle w:val="nTable"/>
              <w:keepNext/>
              <w:keepLines/>
              <w:spacing w:after="40"/>
              <w:rPr>
                <w:snapToGrid w:val="0"/>
              </w:rPr>
            </w:pPr>
            <w:r>
              <w:rPr>
                <w:snapToGrid w:val="0"/>
              </w:rPr>
              <w:t>25 Jun 2010</w:t>
            </w:r>
          </w:p>
        </w:tc>
        <w:tc>
          <w:tcPr>
            <w:tcW w:w="2551" w:type="dxa"/>
            <w:gridSpan w:val="2"/>
          </w:tcPr>
          <w:p>
            <w:pPr>
              <w:pStyle w:val="nTable"/>
              <w:keepNext/>
              <w:keepLines/>
              <w:spacing w:after="40"/>
              <w:ind w:right="-76"/>
            </w:pPr>
            <w:r>
              <w:t>26 Jun 2010 (see s. 2(b))</w:t>
            </w:r>
          </w:p>
        </w:tc>
      </w:tr>
      <w:tr>
        <w:trPr>
          <w:gridAfter w:val="1"/>
          <w:wAfter w:w="19" w:type="dxa"/>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9"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9" w:type="dxa"/>
          <w:cantSplit/>
        </w:trPr>
        <w:tc>
          <w:tcPr>
            <w:tcW w:w="7099" w:type="dxa"/>
            <w:gridSpan w:val="7"/>
          </w:tcPr>
          <w:p>
            <w:pPr>
              <w:pStyle w:val="nTable"/>
              <w:spacing w:after="40"/>
              <w:rPr>
                <w:snapToGrid w:val="0"/>
              </w:rPr>
            </w:pPr>
            <w:r>
              <w:rPr>
                <w:b/>
                <w:bCs/>
              </w:rPr>
              <w:t xml:space="preserve">Reprint 4:  The </w:t>
            </w:r>
            <w:r>
              <w:rPr>
                <w:b/>
                <w:bCs/>
                <w:i/>
                <w:snapToGrid w:val="0"/>
              </w:rPr>
              <w:t xml:space="preserve">Taxation Administration Act 2003 </w:t>
            </w:r>
            <w:r>
              <w:rPr>
                <w:b/>
                <w:bCs/>
              </w:rPr>
              <w:t>as at 3 Dec 2010</w:t>
            </w:r>
            <w:r>
              <w:t xml:space="preserve"> (includes amendments listed above except those in the </w:t>
            </w:r>
            <w:r>
              <w:rPr>
                <w:i/>
                <w:snapToGrid w:val="0"/>
              </w:rPr>
              <w:t>Biosecurity and Agriculture Management (Repeal and Consequential Provisions) Act 2007</w:t>
            </w:r>
            <w:r>
              <w:t>)</w:t>
            </w:r>
          </w:p>
        </w:tc>
      </w:tr>
      <w:tr>
        <w:trPr>
          <w:gridAfter w:val="1"/>
          <w:wAfter w:w="19" w:type="dxa"/>
          <w:cantSplit/>
        </w:trPr>
        <w:tc>
          <w:tcPr>
            <w:tcW w:w="2273" w:type="dxa"/>
          </w:tcPr>
          <w:p>
            <w:pPr>
              <w:pStyle w:val="nTable"/>
              <w:spacing w:after="40"/>
              <w:ind w:right="113"/>
              <w:rPr>
                <w:i/>
                <w:snapToGrid w:val="0"/>
              </w:rPr>
            </w:pPr>
            <w:r>
              <w:rPr>
                <w:i/>
                <w:snapToGrid w:val="0"/>
              </w:rPr>
              <w:t xml:space="preserve">Road Traffic Legislation Amendment Act 2012 </w:t>
            </w:r>
            <w:r>
              <w:rPr>
                <w:snapToGrid w:val="0"/>
              </w:rPr>
              <w:t>Pt. 4 Div. 48</w:t>
            </w:r>
          </w:p>
        </w:tc>
        <w:tc>
          <w:tcPr>
            <w:tcW w:w="1139" w:type="dxa"/>
            <w:gridSpan w:val="2"/>
          </w:tcPr>
          <w:p>
            <w:pPr>
              <w:pStyle w:val="nTable"/>
              <w:spacing w:after="40"/>
              <w:rPr>
                <w:snapToGrid w:val="0"/>
              </w:rPr>
            </w:pPr>
            <w:r>
              <w:rPr>
                <w:snapToGrid w:val="0"/>
              </w:rPr>
              <w:t>8 of 2012</w:t>
            </w:r>
          </w:p>
        </w:tc>
        <w:tc>
          <w:tcPr>
            <w:tcW w:w="1136" w:type="dxa"/>
            <w:gridSpan w:val="2"/>
          </w:tcPr>
          <w:p>
            <w:pPr>
              <w:pStyle w:val="nTable"/>
              <w:spacing w:after="40"/>
              <w:rPr>
                <w:snapToGrid w:val="0"/>
              </w:rPr>
            </w:pPr>
            <w:r>
              <w:rPr>
                <w:snapToGrid w:val="0"/>
              </w:rPr>
              <w:t>21 May 2012</w:t>
            </w:r>
          </w:p>
        </w:tc>
        <w:tc>
          <w:tcPr>
            <w:tcW w:w="2551" w:type="dxa"/>
            <w:gridSpan w:val="2"/>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After w:val="1"/>
          <w:wAfter w:w="19" w:type="dxa"/>
          <w:cantSplit/>
        </w:trPr>
        <w:tc>
          <w:tcPr>
            <w:tcW w:w="2273" w:type="dxa"/>
          </w:tcPr>
          <w:p>
            <w:pPr>
              <w:pStyle w:val="nTable"/>
              <w:spacing w:after="40"/>
              <w:ind w:right="113"/>
              <w:rPr>
                <w:iCs/>
                <w:snapToGrid w:val="0"/>
              </w:rPr>
            </w:pPr>
            <w:r>
              <w:rPr>
                <w:i/>
                <w:snapToGrid w:val="0"/>
              </w:rPr>
              <w:t>Revenue Laws Amendment Act 2012</w:t>
            </w:r>
            <w:r>
              <w:rPr>
                <w:snapToGrid w:val="0"/>
              </w:rPr>
              <w:t xml:space="preserve"> Pt. 8</w:t>
            </w:r>
          </w:p>
        </w:tc>
        <w:tc>
          <w:tcPr>
            <w:tcW w:w="1139" w:type="dxa"/>
            <w:gridSpan w:val="2"/>
          </w:tcPr>
          <w:p>
            <w:pPr>
              <w:pStyle w:val="nTable"/>
              <w:spacing w:after="40"/>
              <w:rPr>
                <w:snapToGrid w:val="0"/>
              </w:rPr>
            </w:pPr>
            <w:r>
              <w:rPr>
                <w:snapToGrid w:val="0"/>
              </w:rPr>
              <w:t>29 of 2012</w:t>
            </w:r>
          </w:p>
        </w:tc>
        <w:tc>
          <w:tcPr>
            <w:tcW w:w="1136" w:type="dxa"/>
            <w:gridSpan w:val="2"/>
          </w:tcPr>
          <w:p>
            <w:pPr>
              <w:pStyle w:val="nTable"/>
              <w:spacing w:after="40"/>
              <w:rPr>
                <w:snapToGrid w:val="0"/>
              </w:rPr>
            </w:pPr>
            <w:r>
              <w:rPr>
                <w:snapToGrid w:val="0"/>
              </w:rPr>
              <w:t>3 Sep 2012</w:t>
            </w:r>
          </w:p>
        </w:tc>
        <w:tc>
          <w:tcPr>
            <w:tcW w:w="2551" w:type="dxa"/>
            <w:gridSpan w:val="2"/>
          </w:tcPr>
          <w:p>
            <w:pPr>
              <w:pStyle w:val="nTable"/>
              <w:spacing w:after="40"/>
              <w:rPr>
                <w:snapToGrid w:val="0"/>
              </w:rPr>
            </w:pPr>
            <w:r>
              <w:rPr>
                <w:snapToGrid w:val="0"/>
              </w:rPr>
              <w:t>Heading to Pt. 8, s. 40 and 42(4): 1 Jul 2009 (see s. 2(d));</w:t>
            </w:r>
            <w:r>
              <w:rPr>
                <w:snapToGrid w:val="0"/>
              </w:rPr>
              <w:br/>
              <w:t>s. 41, 42(1)-(3), 43 and 44: 4 Sep 2012 (see s. 2(e))</w:t>
            </w:r>
          </w:p>
        </w:tc>
      </w:tr>
      <w:tr>
        <w:trPr>
          <w:gridAfter w:val="1"/>
          <w:wAfter w:w="19" w:type="dxa"/>
          <w:cantSplit/>
        </w:trPr>
        <w:tc>
          <w:tcPr>
            <w:tcW w:w="2273" w:type="dxa"/>
          </w:tcPr>
          <w:p>
            <w:pPr>
              <w:pStyle w:val="nTable"/>
              <w:spacing w:after="40"/>
              <w:ind w:right="113"/>
              <w:rPr>
                <w:snapToGrid w:val="0"/>
              </w:rPr>
            </w:pPr>
            <w:r>
              <w:rPr>
                <w:i/>
                <w:snapToGrid w:val="0"/>
              </w:rPr>
              <w:t>Revenue Laws Amendment Act 2013</w:t>
            </w:r>
            <w:r>
              <w:rPr>
                <w:snapToGrid w:val="0"/>
              </w:rPr>
              <w:t xml:space="preserve"> Pt. 2 Div. 2 and Pt. 3</w:t>
            </w:r>
          </w:p>
        </w:tc>
        <w:tc>
          <w:tcPr>
            <w:tcW w:w="1139" w:type="dxa"/>
            <w:gridSpan w:val="2"/>
          </w:tcPr>
          <w:p>
            <w:pPr>
              <w:pStyle w:val="nTable"/>
              <w:spacing w:after="40"/>
              <w:rPr>
                <w:snapToGrid w:val="0"/>
              </w:rPr>
            </w:pPr>
            <w:r>
              <w:rPr>
                <w:snapToGrid w:val="0"/>
              </w:rPr>
              <w:t>10 of 2013</w:t>
            </w:r>
          </w:p>
        </w:tc>
        <w:tc>
          <w:tcPr>
            <w:tcW w:w="1136" w:type="dxa"/>
            <w:gridSpan w:val="2"/>
          </w:tcPr>
          <w:p>
            <w:pPr>
              <w:pStyle w:val="nTable"/>
              <w:spacing w:after="40"/>
              <w:rPr>
                <w:snapToGrid w:val="0"/>
              </w:rPr>
            </w:pPr>
            <w:r>
              <w:rPr>
                <w:snapToGrid w:val="0"/>
              </w:rPr>
              <w:t>24 Sep 2013</w:t>
            </w:r>
          </w:p>
        </w:tc>
        <w:tc>
          <w:tcPr>
            <w:tcW w:w="2551" w:type="dxa"/>
            <w:gridSpan w:val="2"/>
          </w:tcPr>
          <w:p>
            <w:pPr>
              <w:pStyle w:val="nTable"/>
              <w:spacing w:after="40"/>
              <w:rPr>
                <w:snapToGrid w:val="0"/>
              </w:rPr>
            </w:pPr>
            <w:r>
              <w:rPr>
                <w:snapToGrid w:val="0"/>
              </w:rPr>
              <w:t>25 Sep 2013 (see s. 2(b))</w:t>
            </w:r>
          </w:p>
        </w:tc>
      </w:tr>
      <w:tr>
        <w:trPr>
          <w:gridAfter w:val="1"/>
          <w:wAfter w:w="19" w:type="dxa"/>
          <w:cantSplit/>
        </w:trPr>
        <w:tc>
          <w:tcPr>
            <w:tcW w:w="2273" w:type="dxa"/>
            <w:shd w:val="clear" w:color="auto" w:fill="auto"/>
          </w:tcPr>
          <w:p>
            <w:pPr>
              <w:pStyle w:val="nTable"/>
              <w:spacing w:after="40"/>
              <w:ind w:right="113"/>
              <w:rPr>
                <w:i/>
                <w:snapToGrid w:val="0"/>
              </w:rPr>
            </w:pPr>
            <w:r>
              <w:rPr>
                <w:i/>
                <w:snapToGrid w:val="0"/>
              </w:rPr>
              <w:t xml:space="preserve">Electronic Conveyancing Act 2014 </w:t>
            </w:r>
            <w:r>
              <w:rPr>
                <w:snapToGrid w:val="0"/>
              </w:rPr>
              <w:t>Pt. 8 </w:t>
            </w:r>
          </w:p>
        </w:tc>
        <w:tc>
          <w:tcPr>
            <w:tcW w:w="1139" w:type="dxa"/>
            <w:gridSpan w:val="2"/>
            <w:shd w:val="clear" w:color="auto" w:fill="auto"/>
          </w:tcPr>
          <w:p>
            <w:pPr>
              <w:pStyle w:val="nTable"/>
              <w:spacing w:after="40"/>
              <w:rPr>
                <w:snapToGrid w:val="0"/>
              </w:rPr>
            </w:pPr>
            <w:r>
              <w:rPr>
                <w:snapToGrid w:val="0"/>
              </w:rPr>
              <w:t>2 of 2014</w:t>
            </w:r>
          </w:p>
        </w:tc>
        <w:tc>
          <w:tcPr>
            <w:tcW w:w="1136" w:type="dxa"/>
            <w:gridSpan w:val="2"/>
            <w:shd w:val="clear" w:color="auto" w:fill="auto"/>
          </w:tcPr>
          <w:p>
            <w:pPr>
              <w:pStyle w:val="nTable"/>
              <w:spacing w:after="40"/>
              <w:rPr>
                <w:snapToGrid w:val="0"/>
              </w:rPr>
            </w:pPr>
            <w:r>
              <w:rPr>
                <w:snapToGrid w:val="0"/>
              </w:rPr>
              <w:t>24 Mar 2014</w:t>
            </w:r>
          </w:p>
        </w:tc>
        <w:tc>
          <w:tcPr>
            <w:tcW w:w="2551" w:type="dxa"/>
            <w:gridSpan w:val="2"/>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blPrEx>
          <w:tblBorders>
            <w:top w:val="single" w:sz="8" w:space="0" w:color="auto"/>
            <w:bottom w:val="single" w:sz="8" w:space="0" w:color="auto"/>
            <w:insideH w:val="single" w:sz="8" w:space="0" w:color="auto"/>
          </w:tblBorders>
        </w:tblPrEx>
        <w:trPr>
          <w:gridAfter w:val="1"/>
          <w:wAfter w:w="19" w:type="dxa"/>
          <w:cantSplit/>
        </w:trPr>
        <w:tc>
          <w:tcPr>
            <w:tcW w:w="2273" w:type="dxa"/>
            <w:tcBorders>
              <w:top w:val="nil"/>
              <w:bottom w:val="nil"/>
              <w:right w:val="nil"/>
            </w:tcBorders>
            <w:shd w:val="clear" w:color="auto" w:fill="auto"/>
          </w:tcPr>
          <w:p>
            <w:pPr>
              <w:pStyle w:val="nTable"/>
              <w:spacing w:after="40"/>
            </w:pPr>
            <w:r>
              <w:rPr>
                <w:i/>
              </w:rPr>
              <w:t>Taxation Legislation Amendment Act (No. 2) 2015</w:t>
            </w:r>
            <w:r>
              <w:t xml:space="preserve"> Pt. 5</w:t>
            </w:r>
          </w:p>
        </w:tc>
        <w:tc>
          <w:tcPr>
            <w:tcW w:w="1139" w:type="dxa"/>
            <w:gridSpan w:val="2"/>
            <w:tcBorders>
              <w:top w:val="nil"/>
              <w:left w:val="nil"/>
              <w:bottom w:val="nil"/>
              <w:right w:val="nil"/>
            </w:tcBorders>
            <w:shd w:val="clear" w:color="auto" w:fill="auto"/>
          </w:tcPr>
          <w:p>
            <w:pPr>
              <w:pStyle w:val="nTable"/>
              <w:spacing w:after="40"/>
            </w:pPr>
            <w:r>
              <w:t xml:space="preserve">8 of 2015 </w:t>
            </w:r>
          </w:p>
        </w:tc>
        <w:tc>
          <w:tcPr>
            <w:tcW w:w="1136" w:type="dxa"/>
            <w:gridSpan w:val="2"/>
            <w:tcBorders>
              <w:top w:val="nil"/>
              <w:left w:val="nil"/>
              <w:bottom w:val="nil"/>
              <w:right w:val="nil"/>
            </w:tcBorders>
            <w:shd w:val="clear" w:color="auto" w:fill="auto"/>
          </w:tcPr>
          <w:p>
            <w:pPr>
              <w:pStyle w:val="nTable"/>
              <w:spacing w:after="40"/>
            </w:pPr>
            <w:r>
              <w:t>9 Mar 2015</w:t>
            </w:r>
          </w:p>
        </w:tc>
        <w:tc>
          <w:tcPr>
            <w:tcW w:w="2551" w:type="dxa"/>
            <w:gridSpan w:val="2"/>
            <w:tcBorders>
              <w:top w:val="nil"/>
              <w:left w:val="nil"/>
              <w:bottom w:val="nil"/>
            </w:tcBorders>
            <w:shd w:val="clear" w:color="auto" w:fill="auto"/>
          </w:tcPr>
          <w:p>
            <w:pPr>
              <w:pStyle w:val="nTable"/>
              <w:spacing w:after="40"/>
              <w:rPr>
                <w:snapToGrid w:val="0"/>
              </w:rPr>
            </w:pPr>
            <w:r>
              <w:rPr>
                <w:snapToGrid w:val="0"/>
              </w:rPr>
              <w:t>10 Mar 2015 (see s. 2(b))</w:t>
            </w:r>
          </w:p>
        </w:tc>
      </w:tr>
      <w:tr>
        <w:tblPrEx>
          <w:tblBorders>
            <w:top w:val="single" w:sz="8" w:space="0" w:color="auto"/>
            <w:bottom w:val="single" w:sz="8" w:space="0" w:color="auto"/>
            <w:insideH w:val="single" w:sz="8" w:space="0" w:color="auto"/>
          </w:tblBorders>
        </w:tblPrEx>
        <w:trPr>
          <w:gridAfter w:val="1"/>
          <w:wAfter w:w="19" w:type="dxa"/>
          <w:cantSplit/>
        </w:trPr>
        <w:tc>
          <w:tcPr>
            <w:tcW w:w="2273" w:type="dxa"/>
            <w:tcBorders>
              <w:top w:val="nil"/>
              <w:bottom w:val="nil"/>
              <w:right w:val="nil"/>
            </w:tcBorders>
            <w:shd w:val="clear" w:color="auto" w:fill="auto"/>
          </w:tcPr>
          <w:p>
            <w:pPr>
              <w:pStyle w:val="nTable"/>
              <w:spacing w:after="40"/>
              <w:rPr>
                <w:i/>
              </w:rPr>
            </w:pPr>
            <w:r>
              <w:rPr>
                <w:i/>
                <w:noProof/>
              </w:rPr>
              <w:t xml:space="preserve">Associations Incorporation Act 2015 </w:t>
            </w:r>
            <w:r>
              <w:rPr>
                <w:noProof/>
              </w:rPr>
              <w:t>s. 229</w:t>
            </w:r>
          </w:p>
        </w:tc>
        <w:tc>
          <w:tcPr>
            <w:tcW w:w="1139" w:type="dxa"/>
            <w:gridSpan w:val="2"/>
            <w:tcBorders>
              <w:top w:val="nil"/>
              <w:left w:val="nil"/>
              <w:bottom w:val="nil"/>
              <w:right w:val="nil"/>
            </w:tcBorders>
            <w:shd w:val="clear" w:color="auto" w:fill="auto"/>
          </w:tcPr>
          <w:p>
            <w:pPr>
              <w:pStyle w:val="nTable"/>
              <w:spacing w:after="40"/>
            </w:pPr>
            <w:r>
              <w:t>30 of 2015</w:t>
            </w:r>
          </w:p>
        </w:tc>
        <w:tc>
          <w:tcPr>
            <w:tcW w:w="1136" w:type="dxa"/>
            <w:gridSpan w:val="2"/>
            <w:tcBorders>
              <w:top w:val="nil"/>
              <w:left w:val="nil"/>
              <w:bottom w:val="nil"/>
              <w:right w:val="nil"/>
            </w:tcBorders>
            <w:shd w:val="clear" w:color="auto" w:fill="auto"/>
          </w:tcPr>
          <w:p>
            <w:pPr>
              <w:pStyle w:val="nTable"/>
              <w:spacing w:after="40"/>
            </w:pPr>
            <w:r>
              <w:t>2 Nov 2015</w:t>
            </w:r>
          </w:p>
        </w:tc>
        <w:tc>
          <w:tcPr>
            <w:tcW w:w="2551" w:type="dxa"/>
            <w:gridSpan w:val="2"/>
            <w:tcBorders>
              <w:top w:val="nil"/>
              <w:left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8" w:space="0" w:color="auto"/>
            <w:bottom w:val="single" w:sz="8" w:space="0" w:color="auto"/>
            <w:insideH w:val="single" w:sz="8" w:space="0" w:color="auto"/>
          </w:tblBorders>
        </w:tblPrEx>
        <w:trPr>
          <w:gridAfter w:val="1"/>
          <w:wAfter w:w="19" w:type="dxa"/>
          <w:cantSplit/>
        </w:trPr>
        <w:tc>
          <w:tcPr>
            <w:tcW w:w="7099" w:type="dxa"/>
            <w:gridSpan w:val="7"/>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Taxation Administration Act 2003</w:t>
            </w:r>
            <w:r>
              <w:rPr>
                <w:b/>
                <w:snapToGrid w:val="0"/>
              </w:rPr>
              <w:t xml:space="preserve"> as at 22 Apr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8" w:space="0" w:color="auto"/>
            <w:bottom w:val="single" w:sz="8" w:space="0" w:color="auto"/>
            <w:insideH w:val="single" w:sz="8" w:space="0" w:color="auto"/>
          </w:tblBorders>
        </w:tblPrEx>
        <w:trPr>
          <w:gridAfter w:val="1"/>
          <w:wAfter w:w="19" w:type="dxa"/>
          <w:ins w:id="742" w:author="svcMRProcess" w:date="2019-03-27T12:18:00Z"/>
        </w:trPr>
        <w:tc>
          <w:tcPr>
            <w:tcW w:w="2366" w:type="dxa"/>
            <w:gridSpan w:val="2"/>
            <w:tcBorders>
              <w:top w:val="nil"/>
              <w:bottom w:val="nil"/>
              <w:right w:val="nil"/>
            </w:tcBorders>
            <w:shd w:val="clear" w:color="auto" w:fill="auto"/>
          </w:tcPr>
          <w:p>
            <w:pPr>
              <w:pStyle w:val="nTable"/>
              <w:spacing w:after="40"/>
              <w:rPr>
                <w:ins w:id="743" w:author="svcMRProcess" w:date="2019-03-27T12:18:00Z"/>
                <w:i/>
              </w:rPr>
            </w:pPr>
            <w:ins w:id="744" w:author="svcMRProcess" w:date="2019-03-27T12:18:00Z">
              <w:r>
                <w:rPr>
                  <w:i/>
                  <w:snapToGrid w:val="0"/>
                </w:rPr>
                <w:t>Transport (Road Passenger Services) Act 2018</w:t>
              </w:r>
              <w:r>
                <w:rPr>
                  <w:snapToGrid w:val="0"/>
                </w:rPr>
                <w:t xml:space="preserve"> Pt. 14 Div. 2 Subdiv. 8</w:t>
              </w:r>
            </w:ins>
          </w:p>
        </w:tc>
        <w:tc>
          <w:tcPr>
            <w:tcW w:w="1064" w:type="dxa"/>
            <w:gridSpan w:val="2"/>
            <w:tcBorders>
              <w:top w:val="nil"/>
              <w:left w:val="nil"/>
              <w:bottom w:val="nil"/>
              <w:right w:val="nil"/>
            </w:tcBorders>
            <w:shd w:val="clear" w:color="auto" w:fill="auto"/>
          </w:tcPr>
          <w:p>
            <w:pPr>
              <w:pStyle w:val="nTable"/>
              <w:spacing w:after="40"/>
              <w:rPr>
                <w:ins w:id="745" w:author="svcMRProcess" w:date="2019-03-27T12:18:00Z"/>
              </w:rPr>
            </w:pPr>
            <w:ins w:id="746" w:author="svcMRProcess" w:date="2019-03-27T12:18:00Z">
              <w:r>
                <w:t>26 of 2018</w:t>
              </w:r>
            </w:ins>
          </w:p>
        </w:tc>
        <w:tc>
          <w:tcPr>
            <w:tcW w:w="1134" w:type="dxa"/>
            <w:gridSpan w:val="2"/>
            <w:tcBorders>
              <w:top w:val="nil"/>
              <w:left w:val="nil"/>
              <w:bottom w:val="nil"/>
              <w:right w:val="nil"/>
            </w:tcBorders>
            <w:shd w:val="clear" w:color="auto" w:fill="auto"/>
          </w:tcPr>
          <w:p>
            <w:pPr>
              <w:pStyle w:val="nTable"/>
              <w:spacing w:after="40"/>
              <w:rPr>
                <w:ins w:id="747" w:author="svcMRProcess" w:date="2019-03-27T12:18:00Z"/>
              </w:rPr>
            </w:pPr>
            <w:ins w:id="748" w:author="svcMRProcess" w:date="2019-03-27T12:18:00Z">
              <w:r>
                <w:t>30 Oct 2018</w:t>
              </w:r>
            </w:ins>
          </w:p>
        </w:tc>
        <w:tc>
          <w:tcPr>
            <w:tcW w:w="2535" w:type="dxa"/>
            <w:tcBorders>
              <w:top w:val="nil"/>
              <w:left w:val="nil"/>
              <w:bottom w:val="nil"/>
            </w:tcBorders>
            <w:shd w:val="clear" w:color="auto" w:fill="auto"/>
          </w:tcPr>
          <w:p>
            <w:pPr>
              <w:pStyle w:val="nTable"/>
              <w:spacing w:after="40"/>
              <w:rPr>
                <w:ins w:id="749" w:author="svcMRProcess" w:date="2019-03-27T12:18:00Z"/>
              </w:rPr>
            </w:pPr>
            <w:ins w:id="750" w:author="svcMRProcess" w:date="2019-03-27T12:18:00Z">
              <w:r>
                <w:rPr>
                  <w:snapToGrid w:val="0"/>
                </w:rPr>
                <w:t xml:space="preserve">1 Apr 2019 (see s. 2(b) and </w:t>
              </w:r>
              <w:r>
                <w:rPr>
                  <w:i/>
                  <w:snapToGrid w:val="0"/>
                </w:rPr>
                <w:t>Gazette</w:t>
              </w:r>
              <w:r>
                <w:rPr>
                  <w:snapToGrid w:val="0"/>
                </w:rPr>
                <w:t xml:space="preserve"> 26 Feb 2019 p. 449</w:t>
              </w:r>
              <w:r>
                <w:rPr>
                  <w:snapToGrid w:val="0"/>
                </w:rPr>
                <w:noBreakHyphen/>
                <w:t>50)</w:t>
              </w:r>
            </w:ins>
          </w:p>
        </w:tc>
      </w:tr>
      <w:tr>
        <w:tblPrEx>
          <w:tblBorders>
            <w:top w:val="single" w:sz="8" w:space="0" w:color="auto"/>
            <w:bottom w:val="single" w:sz="8" w:space="0" w:color="auto"/>
            <w:insideH w:val="single" w:sz="8" w:space="0" w:color="auto"/>
          </w:tblBorders>
        </w:tblPrEx>
        <w:trPr>
          <w:gridAfter w:val="1"/>
          <w:wAfter w:w="19" w:type="dxa"/>
        </w:trPr>
        <w:tc>
          <w:tcPr>
            <w:tcW w:w="2366" w:type="dxa"/>
            <w:gridSpan w:val="2"/>
            <w:tcBorders>
              <w:top w:val="nil"/>
              <w:bottom w:val="single" w:sz="4" w:space="0" w:color="auto"/>
              <w:right w:val="nil"/>
            </w:tcBorders>
            <w:shd w:val="clear" w:color="auto" w:fill="auto"/>
          </w:tcPr>
          <w:p>
            <w:pPr>
              <w:pStyle w:val="nTable"/>
              <w:spacing w:after="40"/>
              <w:rPr>
                <w:i/>
                <w:snapToGrid w:val="0"/>
              </w:rPr>
            </w:pPr>
            <w:r>
              <w:rPr>
                <w:i/>
              </w:rPr>
              <w:t>Betting Tax Assessment Act 2018</w:t>
            </w:r>
            <w:r>
              <w:t xml:space="preserve"> Pt. 8 Div. 1 Subdiv. 4</w:t>
            </w:r>
            <w:r>
              <w:rPr>
                <w:vertAlign w:val="superscript"/>
              </w:rPr>
              <w:t> </w:t>
            </w:r>
          </w:p>
        </w:tc>
        <w:tc>
          <w:tcPr>
            <w:tcW w:w="1064" w:type="dxa"/>
            <w:gridSpan w:val="2"/>
            <w:tcBorders>
              <w:top w:val="nil"/>
              <w:left w:val="nil"/>
              <w:bottom w:val="single" w:sz="4" w:space="0" w:color="auto"/>
              <w:right w:val="nil"/>
            </w:tcBorders>
            <w:shd w:val="clear" w:color="auto" w:fill="auto"/>
          </w:tcPr>
          <w:p>
            <w:pPr>
              <w:pStyle w:val="nTable"/>
              <w:spacing w:after="40"/>
            </w:pPr>
            <w:r>
              <w:t>37 of 2018</w:t>
            </w:r>
          </w:p>
        </w:tc>
        <w:tc>
          <w:tcPr>
            <w:tcW w:w="1134" w:type="dxa"/>
            <w:gridSpan w:val="2"/>
            <w:tcBorders>
              <w:top w:val="nil"/>
              <w:left w:val="nil"/>
              <w:bottom w:val="single" w:sz="4" w:space="0" w:color="auto"/>
              <w:right w:val="nil"/>
            </w:tcBorders>
            <w:shd w:val="clear" w:color="auto" w:fill="auto"/>
          </w:tcPr>
          <w:p>
            <w:pPr>
              <w:pStyle w:val="nTable"/>
              <w:spacing w:after="40"/>
            </w:pPr>
            <w:r>
              <w:t>12 Dec 2018</w:t>
            </w:r>
          </w:p>
        </w:tc>
        <w:tc>
          <w:tcPr>
            <w:tcW w:w="2535" w:type="dxa"/>
            <w:tcBorders>
              <w:top w:val="nil"/>
              <w:left w:val="nil"/>
              <w:bottom w:val="single" w:sz="4" w:space="0" w:color="auto"/>
            </w:tcBorders>
            <w:shd w:val="clear" w:color="auto" w:fill="auto"/>
          </w:tcPr>
          <w:p>
            <w:pPr>
              <w:pStyle w:val="nTable"/>
              <w:spacing w:after="40"/>
              <w:rPr>
                <w:snapToGrid w:val="0"/>
              </w:rPr>
            </w:pPr>
            <w:r>
              <w:t>1 Jan 2019 (see s. 2(c))</w:t>
            </w:r>
          </w:p>
        </w:tc>
      </w:tr>
    </w:tbl>
    <w:p>
      <w:pPr>
        <w:pStyle w:val="nSubsection"/>
        <w:keepNext/>
        <w:keepLines/>
        <w:spacing w:before="360"/>
        <w:rPr>
          <w:del w:id="751" w:author="svcMRProcess" w:date="2019-03-27T12:18:00Z"/>
        </w:rPr>
      </w:pPr>
      <w:del w:id="752" w:author="svcMRProcess" w:date="2019-03-27T12:1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53" w:author="svcMRProcess" w:date="2019-03-27T12:18:00Z"/>
        </w:rPr>
      </w:pPr>
      <w:bookmarkStart w:id="754" w:name="_Toc525286585"/>
      <w:bookmarkStart w:id="755" w:name="_Toc2150569"/>
      <w:del w:id="756" w:author="svcMRProcess" w:date="2019-03-27T12:18:00Z">
        <w:r>
          <w:delText>Provisions that have not come into operation</w:delText>
        </w:r>
        <w:bookmarkEnd w:id="754"/>
        <w:bookmarkEnd w:id="755"/>
      </w:del>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del w:id="757" w:author="svcMRProcess" w:date="2019-03-27T12:18:00Z"/>
        </w:trPr>
        <w:tc>
          <w:tcPr>
            <w:tcW w:w="2338" w:type="dxa"/>
            <w:tcBorders>
              <w:top w:val="single" w:sz="8" w:space="0" w:color="auto"/>
              <w:bottom w:val="single" w:sz="8" w:space="0" w:color="auto"/>
            </w:tcBorders>
            <w:shd w:val="clear" w:color="auto" w:fill="auto"/>
          </w:tcPr>
          <w:p>
            <w:pPr>
              <w:pStyle w:val="nTable"/>
              <w:keepNext/>
              <w:keepLines/>
              <w:spacing w:after="40"/>
              <w:ind w:right="113"/>
              <w:rPr>
                <w:del w:id="758" w:author="svcMRProcess" w:date="2019-03-27T12:18:00Z"/>
                <w:b/>
                <w:szCs w:val="19"/>
              </w:rPr>
            </w:pPr>
            <w:del w:id="759" w:author="svcMRProcess" w:date="2019-03-27T12:18:00Z">
              <w:r>
                <w:rPr>
                  <w:b/>
                  <w:szCs w:val="19"/>
                </w:rPr>
                <w:delText>Short title</w:delText>
              </w:r>
            </w:del>
          </w:p>
        </w:tc>
        <w:tc>
          <w:tcPr>
            <w:tcW w:w="1064" w:type="dxa"/>
            <w:tcBorders>
              <w:top w:val="single" w:sz="8" w:space="0" w:color="auto"/>
              <w:bottom w:val="single" w:sz="8" w:space="0" w:color="auto"/>
            </w:tcBorders>
            <w:shd w:val="clear" w:color="auto" w:fill="auto"/>
          </w:tcPr>
          <w:p>
            <w:pPr>
              <w:pStyle w:val="nTable"/>
              <w:keepNext/>
              <w:keepLines/>
              <w:spacing w:after="40"/>
              <w:rPr>
                <w:del w:id="760" w:author="svcMRProcess" w:date="2019-03-27T12:18:00Z"/>
                <w:b/>
                <w:szCs w:val="19"/>
              </w:rPr>
            </w:pPr>
            <w:del w:id="761" w:author="svcMRProcess" w:date="2019-03-27T12:18:00Z">
              <w:r>
                <w:rPr>
                  <w:b/>
                  <w:szCs w:val="19"/>
                </w:rPr>
                <w:delText>Number and year</w:delText>
              </w:r>
            </w:del>
          </w:p>
        </w:tc>
        <w:tc>
          <w:tcPr>
            <w:tcW w:w="1134" w:type="dxa"/>
            <w:tcBorders>
              <w:top w:val="single" w:sz="8" w:space="0" w:color="auto"/>
              <w:bottom w:val="single" w:sz="8" w:space="0" w:color="auto"/>
            </w:tcBorders>
            <w:shd w:val="clear" w:color="auto" w:fill="auto"/>
          </w:tcPr>
          <w:p>
            <w:pPr>
              <w:pStyle w:val="nTable"/>
              <w:keepNext/>
              <w:keepLines/>
              <w:spacing w:after="40"/>
              <w:rPr>
                <w:del w:id="762" w:author="svcMRProcess" w:date="2019-03-27T12:18:00Z"/>
                <w:b/>
                <w:szCs w:val="19"/>
              </w:rPr>
            </w:pPr>
            <w:del w:id="763" w:author="svcMRProcess" w:date="2019-03-27T12:18:00Z">
              <w:r>
                <w:rPr>
                  <w:b/>
                  <w:szCs w:val="19"/>
                </w:rPr>
                <w:delText>Assent</w:delText>
              </w:r>
            </w:del>
          </w:p>
        </w:tc>
        <w:tc>
          <w:tcPr>
            <w:tcW w:w="2547" w:type="dxa"/>
            <w:tcBorders>
              <w:top w:val="single" w:sz="8" w:space="0" w:color="auto"/>
              <w:bottom w:val="single" w:sz="8" w:space="0" w:color="auto"/>
            </w:tcBorders>
            <w:shd w:val="clear" w:color="auto" w:fill="auto"/>
          </w:tcPr>
          <w:p>
            <w:pPr>
              <w:pStyle w:val="nTable"/>
              <w:keepNext/>
              <w:keepLines/>
              <w:spacing w:after="40"/>
              <w:rPr>
                <w:del w:id="764" w:author="svcMRProcess" w:date="2019-03-27T12:18:00Z"/>
                <w:b/>
                <w:szCs w:val="19"/>
              </w:rPr>
            </w:pPr>
            <w:del w:id="765" w:author="svcMRProcess" w:date="2019-03-27T12:18:00Z">
              <w:r>
                <w:rPr>
                  <w:b/>
                  <w:szCs w:val="19"/>
                </w:rPr>
                <w:delText>Commencement</w:delText>
              </w:r>
            </w:del>
          </w:p>
        </w:tc>
      </w:tr>
      <w:tr>
        <w:tblPrEx>
          <w:tblBorders>
            <w:top w:val="single" w:sz="8" w:space="0" w:color="auto"/>
            <w:bottom w:val="single" w:sz="8" w:space="0" w:color="auto"/>
            <w:insideH w:val="single" w:sz="8" w:space="0" w:color="auto"/>
          </w:tblBorders>
        </w:tblPrEx>
        <w:trPr>
          <w:del w:id="766" w:author="svcMRProcess" w:date="2019-03-27T12:18:00Z"/>
        </w:trPr>
        <w:tc>
          <w:tcPr>
            <w:tcW w:w="2338" w:type="dxa"/>
            <w:tcBorders>
              <w:top w:val="single" w:sz="8" w:space="0" w:color="auto"/>
              <w:bottom w:val="single" w:sz="4" w:space="0" w:color="auto"/>
              <w:right w:val="nil"/>
            </w:tcBorders>
            <w:shd w:val="clear" w:color="auto" w:fill="auto"/>
          </w:tcPr>
          <w:p>
            <w:pPr>
              <w:pStyle w:val="nTable"/>
              <w:spacing w:after="40"/>
              <w:rPr>
                <w:del w:id="767" w:author="svcMRProcess" w:date="2019-03-27T12:18:00Z"/>
                <w:snapToGrid w:val="0"/>
              </w:rPr>
            </w:pPr>
            <w:del w:id="768" w:author="svcMRProcess" w:date="2019-03-27T12:18:00Z">
              <w:r>
                <w:rPr>
                  <w:i/>
                  <w:snapToGrid w:val="0"/>
                </w:rPr>
                <w:delText>Transport (Road Passenger Services) Act 2018</w:delText>
              </w:r>
              <w:r>
                <w:rPr>
                  <w:snapToGrid w:val="0"/>
                </w:rPr>
                <w:delText xml:space="preserve"> Pt. 14 Div. 2 Subdiv. 8</w:delText>
              </w:r>
              <w:r>
                <w:rPr>
                  <w:snapToGrid w:val="0"/>
                  <w:vertAlign w:val="superscript"/>
                </w:rPr>
                <w:delText> 10</w:delText>
              </w:r>
            </w:del>
          </w:p>
        </w:tc>
        <w:tc>
          <w:tcPr>
            <w:tcW w:w="1064" w:type="dxa"/>
            <w:tcBorders>
              <w:top w:val="single" w:sz="8" w:space="0" w:color="auto"/>
              <w:left w:val="nil"/>
              <w:bottom w:val="single" w:sz="4" w:space="0" w:color="auto"/>
              <w:right w:val="nil"/>
            </w:tcBorders>
            <w:shd w:val="clear" w:color="auto" w:fill="auto"/>
          </w:tcPr>
          <w:p>
            <w:pPr>
              <w:pStyle w:val="nTable"/>
              <w:spacing w:after="40"/>
              <w:rPr>
                <w:del w:id="769" w:author="svcMRProcess" w:date="2019-03-27T12:18:00Z"/>
              </w:rPr>
            </w:pPr>
            <w:del w:id="770" w:author="svcMRProcess" w:date="2019-03-27T12:18:00Z">
              <w:r>
                <w:delText>26 of 2018</w:delText>
              </w:r>
            </w:del>
          </w:p>
        </w:tc>
        <w:tc>
          <w:tcPr>
            <w:tcW w:w="1134" w:type="dxa"/>
            <w:tcBorders>
              <w:top w:val="single" w:sz="8" w:space="0" w:color="auto"/>
              <w:left w:val="nil"/>
              <w:bottom w:val="single" w:sz="4" w:space="0" w:color="auto"/>
              <w:right w:val="nil"/>
            </w:tcBorders>
            <w:shd w:val="clear" w:color="auto" w:fill="auto"/>
          </w:tcPr>
          <w:p>
            <w:pPr>
              <w:pStyle w:val="nTable"/>
              <w:spacing w:after="40"/>
              <w:rPr>
                <w:del w:id="771" w:author="svcMRProcess" w:date="2019-03-27T12:18:00Z"/>
              </w:rPr>
            </w:pPr>
            <w:del w:id="772" w:author="svcMRProcess" w:date="2019-03-27T12:18:00Z">
              <w:r>
                <w:delText>30 Oct 2018</w:delText>
              </w:r>
            </w:del>
          </w:p>
        </w:tc>
        <w:tc>
          <w:tcPr>
            <w:tcW w:w="2547" w:type="dxa"/>
            <w:tcBorders>
              <w:top w:val="single" w:sz="8" w:space="0" w:color="auto"/>
              <w:left w:val="nil"/>
              <w:bottom w:val="single" w:sz="4" w:space="0" w:color="auto"/>
            </w:tcBorders>
            <w:shd w:val="clear" w:color="auto" w:fill="auto"/>
          </w:tcPr>
          <w:p>
            <w:pPr>
              <w:pStyle w:val="nTable"/>
              <w:spacing w:after="40"/>
              <w:rPr>
                <w:del w:id="773" w:author="svcMRProcess" w:date="2019-03-27T12:18:00Z"/>
                <w:snapToGrid w:val="0"/>
              </w:rPr>
            </w:pPr>
            <w:del w:id="774" w:author="svcMRProcess" w:date="2019-03-27T12:18:00Z">
              <w:r>
                <w:rPr>
                  <w:snapToGrid w:val="0"/>
                </w:rPr>
                <w:delText xml:space="preserve">1 Apr 2019 (see s. 2(b) and </w:delText>
              </w:r>
              <w:r>
                <w:rPr>
                  <w:i/>
                  <w:snapToGrid w:val="0"/>
                </w:rPr>
                <w:delText>Gazette</w:delText>
              </w:r>
              <w:r>
                <w:rPr>
                  <w:snapToGrid w:val="0"/>
                </w:rPr>
                <w:delText xml:space="preserve"> 26 Feb 2019 p. 449</w:delText>
              </w:r>
              <w:r>
                <w:rPr>
                  <w:snapToGrid w:val="0"/>
                </w:rPr>
                <w:noBreakHyphen/>
                <w:delText>50)</w:delText>
              </w:r>
            </w:del>
          </w:p>
        </w:tc>
      </w:tr>
    </w:tbl>
    <w:p>
      <w:pPr>
        <w:pStyle w:val="nSubsection"/>
        <w:keepNext/>
        <w:spacing w:before="120"/>
      </w:pPr>
      <w:r>
        <w:rPr>
          <w:vertAlign w:val="superscript"/>
        </w:rPr>
        <w:t>1M</w:t>
      </w:r>
      <w:r>
        <w:tab/>
        <w:t xml:space="preserve">Under the </w:t>
      </w:r>
      <w:r>
        <w:rPr>
          <w:i/>
        </w:rPr>
        <w:t>Commonwealth Places (Mirror Taxes Administration) Act 1999</w:t>
      </w:r>
      <w:r>
        <w:t xml:space="preserve"> s. 7 this Act is to be read and construed with any modifications referred to in subsection (1) of that section and with the modifications provided for in the </w:t>
      </w:r>
      <w:r>
        <w:rPr>
          <w:i/>
        </w:rPr>
        <w:t xml:space="preserve">Commonwealth Places (Mirror Taxes Administration) Regulations </w:t>
      </w:r>
      <w:r>
        <w:t>2007 r. 4 and Pt. 7 Div. 1. Part 7 Div. 1 of those regulations reads as follows:</w:t>
      </w:r>
    </w:p>
    <w:p>
      <w:pPr>
        <w:pStyle w:val="BlankOpen"/>
      </w:pP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keepNext w:val="0"/>
        <w:keepLines w:val="0"/>
        <w:spacing w:before="80"/>
      </w:pPr>
      <w:r>
        <w:t>47.</w:t>
      </w:r>
      <w:r>
        <w:tab/>
        <w:t>Sections 5A and 5B inserted</w:t>
      </w:r>
    </w:p>
    <w:p>
      <w:pPr>
        <w:pStyle w:val="nzSubsection"/>
      </w:pPr>
      <w:r>
        <w:tab/>
      </w:r>
      <w:r>
        <w:tab/>
        <w:t xml:space="preserve">After section 5 the following sections are inserted — </w:t>
      </w:r>
    </w:p>
    <w:p>
      <w:pPr>
        <w:pStyle w:val="MiscOpen"/>
        <w:ind w:left="567"/>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keepNext/>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keepNext/>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8"/>
      </w:pPr>
      <w:r>
        <w:t xml:space="preserve">    ”.</w:t>
      </w:r>
    </w:p>
    <w:p>
      <w:pPr>
        <w:pStyle w:val="nzHeading5"/>
        <w:keepNext w:val="0"/>
        <w:keepLines w:val="0"/>
        <w:spacing w:before="60"/>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spacing w:before="80"/>
        <w:ind w:left="879"/>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spacing w:before="60"/>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keepNext/>
        <w:keepLines/>
      </w:pPr>
      <w:r>
        <w:tab/>
        <w:t>(b)</w:t>
      </w:r>
      <w:r>
        <w:tab/>
        <w:t xml:space="preserve">in paragraph (a) by inserting after “the taxation Act” — </w:t>
      </w:r>
    </w:p>
    <w:p>
      <w:pPr>
        <w:pStyle w:val="nzMiscellaneousBody"/>
        <w:keepNext/>
        <w:keepLines/>
        <w:tabs>
          <w:tab w:val="left" w:pos="1418"/>
          <w:tab w:val="left" w:pos="2160"/>
        </w:tabs>
        <w:spacing w:before="40"/>
        <w:ind w:left="1985" w:hanging="1418"/>
      </w:pPr>
      <w:r>
        <w:tab/>
      </w:r>
      <w:r>
        <w:tab/>
      </w:r>
      <w:r>
        <w:tab/>
        <w:t>“    or the applied taxation Act    ”;</w:t>
      </w:r>
    </w:p>
    <w:p>
      <w:pPr>
        <w:pStyle w:val="nzIndenta"/>
        <w:keepNext/>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spacing w:before="60"/>
      </w:pPr>
      <w:r>
        <w:t>50.</w:t>
      </w:r>
      <w:r>
        <w:tab/>
        <w:t>Glossary modified</w:t>
      </w:r>
    </w:p>
    <w:p>
      <w:pPr>
        <w:pStyle w:val="nzSubsection"/>
      </w:pPr>
      <w:r>
        <w:tab/>
      </w:r>
      <w:r>
        <w:tab/>
        <w:t>The Glossary is modified by inserting in their appropriate alphabetical positions —</w:t>
      </w:r>
    </w:p>
    <w:p>
      <w:pPr>
        <w:pStyle w:val="MiscOpen"/>
        <w:keepNext w:val="0"/>
        <w:keepLines w:val="0"/>
        <w:spacing w:before="80"/>
        <w:ind w:left="879"/>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1MC</w:t>
      </w:r>
      <w:r>
        <w:tab/>
        <w:t xml:space="preserve">Under the </w:t>
      </w:r>
      <w:r>
        <w:rPr>
          <w:i/>
        </w:rPr>
        <w:t>Commonwealth Places (Mirror Taxes) Act 1998</w:t>
      </w:r>
      <w:r>
        <w:t xml:space="preserve"> (Cth) s. 8, modifications to this Act, in its application as a Commonwealth law in Commonwealth places in Western Australia, may be prescribed. Modifications to this Act are prescribed in the </w:t>
      </w:r>
      <w:r>
        <w:rPr>
          <w:i/>
        </w:rPr>
        <w:t xml:space="preserve">Commonwealth Places (Mirror Taxes) (Modification of Applied Laws (WA)) Notice 2007 </w:t>
      </w:r>
      <w:r>
        <w:t>(Cth) cl. 5 and Pt. 7 Div. 1. Part 7 Div. 1 of that notice reads as follows:</w:t>
      </w:r>
    </w:p>
    <w:p>
      <w:pPr>
        <w:pStyle w:val="BlankClose"/>
        <w:rPr>
          <w:strike/>
        </w:rPr>
      </w:pPr>
    </w:p>
    <w:p>
      <w:pPr>
        <w:pStyle w:val="nzHeading2"/>
        <w:spacing w:before="160"/>
      </w:pPr>
      <w:r>
        <w:rPr>
          <w:rStyle w:val="CharPartNo"/>
        </w:rPr>
        <w:t>Part 7</w:t>
      </w:r>
      <w:r>
        <w:t> — </w:t>
      </w:r>
      <w:r>
        <w:rPr>
          <w:rStyle w:val="CharPartText"/>
        </w:rPr>
        <w:t>Taxation administration</w:t>
      </w:r>
    </w:p>
    <w:p>
      <w:pPr>
        <w:pStyle w:val="nzHeading3"/>
        <w:spacing w:before="240"/>
      </w:pPr>
      <w:r>
        <w:rPr>
          <w:rStyle w:val="CharDivNo"/>
        </w:rPr>
        <w:t>Division 1</w:t>
      </w:r>
      <w:r>
        <w:t> — </w:t>
      </w:r>
      <w:r>
        <w:rPr>
          <w:rStyle w:val="CharDivText"/>
        </w:rPr>
        <w:t xml:space="preserve">The applied </w:t>
      </w:r>
      <w:r>
        <w:rPr>
          <w:rStyle w:val="CharDivText"/>
          <w:i/>
          <w:iCs/>
        </w:rPr>
        <w:t>Taxation Administration Act 2003</w:t>
      </w:r>
    </w:p>
    <w:p>
      <w:pPr>
        <w:pStyle w:val="nzHeading5"/>
        <w:spacing w:before="220"/>
      </w:pPr>
      <w:r>
        <w:rPr>
          <w:rStyle w:val="CharSectno"/>
        </w:rPr>
        <w:t>48</w:t>
      </w:r>
      <w:r>
        <w:t>.</w:t>
      </w:r>
      <w:r>
        <w:tab/>
        <w:t xml:space="preserve">Modification of the applied </w:t>
      </w:r>
      <w:r>
        <w:rPr>
          <w:i/>
          <w:iCs/>
        </w:rPr>
        <w:t>Taxation Administration Act 2003</w:t>
      </w:r>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spacing w:before="60"/>
        <w:ind w:left="1338"/>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keepNext/>
        <w:keepLines/>
      </w:pPr>
      <w:r>
        <w:tab/>
      </w:r>
      <w:r>
        <w:tab/>
        <w:t xml:space="preserve">After section 5 the following sections are inserted — </w:t>
      </w:r>
    </w:p>
    <w:p>
      <w:pPr>
        <w:pStyle w:val="MiscOpen"/>
        <w:spacing w:before="80"/>
        <w:ind w:left="567"/>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keepNext/>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ind w:left="567"/>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spacing w:before="160"/>
        <w:rPr>
          <w:snapToGrid w:val="0"/>
        </w:rPr>
      </w:pPr>
      <w:r>
        <w:rPr>
          <w:snapToGrid w:val="0"/>
          <w:vertAlign w:val="superscript"/>
        </w:rPr>
        <w:t>2</w:t>
      </w:r>
      <w:r>
        <w:rPr>
          <w:snapToGrid w:val="0"/>
        </w:rPr>
        <w:tab/>
        <w:t>R</w:t>
      </w:r>
      <w:r>
        <w:t xml:space="preserve">epealed by the </w:t>
      </w:r>
      <w:r>
        <w:rPr>
          <w:i/>
          <w:iCs/>
        </w:rPr>
        <w:t xml:space="preserve">Planning and Development (Consequential and Transitional Provisions) Act 2005 </w:t>
      </w:r>
      <w:r>
        <w:t>s. 4.</w:t>
      </w:r>
    </w:p>
    <w:p>
      <w:pPr>
        <w:pStyle w:val="nSubsection"/>
      </w:pPr>
      <w:r>
        <w:rPr>
          <w:vertAlign w:val="superscript"/>
        </w:rPr>
        <w:t>3</w:t>
      </w:r>
      <w:r>
        <w:tab/>
        <w:t xml:space="preserve">The </w:t>
      </w:r>
      <w:r>
        <w:rPr>
          <w:i/>
        </w:rPr>
        <w:t>Revenue Laws Amendment Act 2012</w:t>
      </w:r>
      <w:r>
        <w:t xml:space="preserve"> s. 42(4) was deemed to have come into operation on 1 Jul 2009, see s. 2(d) of that Act).</w:t>
      </w:r>
    </w:p>
    <w:p>
      <w:pPr>
        <w:pStyle w:val="nSubsection"/>
        <w:rPr>
          <w:snapToGrid w:val="0"/>
          <w:vertAlign w:val="superscript"/>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cannot be included because the paragraph it seeks to amend was deleted by the </w:t>
      </w:r>
      <w:r>
        <w:rPr>
          <w:i/>
          <w:snapToGrid w:val="0"/>
        </w:rPr>
        <w:t>Business Tax Review (Assessment) Act (No. 2) 2003</w:t>
      </w:r>
      <w:r>
        <w:rPr>
          <w:snapToGrid w:val="0"/>
        </w:rPr>
        <w:t xml:space="preserve"> s. 100.</w:t>
      </w:r>
    </w:p>
    <w:p>
      <w:pPr>
        <w:pStyle w:val="nSubsection"/>
        <w:rPr>
          <w:snapToGrid w:val="0"/>
        </w:rPr>
      </w:pPr>
      <w:r>
        <w:rPr>
          <w:snapToGrid w:val="0"/>
          <w:vertAlign w:val="superscript"/>
        </w:rPr>
        <w:t>5</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s. 41</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6</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8</w:t>
      </w:r>
      <w:r>
        <w:tab/>
        <w:t>The</w:t>
      </w:r>
      <w:r>
        <w:rPr>
          <w:snapToGrid w:val="0"/>
        </w:rPr>
        <w:t xml:space="preserve"> </w:t>
      </w:r>
      <w:r>
        <w:rPr>
          <w:i/>
        </w:rPr>
        <w:t xml:space="preserve">Revenue Laws Amendment (Tax Relief) Act 2004 </w:t>
      </w:r>
      <w:r>
        <w:t>Pt. 4 </w:t>
      </w:r>
      <w:r>
        <w:rPr>
          <w:snapToGrid w:val="0"/>
        </w:rPr>
        <w:t>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9</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was to come into operation.</w:t>
      </w:r>
    </w:p>
    <w:p>
      <w:pPr>
        <w:pStyle w:val="nSubsection"/>
        <w:rPr>
          <w:del w:id="775" w:author="svcMRProcess" w:date="2019-03-27T12:18:00Z"/>
        </w:rPr>
      </w:pPr>
      <w:del w:id="776" w:author="svcMRProcess" w:date="2019-03-27T12:18:00Z">
        <w:r>
          <w:rPr>
            <w:vertAlign w:val="superscript"/>
          </w:rPr>
          <w:delText>10</w:delText>
        </w:r>
        <w:r>
          <w:tab/>
          <w:delText xml:space="preserve">On the date as at which this compilation was prepared, the </w:delText>
        </w:r>
        <w:r>
          <w:rPr>
            <w:i/>
          </w:rPr>
          <w:delText>Transport (Road Passenger Services) Act 2018</w:delText>
        </w:r>
        <w:r>
          <w:delText xml:space="preserve"> Pt. 14 Div. 2 Subdiv. 8 had not come into operation. It reads as follows:</w:delText>
        </w:r>
      </w:del>
    </w:p>
    <w:p>
      <w:pPr>
        <w:pStyle w:val="BlankOpen"/>
        <w:rPr>
          <w:del w:id="777" w:author="svcMRProcess" w:date="2019-03-27T12:18:00Z"/>
        </w:rPr>
      </w:pPr>
    </w:p>
    <w:p>
      <w:pPr>
        <w:pStyle w:val="nzHeading2"/>
        <w:rPr>
          <w:del w:id="778" w:author="svcMRProcess" w:date="2019-03-27T12:18:00Z"/>
        </w:rPr>
      </w:pPr>
      <w:bookmarkStart w:id="779" w:name="_Toc522618304"/>
      <w:bookmarkStart w:id="780" w:name="_Toc522618742"/>
      <w:bookmarkStart w:id="781" w:name="_Toc522708578"/>
      <w:bookmarkStart w:id="782" w:name="_Toc525292154"/>
      <w:bookmarkStart w:id="783" w:name="_Toc527705435"/>
      <w:bookmarkStart w:id="784" w:name="_Toc527706503"/>
      <w:bookmarkStart w:id="785" w:name="_Toc527706941"/>
      <w:bookmarkStart w:id="786" w:name="_Toc528145702"/>
      <w:bookmarkStart w:id="787" w:name="_Toc528676301"/>
      <w:del w:id="788" w:author="svcMRProcess" w:date="2019-03-27T12:18:00Z">
        <w:r>
          <w:rPr>
            <w:rStyle w:val="CharPartNo"/>
          </w:rPr>
          <w:delText>Part 14</w:delText>
        </w:r>
        <w:r>
          <w:delText> — </w:delText>
        </w:r>
        <w:r>
          <w:rPr>
            <w:rStyle w:val="CharPartText"/>
          </w:rPr>
          <w:delText>Repeals and consequential amendments</w:delText>
        </w:r>
        <w:bookmarkEnd w:id="779"/>
        <w:bookmarkEnd w:id="780"/>
        <w:bookmarkEnd w:id="781"/>
        <w:bookmarkEnd w:id="782"/>
        <w:bookmarkEnd w:id="783"/>
        <w:bookmarkEnd w:id="784"/>
        <w:bookmarkEnd w:id="785"/>
        <w:bookmarkEnd w:id="786"/>
        <w:bookmarkEnd w:id="787"/>
      </w:del>
    </w:p>
    <w:p>
      <w:pPr>
        <w:pStyle w:val="nzHeading3"/>
        <w:rPr>
          <w:del w:id="789" w:author="svcMRProcess" w:date="2019-03-27T12:18:00Z"/>
        </w:rPr>
      </w:pPr>
      <w:bookmarkStart w:id="790" w:name="_Toc522618309"/>
      <w:bookmarkStart w:id="791" w:name="_Toc522618747"/>
      <w:bookmarkStart w:id="792" w:name="_Toc522708583"/>
      <w:bookmarkStart w:id="793" w:name="_Toc525292159"/>
      <w:bookmarkStart w:id="794" w:name="_Toc527705440"/>
      <w:bookmarkStart w:id="795" w:name="_Toc527706508"/>
      <w:bookmarkStart w:id="796" w:name="_Toc527706946"/>
      <w:bookmarkStart w:id="797" w:name="_Toc528145707"/>
      <w:bookmarkStart w:id="798" w:name="_Toc528676306"/>
      <w:del w:id="799" w:author="svcMRProcess" w:date="2019-03-27T12:18:00Z">
        <w:r>
          <w:rPr>
            <w:rStyle w:val="CharDivNo"/>
          </w:rPr>
          <w:delText>Division 2</w:delText>
        </w:r>
        <w:r>
          <w:delText> — </w:delText>
        </w:r>
        <w:r>
          <w:rPr>
            <w:rStyle w:val="CharDivText"/>
          </w:rPr>
          <w:delText>Consequential amendments</w:delText>
        </w:r>
        <w:bookmarkEnd w:id="790"/>
        <w:bookmarkEnd w:id="791"/>
        <w:bookmarkEnd w:id="792"/>
        <w:bookmarkEnd w:id="793"/>
        <w:bookmarkEnd w:id="794"/>
        <w:bookmarkEnd w:id="795"/>
        <w:bookmarkEnd w:id="796"/>
        <w:bookmarkEnd w:id="797"/>
        <w:bookmarkEnd w:id="798"/>
      </w:del>
    </w:p>
    <w:p>
      <w:pPr>
        <w:pStyle w:val="nzHeading4"/>
        <w:rPr>
          <w:del w:id="800" w:author="svcMRProcess" w:date="2019-03-27T12:18:00Z"/>
        </w:rPr>
      </w:pPr>
      <w:bookmarkStart w:id="801" w:name="_Toc522618341"/>
      <w:bookmarkStart w:id="802" w:name="_Toc522618779"/>
      <w:bookmarkStart w:id="803" w:name="_Toc522708615"/>
      <w:bookmarkStart w:id="804" w:name="_Toc525292191"/>
      <w:bookmarkStart w:id="805" w:name="_Toc527705472"/>
      <w:bookmarkStart w:id="806" w:name="_Toc527706540"/>
      <w:bookmarkStart w:id="807" w:name="_Toc527706978"/>
      <w:bookmarkStart w:id="808" w:name="_Toc528145739"/>
      <w:bookmarkStart w:id="809" w:name="_Toc528676338"/>
      <w:del w:id="810" w:author="svcMRProcess" w:date="2019-03-27T12:18:00Z">
        <w:r>
          <w:delText>Subdivision 8 — </w:delText>
        </w:r>
        <w:r>
          <w:rPr>
            <w:i/>
          </w:rPr>
          <w:delText>Taxation Administration Act 2003</w:delText>
        </w:r>
        <w:r>
          <w:delText xml:space="preserve"> amended</w:delText>
        </w:r>
        <w:bookmarkEnd w:id="801"/>
        <w:bookmarkEnd w:id="802"/>
        <w:bookmarkEnd w:id="803"/>
        <w:bookmarkEnd w:id="804"/>
        <w:bookmarkEnd w:id="805"/>
        <w:bookmarkEnd w:id="806"/>
        <w:bookmarkEnd w:id="807"/>
        <w:bookmarkEnd w:id="808"/>
        <w:bookmarkEnd w:id="809"/>
      </w:del>
    </w:p>
    <w:p>
      <w:pPr>
        <w:pStyle w:val="nzHeading5"/>
        <w:rPr>
          <w:del w:id="811" w:author="svcMRProcess" w:date="2019-03-27T12:18:00Z"/>
        </w:rPr>
      </w:pPr>
      <w:bookmarkStart w:id="812" w:name="_Toc522618780"/>
      <w:bookmarkStart w:id="813" w:name="_Toc528676339"/>
      <w:del w:id="814" w:author="svcMRProcess" w:date="2019-03-27T12:18:00Z">
        <w:r>
          <w:rPr>
            <w:rStyle w:val="CharSectno"/>
          </w:rPr>
          <w:delText>328</w:delText>
        </w:r>
        <w:r>
          <w:delText>.</w:delText>
        </w:r>
        <w:r>
          <w:tab/>
          <w:delText>Act amended</w:delText>
        </w:r>
        <w:bookmarkEnd w:id="812"/>
        <w:bookmarkEnd w:id="813"/>
      </w:del>
    </w:p>
    <w:p>
      <w:pPr>
        <w:pStyle w:val="nzSubsection"/>
        <w:rPr>
          <w:del w:id="815" w:author="svcMRProcess" w:date="2019-03-27T12:18:00Z"/>
        </w:rPr>
      </w:pPr>
      <w:del w:id="816" w:author="svcMRProcess" w:date="2019-03-27T12:18:00Z">
        <w:r>
          <w:tab/>
        </w:r>
        <w:r>
          <w:tab/>
          <w:delText xml:space="preserve">This Subdivision amends the </w:delText>
        </w:r>
        <w:r>
          <w:rPr>
            <w:i/>
          </w:rPr>
          <w:delText>Taxation Administration Act 2003</w:delText>
        </w:r>
        <w:r>
          <w:delText>.</w:delText>
        </w:r>
      </w:del>
    </w:p>
    <w:p>
      <w:pPr>
        <w:pStyle w:val="nzHeading5"/>
        <w:rPr>
          <w:del w:id="817" w:author="svcMRProcess" w:date="2019-03-27T12:18:00Z"/>
        </w:rPr>
      </w:pPr>
      <w:bookmarkStart w:id="818" w:name="_Toc522618781"/>
      <w:bookmarkStart w:id="819" w:name="_Toc528676340"/>
      <w:del w:id="820" w:author="svcMRProcess" w:date="2019-03-27T12:18:00Z">
        <w:r>
          <w:rPr>
            <w:rStyle w:val="CharSectno"/>
          </w:rPr>
          <w:delText>329</w:delText>
        </w:r>
        <w:r>
          <w:delText>.</w:delText>
        </w:r>
        <w:r>
          <w:tab/>
          <w:delText>Section 3 amended</w:delText>
        </w:r>
        <w:bookmarkEnd w:id="818"/>
        <w:bookmarkEnd w:id="819"/>
      </w:del>
    </w:p>
    <w:p>
      <w:pPr>
        <w:pStyle w:val="nzSubsection"/>
        <w:rPr>
          <w:del w:id="821" w:author="svcMRProcess" w:date="2019-03-27T12:18:00Z"/>
        </w:rPr>
      </w:pPr>
      <w:del w:id="822" w:author="svcMRProcess" w:date="2019-03-27T12:18:00Z">
        <w:r>
          <w:tab/>
        </w:r>
        <w:r>
          <w:tab/>
          <w:delText xml:space="preserve">After section 3(1)(j) insert — </w:delText>
        </w:r>
      </w:del>
    </w:p>
    <w:p>
      <w:pPr>
        <w:pStyle w:val="BlankOpen"/>
        <w:rPr>
          <w:del w:id="823" w:author="svcMRProcess" w:date="2019-03-27T12:18:00Z"/>
        </w:rPr>
      </w:pPr>
    </w:p>
    <w:p>
      <w:pPr>
        <w:pStyle w:val="nzIndenta"/>
        <w:rPr>
          <w:del w:id="824" w:author="svcMRProcess" w:date="2019-03-27T12:18:00Z"/>
        </w:rPr>
      </w:pPr>
      <w:del w:id="825" w:author="svcMRProcess" w:date="2019-03-27T12:18:00Z">
        <w:r>
          <w:tab/>
          <w:delText>(jaa)</w:delText>
        </w:r>
        <w:r>
          <w:tab/>
          <w:delText xml:space="preserve">the </w:delText>
        </w:r>
        <w:r>
          <w:rPr>
            <w:i/>
          </w:rPr>
          <w:delText xml:space="preserve">Transport (Road Passenger Services) Act 2018 </w:delText>
        </w:r>
        <w:r>
          <w:delText>Part 9 Division 2;</w:delText>
        </w:r>
      </w:del>
    </w:p>
    <w:p>
      <w:pPr>
        <w:pStyle w:val="BlankClose"/>
        <w:rPr>
          <w:del w:id="826" w:author="svcMRProcess" w:date="2019-03-27T12:18:00Z"/>
        </w:rPr>
      </w:pPr>
    </w:p>
    <w:p/>
    <w:p>
      <w:pPr>
        <w:rPr>
          <w:u w:val="words"/>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29" w:name="Schedule"/>
    <w:bookmarkEnd w:id="72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27" w:name="Compilation"/>
    <w:bookmarkEnd w:id="8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28" w:name="Coversheet"/>
    <w:bookmarkEnd w:id="8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lvlText w:val="%1."/>
      <w:lvlJc w:val="left"/>
      <w:pPr>
        <w:tabs>
          <w:tab w:val="num" w:pos="1492"/>
        </w:tabs>
        <w:ind w:left="1492" w:hanging="360"/>
      </w:pPr>
    </w:lvl>
  </w:abstractNum>
  <w:abstractNum w:abstractNumId="1">
    <w:nsid w:val="FFFFFF7D"/>
    <w:multiLevelType w:val="singleLevel"/>
    <w:tmpl w:val="20860632"/>
    <w:lvl w:ilvl="0">
      <w:start w:val="1"/>
      <w:numFmt w:val="decimal"/>
      <w:lvlText w:val="%1."/>
      <w:lvlJc w:val="left"/>
      <w:pPr>
        <w:tabs>
          <w:tab w:val="num" w:pos="1209"/>
        </w:tabs>
        <w:ind w:left="1209" w:hanging="360"/>
      </w:pPr>
    </w:lvl>
  </w:abstractNum>
  <w:abstractNum w:abstractNumId="2">
    <w:nsid w:val="FFFFFF7E"/>
    <w:multiLevelType w:val="singleLevel"/>
    <w:tmpl w:val="17E29B3E"/>
    <w:lvl w:ilvl="0">
      <w:start w:val="1"/>
      <w:numFmt w:val="decimal"/>
      <w:lvlText w:val="%1."/>
      <w:lvlJc w:val="left"/>
      <w:pPr>
        <w:tabs>
          <w:tab w:val="num" w:pos="926"/>
        </w:tabs>
        <w:ind w:left="926" w:hanging="360"/>
      </w:pPr>
    </w:lvl>
  </w:abstractNum>
  <w:abstractNum w:abstractNumId="3">
    <w:nsid w:val="FFFFFF7F"/>
    <w:multiLevelType w:val="singleLevel"/>
    <w:tmpl w:val="C016C124"/>
    <w:lvl w:ilvl="0">
      <w:start w:val="1"/>
      <w:numFmt w:val="decimal"/>
      <w:lvlText w:val="%1."/>
      <w:lvlJc w:val="left"/>
      <w:pPr>
        <w:tabs>
          <w:tab w:val="num" w:pos="643"/>
        </w:tabs>
        <w:ind w:left="643" w:hanging="360"/>
      </w:pPr>
    </w:lvl>
  </w:abstractNum>
  <w:abstractNum w:abstractNumId="4">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lvlText w:val="%1."/>
      <w:lvlJc w:val="left"/>
      <w:pPr>
        <w:tabs>
          <w:tab w:val="num" w:pos="360"/>
        </w:tabs>
        <w:ind w:left="360" w:hanging="360"/>
      </w:pPr>
    </w:lvl>
  </w:abstractNum>
  <w:abstractNum w:abstractNumId="9">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27084900"/>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0714120412" w:val="RemoveTocBookmarks,RemoveUnusedBookmarks,RemoveLanguageTags,UsedStyles,ResetPageSize,RemoveCustomizations"/>
    <w:docVar w:name="WAFER_20150714120412_GUID" w:val="d5fd18fe-e1c1-4530-93f9-acc05793b8ad"/>
    <w:docVar w:name="WAFER_20151105113401" w:val="UpdateStyles"/>
    <w:docVar w:name="WAFER_20151105113401_GUID" w:val="55318b02-fd87-4b1b-bb02-394c30bb60a0"/>
    <w:docVar w:name="WAFER_20151105113752" w:val="UsedStyles"/>
    <w:docVar w:name="WAFER_20151105113752_GUID" w:val="1099fb9c-fffc-4555-aac0-12db33923c03"/>
    <w:docVar w:name="WAFER_20160112114519" w:val="RemoveTocBookmarks,RemoveUnusedBookmarks,RemoveLanguageTags,UsedStyles,RemoveTrackChanges"/>
    <w:docVar w:name="WAFER_20160112114519_GUID" w:val="951ad3bf-318b-4c01-9799-2fec08921b2c"/>
    <w:docVar w:name="WAFER_20160112114538" w:val="RemoveTocBookmarks,RemoveLanguageTags,RemoveTrackChanges,RunningHeaders"/>
    <w:docVar w:name="WAFER_20160112114538_GUID" w:val="88b17058-22ca-4721-b691-2f1e899ce97c"/>
    <w:docVar w:name="WAFER_20190327084900" w:val="RemoveTocBookmarks,RemoveUnusedBookmarks,RemoveLanguageTags,ResetPageSize,RunningHeaders,UpdateStyles,UsedStyles"/>
    <w:docVar w:name="WAFER_20190327084900_GUID" w:val="70e276ad-31bb-4dca-935f-c4411e8e7b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063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691F8F-AC23-4400-9614-30A66D69F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30764</Words>
  <Characters>147671</Characters>
  <Application>Microsoft Office Word</Application>
  <DocSecurity>0</DocSecurity>
  <Lines>3886</Lines>
  <Paragraphs>2124</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176311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05-e0-02 - 05-f0-00</dc:title>
  <dc:subject/>
  <dc:creator/>
  <cp:keywords/>
  <dc:description/>
  <cp:lastModifiedBy>svcMRProcess</cp:lastModifiedBy>
  <cp:revision>2</cp:revision>
  <cp:lastPrinted>2016-05-05T02:09:00Z</cp:lastPrinted>
  <dcterms:created xsi:type="dcterms:W3CDTF">2019-03-27T04:18:00Z</dcterms:created>
  <dcterms:modified xsi:type="dcterms:W3CDTF">2019-03-27T04:18:00Z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DocumentType">
    <vt:lpwstr>Act</vt:lpwstr>
  </property>
  <property fmtid="{D5CDD505-2E9C-101B-9397-08002B2CF9AE}" pid="4" name="OwlsUID">
    <vt:i4>6343</vt:i4>
  </property>
  <property fmtid="{D5CDD505-2E9C-101B-9397-08002B2CF9AE}" pid="5" name="ReprintedAsAt">
    <vt:filetime>2016-04-21T16:00:00Z</vt:filetime>
  </property>
  <property fmtid="{D5CDD505-2E9C-101B-9397-08002B2CF9AE}" pid="6" name="ReprintNo">
    <vt:lpwstr>5</vt:lpwstr>
  </property>
  <property fmtid="{D5CDD505-2E9C-101B-9397-08002B2CF9AE}" pid="7" name="CommencementDate">
    <vt:lpwstr>20190401</vt:lpwstr>
  </property>
  <property fmtid="{D5CDD505-2E9C-101B-9397-08002B2CF9AE}" pid="8" name="FromSuffix">
    <vt:lpwstr>05-e0-02</vt:lpwstr>
  </property>
  <property fmtid="{D5CDD505-2E9C-101B-9397-08002B2CF9AE}" pid="9" name="FromAsAtDate">
    <vt:lpwstr>01 Jan 2019</vt:lpwstr>
  </property>
  <property fmtid="{D5CDD505-2E9C-101B-9397-08002B2CF9AE}" pid="10" name="ToSuffix">
    <vt:lpwstr>05-f0-00</vt:lpwstr>
  </property>
  <property fmtid="{D5CDD505-2E9C-101B-9397-08002B2CF9AE}" pid="11" name="ToAsAtDate">
    <vt:lpwstr>01 Apr 2019</vt:lpwstr>
  </property>
</Properties>
</file>