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Feb 2019</w:t>
      </w:r>
      <w:r>
        <w:fldChar w:fldCharType="end"/>
      </w:r>
      <w:r>
        <w:t xml:space="preserve">, </w:t>
      </w:r>
      <w:r>
        <w:fldChar w:fldCharType="begin"/>
      </w:r>
      <w:r>
        <w:instrText xml:space="preserve"> DocProperty FromSuffix </w:instrText>
      </w:r>
      <w:r>
        <w:fldChar w:fldCharType="separate"/>
      </w:r>
      <w:r>
        <w:t>06-e0-00</w:t>
      </w:r>
      <w:r>
        <w:fldChar w:fldCharType="end"/>
      </w:r>
      <w:r>
        <w:t>] and [</w:t>
      </w:r>
      <w:r>
        <w:fldChar w:fldCharType="begin"/>
      </w:r>
      <w:r>
        <w:instrText xml:space="preserve"> DocProperty ToAsAtDate</w:instrText>
      </w:r>
      <w:r>
        <w:fldChar w:fldCharType="separate"/>
      </w:r>
      <w:r>
        <w:t>15 Apr 2019</w:t>
      </w:r>
      <w:r>
        <w:fldChar w:fldCharType="end"/>
      </w:r>
      <w:r>
        <w:t xml:space="preserve">, </w:t>
      </w:r>
      <w:r>
        <w:fldChar w:fldCharType="begin"/>
      </w:r>
      <w:r>
        <w:instrText xml:space="preserve"> DocProperty ToSuffix</w:instrText>
      </w:r>
      <w:r>
        <w:fldChar w:fldCharType="separate"/>
      </w:r>
      <w:r>
        <w:t>06-f0-01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480" w:after="1320"/>
      </w:pPr>
      <w:r>
        <w:t xml:space="preserve">Residential Tenancies Act 1987 </w:t>
      </w:r>
    </w:p>
    <w:p>
      <w:pPr>
        <w:pStyle w:val="LongTitle"/>
        <w:rPr>
          <w:snapToGrid w:val="0"/>
        </w:rPr>
      </w:pPr>
      <w:r>
        <w:rPr>
          <w:snapToGrid w:val="0"/>
        </w:rPr>
        <w:t>A</w:t>
      </w:r>
      <w:bookmarkStart w:id="1" w:name="_GoBack"/>
      <w:bookmarkEnd w:id="1"/>
      <w:r>
        <w:rPr>
          <w:snapToGrid w:val="0"/>
        </w:rPr>
        <w:t xml:space="preserve">n Act to regulate the relationship of </w:t>
      </w:r>
      <w:r>
        <w:t>lessors</w:t>
      </w:r>
      <w:r>
        <w:rPr>
          <w:snapToGrid w:val="0"/>
        </w:rPr>
        <w:t xml:space="preserve"> and tenants under residential tenancy agreements, to consequentially amend certain Acts</w:t>
      </w:r>
      <w:r>
        <w:rPr>
          <w:snapToGrid w:val="0"/>
          <w:vertAlign w:val="superscript"/>
        </w:rPr>
        <w:t> 2</w:t>
      </w:r>
      <w:r>
        <w:rPr>
          <w:snapToGrid w:val="0"/>
        </w:rPr>
        <w:t xml:space="preserve">, and for connected purposes. </w:t>
      </w:r>
    </w:p>
    <w:p>
      <w:pPr>
        <w:pStyle w:val="Footnotelongtitle"/>
      </w:pPr>
      <w:r>
        <w:tab/>
        <w:t xml:space="preserve">[Long title amended: No. 60 of 2011 s. 4.] </w:t>
      </w:r>
    </w:p>
    <w:p>
      <w:pPr>
        <w:pStyle w:val="Heading2"/>
      </w:pPr>
      <w:bookmarkStart w:id="2" w:name="_Toc2153279"/>
      <w:bookmarkStart w:id="3" w:name="_Toc2160113"/>
      <w:bookmarkStart w:id="4" w:name="_Toc2160837"/>
      <w:bookmarkStart w:id="5" w:name="_Toc5621460"/>
      <w:bookmarkStart w:id="6" w:name="_Toc5632867"/>
      <w:bookmarkStart w:id="7" w:name="_Toc5719246"/>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5719247"/>
      <w:bookmarkStart w:id="9" w:name="_Toc2160838"/>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xml:space="preserve"> </w:t>
      </w:r>
      <w:r>
        <w:rPr>
          <w:snapToGrid w:val="0"/>
          <w:vertAlign w:val="superscript"/>
        </w:rPr>
        <w:t>1</w:t>
      </w:r>
      <w:r>
        <w:rPr>
          <w:snapToGrid w:val="0"/>
        </w:rPr>
        <w:t>.</w:t>
      </w:r>
    </w:p>
    <w:p>
      <w:pPr>
        <w:pStyle w:val="Heading5"/>
        <w:rPr>
          <w:snapToGrid w:val="0"/>
        </w:rPr>
      </w:pPr>
      <w:bookmarkStart w:id="10" w:name="_Toc5719248"/>
      <w:bookmarkStart w:id="11" w:name="_Toc2160839"/>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12" w:name="_Toc5719249"/>
      <w:bookmarkStart w:id="13" w:name="_Toc2160840"/>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 xml:space="preserve">bond </w:t>
      </w:r>
      <w:r>
        <w:t>means a security bond or a tenant compensation bond;</w:t>
      </w:r>
    </w:p>
    <w:p>
      <w:pPr>
        <w:pStyle w:val="Defstart"/>
      </w:pPr>
      <w:r>
        <w:tab/>
      </w:r>
      <w:r>
        <w:rPr>
          <w:rStyle w:val="CharDefText"/>
        </w:rPr>
        <w:t>bond administrator</w:t>
      </w:r>
      <w:r>
        <w:t xml:space="preserve"> means the chief executive officer of the Department;</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pPr>
        <w:pStyle w:val="Defstart"/>
        <w:rPr>
          <w:ins w:id="14" w:author="svcMRProcess" w:date="2019-04-15T16:46:00Z"/>
        </w:rPr>
      </w:pPr>
      <w:ins w:id="15" w:author="svcMRProcess" w:date="2019-04-15T16:46:00Z">
        <w:r>
          <w:tab/>
        </w:r>
        <w:r>
          <w:rPr>
            <w:rStyle w:val="CharDefText"/>
          </w:rPr>
          <w:t>family violence</w:t>
        </w:r>
        <w:r>
          <w:t xml:space="preserve"> has the meaning given in the </w:t>
        </w:r>
        <w:r>
          <w:rPr>
            <w:i/>
          </w:rPr>
          <w:t>Restraining Orders Act 1997</w:t>
        </w:r>
        <w:r>
          <w:t xml:space="preserve"> section 5A(1);</w:t>
        </w:r>
      </w:ins>
    </w:p>
    <w:p>
      <w:pPr>
        <w:pStyle w:val="Defstart"/>
      </w:pPr>
      <w:r>
        <w:tab/>
      </w:r>
      <w:r>
        <w:rPr>
          <w:rStyle w:val="CharDefText"/>
        </w:rPr>
        <w:t>lessor</w:t>
      </w:r>
      <w:r>
        <w:t xml:space="preserve"> — </w:t>
      </w:r>
    </w:p>
    <w:p>
      <w:pPr>
        <w:pStyle w:val="Defpara"/>
      </w:pPr>
      <w:r>
        <w:tab/>
        <w:t>(a)</w:t>
      </w:r>
      <w:r>
        <w:tab/>
        <w:t>means a person who grants the right to occupy residential premises under a residential tenancy agreement; and</w:t>
      </w:r>
    </w:p>
    <w:p>
      <w:pPr>
        <w:pStyle w:val="Defpara"/>
        <w:keepNext/>
      </w:pPr>
      <w:r>
        <w:lastRenderedPageBreak/>
        <w:tab/>
        <w:t>(b)</w:t>
      </w:r>
      <w:r>
        <w:tab/>
        <w:t>includes —</w:t>
      </w:r>
    </w:p>
    <w:p>
      <w:pPr>
        <w:pStyle w:val="Defsubpara"/>
      </w:pPr>
      <w:r>
        <w:tab/>
        <w:t>(i)</w:t>
      </w:r>
      <w:r>
        <w:tab/>
        <w:t>a personal representative, successor or assignee of a lessor; and</w:t>
      </w:r>
    </w:p>
    <w:p>
      <w:pPr>
        <w:pStyle w:val="Defsubpara"/>
      </w:pPr>
      <w:r>
        <w:tab/>
        <w:t>(ii)</w:t>
      </w:r>
      <w:r>
        <w:tab/>
        <w:t>where the context requires, a prospective, or former, lessor;</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rPr>
          <w:ins w:id="16" w:author="svcMRProcess" w:date="2019-04-15T16:46:00Z"/>
        </w:rPr>
      </w:pPr>
      <w:ins w:id="17" w:author="svcMRProcess" w:date="2019-04-15T16:46:00Z">
        <w:r>
          <w:tab/>
        </w:r>
        <w:r>
          <w:rPr>
            <w:rStyle w:val="CharDefText"/>
          </w:rPr>
          <w:t>prescribed</w:t>
        </w:r>
        <w:r>
          <w:t xml:space="preserve"> means prescribed in the regulations;</w:t>
        </w:r>
      </w:ins>
    </w:p>
    <w:p>
      <w:pPr>
        <w:pStyle w:val="Defstart"/>
      </w:pPr>
      <w:r>
        <w:tab/>
      </w:r>
      <w:r>
        <w:rPr>
          <w:rStyle w:val="CharDefText"/>
        </w:rPr>
        <w:t>property manager</w:t>
      </w:r>
      <w:r>
        <w:t xml:space="preserve"> means a person who is — </w:t>
      </w:r>
    </w:p>
    <w:p>
      <w:pPr>
        <w:pStyle w:val="Defpara"/>
      </w:pPr>
      <w:r>
        <w:tab/>
        <w:t>(a)</w:t>
      </w:r>
      <w:r>
        <w:tab/>
        <w:t xml:space="preserve">licensed under the </w:t>
      </w:r>
      <w:r>
        <w:rPr>
          <w:i/>
        </w:rPr>
        <w:t>Real Estate and Business Agents Act 1978</w:t>
      </w:r>
      <w:r>
        <w:t>; and</w:t>
      </w:r>
    </w:p>
    <w:p>
      <w:pPr>
        <w:pStyle w:val="Defpara"/>
      </w:pPr>
      <w:r>
        <w:tab/>
        <w:t>(b)</w:t>
      </w:r>
      <w:r>
        <w:tab/>
        <w:t>in relation to a residential tenancy agreement, the agent of the lessor of the premises to which the agreement relates;</w:t>
      </w:r>
    </w:p>
    <w:p>
      <w:pPr>
        <w:pStyle w:val="Defstart"/>
      </w:pPr>
      <w:r>
        <w:tab/>
      </w:r>
      <w:r>
        <w:rPr>
          <w:rStyle w:val="CharDefText"/>
        </w:rPr>
        <w:t>reasonable grounds</w:t>
      </w:r>
      <w:r>
        <w:t>, for suspecting that a tenant has abandoned residential premises, means that the tenant has failed to pay rent under the residential tenancy agreement and that at least one of the following has occurred —</w:t>
      </w:r>
    </w:p>
    <w:p>
      <w:pPr>
        <w:pStyle w:val="Defpara"/>
      </w:pPr>
      <w:r>
        <w:tab/>
        <w:t>(a)</w:t>
      </w:r>
      <w:r>
        <w:tab/>
        <w:t>the presence at the premises of uncollected mail, newspapers or other material;</w:t>
      </w:r>
    </w:p>
    <w:p>
      <w:pPr>
        <w:pStyle w:val="Defpara"/>
      </w:pPr>
      <w:r>
        <w:tab/>
        <w:t>(b)</w:t>
      </w:r>
      <w:r>
        <w:tab/>
        <w:t>reports from neighbours of the tenant or from other persons indicating the tenant has abandoned the premises;</w:t>
      </w:r>
    </w:p>
    <w:p>
      <w:pPr>
        <w:pStyle w:val="Defpara"/>
      </w:pPr>
      <w:r>
        <w:tab/>
        <w:t>(c)</w:t>
      </w:r>
      <w:r>
        <w:tab/>
        <w:t>the absence of household goods at the premises;</w:t>
      </w:r>
    </w:p>
    <w:p>
      <w:pPr>
        <w:pStyle w:val="Defpara"/>
      </w:pPr>
      <w:r>
        <w:tab/>
        <w:t>(d)</w:t>
      </w:r>
      <w:r>
        <w:tab/>
        <w:t>the disconnection of services (including gas, electricity and telephone) to the premises;</w:t>
      </w:r>
    </w:p>
    <w:p>
      <w:pPr>
        <w:pStyle w:val="Defstart"/>
      </w:pPr>
      <w:r>
        <w:rPr>
          <w:b/>
        </w:rPr>
        <w:tab/>
      </w:r>
      <w:r>
        <w:rPr>
          <w:rStyle w:val="CharDefText"/>
        </w:rPr>
        <w:t>rent</w:t>
      </w:r>
      <w:r>
        <w:t xml:space="preserve"> means a payment under a residential tenancy agreement payable by the tenant in respect of </w:t>
      </w:r>
      <w:del w:id="18" w:author="svcMRProcess" w:date="2019-04-15T16:46:00Z">
        <w:r>
          <w:delText>a</w:delText>
        </w:r>
      </w:del>
      <w:ins w:id="19" w:author="svcMRProcess" w:date="2019-04-15T16:46:00Z">
        <w:r>
          <w:t>the tenancy</w:t>
        </w:r>
      </w:ins>
      <w:r>
        <w:t xml:space="preserve"> period </w:t>
      </w:r>
      <w:ins w:id="20" w:author="svcMRProcess" w:date="2019-04-15T16:46:00Z">
        <w:r>
          <w:t xml:space="preserve">or part </w:t>
        </w:r>
      </w:ins>
      <w:r>
        <w:t>of the tenancy</w:t>
      </w:r>
      <w:ins w:id="21" w:author="svcMRProcess" w:date="2019-04-15T16:46:00Z">
        <w:r>
          <w:t xml:space="preserve"> period</w:t>
        </w:r>
      </w:ins>
      <w:r>
        <w:t>;</w:t>
      </w:r>
    </w:p>
    <w:p>
      <w:pPr>
        <w:pStyle w:val="Defstart"/>
      </w:pPr>
      <w:r>
        <w:tab/>
      </w:r>
      <w:r>
        <w:rPr>
          <w:rStyle w:val="CharDefText"/>
        </w:rPr>
        <w:t>Rental Accommodation Account</w:t>
      </w:r>
      <w:r>
        <w:t xml:space="preserve"> means the Rental Accommodation Account established under Schedule 1 clause 3;</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or not in writing and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r>
      <w:r>
        <w:rPr>
          <w:rStyle w:val="CharDefText"/>
        </w:rPr>
        <w:t>security bond</w:t>
      </w:r>
      <w:r>
        <w:t xml:space="preserve"> means an amount payable by a tenant as security for the performance of the tenant’s obligations under a residential tenancy agreement, including an amount referred to in section 29(1)(b)(ii);</w:t>
      </w:r>
    </w:p>
    <w:p>
      <w:pPr>
        <w:pStyle w:val="Defstart"/>
      </w:pPr>
      <w:r>
        <w:tab/>
      </w:r>
      <w:r>
        <w:rPr>
          <w:rStyle w:val="CharDefText"/>
        </w:rPr>
        <w:t>social housing premises</w:t>
      </w:r>
      <w:r>
        <w:t xml:space="preserve"> has the meaning given in section 71A;</w:t>
      </w:r>
    </w:p>
    <w:p>
      <w:pPr>
        <w:pStyle w:val="Defstart"/>
      </w:pPr>
      <w:r>
        <w:tab/>
      </w:r>
      <w:r>
        <w:rPr>
          <w:rStyle w:val="CharDefText"/>
        </w:rPr>
        <w:t>social housing provider</w:t>
      </w:r>
      <w:r>
        <w:t xml:space="preserve"> has the meaning given in section 71A;</w:t>
      </w:r>
    </w:p>
    <w:p>
      <w:pPr>
        <w:pStyle w:val="Defstart"/>
      </w:pPr>
      <w:r>
        <w:tab/>
      </w:r>
      <w:r>
        <w:rPr>
          <w:rStyle w:val="CharDefText"/>
        </w:rPr>
        <w:t>social housing tenancy agreement</w:t>
      </w:r>
      <w:r>
        <w:t xml:space="preserve"> has the meaning given in section 71A;</w:t>
      </w:r>
    </w:p>
    <w:p>
      <w:pPr>
        <w:pStyle w:val="Defstart"/>
      </w:pPr>
      <w:r>
        <w:rPr>
          <w:b/>
        </w:rPr>
        <w:tab/>
      </w:r>
      <w:r>
        <w:rPr>
          <w:rStyle w:val="CharDefText"/>
        </w:rPr>
        <w:t>tenancy</w:t>
      </w:r>
      <w:r>
        <w:t xml:space="preserve"> means the right of occupancy under a residential tenancy agreement;</w:t>
      </w:r>
    </w:p>
    <w:p>
      <w:pPr>
        <w:pStyle w:val="Defstart"/>
        <w:rPr>
          <w:ins w:id="22" w:author="svcMRProcess" w:date="2019-04-15T16:46:00Z"/>
        </w:rPr>
      </w:pPr>
      <w:ins w:id="23" w:author="svcMRProcess" w:date="2019-04-15T16:46:00Z">
        <w:r>
          <w:tab/>
        </w:r>
        <w:r>
          <w:rPr>
            <w:rStyle w:val="CharDefText"/>
          </w:rPr>
          <w:t>tenancy period</w:t>
        </w:r>
        <w:r>
          <w:t>, in relation to a residential tenancy agreement, means the whole period during which the agreement is in force, whether the agreement is for a fixed term or creates a periodic tenancy;</w:t>
        </w:r>
      </w:ins>
    </w:p>
    <w:p>
      <w:pPr>
        <w:pStyle w:val="Defstart"/>
      </w:pPr>
      <w:r>
        <w:tab/>
      </w:r>
      <w:r>
        <w:rPr>
          <w:rStyle w:val="CharDefText"/>
        </w:rPr>
        <w:t>tenant</w:t>
      </w:r>
      <w:r>
        <w:t xml:space="preserve"> — </w:t>
      </w:r>
    </w:p>
    <w:p>
      <w:pPr>
        <w:pStyle w:val="Defpara"/>
      </w:pPr>
      <w:r>
        <w:tab/>
        <w:t>(a)</w:t>
      </w:r>
      <w:r>
        <w:tab/>
        <w:t>means a person who is granted a right of occupancy of residential premises under a residential tenancy agreement; and</w:t>
      </w:r>
    </w:p>
    <w:p>
      <w:pPr>
        <w:pStyle w:val="Defpara"/>
      </w:pPr>
      <w:r>
        <w:tab/>
        <w:t>(b)</w:t>
      </w:r>
      <w:r>
        <w:tab/>
        <w:t>includes, where the context requires, a prospective, or former, tenant;</w:t>
      </w:r>
    </w:p>
    <w:p>
      <w:pPr>
        <w:pStyle w:val="Defstart"/>
      </w:pPr>
      <w:r>
        <w:tab/>
      </w:r>
      <w:r>
        <w:rPr>
          <w:rStyle w:val="CharDefText"/>
        </w:rPr>
        <w:t>tenant compensation bond</w:t>
      </w:r>
      <w:r>
        <w:t xml:space="preserve"> means a bond referred to in section 59D(2).</w:t>
      </w:r>
    </w:p>
    <w:p>
      <w:pPr>
        <w:pStyle w:val="Footnotesection"/>
      </w:pPr>
      <w:r>
        <w:tab/>
        <w:t>[Section 3 amended: No. 50 of 1988 s. 4; No. 57 of 1997 s. 39(10); No. 59 of 2004 s. 118; No. 28 of 2006 s. 133; No.</w:t>
      </w:r>
      <w:del w:id="24" w:author="svcMRProcess" w:date="2019-04-15T16:46:00Z">
        <w:r>
          <w:delText xml:space="preserve"> </w:delText>
        </w:r>
      </w:del>
      <w:ins w:id="25" w:author="svcMRProcess" w:date="2019-04-15T16:46:00Z">
        <w:r>
          <w:t> </w:t>
        </w:r>
      </w:ins>
      <w:r>
        <w:t>60 of 2011 s. 5 and 90; No. 23 of 2014 s. </w:t>
      </w:r>
      <w:del w:id="26" w:author="svcMRProcess" w:date="2019-04-15T16:46:00Z">
        <w:r>
          <w:delText>87</w:delText>
        </w:r>
      </w:del>
      <w:ins w:id="27" w:author="svcMRProcess" w:date="2019-04-15T16:46:00Z">
        <w:r>
          <w:t>87; No. 3 of 2019 s. 4</w:t>
        </w:r>
      </w:ins>
      <w:r>
        <w:t xml:space="preserve">.] </w:t>
      </w:r>
    </w:p>
    <w:p>
      <w:pPr>
        <w:pStyle w:val="Heading5"/>
        <w:rPr>
          <w:snapToGrid w:val="0"/>
        </w:rPr>
      </w:pPr>
      <w:bookmarkStart w:id="28" w:name="_Toc5719250"/>
      <w:bookmarkStart w:id="29" w:name="_Toc2160841"/>
      <w:r>
        <w:rPr>
          <w:rStyle w:val="CharSectno"/>
        </w:rPr>
        <w:t>4</w:t>
      </w:r>
      <w:r>
        <w:rPr>
          <w:snapToGrid w:val="0"/>
        </w:rPr>
        <w:t>.</w:t>
      </w:r>
      <w:r>
        <w:rPr>
          <w:snapToGrid w:val="0"/>
        </w:rPr>
        <w:tab/>
        <w:t>Position of Crown</w:t>
      </w:r>
      <w:bookmarkEnd w:id="28"/>
      <w:bookmarkEnd w:id="29"/>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30" w:name="_Toc5719251"/>
      <w:bookmarkStart w:id="31" w:name="_Toc2160842"/>
      <w:r>
        <w:rPr>
          <w:rStyle w:val="CharSectno"/>
        </w:rPr>
        <w:t>5</w:t>
      </w:r>
      <w:r>
        <w:rPr>
          <w:snapToGrid w:val="0"/>
        </w:rPr>
        <w:t>.</w:t>
      </w:r>
      <w:r>
        <w:rPr>
          <w:snapToGrid w:val="0"/>
        </w:rPr>
        <w:tab/>
        <w:t>Application of Act</w:t>
      </w:r>
      <w:bookmarkEnd w:id="30"/>
      <w:bookmarkEnd w:id="31"/>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 xml:space="preserve">This Act does not apply to any residential tenancy </w:t>
      </w:r>
      <w:r>
        <w:t>agreement in any of the following circumstances —</w:t>
      </w:r>
    </w:p>
    <w:p>
      <w:pPr>
        <w:pStyle w:val="Indenta"/>
        <w:spacing w:before="60"/>
        <w:rPr>
          <w:snapToGrid w:val="0"/>
        </w:rPr>
      </w:pPr>
      <w:r>
        <w:rPr>
          <w:snapToGrid w:val="0"/>
        </w:rPr>
        <w:tab/>
        <w:t>(a)</w:t>
      </w:r>
      <w:r>
        <w:rPr>
          <w:snapToGrid w:val="0"/>
        </w:rPr>
        <w:tab/>
        <w:t xml:space="preserve">where the tenant is a party to an agreement for the sale and purchase of the </w:t>
      </w:r>
      <w:r>
        <w:t>premises, unless the period of the tenancy is one month or longer;</w:t>
      </w:r>
    </w:p>
    <w:p>
      <w:pPr>
        <w:pStyle w:val="Indenta"/>
        <w:spacing w:before="60"/>
        <w:rPr>
          <w:snapToGrid w:val="0"/>
        </w:rPr>
      </w:pPr>
      <w:r>
        <w:rPr>
          <w:snapToGrid w:val="0"/>
        </w:rPr>
        <w:tab/>
        <w:t>(b)</w:t>
      </w:r>
      <w:r>
        <w:rPr>
          <w:snapToGrid w:val="0"/>
        </w:rPr>
        <w:tab/>
        <w:t>where the agreement arises under a mortgage in respect of the premises;</w:t>
      </w:r>
    </w:p>
    <w:p>
      <w:pPr>
        <w:pStyle w:val="Indenta"/>
        <w:spacing w:before="60"/>
        <w:rPr>
          <w:snapToGrid w:val="0"/>
        </w:rPr>
      </w:pPr>
      <w:r>
        <w:rPr>
          <w:snapToGrid w:val="0"/>
        </w:rPr>
        <w:tab/>
        <w:t>(c)</w:t>
      </w:r>
      <w:r>
        <w:rPr>
          <w:snapToGrid w:val="0"/>
        </w:rPr>
        <w:tab/>
        <w:t>where the agreement arises under a scheme under which — </w:t>
      </w:r>
    </w:p>
    <w:p>
      <w:pPr>
        <w:pStyle w:val="Indenti"/>
        <w:spacing w:before="60"/>
        <w:rPr>
          <w:snapToGrid w:val="0"/>
        </w:rPr>
      </w:pPr>
      <w:r>
        <w:rPr>
          <w:snapToGrid w:val="0"/>
        </w:rPr>
        <w:tab/>
        <w:t>(i)</w:t>
      </w:r>
      <w:r>
        <w:rPr>
          <w:snapToGrid w:val="0"/>
        </w:rPr>
        <w:tab/>
        <w:t>a group of adjacent premises is owned by a company; and</w:t>
      </w:r>
    </w:p>
    <w:p>
      <w:pPr>
        <w:pStyle w:val="Indenti"/>
        <w:spacing w:before="60"/>
        <w:rPr>
          <w:snapToGrid w:val="0"/>
        </w:rPr>
      </w:pPr>
      <w:r>
        <w:rPr>
          <w:snapToGrid w:val="0"/>
        </w:rPr>
        <w:tab/>
        <w:t>(ii)</w:t>
      </w:r>
      <w:r>
        <w:rPr>
          <w:snapToGrid w:val="0"/>
        </w:rPr>
        <w:tab/>
        <w:t>the premises comprising the group are let by the company to persons who jointly have a controlling interest in the company;</w:t>
      </w:r>
    </w:p>
    <w:p>
      <w:pPr>
        <w:pStyle w:val="Indenta"/>
        <w:spacing w:before="60"/>
        <w:rPr>
          <w:snapToGrid w:val="0"/>
        </w:rPr>
      </w:pPr>
      <w:r>
        <w:rPr>
          <w:snapToGrid w:val="0"/>
        </w:rPr>
        <w:tab/>
        <w:t>(d)</w:t>
      </w:r>
      <w:r>
        <w:rPr>
          <w:snapToGrid w:val="0"/>
        </w:rPr>
        <w:tab/>
        <w:t>where the tenant is a boarder or lodger;</w:t>
      </w:r>
    </w:p>
    <w:p>
      <w:pPr>
        <w:pStyle w:val="Indenta"/>
        <w:spacing w:before="60"/>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spacing w:before="60"/>
        <w:rPr>
          <w:snapToGrid w:val="0"/>
        </w:rPr>
      </w:pPr>
      <w:r>
        <w:rPr>
          <w:snapToGrid w:val="0"/>
        </w:rPr>
        <w:tab/>
        <w:t>(f)</w:t>
      </w:r>
      <w:r>
        <w:rPr>
          <w:snapToGrid w:val="0"/>
        </w:rPr>
        <w:tab/>
        <w:t xml:space="preserve">where the agreement is entered into </w:t>
      </w:r>
      <w:r>
        <w:t xml:space="preserve">as lessor, </w:t>
      </w:r>
      <w:r>
        <w:rPr>
          <w:snapToGrid w:val="0"/>
        </w:rPr>
        <w:t xml:space="preserve">whether generally or in prescribed circumstances, by any prescribed person or agency being a person or agency that is acting on behalf of the </w:t>
      </w:r>
      <w:r>
        <w:t>Crown;</w:t>
      </w:r>
    </w:p>
    <w:p>
      <w:pPr>
        <w:pStyle w:val="Indenta"/>
        <w:spacing w:before="60"/>
        <w:rPr>
          <w:snapToGrid w:val="0"/>
        </w:rPr>
      </w:pPr>
      <w:r>
        <w:rPr>
          <w:snapToGrid w:val="0"/>
        </w:rPr>
        <w:tab/>
        <w:t>(g)</w:t>
      </w:r>
      <w:r>
        <w:rPr>
          <w:snapToGrid w:val="0"/>
        </w:rPr>
        <w:tab/>
        <w:t>where the agreement is a prescribed agreement, or is an agreement of a prescribed class.</w:t>
      </w:r>
    </w:p>
    <w:p>
      <w:pPr>
        <w:pStyle w:val="Subsection"/>
        <w:keepNext/>
        <w:spacing w:before="120"/>
        <w:rPr>
          <w:snapToGrid w:val="0"/>
        </w:rPr>
      </w:pPr>
      <w:r>
        <w:rPr>
          <w:snapToGrid w:val="0"/>
        </w:rPr>
        <w:tab/>
        <w:t>(3)</w:t>
      </w:r>
      <w:r>
        <w:rPr>
          <w:snapToGrid w:val="0"/>
        </w:rPr>
        <w:tab/>
        <w:t xml:space="preserve">This Act does not apply to or in relation </w:t>
      </w:r>
      <w:r>
        <w:t>to any of the following —</w:t>
      </w:r>
    </w:p>
    <w:p>
      <w:pPr>
        <w:pStyle w:val="Indenta"/>
        <w:spacing w:before="60"/>
        <w:rPr>
          <w:snapToGrid w:val="0"/>
        </w:rPr>
      </w:pPr>
      <w:r>
        <w:rPr>
          <w:snapToGrid w:val="0"/>
        </w:rPr>
        <w:tab/>
        <w:t>(a)</w:t>
      </w:r>
      <w:r>
        <w:rPr>
          <w:snapToGrid w:val="0"/>
        </w:rPr>
        <w:tab/>
        <w:t>any part of a hotel or motel;</w:t>
      </w:r>
    </w:p>
    <w:p>
      <w:pPr>
        <w:pStyle w:val="Indenta"/>
        <w:spacing w:before="60"/>
      </w:pPr>
      <w:r>
        <w:tab/>
        <w:t>(b)</w:t>
      </w:r>
      <w:r>
        <w:tab/>
        <w:t xml:space="preserve">accommodation for students provided — </w:t>
      </w:r>
    </w:p>
    <w:p>
      <w:pPr>
        <w:pStyle w:val="Indenti"/>
        <w:spacing w:before="60"/>
      </w:pPr>
      <w:r>
        <w:tab/>
        <w:t>(i)</w:t>
      </w:r>
      <w:r>
        <w:tab/>
        <w:t>by an educational institution; or</w:t>
      </w:r>
    </w:p>
    <w:p>
      <w:pPr>
        <w:pStyle w:val="Indenti"/>
        <w:spacing w:before="60"/>
      </w:pPr>
      <w:r>
        <w:tab/>
        <w:t>(ii)</w:t>
      </w:r>
      <w:r>
        <w:tab/>
        <w:t>by an entity, other than the educational institution, if the accommodation is provided other than for the purpose of making a profit,</w:t>
      </w:r>
    </w:p>
    <w:p>
      <w:pPr>
        <w:pStyle w:val="Indenta"/>
        <w:spacing w:before="60"/>
      </w:pPr>
      <w:r>
        <w:tab/>
      </w:r>
      <w:r>
        <w:tab/>
        <w:t>unless the accommodation is prescribed, or is of a class prescribed, for the purposes of this paragraph;</w:t>
      </w:r>
    </w:p>
    <w:p>
      <w:pPr>
        <w:pStyle w:val="Indenta"/>
      </w:pPr>
      <w:r>
        <w:tab/>
        <w:t>(ca)</w:t>
      </w:r>
      <w:r>
        <w:tab/>
        <w:t>any part of a hospital or nursing home;</w:t>
      </w:r>
    </w:p>
    <w:p>
      <w:pPr>
        <w:pStyle w:val="Indenta"/>
        <w:rPr>
          <w:snapToGrid w:val="0"/>
        </w:rPr>
      </w:pPr>
      <w:r>
        <w:rPr>
          <w:snapToGrid w:val="0"/>
        </w:rPr>
        <w:tab/>
        <w:t>(c)</w:t>
      </w:r>
      <w:r>
        <w:rPr>
          <w:snapToGrid w:val="0"/>
        </w:rPr>
        <w:tab/>
        <w:t>any premises used for the purposes of a club;</w:t>
      </w:r>
    </w:p>
    <w:p>
      <w:pPr>
        <w:pStyle w:val="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rPr>
          <w:snapToGrid w:val="0"/>
        </w:rPr>
      </w:pPr>
      <w:r>
        <w:rPr>
          <w:snapToGrid w:val="0"/>
        </w:rPr>
        <w:tab/>
        <w:t>(5)</w:t>
      </w:r>
      <w:r>
        <w:rPr>
          <w:snapToGrid w:val="0"/>
        </w:rPr>
        <w:tab/>
        <w:t xml:space="preserve">Subject to subsection (6), this Act applies to a site at a caravan park, within the meaning of the </w:t>
      </w:r>
      <w:smartTag w:uri="urn:schemas-microsoft-com:office:smarttags" w:element="place">
        <w:smartTag w:uri="urn:schemas-microsoft-com:office:smarttags" w:element="PlaceName">
          <w:r>
            <w:rPr>
              <w:i/>
              <w:snapToGrid w:val="0"/>
            </w:rPr>
            <w:t>Caravan</w:t>
          </w:r>
        </w:smartTag>
        <w:r>
          <w:rPr>
            <w:i/>
            <w:snapToGrid w:val="0"/>
          </w:rPr>
          <w:t xml:space="preserve"> </w:t>
        </w:r>
        <w:smartTag w:uri="urn:schemas-microsoft-com:office:smarttags" w:element="PlaceType">
          <w:r>
            <w:rPr>
              <w:i/>
              <w:snapToGrid w:val="0"/>
            </w:rPr>
            <w:t>Parks</w:t>
          </w:r>
        </w:smartTag>
      </w:smartTag>
      <w:r>
        <w:rPr>
          <w:i/>
          <w:snapToGrid w:val="0"/>
        </w:rPr>
        <w:t xml:space="preserve"> and Camping Grounds Act 1995</w:t>
      </w:r>
      <w:r>
        <w:rPr>
          <w:snapToGrid w:val="0"/>
        </w:rPr>
        <w:t xml:space="preserve"> (whether or not a caravan, within the meaning of that Act, is situated on that site) as if the site was residential premises for the purposes of this Act.</w:t>
      </w:r>
    </w:p>
    <w:p>
      <w:pPr>
        <w:pStyle w:val="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Indenta"/>
      </w:pPr>
      <w:r>
        <w:tab/>
        <w:t>(a)</w:t>
      </w:r>
      <w:r>
        <w:tab/>
        <w:t>under which a person has a right to occupy such a site; and</w:t>
      </w:r>
    </w:p>
    <w:p>
      <w:pPr>
        <w:pStyle w:val="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Subsection"/>
      </w:pPr>
      <w:r>
        <w:tab/>
        <w:t>(7)</w:t>
      </w:r>
      <w:r>
        <w:tab/>
        <w:t xml:space="preserve">Subsection (6) has effect despite section 8(1) of the </w:t>
      </w:r>
      <w:r>
        <w:rPr>
          <w:i/>
          <w:iCs/>
        </w:rPr>
        <w:t>Residential Parks (Long-stay Tenants) Act 2006</w:t>
      </w:r>
      <w:r>
        <w:t>.</w:t>
      </w:r>
    </w:p>
    <w:p>
      <w:pPr>
        <w:pStyle w:val="Footnotesection"/>
      </w:pPr>
      <w:r>
        <w:tab/>
        <w:t>[Section 5 amended: No. 34 of 1995 s. 33; No. 32 of 2006 s. 98; No. 60 of 2011 s. 6.]</w:t>
      </w:r>
    </w:p>
    <w:p>
      <w:pPr>
        <w:pStyle w:val="Heading5"/>
        <w:rPr>
          <w:snapToGrid w:val="0"/>
        </w:rPr>
      </w:pPr>
      <w:bookmarkStart w:id="32" w:name="_Toc5719252"/>
      <w:bookmarkStart w:id="33" w:name="_Toc2160843"/>
      <w:r>
        <w:rPr>
          <w:rStyle w:val="CharSectno"/>
        </w:rPr>
        <w:t>6</w:t>
      </w:r>
      <w:r>
        <w:rPr>
          <w:snapToGrid w:val="0"/>
        </w:rPr>
        <w:t>.</w:t>
      </w:r>
      <w:r>
        <w:rPr>
          <w:snapToGrid w:val="0"/>
        </w:rPr>
        <w:tab/>
        <w:t>Modification of application of Act by regulation</w:t>
      </w:r>
      <w:bookmarkEnd w:id="32"/>
      <w:bookmarkEnd w:id="33"/>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 or</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34" w:name="_Toc5719253"/>
      <w:bookmarkStart w:id="35" w:name="_Toc2160844"/>
      <w:r>
        <w:rPr>
          <w:rStyle w:val="CharSectno"/>
        </w:rPr>
        <w:t>7</w:t>
      </w:r>
      <w:r>
        <w:rPr>
          <w:snapToGrid w:val="0"/>
        </w:rPr>
        <w:t>.</w:t>
      </w:r>
      <w:r>
        <w:rPr>
          <w:snapToGrid w:val="0"/>
        </w:rPr>
        <w:tab/>
      </w:r>
      <w:r>
        <w:rPr>
          <w:bCs/>
        </w:rPr>
        <w:t>Transitional provisions relating to commencement of this Act</w:t>
      </w:r>
      <w:bookmarkEnd w:id="34"/>
      <w:bookmarkEnd w:id="3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rPr>
          <w:snapToGrid w:val="0"/>
        </w:rPr>
      </w:pPr>
      <w:r>
        <w:rPr>
          <w:snapToGrid w:val="0"/>
        </w:rPr>
        <w:tab/>
      </w:r>
      <w:r>
        <w:rPr>
          <w:snapToGrid w:val="0"/>
        </w:rPr>
        <w:tab/>
        <w:t xml:space="preserve">this Act shall, subject to any other provision of this Act, apply to the </w:t>
      </w:r>
      <w:r>
        <w:t>agreement</w:t>
      </w:r>
      <w:r>
        <w:rPr>
          <w:snapToGrid w:val="0"/>
        </w:rPr>
        <w:t xml:space="preserve"> on and from the first day after such commencement on which rent is payable under the agreement.</w:t>
      </w:r>
    </w:p>
    <w:p>
      <w:pPr>
        <w:pStyle w:val="Subsection"/>
        <w:rPr>
          <w:snapToGrid w:val="0"/>
        </w:rPr>
      </w:pPr>
      <w:r>
        <w:rPr>
          <w:snapToGrid w:val="0"/>
        </w:rPr>
        <w:tab/>
        <w:t>(2)</w:t>
      </w:r>
      <w:r>
        <w:rPr>
          <w:snapToGrid w:val="0"/>
        </w:rPr>
        <w:tab/>
        <w:t xml:space="preserve">Where this Act </w:t>
      </w:r>
      <w:r>
        <w:t>applies</w:t>
      </w:r>
      <w:r>
        <w:rPr>
          <w:snapToGrid w:val="0"/>
        </w:rPr>
        <w:t xml:space="preserve">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 and</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 and</w:t>
      </w:r>
    </w:p>
    <w:p>
      <w:pPr>
        <w:pStyle w:val="Indenta"/>
        <w:rPr>
          <w:snapToGrid w:val="0"/>
        </w:rPr>
      </w:pPr>
      <w:r>
        <w:rPr>
          <w:snapToGrid w:val="0"/>
        </w:rPr>
        <w:tab/>
        <w:t>(c)</w:t>
      </w:r>
      <w:r>
        <w:rPr>
          <w:snapToGrid w:val="0"/>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 and</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 xml:space="preserve">at the time of such application a security bond in respect of the agreement has been paid to </w:t>
      </w:r>
      <w:r>
        <w:t>the lessor</w:t>
      </w:r>
      <w:r>
        <w:rPr>
          <w:snapToGrid w:val="0"/>
        </w:rPr>
        <w:t xml:space="preserve"> or a person acting on </w:t>
      </w:r>
      <w:r>
        <w:t>the lessor’s</w:t>
      </w:r>
      <w:r>
        <w:rPr>
          <w:snapToGrid w:val="0"/>
        </w:rPr>
        <w:t xml:space="preserve"> behalf,</w:t>
      </w:r>
    </w:p>
    <w:p>
      <w:pPr>
        <w:pStyle w:val="Subsection"/>
        <w:keepNext/>
        <w:rPr>
          <w:snapToGrid w:val="0"/>
        </w:rPr>
      </w:pPr>
      <w:r>
        <w:rPr>
          <w:snapToGrid w:val="0"/>
        </w:rPr>
        <w:tab/>
      </w:r>
      <w:r>
        <w:rPr>
          <w:snapToGrid w:val="0"/>
        </w:rPr>
        <w:tab/>
        <w:t xml:space="preserve">the following provisions apply — </w:t>
      </w:r>
    </w:p>
    <w:p>
      <w:pPr>
        <w:pStyle w:val="Indenta"/>
        <w:rPr>
          <w:snapToGrid w:val="0"/>
        </w:rPr>
      </w:pPr>
      <w:r>
        <w:rPr>
          <w:snapToGrid w:val="0"/>
        </w:rPr>
        <w:tab/>
        <w:t>(c)</w:t>
      </w:r>
      <w:r>
        <w:rPr>
          <w:snapToGrid w:val="0"/>
        </w:rPr>
        <w:tab/>
      </w:r>
      <w:r>
        <w:t>the lessor</w:t>
      </w:r>
      <w:r>
        <w:rPr>
          <w:snapToGrid w:val="0"/>
        </w:rPr>
        <w:t xml:space="preserve"> shall cause the person who is holding the security bond to pay the amount of the security bond allowed by section 29(1), or such lesser amount as is held, </w:t>
      </w:r>
      <w:r>
        <w:t>to the bond administrator;</w:t>
      </w:r>
    </w:p>
    <w:p>
      <w:pPr>
        <w:pStyle w:val="Indenta"/>
        <w:rPr>
          <w:snapToGrid w:val="0"/>
        </w:rPr>
      </w:pPr>
      <w:r>
        <w:rPr>
          <w:snapToGrid w:val="0"/>
        </w:rPr>
        <w:tab/>
        <w:t>(d)</w:t>
      </w:r>
      <w:r>
        <w:rPr>
          <w:snapToGrid w:val="0"/>
        </w:rPr>
        <w:tab/>
        <w:t xml:space="preserve">each payment referred to in paragraph (c) shall be made not later than 21 days after this Act becomes applicable to the residential tenancy </w:t>
      </w:r>
      <w:r>
        <w:t>agreement;</w:t>
      </w:r>
    </w:p>
    <w:p>
      <w:pPr>
        <w:pStyle w:val="Indenta"/>
      </w:pPr>
      <w:r>
        <w:tab/>
        <w:t>(e)</w:t>
      </w:r>
      <w:r>
        <w:tab/>
        <w:t>any amount paid to the bond administrator must be credited to the Rental Accommodation Account and is to be taken, for the purposes of this Act, to have been paid under section 29(4)(b).</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No. 59 of 1995 s. 56; No. 77 of 2006 Sch. 1 cl. 149(5); No. 60 of 2011 s. 7 and 89.] </w:t>
      </w:r>
    </w:p>
    <w:p>
      <w:pPr>
        <w:pStyle w:val="Heading2"/>
      </w:pPr>
      <w:bookmarkStart w:id="36" w:name="_Toc2153287"/>
      <w:bookmarkStart w:id="37" w:name="_Toc2160121"/>
      <w:bookmarkStart w:id="38" w:name="_Toc2160845"/>
      <w:bookmarkStart w:id="39" w:name="_Toc5621468"/>
      <w:bookmarkStart w:id="40" w:name="_Toc5632875"/>
      <w:bookmarkStart w:id="41" w:name="_Toc5719254"/>
      <w:r>
        <w:rPr>
          <w:rStyle w:val="CharPartNo"/>
        </w:rPr>
        <w:t>Part II</w:t>
      </w:r>
      <w:r>
        <w:rPr>
          <w:rStyle w:val="CharDivNo"/>
        </w:rPr>
        <w:t> </w:t>
      </w:r>
      <w:r>
        <w:t>—</w:t>
      </w:r>
      <w:r>
        <w:rPr>
          <w:rStyle w:val="CharDivText"/>
        </w:rPr>
        <w:t> </w:t>
      </w:r>
      <w:r>
        <w:rPr>
          <w:rStyle w:val="CharPartText"/>
        </w:rPr>
        <w:t>Administration</w:t>
      </w:r>
      <w:bookmarkEnd w:id="36"/>
      <w:bookmarkEnd w:id="37"/>
      <w:bookmarkEnd w:id="38"/>
      <w:bookmarkEnd w:id="39"/>
      <w:bookmarkEnd w:id="40"/>
      <w:bookmarkEnd w:id="41"/>
    </w:p>
    <w:p>
      <w:pPr>
        <w:pStyle w:val="Heading5"/>
      </w:pPr>
      <w:bookmarkStart w:id="42" w:name="_Toc5719255"/>
      <w:bookmarkStart w:id="43" w:name="_Toc2160846"/>
      <w:r>
        <w:rPr>
          <w:rStyle w:val="CharSectno"/>
        </w:rPr>
        <w:t>7A</w:t>
      </w:r>
      <w:r>
        <w:t>.</w:t>
      </w:r>
      <w:r>
        <w:tab/>
        <w:t>Commissioner</w:t>
      </w:r>
      <w:bookmarkEnd w:id="42"/>
      <w:bookmarkEnd w:id="43"/>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No. 28 of 2006 s. 134.]</w:t>
      </w:r>
    </w:p>
    <w:p>
      <w:pPr>
        <w:pStyle w:val="Heading5"/>
        <w:rPr>
          <w:snapToGrid w:val="0"/>
        </w:rPr>
      </w:pPr>
      <w:bookmarkStart w:id="44" w:name="_Toc5719256"/>
      <w:bookmarkStart w:id="45" w:name="_Toc2160847"/>
      <w:r>
        <w:rPr>
          <w:rStyle w:val="CharSectno"/>
        </w:rPr>
        <w:t>8</w:t>
      </w:r>
      <w:r>
        <w:rPr>
          <w:snapToGrid w:val="0"/>
        </w:rPr>
        <w:t>.</w:t>
      </w:r>
      <w:r>
        <w:rPr>
          <w:snapToGrid w:val="0"/>
        </w:rPr>
        <w:tab/>
        <w:t>Functions of Commissioner</w:t>
      </w:r>
      <w:bookmarkEnd w:id="44"/>
      <w:bookmarkEnd w:id="45"/>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No. 28 of 2006 s. 135.]</w:t>
      </w:r>
    </w:p>
    <w:p>
      <w:pPr>
        <w:pStyle w:val="Heading5"/>
        <w:rPr>
          <w:snapToGrid w:val="0"/>
        </w:rPr>
      </w:pPr>
      <w:bookmarkStart w:id="46" w:name="_Toc5719257"/>
      <w:bookmarkStart w:id="47" w:name="_Toc2160848"/>
      <w:r>
        <w:rPr>
          <w:rStyle w:val="CharSectno"/>
        </w:rPr>
        <w:t>9</w:t>
      </w:r>
      <w:r>
        <w:rPr>
          <w:snapToGrid w:val="0"/>
        </w:rPr>
        <w:t>.</w:t>
      </w:r>
      <w:r>
        <w:rPr>
          <w:snapToGrid w:val="0"/>
        </w:rPr>
        <w:tab/>
        <w:t>Commissioner may institute or defend proceedings for party</w:t>
      </w:r>
      <w:bookmarkEnd w:id="46"/>
      <w:bookmarkEnd w:id="47"/>
      <w:r>
        <w:rPr>
          <w:snapToGrid w:val="0"/>
        </w:rPr>
        <w:t xml:space="preserve"> </w:t>
      </w:r>
    </w:p>
    <w:p>
      <w:pPr>
        <w:pStyle w:val="Subsection"/>
      </w:pPr>
      <w:r>
        <w:tab/>
        <w:t>(1A)</w:t>
      </w:r>
      <w:r>
        <w:tab/>
        <w:t xml:space="preserve">In this section — </w:t>
      </w:r>
    </w:p>
    <w:p>
      <w:pPr>
        <w:pStyle w:val="Defstart"/>
      </w:pPr>
      <w:r>
        <w:tab/>
      </w:r>
      <w:r>
        <w:rPr>
          <w:rStyle w:val="CharDefText"/>
        </w:rPr>
        <w:t>party</w:t>
      </w:r>
      <w:r>
        <w:t>, in relation to a residential tenancy agreement, means a lessor or tenant under that agreement.</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 xml:space="preserve">The Commissioner may, if </w:t>
      </w:r>
      <w:r>
        <w:t>the Commissioner</w:t>
      </w:r>
      <w:r>
        <w:rPr>
          <w:snapToGrid w:val="0"/>
        </w:rPr>
        <w:t xml:space="preserv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relation to a residential tenancy agreement that has terminated unless a complaint is made to </w:t>
      </w:r>
      <w:r>
        <w:t>the Commissioner</w:t>
      </w:r>
      <w:r>
        <w:rPr>
          <w:snapToGrid w:val="0"/>
        </w:rPr>
        <w:t xml:space="preserve">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 and</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 and</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 and</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 xml:space="preserve">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w:t>
      </w:r>
      <w:r>
        <w:t>the party’s</w:t>
      </w:r>
      <w:r>
        <w:rPr>
          <w:snapToGrid w:val="0"/>
        </w:rPr>
        <w:t xml:space="preserve"> own right and may make such other orders or give such other directions in that behalf as the court thinks fit.</w:t>
      </w:r>
    </w:p>
    <w:p>
      <w:pPr>
        <w:pStyle w:val="Subsection"/>
        <w:rPr>
          <w:snapToGrid w:val="0"/>
        </w:rPr>
      </w:pPr>
      <w:r>
        <w:rPr>
          <w:snapToGrid w:val="0"/>
        </w:rPr>
        <w:tab/>
        <w:t>(5)</w:t>
      </w:r>
      <w:r>
        <w:rPr>
          <w:snapToGrid w:val="0"/>
        </w:rPr>
        <w:tab/>
        <w:t xml:space="preserve">In any proceedings referred to in subsection (1), a document purporting to be signed by the Commissioner stating in respect of the proceedings that </w:t>
      </w:r>
      <w:r>
        <w:t>the Commissioner</w:t>
      </w:r>
      <w:r>
        <w:rPr>
          <w:snapToGrid w:val="0"/>
        </w:rPr>
        <w:t xml:space="preserv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 xml:space="preserve">In any proceedings referred to in subsection (2), a document purporting to be signed by the Commissioner stating in respect of the proceedings that </w:t>
      </w:r>
      <w:r>
        <w:t>the Commissioner</w:t>
      </w:r>
      <w:r>
        <w:rPr>
          <w:snapToGrid w:val="0"/>
        </w:rPr>
        <w:t xml:space="preserv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Footnotesection"/>
      </w:pPr>
      <w:r>
        <w:tab/>
        <w:t xml:space="preserve">[Section 9 amended: No. 50 of 1988 s. 18; No. 6 of 1993 s. 11; No. 59 of 1995 s. 56; No. 59 of 2004 s. 121; No. 77 of 2006 s. 4; No. 60 of 2011 s. 8.] </w:t>
      </w:r>
    </w:p>
    <w:p>
      <w:pPr>
        <w:pStyle w:val="Heading5"/>
        <w:rPr>
          <w:snapToGrid w:val="0"/>
        </w:rPr>
      </w:pPr>
      <w:bookmarkStart w:id="48" w:name="_Toc5719258"/>
      <w:bookmarkStart w:id="49" w:name="_Toc2160849"/>
      <w:r>
        <w:rPr>
          <w:rStyle w:val="CharSectno"/>
        </w:rPr>
        <w:t>10</w:t>
      </w:r>
      <w:r>
        <w:rPr>
          <w:snapToGrid w:val="0"/>
        </w:rPr>
        <w:t>.</w:t>
      </w:r>
      <w:r>
        <w:rPr>
          <w:snapToGrid w:val="0"/>
        </w:rPr>
        <w:tab/>
        <w:t>Delegation by Commissioner</w:t>
      </w:r>
      <w:bookmarkEnd w:id="48"/>
      <w:bookmarkEnd w:id="49"/>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w:t>
      </w:r>
      <w:r>
        <w:t>the Commissioner’s</w:t>
      </w:r>
      <w:r>
        <w:rPr>
          <w:snapToGrid w:val="0"/>
        </w:rPr>
        <w:t xml:space="preserve"> functions under this Act (other than this power of delegation) to the holder of any specified office in the public service of the State or to any specified officer of an agency or instrumentality of the Crown.</w:t>
      </w:r>
    </w:p>
    <w:p>
      <w:pPr>
        <w:pStyle w:val="Footnotesection"/>
      </w:pPr>
      <w:r>
        <w:tab/>
        <w:t xml:space="preserve">[Section 10 amended: No. 60 of 2011 s. 9.] </w:t>
      </w:r>
    </w:p>
    <w:p>
      <w:pPr>
        <w:pStyle w:val="Heading5"/>
        <w:rPr>
          <w:snapToGrid w:val="0"/>
        </w:rPr>
      </w:pPr>
      <w:bookmarkStart w:id="50" w:name="_Toc5719259"/>
      <w:bookmarkStart w:id="51" w:name="_Toc2160850"/>
      <w:r>
        <w:rPr>
          <w:rStyle w:val="CharSectno"/>
        </w:rPr>
        <w:t>11</w:t>
      </w:r>
      <w:r>
        <w:rPr>
          <w:snapToGrid w:val="0"/>
        </w:rPr>
        <w:t>.</w:t>
      </w:r>
      <w:r>
        <w:rPr>
          <w:snapToGrid w:val="0"/>
        </w:rPr>
        <w:tab/>
        <w:t>Protection of officers</w:t>
      </w:r>
      <w:bookmarkEnd w:id="50"/>
      <w:bookmarkEnd w:id="51"/>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52" w:name="_Toc5719260"/>
      <w:bookmarkStart w:id="53" w:name="_Toc2160851"/>
      <w:r>
        <w:rPr>
          <w:rStyle w:val="CharSectno"/>
        </w:rPr>
        <w:t>11A</w:t>
      </w:r>
      <w:r>
        <w:t>.</w:t>
      </w:r>
      <w:r>
        <w:tab/>
        <w:t>Information officially obtained to be confidential</w:t>
      </w:r>
      <w:bookmarkEnd w:id="52"/>
      <w:bookmarkEnd w:id="53"/>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w:t>
      </w:r>
      <w:ins w:id="54" w:author="svcMRProcess" w:date="2019-04-15T16:46:00Z">
        <w:r>
          <w:t xml:space="preserve"> for this subsection</w:t>
        </w:r>
      </w:ins>
      <w:r>
        <w:t>: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11A inserted: No. 28 of 2006 s. 136; amended: No. 60 of 2011 s. </w:t>
      </w:r>
      <w:del w:id="55" w:author="svcMRProcess" w:date="2019-04-15T16:46:00Z">
        <w:r>
          <w:delText>10</w:delText>
        </w:r>
      </w:del>
      <w:ins w:id="56" w:author="svcMRProcess" w:date="2019-04-15T16:46:00Z">
        <w:r>
          <w:t>10; No. 3 of 2019 s. 25</w:t>
        </w:r>
      </w:ins>
      <w:r>
        <w:t>.]</w:t>
      </w:r>
    </w:p>
    <w:p>
      <w:pPr>
        <w:pStyle w:val="Heading5"/>
      </w:pPr>
      <w:bookmarkStart w:id="57" w:name="_Toc5719261"/>
      <w:bookmarkStart w:id="58" w:name="_Toc2160852"/>
      <w:r>
        <w:rPr>
          <w:rStyle w:val="CharSectno"/>
        </w:rPr>
        <w:t>11B</w:t>
      </w:r>
      <w:r>
        <w:t>.</w:t>
      </w:r>
      <w:r>
        <w:tab/>
        <w:t>Powers of investigation</w:t>
      </w:r>
      <w:bookmarkEnd w:id="57"/>
      <w:bookmarkEnd w:id="58"/>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No. 58 of 2010 s. 189.]</w:t>
      </w:r>
    </w:p>
    <w:p>
      <w:pPr>
        <w:pStyle w:val="Heading2"/>
      </w:pPr>
      <w:bookmarkStart w:id="59" w:name="_Toc2153295"/>
      <w:bookmarkStart w:id="60" w:name="_Toc2160129"/>
      <w:bookmarkStart w:id="61" w:name="_Toc2160853"/>
      <w:bookmarkStart w:id="62" w:name="_Toc5621476"/>
      <w:bookmarkStart w:id="63" w:name="_Toc5632883"/>
      <w:bookmarkStart w:id="64" w:name="_Toc5719262"/>
      <w:r>
        <w:rPr>
          <w:rStyle w:val="CharPartNo"/>
        </w:rPr>
        <w:t>Part III</w:t>
      </w:r>
      <w:r>
        <w:rPr>
          <w:rStyle w:val="CharDivNo"/>
        </w:rPr>
        <w:t> </w:t>
      </w:r>
      <w:r>
        <w:t>—</w:t>
      </w:r>
      <w:r>
        <w:rPr>
          <w:rStyle w:val="CharDivText"/>
        </w:rPr>
        <w:t> </w:t>
      </w:r>
      <w:r>
        <w:rPr>
          <w:rStyle w:val="CharPartText"/>
        </w:rPr>
        <w:t>Determination of disputes</w:t>
      </w:r>
      <w:bookmarkEnd w:id="59"/>
      <w:bookmarkEnd w:id="60"/>
      <w:bookmarkEnd w:id="61"/>
      <w:bookmarkEnd w:id="62"/>
      <w:bookmarkEnd w:id="63"/>
      <w:bookmarkEnd w:id="64"/>
      <w:r>
        <w:rPr>
          <w:rStyle w:val="CharPartText"/>
        </w:rPr>
        <w:t xml:space="preserve"> </w:t>
      </w:r>
    </w:p>
    <w:p>
      <w:pPr>
        <w:pStyle w:val="Heading5"/>
      </w:pPr>
      <w:bookmarkStart w:id="65" w:name="_Toc5719263"/>
      <w:bookmarkStart w:id="66" w:name="_Toc2160854"/>
      <w:r>
        <w:rPr>
          <w:rStyle w:val="CharSectno"/>
        </w:rPr>
        <w:t>12</w:t>
      </w:r>
      <w:r>
        <w:t>.</w:t>
      </w:r>
      <w:r>
        <w:tab/>
        <w:t>Terms used</w:t>
      </w:r>
      <w:bookmarkEnd w:id="65"/>
      <w:bookmarkEnd w:id="66"/>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No. 59 of 2004 s. 119.] </w:t>
      </w:r>
    </w:p>
    <w:p>
      <w:pPr>
        <w:pStyle w:val="Heading5"/>
      </w:pPr>
      <w:bookmarkStart w:id="67" w:name="_Toc5719264"/>
      <w:bookmarkStart w:id="68" w:name="_Toc2160855"/>
      <w:r>
        <w:rPr>
          <w:rStyle w:val="CharSectno"/>
        </w:rPr>
        <w:t>12A</w:t>
      </w:r>
      <w:r>
        <w:t>.</w:t>
      </w:r>
      <w:r>
        <w:tab/>
      </w:r>
      <w:r>
        <w:rPr>
          <w:snapToGrid w:val="0"/>
        </w:rPr>
        <w:t>Jurisdiction</w:t>
      </w:r>
      <w:r>
        <w:t xml:space="preserve"> over </w:t>
      </w:r>
      <w:r>
        <w:rPr>
          <w:snapToGrid w:val="0"/>
        </w:rPr>
        <w:t>prescribed</w:t>
      </w:r>
      <w:r>
        <w:t xml:space="preserve"> disputes</w:t>
      </w:r>
      <w:bookmarkEnd w:id="67"/>
      <w:bookmarkEnd w:id="68"/>
      <w:r>
        <w:t xml:space="preserve"> </w:t>
      </w:r>
    </w:p>
    <w:p>
      <w:pPr>
        <w:pStyle w:val="Subsection"/>
        <w:spacing w:before="120"/>
      </w:pPr>
      <w:r>
        <w:tab/>
        <w:t>(1)</w:t>
      </w:r>
      <w:r>
        <w:tab/>
        <w:t xml:space="preserve">The </w:t>
      </w:r>
      <w:smartTag w:uri="urn:schemas-microsoft-com:office:smarttags" w:element="Street">
        <w:smartTag w:uri="urn:schemas-microsoft-com:office:smarttags" w:element="address">
          <w:r>
            <w:t>Magistrates Court</w:t>
          </w:r>
        </w:smartTag>
      </w:smartTag>
      <w:r>
        <w:t xml:space="preserve">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and the jurisdiction conferred by subsection (1) is to be exercised accordingly.</w:t>
      </w:r>
    </w:p>
    <w:p>
      <w:pPr>
        <w:pStyle w:val="Footnotesection"/>
      </w:pPr>
      <w:r>
        <w:tab/>
        <w:t xml:space="preserve">[Section 12A inserted: No. 59 of 2004 s. 119.] </w:t>
      </w:r>
    </w:p>
    <w:p>
      <w:pPr>
        <w:pStyle w:val="Heading5"/>
      </w:pPr>
      <w:bookmarkStart w:id="69" w:name="_Toc5719265"/>
      <w:bookmarkStart w:id="70" w:name="_Toc2160856"/>
      <w:r>
        <w:rPr>
          <w:rStyle w:val="CharSectno"/>
        </w:rPr>
        <w:t>13</w:t>
      </w:r>
      <w:r>
        <w:t>.</w:t>
      </w:r>
      <w:r>
        <w:tab/>
        <w:t>Jurisdiction over other disputes</w:t>
      </w:r>
      <w:bookmarkEnd w:id="69"/>
      <w:bookmarkEnd w:id="70"/>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w:t>
      </w:r>
      <w:smartTag w:uri="urn:schemas-microsoft-com:office:smarttags" w:element="Street">
        <w:smartTag w:uri="urn:schemas-microsoft-com:office:smarttags" w:element="address">
          <w:r>
            <w:t>Magistrates Court</w:t>
          </w:r>
        </w:smartTag>
      </w:smartTag>
      <w:r>
        <w:t xml:space="preserve">, that jurisdiction is not to be exercised in accordance with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the plaintiff had a claim for an amount over the prescribed amount.</w:t>
      </w:r>
    </w:p>
    <w:p>
      <w:pPr>
        <w:pStyle w:val="Footnotesection"/>
      </w:pPr>
      <w:r>
        <w:tab/>
        <w:t xml:space="preserve">[Section 13 inserted: No. 59 of 2004 s. 119; amended: No. 60 of 2011 s. 11.] </w:t>
      </w:r>
    </w:p>
    <w:p>
      <w:pPr>
        <w:pStyle w:val="Heading5"/>
      </w:pPr>
      <w:bookmarkStart w:id="71" w:name="_Toc5719266"/>
      <w:bookmarkStart w:id="72" w:name="_Toc2160857"/>
      <w:r>
        <w:rPr>
          <w:rStyle w:val="CharSectno"/>
        </w:rPr>
        <w:t>13A</w:t>
      </w:r>
      <w:r>
        <w:t>.</w:t>
      </w:r>
      <w:r>
        <w:tab/>
      </w:r>
      <w:smartTag w:uri="urn:schemas-microsoft-com:office:smarttags" w:element="Street">
        <w:smartTag w:uri="urn:schemas-microsoft-com:office:smarttags" w:element="address">
          <w:r>
            <w:rPr>
              <w:snapToGrid w:val="0"/>
            </w:rPr>
            <w:t>Magistrates</w:t>
          </w:r>
          <w:r>
            <w:t xml:space="preserve"> Court</w:t>
          </w:r>
        </w:smartTag>
      </w:smartTag>
      <w:r>
        <w:t>’s jurisdiction</w:t>
      </w:r>
      <w:bookmarkEnd w:id="71"/>
      <w:bookmarkEnd w:id="72"/>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 xml:space="preserve">An application made under this Act to the </w:t>
      </w:r>
      <w:smartTag w:uri="urn:schemas-microsoft-com:office:smarttags" w:element="Street">
        <w:smartTag w:uri="urn:schemas-microsoft-com:office:smarttags" w:element="address">
          <w:r>
            <w:t>Magistrates Court</w:t>
          </w:r>
        </w:smartTag>
      </w:smartTag>
      <w:r>
        <w:t xml:space="preserve"> shall be made to the court at the place nearest to the place where the premises the subject of the proceedings are situated.</w:t>
      </w:r>
    </w:p>
    <w:p>
      <w:pPr>
        <w:pStyle w:val="Subsection"/>
      </w:pPr>
      <w:r>
        <w:tab/>
        <w:t>(4)</w:t>
      </w:r>
      <w:r>
        <w:tab/>
        <w:t xml:space="preserve">Subsection (3) does not prevent the </w:t>
      </w:r>
      <w:smartTag w:uri="urn:schemas-microsoft-com:office:smarttags" w:element="Street">
        <w:smartTag w:uri="urn:schemas-microsoft-com:office:smarttags" w:element="address">
          <w:r>
            <w:t>Magistrates Court</w:t>
          </w:r>
        </w:smartTag>
      </w:smartTag>
      <w:r>
        <w:t xml:space="preserve"> from making an order under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section 22 that proceedings under this Act are to be conducted at another place in the State.</w:t>
      </w:r>
    </w:p>
    <w:p>
      <w:pPr>
        <w:pStyle w:val="Footnotesection"/>
      </w:pPr>
      <w:r>
        <w:tab/>
        <w:t xml:space="preserve">[Section 13A inserted: No. 59 of 2004 s. 119; amended: No. 60 of 2011 s. 12.] </w:t>
      </w:r>
    </w:p>
    <w:p>
      <w:pPr>
        <w:pStyle w:val="Heading5"/>
      </w:pPr>
      <w:bookmarkStart w:id="73" w:name="_Toc5719267"/>
      <w:bookmarkStart w:id="74" w:name="_Toc2160858"/>
      <w:r>
        <w:rPr>
          <w:rStyle w:val="CharSectno"/>
        </w:rPr>
        <w:t>13B</w:t>
      </w:r>
      <w:r>
        <w:t>.</w:t>
      </w:r>
      <w:r>
        <w:tab/>
        <w:t>Appeals from decisions of registrar</w:t>
      </w:r>
      <w:bookmarkEnd w:id="73"/>
      <w:bookmarkEnd w:id="74"/>
    </w:p>
    <w:p>
      <w:pPr>
        <w:pStyle w:val="Subsection"/>
      </w:pPr>
      <w:r>
        <w:tab/>
      </w:r>
      <w:r>
        <w:tab/>
        <w:t xml:space="preserve">A person dissatisfied with a decision of a registrar in respect of a matter on which a registrar has exercised jurisdiction under section 13A(2) may appeal to a magistrate under section 29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Footnotesection"/>
      </w:pPr>
      <w:r>
        <w:tab/>
        <w:t>[Section 13B inserted: No. 69 of 2006 s. 29.]</w:t>
      </w:r>
    </w:p>
    <w:p>
      <w:pPr>
        <w:pStyle w:val="Heading5"/>
        <w:rPr>
          <w:snapToGrid w:val="0"/>
        </w:rPr>
      </w:pPr>
      <w:bookmarkStart w:id="75" w:name="_Toc5719268"/>
      <w:bookmarkStart w:id="76" w:name="_Toc2160859"/>
      <w:r>
        <w:rPr>
          <w:rStyle w:val="CharSectno"/>
        </w:rPr>
        <w:t>14</w:t>
      </w:r>
      <w:r>
        <w:rPr>
          <w:snapToGrid w:val="0"/>
        </w:rPr>
        <w:t>.</w:t>
      </w:r>
      <w:r>
        <w:rPr>
          <w:snapToGrid w:val="0"/>
        </w:rPr>
        <w:tab/>
        <w:t>Time for determination of proceedings</w:t>
      </w:r>
      <w:bookmarkEnd w:id="75"/>
      <w:bookmarkEnd w:id="76"/>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77" w:name="_Toc5719269"/>
      <w:bookmarkStart w:id="78" w:name="_Toc2160860"/>
      <w:r>
        <w:rPr>
          <w:rStyle w:val="CharSectno"/>
        </w:rPr>
        <w:t>15</w:t>
      </w:r>
      <w:r>
        <w:rPr>
          <w:snapToGrid w:val="0"/>
        </w:rPr>
        <w:t>.</w:t>
      </w:r>
      <w:r>
        <w:rPr>
          <w:snapToGrid w:val="0"/>
        </w:rPr>
        <w:tab/>
        <w:t>Applications for relief and orders that may be made</w:t>
      </w:r>
      <w:bookmarkEnd w:id="77"/>
      <w:bookmarkEnd w:id="78"/>
    </w:p>
    <w:p>
      <w:pPr>
        <w:pStyle w:val="Subsection"/>
        <w:rPr>
          <w:snapToGrid w:val="0"/>
        </w:rPr>
      </w:pPr>
      <w:r>
        <w:rPr>
          <w:snapToGrid w:val="0"/>
        </w:rPr>
        <w:tab/>
        <w:t>(1)</w:t>
      </w:r>
      <w:r>
        <w:rPr>
          <w:snapToGrid w:val="0"/>
        </w:rPr>
        <w:tab/>
        <w:t xml:space="preserve">Where </w:t>
      </w:r>
      <w:r>
        <w:t>a lessor</w:t>
      </w:r>
      <w:r>
        <w:rPr>
          <w:snapToGrid w:val="0"/>
        </w:rPr>
        <w:t xml:space="preserve"> or tenant under a residential tenancy agreement or a party to an agreement for an option to enter into a residential tenancy agreement claims that a breach of the agreement has occurred or that a dispute has arisen under the agreement, </w:t>
      </w:r>
      <w:r>
        <w:t>the lessor or tenant</w:t>
      </w:r>
      <w:r>
        <w:rPr>
          <w:snapToGrid w:val="0"/>
        </w:rPr>
        <w:t xml:space="preserve"> may apply for relief to a</w:t>
      </w:r>
      <w:r>
        <w:t xml:space="preserve"> competent court</w:t>
      </w:r>
      <w:r>
        <w:rPr>
          <w:snapToGrid w:val="0"/>
        </w:rPr>
        <w:t>.</w:t>
      </w:r>
    </w:p>
    <w:p>
      <w:pPr>
        <w:pStyle w:val="Subsection"/>
        <w:keepNext/>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order the payment of any amount payable under the agreement; and</w:t>
      </w:r>
    </w:p>
    <w:p>
      <w:pPr>
        <w:pStyle w:val="Indenta"/>
        <w:rPr>
          <w:snapToGrid w:val="0"/>
        </w:rPr>
      </w:pPr>
      <w:r>
        <w:rPr>
          <w:snapToGrid w:val="0"/>
        </w:rPr>
        <w:tab/>
        <w:t>(c)</w:t>
      </w:r>
      <w:r>
        <w:rPr>
          <w:snapToGrid w:val="0"/>
        </w:rPr>
        <w:tab/>
        <w:t>order the payment of compensation for loss or injury, other than personal injury, caused by any breach of the agreement; and</w:t>
      </w:r>
    </w:p>
    <w:p>
      <w:pPr>
        <w:pStyle w:val="Indenta"/>
        <w:rPr>
          <w:snapToGrid w:val="0"/>
        </w:rPr>
      </w:pPr>
      <w:r>
        <w:rPr>
          <w:snapToGrid w:val="0"/>
        </w:rPr>
        <w:tab/>
        <w:t>(d)</w:t>
      </w:r>
      <w:r>
        <w:rPr>
          <w:snapToGrid w:val="0"/>
        </w:rPr>
        <w:tab/>
        <w:t xml:space="preserve">authorise payment of the rent under the agreement into </w:t>
      </w:r>
      <w:r>
        <w:t>the Magistrates Court</w:t>
      </w:r>
      <w:r>
        <w:rPr>
          <w:snapToGrid w:val="0"/>
        </w:rPr>
        <w:t xml:space="preserve">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 xml:space="preserve">Upon an application with respect to the breach of </w:t>
      </w:r>
      <w:r>
        <w:t xml:space="preserve">a residential tenancy agreement, </w:t>
      </w:r>
      <w:r>
        <w:rPr>
          <w:snapToGrid w:val="0"/>
        </w:rPr>
        <w:t xml:space="preserve">the court shall take into account any previous breaches by the </w:t>
      </w:r>
      <w:r>
        <w:t>lessor or</w:t>
      </w:r>
      <w:r>
        <w:rPr>
          <w:snapToGrid w:val="0"/>
        </w:rPr>
        <w:t xml:space="preserve"> tenant of the agreement.</w:t>
      </w:r>
    </w:p>
    <w:p>
      <w:pPr>
        <w:pStyle w:val="Subsection"/>
      </w:pPr>
      <w:r>
        <w:tab/>
        <w:t>(5)</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(6)</w:t>
      </w:r>
      <w:r>
        <w:tab/>
        <w:t>The court may make an order under subsection (5) on the application of any person or on its own initiative.</w:t>
      </w:r>
    </w:p>
    <w:p>
      <w:pPr>
        <w:pStyle w:val="Footnotesection"/>
      </w:pPr>
      <w:r>
        <w:tab/>
        <w:t xml:space="preserve">[Section 15 amended: No. 50 of 1988 s. 8 and 18; No. 59 of 2004 s. 120 and 121; No. 60 of 2011 s. 13 and 89; No. 17 of 2014 s. 5.] </w:t>
      </w:r>
    </w:p>
    <w:p>
      <w:pPr>
        <w:pStyle w:val="Heading5"/>
        <w:rPr>
          <w:snapToGrid w:val="0"/>
        </w:rPr>
      </w:pPr>
      <w:bookmarkStart w:id="79" w:name="_Toc5719270"/>
      <w:bookmarkStart w:id="80" w:name="_Toc2160861"/>
      <w:r>
        <w:rPr>
          <w:rStyle w:val="CharSectno"/>
        </w:rPr>
        <w:t>16</w:t>
      </w:r>
      <w:r>
        <w:rPr>
          <w:snapToGrid w:val="0"/>
        </w:rPr>
        <w:t>.</w:t>
      </w:r>
      <w:r>
        <w:rPr>
          <w:snapToGrid w:val="0"/>
        </w:rPr>
        <w:tab/>
        <w:t>Enforcement</w:t>
      </w:r>
      <w:bookmarkEnd w:id="79"/>
      <w:bookmarkEnd w:id="80"/>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pPr>
      <w:r>
        <w:tab/>
        <w:t>Penalty</w:t>
      </w:r>
      <w:ins w:id="81" w:author="svcMRProcess" w:date="2019-04-15T16:46:00Z">
        <w:r>
          <w:t xml:space="preserve"> for this subsection</w:t>
        </w:r>
      </w:ins>
      <w:r>
        <w:t>: a fine of $10 000.</w:t>
      </w:r>
    </w:p>
    <w:p>
      <w:pPr>
        <w:pStyle w:val="Subsection"/>
        <w:keepNext/>
        <w:keepLines/>
      </w:pPr>
      <w:r>
        <w:tab/>
        <w:t>(2)</w:t>
      </w:r>
      <w:r>
        <w:tab/>
        <w:t>An order made under this Act by a competent court may be enforced as if it were a judgment of that court.</w:t>
      </w:r>
    </w:p>
    <w:p>
      <w:pPr>
        <w:pStyle w:val="Footnotesection"/>
      </w:pPr>
      <w:r>
        <w:tab/>
        <w:t>[Section 16 amended: No. 50 of 1988 s. 9; No. 59 of 2004 s. 121; No. 60 of 2011 s. </w:t>
      </w:r>
      <w:del w:id="82" w:author="svcMRProcess" w:date="2019-04-15T16:46:00Z">
        <w:r>
          <w:delText>14</w:delText>
        </w:r>
      </w:del>
      <w:ins w:id="83" w:author="svcMRProcess" w:date="2019-04-15T16:46:00Z">
        <w:r>
          <w:t>14; No. 3 of 2019 s. 25</w:t>
        </w:r>
      </w:ins>
      <w:r>
        <w:t xml:space="preserve">.] </w:t>
      </w:r>
    </w:p>
    <w:p>
      <w:pPr>
        <w:pStyle w:val="Heading5"/>
      </w:pPr>
      <w:bookmarkStart w:id="84" w:name="_Toc5719271"/>
      <w:bookmarkStart w:id="85" w:name="_Toc2160862"/>
      <w:r>
        <w:rPr>
          <w:rStyle w:val="CharSectno"/>
        </w:rPr>
        <w:t>17A</w:t>
      </w:r>
      <w:r>
        <w:t>.</w:t>
      </w:r>
      <w:r>
        <w:tab/>
        <w:t>Disputes between tenants</w:t>
      </w:r>
      <w:bookmarkEnd w:id="84"/>
      <w:bookmarkEnd w:id="85"/>
    </w:p>
    <w:p>
      <w:pPr>
        <w:pStyle w:val="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pPr>
        <w:pStyle w:val="Subsection"/>
      </w:pPr>
      <w:r>
        <w:tab/>
        <w:t>(2)</w:t>
      </w:r>
      <w:r>
        <w:tab/>
        <w:t xml:space="preserve">The court hearing the application may — </w:t>
      </w:r>
    </w:p>
    <w:p>
      <w:pPr>
        <w:pStyle w:val="Indenta"/>
      </w:pPr>
      <w:r>
        <w:tab/>
        <w:t>(a)</w:t>
      </w:r>
      <w:r>
        <w:tab/>
        <w:t>make the order referred to in subsection (1); and</w:t>
      </w:r>
    </w:p>
    <w:p>
      <w:pPr>
        <w:pStyle w:val="Indenta"/>
      </w:pPr>
      <w:r>
        <w:tab/>
        <w:t>(b)</w:t>
      </w:r>
      <w:r>
        <w:tab/>
        <w:t>order the payment of compensation to the first tenant by the other tenant for loss or injury, other than personal injury, caused by a failure by the other tenant to pay that tenant’s portion of the amount referred to in subsection (1); and</w:t>
      </w:r>
    </w:p>
    <w:p>
      <w:pPr>
        <w:pStyle w:val="Indenta"/>
      </w:pPr>
      <w:r>
        <w:tab/>
        <w:t>(c)</w:t>
      </w:r>
      <w:r>
        <w:tab/>
        <w:t>make such ancillary or incidental order as the court considers appropriate.</w:t>
      </w:r>
    </w:p>
    <w:p>
      <w:pPr>
        <w:pStyle w:val="Footnotesection"/>
      </w:pPr>
      <w:r>
        <w:tab/>
        <w:t xml:space="preserve">[Section 17A inserted: No. 60 of 2011 s. 15.] </w:t>
      </w:r>
    </w:p>
    <w:p>
      <w:pPr>
        <w:pStyle w:val="Heading5"/>
        <w:rPr>
          <w:ins w:id="86" w:author="svcMRProcess" w:date="2019-04-15T16:46:00Z"/>
        </w:rPr>
      </w:pPr>
      <w:bookmarkStart w:id="87" w:name="_Toc5719272"/>
      <w:ins w:id="88" w:author="svcMRProcess" w:date="2019-04-15T16:46:00Z">
        <w:r>
          <w:rPr>
            <w:rStyle w:val="CharSectno"/>
          </w:rPr>
          <w:t>17B</w:t>
        </w:r>
        <w:r>
          <w:t>.</w:t>
        </w:r>
        <w:r>
          <w:tab/>
          <w:t>Determination of rights and liabilities after termination of tenant’s interest on grounds of family violence</w:t>
        </w:r>
        <w:bookmarkEnd w:id="87"/>
      </w:ins>
    </w:p>
    <w:p>
      <w:pPr>
        <w:pStyle w:val="Subsection"/>
        <w:rPr>
          <w:ins w:id="89" w:author="svcMRProcess" w:date="2019-04-15T16:46:00Z"/>
        </w:rPr>
      </w:pPr>
      <w:ins w:id="90" w:author="svcMRProcess" w:date="2019-04-15T16:46:00Z">
        <w:r>
          <w:tab/>
          <w:t>(1)</w:t>
        </w:r>
        <w:r>
          <w:tab/>
          <w:t>A tenant, or former tenant, under a residential tenancy agreement may apply to a competent court for a determination of the rights and liabilities of the parties to the agreement once the former tenant’s interest in the agreement has been terminated under section 60(1)(ba) or (bb).</w:t>
        </w:r>
      </w:ins>
    </w:p>
    <w:p>
      <w:pPr>
        <w:pStyle w:val="Subsection"/>
        <w:rPr>
          <w:ins w:id="91" w:author="svcMRProcess" w:date="2019-04-15T16:46:00Z"/>
        </w:rPr>
      </w:pPr>
      <w:ins w:id="92" w:author="svcMRProcess" w:date="2019-04-15T16:46:00Z">
        <w:r>
          <w:tab/>
          <w:t>(2)</w:t>
        </w:r>
        <w:r>
          <w:tab/>
          <w:t xml:space="preserve">When hearing an application under subsection (1) or section 71AE(3), the court — </w:t>
        </w:r>
      </w:ins>
    </w:p>
    <w:p>
      <w:pPr>
        <w:pStyle w:val="Indenta"/>
        <w:rPr>
          <w:ins w:id="93" w:author="svcMRProcess" w:date="2019-04-15T16:46:00Z"/>
        </w:rPr>
      </w:pPr>
      <w:ins w:id="94" w:author="svcMRProcess" w:date="2019-04-15T16:46:00Z">
        <w:r>
          <w:tab/>
          <w:t>(a)</w:t>
        </w:r>
        <w:r>
          <w:tab/>
          <w:t>must determine the rights and liabilities of the parties to the agreement, as affected by the termination; and</w:t>
        </w:r>
      </w:ins>
    </w:p>
    <w:p>
      <w:pPr>
        <w:pStyle w:val="Indenta"/>
        <w:rPr>
          <w:ins w:id="95" w:author="svcMRProcess" w:date="2019-04-15T16:46:00Z"/>
        </w:rPr>
      </w:pPr>
      <w:ins w:id="96" w:author="svcMRProcess" w:date="2019-04-15T16:46:00Z">
        <w:r>
          <w:tab/>
          <w:t>(b)</w:t>
        </w:r>
        <w:r>
          <w:tab/>
          <w:t>may order a party to pay compensation to another party for loss or injury, other than personal injury, relating to the termination.</w:t>
        </w:r>
      </w:ins>
    </w:p>
    <w:p>
      <w:pPr>
        <w:pStyle w:val="Subsection"/>
        <w:rPr>
          <w:ins w:id="97" w:author="svcMRProcess" w:date="2019-04-15T16:46:00Z"/>
        </w:rPr>
      </w:pPr>
      <w:ins w:id="98" w:author="svcMRProcess" w:date="2019-04-15T16:46:00Z">
        <w:r>
          <w:tab/>
          <w:t>(3)</w:t>
        </w:r>
        <w:r>
          <w:tab/>
          <w:t>Without limiting subsection (2), a determination or order under that provision may apportion the disposal of a security bond to the lessor and each tenant or former tenant as appropriate having regard to subsection (4).</w:t>
        </w:r>
      </w:ins>
    </w:p>
    <w:p>
      <w:pPr>
        <w:pStyle w:val="Subsection"/>
        <w:rPr>
          <w:ins w:id="99" w:author="svcMRProcess" w:date="2019-04-15T16:46:00Z"/>
        </w:rPr>
      </w:pPr>
      <w:ins w:id="100" w:author="svcMRProcess" w:date="2019-04-15T16:46:00Z">
        <w:r>
          <w:tab/>
          <w:t>(4)</w:t>
        </w:r>
        <w:r>
          <w:tab/>
          <w:t>Despite any law to the contrary, each tenant under a residential tenancy agreement has an equal interest in the security bond in respect of the agreement unless the court in a particular case determines otherwise under this section.</w:t>
        </w:r>
      </w:ins>
    </w:p>
    <w:p>
      <w:pPr>
        <w:pStyle w:val="Subsection"/>
        <w:rPr>
          <w:ins w:id="101" w:author="svcMRProcess" w:date="2019-04-15T16:46:00Z"/>
        </w:rPr>
      </w:pPr>
      <w:ins w:id="102" w:author="svcMRProcess" w:date="2019-04-15T16:46:00Z">
        <w:r>
          <w:tab/>
          <w:t>(5)</w:t>
        </w:r>
        <w:r>
          <w:tab/>
          <w:t>In making a determination or order under subsection (2), the court must have regard to all of the following principles —</w:t>
        </w:r>
      </w:ins>
    </w:p>
    <w:p>
      <w:pPr>
        <w:pStyle w:val="Indenta"/>
        <w:rPr>
          <w:ins w:id="103" w:author="svcMRProcess" w:date="2019-04-15T16:46:00Z"/>
        </w:rPr>
      </w:pPr>
      <w:ins w:id="104" w:author="svcMRProcess" w:date="2019-04-15T16:46:00Z">
        <w:r>
          <w:tab/>
          <w:t>(a)</w:t>
        </w:r>
        <w:r>
          <w:tab/>
          <w:t xml:space="preserve">that family violence is a fundamental violation of human rights and is unacceptable in any form; </w:t>
        </w:r>
      </w:ins>
    </w:p>
    <w:p>
      <w:pPr>
        <w:pStyle w:val="Indenta"/>
        <w:rPr>
          <w:ins w:id="105" w:author="svcMRProcess" w:date="2019-04-15T16:46:00Z"/>
        </w:rPr>
      </w:pPr>
      <w:ins w:id="106" w:author="svcMRProcess" w:date="2019-04-15T16:46:00Z">
        <w:r>
          <w:tab/>
          <w:t>(b)</w:t>
        </w:r>
        <w:r>
          <w:tab/>
          <w:t>the need to prevent further victimisation of a person who has experienced family violence through the unjust application of the principle of joint and several liability or the principle of vicarious liability;</w:t>
        </w:r>
      </w:ins>
    </w:p>
    <w:p>
      <w:pPr>
        <w:pStyle w:val="Indenta"/>
        <w:rPr>
          <w:ins w:id="107" w:author="svcMRProcess" w:date="2019-04-15T16:46:00Z"/>
        </w:rPr>
      </w:pPr>
      <w:ins w:id="108" w:author="svcMRProcess" w:date="2019-04-15T16:46:00Z">
        <w:r>
          <w:tab/>
          <w:t>(c)</w:t>
        </w:r>
        <w:r>
          <w:tab/>
          <w:t>the need to maximise the safety of persons who have experienced family violence by reducing any financial burden arising from the family violence;</w:t>
        </w:r>
      </w:ins>
    </w:p>
    <w:p>
      <w:pPr>
        <w:pStyle w:val="Indenta"/>
        <w:rPr>
          <w:ins w:id="109" w:author="svcMRProcess" w:date="2019-04-15T16:46:00Z"/>
        </w:rPr>
      </w:pPr>
      <w:ins w:id="110" w:author="svcMRProcess" w:date="2019-04-15T16:46:00Z">
        <w:r>
          <w:tab/>
          <w:t>(d)</w:t>
        </w:r>
        <w:r>
          <w:tab/>
          <w:t>the need to prevent, or reduce to the greatest extent possible, the consequences of family violence;</w:t>
        </w:r>
      </w:ins>
    </w:p>
    <w:p>
      <w:pPr>
        <w:pStyle w:val="Indenta"/>
        <w:rPr>
          <w:ins w:id="111" w:author="svcMRProcess" w:date="2019-04-15T16:46:00Z"/>
        </w:rPr>
      </w:pPr>
      <w:ins w:id="112" w:author="svcMRProcess" w:date="2019-04-15T16:46:00Z">
        <w:r>
          <w:tab/>
          <w:t>(e)</w:t>
        </w:r>
        <w:r>
          <w:tab/>
          <w:t>the need to protect the wellbeing of children by preventing them from being subjected or exposed to further family violence;</w:t>
        </w:r>
      </w:ins>
    </w:p>
    <w:p>
      <w:pPr>
        <w:pStyle w:val="Indenta"/>
        <w:rPr>
          <w:ins w:id="113" w:author="svcMRProcess" w:date="2019-04-15T16:46:00Z"/>
        </w:rPr>
      </w:pPr>
      <w:ins w:id="114" w:author="svcMRProcess" w:date="2019-04-15T16:46:00Z">
        <w:r>
          <w:tab/>
          <w:t>(f)</w:t>
        </w:r>
        <w:r>
          <w:tab/>
          <w:t>the need to encourage perpetrators of family violence to accept responsibility for their behaviour and the effect it has on others.</w:t>
        </w:r>
      </w:ins>
    </w:p>
    <w:p>
      <w:pPr>
        <w:pStyle w:val="Subsection"/>
        <w:rPr>
          <w:ins w:id="115" w:author="svcMRProcess" w:date="2019-04-15T16:46:00Z"/>
        </w:rPr>
      </w:pPr>
      <w:ins w:id="116" w:author="svcMRProcess" w:date="2019-04-15T16:46:00Z">
        <w:r>
          <w:tab/>
          <w:t>(6)</w:t>
        </w:r>
        <w:r>
          <w:tab/>
          <w:t>Nothing in subsection (2) is to be read as enabling the court to order compensation for early termination of a residential tenancy agreement.</w:t>
        </w:r>
      </w:ins>
    </w:p>
    <w:p>
      <w:pPr>
        <w:pStyle w:val="Footnotesection"/>
        <w:rPr>
          <w:ins w:id="117" w:author="svcMRProcess" w:date="2019-04-15T16:46:00Z"/>
        </w:rPr>
      </w:pPr>
      <w:ins w:id="118" w:author="svcMRProcess" w:date="2019-04-15T16:46:00Z">
        <w:r>
          <w:tab/>
          <w:t xml:space="preserve">[Section 17B inserted: No. 3 of 2019 s. 5.] </w:t>
        </w:r>
      </w:ins>
    </w:p>
    <w:p>
      <w:pPr>
        <w:pStyle w:val="Heading5"/>
        <w:rPr>
          <w:snapToGrid w:val="0"/>
        </w:rPr>
      </w:pPr>
      <w:bookmarkStart w:id="119" w:name="_Toc5719273"/>
      <w:bookmarkStart w:id="120" w:name="_Toc2160863"/>
      <w:r>
        <w:rPr>
          <w:rStyle w:val="CharSectno"/>
        </w:rPr>
        <w:t>17</w:t>
      </w:r>
      <w:r>
        <w:rPr>
          <w:snapToGrid w:val="0"/>
        </w:rPr>
        <w:t>.</w:t>
      </w:r>
      <w:r>
        <w:rPr>
          <w:snapToGrid w:val="0"/>
        </w:rPr>
        <w:tab/>
        <w:t>Application to vary or set aside order</w:t>
      </w:r>
      <w:bookmarkEnd w:id="119"/>
      <w:bookmarkEnd w:id="120"/>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 xml:space="preserve">a competent court </w:t>
      </w:r>
      <w:r>
        <w:rPr>
          <w:snapToGrid w:val="0"/>
        </w:rPr>
        <w:t xml:space="preserve">for an order varying or setting aside an order made in those proceedings if the application was heard in </w:t>
      </w:r>
      <w:r>
        <w:t>the person’s</w:t>
      </w:r>
      <w:r>
        <w:rPr>
          <w:snapToGrid w:val="0"/>
        </w:rPr>
        <w:t xml:space="preserve"> absence.</w:t>
      </w:r>
    </w:p>
    <w:p>
      <w:pPr>
        <w:pStyle w:val="Subsection"/>
        <w:rPr>
          <w:snapToGrid w:val="0"/>
        </w:rPr>
      </w:pPr>
      <w:r>
        <w:rPr>
          <w:snapToGrid w:val="0"/>
        </w:rPr>
        <w:tab/>
        <w:t>(2)</w:t>
      </w:r>
      <w:r>
        <w:rPr>
          <w:snapToGrid w:val="0"/>
        </w:rPr>
        <w:tab/>
        <w:t xml:space="preserve">An application to vary or set aside an order, other than an order under section 84, must be made </w:t>
      </w:r>
      <w:r>
        <w:t>within 14 days after</w:t>
      </w:r>
      <w:r>
        <w:rPr>
          <w:snapToGrid w:val="0"/>
        </w:rPr>
        <w:t xml:space="preserve"> the making of the order.</w:t>
      </w:r>
    </w:p>
    <w:p>
      <w:pPr>
        <w:pStyle w:val="Footnotesection"/>
      </w:pPr>
      <w:r>
        <w:tab/>
        <w:t xml:space="preserve">[Section 17 amended: No. 50 of 1988 s. 18; No. 59 of 2004 s. 121; No. 60 of 2011 s. 16.] </w:t>
      </w:r>
    </w:p>
    <w:p>
      <w:pPr>
        <w:pStyle w:val="Heading5"/>
        <w:rPr>
          <w:snapToGrid w:val="0"/>
        </w:rPr>
      </w:pPr>
      <w:bookmarkStart w:id="121" w:name="_Toc5719274"/>
      <w:bookmarkStart w:id="122" w:name="_Toc2160864"/>
      <w:r>
        <w:rPr>
          <w:rStyle w:val="CharSectno"/>
        </w:rPr>
        <w:t>18</w:t>
      </w:r>
      <w:r>
        <w:rPr>
          <w:snapToGrid w:val="0"/>
        </w:rPr>
        <w:t>.</w:t>
      </w:r>
      <w:r>
        <w:rPr>
          <w:snapToGrid w:val="0"/>
        </w:rPr>
        <w:tab/>
        <w:t>Form of applications and notice of hearing</w:t>
      </w:r>
      <w:bookmarkEnd w:id="121"/>
      <w:bookmarkEnd w:id="122"/>
      <w:r>
        <w:rPr>
          <w:snapToGrid w:val="0"/>
        </w:rPr>
        <w:t xml:space="preserve"> </w:t>
      </w:r>
    </w:p>
    <w:p>
      <w:pPr>
        <w:pStyle w:val="Subsection"/>
        <w:keepNext/>
        <w:rPr>
          <w:snapToGrid w:val="0"/>
        </w:rPr>
      </w:pPr>
      <w:r>
        <w:rPr>
          <w:snapToGrid w:val="0"/>
        </w:rPr>
        <w:tab/>
        <w:t>(1)</w:t>
      </w:r>
      <w:r>
        <w:rPr>
          <w:snapToGrid w:val="0"/>
        </w:rPr>
        <w:tab/>
        <w:t>Any application under this Act shall — </w:t>
      </w:r>
    </w:p>
    <w:p>
      <w:pPr>
        <w:pStyle w:val="Indenta"/>
        <w:rPr>
          <w:snapToGrid w:val="0"/>
        </w:rPr>
      </w:pPr>
      <w:r>
        <w:rPr>
          <w:snapToGrid w:val="0"/>
        </w:rPr>
        <w:tab/>
        <w:t>(a)</w:t>
      </w:r>
      <w:r>
        <w:rPr>
          <w:snapToGrid w:val="0"/>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No. 50 of 1988 s. 10; No. 59 of 2004 s. 121.] </w:t>
      </w:r>
    </w:p>
    <w:p>
      <w:pPr>
        <w:pStyle w:val="Heading5"/>
        <w:rPr>
          <w:snapToGrid w:val="0"/>
        </w:rPr>
      </w:pPr>
      <w:bookmarkStart w:id="123" w:name="_Toc5719275"/>
      <w:bookmarkStart w:id="124" w:name="_Toc2160865"/>
      <w:r>
        <w:rPr>
          <w:rStyle w:val="CharSectno"/>
        </w:rPr>
        <w:t>19</w:t>
      </w:r>
      <w:r>
        <w:rPr>
          <w:snapToGrid w:val="0"/>
        </w:rPr>
        <w:t>.</w:t>
      </w:r>
      <w:r>
        <w:rPr>
          <w:snapToGrid w:val="0"/>
        </w:rPr>
        <w:tab/>
        <w:t>Witnesses and inspection of documents</w:t>
      </w:r>
      <w:bookmarkEnd w:id="123"/>
      <w:bookmarkEnd w:id="124"/>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 or</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 xml:space="preserve">require any person appearing before it to make an oath or affirmation that </w:t>
      </w:r>
      <w:r>
        <w:t>the person</w:t>
      </w:r>
      <w:r>
        <w:rPr>
          <w:snapToGrid w:val="0"/>
        </w:rPr>
        <w:t xml:space="preserve"> will truly answer any relevant question put to </w:t>
      </w:r>
      <w:r>
        <w:t>the person</w:t>
      </w:r>
      <w:r>
        <w:rPr>
          <w:snapToGrid w:val="0"/>
        </w:rPr>
        <w:t xml:space="preserve">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w:t>
      </w:r>
      <w:r>
        <w:t>the person</w:t>
      </w:r>
      <w:r>
        <w:rPr>
          <w:snapToGrid w:val="0"/>
          <w:spacing w:val="-4"/>
        </w:rPr>
        <w:t xml:space="preserve"> has been summoned to appear or not) to answer any relevant question put to </w:t>
      </w:r>
      <w:r>
        <w:t>the person</w:t>
      </w:r>
      <w:r>
        <w:rPr>
          <w:snapToGrid w:val="0"/>
          <w:spacing w:val="-4"/>
        </w:rPr>
        <w:t xml:space="preserve">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 xml:space="preserve">without reasonable excuse fail to comply with the requirements of a summons served on </w:t>
      </w:r>
      <w:r>
        <w:t>the person</w:t>
      </w:r>
      <w:r>
        <w:rPr>
          <w:snapToGrid w:val="0"/>
        </w:rPr>
        <w:t xml:space="preserve"> under subsection (1); or</w:t>
      </w:r>
    </w:p>
    <w:p>
      <w:pPr>
        <w:pStyle w:val="Indenta"/>
        <w:rPr>
          <w:snapToGrid w:val="0"/>
        </w:rPr>
      </w:pPr>
      <w:r>
        <w:rPr>
          <w:snapToGrid w:val="0"/>
        </w:rPr>
        <w:tab/>
        <w:t>(b)</w:t>
      </w:r>
      <w:r>
        <w:rPr>
          <w:snapToGrid w:val="0"/>
        </w:rPr>
        <w:tab/>
        <w:t>refuse or fail to comply with a requirement under subsection (1).</w:t>
      </w:r>
    </w:p>
    <w:p>
      <w:pPr>
        <w:pStyle w:val="Penstart"/>
      </w:pPr>
      <w:r>
        <w:tab/>
        <w:t>Penalty</w:t>
      </w:r>
      <w:ins w:id="125" w:author="svcMRProcess" w:date="2019-04-15T16:46:00Z">
        <w:r>
          <w:t xml:space="preserve"> for this subsection</w:t>
        </w:r>
      </w:ins>
      <w:r>
        <w:t>: a fine of $10 000.</w:t>
      </w:r>
    </w:p>
    <w:p>
      <w:pPr>
        <w:pStyle w:val="Footnotesection"/>
      </w:pPr>
      <w:r>
        <w:tab/>
        <w:t>[Section 19 amended: No. 50 of 1988 s. 11 and 18; No. 59 of 2004 s. 120(2) and 121; No. 60 of 2011 s. </w:t>
      </w:r>
      <w:del w:id="126" w:author="svcMRProcess" w:date="2019-04-15T16:46:00Z">
        <w:r>
          <w:delText>17</w:delText>
        </w:r>
      </w:del>
      <w:ins w:id="127" w:author="svcMRProcess" w:date="2019-04-15T16:46:00Z">
        <w:r>
          <w:t>17; No. 3 of 2019 s. 25</w:t>
        </w:r>
      </w:ins>
      <w:r>
        <w:t xml:space="preserve">.] </w:t>
      </w:r>
    </w:p>
    <w:p>
      <w:pPr>
        <w:pStyle w:val="Heading5"/>
        <w:rPr>
          <w:snapToGrid w:val="0"/>
        </w:rPr>
      </w:pPr>
      <w:bookmarkStart w:id="128" w:name="_Toc5719276"/>
      <w:bookmarkStart w:id="129" w:name="_Toc2160866"/>
      <w:r>
        <w:rPr>
          <w:rStyle w:val="CharSectno"/>
        </w:rPr>
        <w:t>20</w:t>
      </w:r>
      <w:r>
        <w:rPr>
          <w:snapToGrid w:val="0"/>
        </w:rPr>
        <w:t>.</w:t>
      </w:r>
      <w:r>
        <w:rPr>
          <w:snapToGrid w:val="0"/>
        </w:rPr>
        <w:tab/>
        <w:t>General powers in proceedings</w:t>
      </w:r>
      <w:bookmarkEnd w:id="128"/>
      <w:bookmarkEnd w:id="129"/>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 and</w:t>
      </w:r>
    </w:p>
    <w:p>
      <w:pPr>
        <w:pStyle w:val="Indenta"/>
        <w:rPr>
          <w:snapToGrid w:val="0"/>
        </w:rPr>
      </w:pPr>
      <w:r>
        <w:rPr>
          <w:snapToGrid w:val="0"/>
        </w:rPr>
        <w:tab/>
        <w:t>(b)</w:t>
      </w:r>
      <w:r>
        <w:rPr>
          <w:snapToGrid w:val="0"/>
        </w:rPr>
        <w:tab/>
        <w:t>decline to entertain the application if it considers that the application is frivolous; and</w:t>
      </w:r>
    </w:p>
    <w:p>
      <w:pPr>
        <w:pStyle w:val="Indenta"/>
        <w:rPr>
          <w:snapToGrid w:val="0"/>
        </w:rPr>
      </w:pPr>
      <w:r>
        <w:rPr>
          <w:snapToGrid w:val="0"/>
        </w:rPr>
        <w:tab/>
        <w:t>(c)</w:t>
      </w:r>
      <w:r>
        <w:rPr>
          <w:snapToGrid w:val="0"/>
        </w:rPr>
        <w:tab/>
        <w:t>proceed to hear and determine the application in the absence of any party thereto; and</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 and</w:t>
      </w:r>
    </w:p>
    <w:p>
      <w:pPr>
        <w:pStyle w:val="Indenta"/>
        <w:rPr>
          <w:snapToGrid w:val="0"/>
        </w:rPr>
      </w:pPr>
      <w:r>
        <w:rPr>
          <w:snapToGrid w:val="0"/>
        </w:rPr>
        <w:tab/>
        <w:t>(e)</w:t>
      </w:r>
      <w:r>
        <w:rPr>
          <w:snapToGrid w:val="0"/>
        </w:rPr>
        <w:tab/>
        <w:t>order the refund to a person of a fee paid under section 18(1) by that person; and</w:t>
      </w:r>
    </w:p>
    <w:p>
      <w:pPr>
        <w:pStyle w:val="Indenta"/>
        <w:rPr>
          <w:snapToGrid w:val="0"/>
        </w:rPr>
      </w:pPr>
      <w:r>
        <w:rPr>
          <w:snapToGrid w:val="0"/>
        </w:rPr>
        <w:tab/>
        <w:t>(f)</w:t>
      </w:r>
      <w:r>
        <w:rPr>
          <w:snapToGrid w:val="0"/>
        </w:rPr>
        <w:tab/>
        <w:t xml:space="preserve">extend or shorten any period prescribed by or under this Act within which any </w:t>
      </w:r>
      <w:r>
        <w:t>action must be</w:t>
      </w:r>
      <w:r>
        <w:rPr>
          <w:snapToGrid w:val="0"/>
        </w:rPr>
        <w:t xml:space="preserve"> taken, such power to extend a period being exercisable notwithstanding that that period has expired; and</w:t>
      </w:r>
    </w:p>
    <w:p>
      <w:pPr>
        <w:pStyle w:val="Indenta"/>
        <w:rPr>
          <w:snapToGrid w:val="0"/>
        </w:rPr>
      </w:pPr>
      <w:r>
        <w:rPr>
          <w:snapToGrid w:val="0"/>
        </w:rPr>
        <w:tab/>
        <w:t>(g)</w:t>
      </w:r>
      <w:r>
        <w:rPr>
          <w:snapToGrid w:val="0"/>
        </w:rPr>
        <w:tab/>
        <w:t>vary or set aside any order where it considers there are proper grounds for doing so; and</w:t>
      </w:r>
    </w:p>
    <w:p>
      <w:pPr>
        <w:pStyle w:val="Indenta"/>
        <w:rPr>
          <w:snapToGrid w:val="0"/>
        </w:rPr>
      </w:pPr>
      <w:r>
        <w:rPr>
          <w:snapToGrid w:val="0"/>
        </w:rPr>
        <w:tab/>
        <w:t>(h)</w:t>
      </w:r>
      <w:r>
        <w:rPr>
          <w:snapToGrid w:val="0"/>
        </w:rPr>
        <w:tab/>
        <w:t>adjourn the hearing to any time or place or to a time and place to be fixed; and</w:t>
      </w:r>
    </w:p>
    <w:p>
      <w:pPr>
        <w:pStyle w:val="Indenta"/>
        <w:rPr>
          <w:snapToGrid w:val="0"/>
        </w:rPr>
      </w:pPr>
      <w:r>
        <w:rPr>
          <w:snapToGrid w:val="0"/>
        </w:rPr>
        <w:tab/>
        <w:t>(i)</w:t>
      </w:r>
      <w:r>
        <w:rPr>
          <w:snapToGrid w:val="0"/>
        </w:rPr>
        <w:tab/>
        <w:t>allow the amendment of the application; and</w:t>
      </w:r>
    </w:p>
    <w:p>
      <w:pPr>
        <w:pStyle w:val="Indenta"/>
        <w:rPr>
          <w:snapToGrid w:val="0"/>
        </w:rPr>
      </w:pPr>
      <w:r>
        <w:rPr>
          <w:snapToGrid w:val="0"/>
        </w:rPr>
        <w:tab/>
        <w:t>(j)</w:t>
      </w:r>
      <w:r>
        <w:rPr>
          <w:snapToGrid w:val="0"/>
        </w:rPr>
        <w:tab/>
        <w:t>hear the application jointly with any other application; and</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 and</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No. 50 of 1988 s. 12 and 18; No. 59 of 2004 s. 120(1) and (2) and 121; No. 60 of 2011 s. 18.] </w:t>
      </w:r>
    </w:p>
    <w:p>
      <w:pPr>
        <w:pStyle w:val="Heading5"/>
      </w:pPr>
      <w:bookmarkStart w:id="130" w:name="_Toc5719277"/>
      <w:bookmarkStart w:id="131" w:name="_Toc2160867"/>
      <w:r>
        <w:rPr>
          <w:rStyle w:val="CharSectno"/>
        </w:rPr>
        <w:t>21</w:t>
      </w:r>
      <w:r>
        <w:t>.</w:t>
      </w:r>
      <w:r>
        <w:tab/>
        <w:t>Evidence</w:t>
      </w:r>
      <w:bookmarkEnd w:id="130"/>
      <w:bookmarkEnd w:id="131"/>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No. 59 of 2004 s. 121.] </w:t>
      </w:r>
    </w:p>
    <w:p>
      <w:pPr>
        <w:pStyle w:val="Heading5"/>
        <w:rPr>
          <w:snapToGrid w:val="0"/>
        </w:rPr>
      </w:pPr>
      <w:bookmarkStart w:id="132" w:name="_Toc5719278"/>
      <w:bookmarkStart w:id="133" w:name="_Toc2160868"/>
      <w:r>
        <w:rPr>
          <w:rStyle w:val="CharSectno"/>
        </w:rPr>
        <w:t>22</w:t>
      </w:r>
      <w:r>
        <w:rPr>
          <w:snapToGrid w:val="0"/>
        </w:rPr>
        <w:t>.</w:t>
      </w:r>
      <w:r>
        <w:rPr>
          <w:snapToGrid w:val="0"/>
        </w:rPr>
        <w:tab/>
        <w:t>Presentation of cases</w:t>
      </w:r>
      <w:bookmarkEnd w:id="132"/>
      <w:bookmarkEnd w:id="133"/>
      <w:r>
        <w:rPr>
          <w:snapToGrid w:val="0"/>
        </w:rPr>
        <w:t xml:space="preserve"> </w:t>
      </w:r>
    </w:p>
    <w:p>
      <w:pPr>
        <w:pStyle w:val="Subsection"/>
      </w:pPr>
      <w:r>
        <w:tab/>
        <w:t>(1A)</w:t>
      </w:r>
      <w:r>
        <w:tab/>
        <w:t xml:space="preserve">In this section — </w:t>
      </w:r>
    </w:p>
    <w:p>
      <w:pPr>
        <w:pStyle w:val="Defstart"/>
      </w:pPr>
      <w:r>
        <w:tab/>
      </w:r>
      <w:r>
        <w:rPr>
          <w:rStyle w:val="CharDefText"/>
        </w:rPr>
        <w:t>proceedings</w:t>
      </w:r>
      <w:r>
        <w:t xml:space="preserve"> means proceedings under this Act other than proceedings for an offence against this Act.</w:t>
      </w:r>
    </w:p>
    <w:p>
      <w:pPr>
        <w:pStyle w:val="Subsection"/>
        <w:rPr>
          <w:snapToGrid w:val="0"/>
        </w:rPr>
      </w:pPr>
      <w:r>
        <w:rPr>
          <w:snapToGrid w:val="0"/>
        </w:rPr>
        <w:tab/>
        <w:t>(1)</w:t>
      </w:r>
      <w:r>
        <w:rPr>
          <w:snapToGrid w:val="0"/>
        </w:rPr>
        <w:tab/>
        <w:t xml:space="preserve">Except as provided in this section, a party to any proceedings shall present </w:t>
      </w:r>
      <w:r>
        <w:t>the party’s</w:t>
      </w:r>
      <w:r>
        <w:rPr>
          <w:snapToGrid w:val="0"/>
        </w:rPr>
        <w:t xml:space="preserve"> own case and not be represented or assisted in the presentation of </w:t>
      </w:r>
      <w:r>
        <w:t>the party’s</w:t>
      </w:r>
      <w:r>
        <w:rPr>
          <w:snapToGrid w:val="0"/>
        </w:rPr>
        <w:t xml:space="preserve"> case by another person.</w:t>
      </w:r>
    </w:p>
    <w:p>
      <w:pPr>
        <w:pStyle w:val="Subsection"/>
      </w:pPr>
      <w:r>
        <w:tab/>
        <w:t>(2)</w:t>
      </w:r>
      <w:r>
        <w:tab/>
        <w:t xml:space="preserve">A party to any proceedings may be represented or assisted by an agent in the presentation of the party’s case if the agent is authorised by the party to do so and is — </w:t>
      </w:r>
    </w:p>
    <w:p>
      <w:pPr>
        <w:pStyle w:val="Indenta"/>
      </w:pPr>
      <w:r>
        <w:tab/>
        <w:t>(a)</w:t>
      </w:r>
      <w:r>
        <w:tab/>
        <w:t>the property manager of the premises the subject of the proceedings; or</w:t>
      </w:r>
    </w:p>
    <w:p>
      <w:pPr>
        <w:pStyle w:val="Indenta"/>
      </w:pPr>
      <w:r>
        <w:tab/>
        <w:t>(b)</w:t>
      </w:r>
      <w:r>
        <w:tab/>
        <w:t>employed or engaged by a non</w:t>
      </w:r>
      <w:r>
        <w:noBreakHyphen/>
        <w:t>profit association or similar body to act as an advocate for tenants or lessors in proceedings.</w:t>
      </w:r>
    </w:p>
    <w:p>
      <w:pPr>
        <w:pStyle w:val="Subsection"/>
      </w:pPr>
      <w:r>
        <w:tab/>
        <w:t>(3A)</w:t>
      </w:r>
      <w:r>
        <w:tab/>
        <w:t xml:space="preserve">The authorisation must — </w:t>
      </w:r>
    </w:p>
    <w:p>
      <w:pPr>
        <w:pStyle w:val="Indenta"/>
      </w:pPr>
      <w:r>
        <w:tab/>
        <w:t>(a)</w:t>
      </w:r>
      <w:r>
        <w:tab/>
        <w:t>be made in writing in a form approved by the Minister; and</w:t>
      </w:r>
    </w:p>
    <w:p>
      <w:pPr>
        <w:pStyle w:val="Indenta"/>
      </w:pPr>
      <w:r>
        <w:tab/>
        <w:t>(b)</w:t>
      </w:r>
      <w:r>
        <w:tab/>
        <w:t>be lodged with the court together with the application, or response to the application, to which the proceedings relate, as the case requires.</w:t>
      </w:r>
    </w:p>
    <w:p>
      <w:pPr>
        <w:pStyle w:val="Subsection"/>
        <w:rPr>
          <w:snapToGrid w:val="0"/>
        </w:rPr>
      </w:pPr>
      <w:r>
        <w:rPr>
          <w:snapToGrid w:val="0"/>
        </w:rPr>
        <w:tab/>
        <w:t>(3)</w:t>
      </w:r>
      <w:r>
        <w:rPr>
          <w:snapToGrid w:val="0"/>
        </w:rPr>
        <w:tab/>
        <w:t xml:space="preserve">All or any of the parties to any proceedings may be represented by legal practitioners </w:t>
      </w:r>
      <w:r>
        <w:t xml:space="preserve">if any of the following applies — </w:t>
      </w:r>
    </w:p>
    <w:p>
      <w:pPr>
        <w:pStyle w:val="Indenta"/>
        <w:spacing w:before="70"/>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spacing w:before="70"/>
        <w:rPr>
          <w:snapToGrid w:val="0"/>
        </w:rPr>
      </w:pPr>
      <w:r>
        <w:rPr>
          <w:snapToGrid w:val="0"/>
        </w:rPr>
        <w:tab/>
        <w:t>(b)</w:t>
      </w:r>
      <w:r>
        <w:rPr>
          <w:snapToGrid w:val="0"/>
        </w:rPr>
        <w:tab/>
        <w:t>one of the parties is a legally qualified person;</w:t>
      </w:r>
    </w:p>
    <w:p>
      <w:pPr>
        <w:pStyle w:val="Indenta"/>
        <w:spacing w:before="70"/>
        <w:rPr>
          <w:snapToGrid w:val="0"/>
        </w:rPr>
      </w:pPr>
      <w:r>
        <w:rPr>
          <w:snapToGrid w:val="0"/>
        </w:rPr>
        <w:tab/>
        <w:t>(c)</w:t>
      </w:r>
      <w:r>
        <w:rPr>
          <w:snapToGrid w:val="0"/>
        </w:rPr>
        <w:tab/>
        <w:t>one of the parties is a body corporate and any other party elects to be so represented;</w:t>
      </w:r>
    </w:p>
    <w:p>
      <w:pPr>
        <w:pStyle w:val="Indenta"/>
        <w:spacing w:before="70"/>
        <w:rPr>
          <w:snapToGrid w:val="0"/>
        </w:rPr>
      </w:pPr>
      <w:r>
        <w:rPr>
          <w:snapToGrid w:val="0"/>
        </w:rPr>
        <w:tab/>
        <w:t>(d)</w:t>
      </w:r>
      <w:r>
        <w:rPr>
          <w:snapToGrid w:val="0"/>
        </w:rPr>
        <w:tab/>
        <w:t xml:space="preserve">the court is satisfied that one of the parties is unable to </w:t>
      </w:r>
      <w:r>
        <w:t>conduct the proceedings without representation by a legal practitioner;</w:t>
      </w:r>
    </w:p>
    <w:p>
      <w:pPr>
        <w:pStyle w:val="Indenta"/>
        <w:spacing w:before="70"/>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 xml:space="preserve">a body corporate from being represented by an officer or employee of the body corporate (not being a legally qualified person) authorised to conduct the proceedings on its behalf (whether or not </w:t>
      </w:r>
      <w:r>
        <w:t>the officer or employee</w:t>
      </w:r>
      <w:r>
        <w:rPr>
          <w:snapToGrid w:val="0"/>
        </w:rPr>
        <w:t xml:space="preserve"> is remunerated by the body corporate for representing it in the proceedings); or</w:t>
      </w:r>
    </w:p>
    <w:p>
      <w:pPr>
        <w:pStyle w:val="Indenta"/>
        <w:rPr>
          <w:snapToGrid w:val="0"/>
        </w:rPr>
      </w:pPr>
      <w:r>
        <w:rPr>
          <w:snapToGrid w:val="0"/>
        </w:rPr>
        <w:tab/>
        <w:t>(b)</w:t>
      </w:r>
      <w:r>
        <w:rPr>
          <w:snapToGrid w:val="0"/>
        </w:rPr>
        <w:tab/>
        <w:t xml:space="preserve">a person from acting as an interpreter for a party, if </w:t>
      </w:r>
      <w:r>
        <w:t>the person’s</w:t>
      </w:r>
      <w:r>
        <w:rPr>
          <w:snapToGrid w:val="0"/>
        </w:rPr>
        <w:t xml:space="preserve"> fee does not exceed an amount fixed by the court at the hearing.</w:t>
      </w:r>
    </w:p>
    <w:p>
      <w:pPr>
        <w:pStyle w:val="Subsection"/>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r>
      <w:r>
        <w:t>the person</w:t>
      </w:r>
      <w:r>
        <w:rPr>
          <w:snapToGrid w:val="0"/>
        </w:rPr>
        <w:t xml:space="preserve"> is a legal practitioner; </w:t>
      </w:r>
      <w:r>
        <w:t>or</w:t>
      </w:r>
    </w:p>
    <w:p>
      <w:pPr>
        <w:pStyle w:val="Indenta"/>
        <w:rPr>
          <w:snapToGrid w:val="0"/>
        </w:rPr>
      </w:pPr>
      <w:r>
        <w:rPr>
          <w:snapToGrid w:val="0"/>
        </w:rPr>
        <w:tab/>
        <w:t>(b)</w:t>
      </w:r>
      <w:r>
        <w:rPr>
          <w:snapToGrid w:val="0"/>
        </w:rPr>
        <w:tab/>
        <w:t xml:space="preserve">where the party is a body corporate, </w:t>
      </w:r>
      <w:r>
        <w:t>the person</w:t>
      </w:r>
      <w:r>
        <w:rPr>
          <w:snapToGrid w:val="0"/>
        </w:rPr>
        <w:t xml:space="preserve"> is an officer or employee of the body corporate representing it under subsection (4); or</w:t>
      </w:r>
    </w:p>
    <w:p>
      <w:pPr>
        <w:pStyle w:val="Indenta"/>
      </w:pPr>
      <w:r>
        <w:tab/>
        <w:t>(c)</w:t>
      </w:r>
      <w:r>
        <w:tab/>
        <w:t>where the party is a lessor, the person is a property manager of the premises the subject of the proceedings.</w:t>
      </w:r>
    </w:p>
    <w:p>
      <w:pPr>
        <w:pStyle w:val="Penstart"/>
      </w:pPr>
      <w:r>
        <w:tab/>
        <w:t>Penalty</w:t>
      </w:r>
      <w:ins w:id="134" w:author="svcMRProcess" w:date="2019-04-15T16:46:00Z">
        <w:r>
          <w:t xml:space="preserve"> for this subsection</w:t>
        </w:r>
      </w:ins>
      <w:r>
        <w:t>: a fine of $5 000.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Footnotesection"/>
      </w:pPr>
      <w:r>
        <w:tab/>
        <w:t>[Section 22 amended: No. 50 of 1988 s. 18; No. 65 of 2003 s. 61; No. 59 of 2004 s. 120(3); No. 21 of 2008 s. 698; No. 60 of 2011 s. </w:t>
      </w:r>
      <w:del w:id="135" w:author="svcMRProcess" w:date="2019-04-15T16:46:00Z">
        <w:r>
          <w:delText>19</w:delText>
        </w:r>
      </w:del>
      <w:ins w:id="136" w:author="svcMRProcess" w:date="2019-04-15T16:46:00Z">
        <w:r>
          <w:t>19; No. 3 of 2019 s. 25</w:t>
        </w:r>
      </w:ins>
      <w:r>
        <w:t xml:space="preserve">.] </w:t>
      </w:r>
    </w:p>
    <w:p>
      <w:pPr>
        <w:pStyle w:val="Heading5"/>
        <w:rPr>
          <w:snapToGrid w:val="0"/>
        </w:rPr>
      </w:pPr>
      <w:bookmarkStart w:id="137" w:name="_Toc5719279"/>
      <w:bookmarkStart w:id="138" w:name="_Toc2160869"/>
      <w:r>
        <w:rPr>
          <w:rStyle w:val="CharSectno"/>
        </w:rPr>
        <w:t>23</w:t>
      </w:r>
      <w:r>
        <w:rPr>
          <w:snapToGrid w:val="0"/>
        </w:rPr>
        <w:t>.</w:t>
      </w:r>
      <w:r>
        <w:rPr>
          <w:snapToGrid w:val="0"/>
        </w:rPr>
        <w:tab/>
        <w:t>Settlement by conciliation</w:t>
      </w:r>
      <w:bookmarkEnd w:id="137"/>
      <w:bookmarkEnd w:id="138"/>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rPr>
      </w:pPr>
      <w:r>
        <w:rPr>
          <w:snapToGrid w:val="0"/>
        </w:rPr>
        <w:tab/>
        <w:t>(a)</w:t>
      </w:r>
      <w:r>
        <w:rPr>
          <w:snapToGrid w:val="0"/>
        </w:rPr>
        <w:tab/>
        <w:t xml:space="preserve">interview the parties in private (either with or without any person who may be representing any of them or assisting any of them in the presentation of </w:t>
      </w:r>
      <w:r>
        <w:t>the party’s</w:t>
      </w:r>
      <w:r>
        <w:rPr>
          <w:snapToGrid w:val="0"/>
        </w:rPr>
        <w:t xml:space="preserve">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w:t>
      </w:r>
      <w:r>
        <w:t>the judicial officer</w:t>
      </w:r>
      <w:r>
        <w:rPr>
          <w:snapToGrid w:val="0"/>
        </w:rPr>
        <w:t xml:space="preserv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Subsection"/>
      </w:pPr>
      <w:r>
        <w:tab/>
        <w:t>(4)</w:t>
      </w:r>
      <w:r>
        <w:tab/>
        <w:t>The order is valid despite any inconsistency with Part IV or V.</w:t>
      </w:r>
    </w:p>
    <w:p>
      <w:pPr>
        <w:pStyle w:val="Footnotesection"/>
      </w:pPr>
      <w:r>
        <w:tab/>
        <w:t xml:space="preserve">[Section 23 amended: No. 50 of 1988 s. 18; No. 59 of 2004 s. 120(2) and (3) and 121; No. 60 of 2011 s. 20.] </w:t>
      </w:r>
    </w:p>
    <w:p>
      <w:pPr>
        <w:pStyle w:val="Heading5"/>
        <w:rPr>
          <w:snapToGrid w:val="0"/>
        </w:rPr>
      </w:pPr>
      <w:bookmarkStart w:id="139" w:name="_Toc5719280"/>
      <w:bookmarkStart w:id="140" w:name="_Toc2160870"/>
      <w:r>
        <w:rPr>
          <w:rStyle w:val="CharSectno"/>
        </w:rPr>
        <w:t>24</w:t>
      </w:r>
      <w:r>
        <w:rPr>
          <w:snapToGrid w:val="0"/>
        </w:rPr>
        <w:t>.</w:t>
      </w:r>
      <w:r>
        <w:rPr>
          <w:snapToGrid w:val="0"/>
        </w:rPr>
        <w:tab/>
        <w:t>Costs</w:t>
      </w:r>
      <w:bookmarkEnd w:id="139"/>
      <w:bookmarkEnd w:id="140"/>
      <w:r>
        <w:rPr>
          <w:snapToGrid w:val="0"/>
        </w:rPr>
        <w:t xml:space="preserve"> </w:t>
      </w:r>
    </w:p>
    <w:p>
      <w:pPr>
        <w:pStyle w:val="Subsection"/>
        <w:keepNext/>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No. 50 of 1988 s. 18; No. 59 of 1995 s. 45; No. 59 of 2004 s. 120(2) and (3) and 121.] </w:t>
      </w:r>
    </w:p>
    <w:p>
      <w:pPr>
        <w:pStyle w:val="Heading5"/>
        <w:rPr>
          <w:snapToGrid w:val="0"/>
        </w:rPr>
      </w:pPr>
      <w:bookmarkStart w:id="141" w:name="_Toc5719281"/>
      <w:bookmarkStart w:id="142" w:name="_Toc2160871"/>
      <w:r>
        <w:rPr>
          <w:rStyle w:val="CharSectno"/>
        </w:rPr>
        <w:t>25</w:t>
      </w:r>
      <w:r>
        <w:rPr>
          <w:snapToGrid w:val="0"/>
        </w:rPr>
        <w:t>.</w:t>
      </w:r>
      <w:r>
        <w:rPr>
          <w:snapToGrid w:val="0"/>
        </w:rPr>
        <w:tab/>
        <w:t>Reservation of question of law</w:t>
      </w:r>
      <w:bookmarkEnd w:id="141"/>
      <w:bookmarkEnd w:id="142"/>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No. 50 of 1988 s. 18; No. 6 of 1993 s. 11; No. 59 of 1995 s. 56; No. 59 of 2004 s. 121; No. 77 of 2006 s. 4.] </w:t>
      </w:r>
    </w:p>
    <w:p>
      <w:pPr>
        <w:pStyle w:val="Heading5"/>
        <w:rPr>
          <w:snapToGrid w:val="0"/>
        </w:rPr>
      </w:pPr>
      <w:bookmarkStart w:id="143" w:name="_Toc5719282"/>
      <w:bookmarkStart w:id="144" w:name="_Toc2160872"/>
      <w:r>
        <w:rPr>
          <w:rStyle w:val="CharSectno"/>
        </w:rPr>
        <w:t>26</w:t>
      </w:r>
      <w:r>
        <w:rPr>
          <w:snapToGrid w:val="0"/>
        </w:rPr>
        <w:t>.</w:t>
      </w:r>
      <w:r>
        <w:rPr>
          <w:snapToGrid w:val="0"/>
        </w:rPr>
        <w:tab/>
        <w:t>Finality of proceedings</w:t>
      </w:r>
      <w:bookmarkEnd w:id="143"/>
      <w:bookmarkEnd w:id="144"/>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Footnotesection"/>
      </w:pPr>
      <w:r>
        <w:tab/>
        <w:t>[Section 26 amended: No. 50 of 1988 s. 13; No. 59 of 2004 s. 120(3) and 121; No.</w:t>
      </w:r>
      <w:del w:id="145" w:author="svcMRProcess" w:date="2019-04-15T16:46:00Z">
        <w:r>
          <w:delText xml:space="preserve"> </w:delText>
        </w:r>
      </w:del>
      <w:ins w:id="146" w:author="svcMRProcess" w:date="2019-04-15T16:46:00Z">
        <w:r>
          <w:t> </w:t>
        </w:r>
      </w:ins>
      <w:r>
        <w:t xml:space="preserve">69 of 2006 s. 30.] </w:t>
      </w:r>
    </w:p>
    <w:p>
      <w:pPr>
        <w:pStyle w:val="Heading2"/>
      </w:pPr>
      <w:bookmarkStart w:id="147" w:name="_Toc2153315"/>
      <w:bookmarkStart w:id="148" w:name="_Toc2160149"/>
      <w:bookmarkStart w:id="149" w:name="_Toc2160873"/>
      <w:bookmarkStart w:id="150" w:name="_Toc5621496"/>
      <w:bookmarkStart w:id="151" w:name="_Toc5632904"/>
      <w:bookmarkStart w:id="152" w:name="_Toc5719283"/>
      <w:r>
        <w:rPr>
          <w:rStyle w:val="CharPartNo"/>
        </w:rPr>
        <w:t>Part IV</w:t>
      </w:r>
      <w:r>
        <w:t> — </w:t>
      </w:r>
      <w:r>
        <w:rPr>
          <w:rStyle w:val="CharPartText"/>
        </w:rPr>
        <w:t>Residential tenancy agreements</w:t>
      </w:r>
      <w:bookmarkEnd w:id="147"/>
      <w:bookmarkEnd w:id="148"/>
      <w:bookmarkEnd w:id="149"/>
      <w:bookmarkEnd w:id="150"/>
      <w:bookmarkEnd w:id="151"/>
      <w:bookmarkEnd w:id="152"/>
    </w:p>
    <w:p>
      <w:pPr>
        <w:pStyle w:val="Footnoteheading"/>
      </w:pPr>
      <w:r>
        <w:tab/>
        <w:t>[Heading inserted: No.</w:t>
      </w:r>
      <w:del w:id="153" w:author="svcMRProcess" w:date="2019-04-15T16:46:00Z">
        <w:r>
          <w:delText xml:space="preserve"> </w:delText>
        </w:r>
      </w:del>
      <w:ins w:id="154" w:author="svcMRProcess" w:date="2019-04-15T16:46:00Z">
        <w:r>
          <w:t> </w:t>
        </w:r>
      </w:ins>
      <w:r>
        <w:t>60 of 2011 s. 21.]</w:t>
      </w:r>
    </w:p>
    <w:p>
      <w:pPr>
        <w:pStyle w:val="Heading3"/>
      </w:pPr>
      <w:bookmarkStart w:id="155" w:name="_Toc2153316"/>
      <w:bookmarkStart w:id="156" w:name="_Toc2160150"/>
      <w:bookmarkStart w:id="157" w:name="_Toc2160874"/>
      <w:bookmarkStart w:id="158" w:name="_Toc5621497"/>
      <w:bookmarkStart w:id="159" w:name="_Toc5632905"/>
      <w:bookmarkStart w:id="160" w:name="_Toc5719284"/>
      <w:r>
        <w:rPr>
          <w:rStyle w:val="CharDivNo"/>
        </w:rPr>
        <w:t>Division 1A</w:t>
      </w:r>
      <w:r>
        <w:t> — </w:t>
      </w:r>
      <w:r>
        <w:rPr>
          <w:rStyle w:val="CharDivText"/>
        </w:rPr>
        <w:t>Form of residential tenancy agreement and associated documents</w:t>
      </w:r>
      <w:bookmarkEnd w:id="155"/>
      <w:bookmarkEnd w:id="156"/>
      <w:bookmarkEnd w:id="157"/>
      <w:bookmarkEnd w:id="158"/>
      <w:bookmarkEnd w:id="159"/>
      <w:bookmarkEnd w:id="160"/>
    </w:p>
    <w:p>
      <w:pPr>
        <w:pStyle w:val="Footnoteheading"/>
      </w:pPr>
      <w:r>
        <w:tab/>
        <w:t>[Heading inserted: No.</w:t>
      </w:r>
      <w:del w:id="161" w:author="svcMRProcess" w:date="2019-04-15T16:46:00Z">
        <w:r>
          <w:delText xml:space="preserve"> </w:delText>
        </w:r>
      </w:del>
      <w:ins w:id="162" w:author="svcMRProcess" w:date="2019-04-15T16:46:00Z">
        <w:r>
          <w:t> </w:t>
        </w:r>
      </w:ins>
      <w:r>
        <w:t>60 of 2011 s. 22.]</w:t>
      </w:r>
    </w:p>
    <w:p>
      <w:pPr>
        <w:pStyle w:val="Heading5"/>
      </w:pPr>
      <w:bookmarkStart w:id="163" w:name="_Toc5719285"/>
      <w:bookmarkStart w:id="164" w:name="_Toc2160875"/>
      <w:r>
        <w:rPr>
          <w:rStyle w:val="CharSectno"/>
        </w:rPr>
        <w:t>27A</w:t>
      </w:r>
      <w:r>
        <w:t>.</w:t>
      </w:r>
      <w:r>
        <w:tab/>
        <w:t>Written residential tenancy agreement to be in prescribed form</w:t>
      </w:r>
      <w:bookmarkEnd w:id="163"/>
      <w:bookmarkEnd w:id="164"/>
    </w:p>
    <w:p>
      <w:pPr>
        <w:pStyle w:val="Subsection"/>
      </w:pPr>
      <w:r>
        <w:tab/>
      </w:r>
      <w:r>
        <w:tab/>
        <w:t>A lessor must not enter into a written residential tenancy agreement except in the prescribed form.</w:t>
      </w:r>
    </w:p>
    <w:p>
      <w:pPr>
        <w:pStyle w:val="Penstart"/>
      </w:pPr>
      <w:r>
        <w:tab/>
        <w:t>Penalty: a fine of $5 000.</w:t>
      </w:r>
    </w:p>
    <w:p>
      <w:pPr>
        <w:pStyle w:val="Footnotesection"/>
      </w:pPr>
      <w:r>
        <w:tab/>
        <w:t xml:space="preserve">[Section 27A inserted: No. 60 of 2011 s. 22.] </w:t>
      </w:r>
    </w:p>
    <w:p>
      <w:pPr>
        <w:pStyle w:val="Heading5"/>
      </w:pPr>
      <w:bookmarkStart w:id="165" w:name="_Toc5719286"/>
      <w:bookmarkStart w:id="166" w:name="_Toc2160876"/>
      <w:r>
        <w:rPr>
          <w:rStyle w:val="CharSectno"/>
        </w:rPr>
        <w:t>27B</w:t>
      </w:r>
      <w:r>
        <w:t>.</w:t>
      </w:r>
      <w:r>
        <w:tab/>
        <w:t>Information to be given to tenant by lessor</w:t>
      </w:r>
      <w:bookmarkEnd w:id="165"/>
      <w:bookmarkEnd w:id="166"/>
    </w:p>
    <w:p>
      <w:pPr>
        <w:pStyle w:val="Subsection"/>
      </w:pPr>
      <w:r>
        <w:tab/>
      </w:r>
      <w:r>
        <w:tab/>
        <w:t>A lessor must give a copy of the information (if any) prescribed for the purposes of this section to each tenant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a fine of $5 000.</w:t>
      </w:r>
    </w:p>
    <w:p>
      <w:pPr>
        <w:pStyle w:val="Footnotesection"/>
      </w:pPr>
      <w:r>
        <w:tab/>
        <w:t xml:space="preserve">[Section 27B inserted: No. 60 of 2011 s. 22.] </w:t>
      </w:r>
    </w:p>
    <w:p>
      <w:pPr>
        <w:pStyle w:val="Heading5"/>
      </w:pPr>
      <w:bookmarkStart w:id="167" w:name="_Toc5719287"/>
      <w:bookmarkStart w:id="168" w:name="_Toc2160877"/>
      <w:r>
        <w:rPr>
          <w:rStyle w:val="CharSectno"/>
        </w:rPr>
        <w:t>27C</w:t>
      </w:r>
      <w:r>
        <w:t>.</w:t>
      </w:r>
      <w:r>
        <w:tab/>
      </w:r>
      <w:r>
        <w:rPr>
          <w:snapToGrid w:val="0"/>
        </w:rPr>
        <w:t>Property condition report at start and end of tenancy</w:t>
      </w:r>
      <w:bookmarkEnd w:id="167"/>
      <w:bookmarkEnd w:id="168"/>
    </w:p>
    <w:p>
      <w:pPr>
        <w:pStyle w:val="Subsection"/>
      </w:pPr>
      <w:r>
        <w:tab/>
        <w:t>(1)</w:t>
      </w:r>
      <w:r>
        <w:tab/>
      </w:r>
      <w:r>
        <w:rPr>
          <w:snapToGrid w:val="0"/>
        </w:rPr>
        <w:t>A lessor must, within 7 days after a tenant has entered into occupation of residential premises under a residential tenancy agreement —</w:t>
      </w:r>
    </w:p>
    <w:p>
      <w:pPr>
        <w:pStyle w:val="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pPr>
        <w:pStyle w:val="Indenta"/>
        <w:rPr>
          <w:snapToGrid w:val="0"/>
        </w:rPr>
      </w:pPr>
      <w:r>
        <w:rPr>
          <w:snapToGrid w:val="0"/>
        </w:rPr>
        <w:tab/>
        <w:t>(b)</w:t>
      </w:r>
      <w:r>
        <w:rPr>
          <w:snapToGrid w:val="0"/>
        </w:rPr>
        <w:tab/>
        <w:t>provide 2 copies of the report to the tenant.</w:t>
      </w:r>
    </w:p>
    <w:p>
      <w:pPr>
        <w:pStyle w:val="Penstart"/>
        <w:rPr>
          <w:snapToGrid w:val="0"/>
        </w:rPr>
      </w:pPr>
      <w:r>
        <w:rPr>
          <w:snapToGrid w:val="0"/>
        </w:rPr>
        <w:tab/>
      </w:r>
      <w:r>
        <w:t>Penalty</w:t>
      </w:r>
      <w:ins w:id="169" w:author="svcMRProcess" w:date="2019-04-15T16:46:00Z">
        <w:r>
          <w:t xml:space="preserve"> for this subsection</w:t>
        </w:r>
      </w:ins>
      <w:r>
        <w:t>:</w:t>
      </w:r>
      <w:r>
        <w:rPr>
          <w:snapToGrid w:val="0"/>
        </w:rPr>
        <w:t xml:space="preserve"> a fine of </w:t>
      </w:r>
      <w:r>
        <w:t>$5 000</w:t>
      </w:r>
      <w:r>
        <w:rPr>
          <w:snapToGrid w:val="0"/>
        </w:rPr>
        <w:t>.</w:t>
      </w:r>
    </w:p>
    <w:p>
      <w:pPr>
        <w:pStyle w:val="Subsection"/>
      </w:pPr>
      <w:r>
        <w:tab/>
        <w:t>(2)</w:t>
      </w:r>
      <w:r>
        <w:tab/>
        <w:t>A tenant given copies of a report under subsection (1)(b) who disagrees with any information in the report must, within 7 days of receiving the copies —</w:t>
      </w:r>
    </w:p>
    <w:p>
      <w:pPr>
        <w:pStyle w:val="Indenta"/>
      </w:pPr>
      <w:r>
        <w:tab/>
        <w:t>(a)</w:t>
      </w:r>
      <w:r>
        <w:tab/>
        <w:t>mark a copy in a manner that shows the information with which the tenant disagrees; and</w:t>
      </w:r>
    </w:p>
    <w:p>
      <w:pPr>
        <w:pStyle w:val="Indenta"/>
      </w:pPr>
      <w:r>
        <w:tab/>
        <w:t>(b)</w:t>
      </w:r>
      <w:r>
        <w:tab/>
        <w:t>give the copy back to the lessor.</w:t>
      </w:r>
    </w:p>
    <w:p>
      <w:pPr>
        <w:pStyle w:val="Subsection"/>
      </w:pPr>
      <w:r>
        <w:tab/>
        <w:t>(3)</w:t>
      </w:r>
      <w:r>
        <w:tab/>
        <w:t>If the tenant does not give a copy of the report back to the lessor under subsection (2), the tenant is to be taken to accept the report as a true and accurate description of the condition of the residential premises.</w:t>
      </w:r>
    </w:p>
    <w:p>
      <w:pPr>
        <w:pStyle w:val="Subsection"/>
      </w:pPr>
      <w:r>
        <w:tab/>
        <w:t>(4)</w:t>
      </w:r>
      <w:r>
        <w:tab/>
      </w:r>
      <w:r>
        <w:rPr>
          <w:snapToGrid w:val="0"/>
        </w:rPr>
        <w:t>A lessor must,</w:t>
      </w:r>
      <w:r>
        <w:t xml:space="preserve"> </w:t>
      </w:r>
      <w:r>
        <w:rPr>
          <w:snapToGrid w:val="0"/>
        </w:rPr>
        <w:t xml:space="preserve">as soon as practicable, and in any event within 14 days, after the termination of a </w:t>
      </w:r>
      <w:r>
        <w:t>tenancy</w:t>
      </w:r>
      <w:ins w:id="170" w:author="svcMRProcess" w:date="2019-04-15T16:46:00Z">
        <w:r>
          <w:t xml:space="preserve"> or tenant’s interest in a residential tenancy agreement</w:t>
        </w:r>
      </w:ins>
      <w:r>
        <w:t> —</w:t>
      </w:r>
    </w:p>
    <w:p>
      <w:pPr>
        <w:pStyle w:val="Indenta"/>
        <w:rPr>
          <w:snapToGrid w:val="0"/>
        </w:rPr>
      </w:pPr>
      <w:r>
        <w:rPr>
          <w:snapToGrid w:val="0"/>
        </w:rPr>
        <w:tab/>
        <w:t>(a)</w:t>
      </w:r>
      <w:r>
        <w:rPr>
          <w:snapToGrid w:val="0"/>
        </w:rPr>
        <w:tab/>
        <w:t>conduct an inspection of the residential premises; and</w:t>
      </w:r>
    </w:p>
    <w:p>
      <w:pPr>
        <w:pStyle w:val="Indenta"/>
        <w:rPr>
          <w:snapToGrid w:val="0"/>
        </w:rPr>
      </w:pPr>
      <w:r>
        <w:rPr>
          <w:snapToGrid w:val="0"/>
        </w:rPr>
        <w:tab/>
        <w:t>(b)</w:t>
      </w:r>
      <w:r>
        <w:rPr>
          <w:snapToGrid w:val="0"/>
        </w:rPr>
        <w:tab/>
        <w:t>prepare a final report describing the condition of the premises; and</w:t>
      </w:r>
    </w:p>
    <w:p>
      <w:pPr>
        <w:pStyle w:val="Indenta"/>
        <w:rPr>
          <w:snapToGrid w:val="0"/>
        </w:rPr>
      </w:pPr>
      <w:r>
        <w:rPr>
          <w:snapToGrid w:val="0"/>
        </w:rPr>
        <w:tab/>
        <w:t>(c)</w:t>
      </w:r>
      <w:r>
        <w:rPr>
          <w:snapToGrid w:val="0"/>
        </w:rPr>
        <w:tab/>
        <w:t>provide a copy of the report to the tenant.</w:t>
      </w:r>
    </w:p>
    <w:p>
      <w:pPr>
        <w:pStyle w:val="Penstart"/>
        <w:rPr>
          <w:snapToGrid w:val="0"/>
        </w:rPr>
      </w:pPr>
      <w:r>
        <w:rPr>
          <w:snapToGrid w:val="0"/>
        </w:rPr>
        <w:tab/>
      </w:r>
      <w:r>
        <w:t>Penalty</w:t>
      </w:r>
      <w:ins w:id="171" w:author="svcMRProcess" w:date="2019-04-15T16:46:00Z">
        <w:r>
          <w:t xml:space="preserve"> for this subsection</w:t>
        </w:r>
      </w:ins>
      <w:r>
        <w:t>:</w:t>
      </w:r>
      <w:r>
        <w:rPr>
          <w:snapToGrid w:val="0"/>
        </w:rPr>
        <w:t xml:space="preserve"> a fine of </w:t>
      </w:r>
      <w:r>
        <w:t>$5 000.</w:t>
      </w:r>
    </w:p>
    <w:p>
      <w:pPr>
        <w:pStyle w:val="Subsection"/>
        <w:rPr>
          <w:ins w:id="172" w:author="svcMRProcess" w:date="2019-04-15T16:46:00Z"/>
        </w:rPr>
      </w:pPr>
      <w:ins w:id="173" w:author="svcMRProcess" w:date="2019-04-15T16:46:00Z">
        <w:r>
          <w:tab/>
          <w:t>(4A)</w:t>
        </w:r>
        <w:r>
          <w:tab/>
          <w:t xml:space="preserve">A lessor is taken to comply with subsection (4) if, before the termination of a tenant’s interest, the lessor — </w:t>
        </w:r>
      </w:ins>
    </w:p>
    <w:p>
      <w:pPr>
        <w:pStyle w:val="Indenta"/>
        <w:rPr>
          <w:ins w:id="174" w:author="svcMRProcess" w:date="2019-04-15T16:46:00Z"/>
        </w:rPr>
      </w:pPr>
      <w:ins w:id="175" w:author="svcMRProcess" w:date="2019-04-15T16:46:00Z">
        <w:r>
          <w:tab/>
          <w:t>(a)</w:t>
        </w:r>
        <w:r>
          <w:tab/>
          <w:t>enters residential premises under section 46(6B); and</w:t>
        </w:r>
      </w:ins>
    </w:p>
    <w:p>
      <w:pPr>
        <w:pStyle w:val="Indenta"/>
        <w:rPr>
          <w:ins w:id="176" w:author="svcMRProcess" w:date="2019-04-15T16:46:00Z"/>
        </w:rPr>
      </w:pPr>
      <w:ins w:id="177" w:author="svcMRProcess" w:date="2019-04-15T16:46:00Z">
        <w:r>
          <w:tab/>
          <w:t>(b)</w:t>
        </w:r>
        <w:r>
          <w:tab/>
          <w:t xml:space="preserve">in relation to that entry — </w:t>
        </w:r>
      </w:ins>
    </w:p>
    <w:p>
      <w:pPr>
        <w:pStyle w:val="Indenti"/>
        <w:rPr>
          <w:ins w:id="178" w:author="svcMRProcess" w:date="2019-04-15T16:46:00Z"/>
        </w:rPr>
      </w:pPr>
      <w:ins w:id="179" w:author="svcMRProcess" w:date="2019-04-15T16:46:00Z">
        <w:r>
          <w:tab/>
          <w:t>(i)</w:t>
        </w:r>
        <w:r>
          <w:tab/>
          <w:t xml:space="preserve">conducts an inspection of the premises; and </w:t>
        </w:r>
      </w:ins>
    </w:p>
    <w:p>
      <w:pPr>
        <w:pStyle w:val="Indenti"/>
        <w:rPr>
          <w:ins w:id="180" w:author="svcMRProcess" w:date="2019-04-15T16:46:00Z"/>
        </w:rPr>
      </w:pPr>
      <w:ins w:id="181" w:author="svcMRProcess" w:date="2019-04-15T16:46:00Z">
        <w:r>
          <w:tab/>
          <w:t>(ii)</w:t>
        </w:r>
        <w:r>
          <w:tab/>
          <w:t xml:space="preserve">prepares a report describing the condition of the premises; and </w:t>
        </w:r>
      </w:ins>
    </w:p>
    <w:p>
      <w:pPr>
        <w:pStyle w:val="Indenti"/>
        <w:rPr>
          <w:ins w:id="182" w:author="svcMRProcess" w:date="2019-04-15T16:46:00Z"/>
        </w:rPr>
      </w:pPr>
      <w:ins w:id="183" w:author="svcMRProcess" w:date="2019-04-15T16:46:00Z">
        <w:r>
          <w:tab/>
          <w:t>(iii)</w:t>
        </w:r>
        <w:r>
          <w:tab/>
          <w:t>provides a copy of the report to the tenant.</w:t>
        </w:r>
      </w:ins>
    </w:p>
    <w:p>
      <w:pPr>
        <w:pStyle w:val="Subsection"/>
      </w:pPr>
      <w:r>
        <w:tab/>
        <w:t>(5)</w:t>
      </w:r>
      <w:r>
        <w:tab/>
        <w:t>The tenant is to be given a reasonable opportunity to be present at the inspection conducted under subsection (4)(a</w:t>
      </w:r>
      <w:ins w:id="184" w:author="svcMRProcess" w:date="2019-04-15T16:46:00Z">
        <w:r>
          <w:t>) or (4A)(a</w:t>
        </w:r>
      </w:ins>
      <w:r>
        <w:t>).</w:t>
      </w:r>
    </w:p>
    <w:p>
      <w:pPr>
        <w:pStyle w:val="Subsection"/>
      </w:pPr>
      <w:r>
        <w:tab/>
        <w:t>(6)</w:t>
      </w:r>
      <w:r>
        <w:tab/>
        <w:t>The regulations may prescribe information that must be included in a property condition report.</w:t>
      </w:r>
    </w:p>
    <w:p>
      <w:pPr>
        <w:pStyle w:val="Footnotesection"/>
      </w:pPr>
      <w:r>
        <w:tab/>
        <w:t>[Section 27C inserted: No. 60 of 2011 s. </w:t>
      </w:r>
      <w:del w:id="185" w:author="svcMRProcess" w:date="2019-04-15T16:46:00Z">
        <w:r>
          <w:delText>22.]</w:delText>
        </w:r>
      </w:del>
      <w:ins w:id="186" w:author="svcMRProcess" w:date="2019-04-15T16:46:00Z">
        <w:r>
          <w:t>22; amended: No. 3 of 2019 s. 6 and 25.]</w:t>
        </w:r>
      </w:ins>
      <w:r>
        <w:t xml:space="preserve"> </w:t>
      </w:r>
    </w:p>
    <w:p>
      <w:pPr>
        <w:pStyle w:val="Heading3"/>
        <w:rPr>
          <w:snapToGrid w:val="0"/>
        </w:rPr>
      </w:pPr>
      <w:bookmarkStart w:id="187" w:name="_Toc2153320"/>
      <w:bookmarkStart w:id="188" w:name="_Toc2160154"/>
      <w:bookmarkStart w:id="189" w:name="_Toc2160878"/>
      <w:bookmarkStart w:id="190" w:name="_Toc5621501"/>
      <w:bookmarkStart w:id="191" w:name="_Toc5632909"/>
      <w:bookmarkStart w:id="192" w:name="_Toc5719288"/>
      <w:r>
        <w:rPr>
          <w:rStyle w:val="CharDivNo"/>
        </w:rPr>
        <w:t>Division 1</w:t>
      </w:r>
      <w:r>
        <w:rPr>
          <w:snapToGrid w:val="0"/>
        </w:rPr>
        <w:t> — </w:t>
      </w:r>
      <w:r>
        <w:rPr>
          <w:rStyle w:val="CharDivText"/>
        </w:rPr>
        <w:t>Rent and security bonds</w:t>
      </w:r>
      <w:bookmarkEnd w:id="187"/>
      <w:bookmarkEnd w:id="188"/>
      <w:bookmarkEnd w:id="189"/>
      <w:bookmarkEnd w:id="190"/>
      <w:bookmarkEnd w:id="191"/>
      <w:bookmarkEnd w:id="192"/>
    </w:p>
    <w:p>
      <w:pPr>
        <w:pStyle w:val="Heading5"/>
        <w:spacing w:before="160"/>
        <w:rPr>
          <w:snapToGrid w:val="0"/>
        </w:rPr>
      </w:pPr>
      <w:bookmarkStart w:id="193" w:name="_Toc5719289"/>
      <w:bookmarkStart w:id="194" w:name="_Toc2160879"/>
      <w:r>
        <w:rPr>
          <w:rStyle w:val="CharSectno"/>
        </w:rPr>
        <w:t>27</w:t>
      </w:r>
      <w:r>
        <w:rPr>
          <w:snapToGrid w:val="0"/>
        </w:rPr>
        <w:t>.</w:t>
      </w:r>
      <w:r>
        <w:rPr>
          <w:snapToGrid w:val="0"/>
        </w:rPr>
        <w:tab/>
        <w:t>Restriction on consideration for tenancy agreement</w:t>
      </w:r>
      <w:bookmarkEnd w:id="193"/>
      <w:bookmarkEnd w:id="194"/>
      <w:r>
        <w:rPr>
          <w:snapToGrid w:val="0"/>
        </w:rPr>
        <w:t xml:space="preserve"> </w:t>
      </w:r>
    </w:p>
    <w:p>
      <w:pPr>
        <w:pStyle w:val="Subsection"/>
        <w:rPr>
          <w:snapToGrid w:val="0"/>
        </w:rPr>
      </w:pPr>
      <w:r>
        <w:rPr>
          <w:snapToGrid w:val="0"/>
        </w:rPr>
        <w:tab/>
        <w:t>(1)</w:t>
      </w:r>
      <w:r>
        <w:rPr>
          <w:snapToGrid w:val="0"/>
        </w:rPr>
        <w:tab/>
        <w:t xml:space="preserve">Subject to subsection (2), a person shall not require or receive from a tenant any monetary </w:t>
      </w:r>
      <w:r>
        <w:t>amount for or in relation to</w:t>
      </w:r>
      <w:r>
        <w:rPr>
          <w:snapToGrid w:val="0"/>
        </w:rPr>
        <w:t xml:space="preserve"> a residential tenancy agreement other than rent and a security bond.</w:t>
      </w:r>
    </w:p>
    <w:p>
      <w:pPr>
        <w:pStyle w:val="Penstart"/>
      </w:pPr>
      <w:r>
        <w:tab/>
        <w:t>Penalty</w:t>
      </w:r>
      <w:ins w:id="195" w:author="svcMRProcess" w:date="2019-04-15T16:46:00Z">
        <w:r>
          <w:t xml:space="preserve"> for this subsection</w:t>
        </w:r>
      </w:ins>
      <w:r>
        <w:t>: a fine of $5 000.</w:t>
      </w:r>
    </w:p>
    <w:p>
      <w:pPr>
        <w:pStyle w:val="Subsection"/>
        <w:keepNext/>
        <w:rPr>
          <w:snapToGrid w:val="0"/>
        </w:rPr>
      </w:pPr>
      <w:r>
        <w:rPr>
          <w:snapToGrid w:val="0"/>
        </w:rPr>
        <w:tab/>
        <w:t>(2)</w:t>
      </w:r>
      <w:r>
        <w:rPr>
          <w:snapToGrid w:val="0"/>
        </w:rPr>
        <w:tab/>
      </w:r>
      <w:r>
        <w:t>Subsection</w:t>
      </w:r>
      <w:r>
        <w:rPr>
          <w:snapToGrid w:val="0"/>
        </w:rPr>
        <w:t> (1) does not apply to — </w:t>
      </w:r>
    </w:p>
    <w:p>
      <w:pPr>
        <w:pStyle w:val="Indenta"/>
        <w:rPr>
          <w:snapToGrid w:val="0"/>
        </w:rPr>
      </w:pPr>
      <w:r>
        <w:tab/>
        <w:t>(a)</w:t>
      </w:r>
      <w:r>
        <w:tab/>
      </w:r>
      <w:r>
        <w:rPr>
          <w:snapToGrid w:val="0"/>
        </w:rPr>
        <w:t>any amount, not exceeding a prescribed amount, required or received as consideration for an option to enter into a residential tenancy agreement if —</w:t>
      </w:r>
    </w:p>
    <w:p>
      <w:pPr>
        <w:pStyle w:val="Indenti"/>
      </w:pPr>
      <w:r>
        <w:tab/>
        <w:t>(i)</w:t>
      </w:r>
      <w:r>
        <w:tab/>
        <w:t>upon the option being exercised, the amount is refunded in cash or applied towards the rent payable under the agreement; or</w:t>
      </w:r>
    </w:p>
    <w:p>
      <w:pPr>
        <w:pStyle w:val="Indenti"/>
      </w:pPr>
      <w:r>
        <w:tab/>
        <w:t>(ii)</w:t>
      </w:r>
      <w:r>
        <w:tab/>
        <w:t>upon the option being refused, and within 7 days of the decision to refuse the option, the amount is refunded in cash, by electronic means or in any other prescribed way;</w:t>
      </w:r>
    </w:p>
    <w:p>
      <w:pPr>
        <w:pStyle w:val="Indenta"/>
      </w:pPr>
      <w:r>
        <w:tab/>
      </w:r>
      <w:r>
        <w:tab/>
        <w:t>and</w:t>
      </w:r>
    </w:p>
    <w:p>
      <w:pPr>
        <w:pStyle w:val="Indenta"/>
        <w:rPr>
          <w:snapToGrid w:val="0"/>
        </w:rPr>
      </w:pPr>
      <w:r>
        <w:rPr>
          <w:snapToGrid w:val="0"/>
        </w:rPr>
        <w:tab/>
        <w:t>(b)</w:t>
      </w:r>
      <w:r>
        <w:rPr>
          <w:snapToGrid w:val="0"/>
        </w:rPr>
        <w:tab/>
        <w:t xml:space="preserve">any amount that </w:t>
      </w:r>
      <w:r>
        <w:t>the lessor</w:t>
      </w:r>
      <w:r>
        <w:rPr>
          <w:snapToGrid w:val="0"/>
        </w:rPr>
        <w:t xml:space="preserve">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pPr>
      <w:r>
        <w:tab/>
        <w:t>[Section 27 amended: No. 59 of 1995 s. 46 and 55; No. 60 of 2011 s. 23 and 89</w:t>
      </w:r>
      <w:del w:id="196" w:author="svcMRProcess" w:date="2019-04-15T16:46:00Z">
        <w:r>
          <w:delText>.]</w:delText>
        </w:r>
      </w:del>
      <w:ins w:id="197" w:author="svcMRProcess" w:date="2019-04-15T16:46:00Z">
        <w:r>
          <w:t>; No. 3 of 2019 s. 25.]</w:t>
        </w:r>
      </w:ins>
      <w:r>
        <w:t xml:space="preserve"> </w:t>
      </w:r>
    </w:p>
    <w:p>
      <w:pPr>
        <w:pStyle w:val="Heading5"/>
        <w:rPr>
          <w:snapToGrid w:val="0"/>
        </w:rPr>
      </w:pPr>
      <w:bookmarkStart w:id="198" w:name="_Toc5719290"/>
      <w:bookmarkStart w:id="199" w:name="_Toc2160880"/>
      <w:r>
        <w:rPr>
          <w:rStyle w:val="CharSectno"/>
        </w:rPr>
        <w:t>28</w:t>
      </w:r>
      <w:r>
        <w:rPr>
          <w:snapToGrid w:val="0"/>
        </w:rPr>
        <w:t>.</w:t>
      </w:r>
      <w:r>
        <w:rPr>
          <w:snapToGrid w:val="0"/>
        </w:rPr>
        <w:tab/>
        <w:t>Rent in advance</w:t>
      </w:r>
      <w:bookmarkEnd w:id="198"/>
      <w:bookmarkEnd w:id="199"/>
      <w:r>
        <w:rPr>
          <w:snapToGrid w:val="0"/>
        </w:rPr>
        <w:t xml:space="preserve"> </w:t>
      </w:r>
    </w:p>
    <w:p>
      <w:pPr>
        <w:pStyle w:val="Subsection"/>
        <w:rPr>
          <w:snapToGrid w:val="0"/>
        </w:rPr>
      </w:pPr>
      <w:r>
        <w:rPr>
          <w:snapToGrid w:val="0"/>
        </w:rPr>
        <w:tab/>
        <w:t>(1)</w:t>
      </w:r>
      <w:r>
        <w:rPr>
          <w:snapToGrid w:val="0"/>
        </w:rPr>
        <w:tab/>
        <w:t xml:space="preserve">A person shall not </w:t>
      </w:r>
      <w:r>
        <w:t>require</w:t>
      </w:r>
      <w:r>
        <w:rPr>
          <w:snapToGrid w:val="0"/>
        </w:rPr>
        <w:t xml:space="preserve"> before or during the first 2 weeks of the tenancy under a residential tenancy agreement as rent under the agreement an amount exceeding 2 weeks’ rent.</w:t>
      </w:r>
    </w:p>
    <w:p>
      <w:pPr>
        <w:pStyle w:val="Penstart"/>
      </w:pPr>
      <w:r>
        <w:tab/>
        <w:t>Penalty</w:t>
      </w:r>
      <w:ins w:id="200" w:author="svcMRProcess" w:date="2019-04-15T16:46:00Z">
        <w:r>
          <w:t xml:space="preserve"> for this subsection</w:t>
        </w:r>
      </w:ins>
      <w:r>
        <w:t>: a fine of $5 000.</w:t>
      </w:r>
    </w:p>
    <w:p>
      <w:pPr>
        <w:pStyle w:val="Subsection"/>
      </w:pPr>
      <w:r>
        <w:tab/>
        <w:t>(2)</w:t>
      </w:r>
      <w:r>
        <w:tab/>
        <w:t>A person must not require any payment of rent (other than the first payment) under a residential tenancy agreement —</w:t>
      </w:r>
    </w:p>
    <w:p>
      <w:pPr>
        <w:pStyle w:val="Indenta"/>
      </w:pPr>
      <w:r>
        <w:tab/>
        <w:t>(a)</w:t>
      </w:r>
      <w:r>
        <w:tab/>
        <w:t>until the period of the tenancy in respect of which any previous payment has been made has elapsed; and</w:t>
      </w:r>
    </w:p>
    <w:p>
      <w:pPr>
        <w:pStyle w:val="Indenta"/>
      </w:pPr>
      <w:r>
        <w:tab/>
        <w:t>(b)</w:t>
      </w:r>
      <w:r>
        <w:tab/>
        <w:t>unless the amount does not exceed 2 weeks’ rent.</w:t>
      </w:r>
    </w:p>
    <w:p>
      <w:pPr>
        <w:pStyle w:val="Penstart"/>
      </w:pPr>
      <w:r>
        <w:tab/>
        <w:t>Penalty</w:t>
      </w:r>
      <w:ins w:id="201" w:author="svcMRProcess" w:date="2019-04-15T16:46:00Z">
        <w:r>
          <w:t xml:space="preserve"> for this subsection</w:t>
        </w:r>
      </w:ins>
      <w:r>
        <w:t>: a fine of $5 000.</w:t>
      </w:r>
    </w:p>
    <w:p>
      <w:pPr>
        <w:pStyle w:val="Footnotesection"/>
      </w:pPr>
      <w:r>
        <w:tab/>
        <w:t>[Section 28 amended: No. 59 of 1995 s. 55; No. 60 of 2011 s. </w:t>
      </w:r>
      <w:del w:id="202" w:author="svcMRProcess" w:date="2019-04-15T16:46:00Z">
        <w:r>
          <w:delText>24</w:delText>
        </w:r>
      </w:del>
      <w:ins w:id="203" w:author="svcMRProcess" w:date="2019-04-15T16:46:00Z">
        <w:r>
          <w:t>24; No. 3 of 2019 s. 25</w:t>
        </w:r>
      </w:ins>
      <w:r>
        <w:t xml:space="preserve">.] </w:t>
      </w:r>
    </w:p>
    <w:p>
      <w:pPr>
        <w:pStyle w:val="Heading5"/>
        <w:rPr>
          <w:snapToGrid w:val="0"/>
        </w:rPr>
      </w:pPr>
      <w:bookmarkStart w:id="204" w:name="_Toc5719291"/>
      <w:bookmarkStart w:id="205" w:name="_Toc2160881"/>
      <w:r>
        <w:rPr>
          <w:rStyle w:val="CharSectno"/>
        </w:rPr>
        <w:t>29</w:t>
      </w:r>
      <w:r>
        <w:rPr>
          <w:snapToGrid w:val="0"/>
        </w:rPr>
        <w:t>.</w:t>
      </w:r>
      <w:r>
        <w:rPr>
          <w:snapToGrid w:val="0"/>
        </w:rPr>
        <w:tab/>
        <w:t>Security bonds</w:t>
      </w:r>
      <w:bookmarkEnd w:id="204"/>
      <w:bookmarkEnd w:id="205"/>
      <w:r>
        <w:rPr>
          <w:snapToGrid w:val="0"/>
        </w:rPr>
        <w:t xml:space="preserve"> </w:t>
      </w:r>
    </w:p>
    <w:p>
      <w:pPr>
        <w:pStyle w:val="Subsection"/>
      </w:pPr>
      <w:r>
        <w:tab/>
        <w:t>(1A)</w:t>
      </w:r>
      <w:r>
        <w:tab/>
        <w:t xml:space="preserve">In this section, unless the contrary intention appears — </w:t>
      </w:r>
    </w:p>
    <w:p>
      <w:pPr>
        <w:pStyle w:val="Defstart"/>
      </w:pPr>
      <w:r>
        <w:tab/>
      </w:r>
      <w:r>
        <w:rPr>
          <w:rStyle w:val="CharDefText"/>
        </w:rPr>
        <w:t>pet</w:t>
      </w:r>
      <w:r>
        <w:t xml:space="preserve"> does not include an assistance dog as defined in the </w:t>
      </w:r>
      <w:r>
        <w:rPr>
          <w:i/>
          <w:iCs/>
        </w:rPr>
        <w:t>Dog Act 1976</w:t>
      </w:r>
      <w:r>
        <w:t xml:space="preserve"> section 8(1);</w:t>
      </w:r>
    </w:p>
    <w:p>
      <w:pPr>
        <w:pStyle w:val="Defstart"/>
      </w:pPr>
      <w:r>
        <w:tab/>
      </w:r>
      <w:r>
        <w:rPr>
          <w:rStyle w:val="CharDefText"/>
        </w:rPr>
        <w:t>security bond</w:t>
      </w:r>
      <w:r>
        <w:t xml:space="preserve"> includes an instalment of a security bond.</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pPr>
      <w:r>
        <w:tab/>
        <w:t>(ii)</w:t>
      </w:r>
      <w:r>
        <w:tab/>
        <w:t>if the tenant is permitted to keep on the premises any pet capable of carrying parasites that can affect humans — a prescribed amount to meet the cost of any fumigation of the premises that may be required on the termination of the tenancy.</w:t>
      </w:r>
    </w:p>
    <w:p>
      <w:pPr>
        <w:pStyle w:val="Penstart"/>
      </w:pPr>
      <w:r>
        <w:tab/>
        <w:t>Penalty</w:t>
      </w:r>
      <w:ins w:id="206" w:author="svcMRProcess" w:date="2019-04-15T16:46:00Z">
        <w:r>
          <w:t xml:space="preserve"> for this subsection</w:t>
        </w:r>
      </w:ins>
      <w:r>
        <w:t>: a fine of $5 000.</w:t>
      </w:r>
    </w:p>
    <w:p>
      <w:pPr>
        <w:pStyle w:val="Subsection"/>
      </w:pPr>
      <w:r>
        <w:tab/>
        <w:t>(2A)</w:t>
      </w:r>
      <w:r>
        <w:tab/>
        <w:t>Subsection (1)(a) does not prevent a person from receiving a security bond in instalments.</w:t>
      </w:r>
    </w:p>
    <w:p>
      <w:pPr>
        <w:pStyle w:val="Subsection"/>
      </w:pPr>
      <w:r>
        <w:tab/>
        <w:t>(2)</w:t>
      </w:r>
      <w:r>
        <w:tab/>
        <w:t>Subsection (1)(b) does not apply in relation to a residential tenancy agreement where the weekly rate of rent payable under the agreement exceeds a prescribed amount.</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 and</w:t>
      </w:r>
    </w:p>
    <w:p>
      <w:pPr>
        <w:pStyle w:val="Indenta"/>
      </w:pPr>
      <w:r>
        <w:tab/>
        <w:t>(b)</w:t>
      </w:r>
      <w:r>
        <w:tab/>
        <w:t>shall pay the amount of the bond to the bond administrator in accordance with Schedule 1 clause 5A; and</w:t>
      </w:r>
    </w:p>
    <w:p>
      <w:pPr>
        <w:pStyle w:val="Indenta"/>
      </w:pPr>
      <w:r>
        <w:tab/>
        <w:t>(c)</w:t>
      </w:r>
      <w:r>
        <w:tab/>
        <w:t>shall, at the time of making the payment referred to in paragraph (b), lodge with the bond administrator a record in a form approved by the Minister relating to the payment.</w:t>
      </w:r>
    </w:p>
    <w:p>
      <w:pPr>
        <w:pStyle w:val="Ednotepara"/>
      </w:pPr>
      <w:r>
        <w:tab/>
        <w:t>[(d)</w:t>
      </w:r>
      <w:r>
        <w:tab/>
        <w:t>deleted]</w:t>
      </w:r>
    </w:p>
    <w:p>
      <w:pPr>
        <w:pStyle w:val="Penstart"/>
      </w:pPr>
      <w:r>
        <w:tab/>
        <w:t>Penalty</w:t>
      </w:r>
      <w:ins w:id="207" w:author="svcMRProcess" w:date="2019-04-15T16:46:00Z">
        <w:r>
          <w:t xml:space="preserve"> for this subsection</w:t>
        </w:r>
      </w:ins>
      <w:r>
        <w:t>: a fine of $20 000.</w:t>
      </w:r>
    </w:p>
    <w:p>
      <w:pPr>
        <w:pStyle w:val="Ednotesubsection"/>
      </w:pPr>
      <w:r>
        <w:tab/>
        <w:t>[(5)</w:t>
      </w:r>
      <w:r>
        <w:tab/>
        <w:t>deleted]</w:t>
      </w:r>
    </w:p>
    <w:p>
      <w:pPr>
        <w:pStyle w:val="Subsection"/>
        <w:keepNext/>
        <w:keepLines/>
        <w:spacing w:before="200"/>
        <w:rPr>
          <w:snapToGrid w:val="0"/>
        </w:rPr>
      </w:pPr>
      <w:r>
        <w:rPr>
          <w:snapToGrid w:val="0"/>
        </w:rPr>
        <w:tab/>
        <w:t>(6)</w:t>
      </w:r>
      <w:r>
        <w:rPr>
          <w:snapToGrid w:val="0"/>
        </w:rPr>
        <w:tab/>
        <w:t xml:space="preserve">A person shall not make an entry in a record referred to in subsection (4)(c) that the person knows is false </w:t>
      </w:r>
      <w:r>
        <w:t>or misleading</w:t>
      </w:r>
      <w:r>
        <w:rPr>
          <w:snapToGrid w:val="0"/>
        </w:rPr>
        <w:t xml:space="preserve"> in a material particular.</w:t>
      </w:r>
    </w:p>
    <w:p>
      <w:pPr>
        <w:pStyle w:val="Penstart"/>
      </w:pPr>
      <w:r>
        <w:tab/>
        <w:t>Penalty</w:t>
      </w:r>
      <w:ins w:id="208" w:author="svcMRProcess" w:date="2019-04-15T16:46:00Z">
        <w:r>
          <w:t xml:space="preserve"> for this subsection</w:t>
        </w:r>
      </w:ins>
      <w:r>
        <w:t>: a fine of $5 000.</w:t>
      </w:r>
    </w:p>
    <w:p>
      <w:pPr>
        <w:pStyle w:val="Subsection"/>
      </w:pPr>
      <w:r>
        <w:tab/>
        <w:t>(7)</w:t>
      </w:r>
      <w:r>
        <w:tab/>
        <w:t>The bond administrator must pay the amount of the security bond in accordance with Schedule 1 clause 5.</w:t>
      </w:r>
    </w:p>
    <w:p>
      <w:pPr>
        <w:pStyle w:val="Subsection"/>
      </w:pPr>
      <w:r>
        <w:tab/>
        <w:t>(8)</w:t>
      </w:r>
      <w:r>
        <w:tab/>
        <w:t xml:space="preserve">A lessor and property manager must ensure that an application form referred to in Schedule 1 clause 5(1)(a) is not signed by a tenant unless — </w:t>
      </w:r>
    </w:p>
    <w:p>
      <w:pPr>
        <w:pStyle w:val="Indenta"/>
      </w:pPr>
      <w:r>
        <w:tab/>
        <w:t>(a)</w:t>
      </w:r>
      <w:r>
        <w:tab/>
        <w:t>the residential tenancy agreement to which the security bond relates has terminated; and</w:t>
      </w:r>
    </w:p>
    <w:p>
      <w:pPr>
        <w:pStyle w:val="Indenta"/>
      </w:pPr>
      <w:r>
        <w:tab/>
        <w:t>(b)</w:t>
      </w:r>
      <w:r>
        <w:tab/>
        <w:t>any amount of the security bond to be paid to the lessor or tenant is stipulated on the form.</w:t>
      </w:r>
    </w:p>
    <w:p>
      <w:pPr>
        <w:pStyle w:val="Penstart"/>
      </w:pPr>
      <w:r>
        <w:tab/>
        <w:t>Penalty</w:t>
      </w:r>
      <w:ins w:id="209" w:author="svcMRProcess" w:date="2019-04-15T16:46:00Z">
        <w:r>
          <w:t xml:space="preserve"> for this subsection</w:t>
        </w:r>
      </w:ins>
      <w:r>
        <w:t>: a fine of $5 000.</w:t>
      </w:r>
    </w:p>
    <w:p>
      <w:pPr>
        <w:pStyle w:val="Subsection"/>
        <w:rPr>
          <w:ins w:id="210" w:author="svcMRProcess" w:date="2019-04-15T16:46:00Z"/>
        </w:rPr>
      </w:pPr>
      <w:ins w:id="211" w:author="svcMRProcess" w:date="2019-04-15T16:46:00Z">
        <w:r>
          <w:tab/>
          <w:t>(9)</w:t>
        </w:r>
        <w:r>
          <w:tab/>
          <w:t>Nothing in subsection (1)(a) prevents the lessor from requiring further payment from a remaining tenant towards the security bond in order to cover the disposal of a former tenant’s portion of the security bond under section 17B(3).</w:t>
        </w:r>
      </w:ins>
    </w:p>
    <w:p>
      <w:pPr>
        <w:pStyle w:val="Footnotesection"/>
      </w:pPr>
      <w:r>
        <w:tab/>
        <w:t>[Section 29 amended: No. 59 of 1995 s. 47 and 55; No.</w:t>
      </w:r>
      <w:del w:id="212" w:author="svcMRProcess" w:date="2019-04-15T16:46:00Z">
        <w:r>
          <w:delText xml:space="preserve"> </w:delText>
        </w:r>
      </w:del>
      <w:ins w:id="213" w:author="svcMRProcess" w:date="2019-04-15T16:46:00Z">
        <w:r>
          <w:t> </w:t>
        </w:r>
      </w:ins>
      <w:r>
        <w:t>69 of 2006 s. 31; No. 60 of 2011 s. 25; No. 18 of 2013 s. 62</w:t>
      </w:r>
      <w:ins w:id="214" w:author="svcMRProcess" w:date="2019-04-15T16:46:00Z">
        <w:r>
          <w:t>; No. 3 of 2019 .s 7 and 25</w:t>
        </w:r>
      </w:ins>
      <w:r>
        <w:t xml:space="preserve">.] </w:t>
      </w:r>
    </w:p>
    <w:p>
      <w:pPr>
        <w:pStyle w:val="Ednotesection"/>
      </w:pPr>
      <w:r>
        <w:t>[</w:t>
      </w:r>
      <w:r>
        <w:rPr>
          <w:b/>
        </w:rPr>
        <w:t>29A.</w:t>
      </w:r>
      <w:r>
        <w:tab/>
        <w:t>Deleted: No.</w:t>
      </w:r>
      <w:del w:id="215" w:author="svcMRProcess" w:date="2019-04-15T16:46:00Z">
        <w:r>
          <w:delText xml:space="preserve"> </w:delText>
        </w:r>
      </w:del>
      <w:ins w:id="216" w:author="svcMRProcess" w:date="2019-04-15T16:46:00Z">
        <w:r>
          <w:t> </w:t>
        </w:r>
      </w:ins>
      <w:r>
        <w:t>60 of 2011 s. 26.]</w:t>
      </w:r>
    </w:p>
    <w:p>
      <w:pPr>
        <w:pStyle w:val="Heading5"/>
        <w:rPr>
          <w:snapToGrid w:val="0"/>
        </w:rPr>
      </w:pPr>
      <w:bookmarkStart w:id="217" w:name="_Toc5719292"/>
      <w:bookmarkStart w:id="218" w:name="_Toc2160882"/>
      <w:r>
        <w:rPr>
          <w:rStyle w:val="CharSectno"/>
        </w:rPr>
        <w:t>30</w:t>
      </w:r>
      <w:r>
        <w:rPr>
          <w:snapToGrid w:val="0"/>
        </w:rPr>
        <w:t>.</w:t>
      </w:r>
      <w:r>
        <w:rPr>
          <w:snapToGrid w:val="0"/>
        </w:rPr>
        <w:tab/>
        <w:t>Variation of rent (except where calculated by reference to tenant’s income)</w:t>
      </w:r>
      <w:bookmarkEnd w:id="217"/>
      <w:bookmarkEnd w:id="218"/>
    </w:p>
    <w:p>
      <w:pPr>
        <w:pStyle w:val="Subsection"/>
        <w:rPr>
          <w:snapToGrid w:val="0"/>
        </w:rPr>
      </w:pPr>
      <w:r>
        <w:rPr>
          <w:snapToGrid w:val="0"/>
        </w:rPr>
        <w:tab/>
        <w:t>(1)</w:t>
      </w:r>
      <w:r>
        <w:rPr>
          <w:snapToGrid w:val="0"/>
        </w:rPr>
        <w:tab/>
        <w:t xml:space="preserve">Subject to this section and except </w:t>
      </w:r>
      <w:r>
        <w:t xml:space="preserve">where rent payable under a residential tenancy agreement is calculated by reference to the tenant’s income, </w:t>
      </w:r>
      <w:r>
        <w:rPr>
          <w:snapToGrid w:val="0"/>
        </w:rPr>
        <w:t xml:space="preserve">the rent payable under a residential tenancy agreement may be increased by </w:t>
      </w:r>
      <w:r>
        <w:t>the lessor</w:t>
      </w:r>
      <w:r>
        <w:rPr>
          <w:snapToGrid w:val="0"/>
        </w:rPr>
        <w:t xml:space="preserve"> by </w:t>
      </w:r>
      <w:r>
        <w:t xml:space="preserve">written notice to the tenant, in a form approved by the Minister, </w:t>
      </w:r>
      <w:r>
        <w:rPr>
          <w:snapToGrid w:val="0"/>
        </w:rPr>
        <w:t>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 xml:space="preserve">The right of </w:t>
      </w:r>
      <w:r>
        <w:t>the lessor</w:t>
      </w:r>
      <w:r>
        <w:rPr>
          <w:snapToGrid w:val="0"/>
        </w:rPr>
        <w:t xml:space="preserve"> to increase rent in accordance with subsection (1) — </w:t>
      </w:r>
    </w:p>
    <w:p>
      <w:pPr>
        <w:pStyle w:val="Indenta"/>
        <w:rPr>
          <w:snapToGrid w:val="0"/>
        </w:rPr>
      </w:pPr>
      <w:r>
        <w:rPr>
          <w:snapToGrid w:val="0"/>
        </w:rPr>
        <w:tab/>
        <w:t>(a)</w:t>
      </w:r>
      <w:r>
        <w:rPr>
          <w:snapToGrid w:val="0"/>
        </w:rPr>
        <w:tab/>
        <w:t xml:space="preserve">is not exercisable in relation to </w:t>
      </w:r>
      <w:r>
        <w:t>a residential tenancy agreement</w:t>
      </w:r>
      <w:r>
        <w:rPr>
          <w:snapToGrid w:val="0"/>
        </w:rPr>
        <w:t xml:space="preserve"> that creates a tenancy for a fixed term during the currency of that term unless</w:t>
      </w:r>
      <w:r>
        <w:t xml:space="preserve"> the amount of the increase, or the method of calculating the amount of the increase, is set out in the agreement; and</w:t>
      </w:r>
    </w:p>
    <w:p>
      <w:pPr>
        <w:pStyle w:val="Indenta"/>
        <w:rPr>
          <w:snapToGrid w:val="0"/>
        </w:rPr>
      </w:pPr>
      <w:r>
        <w:rPr>
          <w:snapToGrid w:val="0"/>
        </w:rPr>
        <w:tab/>
        <w:t>(b)</w:t>
      </w:r>
      <w:r>
        <w:rPr>
          <w:snapToGrid w:val="0"/>
        </w:rPr>
        <w:tab/>
        <w:t xml:space="preserve">in any case, may be excluded or limited by agreement between </w:t>
      </w:r>
      <w:r>
        <w:t>the lessor</w:t>
      </w:r>
      <w:r>
        <w:rPr>
          <w:snapToGrid w:val="0"/>
        </w:rPr>
        <w:t xml:space="preserve"> and the tenant.</w:t>
      </w:r>
    </w:p>
    <w:p>
      <w:pPr>
        <w:pStyle w:val="Subsection"/>
        <w:rPr>
          <w:snapToGrid w:val="0"/>
        </w:rPr>
      </w:pPr>
      <w:r>
        <w:rPr>
          <w:snapToGrid w:val="0"/>
        </w:rPr>
        <w:tab/>
        <w:t>(3)</w:t>
      </w:r>
      <w:r>
        <w:rPr>
          <w:snapToGrid w:val="0"/>
        </w:rPr>
        <w:tab/>
        <w:t xml:space="preserve">A notice of increase of rent that has been given in accordance with this section and that has not been withdrawn by </w:t>
      </w:r>
      <w:r>
        <w:t>the lessor</w:t>
      </w:r>
      <w:r>
        <w:rPr>
          <w:snapToGrid w:val="0"/>
        </w:rPr>
        <w:t xml:space="preserve"> varies the residential tenancy agreement to the effect that the increased rent specified in the notice is payable under the agreement as from the day specified in the notice.</w:t>
      </w:r>
    </w:p>
    <w:p>
      <w:pPr>
        <w:pStyle w:val="Footnotesection"/>
      </w:pPr>
      <w:r>
        <w:tab/>
        <w:t xml:space="preserve">[Section 30 amended: No. 60 of 2011 s. 27, 88 and 89.] </w:t>
      </w:r>
    </w:p>
    <w:p>
      <w:pPr>
        <w:pStyle w:val="Heading5"/>
      </w:pPr>
      <w:bookmarkStart w:id="219" w:name="_Toc5719293"/>
      <w:bookmarkStart w:id="220" w:name="_Toc2160883"/>
      <w:r>
        <w:rPr>
          <w:rStyle w:val="CharSectno"/>
        </w:rPr>
        <w:t>31A</w:t>
      </w:r>
      <w:r>
        <w:t>.</w:t>
      </w:r>
      <w:r>
        <w:tab/>
        <w:t>Variation of rent where calculated by reference to tenant’s income</w:t>
      </w:r>
      <w:bookmarkEnd w:id="219"/>
      <w:bookmarkEnd w:id="220"/>
    </w:p>
    <w:p>
      <w:pPr>
        <w:pStyle w:val="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pPr>
        <w:pStyle w:val="Subsection"/>
      </w:pPr>
      <w:r>
        <w:tab/>
        <w:t>(2)</w:t>
      </w:r>
      <w:r>
        <w:tab/>
      </w:r>
      <w:r>
        <w:rPr>
          <w:snapToGrid w:val="0"/>
        </w:rPr>
        <w:t xml:space="preserve">The method may be changed by notice in writing to the tenant, in a form approved by the Minister, specifying — </w:t>
      </w:r>
    </w:p>
    <w:p>
      <w:pPr>
        <w:pStyle w:val="Indenta"/>
      </w:pPr>
      <w:r>
        <w:tab/>
        <w:t>(a)</w:t>
      </w:r>
      <w:r>
        <w:tab/>
      </w:r>
      <w:r>
        <w:rPr>
          <w:snapToGrid w:val="0"/>
        </w:rPr>
        <w:t>the change to the method; and</w:t>
      </w:r>
    </w:p>
    <w:p>
      <w:pPr>
        <w:pStyle w:val="Indenta"/>
        <w:rPr>
          <w:snapToGrid w:val="0"/>
        </w:rPr>
      </w:pPr>
      <w:r>
        <w:tab/>
        <w:t>(b)</w:t>
      </w:r>
      <w:r>
        <w:tab/>
      </w:r>
      <w:r>
        <w:rPr>
          <w:snapToGrid w:val="0"/>
        </w:rPr>
        <w:t>the day as from which the change will take effect, being a day — </w:t>
      </w:r>
    </w:p>
    <w:p>
      <w:pPr>
        <w:pStyle w:val="Indenti"/>
      </w:pPr>
      <w:r>
        <w:tab/>
        <w:t>(i)</w:t>
      </w:r>
      <w:r>
        <w:tab/>
        <w:t>not less than 60 days after the day on which the notice is given; and</w:t>
      </w:r>
    </w:p>
    <w:p>
      <w:pPr>
        <w:pStyle w:val="Indenti"/>
      </w:pPr>
      <w:r>
        <w:tab/>
        <w:t>(ii)</w:t>
      </w:r>
      <w:r>
        <w:tab/>
        <w:t>not less than 6 months after the day on which the tenancy commenced, or, if the means of calculating rent has been changed under this section, the day on which it was last so changed.</w:t>
      </w:r>
    </w:p>
    <w:p>
      <w:pPr>
        <w:pStyle w:val="Footnotesection"/>
      </w:pPr>
      <w:r>
        <w:tab/>
        <w:t xml:space="preserve">[Section 31A inserted: No. 60 of 2011 s. 28.] </w:t>
      </w:r>
    </w:p>
    <w:p>
      <w:pPr>
        <w:pStyle w:val="Heading5"/>
      </w:pPr>
      <w:bookmarkStart w:id="221" w:name="_Toc5719294"/>
      <w:bookmarkStart w:id="222" w:name="_Toc2160884"/>
      <w:r>
        <w:rPr>
          <w:rStyle w:val="CharSectno"/>
        </w:rPr>
        <w:t>31B</w:t>
      </w:r>
      <w:r>
        <w:t>.</w:t>
      </w:r>
      <w:r>
        <w:tab/>
        <w:t>Increase in rent after renegotiating lease</w:t>
      </w:r>
      <w:bookmarkEnd w:id="221"/>
      <w:bookmarkEnd w:id="222"/>
    </w:p>
    <w:p>
      <w:pPr>
        <w:pStyle w:val="Subsection"/>
      </w:pPr>
      <w:r>
        <w:tab/>
        <w:t>(1)</w:t>
      </w:r>
      <w:r>
        <w:tab/>
        <w:t xml:space="preserve">Subsection (2) has effect if — </w:t>
      </w:r>
    </w:p>
    <w:p>
      <w:pPr>
        <w:pStyle w:val="Indenta"/>
      </w:pPr>
      <w:r>
        <w:tab/>
        <w:t>(a)</w:t>
      </w:r>
      <w:r>
        <w:tab/>
        <w:t xml:space="preserve">a residential tenancy agreement creates a tenancy for a fixed term (the </w:t>
      </w:r>
      <w:r>
        <w:rPr>
          <w:rStyle w:val="CharDefText"/>
        </w:rPr>
        <w:t>former agreement</w:t>
      </w:r>
      <w:r>
        <w:t>); and</w:t>
      </w:r>
    </w:p>
    <w:p>
      <w:pPr>
        <w:pStyle w:val="Indenta"/>
      </w:pPr>
      <w:r>
        <w:tab/>
        <w:t>(b)</w:t>
      </w:r>
      <w:r>
        <w:tab/>
        <w:t xml:space="preserve">the parties enter into a new residential tenancy agreement in relation to the same premises (the </w:t>
      </w:r>
      <w:r>
        <w:rPr>
          <w:rStyle w:val="CharDefText"/>
        </w:rPr>
        <w:t>new agreement</w:t>
      </w:r>
      <w:r>
        <w:t>) that is to commence immediately after the end of the term of the former agreement, whether under the terms of the agreement or under section 76C.</w:t>
      </w:r>
    </w:p>
    <w:p>
      <w:pPr>
        <w:pStyle w:val="Subsection"/>
      </w:pPr>
      <w:r>
        <w:tab/>
        <w:t>(2)</w:t>
      </w:r>
      <w:r>
        <w:tab/>
        <w:t>The tenant cannot be required under the new agreement to pay an amount of rent, in respect of the first 30 days of the new agreement, that is more than the amount that would have been payable under the former agreement if the former agreement had continued to have effect during that period.</w:t>
      </w:r>
    </w:p>
    <w:p>
      <w:pPr>
        <w:pStyle w:val="Footnotesection"/>
      </w:pPr>
      <w:r>
        <w:tab/>
        <w:t xml:space="preserve">[Section 31B inserted: No. 23 of 2014 s. 88.] </w:t>
      </w:r>
    </w:p>
    <w:p>
      <w:pPr>
        <w:pStyle w:val="Heading5"/>
        <w:rPr>
          <w:snapToGrid w:val="0"/>
        </w:rPr>
      </w:pPr>
      <w:bookmarkStart w:id="223" w:name="_Toc5719295"/>
      <w:bookmarkStart w:id="224" w:name="_Toc2160885"/>
      <w:r>
        <w:rPr>
          <w:rStyle w:val="CharSectno"/>
        </w:rPr>
        <w:t>31</w:t>
      </w:r>
      <w:r>
        <w:rPr>
          <w:snapToGrid w:val="0"/>
        </w:rPr>
        <w:t>.</w:t>
      </w:r>
      <w:r>
        <w:rPr>
          <w:snapToGrid w:val="0"/>
        </w:rPr>
        <w:tab/>
        <w:t>Increase in security bond</w:t>
      </w:r>
      <w:bookmarkEnd w:id="223"/>
      <w:bookmarkEnd w:id="224"/>
      <w:r>
        <w:rPr>
          <w:snapToGrid w:val="0"/>
        </w:rPr>
        <w:t xml:space="preserve"> </w:t>
      </w:r>
    </w:p>
    <w:p>
      <w:pPr>
        <w:pStyle w:val="Subsection"/>
        <w:rPr>
          <w:snapToGrid w:val="0"/>
        </w:rPr>
      </w:pPr>
      <w:r>
        <w:rPr>
          <w:snapToGrid w:val="0"/>
        </w:rPr>
        <w:tab/>
        <w:t>(1)</w:t>
      </w:r>
      <w:r>
        <w:rPr>
          <w:snapToGrid w:val="0"/>
        </w:rPr>
        <w:tab/>
        <w:t xml:space="preserve">Where the amount of the rent payable under a residential tenancy agreement has been increased under </w:t>
      </w:r>
      <w:r>
        <w:t xml:space="preserve">section 30 or 31A, </w:t>
      </w:r>
      <w:r>
        <w:rPr>
          <w:snapToGrid w:val="0"/>
        </w:rPr>
        <w:t xml:space="preserve">the amount of the security bond payable under the agreement may be increased by </w:t>
      </w:r>
      <w:r>
        <w:t>the lessor</w:t>
      </w:r>
      <w:r>
        <w:rPr>
          <w:snapToGrid w:val="0"/>
        </w:rPr>
        <w:t xml:space="preserve">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 xml:space="preserve">not less than </w:t>
      </w:r>
      <w:r>
        <w:t>6 months</w:t>
      </w:r>
      <w:r>
        <w:rPr>
          <w:snapToGrid w:val="0"/>
        </w:rPr>
        <w:t xml:space="preserve">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spacing w:before="150"/>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 xml:space="preserve">A notice of increase of the amount of a security bond that has been given in accordance with this section and that has not been withdrawn by </w:t>
      </w:r>
      <w:r>
        <w:t>the lessor</w:t>
      </w:r>
      <w:r>
        <w:rPr>
          <w:snapToGrid w:val="0"/>
        </w:rPr>
        <w:t xml:space="preserve">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Footnotesection"/>
      </w:pPr>
      <w:r>
        <w:tab/>
        <w:t xml:space="preserve">[Section 31 amended: No. 60 of 2011 s. 29 and 89; No. 23 of 2014 s. 89.] </w:t>
      </w:r>
    </w:p>
    <w:p>
      <w:pPr>
        <w:pStyle w:val="Heading5"/>
        <w:rPr>
          <w:snapToGrid w:val="0"/>
        </w:rPr>
      </w:pPr>
      <w:bookmarkStart w:id="225" w:name="_Toc5719296"/>
      <w:bookmarkStart w:id="226" w:name="_Toc2160886"/>
      <w:r>
        <w:rPr>
          <w:rStyle w:val="CharSectno"/>
        </w:rPr>
        <w:t>32</w:t>
      </w:r>
      <w:r>
        <w:rPr>
          <w:snapToGrid w:val="0"/>
        </w:rPr>
        <w:t>.</w:t>
      </w:r>
      <w:r>
        <w:rPr>
          <w:snapToGrid w:val="0"/>
        </w:rPr>
        <w:tab/>
        <w:t>Limitation of excessive rents in certain circumstances</w:t>
      </w:r>
      <w:bookmarkEnd w:id="225"/>
      <w:bookmarkEnd w:id="226"/>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pPr>
      <w:r>
        <w:tab/>
        <w:t>(2)</w:t>
      </w:r>
      <w:r>
        <w:tab/>
        <w:t>An application under subsection (1) must be made not more than 30 days, or any greater period as the court thinks fit having regard to the justice and merits of the case, after —</w:t>
      </w:r>
    </w:p>
    <w:p>
      <w:pPr>
        <w:pStyle w:val="Indenta"/>
      </w:pPr>
      <w:r>
        <w:tab/>
        <w:t>(a)</w:t>
      </w:r>
      <w:r>
        <w:tab/>
        <w:t>the tenant has received notice of —</w:t>
      </w:r>
    </w:p>
    <w:p>
      <w:pPr>
        <w:pStyle w:val="Indenti"/>
      </w:pPr>
      <w:r>
        <w:tab/>
        <w:t>(i)</w:t>
      </w:r>
      <w:r>
        <w:tab/>
        <w:t>an increase in the rent payable; or</w:t>
      </w:r>
    </w:p>
    <w:p>
      <w:pPr>
        <w:pStyle w:val="Indenti"/>
      </w:pPr>
      <w:r>
        <w:tab/>
        <w:t>(ii)</w:t>
      </w:r>
      <w:r>
        <w:tab/>
        <w:t>a change in the method of calculating rent that results in an increase in the rent payable;</w:t>
      </w:r>
    </w:p>
    <w:p>
      <w:pPr>
        <w:pStyle w:val="Indenta"/>
      </w:pPr>
      <w:r>
        <w:tab/>
      </w:r>
      <w:r>
        <w:tab/>
        <w:t>or</w:t>
      </w:r>
    </w:p>
    <w:p>
      <w:pPr>
        <w:pStyle w:val="Indenta"/>
      </w:pPr>
      <w:r>
        <w:tab/>
        <w:t>(b)</w:t>
      </w:r>
      <w:r>
        <w:tab/>
        <w:t>there has been, without any default on the part of the tenant, a significant reduction in the chattels or facilities provided with the premises.</w:t>
      </w:r>
    </w:p>
    <w:p>
      <w:pPr>
        <w:pStyle w:val="Subsection"/>
      </w:pPr>
      <w:r>
        <w:tab/>
        <w:t>(3A)</w:t>
      </w:r>
      <w:r>
        <w:tab/>
        <w:t>An application under subsection (1) may be made despite the fact that the tenant has paid, or agreed to pay,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 and</w:t>
      </w:r>
    </w:p>
    <w:p>
      <w:pPr>
        <w:pStyle w:val="Indenta"/>
        <w:rPr>
          <w:snapToGrid w:val="0"/>
        </w:rPr>
      </w:pPr>
      <w:r>
        <w:rPr>
          <w:snapToGrid w:val="0"/>
        </w:rPr>
        <w:tab/>
        <w:t>(b)</w:t>
      </w:r>
      <w:r>
        <w:rPr>
          <w:snapToGrid w:val="0"/>
        </w:rPr>
        <w:tab/>
        <w:t>the estimated capital value of the premises at the date of the application; and</w:t>
      </w:r>
    </w:p>
    <w:p>
      <w:pPr>
        <w:pStyle w:val="Indenta"/>
        <w:rPr>
          <w:snapToGrid w:val="0"/>
        </w:rPr>
      </w:pPr>
      <w:r>
        <w:rPr>
          <w:snapToGrid w:val="0"/>
        </w:rPr>
        <w:tab/>
        <w:t>(c)</w:t>
      </w:r>
      <w:r>
        <w:rPr>
          <w:snapToGrid w:val="0"/>
        </w:rPr>
        <w:tab/>
        <w:t xml:space="preserve">the amount of the outgoings in respect of the premises required to be borne by </w:t>
      </w:r>
      <w:r>
        <w:t>the lessor</w:t>
      </w:r>
      <w:r>
        <w:rPr>
          <w:snapToGrid w:val="0"/>
        </w:rPr>
        <w:t xml:space="preserve"> under the agreement; and</w:t>
      </w:r>
    </w:p>
    <w:p>
      <w:pPr>
        <w:pStyle w:val="Indenta"/>
        <w:rPr>
          <w:snapToGrid w:val="0"/>
        </w:rPr>
      </w:pPr>
      <w:r>
        <w:rPr>
          <w:snapToGrid w:val="0"/>
        </w:rPr>
        <w:tab/>
        <w:t>(d)</w:t>
      </w:r>
      <w:r>
        <w:rPr>
          <w:snapToGrid w:val="0"/>
        </w:rPr>
        <w:tab/>
        <w:t xml:space="preserve">the estimated cost of any services provided by </w:t>
      </w:r>
      <w:r>
        <w:t>the lessor</w:t>
      </w:r>
      <w:r>
        <w:rPr>
          <w:snapToGrid w:val="0"/>
        </w:rPr>
        <w:t xml:space="preserve"> or tenant under the agreement; and</w:t>
      </w:r>
    </w:p>
    <w:p>
      <w:pPr>
        <w:pStyle w:val="Indenta"/>
        <w:rPr>
          <w:snapToGrid w:val="0"/>
        </w:rPr>
      </w:pPr>
      <w:r>
        <w:rPr>
          <w:snapToGrid w:val="0"/>
        </w:rPr>
        <w:tab/>
        <w:t>(e)</w:t>
      </w:r>
      <w:r>
        <w:rPr>
          <w:snapToGrid w:val="0"/>
        </w:rPr>
        <w:tab/>
        <w:t>the value and nature of the chattels provided with the premises for use by the tenant; and</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which may be a day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 xml:space="preserve">A court may, upon application by </w:t>
      </w:r>
      <w:r>
        <w:t>the lessor</w:t>
      </w:r>
      <w:r>
        <w:rPr>
          <w:snapToGrid w:val="0"/>
        </w:rPr>
        <w:t xml:space="preserve">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pPr>
      <w:r>
        <w:tab/>
        <w:t>Penalty</w:t>
      </w:r>
      <w:ins w:id="227" w:author="svcMRProcess" w:date="2019-04-15T16:46:00Z">
        <w:r>
          <w:t xml:space="preserve"> for this subsection</w:t>
        </w:r>
      </w:ins>
      <w:r>
        <w:t>: a fine of $5 000.</w:t>
      </w:r>
    </w:p>
    <w:p>
      <w:pPr>
        <w:pStyle w:val="Footnotesection"/>
      </w:pPr>
      <w:r>
        <w:tab/>
        <w:t>[Section 32 amended: No. 50 of 1988 s. 18; No. 59 of 2004 s. 120 and 121; No. 60 of 2011 s. 30 and 89</w:t>
      </w:r>
      <w:del w:id="228" w:author="svcMRProcess" w:date="2019-04-15T16:46:00Z">
        <w:r>
          <w:delText>.]</w:delText>
        </w:r>
      </w:del>
      <w:ins w:id="229" w:author="svcMRProcess" w:date="2019-04-15T16:46:00Z">
        <w:r>
          <w:t>; No. 3 of 2019 s. 25.]</w:t>
        </w:r>
      </w:ins>
      <w:r>
        <w:t xml:space="preserve"> </w:t>
      </w:r>
    </w:p>
    <w:p>
      <w:pPr>
        <w:pStyle w:val="Heading5"/>
        <w:rPr>
          <w:snapToGrid w:val="0"/>
        </w:rPr>
      </w:pPr>
      <w:bookmarkStart w:id="230" w:name="_Toc5719297"/>
      <w:bookmarkStart w:id="231" w:name="_Toc2160887"/>
      <w:r>
        <w:rPr>
          <w:rStyle w:val="CharSectno"/>
        </w:rPr>
        <w:t>33</w:t>
      </w:r>
      <w:r>
        <w:rPr>
          <w:snapToGrid w:val="0"/>
        </w:rPr>
        <w:t>.</w:t>
      </w:r>
      <w:r>
        <w:rPr>
          <w:snapToGrid w:val="0"/>
        </w:rPr>
        <w:tab/>
        <w:t>Duty to give receipt for rent</w:t>
      </w:r>
      <w:bookmarkEnd w:id="230"/>
      <w:bookmarkEnd w:id="231"/>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t>
      </w:r>
      <w:r>
        <w:t>within 3 days after</w:t>
      </w:r>
      <w:r>
        <w:rPr>
          <w:snapToGrid w:val="0"/>
        </w:rPr>
        <w:t xml:space="preserve"> receiving the rent (not including an “excluded day” as defined in section 61(2) of the </w:t>
      </w:r>
      <w:r>
        <w:rPr>
          <w:i/>
          <w:snapToGrid w:val="0"/>
        </w:rPr>
        <w:t>Interpretation Act 1984</w:t>
      </w:r>
      <w:r>
        <w:rPr>
          <w:snapToGrid w:val="0"/>
        </w:rPr>
        <w:t xml:space="preserve">), prepare and </w:t>
      </w:r>
      <w:r>
        <w:t>give to</w:t>
      </w:r>
      <w:r>
        <w:rPr>
          <w:snapToGrid w:val="0"/>
        </w:rPr>
        <w:t xml:space="preserve">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pPr>
      <w:r>
        <w:tab/>
        <w:t>Penalty</w:t>
      </w:r>
      <w:ins w:id="232" w:author="svcMRProcess" w:date="2019-04-15T16:46:00Z">
        <w:r>
          <w:t xml:space="preserve"> for this subsection</w:t>
        </w:r>
      </w:ins>
      <w:r>
        <w:t>: a fine of $5 000.</w:t>
      </w:r>
    </w:p>
    <w:p>
      <w:pPr>
        <w:pStyle w:val="Subsection"/>
        <w:rPr>
          <w:snapToGrid w:val="0"/>
        </w:rPr>
      </w:pPr>
      <w:r>
        <w:rPr>
          <w:snapToGrid w:val="0"/>
        </w:rPr>
        <w:tab/>
        <w:t>(2)</w:t>
      </w:r>
      <w:r>
        <w:rPr>
          <w:snapToGrid w:val="0"/>
        </w:rPr>
        <w:tab/>
        <w:t xml:space="preserve">Subsection (1) does not apply to rent paid under </w:t>
      </w:r>
      <w:r>
        <w:t>a residential tenancy agreement</w:t>
      </w:r>
      <w:r>
        <w:rPr>
          <w:snapToGrid w:val="0"/>
        </w:rPr>
        <w:t xml:space="preserve"> between </w:t>
      </w:r>
      <w:r>
        <w:t>the lessor</w:t>
      </w:r>
      <w:r>
        <w:rPr>
          <w:snapToGrid w:val="0"/>
        </w:rPr>
        <w:t xml:space="preserve"> and tenant into an account at </w:t>
      </w:r>
      <w:r>
        <w:t>an ADI (authorised deposit</w:t>
      </w:r>
      <w:r>
        <w:noBreakHyphen/>
        <w:t xml:space="preserve">taking institution) as defined in section 5 of the </w:t>
      </w:r>
      <w:r>
        <w:rPr>
          <w:i/>
        </w:rPr>
        <w:t>Banking Act 1959</w:t>
      </w:r>
      <w:r>
        <w:t xml:space="preserve"> (Commonwealth) </w:t>
      </w:r>
      <w:r>
        <w:rPr>
          <w:snapToGrid w:val="0"/>
        </w:rPr>
        <w:t xml:space="preserve">nominated by </w:t>
      </w:r>
      <w:r>
        <w:t>the lessor</w:t>
      </w:r>
      <w:r>
        <w:rPr>
          <w:snapToGrid w:val="0"/>
        </w:rPr>
        <w:t>.</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[Section 33 amended: No. 59 of 1995 s. 55; No.</w:t>
      </w:r>
      <w:del w:id="233" w:author="svcMRProcess" w:date="2019-04-15T16:46:00Z">
        <w:r>
          <w:delText xml:space="preserve"> </w:delText>
        </w:r>
      </w:del>
      <w:ins w:id="234" w:author="svcMRProcess" w:date="2019-04-15T16:46:00Z">
        <w:r>
          <w:t> </w:t>
        </w:r>
      </w:ins>
      <w:r>
        <w:t>26 of 1999 s. 100(2); No. 60 of 2011 s. 31, 88 and 89</w:t>
      </w:r>
      <w:ins w:id="235" w:author="svcMRProcess" w:date="2019-04-15T16:46:00Z">
        <w:r>
          <w:t>; No. 3 of 2019 s. 25</w:t>
        </w:r>
      </w:ins>
      <w:r>
        <w:t xml:space="preserve">.] </w:t>
      </w:r>
    </w:p>
    <w:p>
      <w:pPr>
        <w:pStyle w:val="Heading5"/>
      </w:pPr>
      <w:bookmarkStart w:id="236" w:name="_Toc5719298"/>
      <w:bookmarkStart w:id="237" w:name="_Toc2160888"/>
      <w:r>
        <w:rPr>
          <w:rStyle w:val="CharSectno"/>
        </w:rPr>
        <w:t>34A</w:t>
      </w:r>
      <w:r>
        <w:t>.</w:t>
      </w:r>
      <w:r>
        <w:tab/>
        <w:t>Manner of payment of rent</w:t>
      </w:r>
      <w:bookmarkEnd w:id="236"/>
      <w:bookmarkEnd w:id="237"/>
    </w:p>
    <w:p>
      <w:pPr>
        <w:pStyle w:val="Subsection"/>
      </w:pPr>
      <w:r>
        <w:tab/>
      </w:r>
      <w:r>
        <w:tab/>
        <w:t>Except as otherwise provided in a residential tenancy agreement, a tenant under the agreement may pay rent in the form of cash or a cheque, or in the manner referred to in section 33(2).</w:t>
      </w:r>
    </w:p>
    <w:p>
      <w:pPr>
        <w:pStyle w:val="Footnotesection"/>
      </w:pPr>
      <w:r>
        <w:tab/>
        <w:t xml:space="preserve">[Section 34A inserted: No. 60 of 2011 s. 32.] </w:t>
      </w:r>
    </w:p>
    <w:p>
      <w:pPr>
        <w:pStyle w:val="Heading5"/>
        <w:rPr>
          <w:snapToGrid w:val="0"/>
        </w:rPr>
      </w:pPr>
      <w:bookmarkStart w:id="238" w:name="_Toc5719299"/>
      <w:bookmarkStart w:id="239" w:name="_Toc2160889"/>
      <w:r>
        <w:rPr>
          <w:rStyle w:val="CharSectno"/>
        </w:rPr>
        <w:t>34</w:t>
      </w:r>
      <w:r>
        <w:rPr>
          <w:snapToGrid w:val="0"/>
        </w:rPr>
        <w:t>.</w:t>
      </w:r>
      <w:r>
        <w:rPr>
          <w:snapToGrid w:val="0"/>
        </w:rPr>
        <w:tab/>
        <w:t>Proper records of rent to be kept</w:t>
      </w:r>
      <w:bookmarkEnd w:id="238"/>
      <w:bookmarkEnd w:id="239"/>
      <w:r>
        <w:rPr>
          <w:snapToGrid w:val="0"/>
        </w:rPr>
        <w:t xml:space="preserve"> </w:t>
      </w:r>
    </w:p>
    <w:p>
      <w:pPr>
        <w:pStyle w:val="Subsection"/>
        <w:rPr>
          <w:snapToGrid w:val="0"/>
        </w:rPr>
      </w:pPr>
      <w:r>
        <w:rPr>
          <w:snapToGrid w:val="0"/>
        </w:rPr>
        <w:tab/>
        <w:t>(1)</w:t>
      </w:r>
      <w:r>
        <w:rPr>
          <w:snapToGrid w:val="0"/>
        </w:rPr>
        <w:tab/>
      </w:r>
      <w:r>
        <w:t>A lessor</w:t>
      </w:r>
      <w:r>
        <w:rPr>
          <w:snapToGrid w:val="0"/>
        </w:rPr>
        <w:t xml:space="preserve"> shall keep, or cause to be kept, a record </w:t>
      </w:r>
      <w:r>
        <w:t xml:space="preserve">in accordance with subsection (2A) </w:t>
      </w:r>
      <w:r>
        <w:rPr>
          <w:snapToGrid w:val="0"/>
        </w:rPr>
        <w:t>showing the rent received in respect of the premises.</w:t>
      </w:r>
    </w:p>
    <w:p>
      <w:pPr>
        <w:pStyle w:val="Penstart"/>
      </w:pPr>
      <w:r>
        <w:tab/>
        <w:t>Penalty</w:t>
      </w:r>
      <w:ins w:id="240" w:author="svcMRProcess" w:date="2019-04-15T16:46:00Z">
        <w:r>
          <w:t xml:space="preserve"> for this subsection</w:t>
        </w:r>
      </w:ins>
      <w:r>
        <w:t>: a fine of $5 000.</w:t>
      </w:r>
    </w:p>
    <w:p>
      <w:pPr>
        <w:pStyle w:val="Subsection"/>
        <w:keepNext/>
      </w:pPr>
      <w:r>
        <w:tab/>
        <w:t>(2A)</w:t>
      </w:r>
      <w:r>
        <w:tab/>
        <w:t>The record should specify all of the following —</w:t>
      </w:r>
    </w:p>
    <w:p>
      <w:pPr>
        <w:pStyle w:val="Indenta"/>
      </w:pPr>
      <w:r>
        <w:tab/>
        <w:t>(a)</w:t>
      </w:r>
      <w:r>
        <w:tab/>
        <w:t>the fact that the payment is for rent;</w:t>
      </w:r>
    </w:p>
    <w:p>
      <w:pPr>
        <w:pStyle w:val="Indenta"/>
      </w:pPr>
      <w:r>
        <w:tab/>
        <w:t>(b)</w:t>
      </w:r>
      <w:r>
        <w:tab/>
        <w:t>the date the rent is received;</w:t>
      </w:r>
    </w:p>
    <w:p>
      <w:pPr>
        <w:pStyle w:val="Indenta"/>
      </w:pPr>
      <w:r>
        <w:tab/>
        <w:t>(c)</w:t>
      </w:r>
      <w:r>
        <w:tab/>
        <w:t>the name of the person paying the rent;</w:t>
      </w:r>
    </w:p>
    <w:p>
      <w:pPr>
        <w:pStyle w:val="Indenta"/>
      </w:pPr>
      <w:r>
        <w:tab/>
        <w:t>(d)</w:t>
      </w:r>
      <w:r>
        <w:tab/>
        <w:t>the amount paid;</w:t>
      </w:r>
    </w:p>
    <w:p>
      <w:pPr>
        <w:pStyle w:val="Indenta"/>
      </w:pPr>
      <w:r>
        <w:tab/>
        <w:t>(e)</w:t>
      </w:r>
      <w:r>
        <w:tab/>
        <w:t>the period in respect of which it is paid;</w:t>
      </w:r>
    </w:p>
    <w:p>
      <w:pPr>
        <w:pStyle w:val="Indenta"/>
      </w:pPr>
      <w:r>
        <w:tab/>
        <w:t>(f)</w:t>
      </w:r>
      <w:r>
        <w:tab/>
        <w:t>the premises in respect of which it is paid.</w:t>
      </w:r>
    </w:p>
    <w:p>
      <w:pPr>
        <w:pStyle w:val="Subsection"/>
        <w:rPr>
          <w:snapToGrid w:val="0"/>
        </w:rPr>
      </w:pPr>
      <w:r>
        <w:rPr>
          <w:snapToGrid w:val="0"/>
        </w:rPr>
        <w:tab/>
        <w:t>(2)</w:t>
      </w:r>
      <w:r>
        <w:rPr>
          <w:snapToGrid w:val="0"/>
        </w:rPr>
        <w:tab/>
        <w:t xml:space="preserve">No person shall make in any record referred to in subsection (1) any entry that </w:t>
      </w:r>
      <w:r>
        <w:t>the person knows is false or misleading</w:t>
      </w:r>
      <w:r>
        <w:rPr>
          <w:snapToGrid w:val="0"/>
        </w:rPr>
        <w:t xml:space="preserve"> in a material particular.</w:t>
      </w:r>
    </w:p>
    <w:p>
      <w:pPr>
        <w:pStyle w:val="Penstart"/>
      </w:pPr>
      <w:r>
        <w:tab/>
        <w:t>Penalty</w:t>
      </w:r>
      <w:ins w:id="241" w:author="svcMRProcess" w:date="2019-04-15T16:46:00Z">
        <w:r>
          <w:t xml:space="preserve"> for this subsection</w:t>
        </w:r>
      </w:ins>
      <w:r>
        <w:t>: a fine of $5 000.</w:t>
      </w:r>
    </w:p>
    <w:p>
      <w:pPr>
        <w:pStyle w:val="Footnotesection"/>
      </w:pPr>
      <w:r>
        <w:tab/>
        <w:t>[Section 34 amended: No. 59 of 1995 s. 55; No. 60 of 2011 s. 33 and 89</w:t>
      </w:r>
      <w:ins w:id="242" w:author="svcMRProcess" w:date="2019-04-15T16:46:00Z">
        <w:r>
          <w:t>; No. 3 of 2019 s. 25</w:t>
        </w:r>
      </w:ins>
      <w:r>
        <w:t xml:space="preserve">.] </w:t>
      </w:r>
    </w:p>
    <w:p>
      <w:pPr>
        <w:pStyle w:val="Heading5"/>
        <w:rPr>
          <w:snapToGrid w:val="0"/>
        </w:rPr>
      </w:pPr>
      <w:bookmarkStart w:id="243" w:name="_Toc5719300"/>
      <w:bookmarkStart w:id="244" w:name="_Toc2160890"/>
      <w:r>
        <w:rPr>
          <w:rStyle w:val="CharSectno"/>
        </w:rPr>
        <w:t>35</w:t>
      </w:r>
      <w:r>
        <w:rPr>
          <w:snapToGrid w:val="0"/>
        </w:rPr>
        <w:t>.</w:t>
      </w:r>
      <w:r>
        <w:rPr>
          <w:snapToGrid w:val="0"/>
        </w:rPr>
        <w:tab/>
        <w:t>Payment of rent by post</w:t>
      </w:r>
      <w:r>
        <w:rPr>
          <w:snapToGrid w:val="0"/>
        </w:rPr>
        <w:noBreakHyphen/>
        <w:t>dated cheques etc. prohibited</w:t>
      </w:r>
      <w:bookmarkEnd w:id="243"/>
      <w:bookmarkEnd w:id="244"/>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pPr>
      <w:r>
        <w:tab/>
        <w:t>Penalty: a fine of $5 000.</w:t>
      </w:r>
    </w:p>
    <w:p>
      <w:pPr>
        <w:pStyle w:val="Footnotesection"/>
      </w:pPr>
      <w:r>
        <w:tab/>
        <w:t xml:space="preserve">[Section 35 amended: No. 59 of 1995 s. 55; No. 60 of 2011 s. 34.] </w:t>
      </w:r>
    </w:p>
    <w:p>
      <w:pPr>
        <w:pStyle w:val="Heading5"/>
        <w:rPr>
          <w:snapToGrid w:val="0"/>
        </w:rPr>
      </w:pPr>
      <w:bookmarkStart w:id="245" w:name="_Toc5719301"/>
      <w:bookmarkStart w:id="246" w:name="_Toc2160891"/>
      <w:r>
        <w:rPr>
          <w:rStyle w:val="CharSectno"/>
        </w:rPr>
        <w:t>36</w:t>
      </w:r>
      <w:r>
        <w:rPr>
          <w:snapToGrid w:val="0"/>
        </w:rPr>
        <w:t>.</w:t>
      </w:r>
      <w:r>
        <w:rPr>
          <w:snapToGrid w:val="0"/>
        </w:rPr>
        <w:tab/>
        <w:t>Apportionment of rent</w:t>
      </w:r>
      <w:bookmarkEnd w:id="245"/>
      <w:bookmarkEnd w:id="246"/>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247" w:name="_Toc2153334"/>
      <w:bookmarkStart w:id="248" w:name="_Toc2160168"/>
      <w:bookmarkStart w:id="249" w:name="_Toc2160892"/>
      <w:bookmarkStart w:id="250" w:name="_Toc5621515"/>
      <w:bookmarkStart w:id="251" w:name="_Toc5632923"/>
      <w:bookmarkStart w:id="252" w:name="_Toc5719302"/>
      <w:r>
        <w:rPr>
          <w:rStyle w:val="CharDivNo"/>
        </w:rPr>
        <w:t>Division 2</w:t>
      </w:r>
      <w:r>
        <w:rPr>
          <w:snapToGrid w:val="0"/>
        </w:rPr>
        <w:t> — </w:t>
      </w:r>
      <w:r>
        <w:rPr>
          <w:rStyle w:val="CharDivText"/>
        </w:rPr>
        <w:t>Standard terms</w:t>
      </w:r>
      <w:bookmarkEnd w:id="247"/>
      <w:bookmarkEnd w:id="248"/>
      <w:bookmarkEnd w:id="249"/>
      <w:bookmarkEnd w:id="250"/>
      <w:bookmarkEnd w:id="251"/>
      <w:bookmarkEnd w:id="252"/>
    </w:p>
    <w:p>
      <w:pPr>
        <w:pStyle w:val="Footnoteheading"/>
      </w:pPr>
      <w:r>
        <w:tab/>
        <w:t>[Heading amended: No.</w:t>
      </w:r>
      <w:del w:id="253" w:author="svcMRProcess" w:date="2019-04-15T16:46:00Z">
        <w:r>
          <w:delText xml:space="preserve"> </w:delText>
        </w:r>
      </w:del>
      <w:ins w:id="254" w:author="svcMRProcess" w:date="2019-04-15T16:46:00Z">
        <w:r>
          <w:t> </w:t>
        </w:r>
      </w:ins>
      <w:r>
        <w:t>60 of 2011 s. 35.]</w:t>
      </w:r>
    </w:p>
    <w:p>
      <w:pPr>
        <w:pStyle w:val="Ednotesection"/>
      </w:pPr>
      <w:r>
        <w:t>[</w:t>
      </w:r>
      <w:r>
        <w:rPr>
          <w:b/>
        </w:rPr>
        <w:t>37.</w:t>
      </w:r>
      <w:r>
        <w:tab/>
        <w:t>Deleted: No.</w:t>
      </w:r>
      <w:del w:id="255" w:author="svcMRProcess" w:date="2019-04-15T16:46:00Z">
        <w:r>
          <w:delText xml:space="preserve"> </w:delText>
        </w:r>
      </w:del>
      <w:ins w:id="256" w:author="svcMRProcess" w:date="2019-04-15T16:46:00Z">
        <w:r>
          <w:t> </w:t>
        </w:r>
      </w:ins>
      <w:r>
        <w:t>60 of 2011 s. 36.]</w:t>
      </w:r>
    </w:p>
    <w:p>
      <w:pPr>
        <w:pStyle w:val="Heading5"/>
        <w:rPr>
          <w:snapToGrid w:val="0"/>
        </w:rPr>
      </w:pPr>
      <w:bookmarkStart w:id="257" w:name="_Toc5719303"/>
      <w:bookmarkStart w:id="258" w:name="_Toc2160893"/>
      <w:r>
        <w:rPr>
          <w:rStyle w:val="CharSectno"/>
        </w:rPr>
        <w:t>38</w:t>
      </w:r>
      <w:r>
        <w:rPr>
          <w:snapToGrid w:val="0"/>
        </w:rPr>
        <w:t>.</w:t>
      </w:r>
      <w:r>
        <w:rPr>
          <w:snapToGrid w:val="0"/>
        </w:rPr>
        <w:tab/>
        <w:t>Tenant’s responsibility for cleanliness and damage</w:t>
      </w:r>
      <w:bookmarkEnd w:id="257"/>
      <w:bookmarkEnd w:id="258"/>
      <w:r>
        <w:rPr>
          <w:snapToGrid w:val="0"/>
        </w:rPr>
        <w:t xml:space="preserve"> </w:t>
      </w:r>
    </w:p>
    <w:p>
      <w:pPr>
        <w:pStyle w:val="Subsection"/>
        <w:rPr>
          <w:snapToGrid w:val="0"/>
        </w:rPr>
      </w:pPr>
      <w:r>
        <w:rPr>
          <w:snapToGrid w:val="0"/>
        </w:rPr>
        <w:tab/>
        <w:t>(1)</w:t>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keep the premises in a reasonable state of cleanliness; and</w:t>
      </w:r>
    </w:p>
    <w:p>
      <w:pPr>
        <w:pStyle w:val="Indenta"/>
        <w:rPr>
          <w:snapToGrid w:val="0"/>
        </w:rPr>
      </w:pPr>
      <w:r>
        <w:rPr>
          <w:snapToGrid w:val="0"/>
        </w:rPr>
        <w:tab/>
        <w:t>(b)</w:t>
      </w:r>
      <w:r>
        <w:rPr>
          <w:snapToGrid w:val="0"/>
        </w:rPr>
        <w:tab/>
        <w:t xml:space="preserve">shall notify </w:t>
      </w:r>
      <w:r>
        <w:t>the lessor</w:t>
      </w:r>
      <w:r>
        <w:rPr>
          <w:snapToGrid w:val="0"/>
        </w:rPr>
        <w:t xml:space="preserve"> as soon as practicable </w:t>
      </w:r>
      <w:r>
        <w:t>after</w:t>
      </w:r>
      <w:r>
        <w:rPr>
          <w:snapToGrid w:val="0"/>
        </w:rPr>
        <w:t xml:space="preserve">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Footnotesection"/>
      </w:pPr>
      <w:r>
        <w:tab/>
        <w:t>[Section 38 amended: No.</w:t>
      </w:r>
      <w:del w:id="259" w:author="svcMRProcess" w:date="2019-04-15T16:46:00Z">
        <w:r>
          <w:delText xml:space="preserve"> </w:delText>
        </w:r>
      </w:del>
      <w:ins w:id="260" w:author="svcMRProcess" w:date="2019-04-15T16:46:00Z">
        <w:r>
          <w:t> </w:t>
        </w:r>
      </w:ins>
      <w:r>
        <w:t>60 of 2011 s. 37 and 89.]</w:t>
      </w:r>
    </w:p>
    <w:p>
      <w:pPr>
        <w:pStyle w:val="Heading5"/>
        <w:rPr>
          <w:snapToGrid w:val="0"/>
        </w:rPr>
      </w:pPr>
      <w:bookmarkStart w:id="261" w:name="_Toc5719304"/>
      <w:bookmarkStart w:id="262" w:name="_Toc2160894"/>
      <w:r>
        <w:rPr>
          <w:rStyle w:val="CharSectno"/>
        </w:rPr>
        <w:t>39</w:t>
      </w:r>
      <w:r>
        <w:rPr>
          <w:snapToGrid w:val="0"/>
        </w:rPr>
        <w:t>.</w:t>
      </w:r>
      <w:r>
        <w:rPr>
          <w:snapToGrid w:val="0"/>
        </w:rPr>
        <w:tab/>
        <w:t>Tenant’s conduct on premises</w:t>
      </w:r>
      <w:bookmarkEnd w:id="261"/>
      <w:bookmarkEnd w:id="262"/>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Footnotesection"/>
      </w:pPr>
      <w:r>
        <w:tab/>
        <w:t>[Section 39 amended: No.</w:t>
      </w:r>
      <w:del w:id="263" w:author="svcMRProcess" w:date="2019-04-15T16:46:00Z">
        <w:r>
          <w:delText xml:space="preserve"> </w:delText>
        </w:r>
      </w:del>
      <w:ins w:id="264" w:author="svcMRProcess" w:date="2019-04-15T16:46:00Z">
        <w:r>
          <w:t> </w:t>
        </w:r>
      </w:ins>
      <w:r>
        <w:t>60 of 2011 s. 38.]</w:t>
      </w:r>
    </w:p>
    <w:p>
      <w:pPr>
        <w:pStyle w:val="Heading5"/>
      </w:pPr>
      <w:bookmarkStart w:id="265" w:name="_Toc5719305"/>
      <w:bookmarkStart w:id="266" w:name="_Toc2160895"/>
      <w:r>
        <w:rPr>
          <w:rStyle w:val="CharSectno"/>
        </w:rPr>
        <w:t>40</w:t>
      </w:r>
      <w:r>
        <w:t>.</w:t>
      </w:r>
      <w:r>
        <w:tab/>
        <w:t>Vacant possession</w:t>
      </w:r>
      <w:bookmarkEnd w:id="265"/>
      <w:bookmarkEnd w:id="266"/>
      <w:r>
        <w:t xml:space="preserve"> </w:t>
      </w:r>
    </w:p>
    <w:p>
      <w:pPr>
        <w:pStyle w:val="Subsection"/>
      </w:pPr>
      <w:r>
        <w:tab/>
        <w:t>(1)</w:t>
      </w:r>
      <w:r>
        <w:tab/>
        <w:t>In this section —</w:t>
      </w:r>
    </w:p>
    <w:p>
      <w:pPr>
        <w:pStyle w:val="Defstart"/>
      </w:pPr>
      <w:r>
        <w:tab/>
      </w:r>
      <w:r>
        <w:rPr>
          <w:rStyle w:val="CharDefText"/>
        </w:rPr>
        <w:t>premises</w:t>
      </w:r>
      <w:r>
        <w:t xml:space="preserve"> does not include —</w:t>
      </w:r>
    </w:p>
    <w:p>
      <w:pPr>
        <w:pStyle w:val="Defpara"/>
      </w:pPr>
      <w:r>
        <w:tab/>
        <w:t>(a)</w:t>
      </w:r>
      <w:r>
        <w:tab/>
        <w:t>any part of the premises in respect of which the tenant does not have a right of exclusive occupation; or</w:t>
      </w:r>
    </w:p>
    <w:p>
      <w:pPr>
        <w:pStyle w:val="Defpara"/>
      </w:pPr>
      <w:r>
        <w:tab/>
        <w:t>(b)</w:t>
      </w:r>
      <w:r>
        <w:tab/>
        <w:t>any part of the premises to which the parties to the residential tenancy agreement have agreed the tenant will not have access.</w:t>
      </w:r>
    </w:p>
    <w:p>
      <w:pPr>
        <w:pStyle w:val="Subsection"/>
      </w:pPr>
      <w:r>
        <w:tab/>
        <w:t>(2)</w:t>
      </w:r>
      <w:r>
        <w:tab/>
        <w:t>It is a term of every residential tenancy agreement that the tenant must have vacant possession of the premises on the day on which the tenant is entitled to enter into occupation of the premises under the agreement.</w:t>
      </w:r>
    </w:p>
    <w:p>
      <w:pPr>
        <w:pStyle w:val="Footnotesection"/>
      </w:pPr>
      <w:r>
        <w:tab/>
        <w:t>[Section 40 inserted: No.</w:t>
      </w:r>
      <w:del w:id="267" w:author="svcMRProcess" w:date="2019-04-15T16:46:00Z">
        <w:r>
          <w:delText xml:space="preserve"> </w:delText>
        </w:r>
      </w:del>
      <w:ins w:id="268" w:author="svcMRProcess" w:date="2019-04-15T16:46:00Z">
        <w:r>
          <w:t> </w:t>
        </w:r>
      </w:ins>
      <w:r>
        <w:t>60 of 2011 s. 39.]</w:t>
      </w:r>
    </w:p>
    <w:p>
      <w:pPr>
        <w:pStyle w:val="Heading5"/>
        <w:rPr>
          <w:snapToGrid w:val="0"/>
        </w:rPr>
      </w:pPr>
      <w:bookmarkStart w:id="269" w:name="_Toc5719306"/>
      <w:bookmarkStart w:id="270" w:name="_Toc2160896"/>
      <w:r>
        <w:rPr>
          <w:rStyle w:val="CharSectno"/>
        </w:rPr>
        <w:t>41</w:t>
      </w:r>
      <w:r>
        <w:rPr>
          <w:snapToGrid w:val="0"/>
        </w:rPr>
        <w:t>.</w:t>
      </w:r>
      <w:r>
        <w:rPr>
          <w:snapToGrid w:val="0"/>
        </w:rPr>
        <w:tab/>
        <w:t>Legal impediments to occupation as residence</w:t>
      </w:r>
      <w:bookmarkEnd w:id="269"/>
      <w:bookmarkEnd w:id="270"/>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on the part of </w:t>
      </w:r>
      <w:r>
        <w:t>the lessor</w:t>
      </w:r>
      <w:r>
        <w:rPr>
          <w:snapToGrid w:val="0"/>
        </w:rPr>
        <w:t xml:space="preserve"> that there is not any legal impediment of which, at the time of entering into the agreement, </w:t>
      </w:r>
      <w:r>
        <w:t>the lessor</w:t>
      </w:r>
      <w:r>
        <w:rPr>
          <w:snapToGrid w:val="0"/>
        </w:rPr>
        <w:t xml:space="preserve"> had or ought reasonably to have had knowledge to occupation of the premises as a residence for the </w:t>
      </w:r>
      <w:del w:id="271" w:author="svcMRProcess" w:date="2019-04-15T16:46:00Z">
        <w:r>
          <w:rPr>
            <w:snapToGrid w:val="0"/>
          </w:rPr>
          <w:delText xml:space="preserve">period of the </w:delText>
        </w:r>
      </w:del>
      <w:r>
        <w:t>tenancy</w:t>
      </w:r>
      <w:ins w:id="272" w:author="svcMRProcess" w:date="2019-04-15T16:46:00Z">
        <w:r>
          <w:t xml:space="preserve"> period</w:t>
        </w:r>
      </w:ins>
      <w:r>
        <w:t>.</w:t>
      </w:r>
    </w:p>
    <w:p>
      <w:pPr>
        <w:pStyle w:val="Footnotesection"/>
      </w:pPr>
      <w:r>
        <w:tab/>
        <w:t>[Section 41 amended: No.</w:t>
      </w:r>
      <w:del w:id="273" w:author="svcMRProcess" w:date="2019-04-15T16:46:00Z">
        <w:r>
          <w:delText xml:space="preserve"> </w:delText>
        </w:r>
      </w:del>
      <w:ins w:id="274" w:author="svcMRProcess" w:date="2019-04-15T16:46:00Z">
        <w:r>
          <w:t> </w:t>
        </w:r>
      </w:ins>
      <w:r>
        <w:t>60 of 2011 s. 40 and 89</w:t>
      </w:r>
      <w:ins w:id="275" w:author="svcMRProcess" w:date="2019-04-15T16:46:00Z">
        <w:r>
          <w:t>; No. 3 of 2019 s. 8</w:t>
        </w:r>
      </w:ins>
      <w:r>
        <w:t>.]</w:t>
      </w:r>
    </w:p>
    <w:p>
      <w:pPr>
        <w:pStyle w:val="Heading5"/>
      </w:pPr>
      <w:bookmarkStart w:id="276" w:name="_Toc5719307"/>
      <w:bookmarkStart w:id="277" w:name="_Toc2160897"/>
      <w:r>
        <w:rPr>
          <w:rStyle w:val="CharSectno"/>
        </w:rPr>
        <w:t>42</w:t>
      </w:r>
      <w:r>
        <w:t>.</w:t>
      </w:r>
      <w:r>
        <w:tab/>
        <w:t>Lessor’s responsibility for cleanliness and repairs</w:t>
      </w:r>
      <w:bookmarkEnd w:id="276"/>
      <w:bookmarkEnd w:id="277"/>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that the lessor — </w:t>
      </w:r>
    </w:p>
    <w:p>
      <w:pPr>
        <w:pStyle w:val="Indenta"/>
      </w:pPr>
      <w:r>
        <w:tab/>
        <w:t>(a)</w:t>
      </w:r>
      <w:r>
        <w:tab/>
        <w:t>must deliver up to the tenant vacant possession of the premises in a reasonable state of cleanliness and a reasonable state of repair having regard to its age and character; and</w:t>
      </w:r>
    </w:p>
    <w:p>
      <w:pPr>
        <w:pStyle w:val="Indenta"/>
      </w:pPr>
      <w:r>
        <w:tab/>
        <w:t>(b)</w:t>
      </w:r>
      <w:r>
        <w:tab/>
        <w:t>must maintain the premises in a reasonable state of repair having regard to its age and character and must conduct any repairs within a reasonable period after the need for the repair arises; and</w:t>
      </w:r>
    </w:p>
    <w:p>
      <w:pPr>
        <w:pStyle w:val="Indenta"/>
      </w:pPr>
      <w:r>
        <w:tab/>
        <w:t>(c)</w:t>
      </w:r>
      <w:r>
        <w:tab/>
        <w:t>must comply with all requirements in respect of buildings, health and safety under any other written law insofar as they apply to the premises.</w:t>
      </w:r>
    </w:p>
    <w:p>
      <w:pPr>
        <w:pStyle w:val="Footnotesection"/>
      </w:pPr>
      <w:r>
        <w:tab/>
        <w:t>[Section 42 inserted: No.</w:t>
      </w:r>
      <w:del w:id="278" w:author="svcMRProcess" w:date="2019-04-15T16:46:00Z">
        <w:r>
          <w:delText xml:space="preserve"> </w:delText>
        </w:r>
      </w:del>
      <w:ins w:id="279" w:author="svcMRProcess" w:date="2019-04-15T16:46:00Z">
        <w:r>
          <w:t> </w:t>
        </w:r>
      </w:ins>
      <w:r>
        <w:t>60 of 2011 s. 41.]</w:t>
      </w:r>
    </w:p>
    <w:p>
      <w:pPr>
        <w:pStyle w:val="Heading5"/>
      </w:pPr>
      <w:bookmarkStart w:id="280" w:name="_Toc5719308"/>
      <w:bookmarkStart w:id="281" w:name="_Toc2160898"/>
      <w:r>
        <w:rPr>
          <w:rStyle w:val="CharSectno"/>
        </w:rPr>
        <w:t>43</w:t>
      </w:r>
      <w:r>
        <w:t>.</w:t>
      </w:r>
      <w:r>
        <w:tab/>
        <w:t>Urgent repairs</w:t>
      </w:r>
      <w:bookmarkEnd w:id="280"/>
      <w:bookmarkEnd w:id="281"/>
    </w:p>
    <w:p>
      <w:pPr>
        <w:pStyle w:val="Subsection"/>
      </w:pPr>
      <w:r>
        <w:tab/>
        <w:t>(1)</w:t>
      </w:r>
      <w:r>
        <w:tab/>
        <w:t xml:space="preserve">In this section — </w:t>
      </w:r>
    </w:p>
    <w:p>
      <w:pPr>
        <w:pStyle w:val="Defstart"/>
      </w:pPr>
      <w:r>
        <w:tab/>
      </w:r>
      <w:r>
        <w:rPr>
          <w:rStyle w:val="CharDefText"/>
        </w:rPr>
        <w:t>prescribed period</w:t>
      </w:r>
      <w:r>
        <w:t xml:space="preserve">, in relation to the carrying out of urgent repairs, means — </w:t>
      </w:r>
    </w:p>
    <w:p>
      <w:pPr>
        <w:pStyle w:val="Defpara"/>
      </w:pPr>
      <w:r>
        <w:tab/>
        <w:t>(a)</w:t>
      </w:r>
      <w:r>
        <w:tab/>
        <w:t xml:space="preserve">in relation to repairs necessary for the supply or restoration of a service prescribed </w:t>
      </w:r>
      <w:del w:id="282" w:author="svcMRProcess" w:date="2019-04-15T16:46:00Z">
        <w:r>
          <w:delText xml:space="preserve">in the regulations </w:delText>
        </w:r>
      </w:del>
      <w:r>
        <w:t>as an essential service — 24 hours; or</w:t>
      </w:r>
    </w:p>
    <w:p>
      <w:pPr>
        <w:pStyle w:val="Defpara"/>
      </w:pPr>
      <w:r>
        <w:tab/>
        <w:t>(b)</w:t>
      </w:r>
      <w:r>
        <w:tab/>
        <w:t xml:space="preserve">in relation to any other urgent repairs — 48 hours or any </w:t>
      </w:r>
      <w:ins w:id="283" w:author="svcMRProcess" w:date="2019-04-15T16:46:00Z">
        <w:r>
          <w:t xml:space="preserve">prescribed </w:t>
        </w:r>
      </w:ins>
      <w:r>
        <w:t>longer period</w:t>
      </w:r>
      <w:del w:id="284" w:author="svcMRProcess" w:date="2019-04-15T16:46:00Z">
        <w:r>
          <w:delText xml:space="preserve"> prescribed in the regulations</w:delText>
        </w:r>
      </w:del>
      <w:r>
        <w:t>;</w:t>
      </w:r>
    </w:p>
    <w:p>
      <w:pPr>
        <w:pStyle w:val="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pPr>
        <w:pStyle w:val="Defstart"/>
      </w:pPr>
      <w:r>
        <w:tab/>
      </w:r>
      <w:r>
        <w:rPr>
          <w:rStyle w:val="CharDefText"/>
        </w:rPr>
        <w:t>urgent repairs</w:t>
      </w:r>
      <w:r>
        <w:t xml:space="preserve">, in relation to residential premises, means repairs to the premises that are necessary — </w:t>
      </w:r>
    </w:p>
    <w:p>
      <w:pPr>
        <w:pStyle w:val="Defpara"/>
      </w:pPr>
      <w:r>
        <w:tab/>
        <w:t>(a)</w:t>
      </w:r>
      <w:r>
        <w:tab/>
        <w:t xml:space="preserve">for the supply or restoration of a service prescribed </w:t>
      </w:r>
      <w:del w:id="285" w:author="svcMRProcess" w:date="2019-04-15T16:46:00Z">
        <w:r>
          <w:delText xml:space="preserve">in the regulations </w:delText>
        </w:r>
      </w:del>
      <w:r>
        <w:t>as an essential service; or</w:t>
      </w:r>
    </w:p>
    <w:p>
      <w:pPr>
        <w:pStyle w:val="Defpara"/>
      </w:pPr>
      <w:r>
        <w:tab/>
        <w:t>(b)</w:t>
      </w:r>
      <w:r>
        <w:tab/>
        <w:t xml:space="preserve">to avoid — </w:t>
      </w:r>
    </w:p>
    <w:p>
      <w:pPr>
        <w:pStyle w:val="Defsubpara"/>
      </w:pPr>
      <w:r>
        <w:tab/>
        <w:t>(i)</w:t>
      </w:r>
      <w:r>
        <w:tab/>
        <w:t>exposing a person to the risk of injury; or</w:t>
      </w:r>
    </w:p>
    <w:p>
      <w:pPr>
        <w:pStyle w:val="Defsubpara"/>
      </w:pPr>
      <w:r>
        <w:tab/>
        <w:t>(ii)</w:t>
      </w:r>
      <w:r>
        <w:tab/>
        <w:t>exposing property to damage; or</w:t>
      </w:r>
    </w:p>
    <w:p>
      <w:pPr>
        <w:pStyle w:val="Defsubpara"/>
      </w:pPr>
      <w:r>
        <w:tab/>
        <w:t>(iii)</w:t>
      </w:r>
      <w:r>
        <w:tab/>
        <w:t>causing the tenant undue hardship or inconvenience.</w:t>
      </w:r>
    </w:p>
    <w:p>
      <w:pPr>
        <w:pStyle w:val="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pPr>
        <w:pStyle w:val="Indenta"/>
      </w:pPr>
      <w:r>
        <w:tab/>
        <w:t>(a)</w:t>
      </w:r>
      <w:r>
        <w:tab/>
        <w:t>the tenant is to notify the lessor of the need for those repairs as soon as practicable after the need arises; and</w:t>
      </w:r>
    </w:p>
    <w:p>
      <w:pPr>
        <w:pStyle w:val="Indenta"/>
      </w:pPr>
      <w:r>
        <w:tab/>
        <w:t>(b)</w:t>
      </w:r>
      <w:r>
        <w:tab/>
        <w:t>the lessor is to ensure that the repairs are carried out by a suitable repairer as soon as practicable after that notification.</w:t>
      </w:r>
    </w:p>
    <w:p>
      <w:pPr>
        <w:pStyle w:val="Subsection"/>
      </w:pPr>
      <w:r>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pPr>
        <w:pStyle w:val="Indenta"/>
      </w:pPr>
      <w:r>
        <w:tab/>
        <w:t>(a)</w:t>
      </w:r>
      <w:r>
        <w:tab/>
        <w:t>the tenant may arrange for the repairs to be carried out by a suitable repairer to the minimum extent necessary to effect those repairs; and</w:t>
      </w:r>
    </w:p>
    <w:p>
      <w:pPr>
        <w:pStyle w:val="Indenta"/>
      </w:pPr>
      <w:r>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pPr>
        <w:pStyle w:val="Footnotesection"/>
      </w:pPr>
      <w:r>
        <w:tab/>
        <w:t>[Section 43 inserted: No.</w:t>
      </w:r>
      <w:del w:id="286" w:author="svcMRProcess" w:date="2019-04-15T16:46:00Z">
        <w:r>
          <w:delText xml:space="preserve"> </w:delText>
        </w:r>
      </w:del>
      <w:ins w:id="287" w:author="svcMRProcess" w:date="2019-04-15T16:46:00Z">
        <w:r>
          <w:t> </w:t>
        </w:r>
      </w:ins>
      <w:r>
        <w:t>60 of 2011 s. 41</w:t>
      </w:r>
      <w:ins w:id="288" w:author="svcMRProcess" w:date="2019-04-15T16:46:00Z">
        <w:r>
          <w:t>; amended: No. 3 of 2019 s. 9</w:t>
        </w:r>
      </w:ins>
      <w:r>
        <w:t>.]</w:t>
      </w:r>
    </w:p>
    <w:p>
      <w:pPr>
        <w:pStyle w:val="Heading5"/>
      </w:pPr>
      <w:bookmarkStart w:id="289" w:name="_Toc5719309"/>
      <w:bookmarkStart w:id="290" w:name="_Toc2160899"/>
      <w:r>
        <w:rPr>
          <w:rStyle w:val="CharSectno"/>
        </w:rPr>
        <w:t>44</w:t>
      </w:r>
      <w:r>
        <w:t>.</w:t>
      </w:r>
      <w:r>
        <w:tab/>
        <w:t>Quiet enjoyment</w:t>
      </w:r>
      <w:bookmarkEnd w:id="289"/>
      <w:bookmarkEnd w:id="290"/>
      <w:r>
        <w:t xml:space="preserve"> </w:t>
      </w:r>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 </w:t>
      </w:r>
    </w:p>
    <w:p>
      <w:pPr>
        <w:pStyle w:val="Indenta"/>
        <w:spacing w:before="70"/>
      </w:pPr>
      <w:r>
        <w:tab/>
        <w:t>(a)</w:t>
      </w:r>
      <w:r>
        <w:tab/>
        <w:t>that the tenant is to have quiet enjoyment of the premises without interruption by the lessor or any person claiming by, through or under the lessor or having superior title to that of the lessor; and</w:t>
      </w:r>
    </w:p>
    <w:p>
      <w:pPr>
        <w:pStyle w:val="Indenta"/>
        <w:spacing w:before="70"/>
      </w:pPr>
      <w:r>
        <w:tab/>
        <w:t>(b)</w:t>
      </w:r>
      <w:r>
        <w:tab/>
        <w:t>that the lessor must not cause or permit any interference with the reasonable peace, comfort or privacy of the tenant in the use by the tenant of the premises; and</w:t>
      </w:r>
    </w:p>
    <w:p>
      <w:pPr>
        <w:pStyle w:val="Indenta"/>
        <w:spacing w:before="70"/>
      </w:pPr>
      <w:r>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pPr>
        <w:pStyle w:val="Footnotesection"/>
        <w:spacing w:before="100"/>
      </w:pPr>
      <w:r>
        <w:tab/>
        <w:t>[Section 44 inserted: No.</w:t>
      </w:r>
      <w:del w:id="291" w:author="svcMRProcess" w:date="2019-04-15T16:46:00Z">
        <w:r>
          <w:delText xml:space="preserve"> </w:delText>
        </w:r>
      </w:del>
      <w:ins w:id="292" w:author="svcMRProcess" w:date="2019-04-15T16:46:00Z">
        <w:r>
          <w:t> </w:t>
        </w:r>
      </w:ins>
      <w:r>
        <w:t>60 of 2011 s. 41.]</w:t>
      </w:r>
    </w:p>
    <w:p>
      <w:pPr>
        <w:pStyle w:val="Heading5"/>
      </w:pPr>
      <w:bookmarkStart w:id="293" w:name="_Toc5719310"/>
      <w:bookmarkStart w:id="294" w:name="_Toc2160900"/>
      <w:r>
        <w:rPr>
          <w:rStyle w:val="CharSectno"/>
        </w:rPr>
        <w:t>45</w:t>
      </w:r>
      <w:r>
        <w:t>.</w:t>
      </w:r>
      <w:r>
        <w:tab/>
        <w:t>Securing premises</w:t>
      </w:r>
      <w:bookmarkEnd w:id="293"/>
      <w:bookmarkEnd w:id="294"/>
    </w:p>
    <w:p>
      <w:pPr>
        <w:pStyle w:val="Subsection"/>
        <w:keepNext/>
      </w:pPr>
      <w:r>
        <w:tab/>
      </w:r>
      <w:ins w:id="295" w:author="svcMRProcess" w:date="2019-04-15T16:46:00Z">
        <w:r>
          <w:t>(1)</w:t>
        </w:r>
      </w:ins>
      <w:r>
        <w:tab/>
        <w:t xml:space="preserve">It is a term of every residential tenancy agreement — </w:t>
      </w:r>
    </w:p>
    <w:p>
      <w:pPr>
        <w:pStyle w:val="Indenta"/>
        <w:spacing w:before="70"/>
      </w:pPr>
      <w:r>
        <w:tab/>
        <w:t>(a)</w:t>
      </w:r>
      <w:r>
        <w:tab/>
      </w:r>
      <w:r>
        <w:rPr>
          <w:snapToGrid w:val="0"/>
        </w:rPr>
        <w:t xml:space="preserve">that the lessor must provide and maintain such means to ensure that the residential premises are reasonably secure as are </w:t>
      </w:r>
      <w:r>
        <w:t>prescribed</w:t>
      </w:r>
      <w:del w:id="296" w:author="svcMRProcess" w:date="2019-04-15T16:46:00Z">
        <w:r>
          <w:rPr>
            <w:snapToGrid w:val="0"/>
          </w:rPr>
          <w:delText xml:space="preserve"> in the regulations</w:delText>
        </w:r>
      </w:del>
      <w:r>
        <w:t>; and</w:t>
      </w:r>
    </w:p>
    <w:p>
      <w:pPr>
        <w:pStyle w:val="Indenta"/>
        <w:spacing w:before="70"/>
      </w:pPr>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p>
    <w:p>
      <w:pPr>
        <w:pStyle w:val="Indenta"/>
        <w:spacing w:before="70"/>
      </w:pPr>
      <w:r>
        <w:tab/>
        <w:t>(c)</w:t>
      </w:r>
      <w:r>
        <w:tab/>
        <w:t>that</w:t>
      </w:r>
      <w:ins w:id="297" w:author="svcMRProcess" w:date="2019-04-15T16:46:00Z">
        <w:r>
          <w:t>, except as provided in subsection (2),</w:t>
        </w:r>
      </w:ins>
      <w:r>
        <w:t xml:space="preserve"> the lessor or the tenant must not unreasonably withhold the consent referred to in paragraph (b).</w:t>
      </w:r>
    </w:p>
    <w:p>
      <w:pPr>
        <w:pStyle w:val="Subsection"/>
        <w:rPr>
          <w:ins w:id="298" w:author="svcMRProcess" w:date="2019-04-15T16:46:00Z"/>
        </w:rPr>
      </w:pPr>
      <w:ins w:id="299" w:author="svcMRProcess" w:date="2019-04-15T16:46:00Z">
        <w:r>
          <w:tab/>
          <w:t>(2)</w:t>
        </w:r>
        <w:r>
          <w:tab/>
          <w:t xml:space="preserve">It is a term of every residential tenancy agreement — </w:t>
        </w:r>
      </w:ins>
    </w:p>
    <w:p>
      <w:pPr>
        <w:pStyle w:val="Indenta"/>
        <w:rPr>
          <w:ins w:id="300" w:author="svcMRProcess" w:date="2019-04-15T16:46:00Z"/>
        </w:rPr>
      </w:pPr>
      <w:ins w:id="301" w:author="svcMRProcess" w:date="2019-04-15T16:46:00Z">
        <w:r>
          <w:tab/>
          <w:t>(a)</w:t>
        </w:r>
        <w:r>
          <w:tab/>
          <w:t xml:space="preserve">that a tenant may alter or add any lock or other means of securing the residential premises — </w:t>
        </w:r>
      </w:ins>
    </w:p>
    <w:p>
      <w:pPr>
        <w:pStyle w:val="Indenti"/>
        <w:rPr>
          <w:ins w:id="302" w:author="svcMRProcess" w:date="2019-04-15T16:46:00Z"/>
        </w:rPr>
      </w:pPr>
      <w:ins w:id="303" w:author="svcMRProcess" w:date="2019-04-15T16:46:00Z">
        <w:r>
          <w:tab/>
          <w:t>(i)</w:t>
        </w:r>
        <w:r>
          <w:tab/>
          <w:t>after the termination of a person’s interest in a residential tenancy agreement under section 60(1)(bc); or</w:t>
        </w:r>
      </w:ins>
    </w:p>
    <w:p>
      <w:pPr>
        <w:pStyle w:val="Indenti"/>
        <w:rPr>
          <w:ins w:id="304" w:author="svcMRProcess" w:date="2019-04-15T16:46:00Z"/>
        </w:rPr>
      </w:pPr>
      <w:ins w:id="305" w:author="svcMRProcess" w:date="2019-04-15T16:46:00Z">
        <w:r>
          <w:tab/>
          <w:t>(ii)</w:t>
        </w:r>
        <w:r>
          <w:tab/>
          <w:t>in any event, if it is necessary to prevent the commission of family violence that the tenant suspects, on reasonable grounds, is likely to be committed against the tenant or a dependant of the tenant;</w:t>
        </w:r>
      </w:ins>
    </w:p>
    <w:p>
      <w:pPr>
        <w:pStyle w:val="Indenta"/>
        <w:rPr>
          <w:ins w:id="306" w:author="svcMRProcess" w:date="2019-04-15T16:46:00Z"/>
        </w:rPr>
      </w:pPr>
      <w:ins w:id="307" w:author="svcMRProcess" w:date="2019-04-15T16:46:00Z">
        <w:r>
          <w:tab/>
        </w:r>
        <w:r>
          <w:tab/>
          <w:t>and</w:t>
        </w:r>
      </w:ins>
    </w:p>
    <w:p>
      <w:pPr>
        <w:pStyle w:val="Indenta"/>
        <w:rPr>
          <w:ins w:id="308" w:author="svcMRProcess" w:date="2019-04-15T16:46:00Z"/>
        </w:rPr>
      </w:pPr>
      <w:ins w:id="309" w:author="svcMRProcess" w:date="2019-04-15T16:46:00Z">
        <w:r>
          <w:tab/>
          <w:t>(b)</w:t>
        </w:r>
        <w:r>
          <w:tab/>
          <w:t>that the tenant must give to the lessor a copy of the key to any lock or other means of securing the residential premises altered or added under paragraph (a) as soon as practicable, and in any event within 7 days, after the lock or other means of securing the residential premises has been altered or added; and</w:t>
        </w:r>
      </w:ins>
    </w:p>
    <w:p>
      <w:pPr>
        <w:pStyle w:val="Indenta"/>
        <w:keepNext/>
        <w:rPr>
          <w:ins w:id="310" w:author="svcMRProcess" w:date="2019-04-15T16:46:00Z"/>
        </w:rPr>
      </w:pPr>
      <w:ins w:id="311" w:author="svcMRProcess" w:date="2019-04-15T16:46:00Z">
        <w:r>
          <w:tab/>
          <w:t>(c)</w:t>
        </w:r>
        <w:r>
          <w:tab/>
          <w:t xml:space="preserve">that the lessor must not give a copy of a key referred to in paragraph (b) — </w:t>
        </w:r>
      </w:ins>
    </w:p>
    <w:p>
      <w:pPr>
        <w:pStyle w:val="Indenti"/>
        <w:rPr>
          <w:ins w:id="312" w:author="svcMRProcess" w:date="2019-04-15T16:46:00Z"/>
        </w:rPr>
      </w:pPr>
      <w:ins w:id="313" w:author="svcMRProcess" w:date="2019-04-15T16:46:00Z">
        <w:r>
          <w:tab/>
          <w:t>(i)</w:t>
        </w:r>
        <w:r>
          <w:tab/>
          <w:t>to a person whose interest in the residential tenancy agreement has been terminated under section 60(1)(bc); or</w:t>
        </w:r>
      </w:ins>
    </w:p>
    <w:p>
      <w:pPr>
        <w:pStyle w:val="Indenti"/>
        <w:rPr>
          <w:ins w:id="314" w:author="svcMRProcess" w:date="2019-04-15T16:46:00Z"/>
        </w:rPr>
      </w:pPr>
      <w:ins w:id="315" w:author="svcMRProcess" w:date="2019-04-15T16:46:00Z">
        <w:r>
          <w:tab/>
          <w:t>(ii)</w:t>
        </w:r>
        <w:r>
          <w:tab/>
          <w:t>in any event, to a person who the tenant has instructed the lessor in writing not to give the copy of the key.</w:t>
        </w:r>
      </w:ins>
    </w:p>
    <w:p>
      <w:pPr>
        <w:pStyle w:val="Subsection"/>
        <w:rPr>
          <w:ins w:id="316" w:author="svcMRProcess" w:date="2019-04-15T16:46:00Z"/>
        </w:rPr>
      </w:pPr>
      <w:ins w:id="317" w:author="svcMRProcess" w:date="2019-04-15T16:46:00Z">
        <w:r>
          <w:tab/>
          <w:t>(3)</w:t>
        </w:r>
        <w:r>
          <w:tab/>
          <w:t>A tenant who breaches a term referred to in subsection (2)(b) without reasonable excuse, in addition to any civil liability that the tenant might incur, commits an offence.</w:t>
        </w:r>
      </w:ins>
    </w:p>
    <w:p>
      <w:pPr>
        <w:pStyle w:val="Penstart"/>
        <w:rPr>
          <w:ins w:id="318" w:author="svcMRProcess" w:date="2019-04-15T16:46:00Z"/>
        </w:rPr>
      </w:pPr>
      <w:ins w:id="319" w:author="svcMRProcess" w:date="2019-04-15T16:46:00Z">
        <w:r>
          <w:tab/>
          <w:t>Penalty for this subsection: a fine of $5 000.</w:t>
        </w:r>
      </w:ins>
    </w:p>
    <w:p>
      <w:pPr>
        <w:pStyle w:val="Subsection"/>
        <w:rPr>
          <w:ins w:id="320" w:author="svcMRProcess" w:date="2019-04-15T16:46:00Z"/>
        </w:rPr>
      </w:pPr>
      <w:ins w:id="321" w:author="svcMRProcess" w:date="2019-04-15T16:46:00Z">
        <w:r>
          <w:tab/>
          <w:t>(4)</w:t>
        </w:r>
        <w:r>
          <w:tab/>
          <w:t>Subsection (2)(b) does not apply if the lessor is a person reasonably suspected of being likely to commit the family violence referred to in subsection (2)(a)(ii).</w:t>
        </w:r>
      </w:ins>
    </w:p>
    <w:p>
      <w:pPr>
        <w:pStyle w:val="Footnotesection"/>
        <w:spacing w:before="100"/>
      </w:pPr>
      <w:r>
        <w:tab/>
        <w:t>[Section 45 inserted: No.</w:t>
      </w:r>
      <w:del w:id="322" w:author="svcMRProcess" w:date="2019-04-15T16:46:00Z">
        <w:r>
          <w:delText xml:space="preserve"> </w:delText>
        </w:r>
      </w:del>
      <w:ins w:id="323" w:author="svcMRProcess" w:date="2019-04-15T16:46:00Z">
        <w:r>
          <w:t> </w:t>
        </w:r>
      </w:ins>
      <w:r>
        <w:t>60 of 2011 s. 41; application modified: Residential Tenancies Regulations 1989 r. </w:t>
      </w:r>
      <w:del w:id="324" w:author="svcMRProcess" w:date="2019-04-15T16:46:00Z">
        <w:r>
          <w:delText>7A</w:delText>
        </w:r>
      </w:del>
      <w:ins w:id="325" w:author="svcMRProcess" w:date="2019-04-15T16:46:00Z">
        <w:r>
          <w:t>7A; amended: No. 3 of 2019 s. 10</w:t>
        </w:r>
      </w:ins>
      <w:r>
        <w:t>.]</w:t>
      </w:r>
    </w:p>
    <w:p>
      <w:pPr>
        <w:pStyle w:val="Heading5"/>
      </w:pPr>
      <w:bookmarkStart w:id="326" w:name="_Toc5719311"/>
      <w:bookmarkStart w:id="327" w:name="_Toc2160901"/>
      <w:r>
        <w:rPr>
          <w:rStyle w:val="CharSectno"/>
        </w:rPr>
        <w:t>46</w:t>
      </w:r>
      <w:r>
        <w:t>.</w:t>
      </w:r>
      <w:r>
        <w:tab/>
        <w:t>Lessor’s right of entry</w:t>
      </w:r>
      <w:bookmarkEnd w:id="326"/>
      <w:bookmarkEnd w:id="327"/>
      <w:r>
        <w:t xml:space="preserve"> </w:t>
      </w:r>
    </w:p>
    <w:p>
      <w:pPr>
        <w:pStyle w:val="Subsection"/>
      </w:pPr>
      <w:r>
        <w:tab/>
        <w:t>(1)</w:t>
      </w:r>
      <w:r>
        <w:tab/>
        <w:t xml:space="preserve">In this section — </w:t>
      </w:r>
    </w:p>
    <w:p>
      <w:pPr>
        <w:pStyle w:val="Defstart"/>
      </w:pPr>
      <w:r>
        <w:tab/>
      </w:r>
      <w:r>
        <w:rPr>
          <w:rStyle w:val="CharDefText"/>
        </w:rPr>
        <w:t>lessor</w:t>
      </w:r>
      <w:r>
        <w:t>, in relation to premises, includes the property manager of the premises acting on behalf of the lessor;</w:t>
      </w:r>
    </w:p>
    <w:p>
      <w:pPr>
        <w:pStyle w:val="Defstart"/>
      </w:pPr>
      <w:r>
        <w:tab/>
      </w:r>
      <w:r>
        <w:rPr>
          <w:rStyle w:val="CharDefText"/>
        </w:rPr>
        <w:t>notice</w:t>
      </w:r>
      <w:r>
        <w:t xml:space="preserve"> means notice in a form approved by the Commissioner;</w:t>
      </w:r>
    </w:p>
    <w:p>
      <w:pPr>
        <w:pStyle w:val="Defstart"/>
      </w:pPr>
      <w:r>
        <w:tab/>
      </w:r>
      <w:r>
        <w:rPr>
          <w:rStyle w:val="CharDefText"/>
        </w:rPr>
        <w:t>premises</w:t>
      </w:r>
      <w:r>
        <w:t xml:space="preserve"> means any part of the premises in respect of which the tenant has a right of exclusive occupation;</w:t>
      </w:r>
    </w:p>
    <w:p>
      <w:pPr>
        <w:pStyle w:val="Defstart"/>
        <w:keepNext/>
      </w:pPr>
      <w:r>
        <w:tab/>
      </w:r>
      <w:r>
        <w:rPr>
          <w:rStyle w:val="CharDefText"/>
        </w:rPr>
        <w:t>reasonable time</w:t>
      </w:r>
      <w:r>
        <w:t xml:space="preserve"> means — </w:t>
      </w:r>
    </w:p>
    <w:p>
      <w:pPr>
        <w:pStyle w:val="Defpara"/>
        <w:spacing w:before="60"/>
      </w:pPr>
      <w:r>
        <w:tab/>
        <w:t>(a)</w:t>
      </w:r>
      <w:r>
        <w:tab/>
        <w:t>between 8.00 a.m. and 6.00 p.m. on a weekday; or</w:t>
      </w:r>
    </w:p>
    <w:p>
      <w:pPr>
        <w:pStyle w:val="Defpara"/>
        <w:spacing w:before="60"/>
      </w:pPr>
      <w:r>
        <w:tab/>
        <w:t>(b)</w:t>
      </w:r>
      <w:r>
        <w:tab/>
        <w:t>between 9.00 a.m. and 5.00 p.m. on a Saturday; or</w:t>
      </w:r>
    </w:p>
    <w:p>
      <w:pPr>
        <w:pStyle w:val="Defpara"/>
        <w:spacing w:before="60"/>
      </w:pPr>
      <w:r>
        <w:tab/>
        <w:t>(c)</w:t>
      </w:r>
      <w:r>
        <w:tab/>
        <w:t>at any other time agreed between the lessor and each tenant.</w:t>
      </w:r>
    </w:p>
    <w:p>
      <w:pPr>
        <w:pStyle w:val="Subsection"/>
      </w:pPr>
      <w:r>
        <w:tab/>
        <w:t>(2)</w:t>
      </w:r>
      <w:r>
        <w:tab/>
        <w:t xml:space="preserve">It is a term of every residential tenancy agreement that the lessor may enter the premises </w:t>
      </w:r>
      <w:r>
        <w:rPr>
          <w:snapToGrid w:val="0"/>
        </w:rPr>
        <w:t>in all or any of</w:t>
      </w:r>
      <w:r>
        <w:t xml:space="preserve"> the following circumstances but not otherwise — </w:t>
      </w:r>
    </w:p>
    <w:p>
      <w:pPr>
        <w:pStyle w:val="Indenta"/>
        <w:spacing w:before="70"/>
      </w:pPr>
      <w:r>
        <w:tab/>
        <w:t>(a)</w:t>
      </w:r>
      <w:r>
        <w:tab/>
        <w:t>in any case of emergency;</w:t>
      </w:r>
    </w:p>
    <w:p>
      <w:pPr>
        <w:pStyle w:val="Indenta"/>
        <w:rPr>
          <w:snapToGrid w:val="0"/>
        </w:rPr>
      </w:pPr>
      <w:r>
        <w:tab/>
        <w:t>(b)</w:t>
      </w:r>
      <w:r>
        <w:tab/>
      </w:r>
      <w:r>
        <w:rPr>
          <w:snapToGrid w:val="0"/>
        </w:rPr>
        <w:t>for conducting routine inspections of the premises or any other purpose, on a day and at a reasonable time, specified by notice in writing given to the tenant —</w:t>
      </w:r>
    </w:p>
    <w:p>
      <w:pPr>
        <w:pStyle w:val="Indenti"/>
      </w:pPr>
      <w:r>
        <w:tab/>
        <w:t>(i)</w:t>
      </w:r>
      <w:r>
        <w:tab/>
        <w:t>not less than 7 days before the proposed entry; and</w:t>
      </w:r>
    </w:p>
    <w:p>
      <w:pPr>
        <w:pStyle w:val="Indenti"/>
      </w:pPr>
      <w:r>
        <w:tab/>
        <w:t>(ii)</w:t>
      </w:r>
      <w:r>
        <w:tab/>
        <w:t>within 14 days before the proposed entry;</w:t>
      </w:r>
    </w:p>
    <w:p>
      <w:pPr>
        <w:pStyle w:val="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pPr>
        <w:pStyle w:val="Indenta"/>
      </w:pPr>
      <w:r>
        <w:tab/>
        <w:t>(d)</w:t>
      </w:r>
      <w:r>
        <w:tab/>
        <w:t>under section 77(4);</w:t>
      </w:r>
    </w:p>
    <w:p>
      <w:pPr>
        <w:pStyle w:val="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pPr>
        <w:pStyle w:val="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pPr>
        <w:pStyle w:val="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pPr>
        <w:pStyle w:val="Indenta"/>
        <w:rPr>
          <w:ins w:id="328" w:author="svcMRProcess" w:date="2019-04-15T16:46:00Z"/>
        </w:rPr>
      </w:pPr>
      <w:ins w:id="329" w:author="svcMRProcess" w:date="2019-04-15T16:46:00Z">
        <w:r>
          <w:tab/>
          <w:t>(ga)</w:t>
        </w:r>
        <w:r>
          <w:tab/>
          <w:t xml:space="preserve">for the purpose of inspecting the premises and assessing any damage after the termination of a tenant’s interest under — </w:t>
        </w:r>
      </w:ins>
    </w:p>
    <w:p>
      <w:pPr>
        <w:pStyle w:val="Indenti"/>
        <w:rPr>
          <w:ins w:id="330" w:author="svcMRProcess" w:date="2019-04-15T16:46:00Z"/>
        </w:rPr>
      </w:pPr>
      <w:ins w:id="331" w:author="svcMRProcess" w:date="2019-04-15T16:46:00Z">
        <w:r>
          <w:tab/>
          <w:t>(i)</w:t>
        </w:r>
        <w:r>
          <w:tab/>
          <w:t>section 60(1)(ba) or (bb); or</w:t>
        </w:r>
      </w:ins>
    </w:p>
    <w:p>
      <w:pPr>
        <w:pStyle w:val="Indenti"/>
        <w:rPr>
          <w:ins w:id="332" w:author="svcMRProcess" w:date="2019-04-15T16:46:00Z"/>
        </w:rPr>
      </w:pPr>
      <w:ins w:id="333" w:author="svcMRProcess" w:date="2019-04-15T16:46:00Z">
        <w:r>
          <w:tab/>
          <w:t>(ii)</w:t>
        </w:r>
        <w:r>
          <w:tab/>
          <w:t>section 60(1)(bc);</w:t>
        </w:r>
      </w:ins>
    </w:p>
    <w:p>
      <w:pPr>
        <w:pStyle w:val="Indenta"/>
      </w:pPr>
      <w:r>
        <w:tab/>
        <w:t>(h)</w:t>
      </w:r>
      <w:r>
        <w:tab/>
        <w:t>with the consent of the tenant given at, or immediately before, the time of entry.</w:t>
      </w:r>
    </w:p>
    <w:p>
      <w:pPr>
        <w:pStyle w:val="Subsection"/>
      </w:pPr>
      <w:r>
        <w:tab/>
        <w:t>(3)</w:t>
      </w:r>
      <w:r>
        <w:tab/>
        <w:t>It is a term of every residential tenancy agreement that the lessor may enter the premises under subsection (2)(b) for the purpose of inspecting the premises not more than 4 times in any 12 month period.</w:t>
      </w:r>
    </w:p>
    <w:p>
      <w:pPr>
        <w:pStyle w:val="Subsection"/>
      </w:pPr>
      <w:r>
        <w:tab/>
        <w:t>(4)</w:t>
      </w:r>
      <w:r>
        <w:tab/>
        <w:t>It is a term of every residential tenancy agreement that if it would unduly inconvenience the tenant for the lessor to enter the premises as specified in a notice given under subsection (2), the lessor must make a reasonable attempt to negotiate a day and time for that entry that does not unduly inconvenience the tenant.</w:t>
      </w:r>
    </w:p>
    <w:p>
      <w:pPr>
        <w:pStyle w:val="Subsection"/>
      </w:pPr>
      <w:r>
        <w:tab/>
        <w:t>(5)</w:t>
      </w:r>
      <w:r>
        <w:tab/>
        <w:t xml:space="preserve">It is a term of every residential tenancy agreement that where a lessor gives a tenant notice of an intention to enter premises on a particular day under subsection (2), the notice must specify — </w:t>
      </w:r>
    </w:p>
    <w:p>
      <w:pPr>
        <w:pStyle w:val="Indenta"/>
      </w:pPr>
      <w:r>
        <w:tab/>
        <w:t>(a)</w:t>
      </w:r>
      <w:r>
        <w:tab/>
        <w:t>the day of the entry; and</w:t>
      </w:r>
    </w:p>
    <w:p>
      <w:pPr>
        <w:pStyle w:val="Indenta"/>
      </w:pPr>
      <w:r>
        <w:tab/>
        <w:t>(b)</w:t>
      </w:r>
      <w:r>
        <w:tab/>
        <w:t>whether the entry will be before or after 12.00 p.m. on that day.</w:t>
      </w:r>
    </w:p>
    <w:p>
      <w:pPr>
        <w:pStyle w:val="Subsection"/>
      </w:pPr>
      <w:r>
        <w:tab/>
        <w:t>(6)</w:t>
      </w:r>
      <w:r>
        <w:tab/>
        <w:t>It is a term of every residential tenancy agreement that if the lessor exercises a right of entry under subsection (2)(f) or (g) the tenant is entitled to be on the premises during the entry.</w:t>
      </w:r>
    </w:p>
    <w:p>
      <w:pPr>
        <w:pStyle w:val="Subsection"/>
        <w:rPr>
          <w:ins w:id="334" w:author="svcMRProcess" w:date="2019-04-15T16:46:00Z"/>
        </w:rPr>
      </w:pPr>
      <w:ins w:id="335" w:author="svcMRProcess" w:date="2019-04-15T16:46:00Z">
        <w:r>
          <w:tab/>
          <w:t>(6A)</w:t>
        </w:r>
        <w:r>
          <w:tab/>
          <w:t xml:space="preserve">It is a term of every residential tenancy agreement that the lessor may enter the premises under subsection (2)(ga)(i) — </w:t>
        </w:r>
      </w:ins>
    </w:p>
    <w:p>
      <w:pPr>
        <w:pStyle w:val="Indenta"/>
        <w:rPr>
          <w:ins w:id="336" w:author="svcMRProcess" w:date="2019-04-15T16:46:00Z"/>
        </w:rPr>
      </w:pPr>
      <w:ins w:id="337" w:author="svcMRProcess" w:date="2019-04-15T16:46:00Z">
        <w:r>
          <w:tab/>
          <w:t>(a)</w:t>
        </w:r>
        <w:r>
          <w:tab/>
          <w:t xml:space="preserve">not more than 7 days after receiving notice under section 71AB(1) or 71AD(4); and </w:t>
        </w:r>
      </w:ins>
    </w:p>
    <w:p>
      <w:pPr>
        <w:pStyle w:val="Indenta"/>
        <w:rPr>
          <w:ins w:id="338" w:author="svcMRProcess" w:date="2019-04-15T16:46:00Z"/>
        </w:rPr>
      </w:pPr>
      <w:ins w:id="339" w:author="svcMRProcess" w:date="2019-04-15T16:46:00Z">
        <w:r>
          <w:tab/>
          <w:t>(b)</w:t>
        </w:r>
        <w:r>
          <w:tab/>
          <w:t>not less than 3 days after giving notice to each tenant of the lessor’s intention to enter the premises.</w:t>
        </w:r>
      </w:ins>
    </w:p>
    <w:p>
      <w:pPr>
        <w:pStyle w:val="Subsection"/>
        <w:rPr>
          <w:ins w:id="340" w:author="svcMRProcess" w:date="2019-04-15T16:46:00Z"/>
        </w:rPr>
      </w:pPr>
      <w:ins w:id="341" w:author="svcMRProcess" w:date="2019-04-15T16:46:00Z">
        <w:r>
          <w:tab/>
          <w:t>(6B)</w:t>
        </w:r>
        <w:r>
          <w:tab/>
          <w:t xml:space="preserve">It is a term of every residential tenancy agreement that the lessor may enter the premises under subsection (2)(ga)(ii) — </w:t>
        </w:r>
      </w:ins>
    </w:p>
    <w:p>
      <w:pPr>
        <w:pStyle w:val="Indenta"/>
        <w:rPr>
          <w:ins w:id="342" w:author="svcMRProcess" w:date="2019-04-15T16:46:00Z"/>
        </w:rPr>
      </w:pPr>
      <w:ins w:id="343" w:author="svcMRProcess" w:date="2019-04-15T16:46:00Z">
        <w:r>
          <w:tab/>
          <w:t>(a)</w:t>
        </w:r>
        <w:r>
          <w:tab/>
          <w:t xml:space="preserve">not more than 10 days before the hearing of the application under section 71AE; and </w:t>
        </w:r>
      </w:ins>
    </w:p>
    <w:p>
      <w:pPr>
        <w:pStyle w:val="Indenta"/>
        <w:rPr>
          <w:ins w:id="344" w:author="svcMRProcess" w:date="2019-04-15T16:46:00Z"/>
        </w:rPr>
      </w:pPr>
      <w:ins w:id="345" w:author="svcMRProcess" w:date="2019-04-15T16:46:00Z">
        <w:r>
          <w:tab/>
          <w:t>(b)</w:t>
        </w:r>
        <w:r>
          <w:tab/>
          <w:t>not less than 3 days after giving notice to each tenant of the lessor’s intention to enter the premises.</w:t>
        </w:r>
      </w:ins>
    </w:p>
    <w:p>
      <w:pPr>
        <w:pStyle w:val="Subsection"/>
      </w:pPr>
      <w:r>
        <w:tab/>
        <w:t>(7)</w:t>
      </w:r>
      <w:r>
        <w:tab/>
        <w:t>It is a term of every residential tenancy agreement that the lessor exercising a right of entry under this section —</w:t>
      </w:r>
    </w:p>
    <w:p>
      <w:pPr>
        <w:pStyle w:val="Indenta"/>
      </w:pPr>
      <w:r>
        <w:tab/>
        <w:t>(a)</w:t>
      </w:r>
      <w:r>
        <w:tab/>
        <w:t>must do so in a reasonable manner; and</w:t>
      </w:r>
    </w:p>
    <w:p>
      <w:pPr>
        <w:pStyle w:val="Indenta"/>
      </w:pPr>
      <w:r>
        <w:tab/>
        <w:t>(b)</w:t>
      </w:r>
      <w:r>
        <w:tab/>
        <w:t>must not, without the tenant’s consent, stay or permit others to stay on the premises longer than is necessary to achieve the purpose of the entry.</w:t>
      </w:r>
    </w:p>
    <w:p>
      <w:pPr>
        <w:pStyle w:val="Subsection"/>
      </w:pPr>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pPr>
        <w:pStyle w:val="Footnotesection"/>
      </w:pPr>
      <w:r>
        <w:tab/>
        <w:t>[Section 46 inserted: No.</w:t>
      </w:r>
      <w:del w:id="346" w:author="svcMRProcess" w:date="2019-04-15T16:46:00Z">
        <w:r>
          <w:delText xml:space="preserve"> </w:delText>
        </w:r>
      </w:del>
      <w:ins w:id="347" w:author="svcMRProcess" w:date="2019-04-15T16:46:00Z">
        <w:r>
          <w:t> </w:t>
        </w:r>
      </w:ins>
      <w:r>
        <w:t>60 of 2011 s. 41; amended: No. 42 of 2016 s. </w:t>
      </w:r>
      <w:del w:id="348" w:author="svcMRProcess" w:date="2019-04-15T16:46:00Z">
        <w:r>
          <w:delText>4</w:delText>
        </w:r>
      </w:del>
      <w:ins w:id="349" w:author="svcMRProcess" w:date="2019-04-15T16:46:00Z">
        <w:r>
          <w:t>4; No. 3 of 2019 s. 11</w:t>
        </w:r>
      </w:ins>
      <w:r>
        <w:t>.]</w:t>
      </w:r>
    </w:p>
    <w:p>
      <w:pPr>
        <w:pStyle w:val="Heading5"/>
      </w:pPr>
      <w:bookmarkStart w:id="350" w:name="_Toc5719312"/>
      <w:bookmarkStart w:id="351" w:name="_Toc2160902"/>
      <w:r>
        <w:rPr>
          <w:rStyle w:val="CharSectno"/>
        </w:rPr>
        <w:t>47</w:t>
      </w:r>
      <w:r>
        <w:t>.</w:t>
      </w:r>
      <w:r>
        <w:tab/>
        <w:t>Right of tenant to affix and remove fixtures etc.</w:t>
      </w:r>
      <w:bookmarkEnd w:id="350"/>
      <w:bookmarkEnd w:id="351"/>
    </w:p>
    <w:p>
      <w:pPr>
        <w:pStyle w:val="Subsection"/>
        <w:rPr>
          <w:snapToGrid w:val="0"/>
        </w:rPr>
      </w:pPr>
      <w:del w:id="352" w:author="svcMRProcess" w:date="2019-04-15T16:46:00Z">
        <w:r>
          <w:rPr>
            <w:snapToGrid w:val="0"/>
          </w:rPr>
          <w:tab/>
          <w:delText>(1)</w:delText>
        </w:r>
        <w:r>
          <w:rPr>
            <w:snapToGrid w:val="0"/>
          </w:rPr>
          <w:tab/>
        </w:r>
        <w:r>
          <w:delText>A</w:delText>
        </w:r>
      </w:del>
      <w:ins w:id="353" w:author="svcMRProcess" w:date="2019-04-15T16:46:00Z">
        <w:r>
          <w:rPr>
            <w:snapToGrid w:val="0"/>
          </w:rPr>
          <w:tab/>
          <w:t>(1)</w:t>
        </w:r>
        <w:r>
          <w:rPr>
            <w:snapToGrid w:val="0"/>
          </w:rPr>
          <w:tab/>
        </w:r>
        <w:r>
          <w:t>Except as provided in subsection (4), a</w:t>
        </w:r>
      </w:ins>
      <w:r>
        <w:t xml:space="preserve"> residential tenancy agreement</w:t>
      </w:r>
      <w:r>
        <w:rPr>
          <w:snapToGrid w:val="0"/>
        </w:rPr>
        <w:t xml:space="preserve">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 xml:space="preserve">may affix any fixture or make any renovation, alteration or addition to the premises, but only with the </w:t>
      </w:r>
      <w:r>
        <w:t>lessor’s</w:t>
      </w:r>
      <w:r>
        <w:rPr>
          <w:snapToGrid w:val="0"/>
        </w:rPr>
        <w:t xml:space="preserve"> consent.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the provision described in subsection (1)(b) it is a term of the agreement that — </w:t>
      </w:r>
    </w:p>
    <w:p>
      <w:pPr>
        <w:pStyle w:val="Indenta"/>
        <w:rPr>
          <w:snapToGrid w:val="0"/>
        </w:rPr>
      </w:pPr>
      <w:r>
        <w:rPr>
          <w:snapToGrid w:val="0"/>
        </w:rPr>
        <w:tab/>
        <w:t>(a)</w:t>
      </w:r>
      <w:r>
        <w:rPr>
          <w:snapToGrid w:val="0"/>
        </w:rPr>
        <w:tab/>
      </w:r>
      <w:r>
        <w:t>the lessor</w:t>
      </w:r>
      <w:r>
        <w:rPr>
          <w:snapToGrid w:val="0"/>
        </w:rPr>
        <w:t xml:space="preserve"> shall not unreasonably withhold such consent; and</w:t>
      </w:r>
    </w:p>
    <w:p>
      <w:pPr>
        <w:pStyle w:val="Indenta"/>
        <w:rPr>
          <w:snapToGrid w:val="0"/>
        </w:rPr>
      </w:pPr>
      <w:r>
        <w:rPr>
          <w:snapToGrid w:val="0"/>
        </w:rPr>
        <w:tab/>
        <w:t>(b)</w:t>
      </w:r>
      <w:r>
        <w:rPr>
          <w:snapToGrid w:val="0"/>
        </w:rPr>
        <w:tab/>
        <w:t xml:space="preserve">the tenant may remove any fixture that </w:t>
      </w:r>
      <w:r>
        <w:t>the tenant</w:t>
      </w:r>
      <w:r>
        <w:rPr>
          <w:snapToGrid w:val="0"/>
        </w:rPr>
        <w:t xml:space="preserve"> has affixed to the premises, with the </w:t>
      </w:r>
      <w:r>
        <w:t>lessor’s</w:t>
      </w:r>
      <w:r>
        <w:rPr>
          <w:snapToGrid w:val="0"/>
        </w:rPr>
        <w:t xml:space="preserve"> consent, during the period that </w:t>
      </w:r>
      <w:r>
        <w:t>the tenant</w:t>
      </w:r>
      <w:r>
        <w:rPr>
          <w:snapToGrid w:val="0"/>
        </w:rPr>
        <w:t xml:space="preserv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 xml:space="preserve">where the tenant causes any damage to the premises by removing any fixture, </w:t>
      </w:r>
      <w:r>
        <w:t>the tenant</w:t>
      </w:r>
      <w:r>
        <w:rPr>
          <w:snapToGrid w:val="0"/>
        </w:rPr>
        <w:t xml:space="preserve"> shall notify </w:t>
      </w:r>
      <w:r>
        <w:t>the lessor</w:t>
      </w:r>
      <w:r>
        <w:rPr>
          <w:snapToGrid w:val="0"/>
        </w:rPr>
        <w:t xml:space="preserve"> and, at the option of the lessor, repair the damage or compensate the lessor for any reasonable expenses incurred by the lessor in repairing the damage.</w:t>
      </w:r>
    </w:p>
    <w:p>
      <w:pPr>
        <w:pStyle w:val="Subsection"/>
      </w:pPr>
      <w:r>
        <w:tab/>
        <w:t>(3)</w:t>
      </w:r>
      <w:r>
        <w:tab/>
        <w:t xml:space="preserve">It is a term of every residential tenancy agreement that — </w:t>
      </w:r>
    </w:p>
    <w:p>
      <w:pPr>
        <w:pStyle w:val="Indenta"/>
      </w:pPr>
      <w:r>
        <w:tab/>
        <w:t>(a)</w:t>
      </w:r>
      <w:r>
        <w:tab/>
        <w:t>the lessor may affix any fixture or make any renovation, alteration or addition to the premises, but only with the tenant’s consent; and</w:t>
      </w:r>
    </w:p>
    <w:p>
      <w:pPr>
        <w:pStyle w:val="Indenta"/>
      </w:pPr>
      <w:r>
        <w:tab/>
        <w:t>(b)</w:t>
      </w:r>
      <w:r>
        <w:tab/>
        <w:t>the tenant must not unreasonably withhold such consent.</w:t>
      </w:r>
    </w:p>
    <w:p>
      <w:pPr>
        <w:pStyle w:val="Subsection"/>
        <w:rPr>
          <w:ins w:id="354" w:author="svcMRProcess" w:date="2019-04-15T16:46:00Z"/>
        </w:rPr>
      </w:pPr>
      <w:ins w:id="355" w:author="svcMRProcess" w:date="2019-04-15T16:46:00Z">
        <w:r>
          <w:tab/>
          <w:t>(4)</w:t>
        </w:r>
        <w:r>
          <w:tab/>
          <w:t xml:space="preserve">It is a term of every residential tenancy agreement that a tenant may affix any prescribed fixture, or make any prescribed renovation, alteration or addition to the premises (the </w:t>
        </w:r>
        <w:r>
          <w:rPr>
            <w:rStyle w:val="CharDefText"/>
          </w:rPr>
          <w:t>prescribed alterations</w:t>
        </w:r>
        <w:r>
          <w:t xml:space="preserve">), necessary to prevent entry onto the premises of a person — </w:t>
        </w:r>
      </w:ins>
    </w:p>
    <w:p>
      <w:pPr>
        <w:pStyle w:val="Indenta"/>
        <w:rPr>
          <w:ins w:id="356" w:author="svcMRProcess" w:date="2019-04-15T16:46:00Z"/>
        </w:rPr>
      </w:pPr>
      <w:ins w:id="357" w:author="svcMRProcess" w:date="2019-04-15T16:46:00Z">
        <w:r>
          <w:tab/>
          <w:t>(a)</w:t>
        </w:r>
        <w:r>
          <w:tab/>
          <w:t>after the termination of the person’s interest in a residential tenancy agreement under section 60(1)(bc); or</w:t>
        </w:r>
      </w:ins>
    </w:p>
    <w:p>
      <w:pPr>
        <w:pStyle w:val="Indenta"/>
        <w:rPr>
          <w:ins w:id="358" w:author="svcMRProcess" w:date="2019-04-15T16:46:00Z"/>
        </w:rPr>
      </w:pPr>
      <w:ins w:id="359" w:author="svcMRProcess" w:date="2019-04-15T16:46:00Z">
        <w:r>
          <w:tab/>
          <w:t>(b)</w:t>
        </w:r>
        <w:r>
          <w:tab/>
          <w:t>in any event, if it is necessary to prevent the commission of family violence that the tenant suspects, on reasonable grounds, is likely to be committed by the person against the tenant or a dependant of the tenant.</w:t>
        </w:r>
      </w:ins>
    </w:p>
    <w:p>
      <w:pPr>
        <w:pStyle w:val="Subsection"/>
        <w:rPr>
          <w:ins w:id="360" w:author="svcMRProcess" w:date="2019-04-15T16:46:00Z"/>
        </w:rPr>
      </w:pPr>
      <w:ins w:id="361" w:author="svcMRProcess" w:date="2019-04-15T16:46:00Z">
        <w:r>
          <w:tab/>
          <w:t>(5)</w:t>
        </w:r>
        <w:r>
          <w:tab/>
          <w:t xml:space="preserve">For the purposes of subsection (4) — </w:t>
        </w:r>
      </w:ins>
    </w:p>
    <w:p>
      <w:pPr>
        <w:pStyle w:val="Indenta"/>
        <w:rPr>
          <w:ins w:id="362" w:author="svcMRProcess" w:date="2019-04-15T16:46:00Z"/>
        </w:rPr>
      </w:pPr>
      <w:ins w:id="363" w:author="svcMRProcess" w:date="2019-04-15T16:46:00Z">
        <w:r>
          <w:tab/>
          <w:t>(a)</w:t>
        </w:r>
        <w:r>
          <w:tab/>
          <w:t>the cost of making the prescribed alterations must be borne by the tenant; and</w:t>
        </w:r>
      </w:ins>
    </w:p>
    <w:p>
      <w:pPr>
        <w:pStyle w:val="Indenta"/>
        <w:rPr>
          <w:ins w:id="364" w:author="svcMRProcess" w:date="2019-04-15T16:46:00Z"/>
        </w:rPr>
      </w:pPr>
      <w:ins w:id="365" w:author="svcMRProcess" w:date="2019-04-15T16:46:00Z">
        <w:r>
          <w:tab/>
          <w:t>(b)</w:t>
        </w:r>
        <w:r>
          <w:tab/>
          <w:t>the tenant must give written notice to the lessor of the tenant’s intention to make the prescribed alterations; and</w:t>
        </w:r>
      </w:ins>
    </w:p>
    <w:p>
      <w:pPr>
        <w:pStyle w:val="Indenta"/>
        <w:rPr>
          <w:ins w:id="366" w:author="svcMRProcess" w:date="2019-04-15T16:46:00Z"/>
        </w:rPr>
      </w:pPr>
      <w:ins w:id="367" w:author="svcMRProcess" w:date="2019-04-15T16:46:00Z">
        <w:r>
          <w:tab/>
          <w:t>(c)</w:t>
        </w:r>
        <w:r>
          <w:tab/>
          <w:t>work on the prescribed alterations must be undertaken by a qualified tradesperson, a copy of whose invoice the tenant must provide to the lessor within 14 days of the alterations being completed; and</w:t>
        </w:r>
      </w:ins>
    </w:p>
    <w:p>
      <w:pPr>
        <w:pStyle w:val="Indenta"/>
        <w:rPr>
          <w:ins w:id="368" w:author="svcMRProcess" w:date="2019-04-15T16:46:00Z"/>
        </w:rPr>
      </w:pPr>
      <w:ins w:id="369" w:author="svcMRProcess" w:date="2019-04-15T16:46:00Z">
        <w:r>
          <w:tab/>
          <w:t>(d)</w:t>
        </w:r>
        <w:r>
          <w:tab/>
          <w:t>the prescribed alterations must be effected having regard to the age and character of the property and any applicable strata company by</w:t>
        </w:r>
        <w:r>
          <w:noBreakHyphen/>
          <w:t>laws; and</w:t>
        </w:r>
      </w:ins>
    </w:p>
    <w:p>
      <w:pPr>
        <w:pStyle w:val="Indenta"/>
        <w:rPr>
          <w:ins w:id="370" w:author="svcMRProcess" w:date="2019-04-15T16:46:00Z"/>
        </w:rPr>
      </w:pPr>
      <w:ins w:id="371" w:author="svcMRProcess" w:date="2019-04-15T16:46:00Z">
        <w:r>
          <w:tab/>
          <w:t>(e)</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ins>
    </w:p>
    <w:p>
      <w:pPr>
        <w:pStyle w:val="Subsection"/>
        <w:rPr>
          <w:ins w:id="372" w:author="svcMRProcess" w:date="2019-04-15T16:46:00Z"/>
        </w:rPr>
      </w:pPr>
      <w:ins w:id="373" w:author="svcMRProcess" w:date="2019-04-15T16:46:00Z">
        <w:r>
          <w:tab/>
          <w:t>(6)</w:t>
        </w:r>
        <w:r>
          <w:tab/>
          <w:t xml:space="preserve">Subsection (4) does not apply to premises entered into the Register as defined in the </w:t>
        </w:r>
        <w:r>
          <w:rPr>
            <w:i/>
          </w:rPr>
          <w:t>Heritage of Western Australia Act 1990</w:t>
        </w:r>
        <w:r>
          <w:t xml:space="preserve"> section 3(1) or in the register as defined in the </w:t>
        </w:r>
        <w:r>
          <w:rPr>
            <w:i/>
          </w:rPr>
          <w:t>Heritage Act 2018</w:t>
        </w:r>
        <w:r>
          <w:t xml:space="preserve"> section 4.</w:t>
        </w:r>
      </w:ins>
    </w:p>
    <w:p>
      <w:pPr>
        <w:pStyle w:val="Footnotesection"/>
      </w:pPr>
      <w:r>
        <w:tab/>
        <w:t>[Section 47 amended: No.</w:t>
      </w:r>
      <w:del w:id="374" w:author="svcMRProcess" w:date="2019-04-15T16:46:00Z">
        <w:r>
          <w:delText xml:space="preserve"> </w:delText>
        </w:r>
      </w:del>
      <w:ins w:id="375" w:author="svcMRProcess" w:date="2019-04-15T16:46:00Z">
        <w:r>
          <w:t> </w:t>
        </w:r>
      </w:ins>
      <w:r>
        <w:t>60 of 2011 s. 42, 88 and 89</w:t>
      </w:r>
      <w:ins w:id="376" w:author="svcMRProcess" w:date="2019-04-15T16:46:00Z">
        <w:r>
          <w:t>; No. 3 of 2019 s. 12</w:t>
        </w:r>
      </w:ins>
      <w:r>
        <w:t xml:space="preserve">.] </w:t>
      </w:r>
    </w:p>
    <w:p>
      <w:pPr>
        <w:pStyle w:val="Heading5"/>
        <w:rPr>
          <w:snapToGrid w:val="0"/>
        </w:rPr>
      </w:pPr>
      <w:bookmarkStart w:id="377" w:name="_Toc5719313"/>
      <w:bookmarkStart w:id="378" w:name="_Toc2160903"/>
      <w:r>
        <w:rPr>
          <w:rStyle w:val="CharSectno"/>
        </w:rPr>
        <w:t>48</w:t>
      </w:r>
      <w:r>
        <w:rPr>
          <w:snapToGrid w:val="0"/>
        </w:rPr>
        <w:t>.</w:t>
      </w:r>
      <w:r>
        <w:rPr>
          <w:snapToGrid w:val="0"/>
        </w:rPr>
        <w:tab/>
        <w:t>Lessor to bear outgoings in respect of premises</w:t>
      </w:r>
      <w:bookmarkEnd w:id="377"/>
      <w:bookmarkEnd w:id="378"/>
    </w:p>
    <w:p>
      <w:pPr>
        <w:pStyle w:val="Subsection"/>
        <w:rPr>
          <w:snapToGrid w:val="0"/>
        </w:rPr>
      </w:pPr>
      <w:r>
        <w:tab/>
        <w:t>(1)</w:t>
      </w:r>
      <w:r>
        <w:tab/>
        <w:t>It is a term of every residential tenancy agreement</w:t>
      </w:r>
      <w:r>
        <w:rPr>
          <w:snapToGrid w:val="0"/>
        </w:rPr>
        <w:t xml:space="preserve"> that </w:t>
      </w:r>
      <w:r>
        <w:t>the lessor</w:t>
      </w:r>
      <w:r>
        <w:rPr>
          <w:snapToGrid w:val="0"/>
        </w:rPr>
        <w:t xml:space="preserve"> shall bear all rates, taxes or charges imposed in respect of the premises under any of the following written laws — </w:t>
      </w:r>
    </w:p>
    <w:p>
      <w:pPr>
        <w:pStyle w:val="Indenta"/>
        <w:spacing w:before="60"/>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spacing w:before="60"/>
        <w:rPr>
          <w:snapToGrid w:val="0"/>
        </w:rPr>
      </w:pPr>
      <w:r>
        <w:rPr>
          <w:snapToGrid w:val="0"/>
        </w:rPr>
        <w:tab/>
        <w:t>(b)</w:t>
      </w:r>
      <w:r>
        <w:rPr>
          <w:snapToGrid w:val="0"/>
        </w:rPr>
        <w:tab/>
        <w:t>the</w:t>
      </w:r>
      <w:r>
        <w:t xml:space="preserve"> </w:t>
      </w:r>
      <w:r>
        <w:rPr>
          <w:i/>
        </w:rPr>
        <w:t>Land Tax Act 2002</w:t>
      </w:r>
      <w:r>
        <w:rPr>
          <w:snapToGrid w:val="0"/>
        </w:rPr>
        <w:t>;</w:t>
      </w:r>
    </w:p>
    <w:p>
      <w:pPr>
        <w:pStyle w:val="Indenta"/>
        <w:spacing w:before="60"/>
        <w:rPr>
          <w:snapToGrid w:val="0"/>
        </w:rPr>
      </w:pPr>
      <w:r>
        <w:rPr>
          <w:snapToGrid w:val="0"/>
        </w:rPr>
        <w:tab/>
        <w:t>(c)</w:t>
      </w:r>
      <w:r>
        <w:rPr>
          <w:snapToGrid w:val="0"/>
        </w:rPr>
        <w:tab/>
        <w:t xml:space="preserve">any written law under which a rate, tax or charge is imposed for </w:t>
      </w:r>
      <w:r>
        <w:t xml:space="preserve">water supply or sewerage services under the </w:t>
      </w:r>
      <w:r>
        <w:rPr>
          <w:i/>
        </w:rPr>
        <w:t>Water Agencies (Powers) Act 1984</w:t>
      </w:r>
      <w:r>
        <w:t xml:space="preserve">, </w:t>
      </w:r>
      <w:r>
        <w:rPr>
          <w:snapToGrid w:val="0"/>
        </w:rPr>
        <w:t>other than a charge for water consumed.</w:t>
      </w:r>
    </w:p>
    <w:p>
      <w:pPr>
        <w:pStyle w:val="Subsection"/>
      </w:pPr>
      <w:r>
        <w:tab/>
        <w:t>(2)</w:t>
      </w:r>
      <w:r>
        <w:tab/>
        <w:t xml:space="preserve">It is a term of every residential tenancy agreement that a contribution levied on a proprietor under the </w:t>
      </w:r>
      <w:r>
        <w:rPr>
          <w:i/>
        </w:rPr>
        <w:t>Strata Titles Act 1985</w:t>
      </w:r>
      <w:r>
        <w:t xml:space="preserve"> section 36 cannot be passed on to a tenant.</w:t>
      </w:r>
    </w:p>
    <w:p>
      <w:pPr>
        <w:pStyle w:val="Footnotesection"/>
      </w:pPr>
      <w:r>
        <w:tab/>
        <w:t xml:space="preserve">[Section 48 amended: No. 73 of 1995 s. 188; No. 14 of 1996 s. 4; No. 45 of 2002 s. 21; No. 60 of 2011 s. 43 and 89.] </w:t>
      </w:r>
    </w:p>
    <w:p>
      <w:pPr>
        <w:pStyle w:val="Heading5"/>
      </w:pPr>
      <w:bookmarkStart w:id="379" w:name="_Toc5719314"/>
      <w:bookmarkStart w:id="380" w:name="_Toc2160904"/>
      <w:r>
        <w:rPr>
          <w:rStyle w:val="CharSectno"/>
        </w:rPr>
        <w:t>49A</w:t>
      </w:r>
      <w:r>
        <w:t>.</w:t>
      </w:r>
      <w:r>
        <w:tab/>
        <w:t>Lessor’s and tenant’s responsibilities in respect of public utility services</w:t>
      </w:r>
      <w:bookmarkEnd w:id="379"/>
      <w:bookmarkEnd w:id="380"/>
    </w:p>
    <w:p>
      <w:pPr>
        <w:pStyle w:val="Subsection"/>
      </w:pPr>
      <w:r>
        <w:tab/>
        <w:t>(1)</w:t>
      </w:r>
      <w:r>
        <w:tab/>
        <w:t xml:space="preserve">In this section — </w:t>
      </w:r>
    </w:p>
    <w:p>
      <w:pPr>
        <w:pStyle w:val="Defstart"/>
      </w:pPr>
      <w:r>
        <w:tab/>
      </w:r>
      <w:r>
        <w:rPr>
          <w:rStyle w:val="CharDefText"/>
        </w:rPr>
        <w:t>GST</w:t>
      </w:r>
      <w:r>
        <w:t xml:space="preserve"> has the meaning given in the </w:t>
      </w:r>
      <w:r>
        <w:rPr>
          <w:i/>
          <w:iCs/>
        </w:rPr>
        <w:t>A New Tax System (Goods and Services Tax) Act 1999</w:t>
      </w:r>
      <w:r>
        <w:t xml:space="preserve"> (Commonwealth);</w:t>
      </w:r>
    </w:p>
    <w:p>
      <w:pPr>
        <w:pStyle w:val="Defstart"/>
      </w:pPr>
      <w:r>
        <w:tab/>
      </w:r>
      <w:r>
        <w:rPr>
          <w:rStyle w:val="CharDefText"/>
        </w:rPr>
        <w:t>public utility services</w:t>
      </w:r>
      <w:r>
        <w:t xml:space="preserve"> has the meaning given in the </w:t>
      </w:r>
      <w:r>
        <w:rPr>
          <w:i/>
          <w:iCs/>
        </w:rPr>
        <w:t>Land Administration Act 1997</w:t>
      </w:r>
      <w:r>
        <w:t xml:space="preserve"> section 3(1).</w:t>
      </w:r>
    </w:p>
    <w:p>
      <w:pPr>
        <w:pStyle w:val="Subsection"/>
      </w:pPr>
      <w:r>
        <w:tab/>
        <w:t>(2)</w:t>
      </w:r>
      <w:r>
        <w:tab/>
        <w:t>It is a term of every residential tenancy agreement that the tenant must pay a charge in relation to a public utility service provided to the premises only if —</w:t>
      </w:r>
    </w:p>
    <w:p>
      <w:pPr>
        <w:pStyle w:val="Indenta"/>
        <w:spacing w:before="60"/>
      </w:pPr>
      <w:r>
        <w:rPr>
          <w:snapToGrid w:val="0"/>
        </w:rPr>
        <w:tab/>
        <w:t>(a)</w:t>
      </w:r>
      <w:r>
        <w:rPr>
          <w:snapToGrid w:val="0"/>
        </w:rPr>
        <w:tab/>
        <w:t>the charge is calculated by reference to consumption at the residential premises by the tenant; and</w:t>
      </w:r>
    </w:p>
    <w:p>
      <w:pPr>
        <w:pStyle w:val="Indenta"/>
        <w:spacing w:before="60"/>
      </w:pPr>
      <w:r>
        <w:rPr>
          <w:snapToGrid w:val="0"/>
        </w:rPr>
        <w:tab/>
        <w:t>(b)</w:t>
      </w:r>
      <w:r>
        <w:rPr>
          <w:snapToGrid w:val="0"/>
        </w:rPr>
        <w:tab/>
        <w:t>the tenant is given notice in writing of the charge in relation to the public utility service, specifying —</w:t>
      </w:r>
    </w:p>
    <w:p>
      <w:pPr>
        <w:pStyle w:val="Indenti"/>
        <w:spacing w:before="60"/>
      </w:pPr>
      <w:r>
        <w:tab/>
        <w:t>(i)</w:t>
      </w:r>
      <w:r>
        <w:tab/>
      </w:r>
      <w:r>
        <w:rPr>
          <w:snapToGrid w:val="0"/>
        </w:rPr>
        <w:t>if consumption at the premises is metered — the relevant meter reading, or readings, and the charge per metered unit; or</w:t>
      </w:r>
    </w:p>
    <w:p>
      <w:pPr>
        <w:pStyle w:val="Indenti"/>
        <w:spacing w:before="60"/>
      </w:pPr>
      <w:r>
        <w:tab/>
        <w:t>(ii)</w:t>
      </w:r>
      <w:r>
        <w:tab/>
      </w:r>
      <w:r>
        <w:rPr>
          <w:snapToGrid w:val="0"/>
        </w:rPr>
        <w:t xml:space="preserve">if consumption at the premises is not metered and </w:t>
      </w:r>
      <w:r>
        <w:t>the lessor and tenant have agreed in writing to an alternative method of calculating the charge to be paid by the tenant</w:t>
      </w:r>
      <w:r>
        <w:rPr>
          <w:snapToGrid w:val="0"/>
        </w:rPr>
        <w:t xml:space="preserve"> — </w:t>
      </w:r>
      <w:r>
        <w:t>the charge calculated in accordance with the agreed method;</w:t>
      </w:r>
    </w:p>
    <w:p>
      <w:pPr>
        <w:pStyle w:val="Indenta"/>
        <w:spacing w:before="60"/>
      </w:pPr>
      <w:r>
        <w:tab/>
      </w:r>
      <w:r>
        <w:tab/>
        <w:t>and</w:t>
      </w:r>
    </w:p>
    <w:p>
      <w:pPr>
        <w:pStyle w:val="Indenta"/>
        <w:spacing w:before="60"/>
      </w:pPr>
      <w:r>
        <w:tab/>
        <w:t>(c)</w:t>
      </w:r>
      <w:r>
        <w:tab/>
        <w:t>the tenant is provided with full details of the account for the charge including —</w:t>
      </w:r>
    </w:p>
    <w:p>
      <w:pPr>
        <w:pStyle w:val="Indenti"/>
        <w:spacing w:before="60"/>
      </w:pPr>
      <w:r>
        <w:tab/>
        <w:t>(i)</w:t>
      </w:r>
      <w:r>
        <w:tab/>
        <w:t>any meter readings and the charge per metered unit; or</w:t>
      </w:r>
    </w:p>
    <w:p>
      <w:pPr>
        <w:pStyle w:val="Indenti"/>
        <w:spacing w:before="60"/>
      </w:pPr>
      <w:r>
        <w:tab/>
        <w:t>(ii)</w:t>
      </w:r>
      <w:r>
        <w:tab/>
        <w:t>the agreed method of calculating referred to in paragraph (b)(ii),</w:t>
      </w:r>
    </w:p>
    <w:p>
      <w:pPr>
        <w:pStyle w:val="Indenta"/>
        <w:spacing w:before="60"/>
      </w:pPr>
      <w:r>
        <w:tab/>
      </w:r>
      <w:r>
        <w:tab/>
        <w:t>and the amount of GST payable in respect of the provision of the public utility service to the residential premises.</w:t>
      </w:r>
    </w:p>
    <w:p>
      <w:pPr>
        <w:pStyle w:val="Footnotesection"/>
      </w:pPr>
      <w:r>
        <w:tab/>
        <w:t xml:space="preserve">[Section 49A inserted: No. 60 of 2011 s. 44.] </w:t>
      </w:r>
    </w:p>
    <w:p>
      <w:pPr>
        <w:pStyle w:val="Heading5"/>
        <w:rPr>
          <w:snapToGrid w:val="0"/>
        </w:rPr>
      </w:pPr>
      <w:bookmarkStart w:id="381" w:name="_Toc5719315"/>
      <w:bookmarkStart w:id="382" w:name="_Toc2160905"/>
      <w:r>
        <w:rPr>
          <w:rStyle w:val="CharSectno"/>
        </w:rPr>
        <w:t>49</w:t>
      </w:r>
      <w:r>
        <w:rPr>
          <w:snapToGrid w:val="0"/>
        </w:rPr>
        <w:t>.</w:t>
      </w:r>
      <w:r>
        <w:rPr>
          <w:snapToGrid w:val="0"/>
        </w:rPr>
        <w:tab/>
        <w:t>Right of tenant to assign or sub</w:t>
      </w:r>
      <w:r>
        <w:rPr>
          <w:snapToGrid w:val="0"/>
        </w:rPr>
        <w:noBreakHyphen/>
        <w:t>let</w:t>
      </w:r>
      <w:bookmarkEnd w:id="381"/>
      <w:bookmarkEnd w:id="382"/>
      <w:r>
        <w:rPr>
          <w:snapToGrid w:val="0"/>
        </w:rPr>
        <w:t xml:space="preserve"> </w:t>
      </w:r>
    </w:p>
    <w:p>
      <w:pPr>
        <w:pStyle w:val="Subsection"/>
        <w:rPr>
          <w:snapToGrid w:val="0"/>
        </w:rPr>
      </w:pPr>
      <w:r>
        <w:rPr>
          <w:snapToGrid w:val="0"/>
        </w:rPr>
        <w:tab/>
        <w:t>(1)</w:t>
      </w:r>
      <w:r>
        <w:rPr>
          <w:snapToGrid w:val="0"/>
        </w:rPr>
        <w:tab/>
      </w:r>
      <w:r>
        <w:t>A residential tenancy agreement</w:t>
      </w:r>
      <w:r>
        <w:rPr>
          <w:snapToGrid w:val="0"/>
        </w:rPr>
        <w:t xml:space="preserve"> may provide that the tenant — </w:t>
      </w:r>
    </w:p>
    <w:p>
      <w:pPr>
        <w:pStyle w:val="Indenta"/>
        <w:spacing w:before="60"/>
        <w:rPr>
          <w:snapToGrid w:val="0"/>
        </w:rPr>
      </w:pPr>
      <w:r>
        <w:rPr>
          <w:snapToGrid w:val="0"/>
        </w:rPr>
        <w:tab/>
        <w:t>(a)</w:t>
      </w:r>
      <w:r>
        <w:rPr>
          <w:snapToGrid w:val="0"/>
        </w:rPr>
        <w:tab/>
        <w:t xml:space="preserve">may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(b)</w:t>
      </w:r>
      <w:r>
        <w:rPr>
          <w:snapToGrid w:val="0"/>
        </w:rPr>
        <w:tab/>
        <w:t xml:space="preserve">shall not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(c)</w:t>
      </w:r>
      <w:r>
        <w:rPr>
          <w:snapToGrid w:val="0"/>
        </w:rPr>
        <w:tab/>
        <w:t xml:space="preserve">may assign </w:t>
      </w:r>
      <w:r>
        <w:t>the tenant’s</w:t>
      </w:r>
      <w:r>
        <w:rPr>
          <w:snapToGrid w:val="0"/>
        </w:rPr>
        <w:t xml:space="preserve"> interest under the agreement or sub</w:t>
      </w:r>
      <w:r>
        <w:rPr>
          <w:snapToGrid w:val="0"/>
        </w:rPr>
        <w:noBreakHyphen/>
        <w:t xml:space="preserve">let the premises only with the written consent of </w:t>
      </w:r>
      <w:r>
        <w:t>the lessor</w:t>
      </w:r>
      <w:r>
        <w:rPr>
          <w:snapToGrid w:val="0"/>
        </w:rPr>
        <w: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or is deemed to make the provision described in subsection (1)(c), it is a term of the agreement — </w:t>
      </w:r>
    </w:p>
    <w:p>
      <w:pPr>
        <w:pStyle w:val="Indenta"/>
        <w:spacing w:before="60"/>
        <w:rPr>
          <w:snapToGrid w:val="0"/>
        </w:rPr>
      </w:pPr>
      <w:r>
        <w:rPr>
          <w:snapToGrid w:val="0"/>
        </w:rPr>
        <w:tab/>
        <w:t>(a)</w:t>
      </w:r>
      <w:r>
        <w:rPr>
          <w:snapToGrid w:val="0"/>
        </w:rPr>
        <w:tab/>
        <w:t xml:space="preserve">that </w:t>
      </w:r>
      <w:r>
        <w:t>the lessor</w:t>
      </w:r>
      <w:r>
        <w:rPr>
          <w:snapToGrid w:val="0"/>
        </w:rPr>
        <w:t xml:space="preserve"> shall not unreasonably withhold such consent; and</w:t>
      </w:r>
    </w:p>
    <w:p>
      <w:pPr>
        <w:pStyle w:val="Indenta"/>
        <w:spacing w:before="60"/>
        <w:rPr>
          <w:snapToGrid w:val="0"/>
        </w:rPr>
      </w:pPr>
      <w:r>
        <w:rPr>
          <w:snapToGrid w:val="0"/>
        </w:rPr>
        <w:tab/>
        <w:t>(b)</w:t>
      </w:r>
      <w:r>
        <w:rPr>
          <w:snapToGrid w:val="0"/>
        </w:rPr>
        <w:tab/>
        <w:t xml:space="preserve">that </w:t>
      </w:r>
      <w:r>
        <w:t>the lessor</w:t>
      </w:r>
      <w:r>
        <w:rPr>
          <w:snapToGrid w:val="0"/>
        </w:rPr>
        <w:t xml:space="preserve"> shall not make any charge for giving such consent other than </w:t>
      </w:r>
      <w:r>
        <w:t>the lessor’s</w:t>
      </w:r>
      <w:r>
        <w:rPr>
          <w:snapToGrid w:val="0"/>
        </w:rPr>
        <w:t xml:space="preserve"> reasonable expenses incidental thereto.</w:t>
      </w:r>
    </w:p>
    <w:p>
      <w:pPr>
        <w:pStyle w:val="Subsection"/>
        <w:rPr>
          <w:snapToGrid w:val="0"/>
        </w:rPr>
      </w:pPr>
      <w:r>
        <w:rPr>
          <w:snapToGrid w:val="0"/>
        </w:rPr>
        <w:tab/>
        <w:t>(3)</w:t>
      </w:r>
      <w:r>
        <w:rPr>
          <w:snapToGrid w:val="0"/>
        </w:rPr>
        <w:tab/>
        <w:t xml:space="preserve">Where </w:t>
      </w:r>
      <w:r>
        <w:t>a residential tenancy agreement</w:t>
      </w:r>
      <w:r>
        <w:rPr>
          <w:snapToGrid w:val="0"/>
        </w:rPr>
        <w:t xml:space="preserve"> does not make any of the provisions described in subsection (1), the agreement shall be deemed to contain the provision described in subsection (1)(c).</w:t>
      </w:r>
    </w:p>
    <w:p>
      <w:pPr>
        <w:pStyle w:val="Footnotesection"/>
      </w:pPr>
      <w:r>
        <w:tab/>
        <w:t>[Section 49 amended: No.</w:t>
      </w:r>
      <w:del w:id="383" w:author="svcMRProcess" w:date="2019-04-15T16:46:00Z">
        <w:r>
          <w:delText xml:space="preserve"> </w:delText>
        </w:r>
      </w:del>
      <w:ins w:id="384" w:author="svcMRProcess" w:date="2019-04-15T16:46:00Z">
        <w:r>
          <w:t> </w:t>
        </w:r>
      </w:ins>
      <w:r>
        <w:t xml:space="preserve">60 of 2011 s. 45, 88 and 89.] </w:t>
      </w:r>
    </w:p>
    <w:p>
      <w:pPr>
        <w:pStyle w:val="Heading5"/>
        <w:rPr>
          <w:snapToGrid w:val="0"/>
        </w:rPr>
      </w:pPr>
      <w:bookmarkStart w:id="385" w:name="_Toc5719316"/>
      <w:bookmarkStart w:id="386" w:name="_Toc2160906"/>
      <w:r>
        <w:rPr>
          <w:rStyle w:val="CharSectno"/>
        </w:rPr>
        <w:t>50</w:t>
      </w:r>
      <w:r>
        <w:rPr>
          <w:snapToGrid w:val="0"/>
        </w:rPr>
        <w:t>.</w:t>
      </w:r>
      <w:r>
        <w:rPr>
          <w:snapToGrid w:val="0"/>
        </w:rPr>
        <w:tab/>
        <w:t>Vicarious responsibility of tenant for breach by other person lawfully on premises</w:t>
      </w:r>
      <w:bookmarkEnd w:id="385"/>
      <w:bookmarkEnd w:id="386"/>
      <w:r>
        <w:rPr>
          <w:snapToGrid w:val="0"/>
        </w:rPr>
        <w:t xml:space="preserve"> </w:t>
      </w:r>
    </w:p>
    <w:p>
      <w:pPr>
        <w:pStyle w:val="Subsection"/>
        <w:spacing w:before="120"/>
        <w:rPr>
          <w:snapToGrid w:val="0"/>
        </w:rPr>
      </w:pPr>
      <w:r>
        <w:rPr>
          <w:snapToGrid w:val="0"/>
        </w:rPr>
        <w:tab/>
        <w:t>(1)</w:t>
      </w:r>
      <w:r>
        <w:rPr>
          <w:snapToGrid w:val="0"/>
        </w:rPr>
        <w:tab/>
        <w:t xml:space="preserve">It is a term of </w:t>
      </w:r>
      <w:r>
        <w:t>every residential tenancy agreement</w:t>
      </w:r>
      <w:r>
        <w:rPr>
          <w:snapToGrid w:val="0"/>
        </w:rPr>
        <w:t xml:space="preserve">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Footnotesection"/>
      </w:pPr>
      <w:r>
        <w:tab/>
        <w:t>[Section 50 amended: No.</w:t>
      </w:r>
      <w:del w:id="387" w:author="svcMRProcess" w:date="2019-04-15T16:46:00Z">
        <w:r>
          <w:delText xml:space="preserve"> </w:delText>
        </w:r>
      </w:del>
      <w:ins w:id="388" w:author="svcMRProcess" w:date="2019-04-15T16:46:00Z">
        <w:r>
          <w:t> </w:t>
        </w:r>
      </w:ins>
      <w:r>
        <w:t xml:space="preserve">60 of 2011 s. 46.] </w:t>
      </w:r>
    </w:p>
    <w:p>
      <w:pPr>
        <w:pStyle w:val="Heading3"/>
      </w:pPr>
      <w:bookmarkStart w:id="389" w:name="_Toc2153349"/>
      <w:bookmarkStart w:id="390" w:name="_Toc2160183"/>
      <w:bookmarkStart w:id="391" w:name="_Toc2160907"/>
      <w:bookmarkStart w:id="392" w:name="_Toc5621530"/>
      <w:bookmarkStart w:id="393" w:name="_Toc5632938"/>
      <w:bookmarkStart w:id="394" w:name="_Toc5719317"/>
      <w:r>
        <w:rPr>
          <w:rStyle w:val="CharDivNo"/>
        </w:rPr>
        <w:t>Division 3</w:t>
      </w:r>
      <w:r>
        <w:t> — </w:t>
      </w:r>
      <w:r>
        <w:rPr>
          <w:rStyle w:val="CharDivText"/>
        </w:rPr>
        <w:t>General</w:t>
      </w:r>
      <w:bookmarkEnd w:id="389"/>
      <w:bookmarkEnd w:id="390"/>
      <w:bookmarkEnd w:id="391"/>
      <w:bookmarkEnd w:id="392"/>
      <w:bookmarkEnd w:id="393"/>
      <w:bookmarkEnd w:id="394"/>
    </w:p>
    <w:p>
      <w:pPr>
        <w:pStyle w:val="Footnoteheading"/>
      </w:pPr>
      <w:r>
        <w:tab/>
        <w:t>[Heading inserted: No.</w:t>
      </w:r>
      <w:del w:id="395" w:author="svcMRProcess" w:date="2019-04-15T16:46:00Z">
        <w:r>
          <w:delText xml:space="preserve"> </w:delText>
        </w:r>
      </w:del>
      <w:ins w:id="396" w:author="svcMRProcess" w:date="2019-04-15T16:46:00Z">
        <w:r>
          <w:t> </w:t>
        </w:r>
      </w:ins>
      <w:r>
        <w:t xml:space="preserve">60 of 2011 s. 47.] </w:t>
      </w:r>
    </w:p>
    <w:p>
      <w:pPr>
        <w:pStyle w:val="Heading5"/>
      </w:pPr>
      <w:bookmarkStart w:id="397" w:name="_Toc5719318"/>
      <w:bookmarkStart w:id="398" w:name="_Toc2160908"/>
      <w:r>
        <w:rPr>
          <w:rStyle w:val="CharSectno"/>
        </w:rPr>
        <w:t>51</w:t>
      </w:r>
      <w:r>
        <w:t>.</w:t>
      </w:r>
      <w:r>
        <w:tab/>
        <w:t>Tenant to be notified of lessor’s name and address</w:t>
      </w:r>
      <w:bookmarkEnd w:id="397"/>
      <w:bookmarkEnd w:id="398"/>
    </w:p>
    <w:p>
      <w:pPr>
        <w:pStyle w:val="Subsection"/>
      </w:pPr>
      <w:r>
        <w:tab/>
        <w:t>(1)</w:t>
      </w:r>
      <w:r>
        <w:tab/>
      </w:r>
      <w:r>
        <w:rPr>
          <w:snapToGrid w:val="0"/>
        </w:rPr>
        <w:t>Unless subsection (2) applies, at the time of entering into a residential tenancy agreement the lessor must notify the tenant, or cause the tenant to be notified, in writing of — </w:t>
      </w:r>
    </w:p>
    <w:p>
      <w:pPr>
        <w:pStyle w:val="Indenta"/>
      </w:pPr>
      <w:r>
        <w:tab/>
        <w:t>(a)</w:t>
      </w:r>
      <w:r>
        <w:tab/>
        <w:t xml:space="preserve">if the lessor is an individual — the full name and address of — </w:t>
      </w:r>
    </w:p>
    <w:p>
      <w:pPr>
        <w:pStyle w:val="Indenti"/>
      </w:pPr>
      <w:r>
        <w:tab/>
        <w:t>(i)</w:t>
      </w:r>
      <w:r>
        <w:tab/>
        <w:t>the lessor; and</w:t>
      </w:r>
    </w:p>
    <w:p>
      <w:pPr>
        <w:pStyle w:val="Indenti"/>
      </w:pPr>
      <w:r>
        <w:tab/>
        <w:t>(ii)</w:t>
      </w:r>
      <w:r>
        <w:tab/>
        <w:t>any person having superior title to that of the lessor;</w:t>
      </w:r>
    </w:p>
    <w:p>
      <w:pPr>
        <w:pStyle w:val="Indenta"/>
      </w:pPr>
      <w:r>
        <w:tab/>
      </w:r>
      <w:r>
        <w:tab/>
        <w:t>or</w:t>
      </w:r>
    </w:p>
    <w:p>
      <w:pPr>
        <w:pStyle w:val="Indenta"/>
      </w:pPr>
      <w:r>
        <w:tab/>
        <w:t>(b)</w:t>
      </w:r>
      <w:r>
        <w:tab/>
        <w:t>if the lessor is a body corporate — the full name and business address of the secretary of the body corporate.</w:t>
      </w:r>
    </w:p>
    <w:p>
      <w:pPr>
        <w:pStyle w:val="Penstart"/>
      </w:pPr>
      <w:r>
        <w:tab/>
        <w:t>Penalty</w:t>
      </w:r>
      <w:ins w:id="399" w:author="svcMRProcess" w:date="2019-04-15T16:46:00Z">
        <w:r>
          <w:t xml:space="preserve"> for this subsection</w:t>
        </w:r>
      </w:ins>
      <w:r>
        <w:t>: a fine of $5 000.</w:t>
      </w:r>
    </w:p>
    <w:p>
      <w:pPr>
        <w:pStyle w:val="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pPr>
        <w:pStyle w:val="Indenta"/>
      </w:pPr>
      <w:r>
        <w:tab/>
        <w:t>(a)</w:t>
      </w:r>
      <w:r>
        <w:tab/>
        <w:t>the full name of the lessor; and</w:t>
      </w:r>
    </w:p>
    <w:p>
      <w:pPr>
        <w:pStyle w:val="Indenta"/>
      </w:pPr>
      <w:r>
        <w:tab/>
        <w:t>(b)</w:t>
      </w:r>
      <w:r>
        <w:tab/>
        <w:t>the full name and address of the property manager.</w:t>
      </w:r>
    </w:p>
    <w:p>
      <w:pPr>
        <w:pStyle w:val="Penstart"/>
      </w:pPr>
      <w:r>
        <w:tab/>
        <w:t>Penalty</w:t>
      </w:r>
      <w:ins w:id="400" w:author="svcMRProcess" w:date="2019-04-15T16:46:00Z">
        <w:r>
          <w:t xml:space="preserve"> for this subsection</w:t>
        </w:r>
      </w:ins>
      <w:r>
        <w:t>: a fine of $5 000.</w:t>
      </w:r>
    </w:p>
    <w:p>
      <w:pPr>
        <w:pStyle w:val="Subsection"/>
      </w:pPr>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p>
    <w:p>
      <w:pPr>
        <w:pStyle w:val="Indenta"/>
      </w:pPr>
      <w:r>
        <w:tab/>
        <w:t>(a)</w:t>
      </w:r>
      <w:r>
        <w:tab/>
        <w:t>the full name and address of the new lessor; and</w:t>
      </w:r>
    </w:p>
    <w:p>
      <w:pPr>
        <w:pStyle w:val="Indenta"/>
        <w:keepNext/>
      </w:pPr>
      <w:r>
        <w:tab/>
        <w:t>(b)</w:t>
      </w:r>
      <w:r>
        <w:tab/>
        <w:t>where the new lessor is a body corporate, the full name and business address of the secretary of the body corporate.</w:t>
      </w:r>
    </w:p>
    <w:p>
      <w:pPr>
        <w:pStyle w:val="Penstart"/>
      </w:pPr>
      <w:r>
        <w:tab/>
        <w:t>Penalty</w:t>
      </w:r>
      <w:ins w:id="401" w:author="svcMRProcess" w:date="2019-04-15T16:46:00Z">
        <w:r>
          <w:t xml:space="preserve"> for this subsection</w:t>
        </w:r>
      </w:ins>
      <w:r>
        <w:t>: a fine of $5 000.</w:t>
      </w:r>
    </w:p>
    <w:p>
      <w:pPr>
        <w:pStyle w:val="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pPr>
        <w:pStyle w:val="Penstart"/>
      </w:pPr>
      <w:r>
        <w:tab/>
        <w:t>Penalty</w:t>
      </w:r>
      <w:ins w:id="402" w:author="svcMRProcess" w:date="2019-04-15T16:46:00Z">
        <w:r>
          <w:t xml:space="preserve"> for this subsection</w:t>
        </w:r>
      </w:ins>
      <w:r>
        <w:t>: a fine of $5 000.</w:t>
      </w:r>
    </w:p>
    <w:p>
      <w:pPr>
        <w:pStyle w:val="Footnotesection"/>
        <w:spacing w:before="100"/>
      </w:pPr>
      <w:r>
        <w:tab/>
        <w:t>[Section 51 inserted: No.</w:t>
      </w:r>
      <w:del w:id="403" w:author="svcMRProcess" w:date="2019-04-15T16:46:00Z">
        <w:r>
          <w:delText xml:space="preserve"> </w:delText>
        </w:r>
      </w:del>
      <w:ins w:id="404" w:author="svcMRProcess" w:date="2019-04-15T16:46:00Z">
        <w:r>
          <w:t> </w:t>
        </w:r>
      </w:ins>
      <w:r>
        <w:t>60 of 2011 s. 48</w:t>
      </w:r>
      <w:ins w:id="405" w:author="svcMRProcess" w:date="2019-04-15T16:46:00Z">
        <w:r>
          <w:t>; amended: No. 3 of 2019 s. 25</w:t>
        </w:r>
      </w:ins>
      <w:r>
        <w:t xml:space="preserve">.] </w:t>
      </w:r>
    </w:p>
    <w:p>
      <w:pPr>
        <w:pStyle w:val="Heading5"/>
        <w:rPr>
          <w:snapToGrid w:val="0"/>
        </w:rPr>
      </w:pPr>
      <w:bookmarkStart w:id="406" w:name="_Toc5719319"/>
      <w:bookmarkStart w:id="407" w:name="_Toc2160909"/>
      <w:r>
        <w:rPr>
          <w:rStyle w:val="CharSectno"/>
        </w:rPr>
        <w:t>52</w:t>
      </w:r>
      <w:r>
        <w:rPr>
          <w:snapToGrid w:val="0"/>
        </w:rPr>
        <w:t>.</w:t>
      </w:r>
      <w:r>
        <w:rPr>
          <w:snapToGrid w:val="0"/>
        </w:rPr>
        <w:tab/>
        <w:t>Failure to pay rent with intention it be recovered from security bond</w:t>
      </w:r>
      <w:bookmarkEnd w:id="406"/>
      <w:bookmarkEnd w:id="407"/>
      <w:r>
        <w:rPr>
          <w:snapToGrid w:val="0"/>
        </w:rPr>
        <w:t xml:space="preserve"> </w:t>
      </w:r>
    </w:p>
    <w:p>
      <w:pPr>
        <w:pStyle w:val="Subsection"/>
        <w:rPr>
          <w:snapToGrid w:val="0"/>
        </w:rPr>
      </w:pPr>
      <w:r>
        <w:rPr>
          <w:snapToGrid w:val="0"/>
        </w:rPr>
        <w:tab/>
      </w:r>
      <w:r>
        <w:rPr>
          <w:snapToGrid w:val="0"/>
        </w:rPr>
        <w:tab/>
        <w:t xml:space="preserve">A tenant shall not fail or refuse to pay any rent due under </w:t>
      </w:r>
      <w:r>
        <w:t>a residential tenancy agreement</w:t>
      </w:r>
      <w:r>
        <w:rPr>
          <w:snapToGrid w:val="0"/>
        </w:rPr>
        <w:t xml:space="preserve"> with the intention that the amount of such rent be recovered by </w:t>
      </w:r>
      <w:r>
        <w:t>the lessor</w:t>
      </w:r>
      <w:r>
        <w:rPr>
          <w:snapToGrid w:val="0"/>
        </w:rPr>
        <w:t xml:space="preserve"> from the security bond paid by the tenant.</w:t>
      </w:r>
    </w:p>
    <w:p>
      <w:pPr>
        <w:pStyle w:val="Penstart"/>
      </w:pPr>
      <w:r>
        <w:tab/>
        <w:t>Penalty: a fine of $5 000.</w:t>
      </w:r>
    </w:p>
    <w:p>
      <w:pPr>
        <w:pStyle w:val="Footnotesection"/>
        <w:spacing w:before="100"/>
      </w:pPr>
      <w:r>
        <w:tab/>
        <w:t xml:space="preserve">[Section 52 amended: No. 59 of 1995 s. 55; No. 60 of 2011 s. 49, 88 and 89.] </w:t>
      </w:r>
    </w:p>
    <w:p>
      <w:pPr>
        <w:pStyle w:val="Heading5"/>
      </w:pPr>
      <w:bookmarkStart w:id="408" w:name="_Toc5719320"/>
      <w:bookmarkStart w:id="409" w:name="_Toc2160910"/>
      <w:r>
        <w:rPr>
          <w:rStyle w:val="CharSectno"/>
        </w:rPr>
        <w:t>53</w:t>
      </w:r>
      <w:r>
        <w:t>.</w:t>
      </w:r>
      <w:r>
        <w:tab/>
        <w:t>Tenant’s name, place of employment and forwarding address</w:t>
      </w:r>
      <w:bookmarkEnd w:id="408"/>
      <w:bookmarkEnd w:id="409"/>
    </w:p>
    <w:p>
      <w:pPr>
        <w:pStyle w:val="Subsection"/>
      </w:pPr>
      <w:r>
        <w:tab/>
        <w:t>(1)</w:t>
      </w:r>
      <w:r>
        <w:tab/>
        <w:t>A tenant under a residential tenancy agreement must not falsely state to the lessor the tenant’s name or place of employment.</w:t>
      </w:r>
    </w:p>
    <w:p>
      <w:pPr>
        <w:pStyle w:val="Penstart"/>
      </w:pPr>
      <w:r>
        <w:tab/>
        <w:t>Penalty</w:t>
      </w:r>
      <w:ins w:id="410" w:author="svcMRProcess" w:date="2019-04-15T16:46:00Z">
        <w:r>
          <w:t xml:space="preserve"> for this subsection</w:t>
        </w:r>
      </w:ins>
      <w:r>
        <w:t>: a fine of $5 000.</w:t>
      </w:r>
    </w:p>
    <w:p>
      <w:pPr>
        <w:pStyle w:val="Subsection"/>
      </w:pPr>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p>
    <w:p>
      <w:pPr>
        <w:pStyle w:val="Penstart"/>
      </w:pPr>
      <w:r>
        <w:tab/>
        <w:t>Penalty</w:t>
      </w:r>
      <w:ins w:id="411" w:author="svcMRProcess" w:date="2019-04-15T16:46:00Z">
        <w:r>
          <w:t xml:space="preserve"> for this subsection</w:t>
        </w:r>
      </w:ins>
      <w:r>
        <w:t>: a fine of $5 000.</w:t>
      </w:r>
    </w:p>
    <w:p>
      <w:pPr>
        <w:pStyle w:val="Subsection"/>
      </w:pPr>
      <w:r>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pPr>
        <w:pStyle w:val="Indenta"/>
      </w:pPr>
      <w:r>
        <w:tab/>
        <w:t>(a)</w:t>
      </w:r>
      <w:r>
        <w:tab/>
        <w:t>the address at which the tenant intends to next reside; or</w:t>
      </w:r>
    </w:p>
    <w:p>
      <w:pPr>
        <w:pStyle w:val="Indenta"/>
      </w:pPr>
      <w:r>
        <w:tab/>
        <w:t>(b)</w:t>
      </w:r>
      <w:r>
        <w:tab/>
        <w:t>the tenant’s postal address.</w:t>
      </w:r>
    </w:p>
    <w:p>
      <w:pPr>
        <w:pStyle w:val="Penstart"/>
      </w:pPr>
      <w:r>
        <w:tab/>
        <w:t>Penalty</w:t>
      </w:r>
      <w:ins w:id="412" w:author="svcMRProcess" w:date="2019-04-15T16:46:00Z">
        <w:r>
          <w:t xml:space="preserve"> for this subsection</w:t>
        </w:r>
      </w:ins>
      <w:r>
        <w:t>: a fine of $5 000.</w:t>
      </w:r>
    </w:p>
    <w:p>
      <w:pPr>
        <w:pStyle w:val="Footnotesection"/>
      </w:pPr>
      <w:r>
        <w:tab/>
        <w:t>[Section 53 inserted: No. 60 of 2011 s. </w:t>
      </w:r>
      <w:del w:id="413" w:author="svcMRProcess" w:date="2019-04-15T16:46:00Z">
        <w:r>
          <w:delText>50</w:delText>
        </w:r>
      </w:del>
      <w:ins w:id="414" w:author="svcMRProcess" w:date="2019-04-15T16:46:00Z">
        <w:r>
          <w:t>50; amended: No. 3 of 2019 s. 25</w:t>
        </w:r>
      </w:ins>
      <w:r>
        <w:t xml:space="preserve">.] </w:t>
      </w:r>
    </w:p>
    <w:p>
      <w:pPr>
        <w:pStyle w:val="Heading5"/>
        <w:rPr>
          <w:snapToGrid w:val="0"/>
        </w:rPr>
      </w:pPr>
      <w:bookmarkStart w:id="415" w:name="_Toc5719321"/>
      <w:bookmarkStart w:id="416" w:name="_Toc2160911"/>
      <w:r>
        <w:rPr>
          <w:rStyle w:val="CharSectno"/>
        </w:rPr>
        <w:t>54</w:t>
      </w:r>
      <w:r>
        <w:rPr>
          <w:snapToGrid w:val="0"/>
        </w:rPr>
        <w:t>.</w:t>
      </w:r>
      <w:r>
        <w:rPr>
          <w:snapToGrid w:val="0"/>
        </w:rPr>
        <w:tab/>
        <w:t>Lessor to deliver copy of agreement to tenant</w:t>
      </w:r>
      <w:bookmarkEnd w:id="415"/>
      <w:bookmarkEnd w:id="416"/>
    </w:p>
    <w:p>
      <w:pPr>
        <w:pStyle w:val="Subsection"/>
        <w:rPr>
          <w:snapToGrid w:val="0"/>
        </w:rPr>
      </w:pPr>
      <w:r>
        <w:rPr>
          <w:snapToGrid w:val="0"/>
        </w:rPr>
        <w:tab/>
        <w:t>(1)</w:t>
      </w:r>
      <w:r>
        <w:rPr>
          <w:snapToGrid w:val="0"/>
        </w:rPr>
        <w:tab/>
      </w:r>
      <w:r>
        <w:t>A lessor or a property manager of residential premises</w:t>
      </w:r>
      <w:r>
        <w:rPr>
          <w:snapToGrid w:val="0"/>
        </w:rPr>
        <w:t xml:space="preserve"> who has required or invited a tenant to sign a written </w:t>
      </w:r>
      <w:r>
        <w:t>residential tenancy</w:t>
      </w:r>
      <w:r>
        <w:rPr>
          <w:snapToGrid w:val="0"/>
        </w:rPr>
        <w:t xml:space="preserve">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 xml:space="preserve">ensure that a fully executed copy of the document is delivered to the tenant </w:t>
      </w:r>
      <w:r>
        <w:t>within 14 days</w:t>
      </w:r>
      <w:r>
        <w:rPr>
          <w:snapToGrid w:val="0"/>
        </w:rPr>
        <w:t xml:space="preserve"> after it has been signed and delivered by the tenant, or, where that is not reasonably practicable in the circumstances, within such longer period as is so practicable.</w:t>
      </w:r>
    </w:p>
    <w:p>
      <w:pPr>
        <w:pStyle w:val="Penstart"/>
      </w:pPr>
      <w:r>
        <w:tab/>
        <w:t>Penalty</w:t>
      </w:r>
      <w:ins w:id="417" w:author="svcMRProcess" w:date="2019-04-15T16:46:00Z">
        <w:r>
          <w:t xml:space="preserve"> for this subsection</w:t>
        </w:r>
      </w:ins>
      <w:r>
        <w:t>: a fine of $5 000.</w:t>
      </w:r>
    </w:p>
    <w:p>
      <w:pPr>
        <w:pStyle w:val="Subsection"/>
        <w:rPr>
          <w:snapToGrid w:val="0"/>
        </w:rPr>
      </w:pPr>
      <w:r>
        <w:rPr>
          <w:snapToGrid w:val="0"/>
        </w:rPr>
        <w:tab/>
        <w:t>(2)</w:t>
      </w:r>
      <w:r>
        <w:rPr>
          <w:snapToGrid w:val="0"/>
        </w:rPr>
        <w:tab/>
        <w:t xml:space="preserve">If </w:t>
      </w:r>
      <w:r>
        <w:t>a lessor or a property manager of residential premises</w:t>
      </w:r>
      <w:r>
        <w:rPr>
          <w:snapToGrid w:val="0"/>
        </w:rPr>
        <w:t xml:space="preserve"> fails to execute and deliver a copy of the document in accordance with subsection (1)(b), acceptance of rent by </w:t>
      </w:r>
      <w:r>
        <w:t>the lessor or property manager</w:t>
      </w:r>
      <w:r>
        <w:rPr>
          <w:snapToGrid w:val="0"/>
        </w:rPr>
        <w:t xml:space="preserve"> without reservation shall give to the document the same effect as if it had been fully executed.</w:t>
      </w:r>
    </w:p>
    <w:p>
      <w:pPr>
        <w:pStyle w:val="Footnotesection"/>
      </w:pPr>
      <w:r>
        <w:tab/>
        <w:t>[Section 54 amended: No. 59 of 1995 s. 55; No. 60 of 2011 s. </w:t>
      </w:r>
      <w:del w:id="418" w:author="svcMRProcess" w:date="2019-04-15T16:46:00Z">
        <w:r>
          <w:delText>51</w:delText>
        </w:r>
      </w:del>
      <w:ins w:id="419" w:author="svcMRProcess" w:date="2019-04-15T16:46:00Z">
        <w:r>
          <w:t>51; No. 3 of 2019 s. 25</w:t>
        </w:r>
      </w:ins>
      <w:r>
        <w:t xml:space="preserve">.] </w:t>
      </w:r>
    </w:p>
    <w:p>
      <w:pPr>
        <w:pStyle w:val="Heading5"/>
      </w:pPr>
      <w:bookmarkStart w:id="420" w:name="_Toc5719322"/>
      <w:bookmarkStart w:id="421" w:name="_Toc2160912"/>
      <w:r>
        <w:rPr>
          <w:rStyle w:val="CharSectno"/>
        </w:rPr>
        <w:t>55</w:t>
      </w:r>
      <w:r>
        <w:t>.</w:t>
      </w:r>
      <w:r>
        <w:tab/>
        <w:t>Cost of written agreement to be borne by lessor</w:t>
      </w:r>
      <w:bookmarkEnd w:id="420"/>
      <w:bookmarkEnd w:id="421"/>
    </w:p>
    <w:p>
      <w:pPr>
        <w:pStyle w:val="Subsection"/>
      </w:pPr>
      <w:r>
        <w:tab/>
      </w:r>
      <w:r>
        <w:tab/>
      </w:r>
      <w:r>
        <w:rPr>
          <w:snapToGrid w:val="0"/>
        </w:rPr>
        <w:t>Where a lessor requires the execution of a written residential tenancy agreement or a memorandum of a residential tenancy agreement, the cost of its preparation must be borne by the lessor.</w:t>
      </w:r>
    </w:p>
    <w:p>
      <w:pPr>
        <w:pStyle w:val="Footnotesection"/>
        <w:spacing w:before="110"/>
      </w:pPr>
      <w:r>
        <w:tab/>
        <w:t xml:space="preserve">[Section 55 inserted: No. 60 of 2011 s. 52.] </w:t>
      </w:r>
    </w:p>
    <w:p>
      <w:pPr>
        <w:pStyle w:val="Heading5"/>
        <w:spacing w:before="200"/>
        <w:rPr>
          <w:snapToGrid w:val="0"/>
        </w:rPr>
      </w:pPr>
      <w:bookmarkStart w:id="422" w:name="_Toc5719323"/>
      <w:bookmarkStart w:id="423" w:name="_Toc2160913"/>
      <w:r>
        <w:rPr>
          <w:rStyle w:val="CharSectno"/>
        </w:rPr>
        <w:t>56</w:t>
      </w:r>
      <w:r>
        <w:rPr>
          <w:snapToGrid w:val="0"/>
        </w:rPr>
        <w:t>.</w:t>
      </w:r>
      <w:r>
        <w:rPr>
          <w:snapToGrid w:val="0"/>
        </w:rPr>
        <w:tab/>
        <w:t>Discrimination against tenants with children</w:t>
      </w:r>
      <w:bookmarkEnd w:id="422"/>
      <w:bookmarkEnd w:id="423"/>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pPr>
      <w:r>
        <w:tab/>
        <w:t>Penalty</w:t>
      </w:r>
      <w:ins w:id="424" w:author="svcMRProcess" w:date="2019-04-15T16:46:00Z">
        <w:r>
          <w:t xml:space="preserve"> for this subsection</w:t>
        </w:r>
      </w:ins>
      <w:r>
        <w:t>: a fine of $5 000.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 xml:space="preserve">state </w:t>
      </w:r>
      <w:r>
        <w:t>the person’s</w:t>
      </w:r>
      <w:r>
        <w:rPr>
          <w:snapToGrid w:val="0"/>
        </w:rPr>
        <w:t xml:space="preserve"> intention, whether by advertisement or otherwise, not to grant,</w:t>
      </w:r>
    </w:p>
    <w:p>
      <w:pPr>
        <w:pStyle w:val="Subsection"/>
        <w:rPr>
          <w:snapToGrid w:val="0"/>
        </w:rPr>
      </w:pPr>
      <w:r>
        <w:rPr>
          <w:snapToGrid w:val="0"/>
        </w:rPr>
        <w:tab/>
      </w:r>
      <w:r>
        <w:rPr>
          <w:snapToGrid w:val="0"/>
        </w:rPr>
        <w:tab/>
        <w:t xml:space="preserve">a tenancy to any </w:t>
      </w:r>
      <w:r>
        <w:t>person on the ground that it</w:t>
      </w:r>
      <w:r>
        <w:rPr>
          <w:snapToGrid w:val="0"/>
        </w:rPr>
        <w:t xml:space="preserve"> is intended that a child should live in the premises.</w:t>
      </w:r>
    </w:p>
    <w:p>
      <w:pPr>
        <w:pStyle w:val="Penstart"/>
      </w:pPr>
      <w:r>
        <w:tab/>
        <w:t>Penalty</w:t>
      </w:r>
      <w:ins w:id="425" w:author="svcMRProcess" w:date="2019-04-15T16:46:00Z">
        <w:r>
          <w:t xml:space="preserve"> for this subsection</w:t>
        </w:r>
      </w:ins>
      <w:r>
        <w:t>: a fine of $5 000.</w:t>
      </w:r>
    </w:p>
    <w:p>
      <w:pPr>
        <w:pStyle w:val="Footnotesection"/>
        <w:rPr>
          <w:ins w:id="426" w:author="svcMRProcess" w:date="2019-04-15T16:46:00Z"/>
        </w:rPr>
      </w:pPr>
      <w:r>
        <w:tab/>
        <w:t>[Section 56 amended: No. 59 of 1995 s. 55; No. 60 of 2011 s. </w:t>
      </w:r>
      <w:del w:id="427" w:author="svcMRProcess" w:date="2019-04-15T16:46:00Z">
        <w:r>
          <w:delText>53</w:delText>
        </w:r>
      </w:del>
      <w:ins w:id="428" w:author="svcMRProcess" w:date="2019-04-15T16:46:00Z">
        <w:r>
          <w:t xml:space="preserve">53; No. 3 of 2019 s. 25.] </w:t>
        </w:r>
      </w:ins>
    </w:p>
    <w:p>
      <w:pPr>
        <w:pStyle w:val="Heading5"/>
        <w:rPr>
          <w:ins w:id="429" w:author="svcMRProcess" w:date="2019-04-15T16:46:00Z"/>
        </w:rPr>
      </w:pPr>
      <w:bookmarkStart w:id="430" w:name="_Toc5719324"/>
      <w:ins w:id="431" w:author="svcMRProcess" w:date="2019-04-15T16:46:00Z">
        <w:r>
          <w:rPr>
            <w:rStyle w:val="CharSectno"/>
          </w:rPr>
          <w:t>56A</w:t>
        </w:r>
        <w:r>
          <w:t>.</w:t>
        </w:r>
        <w:r>
          <w:tab/>
          <w:t>Discrimination against tenants subjected or exposed to family violence</w:t>
        </w:r>
        <w:bookmarkEnd w:id="430"/>
      </w:ins>
    </w:p>
    <w:p>
      <w:pPr>
        <w:pStyle w:val="Subsection"/>
        <w:rPr>
          <w:ins w:id="432" w:author="svcMRProcess" w:date="2019-04-15T16:46:00Z"/>
        </w:rPr>
      </w:pPr>
      <w:ins w:id="433" w:author="svcMRProcess" w:date="2019-04-15T16:46:00Z">
        <w:r>
          <w:tab/>
        </w:r>
        <w:r>
          <w:tab/>
          <w:t xml:space="preserve">A person must not refuse, or cause any person to refuse, to grant a tenancy to any person on the ground that the person — </w:t>
        </w:r>
      </w:ins>
    </w:p>
    <w:p>
      <w:pPr>
        <w:pStyle w:val="Indenta"/>
        <w:rPr>
          <w:ins w:id="434" w:author="svcMRProcess" w:date="2019-04-15T16:46:00Z"/>
        </w:rPr>
      </w:pPr>
      <w:ins w:id="435" w:author="svcMRProcess" w:date="2019-04-15T16:46:00Z">
        <w:r>
          <w:tab/>
          <w:t>(a)</w:t>
        </w:r>
        <w:r>
          <w:tab/>
          <w:t>has been or might be subjected or exposed to family violence; or</w:t>
        </w:r>
      </w:ins>
    </w:p>
    <w:p>
      <w:pPr>
        <w:pStyle w:val="Indenta"/>
        <w:rPr>
          <w:ins w:id="436" w:author="svcMRProcess" w:date="2019-04-15T16:46:00Z"/>
        </w:rPr>
      </w:pPr>
      <w:ins w:id="437" w:author="svcMRProcess" w:date="2019-04-15T16:46:00Z">
        <w:r>
          <w:tab/>
          <w:t>(b)</w:t>
        </w:r>
        <w:r>
          <w:tab/>
          <w:t>has been convicted of a charge relating to family violence.</w:t>
        </w:r>
      </w:ins>
    </w:p>
    <w:p>
      <w:pPr>
        <w:pStyle w:val="Penstart"/>
        <w:rPr>
          <w:ins w:id="438" w:author="svcMRProcess" w:date="2019-04-15T16:46:00Z"/>
        </w:rPr>
      </w:pPr>
      <w:ins w:id="439" w:author="svcMRProcess" w:date="2019-04-15T16:46:00Z">
        <w:r>
          <w:tab/>
          <w:t>Penalty: a fine of $5 000.</w:t>
        </w:r>
      </w:ins>
    </w:p>
    <w:p>
      <w:pPr>
        <w:pStyle w:val="Footnotesection"/>
        <w:spacing w:before="110"/>
      </w:pPr>
      <w:ins w:id="440" w:author="svcMRProcess" w:date="2019-04-15T16:46:00Z">
        <w:r>
          <w:tab/>
          <w:t>[Section 56A inserted: No. 3 of 2019 s. 13</w:t>
        </w:r>
      </w:ins>
      <w:r>
        <w:t xml:space="preserve">.] </w:t>
      </w:r>
    </w:p>
    <w:p>
      <w:pPr>
        <w:pStyle w:val="Heading5"/>
        <w:spacing w:before="200"/>
        <w:rPr>
          <w:snapToGrid w:val="0"/>
        </w:rPr>
      </w:pPr>
      <w:bookmarkStart w:id="441" w:name="_Toc5719325"/>
      <w:bookmarkStart w:id="442" w:name="_Toc2160914"/>
      <w:r>
        <w:rPr>
          <w:rStyle w:val="CharSectno"/>
        </w:rPr>
        <w:t>57</w:t>
      </w:r>
      <w:r>
        <w:rPr>
          <w:snapToGrid w:val="0"/>
        </w:rPr>
        <w:t>.</w:t>
      </w:r>
      <w:r>
        <w:rPr>
          <w:snapToGrid w:val="0"/>
        </w:rPr>
        <w:tab/>
        <w:t>Accelerated rent and liquidated damages prohibited</w:t>
      </w:r>
      <w:bookmarkEnd w:id="441"/>
      <w:bookmarkEnd w:id="442"/>
      <w:r>
        <w:rPr>
          <w:snapToGrid w:val="0"/>
        </w:rPr>
        <w:t xml:space="preserve"> </w:t>
      </w:r>
    </w:p>
    <w:p>
      <w:pPr>
        <w:pStyle w:val="Subsection"/>
        <w:rPr>
          <w:snapToGrid w:val="0"/>
        </w:rPr>
      </w:pPr>
      <w:r>
        <w:rPr>
          <w:snapToGrid w:val="0"/>
        </w:rPr>
        <w:tab/>
        <w:t>(1)</w:t>
      </w:r>
      <w:r>
        <w:rPr>
          <w:snapToGrid w:val="0"/>
        </w:rPr>
        <w:tab/>
        <w:t xml:space="preserve">Where </w:t>
      </w:r>
      <w:r>
        <w:t>a residential tenancy agreement</w:t>
      </w:r>
      <w:r>
        <w:rPr>
          <w:snapToGrid w:val="0"/>
        </w:rPr>
        <w:t xml:space="preserve">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 or</w:t>
      </w:r>
    </w:p>
    <w:p>
      <w:pPr>
        <w:pStyle w:val="Indenta"/>
        <w:rPr>
          <w:snapToGrid w:val="0"/>
        </w:rPr>
      </w:pPr>
      <w:r>
        <w:rPr>
          <w:snapToGrid w:val="0"/>
        </w:rPr>
        <w:tab/>
        <w:t>(b)</w:t>
      </w:r>
      <w:r>
        <w:rPr>
          <w:snapToGrid w:val="0"/>
        </w:rPr>
        <w:tab/>
        <w:t>rent of an increased amount; or</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spacing w:before="140"/>
        <w:rPr>
          <w:snapToGrid w:val="0"/>
        </w:rPr>
      </w:pPr>
      <w:r>
        <w:rPr>
          <w:snapToGrid w:val="0"/>
        </w:rPr>
        <w:tab/>
      </w:r>
      <w:r>
        <w:rPr>
          <w:snapToGrid w:val="0"/>
        </w:rPr>
        <w:tab/>
        <w:t>the provision is to that extent void and of no effect.</w:t>
      </w:r>
    </w:p>
    <w:p>
      <w:pPr>
        <w:pStyle w:val="Subsection"/>
      </w:pPr>
      <w:r>
        <w:tab/>
        <w:t>(2A)</w:t>
      </w:r>
      <w:r>
        <w:tab/>
        <w:t>A lessor or property manager who executes a residential tenancy agreement with a provision of the kind referred to in subsection (1) commits an offence.</w:t>
      </w:r>
    </w:p>
    <w:p>
      <w:pPr>
        <w:pStyle w:val="Penstart"/>
      </w:pPr>
      <w:r>
        <w:tab/>
        <w:t>Penalty</w:t>
      </w:r>
      <w:ins w:id="443" w:author="svcMRProcess" w:date="2019-04-15T16:46:00Z">
        <w:r>
          <w:t xml:space="preserve"> for this subsection</w:t>
        </w:r>
      </w:ins>
      <w:r>
        <w:t>: a fine of $5 000.</w:t>
      </w:r>
    </w:p>
    <w:p>
      <w:pPr>
        <w:pStyle w:val="Subsection"/>
        <w:rPr>
          <w:snapToGrid w:val="0"/>
        </w:rPr>
      </w:pPr>
      <w:r>
        <w:rPr>
          <w:snapToGrid w:val="0"/>
        </w:rPr>
        <w:tab/>
        <w:t>(2)</w:t>
      </w:r>
      <w:r>
        <w:rPr>
          <w:snapToGrid w:val="0"/>
        </w:rPr>
        <w:tab/>
        <w:t xml:space="preserve">Where </w:t>
      </w:r>
      <w:r>
        <w:t>a residential tenancy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Footnotesection"/>
      </w:pPr>
      <w:r>
        <w:tab/>
        <w:t>[Section 57 amended: No.</w:t>
      </w:r>
      <w:del w:id="444" w:author="svcMRProcess" w:date="2019-04-15T16:46:00Z">
        <w:r>
          <w:delText xml:space="preserve"> </w:delText>
        </w:r>
      </w:del>
      <w:ins w:id="445" w:author="svcMRProcess" w:date="2019-04-15T16:46:00Z">
        <w:r>
          <w:t> </w:t>
        </w:r>
      </w:ins>
      <w:r>
        <w:t>60 of 2011 s. 54 and 88</w:t>
      </w:r>
      <w:ins w:id="446" w:author="svcMRProcess" w:date="2019-04-15T16:46:00Z">
        <w:r>
          <w:t>; No. 3 of 2019 s. 25</w:t>
        </w:r>
      </w:ins>
      <w:r>
        <w:t xml:space="preserve">.] </w:t>
      </w:r>
    </w:p>
    <w:p>
      <w:pPr>
        <w:pStyle w:val="Heading5"/>
        <w:rPr>
          <w:snapToGrid w:val="0"/>
        </w:rPr>
      </w:pPr>
      <w:bookmarkStart w:id="447" w:name="_Toc5719326"/>
      <w:bookmarkStart w:id="448" w:name="_Toc2160915"/>
      <w:r>
        <w:rPr>
          <w:rStyle w:val="CharSectno"/>
        </w:rPr>
        <w:t>58</w:t>
      </w:r>
      <w:r>
        <w:rPr>
          <w:snapToGrid w:val="0"/>
        </w:rPr>
        <w:t>.</w:t>
      </w:r>
      <w:r>
        <w:rPr>
          <w:snapToGrid w:val="0"/>
        </w:rPr>
        <w:tab/>
        <w:t>Duty of mitigation</w:t>
      </w:r>
      <w:bookmarkEnd w:id="447"/>
      <w:bookmarkEnd w:id="448"/>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 residential tenancy agreement.</w:t>
      </w:r>
    </w:p>
    <w:p>
      <w:pPr>
        <w:pStyle w:val="Footnotesection"/>
      </w:pPr>
      <w:r>
        <w:tab/>
        <w:t>[Section 58 amended: No.</w:t>
      </w:r>
      <w:del w:id="449" w:author="svcMRProcess" w:date="2019-04-15T16:46:00Z">
        <w:r>
          <w:delText xml:space="preserve"> </w:delText>
        </w:r>
      </w:del>
      <w:ins w:id="450" w:author="svcMRProcess" w:date="2019-04-15T16:46:00Z">
        <w:r>
          <w:t> </w:t>
        </w:r>
      </w:ins>
      <w:r>
        <w:t xml:space="preserve">60 of 2011 s. 55.] </w:t>
      </w:r>
    </w:p>
    <w:p>
      <w:pPr>
        <w:pStyle w:val="Heading5"/>
      </w:pPr>
      <w:bookmarkStart w:id="451" w:name="_Toc5719327"/>
      <w:bookmarkStart w:id="452" w:name="_Toc2160916"/>
      <w:r>
        <w:rPr>
          <w:rStyle w:val="CharSectno"/>
        </w:rPr>
        <w:t>59A</w:t>
      </w:r>
      <w:r>
        <w:t>.</w:t>
      </w:r>
      <w:r>
        <w:tab/>
        <w:t>Minors</w:t>
      </w:r>
      <w:bookmarkEnd w:id="451"/>
      <w:bookmarkEnd w:id="452"/>
    </w:p>
    <w:p>
      <w:pPr>
        <w:pStyle w:val="Subsection"/>
      </w:pPr>
      <w:r>
        <w:tab/>
        <w:t>(1)</w:t>
      </w:r>
      <w:r>
        <w:tab/>
        <w:t>In this section —</w:t>
      </w:r>
    </w:p>
    <w:p>
      <w:pPr>
        <w:pStyle w:val="Defstart"/>
      </w:pPr>
      <w:r>
        <w:tab/>
      </w:r>
      <w:r>
        <w:rPr>
          <w:rStyle w:val="CharDefText"/>
        </w:rPr>
        <w:t>minor</w:t>
      </w:r>
      <w:r>
        <w:t xml:space="preserve"> means a person who has reached 16 years of age but who has not reached 18 years of age.</w:t>
      </w:r>
    </w:p>
    <w:p>
      <w:pPr>
        <w:pStyle w:val="Subsection"/>
      </w:pPr>
      <w:r>
        <w:tab/>
        <w:t>(2)</w:t>
      </w:r>
      <w:r>
        <w:tab/>
        <w:t>Despite any other law in force in this State —</w:t>
      </w:r>
    </w:p>
    <w:p>
      <w:pPr>
        <w:pStyle w:val="Indenta"/>
        <w:spacing w:before="70"/>
      </w:pPr>
      <w:r>
        <w:tab/>
        <w:t>(a)</w:t>
      </w:r>
      <w:r>
        <w:tab/>
        <w:t>a minor has the capacity to enter into a residential tenancy agreement as a tenant; and</w:t>
      </w:r>
    </w:p>
    <w:p>
      <w:pPr>
        <w:pStyle w:val="Indenta"/>
        <w:spacing w:before="70"/>
      </w:pPr>
      <w:r>
        <w:tab/>
        <w:t>(b)</w:t>
      </w:r>
      <w:r>
        <w:tab/>
        <w:t>a residential tenancy agreement may be enforced in accordance with this Act against a minor who is a tenant.</w:t>
      </w:r>
    </w:p>
    <w:p>
      <w:pPr>
        <w:pStyle w:val="Footnotesection"/>
      </w:pPr>
      <w:r>
        <w:tab/>
        <w:t>[Section 59A inserted: No.</w:t>
      </w:r>
      <w:del w:id="453" w:author="svcMRProcess" w:date="2019-04-15T16:46:00Z">
        <w:r>
          <w:delText xml:space="preserve"> </w:delText>
        </w:r>
      </w:del>
      <w:ins w:id="454" w:author="svcMRProcess" w:date="2019-04-15T16:46:00Z">
        <w:r>
          <w:t> </w:t>
        </w:r>
      </w:ins>
      <w:r>
        <w:t>60 of 2011 s. 56.]</w:t>
      </w:r>
    </w:p>
    <w:p>
      <w:pPr>
        <w:pStyle w:val="Heading5"/>
      </w:pPr>
      <w:bookmarkStart w:id="455" w:name="_Toc5719328"/>
      <w:bookmarkStart w:id="456" w:name="_Toc2160917"/>
      <w:r>
        <w:rPr>
          <w:rStyle w:val="CharSectno"/>
        </w:rPr>
        <w:t>59B</w:t>
      </w:r>
      <w:r>
        <w:t>.</w:t>
      </w:r>
      <w:r>
        <w:tab/>
        <w:t>Death of one of 2 or more tenants</w:t>
      </w:r>
      <w:bookmarkEnd w:id="455"/>
      <w:bookmarkEnd w:id="456"/>
    </w:p>
    <w:p>
      <w:pPr>
        <w:pStyle w:val="Subsection"/>
      </w:pPr>
      <w:r>
        <w:tab/>
        <w:t>(1)</w:t>
      </w:r>
      <w:r>
        <w:tab/>
        <w:t>This section applies if —</w:t>
      </w:r>
    </w:p>
    <w:p>
      <w:pPr>
        <w:pStyle w:val="Indenta"/>
        <w:spacing w:before="70"/>
      </w:pPr>
      <w:r>
        <w:tab/>
        <w:t>(a)</w:t>
      </w:r>
      <w:r>
        <w:tab/>
        <w:t>2 or more tenants are parties to a residential tenancy agreement; and</w:t>
      </w:r>
    </w:p>
    <w:p>
      <w:pPr>
        <w:pStyle w:val="Indenta"/>
        <w:spacing w:before="70"/>
      </w:pPr>
      <w:r>
        <w:tab/>
        <w:t>(b)</w:t>
      </w:r>
      <w:r>
        <w:tab/>
        <w:t>the tenants are not joint tenants under the agreement; and</w:t>
      </w:r>
    </w:p>
    <w:p>
      <w:pPr>
        <w:pStyle w:val="Indenta"/>
        <w:spacing w:before="70"/>
      </w:pPr>
      <w:r>
        <w:tab/>
        <w:t>(c)</w:t>
      </w:r>
      <w:r>
        <w:tab/>
        <w:t>one of the tenants dies.</w:t>
      </w:r>
    </w:p>
    <w:p>
      <w:pPr>
        <w:pStyle w:val="Subsection"/>
      </w:pPr>
      <w:r>
        <w:tab/>
        <w:t>(2)</w:t>
      </w:r>
      <w:r>
        <w:tab/>
        <w:t>On the death of the tenant —</w:t>
      </w:r>
    </w:p>
    <w:p>
      <w:pPr>
        <w:pStyle w:val="Indenta"/>
        <w:spacing w:before="70"/>
      </w:pPr>
      <w:r>
        <w:tab/>
        <w:t>(a)</w:t>
      </w:r>
      <w:r>
        <w:tab/>
        <w:t>the deceased tenant’s interest in the tenancy ends; and</w:t>
      </w:r>
    </w:p>
    <w:p>
      <w:pPr>
        <w:pStyle w:val="Indenta"/>
        <w:spacing w:before="70"/>
      </w:pPr>
      <w:r>
        <w:tab/>
        <w:t>(b)</w:t>
      </w:r>
      <w:r>
        <w:tab/>
        <w:t>the agreement continues in force with the parties to the agreement being the lessor and the surviving tenant or tenants.</w:t>
      </w:r>
    </w:p>
    <w:p>
      <w:pPr>
        <w:pStyle w:val="Subsection"/>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pPr>
        <w:pStyle w:val="Footnotesection"/>
      </w:pPr>
      <w:r>
        <w:tab/>
        <w:t>[Section 59B inserted: No.</w:t>
      </w:r>
      <w:del w:id="457" w:author="svcMRProcess" w:date="2019-04-15T16:46:00Z">
        <w:r>
          <w:delText xml:space="preserve"> </w:delText>
        </w:r>
      </w:del>
      <w:ins w:id="458" w:author="svcMRProcess" w:date="2019-04-15T16:46:00Z">
        <w:r>
          <w:t> </w:t>
        </w:r>
      </w:ins>
      <w:r>
        <w:t>60 of 2011 s. 56.]</w:t>
      </w:r>
    </w:p>
    <w:p>
      <w:pPr>
        <w:pStyle w:val="Heading5"/>
      </w:pPr>
      <w:bookmarkStart w:id="459" w:name="_Toc5719329"/>
      <w:bookmarkStart w:id="460" w:name="_Toc2160918"/>
      <w:r>
        <w:rPr>
          <w:rStyle w:val="CharSectno"/>
        </w:rPr>
        <w:t>59C</w:t>
      </w:r>
      <w:r>
        <w:t>.</w:t>
      </w:r>
      <w:r>
        <w:tab/>
        <w:t>Recognition of certain persons as tenants</w:t>
      </w:r>
      <w:bookmarkEnd w:id="459"/>
      <w:bookmarkEnd w:id="460"/>
    </w:p>
    <w:p>
      <w:pPr>
        <w:pStyle w:val="Subsection"/>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pPr>
        <w:pStyle w:val="Subsection"/>
      </w:pPr>
      <w:r>
        <w:tab/>
        <w:t>(2)</w:t>
      </w:r>
      <w:r>
        <w:tab/>
        <w:t>An application by a person to be recognised as a tenant may be made at the same time as any other application or during proceedings before the court or independently of any such other application or proceedings.</w:t>
      </w:r>
    </w:p>
    <w:p>
      <w:pPr>
        <w:pStyle w:val="Subsection"/>
      </w:pPr>
      <w:r>
        <w:tab/>
        <w:t>(3)</w:t>
      </w:r>
      <w:r>
        <w:tab/>
        <w:t xml:space="preserve">On application by a person under this section the court may make either or both of the following orders — </w:t>
      </w:r>
    </w:p>
    <w:p>
      <w:pPr>
        <w:pStyle w:val="Indenta"/>
      </w:pPr>
      <w:r>
        <w:tab/>
        <w:t>(a)</w:t>
      </w:r>
      <w:r>
        <w:tab/>
        <w:t>an order recognising the person as a tenant under a residential tenancy agreement and in that case the person is to be taken, for the purposes of this or any other Act and of the agreement, to be a tenant under the agreement;</w:t>
      </w:r>
    </w:p>
    <w:p>
      <w:pPr>
        <w:pStyle w:val="Indenta"/>
      </w:pPr>
      <w:r>
        <w:tab/>
        <w:t>(b)</w:t>
      </w:r>
      <w:r>
        <w:tab/>
        <w:t>an order joining the person as a party to proceedings.</w:t>
      </w:r>
    </w:p>
    <w:p>
      <w:pPr>
        <w:pStyle w:val="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pPr>
        <w:pStyle w:val="Footnotesection"/>
      </w:pPr>
      <w:r>
        <w:tab/>
        <w:t>[Section 59C inserted: No.</w:t>
      </w:r>
      <w:del w:id="461" w:author="svcMRProcess" w:date="2019-04-15T16:46:00Z">
        <w:r>
          <w:delText xml:space="preserve"> </w:delText>
        </w:r>
      </w:del>
      <w:ins w:id="462" w:author="svcMRProcess" w:date="2019-04-15T16:46:00Z">
        <w:r>
          <w:t> </w:t>
        </w:r>
      </w:ins>
      <w:r>
        <w:t>60 of 2011 s. 56.]</w:t>
      </w:r>
    </w:p>
    <w:p>
      <w:pPr>
        <w:pStyle w:val="Heading5"/>
      </w:pPr>
      <w:bookmarkStart w:id="463" w:name="_Toc5719330"/>
      <w:bookmarkStart w:id="464" w:name="_Toc2160919"/>
      <w:r>
        <w:rPr>
          <w:rStyle w:val="CharSectno"/>
        </w:rPr>
        <w:t>59D</w:t>
      </w:r>
      <w:r>
        <w:t>.</w:t>
      </w:r>
      <w:r>
        <w:tab/>
        <w:t>Tenant compensation bonds</w:t>
      </w:r>
      <w:bookmarkEnd w:id="463"/>
      <w:bookmarkEnd w:id="464"/>
    </w:p>
    <w:p>
      <w:pPr>
        <w:pStyle w:val="Subsection"/>
      </w:pPr>
      <w:r>
        <w:tab/>
        <w:t>(1)</w:t>
      </w:r>
      <w:r>
        <w:tab/>
        <w:t>In this section —</w:t>
      </w:r>
    </w:p>
    <w:p>
      <w:pPr>
        <w:pStyle w:val="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pPr>
        <w:pStyle w:val="Subsection"/>
        <w:keepLines/>
      </w:pPr>
      <w:r>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pPr>
        <w:pStyle w:val="Indenta"/>
      </w:pPr>
      <w:r>
        <w:tab/>
        <w:t>(a)</w:t>
      </w:r>
      <w:r>
        <w:tab/>
        <w:t>a particular tenant or particular residential premises of the lessor; or</w:t>
      </w:r>
    </w:p>
    <w:p>
      <w:pPr>
        <w:pStyle w:val="Indenta"/>
      </w:pPr>
      <w:r>
        <w:tab/>
        <w:t>(b)</w:t>
      </w:r>
      <w:r>
        <w:tab/>
        <w:t>any tenant or residential premises of the lessor.</w:t>
      </w:r>
    </w:p>
    <w:p>
      <w:pPr>
        <w:pStyle w:val="Subsection"/>
      </w:pPr>
      <w:r>
        <w:tab/>
        <w:t>(3)</w:t>
      </w:r>
      <w:r>
        <w:tab/>
        <w:t>The tenant compensation bond is to be an amount determined by the court.</w:t>
      </w:r>
    </w:p>
    <w:p>
      <w:pPr>
        <w:pStyle w:val="Subsection"/>
      </w:pPr>
      <w:r>
        <w:tab/>
        <w:t>(4)</w:t>
      </w:r>
      <w:r>
        <w:tab/>
        <w:t>The lessor may apply to the court for an order that the whole or part of a tenant compensation bond is to be paid back to the lessor.</w:t>
      </w:r>
    </w:p>
    <w:p>
      <w:pPr>
        <w:pStyle w:val="Subsection"/>
      </w:pPr>
      <w:r>
        <w:tab/>
        <w:t>(5)</w:t>
      </w:r>
      <w:r>
        <w:tab/>
        <w:t>The court may make the order referred to in subsection (4) if it is satisfied that it is appropriate in the circumstances to do so.</w:t>
      </w:r>
    </w:p>
    <w:p>
      <w:pPr>
        <w:pStyle w:val="Subsection"/>
      </w:pPr>
      <w:r>
        <w:tab/>
        <w:t>(6)</w:t>
      </w:r>
      <w:r>
        <w:tab/>
        <w:t>The bond administrator must pay the amount of the tenant compensation bond in accordance with —</w:t>
      </w:r>
    </w:p>
    <w:p>
      <w:pPr>
        <w:pStyle w:val="Indenta"/>
      </w:pPr>
      <w:r>
        <w:tab/>
        <w:t>(a)</w:t>
      </w:r>
      <w:r>
        <w:tab/>
        <w:t>Schedule 1 clause 10; or</w:t>
      </w:r>
    </w:p>
    <w:p>
      <w:pPr>
        <w:pStyle w:val="Indenta"/>
      </w:pPr>
      <w:r>
        <w:tab/>
        <w:t>(b)</w:t>
      </w:r>
      <w:r>
        <w:tab/>
        <w:t>an order under subsection (5) and Schedule 1 clause 11.</w:t>
      </w:r>
    </w:p>
    <w:p>
      <w:pPr>
        <w:pStyle w:val="Footnotesection"/>
      </w:pPr>
      <w:r>
        <w:tab/>
        <w:t>[Section 59D inserted: No.</w:t>
      </w:r>
      <w:del w:id="465" w:author="svcMRProcess" w:date="2019-04-15T16:46:00Z">
        <w:r>
          <w:delText xml:space="preserve"> </w:delText>
        </w:r>
      </w:del>
      <w:ins w:id="466" w:author="svcMRProcess" w:date="2019-04-15T16:46:00Z">
        <w:r>
          <w:t> </w:t>
        </w:r>
      </w:ins>
      <w:r>
        <w:t>60 of 2011 s. 56.]</w:t>
      </w:r>
    </w:p>
    <w:p>
      <w:pPr>
        <w:pStyle w:val="Heading5"/>
      </w:pPr>
      <w:bookmarkStart w:id="467" w:name="_Toc5719331"/>
      <w:bookmarkStart w:id="468" w:name="_Toc2160920"/>
      <w:r>
        <w:rPr>
          <w:rStyle w:val="CharSectno"/>
        </w:rPr>
        <w:t>59E</w:t>
      </w:r>
      <w:r>
        <w:t>.</w:t>
      </w:r>
      <w:r>
        <w:tab/>
      </w:r>
      <w:r>
        <w:rPr>
          <w:snapToGrid w:val="0"/>
        </w:rPr>
        <w:t>Interference with quiet enjoyment</w:t>
      </w:r>
      <w:bookmarkEnd w:id="467"/>
      <w:bookmarkEnd w:id="468"/>
    </w:p>
    <w:p>
      <w:pPr>
        <w:pStyle w:val="Subsection"/>
        <w:rPr>
          <w:snapToGrid w:val="0"/>
        </w:rPr>
      </w:pPr>
      <w:r>
        <w:tab/>
        <w:t>(1)</w:t>
      </w:r>
      <w:r>
        <w:tab/>
      </w:r>
      <w:r>
        <w:rPr>
          <w:snapToGrid w:val="0"/>
        </w:rPr>
        <w:t>A lessor who causes or permits interference with the reasonable peace, comfort or privacy of the tenant in the tenant’s use of the premises commits an offence.</w:t>
      </w:r>
    </w:p>
    <w:p>
      <w:pPr>
        <w:pStyle w:val="Penstart"/>
      </w:pPr>
      <w:r>
        <w:tab/>
        <w:t>Penalty</w:t>
      </w:r>
      <w:ins w:id="469" w:author="svcMRProcess" w:date="2019-04-15T16:46:00Z">
        <w:r>
          <w:t xml:space="preserve"> for this subsection</w:t>
        </w:r>
      </w:ins>
      <w:r>
        <w:t>: a fine of $10 000.</w:t>
      </w:r>
    </w:p>
    <w:p>
      <w:pPr>
        <w:pStyle w:val="Subsection"/>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pPr>
        <w:pStyle w:val="Subsection"/>
        <w:rPr>
          <w:ins w:id="470" w:author="svcMRProcess" w:date="2019-04-15T16:46:00Z"/>
        </w:rPr>
      </w:pPr>
      <w:ins w:id="471" w:author="svcMRProcess" w:date="2019-04-15T16:46:00Z">
        <w:r>
          <w:tab/>
          <w:t>(3)</w:t>
        </w:r>
        <w:r>
          <w:tab/>
          <w:t xml:space="preserve">When a charge of an offence under subsection (1) relates to a failure by the lessor to give the tenant a copy of a key to the premises, it is a defence to the charge to prove that — </w:t>
        </w:r>
      </w:ins>
    </w:p>
    <w:p>
      <w:pPr>
        <w:pStyle w:val="Indenta"/>
        <w:rPr>
          <w:ins w:id="472" w:author="svcMRProcess" w:date="2019-04-15T16:46:00Z"/>
        </w:rPr>
      </w:pPr>
      <w:ins w:id="473" w:author="svcMRProcess" w:date="2019-04-15T16:46:00Z">
        <w:r>
          <w:tab/>
          <w:t>(a)</w:t>
        </w:r>
        <w:r>
          <w:tab/>
          <w:t>the copy of the key had been given to the lessor under section 45(2)(b); and</w:t>
        </w:r>
      </w:ins>
    </w:p>
    <w:p>
      <w:pPr>
        <w:pStyle w:val="Indenta"/>
        <w:rPr>
          <w:ins w:id="474" w:author="svcMRProcess" w:date="2019-04-15T16:46:00Z"/>
        </w:rPr>
      </w:pPr>
      <w:ins w:id="475" w:author="svcMRProcess" w:date="2019-04-15T16:46:00Z">
        <w:r>
          <w:tab/>
          <w:t>(b)</w:t>
        </w:r>
        <w:r>
          <w:tab/>
          <w:t>the tenant was a person to whom the lessor was instructed not to give the copy of the key under section 45(2)(c)(ii).</w:t>
        </w:r>
      </w:ins>
    </w:p>
    <w:p>
      <w:pPr>
        <w:pStyle w:val="Footnotesection"/>
      </w:pPr>
      <w:r>
        <w:tab/>
        <w:t>[Section 59E inserted: No.</w:t>
      </w:r>
      <w:del w:id="476" w:author="svcMRProcess" w:date="2019-04-15T16:46:00Z">
        <w:r>
          <w:delText xml:space="preserve"> </w:delText>
        </w:r>
      </w:del>
      <w:ins w:id="477" w:author="svcMRProcess" w:date="2019-04-15T16:46:00Z">
        <w:r>
          <w:t> </w:t>
        </w:r>
      </w:ins>
      <w:r>
        <w:t>60 of 2011 s. 56</w:t>
      </w:r>
      <w:ins w:id="478" w:author="svcMRProcess" w:date="2019-04-15T16:46:00Z">
        <w:r>
          <w:t>; amended: No. 3 of 2019 s. 14 and 25</w:t>
        </w:r>
      </w:ins>
      <w:r>
        <w:t>.]</w:t>
      </w:r>
    </w:p>
    <w:p>
      <w:pPr>
        <w:pStyle w:val="Heading5"/>
      </w:pPr>
      <w:bookmarkStart w:id="479" w:name="_Toc5719332"/>
      <w:bookmarkStart w:id="480" w:name="_Toc2160921"/>
      <w:r>
        <w:rPr>
          <w:rStyle w:val="CharSectno"/>
        </w:rPr>
        <w:t>59F</w:t>
      </w:r>
      <w:r>
        <w:t>.</w:t>
      </w:r>
      <w:r>
        <w:tab/>
      </w:r>
      <w:r>
        <w:rPr>
          <w:snapToGrid w:val="0"/>
        </w:rPr>
        <w:t>Offences relating to security of residential premises</w:t>
      </w:r>
      <w:bookmarkEnd w:id="479"/>
      <w:bookmarkEnd w:id="480"/>
    </w:p>
    <w:p>
      <w:pPr>
        <w:pStyle w:val="Subsection"/>
      </w:pPr>
      <w:r>
        <w:tab/>
        <w:t>(1)</w:t>
      </w:r>
      <w:r>
        <w:tab/>
        <w:t>A lessor or tenant who breaches the term referred to in section 45(</w:t>
      </w:r>
      <w:ins w:id="481" w:author="svcMRProcess" w:date="2019-04-15T16:46:00Z">
        <w:r>
          <w:t>1)(</w:t>
        </w:r>
      </w:ins>
      <w:r>
        <w:t>b) without reasonable excuse commits an offence.</w:t>
      </w:r>
    </w:p>
    <w:p>
      <w:pPr>
        <w:pStyle w:val="Penstart"/>
      </w:pPr>
      <w:r>
        <w:tab/>
        <w:t>Penalty</w:t>
      </w:r>
      <w:ins w:id="482" w:author="svcMRProcess" w:date="2019-04-15T16:46:00Z">
        <w:r>
          <w:t xml:space="preserve"> for this subsection</w:t>
        </w:r>
      </w:ins>
      <w:r>
        <w:t>: a fine of $20 000.</w:t>
      </w:r>
    </w:p>
    <w:p>
      <w:pPr>
        <w:pStyle w:val="Subsection"/>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pPr>
        <w:pStyle w:val="Penstart"/>
        <w:rPr>
          <w:ins w:id="483" w:author="svcMRProcess" w:date="2019-04-15T16:46:00Z"/>
        </w:rPr>
      </w:pPr>
      <w:r>
        <w:tab/>
        <w:t>Penalty</w:t>
      </w:r>
      <w:ins w:id="484" w:author="svcMRProcess" w:date="2019-04-15T16:46:00Z">
        <w:r>
          <w:t xml:space="preserve"> for this subsection: a fine of $20 000.</w:t>
        </w:r>
      </w:ins>
    </w:p>
    <w:p>
      <w:pPr>
        <w:pStyle w:val="Subsection"/>
        <w:rPr>
          <w:ins w:id="485" w:author="svcMRProcess" w:date="2019-04-15T16:46:00Z"/>
        </w:rPr>
      </w:pPr>
      <w:ins w:id="486" w:author="svcMRProcess" w:date="2019-04-15T16:46:00Z">
        <w:r>
          <w:tab/>
          <w:t>(2A)</w:t>
        </w:r>
        <w:r>
          <w:tab/>
          <w:t>A lessor who breaches the term referred to in section 45(2)(c) without reasonable excuse commits an offence.</w:t>
        </w:r>
      </w:ins>
    </w:p>
    <w:p>
      <w:pPr>
        <w:pStyle w:val="Penstart"/>
      </w:pPr>
      <w:ins w:id="487" w:author="svcMRProcess" w:date="2019-04-15T16:46:00Z">
        <w:r>
          <w:tab/>
          <w:t>Penalty for this subsection</w:t>
        </w:r>
      </w:ins>
      <w:r>
        <w:t>: a fine of $20 000.</w:t>
      </w:r>
    </w:p>
    <w:p>
      <w:pPr>
        <w:pStyle w:val="Subsection"/>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pPr>
        <w:pStyle w:val="Footnotesection"/>
      </w:pPr>
      <w:r>
        <w:tab/>
        <w:t>[Section 59F inserted: No.</w:t>
      </w:r>
      <w:del w:id="488" w:author="svcMRProcess" w:date="2019-04-15T16:46:00Z">
        <w:r>
          <w:delText xml:space="preserve"> </w:delText>
        </w:r>
      </w:del>
      <w:ins w:id="489" w:author="svcMRProcess" w:date="2019-04-15T16:46:00Z">
        <w:r>
          <w:t> </w:t>
        </w:r>
      </w:ins>
      <w:r>
        <w:t>60 of 2011 s. 56</w:t>
      </w:r>
      <w:ins w:id="490" w:author="svcMRProcess" w:date="2019-04-15T16:46:00Z">
        <w:r>
          <w:t>; amended: No. 3 of 2019 s. 15 and 25</w:t>
        </w:r>
      </w:ins>
      <w:r>
        <w:t>.]</w:t>
      </w:r>
    </w:p>
    <w:p>
      <w:pPr>
        <w:pStyle w:val="Heading2"/>
      </w:pPr>
      <w:bookmarkStart w:id="491" w:name="_Toc2153364"/>
      <w:bookmarkStart w:id="492" w:name="_Toc2160198"/>
      <w:bookmarkStart w:id="493" w:name="_Toc2160922"/>
      <w:bookmarkStart w:id="494" w:name="_Toc5621545"/>
      <w:bookmarkStart w:id="495" w:name="_Toc5632954"/>
      <w:bookmarkStart w:id="496" w:name="_Toc5719333"/>
      <w:r>
        <w:rPr>
          <w:rStyle w:val="CharPartNo"/>
        </w:rPr>
        <w:t>Part V</w:t>
      </w:r>
      <w:r>
        <w:t> — </w:t>
      </w:r>
      <w:r>
        <w:rPr>
          <w:rStyle w:val="CharPartText"/>
        </w:rPr>
        <w:t>Termination of residential tenancy agreements</w:t>
      </w:r>
      <w:bookmarkEnd w:id="491"/>
      <w:bookmarkEnd w:id="492"/>
      <w:bookmarkEnd w:id="493"/>
      <w:bookmarkEnd w:id="494"/>
      <w:bookmarkEnd w:id="495"/>
      <w:bookmarkEnd w:id="496"/>
    </w:p>
    <w:p>
      <w:pPr>
        <w:pStyle w:val="Heading3"/>
      </w:pPr>
      <w:bookmarkStart w:id="497" w:name="_Toc2153365"/>
      <w:bookmarkStart w:id="498" w:name="_Toc2160199"/>
      <w:bookmarkStart w:id="499" w:name="_Toc2160923"/>
      <w:bookmarkStart w:id="500" w:name="_Toc5621546"/>
      <w:bookmarkStart w:id="501" w:name="_Toc5632955"/>
      <w:bookmarkStart w:id="502" w:name="_Toc5719334"/>
      <w:r>
        <w:rPr>
          <w:rStyle w:val="CharDivNo"/>
        </w:rPr>
        <w:t>Division 1</w:t>
      </w:r>
      <w:r>
        <w:t> — </w:t>
      </w:r>
      <w:r>
        <w:rPr>
          <w:rStyle w:val="CharDivText"/>
        </w:rPr>
        <w:t>How residential tenancy agreements are terminated</w:t>
      </w:r>
      <w:bookmarkEnd w:id="497"/>
      <w:bookmarkEnd w:id="498"/>
      <w:bookmarkEnd w:id="499"/>
      <w:bookmarkEnd w:id="500"/>
      <w:bookmarkEnd w:id="501"/>
      <w:bookmarkEnd w:id="502"/>
    </w:p>
    <w:p>
      <w:pPr>
        <w:pStyle w:val="Footnoteheading"/>
      </w:pPr>
      <w:r>
        <w:tab/>
        <w:t>[Heading inserted: No.</w:t>
      </w:r>
      <w:del w:id="503" w:author="svcMRProcess" w:date="2019-04-15T16:46:00Z">
        <w:r>
          <w:delText xml:space="preserve"> </w:delText>
        </w:r>
      </w:del>
      <w:ins w:id="504" w:author="svcMRProcess" w:date="2019-04-15T16:46:00Z">
        <w:r>
          <w:t> </w:t>
        </w:r>
      </w:ins>
      <w:r>
        <w:t>60 of 2011 s. 57.]</w:t>
      </w:r>
    </w:p>
    <w:p>
      <w:pPr>
        <w:pStyle w:val="Ednotesection"/>
      </w:pPr>
      <w:r>
        <w:t>[</w:t>
      </w:r>
      <w:r>
        <w:rPr>
          <w:b/>
        </w:rPr>
        <w:t>59.</w:t>
      </w:r>
      <w:r>
        <w:tab/>
        <w:t>Deleted: No.</w:t>
      </w:r>
      <w:del w:id="505" w:author="svcMRProcess" w:date="2019-04-15T16:46:00Z">
        <w:r>
          <w:delText xml:space="preserve"> </w:delText>
        </w:r>
      </w:del>
      <w:ins w:id="506" w:author="svcMRProcess" w:date="2019-04-15T16:46:00Z">
        <w:r>
          <w:t> </w:t>
        </w:r>
      </w:ins>
      <w:r>
        <w:t xml:space="preserve">60 of 2011 s. 58.] </w:t>
      </w:r>
    </w:p>
    <w:p>
      <w:pPr>
        <w:pStyle w:val="Heading5"/>
        <w:rPr>
          <w:snapToGrid w:val="0"/>
        </w:rPr>
      </w:pPr>
      <w:bookmarkStart w:id="507" w:name="_Toc5719335"/>
      <w:bookmarkStart w:id="508" w:name="_Toc2160924"/>
      <w:r>
        <w:rPr>
          <w:rStyle w:val="CharSectno"/>
        </w:rPr>
        <w:t>60</w:t>
      </w:r>
      <w:r>
        <w:rPr>
          <w:snapToGrid w:val="0"/>
        </w:rPr>
        <w:t>.</w:t>
      </w:r>
      <w:r>
        <w:rPr>
          <w:snapToGrid w:val="0"/>
        </w:rPr>
        <w:tab/>
        <w:t xml:space="preserve">How residential tenancy agreements </w:t>
      </w:r>
      <w:ins w:id="509" w:author="svcMRProcess" w:date="2019-04-15T16:46:00Z">
        <w:r>
          <w:rPr>
            <w:snapToGrid w:val="0"/>
          </w:rPr>
          <w:t xml:space="preserve">and tenant’s interests in agreements </w:t>
        </w:r>
      </w:ins>
      <w:r>
        <w:rPr>
          <w:snapToGrid w:val="0"/>
        </w:rPr>
        <w:t>are terminated</w:t>
      </w:r>
      <w:bookmarkEnd w:id="507"/>
      <w:bookmarkEnd w:id="508"/>
      <w:r>
        <w:rPr>
          <w:snapToGrid w:val="0"/>
        </w:rPr>
        <w:t xml:space="preserve"> </w:t>
      </w:r>
    </w:p>
    <w:p>
      <w:pPr>
        <w:pStyle w:val="Subsection"/>
        <w:rPr>
          <w:snapToGrid w:val="0"/>
        </w:rPr>
      </w:pPr>
      <w:r>
        <w:tab/>
      </w:r>
      <w:ins w:id="510" w:author="svcMRProcess" w:date="2019-04-15T16:46:00Z">
        <w:r>
          <w:t>(1)</w:t>
        </w:r>
      </w:ins>
      <w:r>
        <w:tab/>
        <w:t xml:space="preserve">Despite </w:t>
      </w:r>
      <w:r>
        <w:rPr>
          <w:snapToGrid w:val="0"/>
        </w:rPr>
        <w:t xml:space="preserve">any Act or law to the contrary, </w:t>
      </w:r>
      <w:r>
        <w:t>a residential tenancy agreement</w:t>
      </w:r>
      <w:r>
        <w:rPr>
          <w:snapToGrid w:val="0"/>
        </w:rPr>
        <w:t xml:space="preserve"> shall not terminate or be terminated</w:t>
      </w:r>
      <w:r>
        <w:t xml:space="preserve"> except in one of the following circumstances —</w:t>
      </w:r>
    </w:p>
    <w:p>
      <w:pPr>
        <w:pStyle w:val="Indenta"/>
        <w:rPr>
          <w:snapToGrid w:val="0"/>
        </w:rPr>
      </w:pPr>
      <w:r>
        <w:rPr>
          <w:snapToGrid w:val="0"/>
        </w:rPr>
        <w:tab/>
        <w:t>(a)</w:t>
      </w:r>
      <w:r>
        <w:rPr>
          <w:snapToGrid w:val="0"/>
        </w:rPr>
        <w:tab/>
        <w:t xml:space="preserve">where </w:t>
      </w:r>
      <w:r>
        <w:t>the lessor</w:t>
      </w:r>
      <w:r>
        <w:rPr>
          <w:snapToGrid w:val="0"/>
        </w:rPr>
        <w:t xml:space="preserve">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xml:space="preserve">, upon application by </w:t>
      </w:r>
      <w:r>
        <w:t>the lessor</w:t>
      </w:r>
      <w:r>
        <w:rPr>
          <w:snapToGrid w:val="0"/>
        </w:rPr>
        <w:t>, terminates the agreement under section 71;</w:t>
      </w:r>
    </w:p>
    <w:p>
      <w:pPr>
        <w:pStyle w:val="Indenta"/>
      </w:pPr>
      <w:r>
        <w:tab/>
        <w:t>(b)</w:t>
      </w:r>
      <w:r>
        <w:tab/>
        <w:t xml:space="preserve">in the case of a tenancy for a fixed term, where the lessor or tenant gives a notice of termination under section 70A and — </w:t>
      </w:r>
    </w:p>
    <w:p>
      <w:pPr>
        <w:pStyle w:val="Indenti"/>
      </w:pPr>
      <w:r>
        <w:tab/>
        <w:t>(i)</w:t>
      </w:r>
      <w:r>
        <w:tab/>
        <w:t>the tenant delivers up possession of the premises on or after the day on which the term of the agreement expires in accordance with that section; or</w:t>
      </w:r>
    </w:p>
    <w:p>
      <w:pPr>
        <w:pStyle w:val="Indenti"/>
      </w:pPr>
      <w:r>
        <w:tab/>
        <w:t>(ii)</w:t>
      </w:r>
      <w:r>
        <w:tab/>
        <w:t>a competent court, upon application by the lessor, terminates the agreement under section 72;</w:t>
      </w:r>
    </w:p>
    <w:p>
      <w:pPr>
        <w:pStyle w:val="Indenta"/>
        <w:keepNext/>
        <w:rPr>
          <w:ins w:id="511" w:author="svcMRProcess" w:date="2019-04-15T16:46:00Z"/>
        </w:rPr>
      </w:pPr>
      <w:ins w:id="512" w:author="svcMRProcess" w:date="2019-04-15T16:46:00Z">
        <w:r>
          <w:tab/>
          <w:t>(ba)</w:t>
        </w:r>
        <w:r>
          <w:tab/>
          <w:t xml:space="preserve">in the case of a particular tenant’s interest in the agreement, where the tenant — </w:t>
        </w:r>
      </w:ins>
    </w:p>
    <w:p>
      <w:pPr>
        <w:pStyle w:val="Indenti"/>
        <w:rPr>
          <w:ins w:id="513" w:author="svcMRProcess" w:date="2019-04-15T16:46:00Z"/>
        </w:rPr>
      </w:pPr>
      <w:ins w:id="514" w:author="svcMRProcess" w:date="2019-04-15T16:46:00Z">
        <w:r>
          <w:tab/>
          <w:t>(i)</w:t>
        </w:r>
        <w:r>
          <w:tab/>
          <w:t>gives notice under section 71AB(1) of termination of the tenant’s interest together with at least 1 of the documents required under section 71AB(2); and</w:t>
        </w:r>
      </w:ins>
    </w:p>
    <w:p>
      <w:pPr>
        <w:pStyle w:val="Indenti"/>
        <w:rPr>
          <w:ins w:id="515" w:author="svcMRProcess" w:date="2019-04-15T16:46:00Z"/>
        </w:rPr>
      </w:pPr>
      <w:ins w:id="516" w:author="svcMRProcess" w:date="2019-04-15T16:46:00Z">
        <w:r>
          <w:tab/>
          <w:t>(ii)</w:t>
        </w:r>
        <w:r>
          <w:tab/>
          <w:t>vacates the premises on or after the expiration of the period of notice required under section 71AB(5);</w:t>
        </w:r>
      </w:ins>
    </w:p>
    <w:p>
      <w:pPr>
        <w:pStyle w:val="Indenta"/>
        <w:rPr>
          <w:ins w:id="517" w:author="svcMRProcess" w:date="2019-04-15T16:46:00Z"/>
        </w:rPr>
      </w:pPr>
      <w:ins w:id="518" w:author="svcMRProcess" w:date="2019-04-15T16:46:00Z">
        <w:r>
          <w:tab/>
          <w:t>(bb)</w:t>
        </w:r>
        <w:r>
          <w:tab/>
          <w:t xml:space="preserve">in the case of a particular tenant’s interest in the agreement, where the tenant — </w:t>
        </w:r>
      </w:ins>
    </w:p>
    <w:p>
      <w:pPr>
        <w:pStyle w:val="Indenti"/>
        <w:rPr>
          <w:ins w:id="519" w:author="svcMRProcess" w:date="2019-04-15T16:46:00Z"/>
        </w:rPr>
      </w:pPr>
      <w:ins w:id="520" w:author="svcMRProcess" w:date="2019-04-15T16:46:00Z">
        <w:r>
          <w:tab/>
          <w:t>(i)</w:t>
        </w:r>
        <w:r>
          <w:tab/>
          <w:t>gives notice under section 71AD(4) of termination of the tenant’s interest; and</w:t>
        </w:r>
      </w:ins>
    </w:p>
    <w:p>
      <w:pPr>
        <w:pStyle w:val="Indenti"/>
        <w:rPr>
          <w:ins w:id="521" w:author="svcMRProcess" w:date="2019-04-15T16:46:00Z"/>
        </w:rPr>
      </w:pPr>
      <w:ins w:id="522" w:author="svcMRProcess" w:date="2019-04-15T16:46:00Z">
        <w:r>
          <w:tab/>
          <w:t>(ii)</w:t>
        </w:r>
        <w:r>
          <w:tab/>
          <w:t>vacates the premises on or after the expiration of the period of notice required under section 71AD(5);</w:t>
        </w:r>
      </w:ins>
    </w:p>
    <w:p>
      <w:pPr>
        <w:pStyle w:val="Indenta"/>
        <w:rPr>
          <w:ins w:id="523" w:author="svcMRProcess" w:date="2019-04-15T16:46:00Z"/>
        </w:rPr>
      </w:pPr>
      <w:ins w:id="524" w:author="svcMRProcess" w:date="2019-04-15T16:46:00Z">
        <w:r>
          <w:tab/>
          <w:t>(bc)</w:t>
        </w:r>
        <w:r>
          <w:tab/>
          <w:t>in the case of a particular tenant’s interest in the agreement, where a competent court terminates the tenant’s interest under section 71AE;</w:t>
        </w:r>
      </w:ins>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 75A</w:t>
      </w:r>
      <w:r>
        <w:rPr>
          <w:snapToGrid w:val="0"/>
        </w:rPr>
        <w:t xml:space="preserve"> or 75;</w:t>
      </w:r>
    </w:p>
    <w:p>
      <w:pPr>
        <w:pStyle w:val="Indenta"/>
        <w:rPr>
          <w:snapToGrid w:val="0"/>
        </w:rPr>
      </w:pPr>
      <w:r>
        <w:rPr>
          <w:snapToGrid w:val="0"/>
        </w:rPr>
        <w:tab/>
        <w:t>(d)</w:t>
      </w:r>
      <w:r>
        <w:rPr>
          <w:snapToGrid w:val="0"/>
        </w:rPr>
        <w:tab/>
        <w:t xml:space="preserve">where a person having superior title to that of </w:t>
      </w:r>
      <w:r>
        <w:t>the lessor</w:t>
      </w:r>
      <w:r>
        <w:rPr>
          <w:snapToGrid w:val="0"/>
        </w:rPr>
        <w:t xml:space="preserve">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 xml:space="preserve">where the tenant delivers up vacant possession of the premises pursuant to an agreement in writing between </w:t>
      </w:r>
      <w:r>
        <w:t>the lessor</w:t>
      </w:r>
      <w:r>
        <w:rPr>
          <w:snapToGrid w:val="0"/>
        </w:rPr>
        <w:t xml:space="preserve"> and the tenant to terminate the residential tenancy agreement;</w:t>
      </w:r>
    </w:p>
    <w:p>
      <w:pPr>
        <w:pStyle w:val="Indenta"/>
      </w:pPr>
      <w:r>
        <w:tab/>
        <w:t>(h)</w:t>
      </w:r>
      <w:r>
        <w:tab/>
        <w:t>where the agreement terminates by merger;</w:t>
      </w:r>
    </w:p>
    <w:p>
      <w:pPr>
        <w:pStyle w:val="Indenta"/>
      </w:pPr>
      <w:r>
        <w:tab/>
        <w:t>(i)</w:t>
      </w:r>
      <w:r>
        <w:tab/>
        <w:t>where every tenant dies.</w:t>
      </w:r>
    </w:p>
    <w:p>
      <w:pPr>
        <w:pStyle w:val="Subsection"/>
        <w:rPr>
          <w:ins w:id="525" w:author="svcMRProcess" w:date="2019-04-15T16:46:00Z"/>
        </w:rPr>
      </w:pPr>
      <w:ins w:id="526" w:author="svcMRProcess" w:date="2019-04-15T16:46:00Z">
        <w:r>
          <w:tab/>
          <w:t>(2)</w:t>
        </w:r>
        <w:r>
          <w:tab/>
          <w:t>The termination of a tenant’s interest in a residential tenancy agreement does not terminate the agreement in respect of any other tenant under the agreement.</w:t>
        </w:r>
      </w:ins>
    </w:p>
    <w:p>
      <w:pPr>
        <w:pStyle w:val="Footnotesection"/>
      </w:pPr>
      <w:r>
        <w:tab/>
        <w:t>[Section 60 amended: No. 50 of 1988 s. 18; No. 59 of 1995 s. 49; No. 59 of 2004 s. 120(1); No. 60 of 2011 s. 59, 88, 89 and 91</w:t>
      </w:r>
      <w:ins w:id="527" w:author="svcMRProcess" w:date="2019-04-15T16:46:00Z">
        <w:r>
          <w:t>; No. 3 of 2019 s. 16</w:t>
        </w:r>
      </w:ins>
      <w:r>
        <w:t xml:space="preserve">.] </w:t>
      </w:r>
    </w:p>
    <w:p>
      <w:pPr>
        <w:pStyle w:val="Heading3"/>
      </w:pPr>
      <w:bookmarkStart w:id="528" w:name="_Toc2153367"/>
      <w:bookmarkStart w:id="529" w:name="_Toc2160201"/>
      <w:bookmarkStart w:id="530" w:name="_Toc2160925"/>
      <w:bookmarkStart w:id="531" w:name="_Toc5621548"/>
      <w:bookmarkStart w:id="532" w:name="_Toc5632957"/>
      <w:bookmarkStart w:id="533" w:name="_Toc5719336"/>
      <w:r>
        <w:rPr>
          <w:rStyle w:val="CharDivNo"/>
        </w:rPr>
        <w:t>Division 2</w:t>
      </w:r>
      <w:r>
        <w:t> — </w:t>
      </w:r>
      <w:r>
        <w:rPr>
          <w:rStyle w:val="CharDivText"/>
        </w:rPr>
        <w:t>Notices of termination</w:t>
      </w:r>
      <w:bookmarkEnd w:id="528"/>
      <w:bookmarkEnd w:id="529"/>
      <w:bookmarkEnd w:id="530"/>
      <w:bookmarkEnd w:id="531"/>
      <w:bookmarkEnd w:id="532"/>
      <w:bookmarkEnd w:id="533"/>
    </w:p>
    <w:p>
      <w:pPr>
        <w:pStyle w:val="Footnoteheading"/>
      </w:pPr>
      <w:r>
        <w:tab/>
        <w:t>[Heading inserted: No.</w:t>
      </w:r>
      <w:del w:id="534" w:author="svcMRProcess" w:date="2019-04-15T16:46:00Z">
        <w:r>
          <w:delText xml:space="preserve"> </w:delText>
        </w:r>
      </w:del>
      <w:ins w:id="535" w:author="svcMRProcess" w:date="2019-04-15T16:46:00Z">
        <w:r>
          <w:t> </w:t>
        </w:r>
      </w:ins>
      <w:r>
        <w:t>60 of 2011 s. 60.]</w:t>
      </w:r>
    </w:p>
    <w:p>
      <w:pPr>
        <w:pStyle w:val="Heading5"/>
      </w:pPr>
      <w:bookmarkStart w:id="536" w:name="_Toc5719337"/>
      <w:bookmarkStart w:id="537" w:name="_Toc2160926"/>
      <w:r>
        <w:rPr>
          <w:rStyle w:val="CharSectno"/>
        </w:rPr>
        <w:t>61</w:t>
      </w:r>
      <w:r>
        <w:t>.</w:t>
      </w:r>
      <w:r>
        <w:tab/>
        <w:t>Form of notice of termination by lessor</w:t>
      </w:r>
      <w:bookmarkEnd w:id="536"/>
      <w:bookmarkEnd w:id="537"/>
    </w:p>
    <w:p>
      <w:pPr>
        <w:pStyle w:val="Subsection"/>
      </w:pPr>
      <w:r>
        <w:tab/>
      </w:r>
      <w:r>
        <w:tab/>
        <w:t xml:space="preserve">Notice of termination of a residential tenancy agreement by the lessor must — </w:t>
      </w:r>
    </w:p>
    <w:p>
      <w:pPr>
        <w:pStyle w:val="Indenta"/>
      </w:pPr>
      <w:r>
        <w:tab/>
        <w:t>(a)</w:t>
      </w:r>
      <w:r>
        <w:tab/>
        <w:t>be in writing and in the prescribed form; and</w:t>
      </w:r>
    </w:p>
    <w:p>
      <w:pPr>
        <w:pStyle w:val="Indenta"/>
      </w:pPr>
      <w:r>
        <w:tab/>
        <w:t>(b)</w:t>
      </w:r>
      <w:r>
        <w:tab/>
        <w:t>be signed by the lessor or a property manager of the residential premises; and</w:t>
      </w:r>
    </w:p>
    <w:p>
      <w:pPr>
        <w:pStyle w:val="Indenta"/>
      </w:pPr>
      <w:r>
        <w:tab/>
        <w:t>(c)</w:t>
      </w:r>
      <w:r>
        <w:tab/>
        <w:t>identify the premises the subject of the agreement; and</w:t>
      </w:r>
    </w:p>
    <w:p>
      <w:pPr>
        <w:pStyle w:val="Indenta"/>
      </w:pPr>
      <w:r>
        <w:tab/>
        <w:t>(d)</w:t>
      </w:r>
      <w:r>
        <w:tab/>
        <w:t>specify the day on which possession of the premises is to be delivered up by the tenant; and</w:t>
      </w:r>
    </w:p>
    <w:p>
      <w:pPr>
        <w:pStyle w:val="Indenta"/>
      </w:pPr>
      <w:r>
        <w:tab/>
        <w:t>(e)</w:t>
      </w:r>
      <w:r>
        <w:tab/>
        <w:t>specify and give particulars of the ground, if any, upon which the notice is given.</w:t>
      </w:r>
    </w:p>
    <w:p>
      <w:pPr>
        <w:pStyle w:val="Footnotesection"/>
      </w:pPr>
      <w:r>
        <w:tab/>
        <w:t>[Section 61 inserted: No. 60 of 2011 s. 61.]</w:t>
      </w:r>
    </w:p>
    <w:p>
      <w:pPr>
        <w:pStyle w:val="Heading5"/>
        <w:rPr>
          <w:snapToGrid w:val="0"/>
        </w:rPr>
      </w:pPr>
      <w:bookmarkStart w:id="538" w:name="_Toc5719338"/>
      <w:bookmarkStart w:id="539" w:name="_Toc2160927"/>
      <w:r>
        <w:rPr>
          <w:rStyle w:val="CharSectno"/>
        </w:rPr>
        <w:t>62</w:t>
      </w:r>
      <w:r>
        <w:rPr>
          <w:snapToGrid w:val="0"/>
        </w:rPr>
        <w:t>.</w:t>
      </w:r>
      <w:r>
        <w:rPr>
          <w:snapToGrid w:val="0"/>
        </w:rPr>
        <w:tab/>
        <w:t>Notice of termination by lessor upon ground of breach of term of agreement</w:t>
      </w:r>
      <w:bookmarkEnd w:id="538"/>
      <w:bookmarkEnd w:id="539"/>
    </w:p>
    <w:p>
      <w:pPr>
        <w:pStyle w:val="Subsection"/>
        <w:spacing w:before="130"/>
        <w:rPr>
          <w:snapToGrid w:val="0"/>
        </w:rPr>
      </w:pPr>
      <w:r>
        <w:rPr>
          <w:snapToGrid w:val="0"/>
        </w:rPr>
        <w:tab/>
        <w:t>(1)</w:t>
      </w:r>
      <w:r>
        <w:rPr>
          <w:snapToGrid w:val="0"/>
        </w:rPr>
        <w:tab/>
      </w:r>
      <w:r>
        <w:t>A lessor</w:t>
      </w:r>
      <w:r>
        <w:rPr>
          <w:snapToGrid w:val="0"/>
        </w:rPr>
        <w:t xml:space="preserve"> may give notice of termination of </w:t>
      </w:r>
      <w:r>
        <w:t>a residential tenancy agreement</w:t>
      </w:r>
      <w:r>
        <w:rPr>
          <w:snapToGrid w:val="0"/>
        </w:rPr>
        <w:t xml:space="preserve"> to the tenant upon the ground that the tenant has breached a term of the agreement and the breach has not been remedied.</w:t>
      </w:r>
    </w:p>
    <w:p>
      <w:pPr>
        <w:pStyle w:val="Subsection"/>
        <w:spacing w:before="130"/>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day on which the tenant is required under the notice to give the lessor possession of the premises.</w:t>
      </w:r>
    </w:p>
    <w:p>
      <w:pPr>
        <w:pStyle w:val="Subsection"/>
        <w:spacing w:before="130"/>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spacing w:before="130"/>
        <w:rPr>
          <w:snapToGrid w:val="0"/>
        </w:rPr>
      </w:pPr>
      <w:r>
        <w:rPr>
          <w:snapToGrid w:val="0"/>
        </w:rPr>
        <w:tab/>
        <w:t>(4)</w:t>
      </w:r>
      <w:r>
        <w:rPr>
          <w:snapToGrid w:val="0"/>
        </w:rPr>
        <w:tab/>
        <w:t>Where notice of termination is given under this section upon the ground of a breach of the agreement to pay rent — </w:t>
      </w:r>
    </w:p>
    <w:p>
      <w:pPr>
        <w:pStyle w:val="Indenta"/>
        <w:spacing w:before="60"/>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spacing w:before="60"/>
        <w:rPr>
          <w:snapToGrid w:val="0"/>
        </w:rPr>
      </w:pPr>
      <w:r>
        <w:rPr>
          <w:snapToGrid w:val="0"/>
        </w:rPr>
        <w:tab/>
        <w:t>(b)</w:t>
      </w:r>
      <w:r>
        <w:rPr>
          <w:snapToGrid w:val="0"/>
        </w:rPr>
        <w:tab/>
        <w:t xml:space="preserve">the notice is not rendered ineffectual by failure by </w:t>
      </w:r>
      <w:r>
        <w:t>the lessor</w:t>
      </w:r>
      <w:r>
        <w:rPr>
          <w:snapToGrid w:val="0"/>
        </w:rPr>
        <w:t xml:space="preserve"> to make a prior formal demand for payment of the rent.</w:t>
      </w:r>
    </w:p>
    <w:p>
      <w:pPr>
        <w:pStyle w:val="Subsection"/>
        <w:spacing w:before="140"/>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spacing w:before="60"/>
        <w:rPr>
          <w:snapToGrid w:val="0"/>
        </w:rPr>
      </w:pPr>
      <w:r>
        <w:rPr>
          <w:snapToGrid w:val="0"/>
        </w:rPr>
        <w:tab/>
        <w:t>(a)</w:t>
      </w:r>
      <w:r>
        <w:rPr>
          <w:snapToGrid w:val="0"/>
        </w:rPr>
        <w:tab/>
      </w:r>
      <w:r>
        <w:t>the lessor</w:t>
      </w:r>
      <w:r>
        <w:rPr>
          <w:snapToGrid w:val="0"/>
        </w:rPr>
        <w:t xml:space="preserve"> shall not make an application under section 71 if the rent due under the agreement is paid in full before the day specified in the notice as the day on which the tenant is to deliver up possession of the premises; and</w:t>
      </w:r>
    </w:p>
    <w:p>
      <w:pPr>
        <w:pStyle w:val="Indenta"/>
        <w:spacing w:before="60"/>
        <w:rPr>
          <w:snapToGrid w:val="0"/>
        </w:rPr>
      </w:pPr>
      <w:r>
        <w:rPr>
          <w:snapToGrid w:val="0"/>
        </w:rPr>
        <w:tab/>
        <w:t>(b)</w:t>
      </w:r>
      <w:r>
        <w:rPr>
          <w:snapToGrid w:val="0"/>
        </w:rPr>
        <w:tab/>
      </w:r>
      <w:r>
        <w:t>the lessor</w:t>
      </w:r>
      <w:r>
        <w:rPr>
          <w:snapToGrid w:val="0"/>
        </w:rPr>
        <w:t xml:space="preserve"> shall not continue proceedings in respect of an application under section 71 if — </w:t>
      </w:r>
    </w:p>
    <w:p>
      <w:pPr>
        <w:pStyle w:val="Indenti"/>
        <w:spacing w:before="60"/>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 xml:space="preserve">the amount of any fee paid by </w:t>
      </w:r>
      <w:r>
        <w:t>the lessor</w:t>
      </w:r>
      <w:r>
        <w:rPr>
          <w:snapToGrid w:val="0"/>
        </w:rPr>
        <w:t xml:space="preserve"> under section 18(1),</w:t>
      </w:r>
    </w:p>
    <w:p>
      <w:pPr>
        <w:pStyle w:val="Indenta"/>
        <w:spacing w:before="60"/>
        <w:rPr>
          <w:snapToGrid w:val="0"/>
        </w:rPr>
      </w:pPr>
      <w:r>
        <w:rPr>
          <w:snapToGrid w:val="0"/>
        </w:rPr>
        <w:tab/>
      </w:r>
      <w:r>
        <w:rPr>
          <w:snapToGrid w:val="0"/>
        </w:rPr>
        <w:tab/>
        <w:t xml:space="preserve">are paid in full to </w:t>
      </w:r>
      <w:r>
        <w:t>the lessor</w:t>
      </w:r>
      <w:r>
        <w:rPr>
          <w:snapToGrid w:val="0"/>
        </w:rPr>
        <w:t xml:space="preserve"> not less than one day before the hearing of application; and</w:t>
      </w:r>
    </w:p>
    <w:p>
      <w:pPr>
        <w:pStyle w:val="Indenta"/>
        <w:spacing w:before="60"/>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 xml:space="preserve">Failure by a tenant under </w:t>
      </w:r>
      <w:r>
        <w:t>a residential tenancy agreement</w:t>
      </w:r>
      <w:r>
        <w:rPr>
          <w:snapToGrid w:val="0"/>
        </w:rPr>
        <w:t xml:space="preserve"> that creates a tenancy for a fixed term to deliver up vacant possession of the premises at the expiration of the term does not constitute a breach of the agreement.</w:t>
      </w:r>
    </w:p>
    <w:p>
      <w:pPr>
        <w:pStyle w:val="Footnotesection"/>
        <w:spacing w:before="100"/>
      </w:pPr>
      <w:r>
        <w:tab/>
        <w:t xml:space="preserve">[Section 62 amended: No. 59 of 1995 s. 50; No. 60 of 2011 s. 62, 88 and 89.] </w:t>
      </w:r>
    </w:p>
    <w:p>
      <w:pPr>
        <w:pStyle w:val="Heading5"/>
      </w:pPr>
      <w:bookmarkStart w:id="540" w:name="_Toc5719339"/>
      <w:bookmarkStart w:id="541" w:name="_Toc2160928"/>
      <w:r>
        <w:rPr>
          <w:rStyle w:val="CharSectno"/>
        </w:rPr>
        <w:t>63</w:t>
      </w:r>
      <w:r>
        <w:t>.</w:t>
      </w:r>
      <w:r>
        <w:tab/>
        <w:t>Notice of termination by lessor who has entered into contract of sale</w:t>
      </w:r>
      <w:bookmarkEnd w:id="540"/>
      <w:bookmarkEnd w:id="541"/>
    </w:p>
    <w:p>
      <w:pPr>
        <w:pStyle w:val="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pPr>
        <w:pStyle w:val="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pPr>
        <w:pStyle w:val="Subsection"/>
      </w:pPr>
      <w:r>
        <w:tab/>
        <w:t>(3)</w:t>
      </w:r>
      <w:r>
        <w:tab/>
        <w:t>A lessor, or a property manager acting on behalf of the lessor, must not give notice of termination under this section that the person knows is false or misleading in a material particular.</w:t>
      </w:r>
    </w:p>
    <w:p>
      <w:pPr>
        <w:pStyle w:val="Penstart"/>
      </w:pPr>
      <w:r>
        <w:tab/>
        <w:t>Penalty</w:t>
      </w:r>
      <w:ins w:id="542" w:author="svcMRProcess" w:date="2019-04-15T16:46:00Z">
        <w:r>
          <w:t xml:space="preserve"> for this subsection</w:t>
        </w:r>
      </w:ins>
      <w:r>
        <w:t>: a fine of $10 000.</w:t>
      </w:r>
    </w:p>
    <w:p>
      <w:pPr>
        <w:pStyle w:val="Subsection"/>
      </w:pPr>
      <w:r>
        <w:tab/>
        <w:t>(4)</w:t>
      </w:r>
      <w:r>
        <w:tab/>
        <w:t>This section does not apply to a residential tenancy agreement that creates a tenancy for a fixed term during the currency of that term.</w:t>
      </w:r>
    </w:p>
    <w:p>
      <w:pPr>
        <w:pStyle w:val="Footnotesection"/>
      </w:pPr>
      <w:r>
        <w:tab/>
        <w:t>[Section 63 inserted: No. 60 of 2011 s. </w:t>
      </w:r>
      <w:del w:id="543" w:author="svcMRProcess" w:date="2019-04-15T16:46:00Z">
        <w:r>
          <w:delText>63</w:delText>
        </w:r>
      </w:del>
      <w:ins w:id="544" w:author="svcMRProcess" w:date="2019-04-15T16:46:00Z">
        <w:r>
          <w:t>63; amended: No. 3 of 2019 s. 25</w:t>
        </w:r>
      </w:ins>
      <w:r>
        <w:t>.]</w:t>
      </w:r>
    </w:p>
    <w:p>
      <w:pPr>
        <w:pStyle w:val="Heading5"/>
      </w:pPr>
      <w:bookmarkStart w:id="545" w:name="_Toc5719340"/>
      <w:bookmarkStart w:id="546" w:name="_Toc2160929"/>
      <w:r>
        <w:rPr>
          <w:rStyle w:val="CharSectno"/>
        </w:rPr>
        <w:t>64</w:t>
      </w:r>
      <w:r>
        <w:t>.</w:t>
      </w:r>
      <w:r>
        <w:tab/>
        <w:t>Notice of termination by lessor without any ground</w:t>
      </w:r>
      <w:bookmarkEnd w:id="545"/>
      <w:bookmarkEnd w:id="546"/>
    </w:p>
    <w:p>
      <w:pPr>
        <w:pStyle w:val="Subsection"/>
      </w:pPr>
      <w:r>
        <w:tab/>
        <w:t>(1)</w:t>
      </w:r>
      <w:r>
        <w:tab/>
        <w:t>A lessor may give notice of termination of a residential tenancy agreement to the tenant without specifying any ground for the notice.</w:t>
      </w:r>
    </w:p>
    <w:p>
      <w:pPr>
        <w:pStyle w:val="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pPr>
        <w:pStyle w:val="Subsection"/>
      </w:pPr>
      <w:r>
        <w:tab/>
        <w:t>(3)</w:t>
      </w:r>
      <w:r>
        <w:tab/>
        <w:t xml:space="preserve">A tenant may, within 7 days after receiving a </w:t>
      </w:r>
      <w:r>
        <w:rPr>
          <w:snapToGrid w:val="0"/>
        </w:rPr>
        <w:t>notice of termination under this section</w:t>
      </w:r>
      <w:r>
        <w:t xml:space="preserve">, apply to a competent court for an order — </w:t>
      </w:r>
    </w:p>
    <w:p>
      <w:pPr>
        <w:pStyle w:val="Indenta"/>
      </w:pPr>
      <w:r>
        <w:tab/>
        <w:t>(a)</w:t>
      </w:r>
      <w:r>
        <w:tab/>
        <w:t>that the period of notice be extended by a further period of up to 60 days; or</w:t>
      </w:r>
    </w:p>
    <w:p>
      <w:pPr>
        <w:pStyle w:val="Indenta"/>
      </w:pPr>
      <w:r>
        <w:tab/>
        <w:t>(b)</w:t>
      </w:r>
      <w:r>
        <w:tab/>
        <w:t>if the tenant is of the opinion that the grounds set out in section 71(3)(b)(i) apply — that the residential tenancy agreement is not terminated as a consequence of the notice.</w:t>
      </w:r>
    </w:p>
    <w:p>
      <w:pPr>
        <w:pStyle w:val="Subsection"/>
      </w:pPr>
      <w:r>
        <w:tab/>
        <w:t>(4)</w:t>
      </w:r>
      <w:r>
        <w:tab/>
        <w:t xml:space="preserve">On an application under subsection (3) the court may, as it thinks fit having regard to the justice and merits of the case — </w:t>
      </w:r>
    </w:p>
    <w:p>
      <w:pPr>
        <w:pStyle w:val="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pPr>
        <w:pStyle w:val="Indenta"/>
      </w:pPr>
      <w:r>
        <w:tab/>
        <w:t>(b)</w:t>
      </w:r>
      <w:r>
        <w:tab/>
        <w:t>make an order that the residential tenancy agreement is not terminated as a consequence of the notice; or</w:t>
      </w:r>
    </w:p>
    <w:p>
      <w:pPr>
        <w:pStyle w:val="Indenta"/>
      </w:pPr>
      <w:r>
        <w:tab/>
        <w:t>(c)</w:t>
      </w:r>
      <w:r>
        <w:tab/>
        <w:t xml:space="preserve">make an order referred to in section 71(2) and in that case the court must specify the day as from which the order for possession operates, being a day that is the later of — </w:t>
      </w:r>
    </w:p>
    <w:p>
      <w:pPr>
        <w:pStyle w:val="Indenti"/>
      </w:pPr>
      <w:r>
        <w:tab/>
        <w:t>(i)</w:t>
      </w:r>
      <w:r>
        <w:tab/>
        <w:t>a day not less than 60 days after the day on which the notice of termination was received; or</w:t>
      </w:r>
    </w:p>
    <w:p>
      <w:pPr>
        <w:pStyle w:val="Indenti"/>
      </w:pPr>
      <w:r>
        <w:tab/>
        <w:t>(ii)</w:t>
      </w:r>
      <w:r>
        <w:tab/>
        <w:t>a day within 7 days after the day on which the order was made.</w:t>
      </w:r>
    </w:p>
    <w:p>
      <w:pPr>
        <w:pStyle w:val="Subsection"/>
      </w:pPr>
      <w:r>
        <w:tab/>
        <w:t>(5)</w:t>
      </w:r>
      <w:r>
        <w:tab/>
        <w:t>This section does not apply in relation to a residential tenancy agreement that creates a tenancy for a fixed term during the currency of that term.</w:t>
      </w:r>
    </w:p>
    <w:p>
      <w:pPr>
        <w:pStyle w:val="Footnotesection"/>
      </w:pPr>
      <w:r>
        <w:tab/>
        <w:t>[Section 64 inserted: No. 60 of 2011 s. 63.]</w:t>
      </w:r>
    </w:p>
    <w:p>
      <w:pPr>
        <w:pStyle w:val="Heading5"/>
        <w:rPr>
          <w:snapToGrid w:val="0"/>
        </w:rPr>
      </w:pPr>
      <w:bookmarkStart w:id="547" w:name="_Toc5719341"/>
      <w:bookmarkStart w:id="548" w:name="_Toc2160930"/>
      <w:r>
        <w:rPr>
          <w:rStyle w:val="CharSectno"/>
        </w:rPr>
        <w:t>65</w:t>
      </w:r>
      <w:r>
        <w:rPr>
          <w:snapToGrid w:val="0"/>
        </w:rPr>
        <w:t>.</w:t>
      </w:r>
      <w:r>
        <w:rPr>
          <w:snapToGrid w:val="0"/>
        </w:rPr>
        <w:tab/>
        <w:t>Termination by lessor where s. 32 invoked</w:t>
      </w:r>
      <w:bookmarkEnd w:id="547"/>
      <w:bookmarkEnd w:id="548"/>
    </w:p>
    <w:p>
      <w:pPr>
        <w:pStyle w:val="Subsection"/>
        <w:rPr>
          <w:snapToGrid w:val="0"/>
        </w:rPr>
      </w:pPr>
      <w:r>
        <w:rPr>
          <w:snapToGrid w:val="0"/>
        </w:rPr>
        <w:tab/>
        <w:t>(1)</w:t>
      </w:r>
      <w:r>
        <w:rPr>
          <w:snapToGrid w:val="0"/>
        </w:rPr>
        <w:tab/>
        <w:t xml:space="preserve">Where proceedings are pending for an order, or an order is in force, under section 32 fixing the maximum rent in respect of premises the subject of </w:t>
      </w:r>
      <w:r>
        <w:t>a residential tenancy agreement —</w:t>
      </w:r>
    </w:p>
    <w:p>
      <w:pPr>
        <w:pStyle w:val="Indenta"/>
        <w:rPr>
          <w:snapToGrid w:val="0"/>
        </w:rPr>
      </w:pPr>
      <w:r>
        <w:rPr>
          <w:snapToGrid w:val="0"/>
        </w:rPr>
        <w:tab/>
        <w:t>(a)</w:t>
      </w:r>
      <w:r>
        <w:rPr>
          <w:snapToGrid w:val="0"/>
        </w:rPr>
        <w:tab/>
        <w:t xml:space="preserve">any notice of termination of the agreement given by </w:t>
      </w:r>
      <w:r>
        <w:t>the lessor</w:t>
      </w:r>
      <w:r>
        <w:rPr>
          <w:snapToGrid w:val="0"/>
        </w:rPr>
        <w:t xml:space="preserve"> under section 64 is ineffectual; and</w:t>
      </w:r>
    </w:p>
    <w:p>
      <w:pPr>
        <w:pStyle w:val="Indenta"/>
        <w:rPr>
          <w:snapToGrid w:val="0"/>
        </w:rPr>
      </w:pPr>
      <w:r>
        <w:rPr>
          <w:snapToGrid w:val="0"/>
        </w:rPr>
        <w:tab/>
        <w:t>(b)</w:t>
      </w:r>
      <w:r>
        <w:rPr>
          <w:snapToGrid w:val="0"/>
        </w:rPr>
        <w:tab/>
        <w:t xml:space="preserve">any other notice of termination of the agreement given by </w:t>
      </w:r>
      <w:r>
        <w:t>the lessor</w:t>
      </w:r>
      <w:r>
        <w:rPr>
          <w:snapToGrid w:val="0"/>
        </w:rPr>
        <w:t xml:space="preserve"> is ineffectual unless first authorised by a </w:t>
      </w:r>
      <w:r>
        <w:t>competent court</w:t>
      </w:r>
      <w:r>
        <w:rPr>
          <w:snapToGrid w:val="0"/>
        </w:rPr>
        <w:t xml:space="preserve"> under subsection (2).</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a lessor</w:t>
      </w:r>
      <w:r>
        <w:rPr>
          <w:snapToGrid w:val="0"/>
        </w:rPr>
        <w:t xml:space="preserve">, authorise </w:t>
      </w:r>
      <w:r>
        <w:t>the lessor</w:t>
      </w:r>
      <w:r>
        <w:rPr>
          <w:snapToGrid w:val="0"/>
        </w:rPr>
        <w:t xml:space="preserve"> to give notice of termination, if it is satisfied that neither the institution of the proceedings for the order nor the making of the order has wholly or partly motivated </w:t>
      </w:r>
      <w:r>
        <w:t>the lessor</w:t>
      </w:r>
      <w:r>
        <w:rPr>
          <w:snapToGrid w:val="0"/>
        </w:rPr>
        <w:t xml:space="preserve"> to give notice of termination.</w:t>
      </w:r>
    </w:p>
    <w:p>
      <w:pPr>
        <w:pStyle w:val="Footnotesection"/>
      </w:pPr>
      <w:r>
        <w:tab/>
        <w:t xml:space="preserve">[Section 65 amended: No. 50 of 1988 s. 18; No. 59 of 2004 s. 120(1) and (2); No. 60 of 2011 s. 64 and 89.] </w:t>
      </w:r>
    </w:p>
    <w:p>
      <w:pPr>
        <w:pStyle w:val="Heading5"/>
        <w:rPr>
          <w:snapToGrid w:val="0"/>
        </w:rPr>
      </w:pPr>
      <w:bookmarkStart w:id="549" w:name="_Toc5719342"/>
      <w:bookmarkStart w:id="550" w:name="_Toc2160931"/>
      <w:r>
        <w:rPr>
          <w:rStyle w:val="CharSectno"/>
        </w:rPr>
        <w:t>66</w:t>
      </w:r>
      <w:r>
        <w:rPr>
          <w:snapToGrid w:val="0"/>
        </w:rPr>
        <w:t>.</w:t>
      </w:r>
      <w:r>
        <w:rPr>
          <w:snapToGrid w:val="0"/>
        </w:rPr>
        <w:tab/>
        <w:t>Notice by lessor not waived by acceptance of rent</w:t>
      </w:r>
      <w:bookmarkEnd w:id="549"/>
      <w:bookmarkEnd w:id="550"/>
    </w:p>
    <w:p>
      <w:pPr>
        <w:pStyle w:val="Subsection"/>
        <w:rPr>
          <w:snapToGrid w:val="0"/>
        </w:rPr>
      </w:pPr>
      <w:r>
        <w:rPr>
          <w:snapToGrid w:val="0"/>
        </w:rPr>
        <w:tab/>
      </w:r>
      <w:r>
        <w:rPr>
          <w:snapToGrid w:val="0"/>
        </w:rPr>
        <w:tab/>
        <w:t xml:space="preserve">A demand for, any proceeding for the recovery of, or acceptance of, rent by </w:t>
      </w:r>
      <w:r>
        <w:t>a lessor</w:t>
      </w:r>
      <w:r>
        <w:rPr>
          <w:snapToGrid w:val="0"/>
        </w:rPr>
        <w:t xml:space="preserve"> after </w:t>
      </w:r>
      <w:r>
        <w:t>the lessor</w:t>
      </w:r>
      <w:r>
        <w:rPr>
          <w:snapToGrid w:val="0"/>
        </w:rPr>
        <w:t xml:space="preserve"> has notice of a breach of the agreement by the tenant or has given the tenant notice of termination under this Act does not operate as a waiver of that breach or that notice.</w:t>
      </w:r>
    </w:p>
    <w:p>
      <w:pPr>
        <w:pStyle w:val="Footnotesection"/>
      </w:pPr>
      <w:r>
        <w:tab/>
        <w:t xml:space="preserve">[Section 66 amended: No. 60 of 2011 s. 65 and 89.] </w:t>
      </w:r>
    </w:p>
    <w:p>
      <w:pPr>
        <w:pStyle w:val="Heading5"/>
        <w:rPr>
          <w:snapToGrid w:val="0"/>
        </w:rPr>
      </w:pPr>
      <w:bookmarkStart w:id="551" w:name="_Toc5719343"/>
      <w:bookmarkStart w:id="552" w:name="_Toc2160932"/>
      <w:r>
        <w:rPr>
          <w:rStyle w:val="CharSectno"/>
        </w:rPr>
        <w:t>67</w:t>
      </w:r>
      <w:r>
        <w:rPr>
          <w:snapToGrid w:val="0"/>
        </w:rPr>
        <w:t>.</w:t>
      </w:r>
      <w:r>
        <w:rPr>
          <w:snapToGrid w:val="0"/>
        </w:rPr>
        <w:tab/>
        <w:t>Form of notice of termination by tenant</w:t>
      </w:r>
      <w:bookmarkEnd w:id="551"/>
      <w:bookmarkEnd w:id="552"/>
      <w:r>
        <w:rPr>
          <w:snapToGrid w:val="0"/>
        </w:rPr>
        <w:t xml:space="preserve"> </w:t>
      </w:r>
    </w:p>
    <w:p>
      <w:pPr>
        <w:pStyle w:val="Subsection"/>
        <w:rPr>
          <w:snapToGrid w:val="0"/>
        </w:rPr>
      </w:pPr>
      <w:r>
        <w:tab/>
      </w:r>
      <w:del w:id="553" w:author="svcMRProcess" w:date="2019-04-15T16:46:00Z">
        <w:r>
          <w:rPr>
            <w:snapToGrid w:val="0"/>
          </w:rPr>
          <w:tab/>
          <w:delText>Notice</w:delText>
        </w:r>
      </w:del>
      <w:ins w:id="554" w:author="svcMRProcess" w:date="2019-04-15T16:46:00Z">
        <w:r>
          <w:t>(1)</w:t>
        </w:r>
        <w:r>
          <w:tab/>
          <w:t>Except as provided in subsection (2), a notice</w:t>
        </w:r>
      </w:ins>
      <w:r>
        <w:t xml:space="preserve"> of termination of a residential tenancy agreement</w:t>
      </w:r>
      <w:del w:id="555" w:author="svcMRProcess" w:date="2019-04-15T16:46:00Z">
        <w:r>
          <w:rPr>
            <w:snapToGrid w:val="0"/>
          </w:rPr>
          <w:delText xml:space="preserve"> by</w:delText>
        </w:r>
      </w:del>
      <w:ins w:id="556" w:author="svcMRProcess" w:date="2019-04-15T16:46:00Z">
        <w:r>
          <w:t>, or of</w:t>
        </w:r>
      </w:ins>
      <w:r>
        <w:t xml:space="preserve"> the </w:t>
      </w:r>
      <w:del w:id="557" w:author="svcMRProcess" w:date="2019-04-15T16:46:00Z">
        <w:r>
          <w:rPr>
            <w:snapToGrid w:val="0"/>
          </w:rPr>
          <w:delText>tenant shall — </w:delText>
        </w:r>
      </w:del>
      <w:ins w:id="558" w:author="svcMRProcess" w:date="2019-04-15T16:46:00Z">
        <w:r>
          <w:t>tenant’s interest in the agreement, must —</w:t>
        </w:r>
      </w:ins>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Subsection"/>
        <w:rPr>
          <w:ins w:id="559" w:author="svcMRProcess" w:date="2019-04-15T16:46:00Z"/>
        </w:rPr>
      </w:pPr>
      <w:ins w:id="560" w:author="svcMRProcess" w:date="2019-04-15T16:46:00Z">
        <w:r>
          <w:tab/>
          <w:t>(2)</w:t>
        </w:r>
        <w:r>
          <w:tab/>
          <w:t>A notice given under section 71AB(1) must be in a prescribed form.</w:t>
        </w:r>
      </w:ins>
    </w:p>
    <w:p>
      <w:pPr>
        <w:pStyle w:val="Footnotesection"/>
      </w:pPr>
      <w:r>
        <w:tab/>
        <w:t>[Section 67 amended: No. 60 of 2011 s. </w:t>
      </w:r>
      <w:del w:id="561" w:author="svcMRProcess" w:date="2019-04-15T16:46:00Z">
        <w:r>
          <w:delText>88</w:delText>
        </w:r>
      </w:del>
      <w:ins w:id="562" w:author="svcMRProcess" w:date="2019-04-15T16:46:00Z">
        <w:r>
          <w:t>88; No. 3 of 2019 s. 17</w:t>
        </w:r>
      </w:ins>
      <w:r>
        <w:t xml:space="preserve">.] </w:t>
      </w:r>
    </w:p>
    <w:p>
      <w:pPr>
        <w:pStyle w:val="Heading5"/>
        <w:rPr>
          <w:snapToGrid w:val="0"/>
        </w:rPr>
      </w:pPr>
      <w:bookmarkStart w:id="563" w:name="_Toc5719344"/>
      <w:bookmarkStart w:id="564" w:name="_Toc2160933"/>
      <w:r>
        <w:rPr>
          <w:rStyle w:val="CharSectno"/>
        </w:rPr>
        <w:t>68</w:t>
      </w:r>
      <w:r>
        <w:rPr>
          <w:snapToGrid w:val="0"/>
        </w:rPr>
        <w:t>.</w:t>
      </w:r>
      <w:r>
        <w:rPr>
          <w:snapToGrid w:val="0"/>
        </w:rPr>
        <w:tab/>
        <w:t>Notice of termination by tenant</w:t>
      </w:r>
      <w:bookmarkEnd w:id="563"/>
      <w:bookmarkEnd w:id="564"/>
      <w:r>
        <w:rPr>
          <w:snapToGrid w:val="0"/>
        </w:rPr>
        <w:t xml:space="preserve"> </w:t>
      </w:r>
    </w:p>
    <w:p>
      <w:pPr>
        <w:pStyle w:val="Subsection"/>
        <w:rPr>
          <w:snapToGrid w:val="0"/>
        </w:rPr>
      </w:pPr>
      <w:r>
        <w:rPr>
          <w:snapToGrid w:val="0"/>
        </w:rPr>
        <w:tab/>
        <w:t>(1)</w:t>
      </w:r>
      <w:r>
        <w:rPr>
          <w:snapToGrid w:val="0"/>
        </w:rPr>
        <w:tab/>
        <w:t xml:space="preserve">A tenant may give notice of termination of </w:t>
      </w:r>
      <w:r>
        <w:t>a residential tenancy agreement</w:t>
      </w:r>
      <w:r>
        <w:rPr>
          <w:snapToGrid w:val="0"/>
        </w:rPr>
        <w:t xml:space="preserve"> to </w:t>
      </w:r>
      <w:r>
        <w:t>the lessor</w:t>
      </w:r>
      <w:r>
        <w:rPr>
          <w:snapToGrid w:val="0"/>
        </w:rPr>
        <w:t xml:space="preserve"> without specifying any ground for the notice.</w:t>
      </w:r>
    </w:p>
    <w:p>
      <w:pPr>
        <w:pStyle w:val="Subsection"/>
        <w:rPr>
          <w:snapToGrid w:val="0"/>
        </w:rPr>
      </w:pPr>
      <w:r>
        <w:rPr>
          <w:snapToGrid w:val="0"/>
        </w:rPr>
        <w:tab/>
        <w:t>(2)</w:t>
      </w:r>
      <w:r>
        <w:rPr>
          <w:snapToGrid w:val="0"/>
        </w:rPr>
        <w:tab/>
        <w:t xml:space="preserve">Where a tenant gives notice of termination under this section, the period of notice must be not less than </w:t>
      </w:r>
      <w:r>
        <w:t>21 days before the termination day.</w:t>
      </w:r>
    </w:p>
    <w:p>
      <w:pPr>
        <w:pStyle w:val="Subsection"/>
        <w:rPr>
          <w:snapToGrid w:val="0"/>
        </w:rPr>
      </w:pPr>
      <w:r>
        <w:rPr>
          <w:snapToGrid w:val="0"/>
        </w:rPr>
        <w:tab/>
        <w:t>(3)</w:t>
      </w:r>
      <w:r>
        <w:rPr>
          <w:snapToGrid w:val="0"/>
        </w:rPr>
        <w:tab/>
        <w:t xml:space="preserve">This section does not apply in relation to </w:t>
      </w:r>
      <w:r>
        <w:t>a residential tenancy agreement</w:t>
      </w:r>
      <w:r>
        <w:rPr>
          <w:snapToGrid w:val="0"/>
        </w:rPr>
        <w:t xml:space="preserve"> that creates a tenancy for a fixed term during the currency of that term.</w:t>
      </w:r>
    </w:p>
    <w:p>
      <w:pPr>
        <w:pStyle w:val="Footnotesection"/>
      </w:pPr>
      <w:r>
        <w:tab/>
        <w:t xml:space="preserve">[Section 68 amended: No. 60 of 2011 s. 66, 88 and 89.] </w:t>
      </w:r>
    </w:p>
    <w:p>
      <w:pPr>
        <w:pStyle w:val="Heading5"/>
        <w:rPr>
          <w:snapToGrid w:val="0"/>
        </w:rPr>
      </w:pPr>
      <w:bookmarkStart w:id="565" w:name="_Toc5719345"/>
      <w:bookmarkStart w:id="566" w:name="_Toc2160934"/>
      <w:r>
        <w:rPr>
          <w:rStyle w:val="CharSectno"/>
        </w:rPr>
        <w:t>69</w:t>
      </w:r>
      <w:r>
        <w:rPr>
          <w:snapToGrid w:val="0"/>
        </w:rPr>
        <w:t>.</w:t>
      </w:r>
      <w:r>
        <w:rPr>
          <w:snapToGrid w:val="0"/>
        </w:rPr>
        <w:tab/>
        <w:t>Notice of termination by lessor or tenant where agreement frustrated</w:t>
      </w:r>
      <w:bookmarkEnd w:id="565"/>
      <w:bookmarkEnd w:id="566"/>
    </w:p>
    <w:p>
      <w:pPr>
        <w:pStyle w:val="Subsection"/>
        <w:rPr>
          <w:snapToGrid w:val="0"/>
        </w:rPr>
      </w:pPr>
      <w:r>
        <w:rPr>
          <w:snapToGrid w:val="0"/>
        </w:rPr>
        <w:tab/>
        <w:t>(1)</w:t>
      </w:r>
      <w:r>
        <w:rPr>
          <w:snapToGrid w:val="0"/>
        </w:rPr>
        <w:tab/>
        <w:t xml:space="preserve">Where, otherwise than as a result of a breach of </w:t>
      </w:r>
      <w:r>
        <w:t>a residential tenancy agreement</w:t>
      </w:r>
      <w:r>
        <w:rPr>
          <w:snapToGrid w:val="0"/>
        </w:rPr>
        <w: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r>
      <w:r>
        <w:t>the lessor</w:t>
      </w:r>
      <w:r>
        <w:rPr>
          <w:snapToGrid w:val="0"/>
        </w:rPr>
        <w:t xml:space="preserve"> or tenant may give notice of termination of the agreement to the other upon that ground.</w:t>
      </w:r>
    </w:p>
    <w:p>
      <w:pPr>
        <w:pStyle w:val="Subsection"/>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termination day.</w:t>
      </w:r>
    </w:p>
    <w:p>
      <w:pPr>
        <w:pStyle w:val="Subsection"/>
        <w:rPr>
          <w:snapToGrid w:val="0"/>
        </w:rPr>
      </w:pPr>
      <w:r>
        <w:rPr>
          <w:snapToGrid w:val="0"/>
        </w:rPr>
        <w:tab/>
        <w:t>(3)</w:t>
      </w:r>
      <w:r>
        <w:rPr>
          <w:snapToGrid w:val="0"/>
        </w:rPr>
        <w:tab/>
        <w:t xml:space="preserve">Where a tenant gives notice of termination under this section, the period of notice shall be not less than </w:t>
      </w:r>
      <w:r>
        <w:t>2 days before the termination day.</w:t>
      </w:r>
    </w:p>
    <w:p>
      <w:pPr>
        <w:pStyle w:val="Subsection"/>
        <w:rPr>
          <w:snapToGrid w:val="0"/>
        </w:rPr>
      </w:pPr>
      <w:r>
        <w:rPr>
          <w:snapToGrid w:val="0"/>
        </w:rPr>
        <w:tab/>
        <w:t>(4)</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or will, deliver up possession of the premises is earlier than the last day of that term.</w:t>
      </w:r>
    </w:p>
    <w:p>
      <w:pPr>
        <w:pStyle w:val="Footnotesection"/>
      </w:pPr>
      <w:r>
        <w:tab/>
        <w:t xml:space="preserve">[Section 69 amended: No. 60 of 2011 s. 67, 88 and 89.] </w:t>
      </w:r>
    </w:p>
    <w:p>
      <w:pPr>
        <w:pStyle w:val="Heading5"/>
      </w:pPr>
      <w:bookmarkStart w:id="567" w:name="_Toc5719346"/>
      <w:bookmarkStart w:id="568" w:name="_Toc2160935"/>
      <w:r>
        <w:rPr>
          <w:rStyle w:val="CharSectno"/>
        </w:rPr>
        <w:t>70A</w:t>
      </w:r>
      <w:r>
        <w:t>.</w:t>
      </w:r>
      <w:r>
        <w:tab/>
        <w:t>Notice of termination by lessor or tenant at end of fixed term tenancy</w:t>
      </w:r>
      <w:bookmarkEnd w:id="567"/>
      <w:bookmarkEnd w:id="568"/>
    </w:p>
    <w:p>
      <w:pPr>
        <w:pStyle w:val="Subsection"/>
      </w:pPr>
      <w:r>
        <w:tab/>
        <w:t>(1)</w:t>
      </w:r>
      <w:r>
        <w:tab/>
        <w:t xml:space="preserve">In this section — </w:t>
      </w:r>
    </w:p>
    <w:p>
      <w:pPr>
        <w:pStyle w:val="Defstart"/>
      </w:pPr>
      <w:r>
        <w:tab/>
      </w:r>
      <w:r>
        <w:rPr>
          <w:rStyle w:val="CharDefText"/>
        </w:rPr>
        <w:t>agreement</w:t>
      </w:r>
      <w:r>
        <w:t xml:space="preserve"> means a residential tenancy agreement that creates a tenancy for a fixed term;</w:t>
      </w:r>
    </w:p>
    <w:p>
      <w:pPr>
        <w:pStyle w:val="Defstart"/>
      </w:pPr>
      <w:r>
        <w:tab/>
      </w:r>
      <w:r>
        <w:rPr>
          <w:rStyle w:val="CharDefText"/>
        </w:rPr>
        <w:t>notice</w:t>
      </w:r>
      <w:r>
        <w:t xml:space="preserve"> means a notice of termination referred to in subsection (2);</w:t>
      </w:r>
    </w:p>
    <w:p>
      <w:pPr>
        <w:pStyle w:val="Defstart"/>
      </w:pPr>
      <w:r>
        <w:tab/>
      </w:r>
      <w:r>
        <w:rPr>
          <w:rStyle w:val="CharDefText"/>
        </w:rPr>
        <w:t>possession day</w:t>
      </w:r>
      <w:r>
        <w:t xml:space="preserve"> means the day specified in a notice as the day on which possession of the premises is to be delivered up by the tenant and has the meaning affected by subsection (6).</w:t>
      </w:r>
    </w:p>
    <w:p>
      <w:pPr>
        <w:pStyle w:val="Subsection"/>
      </w:pPr>
      <w:r>
        <w:tab/>
        <w:t>(2)</w:t>
      </w:r>
      <w:r>
        <w:tab/>
        <w:t>Despite any other written law or a requirement under a contract, the term of a residential tenancy agreement does not end on the expiry day unless the lessor or tenant has given a notice of termination of the agreement to the other party specifying a day on which possession of the residential premises is to be delivered up by the tenant.</w:t>
      </w:r>
    </w:p>
    <w:p>
      <w:pPr>
        <w:pStyle w:val="Subsection"/>
      </w:pPr>
      <w:r>
        <w:tab/>
        <w:t>(3)</w:t>
      </w:r>
      <w:r>
        <w:tab/>
        <w:t>The notice must be given not later than 30 days before the possession day.</w:t>
      </w:r>
    </w:p>
    <w:p>
      <w:pPr>
        <w:pStyle w:val="Subsection"/>
      </w:pPr>
      <w:r>
        <w:tab/>
        <w:t>(4)</w:t>
      </w:r>
      <w:r>
        <w:tab/>
        <w:t>The possession day must not be a day earlier than the expiry day.</w:t>
      </w:r>
    </w:p>
    <w:p>
      <w:pPr>
        <w:pStyle w:val="Subsection"/>
      </w:pPr>
      <w:r>
        <w:tab/>
        <w:t>(5)</w:t>
      </w:r>
      <w:r>
        <w:tab/>
        <w:t xml:space="preserve">If the possession day is later than the expiry day, then — </w:t>
      </w:r>
    </w:p>
    <w:p>
      <w:pPr>
        <w:pStyle w:val="Indenta"/>
      </w:pPr>
      <w:r>
        <w:tab/>
        <w:t>(a)</w:t>
      </w:r>
      <w:r>
        <w:tab/>
        <w:t xml:space="preserve">the term of the agreement expires on the possession day, and not on the expiry day; and </w:t>
      </w:r>
    </w:p>
    <w:p>
      <w:pPr>
        <w:pStyle w:val="Indenta"/>
      </w:pPr>
      <w:r>
        <w:tab/>
        <w:t>(b)</w:t>
      </w:r>
      <w:r>
        <w:tab/>
        <w:t>the terms of the agreement are to be taken, for all purposes, to be varied to that extent.</w:t>
      </w:r>
    </w:p>
    <w:p>
      <w:pPr>
        <w:pStyle w:val="Subsection"/>
      </w:pPr>
      <w:r>
        <w:tab/>
        <w:t>(6)</w:t>
      </w:r>
      <w:r>
        <w:tab/>
        <w:t>If both the lessor and tenant give a notice to each other and the notices specify different possession days, then the day that is the earlier of the 2 days is to be taken to be the possession day.</w:t>
      </w:r>
    </w:p>
    <w:p>
      <w:pPr>
        <w:pStyle w:val="Subsection"/>
      </w:pPr>
      <w:r>
        <w:tab/>
        <w:t>(7)</w:t>
      </w:r>
      <w:r>
        <w:tab/>
        <w:t xml:space="preserve">If — </w:t>
      </w:r>
    </w:p>
    <w:p>
      <w:pPr>
        <w:pStyle w:val="Indenta"/>
      </w:pPr>
      <w:r>
        <w:tab/>
        <w:t>(a)</w:t>
      </w:r>
      <w:r>
        <w:tab/>
        <w:t>the day on which the term of the agreement is to expire under subsection (5)(a) is the possession day under a notice given by the lessor; and</w:t>
      </w:r>
    </w:p>
    <w:p>
      <w:pPr>
        <w:pStyle w:val="Indenta"/>
      </w:pPr>
      <w:r>
        <w:tab/>
        <w:t>(b)</w:t>
      </w:r>
      <w:r>
        <w:tab/>
        <w:t>the tenant delivers up possession of the premises after the expiry day but before the possession day,</w:t>
      </w:r>
    </w:p>
    <w:p>
      <w:pPr>
        <w:pStyle w:val="Subsection"/>
      </w:pPr>
      <w:r>
        <w:tab/>
      </w:r>
      <w:r>
        <w:tab/>
        <w:t>then the day on which the tenant delivers up possession of the premises is to be taken to be the possession day for the purposes of subsection (5).</w:t>
      </w:r>
    </w:p>
    <w:p>
      <w:pPr>
        <w:pStyle w:val="Footnotesection"/>
      </w:pPr>
      <w:r>
        <w:tab/>
        <w:t xml:space="preserve">[Section 70A inserted: No. 60 of 2011 s. 68.] </w:t>
      </w:r>
    </w:p>
    <w:p>
      <w:pPr>
        <w:pStyle w:val="Heading5"/>
        <w:rPr>
          <w:snapToGrid w:val="0"/>
        </w:rPr>
      </w:pPr>
      <w:bookmarkStart w:id="569" w:name="_Toc5719347"/>
      <w:bookmarkStart w:id="570" w:name="_Toc2160936"/>
      <w:r>
        <w:rPr>
          <w:rStyle w:val="CharSectno"/>
        </w:rPr>
        <w:t>70</w:t>
      </w:r>
      <w:r>
        <w:rPr>
          <w:snapToGrid w:val="0"/>
        </w:rPr>
        <w:t>.</w:t>
      </w:r>
      <w:r>
        <w:rPr>
          <w:snapToGrid w:val="0"/>
        </w:rPr>
        <w:tab/>
        <w:t>Effect of notice of termination of periodic tenancy</w:t>
      </w:r>
      <w:bookmarkEnd w:id="569"/>
      <w:bookmarkEnd w:id="570"/>
      <w:r>
        <w:rPr>
          <w:snapToGrid w:val="0"/>
        </w:rPr>
        <w:t xml:space="preserve"> </w:t>
      </w:r>
    </w:p>
    <w:p>
      <w:pPr>
        <w:pStyle w:val="Subsection"/>
        <w:keepNext/>
        <w:rPr>
          <w:snapToGrid w:val="0"/>
        </w:rPr>
      </w:pPr>
      <w:r>
        <w:rPr>
          <w:snapToGrid w:val="0"/>
        </w:rPr>
        <w:tab/>
      </w:r>
      <w:r>
        <w:rPr>
          <w:snapToGrid w:val="0"/>
        </w:rPr>
        <w:tab/>
        <w:t xml:space="preserve">Notice of termination of </w:t>
      </w:r>
      <w:r>
        <w:t>a residential tenancy agreement</w:t>
      </w:r>
      <w:r>
        <w:rPr>
          <w:snapToGrid w:val="0"/>
        </w:rPr>
        <w:t xml:space="preserve">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Footnotesection"/>
      </w:pPr>
      <w:r>
        <w:tab/>
        <w:t xml:space="preserve">[Section 70 amended: No. 60 of 2011 s. 88.] </w:t>
      </w:r>
    </w:p>
    <w:p>
      <w:pPr>
        <w:pStyle w:val="Heading3"/>
        <w:rPr>
          <w:ins w:id="571" w:author="svcMRProcess" w:date="2019-04-15T16:46:00Z"/>
        </w:rPr>
      </w:pPr>
      <w:bookmarkStart w:id="572" w:name="_Toc5632969"/>
      <w:bookmarkStart w:id="573" w:name="_Toc5719348"/>
      <w:bookmarkStart w:id="574" w:name="_Toc2153379"/>
      <w:bookmarkStart w:id="575" w:name="_Toc2160213"/>
      <w:bookmarkStart w:id="576" w:name="_Toc2160937"/>
      <w:bookmarkStart w:id="577" w:name="_Toc5621560"/>
      <w:ins w:id="578" w:author="svcMRProcess" w:date="2019-04-15T16:46:00Z">
        <w:r>
          <w:rPr>
            <w:rStyle w:val="CharDivNo"/>
          </w:rPr>
          <w:t>Division 2A</w:t>
        </w:r>
        <w:r>
          <w:t> — </w:t>
        </w:r>
        <w:r>
          <w:rPr>
            <w:rStyle w:val="CharDivText"/>
          </w:rPr>
          <w:t>Special provisions about terminating tenant’s interest on grounds of family violence</w:t>
        </w:r>
        <w:bookmarkEnd w:id="572"/>
        <w:bookmarkEnd w:id="573"/>
      </w:ins>
    </w:p>
    <w:p>
      <w:pPr>
        <w:pStyle w:val="Footnoteheading"/>
        <w:rPr>
          <w:ins w:id="579" w:author="svcMRProcess" w:date="2019-04-15T16:46:00Z"/>
        </w:rPr>
      </w:pPr>
      <w:ins w:id="580" w:author="svcMRProcess" w:date="2019-04-15T16:46:00Z">
        <w:r>
          <w:tab/>
          <w:t xml:space="preserve">[Heading inserted: No. 3 of 2019 s. 18.] </w:t>
        </w:r>
      </w:ins>
    </w:p>
    <w:p>
      <w:pPr>
        <w:pStyle w:val="Heading5"/>
        <w:rPr>
          <w:ins w:id="581" w:author="svcMRProcess" w:date="2019-04-15T16:46:00Z"/>
        </w:rPr>
      </w:pPr>
      <w:bookmarkStart w:id="582" w:name="_Toc5719349"/>
      <w:ins w:id="583" w:author="svcMRProcess" w:date="2019-04-15T16:46:00Z">
        <w:r>
          <w:rPr>
            <w:rStyle w:val="CharSectno"/>
          </w:rPr>
          <w:t>71AA</w:t>
        </w:r>
        <w:r>
          <w:t>.</w:t>
        </w:r>
        <w:r>
          <w:tab/>
          <w:t>Terms used</w:t>
        </w:r>
        <w:bookmarkEnd w:id="582"/>
      </w:ins>
    </w:p>
    <w:p>
      <w:pPr>
        <w:pStyle w:val="Subsection"/>
        <w:rPr>
          <w:ins w:id="584" w:author="svcMRProcess" w:date="2019-04-15T16:46:00Z"/>
        </w:rPr>
      </w:pPr>
      <w:ins w:id="585" w:author="svcMRProcess" w:date="2019-04-15T16:46:00Z">
        <w:r>
          <w:tab/>
        </w:r>
        <w:r>
          <w:tab/>
          <w:t xml:space="preserve">In this Division — </w:t>
        </w:r>
      </w:ins>
    </w:p>
    <w:p>
      <w:pPr>
        <w:pStyle w:val="Defstart"/>
        <w:rPr>
          <w:ins w:id="586" w:author="svcMRProcess" w:date="2019-04-15T16:46:00Z"/>
        </w:rPr>
      </w:pPr>
      <w:ins w:id="587" w:author="svcMRProcess" w:date="2019-04-15T16:46:00Z">
        <w:r>
          <w:tab/>
        </w:r>
        <w:r>
          <w:rPr>
            <w:rStyle w:val="CharDefText"/>
          </w:rPr>
          <w:t>DVO</w:t>
        </w:r>
        <w:r>
          <w:t xml:space="preserve"> has the meaning given under the </w:t>
        </w:r>
        <w:r>
          <w:rPr>
            <w:i/>
          </w:rPr>
          <w:t>Domestic Violence Orders (National Recognition) Act 2017</w:t>
        </w:r>
        <w:r>
          <w:t xml:space="preserve"> section 4(1);</w:t>
        </w:r>
      </w:ins>
    </w:p>
    <w:p>
      <w:pPr>
        <w:pStyle w:val="Defstart"/>
        <w:rPr>
          <w:ins w:id="588" w:author="svcMRProcess" w:date="2019-04-15T16:46:00Z"/>
        </w:rPr>
      </w:pPr>
      <w:ins w:id="589" w:author="svcMRProcess" w:date="2019-04-15T16:46:00Z">
        <w:r>
          <w:tab/>
        </w:r>
        <w:r>
          <w:rPr>
            <w:rStyle w:val="CharDefText"/>
          </w:rPr>
          <w:t>Family Court injunction</w:t>
        </w:r>
        <w:r>
          <w:t xml:space="preserve"> means an injunction under the </w:t>
        </w:r>
        <w:r>
          <w:rPr>
            <w:i/>
          </w:rPr>
          <w:t>Family Court Act 1997</w:t>
        </w:r>
        <w:r>
          <w:t xml:space="preserve"> section 235 or 235A or the </w:t>
        </w:r>
        <w:r>
          <w:rPr>
            <w:i/>
          </w:rPr>
          <w:t>Family Law Act 1975</w:t>
        </w:r>
        <w:r>
          <w:t xml:space="preserve"> (Commonwealth) section 68B or 114;</w:t>
        </w:r>
      </w:ins>
    </w:p>
    <w:p>
      <w:pPr>
        <w:pStyle w:val="Defstart"/>
        <w:rPr>
          <w:ins w:id="590" w:author="svcMRProcess" w:date="2019-04-15T16:46:00Z"/>
        </w:rPr>
      </w:pPr>
      <w:ins w:id="591" w:author="svcMRProcess" w:date="2019-04-15T16:46:00Z">
        <w:r>
          <w:tab/>
        </w:r>
        <w:r>
          <w:rPr>
            <w:rStyle w:val="CharDefText"/>
          </w:rPr>
          <w:t>premises</w:t>
        </w:r>
        <w:r>
          <w:t>, in relation to a residential tenancy agreement, means the residential premises to which the agreement relates.</w:t>
        </w:r>
      </w:ins>
    </w:p>
    <w:p>
      <w:pPr>
        <w:pStyle w:val="Footnotesection"/>
        <w:rPr>
          <w:ins w:id="592" w:author="svcMRProcess" w:date="2019-04-15T16:46:00Z"/>
        </w:rPr>
      </w:pPr>
      <w:ins w:id="593" w:author="svcMRProcess" w:date="2019-04-15T16:46:00Z">
        <w:r>
          <w:tab/>
          <w:t>[Section 71AA inserted: No. 3 of 2019 s. 18.]</w:t>
        </w:r>
      </w:ins>
    </w:p>
    <w:p>
      <w:pPr>
        <w:pStyle w:val="Heading5"/>
        <w:rPr>
          <w:ins w:id="594" w:author="svcMRProcess" w:date="2019-04-15T16:46:00Z"/>
        </w:rPr>
      </w:pPr>
      <w:bookmarkStart w:id="595" w:name="_Toc5719350"/>
      <w:ins w:id="596" w:author="svcMRProcess" w:date="2019-04-15T16:46:00Z">
        <w:r>
          <w:rPr>
            <w:rStyle w:val="CharSectno"/>
          </w:rPr>
          <w:t>71AB</w:t>
        </w:r>
        <w:r>
          <w:t>.</w:t>
        </w:r>
        <w:r>
          <w:tab/>
          <w:t>Notice of termination of tenant’s interest on ground that tenant subject to family violence</w:t>
        </w:r>
        <w:bookmarkEnd w:id="595"/>
      </w:ins>
    </w:p>
    <w:p>
      <w:pPr>
        <w:pStyle w:val="Subsection"/>
        <w:rPr>
          <w:ins w:id="597" w:author="svcMRProcess" w:date="2019-04-15T16:46:00Z"/>
        </w:rPr>
      </w:pPr>
      <w:ins w:id="598" w:author="svcMRProcess" w:date="2019-04-15T16:46:00Z">
        <w:r>
          <w:tab/>
          <w:t>(1)</w:t>
        </w:r>
        <w:r>
          <w:tab/>
          <w:t>Despite any other provision of this Act or another written law or a requirement under a contract, a tenant may give to the lessor notice of termination of the tenant’s interest in the residential tenancy agreement on the ground that the tenant or a dependant of the tenant is, during the tenancy period, likely to be subjected or exposed to family violence.</w:t>
        </w:r>
      </w:ins>
    </w:p>
    <w:p>
      <w:pPr>
        <w:pStyle w:val="Subsection"/>
        <w:rPr>
          <w:ins w:id="599" w:author="svcMRProcess" w:date="2019-04-15T16:46:00Z"/>
        </w:rPr>
      </w:pPr>
      <w:ins w:id="600" w:author="svcMRProcess" w:date="2019-04-15T16:46:00Z">
        <w:r>
          <w:tab/>
          <w:t>(2)</w:t>
        </w:r>
        <w:r>
          <w:tab/>
          <w:t xml:space="preserve">A notice under this section must be accompanied by a document, applicable during the tenancy period, comprising 1 of the following — </w:t>
        </w:r>
      </w:ins>
    </w:p>
    <w:p>
      <w:pPr>
        <w:pStyle w:val="Indenta"/>
        <w:rPr>
          <w:ins w:id="601" w:author="svcMRProcess" w:date="2019-04-15T16:46:00Z"/>
        </w:rPr>
      </w:pPr>
      <w:ins w:id="602" w:author="svcMRProcess" w:date="2019-04-15T16:46:00Z">
        <w:r>
          <w:tab/>
          <w:t>(a)</w:t>
        </w:r>
        <w:r>
          <w:tab/>
          <w:t>a DVO;</w:t>
        </w:r>
      </w:ins>
    </w:p>
    <w:p>
      <w:pPr>
        <w:pStyle w:val="Indenta"/>
        <w:rPr>
          <w:ins w:id="603" w:author="svcMRProcess" w:date="2019-04-15T16:46:00Z"/>
        </w:rPr>
      </w:pPr>
      <w:ins w:id="604" w:author="svcMRProcess" w:date="2019-04-15T16:46:00Z">
        <w:r>
          <w:tab/>
          <w:t>(b)</w:t>
        </w:r>
        <w:r>
          <w:tab/>
          <w:t>a Family Court injunction or an application for a Family Court injunction;</w:t>
        </w:r>
      </w:ins>
    </w:p>
    <w:p>
      <w:pPr>
        <w:pStyle w:val="Indenta"/>
        <w:rPr>
          <w:ins w:id="605" w:author="svcMRProcess" w:date="2019-04-15T16:46:00Z"/>
        </w:rPr>
      </w:pPr>
      <w:ins w:id="606" w:author="svcMRProcess" w:date="2019-04-15T16:46:00Z">
        <w:r>
          <w:tab/>
          <w:t>(c)</w:t>
        </w:r>
        <w:r>
          <w:tab/>
          <w:t>a copy of a prosecution notice or indictment containing a charge relating to violence against the tenant or a court record of a conviction of the charge;</w:t>
        </w:r>
      </w:ins>
    </w:p>
    <w:p>
      <w:pPr>
        <w:pStyle w:val="Indenta"/>
        <w:rPr>
          <w:ins w:id="607" w:author="svcMRProcess" w:date="2019-04-15T16:46:00Z"/>
        </w:rPr>
      </w:pPr>
      <w:ins w:id="608" w:author="svcMRProcess" w:date="2019-04-15T16:46:00Z">
        <w:r>
          <w:tab/>
          <w:t>(d)</w:t>
        </w:r>
        <w:r>
          <w:tab/>
          <w:t>a report of family violence, in a form approved by the Commissioner, completed by a person who has worked with the tenant and is 1 of the following —</w:t>
        </w:r>
      </w:ins>
    </w:p>
    <w:p>
      <w:pPr>
        <w:pStyle w:val="Indenti"/>
        <w:rPr>
          <w:ins w:id="609" w:author="svcMRProcess" w:date="2019-04-15T16:46:00Z"/>
        </w:rPr>
      </w:pPr>
      <w:ins w:id="610" w:author="svcMRProcess" w:date="2019-04-15T16:46:00Z">
        <w:r>
          <w:tab/>
          <w:t>(i)</w:t>
        </w:r>
        <w:r>
          <w:tab/>
          <w:t xml:space="preserve">a person registered under the </w:t>
        </w:r>
        <w:r>
          <w:rPr>
            <w:i/>
          </w:rPr>
          <w:t>Health Practitioner Regulation National Law (Western Australia)</w:t>
        </w:r>
        <w:r>
          <w:t xml:space="preserve"> in the medical profession;</w:t>
        </w:r>
      </w:ins>
    </w:p>
    <w:p>
      <w:pPr>
        <w:pStyle w:val="Indenti"/>
        <w:rPr>
          <w:ins w:id="611" w:author="svcMRProcess" w:date="2019-04-15T16:46:00Z"/>
        </w:rPr>
      </w:pPr>
      <w:ins w:id="612" w:author="svcMRProcess" w:date="2019-04-15T16:46:00Z">
        <w:r>
          <w:tab/>
          <w:t>(ii)</w:t>
        </w:r>
        <w:r>
          <w:tab/>
          <w:t xml:space="preserve">a person registered under the </w:t>
        </w:r>
        <w:r>
          <w:rPr>
            <w:i/>
          </w:rPr>
          <w:t>Health Practitioner Regulation National Law (Western Australia)</w:t>
        </w:r>
        <w:r>
          <w:t xml:space="preserve"> in the psychology profession;</w:t>
        </w:r>
      </w:ins>
    </w:p>
    <w:p>
      <w:pPr>
        <w:pStyle w:val="Indenti"/>
        <w:rPr>
          <w:ins w:id="613" w:author="svcMRProcess" w:date="2019-04-15T16:46:00Z"/>
        </w:rPr>
      </w:pPr>
      <w:ins w:id="614" w:author="svcMRProcess" w:date="2019-04-15T16:46:00Z">
        <w:r>
          <w:tab/>
          <w:t>(iii)</w:t>
        </w:r>
        <w:r>
          <w:tab/>
          <w:t xml:space="preserve">a social worker as defined in the </w:t>
        </w:r>
        <w:r>
          <w:rPr>
            <w:i/>
          </w:rPr>
          <w:t>Mental Health Act 2014</w:t>
        </w:r>
        <w:r>
          <w:t xml:space="preserve"> section 4;</w:t>
        </w:r>
      </w:ins>
    </w:p>
    <w:p>
      <w:pPr>
        <w:pStyle w:val="Indenti"/>
        <w:rPr>
          <w:ins w:id="615" w:author="svcMRProcess" w:date="2019-04-15T16:46:00Z"/>
        </w:rPr>
      </w:pPr>
      <w:ins w:id="616" w:author="svcMRProcess" w:date="2019-04-15T16:46:00Z">
        <w:r>
          <w:tab/>
          <w:t>(iv)</w:t>
        </w:r>
        <w:r>
          <w:tab/>
          <w:t>a police officer;</w:t>
        </w:r>
      </w:ins>
    </w:p>
    <w:p>
      <w:pPr>
        <w:pStyle w:val="Indenti"/>
        <w:rPr>
          <w:ins w:id="617" w:author="svcMRProcess" w:date="2019-04-15T16:46:00Z"/>
        </w:rPr>
      </w:pPr>
      <w:ins w:id="618" w:author="svcMRProcess" w:date="2019-04-15T16:46:00Z">
        <w:r>
          <w:tab/>
          <w:t>(v)</w:t>
        </w:r>
        <w:r>
          <w:tab/>
          <w:t>a person in charge of a women’s refuge;</w:t>
        </w:r>
      </w:ins>
    </w:p>
    <w:p>
      <w:pPr>
        <w:pStyle w:val="Indenti"/>
        <w:rPr>
          <w:ins w:id="619" w:author="svcMRProcess" w:date="2019-04-15T16:46:00Z"/>
        </w:rPr>
      </w:pPr>
      <w:ins w:id="620" w:author="svcMRProcess" w:date="2019-04-15T16:46:00Z">
        <w:r>
          <w:tab/>
          <w:t>(vi)</w:t>
        </w:r>
        <w:r>
          <w:tab/>
          <w:t>a prescribed person or class of persons.</w:t>
        </w:r>
      </w:ins>
    </w:p>
    <w:p>
      <w:pPr>
        <w:pStyle w:val="Subsection"/>
        <w:rPr>
          <w:ins w:id="621" w:author="svcMRProcess" w:date="2019-04-15T16:46:00Z"/>
        </w:rPr>
      </w:pPr>
      <w:ins w:id="622" w:author="svcMRProcess" w:date="2019-04-15T16:46:00Z">
        <w:r>
          <w:tab/>
          <w:t>(3)</w:t>
        </w:r>
        <w:r>
          <w:tab/>
          <w:t>The lessor must not disclose information in a document provided to the lessor under subsection (2) to another person except in accordance with this Act or another written law.</w:t>
        </w:r>
      </w:ins>
    </w:p>
    <w:p>
      <w:pPr>
        <w:pStyle w:val="Penstart"/>
        <w:rPr>
          <w:ins w:id="623" w:author="svcMRProcess" w:date="2019-04-15T16:46:00Z"/>
        </w:rPr>
      </w:pPr>
      <w:ins w:id="624" w:author="svcMRProcess" w:date="2019-04-15T16:46:00Z">
        <w:r>
          <w:tab/>
          <w:t>Penalty for this subsection: a fine of $5 000.</w:t>
        </w:r>
      </w:ins>
    </w:p>
    <w:p>
      <w:pPr>
        <w:pStyle w:val="Subsection"/>
        <w:keepNext/>
        <w:rPr>
          <w:ins w:id="625" w:author="svcMRProcess" w:date="2019-04-15T16:46:00Z"/>
        </w:rPr>
      </w:pPr>
      <w:ins w:id="626" w:author="svcMRProcess" w:date="2019-04-15T16:46:00Z">
        <w:r>
          <w:tab/>
          <w:t>(4)</w:t>
        </w:r>
        <w:r>
          <w:tab/>
          <w:t>The lessor must ensure that information provided to the lessor under subsection (2) is kept in a secure manner so far as it is reasonably practicable to do so.</w:t>
        </w:r>
      </w:ins>
    </w:p>
    <w:p>
      <w:pPr>
        <w:pStyle w:val="Penstart"/>
        <w:rPr>
          <w:ins w:id="627" w:author="svcMRProcess" w:date="2019-04-15T16:46:00Z"/>
        </w:rPr>
      </w:pPr>
      <w:ins w:id="628" w:author="svcMRProcess" w:date="2019-04-15T16:46:00Z">
        <w:r>
          <w:tab/>
          <w:t>Penalty for this subsection: a fine of $5 000.</w:t>
        </w:r>
      </w:ins>
    </w:p>
    <w:p>
      <w:pPr>
        <w:pStyle w:val="Subsection"/>
        <w:rPr>
          <w:ins w:id="629" w:author="svcMRProcess" w:date="2019-04-15T16:46:00Z"/>
        </w:rPr>
      </w:pPr>
      <w:ins w:id="630" w:author="svcMRProcess" w:date="2019-04-15T16:46:00Z">
        <w:r>
          <w:tab/>
          <w:t>(5)</w:t>
        </w:r>
        <w:r>
          <w:tab/>
          <w:t>If a tenant gives notice under this section, the period of notice must be not less than 7 days before the termination day.</w:t>
        </w:r>
      </w:ins>
    </w:p>
    <w:p>
      <w:pPr>
        <w:pStyle w:val="Footnotesection"/>
        <w:rPr>
          <w:ins w:id="631" w:author="svcMRProcess" w:date="2019-04-15T16:46:00Z"/>
        </w:rPr>
      </w:pPr>
      <w:ins w:id="632" w:author="svcMRProcess" w:date="2019-04-15T16:46:00Z">
        <w:r>
          <w:tab/>
          <w:t>[Section 71AB inserted: No. 3 of 2019 s. 18.]</w:t>
        </w:r>
      </w:ins>
    </w:p>
    <w:p>
      <w:pPr>
        <w:pStyle w:val="Heading5"/>
        <w:rPr>
          <w:ins w:id="633" w:author="svcMRProcess" w:date="2019-04-15T16:46:00Z"/>
        </w:rPr>
      </w:pPr>
      <w:bookmarkStart w:id="634" w:name="_Toc5719351"/>
      <w:ins w:id="635" w:author="svcMRProcess" w:date="2019-04-15T16:46:00Z">
        <w:r>
          <w:rPr>
            <w:rStyle w:val="CharSectno"/>
          </w:rPr>
          <w:t>71AC</w:t>
        </w:r>
        <w:r>
          <w:t>.</w:t>
        </w:r>
        <w:r>
          <w:tab/>
          <w:t>Review of notice of termination under s. 71AB</w:t>
        </w:r>
        <w:bookmarkEnd w:id="634"/>
      </w:ins>
    </w:p>
    <w:p>
      <w:pPr>
        <w:pStyle w:val="Subsection"/>
        <w:rPr>
          <w:ins w:id="636" w:author="svcMRProcess" w:date="2019-04-15T16:46:00Z"/>
        </w:rPr>
      </w:pPr>
      <w:ins w:id="637" w:author="svcMRProcess" w:date="2019-04-15T16:46:00Z">
        <w:r>
          <w:tab/>
          <w:t>(1)</w:t>
        </w:r>
        <w:r>
          <w:tab/>
          <w:t xml:space="preserve">In this section — </w:t>
        </w:r>
      </w:ins>
    </w:p>
    <w:p>
      <w:pPr>
        <w:pStyle w:val="Defstart"/>
        <w:rPr>
          <w:ins w:id="638" w:author="svcMRProcess" w:date="2019-04-15T16:46:00Z"/>
        </w:rPr>
      </w:pPr>
      <w:ins w:id="639" w:author="svcMRProcess" w:date="2019-04-15T16:46:00Z">
        <w:r>
          <w:tab/>
        </w:r>
        <w:r>
          <w:rPr>
            <w:rStyle w:val="CharDefText"/>
          </w:rPr>
          <w:t>terminating tenant</w:t>
        </w:r>
        <w:r>
          <w:t xml:space="preserve"> means a tenant who has given, or purportedly given, notice of termination under section 71AB.</w:t>
        </w:r>
      </w:ins>
    </w:p>
    <w:p>
      <w:pPr>
        <w:pStyle w:val="Subsection"/>
        <w:rPr>
          <w:ins w:id="640" w:author="svcMRProcess" w:date="2019-04-15T16:46:00Z"/>
        </w:rPr>
      </w:pPr>
      <w:ins w:id="641" w:author="svcMRProcess" w:date="2019-04-15T16:46:00Z">
        <w:r>
          <w:tab/>
          <w:t>(2)</w:t>
        </w:r>
        <w:r>
          <w:tab/>
          <w:t>A lessor may, within 7 days after receiving a notice under section 71AB, apply to a competent court to review whether notice was validly given under that section.</w:t>
        </w:r>
      </w:ins>
    </w:p>
    <w:p>
      <w:pPr>
        <w:pStyle w:val="Subsection"/>
        <w:rPr>
          <w:ins w:id="642" w:author="svcMRProcess" w:date="2019-04-15T16:46:00Z"/>
        </w:rPr>
      </w:pPr>
      <w:ins w:id="643" w:author="svcMRProcess" w:date="2019-04-15T16:46:00Z">
        <w:r>
          <w:tab/>
          <w:t>(3)</w:t>
        </w:r>
        <w:r>
          <w:tab/>
          <w:t xml:space="preserve">In its review, the court — </w:t>
        </w:r>
      </w:ins>
    </w:p>
    <w:p>
      <w:pPr>
        <w:pStyle w:val="Indenta"/>
        <w:rPr>
          <w:ins w:id="644" w:author="svcMRProcess" w:date="2019-04-15T16:46:00Z"/>
        </w:rPr>
      </w:pPr>
      <w:ins w:id="645" w:author="svcMRProcess" w:date="2019-04-15T16:46:00Z">
        <w:r>
          <w:tab/>
          <w:t>(a)</w:t>
        </w:r>
        <w:r>
          <w:tab/>
          <w:t>must examine whether the terminating tenant has complied with section 71AB in giving the notice; and</w:t>
        </w:r>
      </w:ins>
    </w:p>
    <w:p>
      <w:pPr>
        <w:pStyle w:val="Indenta"/>
        <w:rPr>
          <w:ins w:id="646" w:author="svcMRProcess" w:date="2019-04-15T16:46:00Z"/>
        </w:rPr>
      </w:pPr>
      <w:ins w:id="647" w:author="svcMRProcess" w:date="2019-04-15T16:46:00Z">
        <w:r>
          <w:tab/>
          <w:t>(b)</w:t>
        </w:r>
        <w:r>
          <w:tab/>
          <w:t>cannot examine whether the terminating tenant, or a dependant of the tenant, has been or might be subject to family violence.</w:t>
        </w:r>
      </w:ins>
    </w:p>
    <w:p>
      <w:pPr>
        <w:pStyle w:val="Subsection"/>
        <w:rPr>
          <w:ins w:id="648" w:author="svcMRProcess" w:date="2019-04-15T16:46:00Z"/>
        </w:rPr>
      </w:pPr>
      <w:ins w:id="649" w:author="svcMRProcess" w:date="2019-04-15T16:46:00Z">
        <w:r>
          <w:tab/>
          <w:t>(4)</w:t>
        </w:r>
        <w:r>
          <w:tab/>
          <w:t>If the court finds that notice was not validly given under section 71AB, the court must make an order declaring that the terminating tenant’s interest in the residential tenancy agreement has not been terminated, otherwise the court must dismiss the application.</w:t>
        </w:r>
      </w:ins>
    </w:p>
    <w:p>
      <w:pPr>
        <w:pStyle w:val="Footnotesection"/>
        <w:rPr>
          <w:ins w:id="650" w:author="svcMRProcess" w:date="2019-04-15T16:46:00Z"/>
        </w:rPr>
      </w:pPr>
      <w:ins w:id="651" w:author="svcMRProcess" w:date="2019-04-15T16:46:00Z">
        <w:r>
          <w:tab/>
          <w:t>[Section 71AC inserted: No. 3 of 2019 s. 18.]</w:t>
        </w:r>
      </w:ins>
    </w:p>
    <w:p>
      <w:pPr>
        <w:pStyle w:val="Heading5"/>
        <w:rPr>
          <w:ins w:id="652" w:author="svcMRProcess" w:date="2019-04-15T16:46:00Z"/>
        </w:rPr>
      </w:pPr>
      <w:bookmarkStart w:id="653" w:name="_Toc5719352"/>
      <w:ins w:id="654" w:author="svcMRProcess" w:date="2019-04-15T16:46:00Z">
        <w:r>
          <w:rPr>
            <w:rStyle w:val="CharSectno"/>
          </w:rPr>
          <w:t>71AD</w:t>
        </w:r>
        <w:r>
          <w:t>.</w:t>
        </w:r>
        <w:r>
          <w:tab/>
          <w:t>Rights of co</w:t>
        </w:r>
        <w:r>
          <w:noBreakHyphen/>
          <w:t>tenants after notice under s. 71AB</w:t>
        </w:r>
        <w:bookmarkEnd w:id="653"/>
      </w:ins>
    </w:p>
    <w:p>
      <w:pPr>
        <w:pStyle w:val="Subsection"/>
        <w:rPr>
          <w:ins w:id="655" w:author="svcMRProcess" w:date="2019-04-15T16:46:00Z"/>
        </w:rPr>
      </w:pPr>
      <w:ins w:id="656" w:author="svcMRProcess" w:date="2019-04-15T16:46:00Z">
        <w:r>
          <w:tab/>
          <w:t>(1)</w:t>
        </w:r>
        <w:r>
          <w:tab/>
          <w:t xml:space="preserve">In this section — </w:t>
        </w:r>
      </w:ins>
    </w:p>
    <w:p>
      <w:pPr>
        <w:pStyle w:val="Defstart"/>
        <w:rPr>
          <w:ins w:id="657" w:author="svcMRProcess" w:date="2019-04-15T16:46:00Z"/>
        </w:rPr>
      </w:pPr>
      <w:ins w:id="658" w:author="svcMRProcess" w:date="2019-04-15T16:46:00Z">
        <w:r>
          <w:tab/>
        </w:r>
        <w:r>
          <w:rPr>
            <w:rStyle w:val="CharDefText"/>
          </w:rPr>
          <w:t>co</w:t>
        </w:r>
        <w:r>
          <w:rPr>
            <w:rStyle w:val="CharDefText"/>
          </w:rPr>
          <w:noBreakHyphen/>
          <w:t>tenant</w:t>
        </w:r>
        <w:r>
          <w:t>, in relation to a notice under section 71AB(1), does not include the tenant who gave the notice.</w:t>
        </w:r>
      </w:ins>
    </w:p>
    <w:p>
      <w:pPr>
        <w:pStyle w:val="Subsection"/>
        <w:rPr>
          <w:ins w:id="659" w:author="svcMRProcess" w:date="2019-04-15T16:46:00Z"/>
        </w:rPr>
      </w:pPr>
      <w:ins w:id="660" w:author="svcMRProcess" w:date="2019-04-15T16:46:00Z">
        <w:r>
          <w:tab/>
          <w:t>(2)</w:t>
        </w:r>
        <w:r>
          <w:tab/>
          <w:t>A lessor must give a copy of a notice received by the lessor under section 71AB(1) to each co</w:t>
        </w:r>
        <w:r>
          <w:noBreakHyphen/>
          <w:t>tenant under the residential tenancy agreement within 7 days after receiving the notice.</w:t>
        </w:r>
      </w:ins>
    </w:p>
    <w:p>
      <w:pPr>
        <w:pStyle w:val="Subsection"/>
        <w:rPr>
          <w:ins w:id="661" w:author="svcMRProcess" w:date="2019-04-15T16:46:00Z"/>
        </w:rPr>
      </w:pPr>
      <w:ins w:id="662" w:author="svcMRProcess" w:date="2019-04-15T16:46:00Z">
        <w:r>
          <w:tab/>
          <w:t>(3)</w:t>
        </w:r>
        <w:r>
          <w:tab/>
          <w:t>Nothing in subsection (2) requires or permits the lessor to give a copy of a document provided under section 71AB(2) to a co</w:t>
        </w:r>
        <w:r>
          <w:noBreakHyphen/>
          <w:t>tenant.</w:t>
        </w:r>
      </w:ins>
    </w:p>
    <w:p>
      <w:pPr>
        <w:pStyle w:val="Subsection"/>
        <w:rPr>
          <w:ins w:id="663" w:author="svcMRProcess" w:date="2019-04-15T16:46:00Z"/>
        </w:rPr>
      </w:pPr>
      <w:ins w:id="664" w:author="svcMRProcess" w:date="2019-04-15T16:46:00Z">
        <w:r>
          <w:tab/>
          <w:t>(4)</w:t>
        </w:r>
        <w:r>
          <w:tab/>
          <w:t>The co</w:t>
        </w:r>
        <w:r>
          <w:noBreakHyphen/>
          <w:t>tenant may, within 7 days after receiving the copy of the notice, give notice of termination of the co</w:t>
        </w:r>
        <w:r>
          <w:noBreakHyphen/>
          <w:t>tenant’s interest in the residential tenancy agreement to the lessor.</w:t>
        </w:r>
      </w:ins>
    </w:p>
    <w:p>
      <w:pPr>
        <w:pStyle w:val="Subsection"/>
        <w:rPr>
          <w:ins w:id="665" w:author="svcMRProcess" w:date="2019-04-15T16:46:00Z"/>
        </w:rPr>
      </w:pPr>
      <w:ins w:id="666" w:author="svcMRProcess" w:date="2019-04-15T16:46:00Z">
        <w:r>
          <w:tab/>
          <w:t>(5)</w:t>
        </w:r>
        <w:r>
          <w:tab/>
          <w:t>If a co</w:t>
        </w:r>
        <w:r>
          <w:noBreakHyphen/>
          <w:t>tenant gives notice of termination under subsection (4), the period of notice must be not less than 21 days before the termination day.</w:t>
        </w:r>
      </w:ins>
    </w:p>
    <w:p>
      <w:pPr>
        <w:pStyle w:val="Footnotesection"/>
        <w:rPr>
          <w:ins w:id="667" w:author="svcMRProcess" w:date="2019-04-15T16:46:00Z"/>
        </w:rPr>
      </w:pPr>
      <w:ins w:id="668" w:author="svcMRProcess" w:date="2019-04-15T16:46:00Z">
        <w:r>
          <w:tab/>
          <w:t>[Section 71AD inserted: No. 3 of 2019 s. 18.]</w:t>
        </w:r>
      </w:ins>
    </w:p>
    <w:p>
      <w:pPr>
        <w:pStyle w:val="Heading5"/>
        <w:rPr>
          <w:ins w:id="669" w:author="svcMRProcess" w:date="2019-04-15T16:46:00Z"/>
        </w:rPr>
      </w:pPr>
      <w:bookmarkStart w:id="670" w:name="_Toc5719353"/>
      <w:ins w:id="671" w:author="svcMRProcess" w:date="2019-04-15T16:46:00Z">
        <w:r>
          <w:rPr>
            <w:rStyle w:val="CharSectno"/>
          </w:rPr>
          <w:t>71AE</w:t>
        </w:r>
        <w:r>
          <w:t>.</w:t>
        </w:r>
        <w:r>
          <w:tab/>
          <w:t>Termination of tenant’s interest by court on grounds of family violence</w:t>
        </w:r>
        <w:bookmarkEnd w:id="670"/>
      </w:ins>
    </w:p>
    <w:p>
      <w:pPr>
        <w:pStyle w:val="Subsection"/>
        <w:rPr>
          <w:ins w:id="672" w:author="svcMRProcess" w:date="2019-04-15T16:46:00Z"/>
        </w:rPr>
      </w:pPr>
      <w:ins w:id="673" w:author="svcMRProcess" w:date="2019-04-15T16:46:00Z">
        <w:r>
          <w:tab/>
          <w:t>(1)</w:t>
        </w:r>
        <w:r>
          <w:tab/>
          <w:t xml:space="preserve">In this section — </w:t>
        </w:r>
      </w:ins>
    </w:p>
    <w:p>
      <w:pPr>
        <w:pStyle w:val="Defstart"/>
        <w:rPr>
          <w:ins w:id="674" w:author="svcMRProcess" w:date="2019-04-15T16:46:00Z"/>
        </w:rPr>
      </w:pPr>
      <w:ins w:id="675" w:author="svcMRProcess" w:date="2019-04-15T16:46:00Z">
        <w:r>
          <w:tab/>
        </w:r>
        <w:r>
          <w:rPr>
            <w:rStyle w:val="CharDefText"/>
          </w:rPr>
          <w:t>excluded tenant</w:t>
        </w:r>
        <w:r>
          <w:t xml:space="preserve"> means a tenant against whom an order is sought or made under subsection (2);</w:t>
        </w:r>
      </w:ins>
    </w:p>
    <w:p>
      <w:pPr>
        <w:pStyle w:val="Defstart"/>
        <w:rPr>
          <w:ins w:id="676" w:author="svcMRProcess" w:date="2019-04-15T16:46:00Z"/>
        </w:rPr>
      </w:pPr>
      <w:ins w:id="677" w:author="svcMRProcess" w:date="2019-04-15T16:46:00Z">
        <w:r>
          <w:tab/>
        </w:r>
        <w:r>
          <w:rPr>
            <w:rStyle w:val="CharDefText"/>
          </w:rPr>
          <w:t>family violence order</w:t>
        </w:r>
        <w:r>
          <w:t xml:space="preserve"> means a DVO, Family Court injunction or other court order denying a tenant’s right of occupancy in premises under a residential tenancy agreement;</w:t>
        </w:r>
      </w:ins>
    </w:p>
    <w:p>
      <w:pPr>
        <w:pStyle w:val="Defstart"/>
        <w:rPr>
          <w:ins w:id="678" w:author="svcMRProcess" w:date="2019-04-15T16:46:00Z"/>
        </w:rPr>
      </w:pPr>
      <w:ins w:id="679" w:author="svcMRProcess" w:date="2019-04-15T16:46:00Z">
        <w:r>
          <w:tab/>
        </w:r>
        <w:r>
          <w:rPr>
            <w:rStyle w:val="CharDefText"/>
          </w:rPr>
          <w:t>protected tenant</w:t>
        </w:r>
        <w:r>
          <w:t xml:space="preserve"> means a tenant for whose benefit an order is sought or made under subsection (2).</w:t>
        </w:r>
      </w:ins>
    </w:p>
    <w:p>
      <w:pPr>
        <w:pStyle w:val="Subsection"/>
        <w:rPr>
          <w:ins w:id="680" w:author="svcMRProcess" w:date="2019-04-15T16:46:00Z"/>
        </w:rPr>
      </w:pPr>
      <w:ins w:id="681" w:author="svcMRProcess" w:date="2019-04-15T16:46:00Z">
        <w:r>
          <w:tab/>
          <w:t>(2)</w:t>
        </w:r>
        <w:r>
          <w:tab/>
          <w:t xml:space="preserve">Despite any other provision of this Act or another written law, or a requirement under a contract, a court may make an order terminating a tenant’s interest in a residential tenancy agreement if it is satisfied — </w:t>
        </w:r>
      </w:ins>
    </w:p>
    <w:p>
      <w:pPr>
        <w:pStyle w:val="Indenta"/>
        <w:rPr>
          <w:ins w:id="682" w:author="svcMRProcess" w:date="2019-04-15T16:46:00Z"/>
        </w:rPr>
      </w:pPr>
      <w:ins w:id="683" w:author="svcMRProcess" w:date="2019-04-15T16:46:00Z">
        <w:r>
          <w:tab/>
          <w:t>(a)</w:t>
        </w:r>
        <w:r>
          <w:tab/>
          <w:t>that a family violence order is in force against the excluded tenant; or</w:t>
        </w:r>
      </w:ins>
    </w:p>
    <w:p>
      <w:pPr>
        <w:pStyle w:val="Indenta"/>
        <w:rPr>
          <w:ins w:id="684" w:author="svcMRProcess" w:date="2019-04-15T16:46:00Z"/>
        </w:rPr>
      </w:pPr>
      <w:ins w:id="685" w:author="svcMRProcess" w:date="2019-04-15T16:46:00Z">
        <w:r>
          <w:tab/>
          <w:t>(b)</w:t>
        </w:r>
        <w:r>
          <w:tab/>
          <w:t>that the excluded tenant has, during the tenancy period, committed family violence against the protected tenant or a dependant of the protected tenant.</w:t>
        </w:r>
      </w:ins>
    </w:p>
    <w:p>
      <w:pPr>
        <w:pStyle w:val="Subsection"/>
        <w:rPr>
          <w:ins w:id="686" w:author="svcMRProcess" w:date="2019-04-15T16:46:00Z"/>
        </w:rPr>
      </w:pPr>
      <w:ins w:id="687" w:author="svcMRProcess" w:date="2019-04-15T16:46:00Z">
        <w:r>
          <w:tab/>
          <w:t>(3)</w:t>
        </w:r>
        <w:r>
          <w:tab/>
          <w:t xml:space="preserve">The court may make the order on an application by any of the following — </w:t>
        </w:r>
      </w:ins>
    </w:p>
    <w:p>
      <w:pPr>
        <w:pStyle w:val="Indenta"/>
        <w:rPr>
          <w:ins w:id="688" w:author="svcMRProcess" w:date="2019-04-15T16:46:00Z"/>
        </w:rPr>
      </w:pPr>
      <w:ins w:id="689" w:author="svcMRProcess" w:date="2019-04-15T16:46:00Z">
        <w:r>
          <w:tab/>
          <w:t>(a)</w:t>
        </w:r>
        <w:r>
          <w:tab/>
          <w:t>the excluded tenant;</w:t>
        </w:r>
      </w:ins>
    </w:p>
    <w:p>
      <w:pPr>
        <w:pStyle w:val="Indenta"/>
        <w:rPr>
          <w:ins w:id="690" w:author="svcMRProcess" w:date="2019-04-15T16:46:00Z"/>
        </w:rPr>
      </w:pPr>
      <w:ins w:id="691" w:author="svcMRProcess" w:date="2019-04-15T16:46:00Z">
        <w:r>
          <w:tab/>
          <w:t>(b)</w:t>
        </w:r>
        <w:r>
          <w:tab/>
          <w:t>a protected tenant;</w:t>
        </w:r>
      </w:ins>
    </w:p>
    <w:p>
      <w:pPr>
        <w:pStyle w:val="Indenta"/>
        <w:rPr>
          <w:ins w:id="692" w:author="svcMRProcess" w:date="2019-04-15T16:46:00Z"/>
        </w:rPr>
      </w:pPr>
      <w:ins w:id="693" w:author="svcMRProcess" w:date="2019-04-15T16:46:00Z">
        <w:r>
          <w:tab/>
          <w:t>(c)</w:t>
        </w:r>
        <w:r>
          <w:tab/>
          <w:t>a prescribed person acting on behalf of the protected tenant.</w:t>
        </w:r>
      </w:ins>
    </w:p>
    <w:p>
      <w:pPr>
        <w:pStyle w:val="Subsection"/>
        <w:rPr>
          <w:ins w:id="694" w:author="svcMRProcess" w:date="2019-04-15T16:46:00Z"/>
        </w:rPr>
      </w:pPr>
      <w:ins w:id="695" w:author="svcMRProcess" w:date="2019-04-15T16:46:00Z">
        <w:r>
          <w:tab/>
          <w:t>(4)</w:t>
        </w:r>
        <w:r>
          <w:tab/>
          <w:t xml:space="preserve">Before making the order the court must consider the following matters — </w:t>
        </w:r>
      </w:ins>
    </w:p>
    <w:p>
      <w:pPr>
        <w:pStyle w:val="Indenta"/>
        <w:rPr>
          <w:ins w:id="696" w:author="svcMRProcess" w:date="2019-04-15T16:46:00Z"/>
        </w:rPr>
      </w:pPr>
      <w:ins w:id="697" w:author="svcMRProcess" w:date="2019-04-15T16:46:00Z">
        <w:r>
          <w:tab/>
          <w:t>(a)</w:t>
        </w:r>
        <w:r>
          <w:tab/>
          <w:t>the best interests of any child ordinarily resident at the premises;</w:t>
        </w:r>
      </w:ins>
    </w:p>
    <w:p>
      <w:pPr>
        <w:pStyle w:val="Indenta"/>
        <w:rPr>
          <w:ins w:id="698" w:author="svcMRProcess" w:date="2019-04-15T16:46:00Z"/>
        </w:rPr>
      </w:pPr>
      <w:ins w:id="699" w:author="svcMRProcess" w:date="2019-04-15T16:46:00Z">
        <w:r>
          <w:tab/>
          <w:t>(b)</w:t>
        </w:r>
        <w:r>
          <w:tab/>
          <w:t>the best interests of the protected tenant, including, if the premises under the residential tenancy agreement are social housing premises, the ability of the tenant to meet any eligibility criteria for those premises;</w:t>
        </w:r>
      </w:ins>
    </w:p>
    <w:p>
      <w:pPr>
        <w:pStyle w:val="Indenta"/>
        <w:rPr>
          <w:ins w:id="700" w:author="svcMRProcess" w:date="2019-04-15T16:46:00Z"/>
        </w:rPr>
      </w:pPr>
      <w:ins w:id="701" w:author="svcMRProcess" w:date="2019-04-15T16:46:00Z">
        <w:r>
          <w:tab/>
          <w:t>(c)</w:t>
        </w:r>
        <w:r>
          <w:tab/>
          <w:t>the effect the order might have on the lessor and any tenants other than the protected tenant;</w:t>
        </w:r>
      </w:ins>
    </w:p>
    <w:p>
      <w:pPr>
        <w:pStyle w:val="Indenta"/>
        <w:rPr>
          <w:ins w:id="702" w:author="svcMRProcess" w:date="2019-04-15T16:46:00Z"/>
        </w:rPr>
      </w:pPr>
      <w:ins w:id="703" w:author="svcMRProcess" w:date="2019-04-15T16:46:00Z">
        <w:r>
          <w:tab/>
          <w:t>(d)</w:t>
        </w:r>
        <w:r>
          <w:tab/>
          <w:t>the effect the order might have on any pets kept on the premises;</w:t>
        </w:r>
      </w:ins>
    </w:p>
    <w:p>
      <w:pPr>
        <w:pStyle w:val="Indenta"/>
        <w:rPr>
          <w:ins w:id="704" w:author="svcMRProcess" w:date="2019-04-15T16:46:00Z"/>
        </w:rPr>
      </w:pPr>
      <w:ins w:id="705" w:author="svcMRProcess" w:date="2019-04-15T16:46:00Z">
        <w:r>
          <w:tab/>
          <w:t>(e)</w:t>
        </w:r>
        <w:r>
          <w:tab/>
          <w:t>the fact that perpetrators of family violence might seek to misuse the protections offered to tenants and lessors under this Act to further their violence and the need to prevent that misuse.</w:t>
        </w:r>
      </w:ins>
    </w:p>
    <w:p>
      <w:pPr>
        <w:pStyle w:val="Subsection"/>
        <w:rPr>
          <w:ins w:id="706" w:author="svcMRProcess" w:date="2019-04-15T16:46:00Z"/>
        </w:rPr>
      </w:pPr>
      <w:ins w:id="707" w:author="svcMRProcess" w:date="2019-04-15T16:46:00Z">
        <w:r>
          <w:tab/>
          <w:t>(5)</w:t>
        </w:r>
        <w:r>
          <w:tab/>
          <w:t>The court is to have regard to the matter set out in subsection (4)(a) as being of primary importance.</w:t>
        </w:r>
      </w:ins>
    </w:p>
    <w:p>
      <w:pPr>
        <w:pStyle w:val="Subsection"/>
        <w:rPr>
          <w:ins w:id="708" w:author="svcMRProcess" w:date="2019-04-15T16:46:00Z"/>
        </w:rPr>
      </w:pPr>
      <w:ins w:id="709" w:author="svcMRProcess" w:date="2019-04-15T16:46:00Z">
        <w:r>
          <w:tab/>
          <w:t>(6)</w:t>
        </w:r>
        <w:r>
          <w:tab/>
          <w:t>The order takes effect on a day specified in the order, being a day that is not less than 7 days and not more than 30 days after the order is made.</w:t>
        </w:r>
      </w:ins>
    </w:p>
    <w:p>
      <w:pPr>
        <w:pStyle w:val="Subsection"/>
        <w:rPr>
          <w:ins w:id="710" w:author="svcMRProcess" w:date="2019-04-15T16:46:00Z"/>
        </w:rPr>
      </w:pPr>
      <w:ins w:id="711" w:author="svcMRProcess" w:date="2019-04-15T16:46:00Z">
        <w:r>
          <w:tab/>
          <w:t>(7)</w:t>
        </w:r>
        <w:r>
          <w:tab/>
          <w:t>The court may make the order in proceedings under this Act or the Act under which the family violence order is made.</w:t>
        </w:r>
      </w:ins>
    </w:p>
    <w:p>
      <w:pPr>
        <w:pStyle w:val="Footnotesection"/>
        <w:rPr>
          <w:ins w:id="712" w:author="svcMRProcess" w:date="2019-04-15T16:46:00Z"/>
        </w:rPr>
      </w:pPr>
      <w:ins w:id="713" w:author="svcMRProcess" w:date="2019-04-15T16:46:00Z">
        <w:r>
          <w:tab/>
          <w:t>[Section 71AE inserted: No. 3 of 2019 s. 18.]</w:t>
        </w:r>
      </w:ins>
    </w:p>
    <w:p>
      <w:pPr>
        <w:pStyle w:val="Heading5"/>
        <w:pageBreakBefore/>
        <w:spacing w:before="0"/>
        <w:rPr>
          <w:ins w:id="714" w:author="svcMRProcess" w:date="2019-04-15T16:46:00Z"/>
        </w:rPr>
      </w:pPr>
      <w:bookmarkStart w:id="715" w:name="_Toc5719354"/>
      <w:ins w:id="716" w:author="svcMRProcess" w:date="2019-04-15T16:46:00Z">
        <w:r>
          <w:rPr>
            <w:rStyle w:val="CharSectno"/>
          </w:rPr>
          <w:t>71AF</w:t>
        </w:r>
        <w:r>
          <w:t>.</w:t>
        </w:r>
        <w:r>
          <w:tab/>
          <w:t>Review of Division</w:t>
        </w:r>
        <w:bookmarkEnd w:id="715"/>
      </w:ins>
    </w:p>
    <w:p>
      <w:pPr>
        <w:pStyle w:val="Subsection"/>
        <w:rPr>
          <w:ins w:id="717" w:author="svcMRProcess" w:date="2019-04-15T16:46:00Z"/>
        </w:rPr>
      </w:pPr>
      <w:ins w:id="718" w:author="svcMRProcess" w:date="2019-04-15T16:46:00Z">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ins>
    </w:p>
    <w:p>
      <w:pPr>
        <w:pStyle w:val="Subsection"/>
        <w:rPr>
          <w:ins w:id="719" w:author="svcMRProcess" w:date="2019-04-15T16:46:00Z"/>
        </w:rPr>
      </w:pPr>
      <w:ins w:id="720" w:author="svcMRProcess" w:date="2019-04-15T16:46:00Z">
        <w:r>
          <w:tab/>
          <w:t>(2)</w:t>
        </w:r>
        <w:r>
          <w:tab/>
          <w:t xml:space="preserve">Without limiting the scope of the review, the review must address the following — </w:t>
        </w:r>
      </w:ins>
    </w:p>
    <w:p>
      <w:pPr>
        <w:pStyle w:val="Indenta"/>
        <w:rPr>
          <w:ins w:id="721" w:author="svcMRProcess" w:date="2019-04-15T16:46:00Z"/>
        </w:rPr>
      </w:pPr>
      <w:ins w:id="722" w:author="svcMRProcess" w:date="2019-04-15T16:46:00Z">
        <w:r>
          <w:tab/>
          <w:t>(a)</w:t>
        </w:r>
        <w:r>
          <w:tab/>
          <w:t>the effect of this Division on lessors’ rights to recover debts owed by tenants;</w:t>
        </w:r>
      </w:ins>
    </w:p>
    <w:p>
      <w:pPr>
        <w:pStyle w:val="Indenta"/>
        <w:rPr>
          <w:ins w:id="723" w:author="svcMRProcess" w:date="2019-04-15T16:46:00Z"/>
        </w:rPr>
      </w:pPr>
      <w:ins w:id="724" w:author="svcMRProcess" w:date="2019-04-15T16:46:00Z">
        <w:r>
          <w:tab/>
          <w:t>(b)</w:t>
        </w:r>
        <w:r>
          <w:tab/>
          <w:t>the effect of this Division on lessors’ insurance policies;</w:t>
        </w:r>
      </w:ins>
    </w:p>
    <w:p>
      <w:pPr>
        <w:pStyle w:val="Indenta"/>
        <w:rPr>
          <w:ins w:id="725" w:author="svcMRProcess" w:date="2019-04-15T16:46:00Z"/>
        </w:rPr>
      </w:pPr>
      <w:ins w:id="726" w:author="svcMRProcess" w:date="2019-04-15T16:46:00Z">
        <w:r>
          <w:tab/>
          <w:t>(c)</w:t>
        </w:r>
        <w:r>
          <w:tab/>
          <w:t>the effect of this Division on contractual certainty;</w:t>
        </w:r>
      </w:ins>
    </w:p>
    <w:p>
      <w:pPr>
        <w:pStyle w:val="Indenta"/>
        <w:rPr>
          <w:ins w:id="727" w:author="svcMRProcess" w:date="2019-04-15T16:46:00Z"/>
        </w:rPr>
      </w:pPr>
      <w:ins w:id="728" w:author="svcMRProcess" w:date="2019-04-15T16:46:00Z">
        <w:r>
          <w:tab/>
          <w:t>(d)</w:t>
        </w:r>
        <w:r>
          <w:tab/>
          <w:t>the extent to which this Division affects contractual obligations upon lessors and co</w:t>
        </w:r>
        <w:r>
          <w:noBreakHyphen/>
          <w:t>tenants who are not perpetrators of family violence and the impact of those obligations;</w:t>
        </w:r>
      </w:ins>
    </w:p>
    <w:p>
      <w:pPr>
        <w:pStyle w:val="Indenta"/>
        <w:rPr>
          <w:ins w:id="729" w:author="svcMRProcess" w:date="2019-04-15T16:46:00Z"/>
        </w:rPr>
      </w:pPr>
      <w:ins w:id="730" w:author="svcMRProcess" w:date="2019-04-15T16:46:00Z">
        <w:r>
          <w:tab/>
          <w:t>(e)</w:t>
        </w:r>
        <w:r>
          <w:tab/>
          <w:t>such other matters as appear to the Minister to be relevant.</w:t>
        </w:r>
      </w:ins>
    </w:p>
    <w:p>
      <w:pPr>
        <w:pStyle w:val="Subsection"/>
        <w:rPr>
          <w:ins w:id="731" w:author="svcMRProcess" w:date="2019-04-15T16:46:00Z"/>
        </w:rPr>
      </w:pPr>
      <w:ins w:id="732" w:author="svcMRProcess" w:date="2019-04-15T16:46:00Z">
        <w:r>
          <w:tab/>
          <w:t>(3)</w:t>
        </w:r>
        <w:r>
          <w:tab/>
          <w:t>The Minister must cause the report to be laid before each House of Parliament as soon as practicable after it is prepared, but not later than 12 months after the 3</w:t>
        </w:r>
        <w:r>
          <w:rPr>
            <w:vertAlign w:val="superscript"/>
          </w:rPr>
          <w:t>rd</w:t>
        </w:r>
        <w:r>
          <w:t> anniversary.</w:t>
        </w:r>
      </w:ins>
    </w:p>
    <w:p>
      <w:pPr>
        <w:pStyle w:val="Footnotesection"/>
        <w:rPr>
          <w:ins w:id="733" w:author="svcMRProcess" w:date="2019-04-15T16:46:00Z"/>
        </w:rPr>
      </w:pPr>
      <w:ins w:id="734" w:author="svcMRProcess" w:date="2019-04-15T16:46:00Z">
        <w:r>
          <w:tab/>
          <w:t>[Section 71AF inserted: No. 3 of 2019 s. 18.]</w:t>
        </w:r>
      </w:ins>
    </w:p>
    <w:p>
      <w:pPr>
        <w:pStyle w:val="Heading3"/>
      </w:pPr>
      <w:bookmarkStart w:id="735" w:name="_Toc5632976"/>
      <w:bookmarkStart w:id="736" w:name="_Toc5719355"/>
      <w:r>
        <w:rPr>
          <w:rStyle w:val="CharDivNo"/>
        </w:rPr>
        <w:t>Division 3</w:t>
      </w:r>
      <w:r>
        <w:t> — </w:t>
      </w:r>
      <w:r>
        <w:rPr>
          <w:rStyle w:val="CharDivText"/>
        </w:rPr>
        <w:t>Special provisions about terminating social housing tenancy agreements</w:t>
      </w:r>
      <w:bookmarkEnd w:id="574"/>
      <w:bookmarkEnd w:id="575"/>
      <w:bookmarkEnd w:id="576"/>
      <w:bookmarkEnd w:id="577"/>
      <w:bookmarkEnd w:id="735"/>
      <w:bookmarkEnd w:id="736"/>
    </w:p>
    <w:p>
      <w:pPr>
        <w:pStyle w:val="Footnoteheading"/>
      </w:pPr>
      <w:r>
        <w:tab/>
        <w:t>[Heading inserted: No.</w:t>
      </w:r>
      <w:del w:id="737" w:author="svcMRProcess" w:date="2019-04-15T16:46:00Z">
        <w:r>
          <w:delText xml:space="preserve"> </w:delText>
        </w:r>
      </w:del>
      <w:ins w:id="738" w:author="svcMRProcess" w:date="2019-04-15T16:46:00Z">
        <w:r>
          <w:t> </w:t>
        </w:r>
      </w:ins>
      <w:r>
        <w:t>60 of 2011 s. 92.]</w:t>
      </w:r>
    </w:p>
    <w:p>
      <w:pPr>
        <w:pStyle w:val="Heading4"/>
      </w:pPr>
      <w:bookmarkStart w:id="739" w:name="_Toc2153380"/>
      <w:bookmarkStart w:id="740" w:name="_Toc2160214"/>
      <w:bookmarkStart w:id="741" w:name="_Toc2160938"/>
      <w:bookmarkStart w:id="742" w:name="_Toc5621561"/>
      <w:bookmarkStart w:id="743" w:name="_Toc5632977"/>
      <w:bookmarkStart w:id="744" w:name="_Toc5719356"/>
      <w:r>
        <w:t>Subdivision 1 — Preliminary</w:t>
      </w:r>
      <w:bookmarkEnd w:id="739"/>
      <w:bookmarkEnd w:id="740"/>
      <w:bookmarkEnd w:id="741"/>
      <w:bookmarkEnd w:id="742"/>
      <w:bookmarkEnd w:id="743"/>
      <w:bookmarkEnd w:id="744"/>
    </w:p>
    <w:p>
      <w:pPr>
        <w:pStyle w:val="Footnoteheading"/>
      </w:pPr>
      <w:r>
        <w:tab/>
        <w:t>[Heading inserted: No.</w:t>
      </w:r>
      <w:del w:id="745" w:author="svcMRProcess" w:date="2019-04-15T16:46:00Z">
        <w:r>
          <w:delText xml:space="preserve"> </w:delText>
        </w:r>
      </w:del>
      <w:ins w:id="746" w:author="svcMRProcess" w:date="2019-04-15T16:46:00Z">
        <w:r>
          <w:t> </w:t>
        </w:r>
      </w:ins>
      <w:r>
        <w:t>60 of 2011 s. 92.]</w:t>
      </w:r>
    </w:p>
    <w:p>
      <w:pPr>
        <w:pStyle w:val="Heading5"/>
      </w:pPr>
      <w:bookmarkStart w:id="747" w:name="_Toc5719357"/>
      <w:bookmarkStart w:id="748" w:name="_Toc2160939"/>
      <w:r>
        <w:rPr>
          <w:rStyle w:val="CharSectno"/>
        </w:rPr>
        <w:t>71A</w:t>
      </w:r>
      <w:r>
        <w:t>.</w:t>
      </w:r>
      <w:r>
        <w:tab/>
        <w:t>Terms used</w:t>
      </w:r>
      <w:bookmarkEnd w:id="747"/>
      <w:bookmarkEnd w:id="748"/>
    </w:p>
    <w:p>
      <w:pPr>
        <w:pStyle w:val="Subsection"/>
      </w:pPr>
      <w:r>
        <w:tab/>
      </w:r>
      <w:r>
        <w:tab/>
        <w:t xml:space="preserve">In this Division — </w:t>
      </w:r>
    </w:p>
    <w:p>
      <w:pPr>
        <w:pStyle w:val="Defstart"/>
      </w:pPr>
      <w:r>
        <w:tab/>
      </w:r>
      <w:r>
        <w:rPr>
          <w:rStyle w:val="CharDefText"/>
        </w:rPr>
        <w:t>criteria</w:t>
      </w:r>
      <w:r>
        <w:t xml:space="preserve"> means the criteria approved under section 71E;</w:t>
      </w:r>
    </w:p>
    <w:p>
      <w:pPr>
        <w:pStyle w:val="Defstart"/>
      </w:pPr>
      <w:r>
        <w:tab/>
      </w:r>
      <w:r>
        <w:rPr>
          <w:rStyle w:val="CharDefText"/>
        </w:rPr>
        <w:t>Housing Authority</w:t>
      </w:r>
      <w:r>
        <w:t xml:space="preserve"> means the Housing Authority referred to in the </w:t>
      </w:r>
      <w:r>
        <w:rPr>
          <w:i/>
          <w:iCs/>
        </w:rPr>
        <w:t>Housing Act 1980</w:t>
      </w:r>
      <w:r>
        <w:t xml:space="preserve"> section 6(4);</w:t>
      </w:r>
    </w:p>
    <w:p>
      <w:pPr>
        <w:pStyle w:val="Defstart"/>
      </w:pPr>
      <w:r>
        <w:tab/>
      </w:r>
      <w:r>
        <w:rPr>
          <w:rStyle w:val="CharDefText"/>
        </w:rPr>
        <w:t>Minister for Housing</w:t>
      </w:r>
      <w:r>
        <w:t xml:space="preserve"> means the Minister to whom the administration of the </w:t>
      </w:r>
      <w:r>
        <w:rPr>
          <w:i/>
          <w:iCs/>
        </w:rPr>
        <w:t>Housing Act 1980</w:t>
      </w:r>
      <w:r>
        <w:t xml:space="preserve"> is committed;</w:t>
      </w:r>
    </w:p>
    <w:p>
      <w:pPr>
        <w:pStyle w:val="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pPr>
        <w:pStyle w:val="Defstart"/>
      </w:pPr>
      <w:r>
        <w:tab/>
      </w:r>
      <w:r>
        <w:rPr>
          <w:rStyle w:val="CharDefText"/>
        </w:rPr>
        <w:t>social housing provider</w:t>
      </w:r>
      <w:r>
        <w:t xml:space="preserve"> means any of the following — </w:t>
      </w:r>
    </w:p>
    <w:p>
      <w:pPr>
        <w:pStyle w:val="Defpara"/>
      </w:pPr>
      <w:r>
        <w:tab/>
        <w:t>(a)</w:t>
      </w:r>
      <w:r>
        <w:tab/>
        <w:t>the Housing Authority;</w:t>
      </w:r>
    </w:p>
    <w:p>
      <w:pPr>
        <w:pStyle w:val="Defpara"/>
      </w:pPr>
      <w:r>
        <w:tab/>
        <w:t>(b)</w:t>
      </w:r>
      <w:r>
        <w:tab/>
        <w:t>a body or person prescribed, or of a class prescribed, for the purposes of this definition;</w:t>
      </w:r>
    </w:p>
    <w:p>
      <w:pPr>
        <w:pStyle w:val="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pPr>
        <w:pStyle w:val="Footnotesection"/>
      </w:pPr>
      <w:r>
        <w:tab/>
        <w:t>[Section 71A inserted: No. 60 of 2011 s. 92.]</w:t>
      </w:r>
    </w:p>
    <w:p>
      <w:pPr>
        <w:pStyle w:val="Heading5"/>
      </w:pPr>
      <w:bookmarkStart w:id="749" w:name="_Toc5719358"/>
      <w:bookmarkStart w:id="750" w:name="_Toc2160940"/>
      <w:r>
        <w:rPr>
          <w:rStyle w:val="CharSectno"/>
        </w:rPr>
        <w:t>71B</w:t>
      </w:r>
      <w:r>
        <w:t>.</w:t>
      </w:r>
      <w:r>
        <w:tab/>
        <w:t>Application of Division</w:t>
      </w:r>
      <w:bookmarkEnd w:id="749"/>
      <w:bookmarkEnd w:id="750"/>
    </w:p>
    <w:p>
      <w:pPr>
        <w:pStyle w:val="Subsection"/>
      </w:pPr>
      <w:r>
        <w:tab/>
      </w:r>
      <w:r>
        <w:tab/>
        <w:t>This Division does not limit the operation of the other provisions of this Part in relation to residential tenancy agreements that are social housing tenancy agreements.</w:t>
      </w:r>
    </w:p>
    <w:p>
      <w:pPr>
        <w:pStyle w:val="Footnotesection"/>
      </w:pPr>
      <w:r>
        <w:tab/>
        <w:t>[Section 71B inserted: No. 60 of 2011 s. 92.]</w:t>
      </w:r>
    </w:p>
    <w:p>
      <w:pPr>
        <w:pStyle w:val="Heading4"/>
      </w:pPr>
      <w:bookmarkStart w:id="751" w:name="_Toc2153383"/>
      <w:bookmarkStart w:id="752" w:name="_Toc2160217"/>
      <w:bookmarkStart w:id="753" w:name="_Toc2160941"/>
      <w:bookmarkStart w:id="754" w:name="_Toc5621564"/>
      <w:bookmarkStart w:id="755" w:name="_Toc5632980"/>
      <w:bookmarkStart w:id="756" w:name="_Toc5719359"/>
      <w:r>
        <w:t>Subdivision 2 — Notice of termination where tenant not eligible for social housing premises</w:t>
      </w:r>
      <w:bookmarkEnd w:id="751"/>
      <w:bookmarkEnd w:id="752"/>
      <w:bookmarkEnd w:id="753"/>
      <w:bookmarkEnd w:id="754"/>
      <w:bookmarkEnd w:id="755"/>
      <w:bookmarkEnd w:id="756"/>
    </w:p>
    <w:p>
      <w:pPr>
        <w:pStyle w:val="Footnoteheading"/>
      </w:pPr>
      <w:r>
        <w:tab/>
        <w:t>[Heading inserted: No.</w:t>
      </w:r>
      <w:del w:id="757" w:author="svcMRProcess" w:date="2019-04-15T16:46:00Z">
        <w:r>
          <w:delText xml:space="preserve"> </w:delText>
        </w:r>
      </w:del>
      <w:ins w:id="758" w:author="svcMRProcess" w:date="2019-04-15T16:46:00Z">
        <w:r>
          <w:t> </w:t>
        </w:r>
      </w:ins>
      <w:r>
        <w:t>60 of 2011 s. 92.]</w:t>
      </w:r>
    </w:p>
    <w:p>
      <w:pPr>
        <w:pStyle w:val="Heading5"/>
        <w:rPr>
          <w:snapToGrid w:val="0"/>
        </w:rPr>
      </w:pPr>
      <w:bookmarkStart w:id="759" w:name="_Toc5719360"/>
      <w:bookmarkStart w:id="760" w:name="_Toc2160942"/>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759"/>
      <w:bookmarkEnd w:id="760"/>
    </w:p>
    <w:p>
      <w:pPr>
        <w:pStyle w:val="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w:t>
      </w:r>
    </w:p>
    <w:p>
      <w:pPr>
        <w:pStyle w:val="Footnotesection"/>
      </w:pPr>
      <w:r>
        <w:tab/>
        <w:t>[Section 71C inserted: No. 60 of 2011 s. 92.]</w:t>
      </w:r>
    </w:p>
    <w:p>
      <w:pPr>
        <w:pStyle w:val="Heading5"/>
      </w:pPr>
      <w:bookmarkStart w:id="761" w:name="_Toc5719361"/>
      <w:bookmarkStart w:id="762" w:name="_Toc2160943"/>
      <w:r>
        <w:rPr>
          <w:rStyle w:val="CharSectno"/>
        </w:rPr>
        <w:t>71D</w:t>
      </w:r>
      <w:r>
        <w:t>.</w:t>
      </w:r>
      <w:r>
        <w:tab/>
        <w:t>Assessment of tenants eligibility for social housing premises</w:t>
      </w:r>
      <w:bookmarkEnd w:id="761"/>
      <w:bookmarkEnd w:id="762"/>
    </w:p>
    <w:p>
      <w:pPr>
        <w:pStyle w:val="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pPr>
        <w:pStyle w:val="Subsection"/>
      </w:pPr>
      <w:r>
        <w:tab/>
        <w:t>(2)</w:t>
      </w:r>
      <w:r>
        <w:tab/>
        <w:t>The lessor may request the tenant to provide any information that is reasonably required to enable the lessor to determine whether the tenant meets the criteria for the purposes of an assessment under this section.</w:t>
      </w:r>
    </w:p>
    <w:p>
      <w:pPr>
        <w:pStyle w:val="Subsection"/>
        <w:rPr>
          <w:snapToGrid w:val="0"/>
        </w:rPr>
      </w:pPr>
      <w:r>
        <w:tab/>
        <w:t>(3)</w:t>
      </w:r>
      <w:r>
        <w:tab/>
        <w:t>If the tenant refuses to provide any such information to the lessor, the lessor may determine, without further inquiry, that 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pPr>
        <w:pStyle w:val="Subsection"/>
      </w:pPr>
      <w:r>
        <w:tab/>
        <w:t>(4)</w:t>
      </w:r>
      <w:r>
        <w:tab/>
        <w:t>In the case of a social housing tenancy agreement that creates a tenancy for a fixed term, an assessment under this section may not be carried out prior to 6 months before the end of the term.</w:t>
      </w:r>
    </w:p>
    <w:p>
      <w:pPr>
        <w:pStyle w:val="Footnotesection"/>
      </w:pPr>
      <w:r>
        <w:tab/>
        <w:t>[Section 71D inserted: No. 60 of 2011 s. 92.]</w:t>
      </w:r>
    </w:p>
    <w:p>
      <w:pPr>
        <w:pStyle w:val="Heading5"/>
      </w:pPr>
      <w:bookmarkStart w:id="763" w:name="_Toc5719362"/>
      <w:bookmarkStart w:id="764" w:name="_Toc2160944"/>
      <w:r>
        <w:rPr>
          <w:rStyle w:val="CharSectno"/>
        </w:rPr>
        <w:t>71E</w:t>
      </w:r>
      <w:r>
        <w:t>.</w:t>
      </w:r>
      <w:r>
        <w:tab/>
        <w:t>Criteria for assessing eligibility of tenants for social housing premises under s. 71D</w:t>
      </w:r>
      <w:bookmarkEnd w:id="763"/>
      <w:bookmarkEnd w:id="764"/>
    </w:p>
    <w:p>
      <w:pPr>
        <w:pStyle w:val="Subsection"/>
      </w:pPr>
      <w:r>
        <w:tab/>
        <w:t>(1)</w:t>
      </w:r>
      <w:r>
        <w:tab/>
        <w:t>The Minister for Housing is to approve criteria for the purposes of this Subdivision.</w:t>
      </w:r>
    </w:p>
    <w:p>
      <w:pPr>
        <w:pStyle w:val="Subsection"/>
      </w:pPr>
      <w:r>
        <w:tab/>
        <w:t>(2)</w:t>
      </w:r>
      <w:r>
        <w:tab/>
        <w:t>The criteria may differ from the criteria used to assess a person’s eligibility to commence residing in social housing premises, or in a particular class of social housing premises.</w:t>
      </w:r>
    </w:p>
    <w:p>
      <w:pPr>
        <w:pStyle w:val="Subsection"/>
      </w:pPr>
      <w:r>
        <w:tab/>
        <w:t>(3)</w:t>
      </w:r>
      <w:r>
        <w:tab/>
        <w:t>The criteria must not relate to whether or not a tenant has complied with any term of a residential tenancy agreement.</w:t>
      </w:r>
    </w:p>
    <w:p>
      <w:pPr>
        <w:pStyle w:val="Subsection"/>
      </w:pPr>
      <w:r>
        <w:tab/>
        <w:t>(4)</w:t>
      </w:r>
      <w:r>
        <w:tab/>
        <w:t>The criteria must be made publicly available.</w:t>
      </w:r>
    </w:p>
    <w:p>
      <w:pPr>
        <w:pStyle w:val="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pPr>
        <w:pStyle w:val="Footnotesection"/>
      </w:pPr>
      <w:r>
        <w:tab/>
        <w:t>[Section 71E inserted: No. 60 of 2011 s. 92.]</w:t>
      </w:r>
    </w:p>
    <w:p>
      <w:pPr>
        <w:pStyle w:val="Heading5"/>
      </w:pPr>
      <w:bookmarkStart w:id="765" w:name="_Toc5719363"/>
      <w:bookmarkStart w:id="766" w:name="_Toc2160945"/>
      <w:r>
        <w:rPr>
          <w:rStyle w:val="CharSectno"/>
        </w:rPr>
        <w:t>71F</w:t>
      </w:r>
      <w:r>
        <w:t>.</w:t>
      </w:r>
      <w:r>
        <w:tab/>
        <w:t>Review of decision to give notice on ground that tenant not eligible for social housing premises</w:t>
      </w:r>
      <w:bookmarkEnd w:id="765"/>
      <w:bookmarkEnd w:id="766"/>
    </w:p>
    <w:p>
      <w:pPr>
        <w:pStyle w:val="Subsection"/>
      </w:pPr>
      <w:r>
        <w:tab/>
        <w:t>(1)</w:t>
      </w:r>
      <w:r>
        <w:tab/>
        <w:t>Before giving notice of termination of a social housing tenancy agreement to a tenant on the ground referred to in section 71C, the lessor must advise the tenant of the decision to do so by notice in writing.</w:t>
      </w:r>
    </w:p>
    <w:p>
      <w:pPr>
        <w:pStyle w:val="Subsection"/>
      </w:pPr>
      <w:r>
        <w:tab/>
        <w:t>(2)</w:t>
      </w:r>
      <w:r>
        <w:tab/>
        <w:t xml:space="preserve">A notice given under this section must — </w:t>
      </w:r>
    </w:p>
    <w:p>
      <w:pPr>
        <w:pStyle w:val="Indenta"/>
        <w:spacing w:before="60"/>
      </w:pPr>
      <w:r>
        <w:tab/>
        <w:t>(a)</w:t>
      </w:r>
      <w:r>
        <w:tab/>
        <w:t>contain particulars of the reasons why the tenant is no longer considered eligible to reside in the premises; and</w:t>
      </w:r>
    </w:p>
    <w:p>
      <w:pPr>
        <w:pStyle w:val="Indenta"/>
        <w:spacing w:before="60"/>
      </w:pPr>
      <w:r>
        <w:tab/>
        <w:t>(b)</w:t>
      </w:r>
      <w:r>
        <w:tab/>
        <w:t>state that the tenant may apply to the lessor for a review of the decision within 30 days after the notice is given and give particulars of how such an application may be made; and</w:t>
      </w:r>
    </w:p>
    <w:p>
      <w:pPr>
        <w:pStyle w:val="Indenta"/>
        <w:spacing w:before="60"/>
      </w:pPr>
      <w:r>
        <w:tab/>
        <w:t>(c)</w:t>
      </w:r>
      <w:r>
        <w:tab/>
        <w:t>state that the tenant is entitled to make representations to the lessor in writing, or (if the tenant wishes) orally, as to why the agreement should not be terminated.</w:t>
      </w:r>
    </w:p>
    <w:p>
      <w:pPr>
        <w:pStyle w:val="Subsection"/>
        <w:spacing w:before="150"/>
      </w:pPr>
      <w:r>
        <w:tab/>
        <w:t>(3)</w:t>
      </w:r>
      <w:r>
        <w:tab/>
        <w:t xml:space="preserve">The tenant may, in accordance with the notice — </w:t>
      </w:r>
    </w:p>
    <w:p>
      <w:pPr>
        <w:pStyle w:val="Indenta"/>
        <w:spacing w:before="60"/>
      </w:pPr>
      <w:r>
        <w:tab/>
        <w:t>(a)</w:t>
      </w:r>
      <w:r>
        <w:tab/>
        <w:t>apply to the lessor for a review of the decision; and</w:t>
      </w:r>
    </w:p>
    <w:p>
      <w:pPr>
        <w:pStyle w:val="Indenta"/>
        <w:spacing w:before="60"/>
      </w:pPr>
      <w:r>
        <w:tab/>
        <w:t>(b)</w:t>
      </w:r>
      <w:r>
        <w:tab/>
        <w:t>make representations in writing, or (if the tenant wishes) orally, to the lessor as to why the agreement should not be terminated.</w:t>
      </w:r>
    </w:p>
    <w:p>
      <w:pPr>
        <w:pStyle w:val="Subsection"/>
        <w:spacing w:before="150"/>
      </w:pPr>
      <w:r>
        <w:tab/>
        <w:t>(4)</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spacing w:before="150"/>
      </w:pPr>
      <w:r>
        <w:tab/>
        <w:t>(5)</w:t>
      </w:r>
      <w:r>
        <w:tab/>
        <w:t xml:space="preserve">After the review is carried out, the lessor may — </w:t>
      </w:r>
    </w:p>
    <w:p>
      <w:pPr>
        <w:pStyle w:val="Indenta"/>
        <w:spacing w:before="60"/>
      </w:pPr>
      <w:r>
        <w:tab/>
        <w:t>(a)</w:t>
      </w:r>
      <w:r>
        <w:tab/>
        <w:t>give notice of termination of the agreement on the ground referred to in section 71C; or</w:t>
      </w:r>
    </w:p>
    <w:p>
      <w:pPr>
        <w:pStyle w:val="Indenta"/>
        <w:spacing w:before="60"/>
      </w:pPr>
      <w:r>
        <w:tab/>
        <w:t>(b)</w:t>
      </w:r>
      <w:r>
        <w:tab/>
        <w:t>advise the tenant, by notice in writing, that the lessor has decided not to give notice of termination of the agreement.</w:t>
      </w:r>
    </w:p>
    <w:p>
      <w:pPr>
        <w:pStyle w:val="Footnotesection"/>
        <w:spacing w:before="80"/>
      </w:pPr>
      <w:r>
        <w:tab/>
        <w:t>[Section 71F inserted: No. 60 of 2011 s. 92.]</w:t>
      </w:r>
    </w:p>
    <w:p>
      <w:pPr>
        <w:pStyle w:val="Heading5"/>
        <w:rPr>
          <w:snapToGrid w:val="0"/>
        </w:rPr>
      </w:pPr>
      <w:bookmarkStart w:id="767" w:name="_Toc5719364"/>
      <w:bookmarkStart w:id="768" w:name="_Toc2160946"/>
      <w:r>
        <w:rPr>
          <w:rStyle w:val="CharSectno"/>
        </w:rPr>
        <w:t>71G</w:t>
      </w:r>
      <w:r>
        <w:t>.</w:t>
      </w:r>
      <w:r>
        <w:tab/>
        <w:t xml:space="preserve">Time </w:t>
      </w:r>
      <w:r>
        <w:rPr>
          <w:snapToGrid w:val="0"/>
        </w:rPr>
        <w:t>periods to be observed where notice of termination given under this Subdivision</w:t>
      </w:r>
      <w:bookmarkEnd w:id="767"/>
      <w:bookmarkEnd w:id="768"/>
    </w:p>
    <w:p>
      <w:pPr>
        <w:pStyle w:val="Subsection"/>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pPr>
        <w:pStyle w:val="Indenta"/>
        <w:rPr>
          <w:snapToGrid w:val="0"/>
        </w:rPr>
      </w:pPr>
      <w:r>
        <w:tab/>
        <w:t>(a)</w:t>
      </w:r>
      <w:r>
        <w:tab/>
      </w:r>
      <w:r>
        <w:rPr>
          <w:snapToGrid w:val="0"/>
        </w:rPr>
        <w:t>the end of the 30 day period within which the tenant may apply for a review under section 71F of the decision to give notice of termination;</w:t>
      </w:r>
    </w:p>
    <w:p>
      <w:pPr>
        <w:pStyle w:val="Indenta"/>
        <w:rPr>
          <w:snapToGrid w:val="0"/>
        </w:rPr>
      </w:pPr>
      <w:r>
        <w:rPr>
          <w:snapToGrid w:val="0"/>
        </w:rPr>
        <w:tab/>
        <w:t>(b)</w:t>
      </w:r>
      <w:r>
        <w:rPr>
          <w:snapToGrid w:val="0"/>
        </w:rPr>
        <w:tab/>
        <w:t>the end of any such review carried out in respect of that decision.</w:t>
      </w:r>
    </w:p>
    <w:p>
      <w:pPr>
        <w:pStyle w:val="Subsection"/>
        <w:spacing w:before="150"/>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pPr>
        <w:pStyle w:val="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pPr>
        <w:pStyle w:val="Indenta"/>
        <w:rPr>
          <w:snapToGrid w:val="0"/>
        </w:rPr>
      </w:pPr>
      <w:r>
        <w:rPr>
          <w:snapToGrid w:val="0"/>
        </w:rPr>
        <w:tab/>
        <w:t>(b)</w:t>
      </w:r>
      <w:r>
        <w:rPr>
          <w:snapToGrid w:val="0"/>
        </w:rPr>
        <w:tab/>
        <w:t>in any other case, 60 days after the day on which the notice of termination is given.</w:t>
      </w:r>
    </w:p>
    <w:p>
      <w:pPr>
        <w:pStyle w:val="Footnotesection"/>
        <w:spacing w:before="100"/>
      </w:pPr>
      <w:r>
        <w:tab/>
        <w:t>[Section 71G inserted: No. 60 of 2011 s. 92.]</w:t>
      </w:r>
    </w:p>
    <w:p>
      <w:pPr>
        <w:pStyle w:val="Heading4"/>
      </w:pPr>
      <w:bookmarkStart w:id="769" w:name="_Toc2153389"/>
      <w:bookmarkStart w:id="770" w:name="_Toc2160223"/>
      <w:bookmarkStart w:id="771" w:name="_Toc2160947"/>
      <w:bookmarkStart w:id="772" w:name="_Toc5621570"/>
      <w:bookmarkStart w:id="773" w:name="_Toc5632986"/>
      <w:bookmarkStart w:id="774" w:name="_Toc5719365"/>
      <w:r>
        <w:t>Subdivision 3 — Notice of termination where tenant offered alternative social housing premises</w:t>
      </w:r>
      <w:bookmarkEnd w:id="769"/>
      <w:bookmarkEnd w:id="770"/>
      <w:bookmarkEnd w:id="771"/>
      <w:bookmarkEnd w:id="772"/>
      <w:bookmarkEnd w:id="773"/>
      <w:bookmarkEnd w:id="774"/>
    </w:p>
    <w:p>
      <w:pPr>
        <w:pStyle w:val="Footnoteheading"/>
        <w:spacing w:before="100"/>
      </w:pPr>
      <w:r>
        <w:tab/>
        <w:t>[Heading inserted: No.</w:t>
      </w:r>
      <w:del w:id="775" w:author="svcMRProcess" w:date="2019-04-15T16:46:00Z">
        <w:r>
          <w:delText xml:space="preserve"> </w:delText>
        </w:r>
      </w:del>
      <w:ins w:id="776" w:author="svcMRProcess" w:date="2019-04-15T16:46:00Z">
        <w:r>
          <w:t> </w:t>
        </w:r>
      </w:ins>
      <w:r>
        <w:t>60 of 2011 s. 92.]</w:t>
      </w:r>
    </w:p>
    <w:p>
      <w:pPr>
        <w:pStyle w:val="Heading5"/>
        <w:rPr>
          <w:snapToGrid w:val="0"/>
        </w:rPr>
      </w:pPr>
      <w:bookmarkStart w:id="777" w:name="_Toc5719366"/>
      <w:bookmarkStart w:id="778" w:name="_Toc2160948"/>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777"/>
      <w:bookmarkEnd w:id="778"/>
    </w:p>
    <w:p>
      <w:pPr>
        <w:pStyle w:val="Subsection"/>
        <w:spacing w:before="150"/>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w:t>
      </w:r>
    </w:p>
    <w:p>
      <w:pPr>
        <w:pStyle w:val="Footnotesection"/>
        <w:spacing w:before="100"/>
      </w:pPr>
      <w:r>
        <w:tab/>
        <w:t>[Section 71H inserted: No. 60 of 2011 s. 92.]</w:t>
      </w:r>
    </w:p>
    <w:p>
      <w:pPr>
        <w:pStyle w:val="Heading5"/>
      </w:pPr>
      <w:bookmarkStart w:id="779" w:name="_Toc5719367"/>
      <w:bookmarkStart w:id="780" w:name="_Toc2160949"/>
      <w:r>
        <w:rPr>
          <w:rStyle w:val="CharSectno"/>
        </w:rPr>
        <w:t>71I</w:t>
      </w:r>
      <w:r>
        <w:t>.</w:t>
      </w:r>
      <w:r>
        <w:tab/>
        <w:t>Review of decision to give notice on ground that tenant offered alternative social housing premises</w:t>
      </w:r>
      <w:bookmarkEnd w:id="779"/>
      <w:bookmarkEnd w:id="780"/>
    </w:p>
    <w:p>
      <w:pPr>
        <w:pStyle w:val="Subsection"/>
        <w:spacing w:before="200"/>
      </w:pPr>
      <w:r>
        <w:tab/>
        <w:t>(1)</w:t>
      </w:r>
      <w:r>
        <w:tab/>
        <w:t>Before giving notice of termination of a social housing tenancy agreement to a tenant on the ground referred to in section 71H, the lessor must advise the tenant of the decision to do so by notice in writing.</w:t>
      </w:r>
    </w:p>
    <w:p>
      <w:pPr>
        <w:pStyle w:val="Subsection"/>
        <w:spacing w:before="200"/>
      </w:pPr>
      <w:r>
        <w:tab/>
        <w:t>(2)</w:t>
      </w:r>
      <w:r>
        <w:tab/>
        <w:t>The lessor may make the offer to enter into a new social housing tenancy agreement and give notice of the decision at the same time.</w:t>
      </w:r>
    </w:p>
    <w:p>
      <w:pPr>
        <w:pStyle w:val="Subsection"/>
        <w:spacing w:before="200"/>
      </w:pPr>
      <w:r>
        <w:tab/>
        <w:t>(3)</w:t>
      </w:r>
      <w:r>
        <w:tab/>
        <w:t xml:space="preserve">A notice given under this section must — </w:t>
      </w:r>
    </w:p>
    <w:p>
      <w:pPr>
        <w:pStyle w:val="Indenta"/>
        <w:spacing w:before="100"/>
      </w:pPr>
      <w:r>
        <w:tab/>
        <w:t>(a)</w:t>
      </w:r>
      <w:r>
        <w:tab/>
        <w:t>contain particulars of the reasons why the lessor wishes the tenant to move to alternative premises; and</w:t>
      </w:r>
    </w:p>
    <w:p>
      <w:pPr>
        <w:pStyle w:val="Indenta"/>
        <w:spacing w:before="100"/>
      </w:pPr>
      <w:r>
        <w:tab/>
        <w:t>(b)</w:t>
      </w:r>
      <w:r>
        <w:tab/>
        <w:t>state that the tenant may apply to the lessor for a review of the decision within 30 days after the notice is given and give particulars of how such an application may be made; and</w:t>
      </w:r>
    </w:p>
    <w:p>
      <w:pPr>
        <w:pStyle w:val="Indenta"/>
        <w:spacing w:before="100"/>
      </w:pPr>
      <w:r>
        <w:tab/>
        <w:t>(c)</w:t>
      </w:r>
      <w:r>
        <w:tab/>
        <w:t>state that the tenant is entitled to make representations to the lessor in writing, or (if the tenant wishes) orally, as to why the existing agreement should not be terminated.</w:t>
      </w:r>
    </w:p>
    <w:p>
      <w:pPr>
        <w:pStyle w:val="Subsection"/>
        <w:spacing w:before="200"/>
      </w:pPr>
      <w:r>
        <w:tab/>
        <w:t>(4)</w:t>
      </w:r>
      <w:r>
        <w:tab/>
        <w:t xml:space="preserve">The tenant may, in accordance with the notice — </w:t>
      </w:r>
    </w:p>
    <w:p>
      <w:pPr>
        <w:pStyle w:val="Indenta"/>
        <w:spacing w:before="100"/>
      </w:pPr>
      <w:r>
        <w:tab/>
        <w:t>(a)</w:t>
      </w:r>
      <w:r>
        <w:tab/>
        <w:t>apply to the lessor for a review of the decision; and</w:t>
      </w:r>
    </w:p>
    <w:p>
      <w:pPr>
        <w:pStyle w:val="Indenta"/>
        <w:spacing w:before="100"/>
      </w:pPr>
      <w:r>
        <w:tab/>
        <w:t>(b)</w:t>
      </w:r>
      <w:r>
        <w:tab/>
        <w:t>make representations in writing, or (if the tenant wishes) orally, to the lessor as to why the existing agreement should not be terminated.</w:t>
      </w:r>
    </w:p>
    <w:p>
      <w:pPr>
        <w:pStyle w:val="Subsection"/>
        <w:spacing w:before="200"/>
      </w:pPr>
      <w:r>
        <w:tab/>
        <w:t>(5)</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keepNext/>
      </w:pPr>
      <w:r>
        <w:tab/>
        <w:t>(6)</w:t>
      </w:r>
      <w:r>
        <w:tab/>
        <w:t xml:space="preserve">After the review is carried out, the lessor may — </w:t>
      </w:r>
    </w:p>
    <w:p>
      <w:pPr>
        <w:pStyle w:val="Indenta"/>
        <w:keepNext/>
      </w:pPr>
      <w:r>
        <w:tab/>
        <w:t>(a)</w:t>
      </w:r>
      <w:r>
        <w:tab/>
        <w:t>give notice of termination of the existing agreement on the ground referred to in section 71H; or</w:t>
      </w:r>
    </w:p>
    <w:p>
      <w:pPr>
        <w:pStyle w:val="Indenta"/>
      </w:pPr>
      <w:r>
        <w:tab/>
        <w:t>(b)</w:t>
      </w:r>
      <w:r>
        <w:tab/>
        <w:t>advise the tenant, by notice in writing, that the lessor has decided not to give notice of termination of the existing agreement; or</w:t>
      </w:r>
    </w:p>
    <w:p>
      <w:pPr>
        <w:pStyle w:val="Indenta"/>
      </w:pPr>
      <w:r>
        <w:tab/>
        <w:t>(c)</w:t>
      </w:r>
      <w:r>
        <w:tab/>
        <w:t>make a new offer to the tenant to enter into a new social housing tenancy agreement in respect of alternative premises that differ from those the subject of the offer in respect of which the review was carried out.</w:t>
      </w:r>
    </w:p>
    <w:p>
      <w:pPr>
        <w:pStyle w:val="Subsection"/>
      </w:pPr>
      <w:r>
        <w:tab/>
        <w:t>(7)</w:t>
      </w:r>
      <w:r>
        <w:tab/>
        <w:t>If a new offer is made under subsection (6)(c), subsections (1) to (6) apply in relation to giving notice of termination in connection with the new offer.</w:t>
      </w:r>
    </w:p>
    <w:p>
      <w:pPr>
        <w:pStyle w:val="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pPr>
        <w:pStyle w:val="Footnotesection"/>
      </w:pPr>
      <w:r>
        <w:tab/>
        <w:t>[Section 71I inserted: No. 60 of 2011 s. 92.]</w:t>
      </w:r>
    </w:p>
    <w:p>
      <w:pPr>
        <w:pStyle w:val="Heading5"/>
      </w:pPr>
      <w:bookmarkStart w:id="781" w:name="_Toc5719368"/>
      <w:bookmarkStart w:id="782" w:name="_Toc2160950"/>
      <w:r>
        <w:rPr>
          <w:rStyle w:val="CharSectno"/>
        </w:rPr>
        <w:t>71J</w:t>
      </w:r>
      <w:r>
        <w:t>.</w:t>
      </w:r>
      <w:r>
        <w:tab/>
        <w:t xml:space="preserve">Time periods to be observed </w:t>
      </w:r>
      <w:r>
        <w:rPr>
          <w:snapToGrid w:val="0"/>
        </w:rPr>
        <w:t xml:space="preserve">where notice of termination given </w:t>
      </w:r>
      <w:r>
        <w:t>under this Subdivision</w:t>
      </w:r>
      <w:bookmarkEnd w:id="781"/>
      <w:bookmarkEnd w:id="782"/>
    </w:p>
    <w:p>
      <w:pPr>
        <w:pStyle w:val="Subsection"/>
      </w:pPr>
      <w:r>
        <w:tab/>
        <w:t>(1)</w:t>
      </w:r>
      <w:r>
        <w:tab/>
        <w:t xml:space="preserve">A notice of termination of a social housing tenancy agreement cannot be given to a tenant on the ground referred to in section 71H before the later of the following — </w:t>
      </w:r>
    </w:p>
    <w:p>
      <w:pPr>
        <w:pStyle w:val="Indenta"/>
      </w:pPr>
      <w:r>
        <w:tab/>
        <w:t>(a)</w:t>
      </w:r>
      <w:r>
        <w:tab/>
        <w:t>the end of the 30 day period within which the tenant may apply for any review under section 71I of the decision to give the notice of termination;</w:t>
      </w:r>
    </w:p>
    <w:p>
      <w:pPr>
        <w:pStyle w:val="Indenta"/>
      </w:pPr>
      <w:r>
        <w:tab/>
        <w:t>(b)</w:t>
      </w:r>
      <w:r>
        <w:tab/>
        <w:t>the end of any such review carried out in respect of that decision.</w:t>
      </w:r>
    </w:p>
    <w:p>
      <w:pPr>
        <w:pStyle w:val="Subsection"/>
      </w:pPr>
      <w:r>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pPr>
        <w:pStyle w:val="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pPr>
        <w:pStyle w:val="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pPr>
        <w:pStyle w:val="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pPr>
        <w:pStyle w:val="Footnotesection"/>
      </w:pPr>
      <w:r>
        <w:tab/>
        <w:t>[Section 71J inserted: No. 60 of 2011 s. 92.]</w:t>
      </w:r>
    </w:p>
    <w:p>
      <w:pPr>
        <w:pStyle w:val="Heading3"/>
        <w:pageBreakBefore/>
        <w:spacing w:before="0"/>
      </w:pPr>
      <w:bookmarkStart w:id="783" w:name="_Toc2153393"/>
      <w:bookmarkStart w:id="784" w:name="_Toc2160227"/>
      <w:bookmarkStart w:id="785" w:name="_Toc2160951"/>
      <w:bookmarkStart w:id="786" w:name="_Toc5621574"/>
      <w:bookmarkStart w:id="787" w:name="_Toc5632990"/>
      <w:bookmarkStart w:id="788" w:name="_Toc5719369"/>
      <w:r>
        <w:rPr>
          <w:rStyle w:val="CharDivNo"/>
        </w:rPr>
        <w:t>Division 4</w:t>
      </w:r>
      <w:r>
        <w:t> — </w:t>
      </w:r>
      <w:r>
        <w:rPr>
          <w:rStyle w:val="CharDivText"/>
        </w:rPr>
        <w:t>Orders for termination of residential tenancy agreement</w:t>
      </w:r>
      <w:bookmarkEnd w:id="783"/>
      <w:bookmarkEnd w:id="784"/>
      <w:bookmarkEnd w:id="785"/>
      <w:bookmarkEnd w:id="786"/>
      <w:bookmarkEnd w:id="787"/>
      <w:bookmarkEnd w:id="788"/>
    </w:p>
    <w:p>
      <w:pPr>
        <w:pStyle w:val="Footnoteheading"/>
      </w:pPr>
      <w:r>
        <w:tab/>
        <w:t>[Heading inserted: No.</w:t>
      </w:r>
      <w:del w:id="789" w:author="svcMRProcess" w:date="2019-04-15T16:46:00Z">
        <w:r>
          <w:delText xml:space="preserve"> </w:delText>
        </w:r>
      </w:del>
      <w:ins w:id="790" w:author="svcMRProcess" w:date="2019-04-15T16:46:00Z">
        <w:r>
          <w:t> </w:t>
        </w:r>
      </w:ins>
      <w:r>
        <w:t>60 of 2011 s. 69.]</w:t>
      </w:r>
    </w:p>
    <w:p>
      <w:pPr>
        <w:pStyle w:val="Heading5"/>
        <w:rPr>
          <w:snapToGrid w:val="0"/>
        </w:rPr>
      </w:pPr>
      <w:bookmarkStart w:id="791" w:name="_Toc5719370"/>
      <w:bookmarkStart w:id="792" w:name="_Toc2160952"/>
      <w:r>
        <w:rPr>
          <w:rStyle w:val="CharSectno"/>
        </w:rPr>
        <w:t>71</w:t>
      </w:r>
      <w:r>
        <w:rPr>
          <w:snapToGrid w:val="0"/>
        </w:rPr>
        <w:t>.</w:t>
      </w:r>
      <w:r>
        <w:rPr>
          <w:snapToGrid w:val="0"/>
        </w:rPr>
        <w:tab/>
        <w:t>Application by lessor for termination and order for possession</w:t>
      </w:r>
      <w:bookmarkEnd w:id="791"/>
      <w:bookmarkEnd w:id="792"/>
    </w:p>
    <w:p>
      <w:pPr>
        <w:pStyle w:val="Subsection"/>
        <w:rPr>
          <w:snapToGrid w:val="0"/>
        </w:rPr>
      </w:pPr>
      <w:r>
        <w:rPr>
          <w:snapToGrid w:val="0"/>
        </w:rPr>
        <w:tab/>
        <w:t>(1)</w:t>
      </w:r>
      <w:r>
        <w:rPr>
          <w:snapToGrid w:val="0"/>
        </w:rPr>
        <w:tab/>
        <w:t xml:space="preserve">Where </w:t>
      </w:r>
      <w:r>
        <w:t>a lessor</w:t>
      </w:r>
      <w:r>
        <w:rPr>
          <w:snapToGrid w:val="0"/>
        </w:rPr>
        <w:t xml:space="preserve"> or a tenant under </w:t>
      </w:r>
      <w:r>
        <w:t>a residential tenancy agreement</w:t>
      </w:r>
      <w:r>
        <w:rPr>
          <w:snapToGrid w:val="0"/>
        </w:rPr>
        <w:t xml:space="preserve"> gives notice of termination to the other under this Act </w:t>
      </w:r>
      <w:r>
        <w:t>except under section 70A</w:t>
      </w:r>
      <w:r>
        <w:rPr>
          <w:snapToGrid w:val="0"/>
        </w:rPr>
        <w:t xml:space="preserve"> and the tenant fails to deliver up possession of the premises on the day specified, the lessor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lessor or tenant to the other and that it complied with and was given in accordance with this Act; and</w:t>
      </w:r>
    </w:p>
    <w:p>
      <w:pPr>
        <w:pStyle w:val="Indenta"/>
        <w:rPr>
          <w:snapToGrid w:val="0"/>
        </w:rPr>
      </w:pPr>
      <w:r>
        <w:rPr>
          <w:snapToGrid w:val="0"/>
        </w:rPr>
        <w:tab/>
        <w:t>(b)</w:t>
      </w:r>
      <w:r>
        <w:rPr>
          <w:snapToGrid w:val="0"/>
        </w:rPr>
        <w:tab/>
        <w:t xml:space="preserve">where the notice was given by the lessor upon a particular ground prescribed by this Act, other than a notice given by a </w:t>
      </w:r>
      <w:r>
        <w:t>lessor</w:t>
      </w:r>
      <w:r>
        <w:rPr>
          <w:snapToGrid w:val="0"/>
        </w:rPr>
        <w:t xml:space="preserve"> on a ground referred to in section 71C or 71H, that the lessor has established that ground and, in the case of notice upon the ground of a breach by the tenant of a term of the agreement, that the breach is in all the circumstances such as to justify termination of the</w:t>
      </w:r>
      <w:r>
        <w:t xml:space="preserve"> agreement; and</w:t>
      </w:r>
    </w:p>
    <w:p>
      <w:pPr>
        <w:pStyle w:val="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pPr>
        <w:pStyle w:val="Subsection"/>
        <w:keepNext/>
        <w:rPr>
          <w:snapToGrid w:val="0"/>
        </w:rPr>
      </w:pPr>
      <w:r>
        <w:rPr>
          <w:snapToGrid w:val="0"/>
        </w:rPr>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pPr>
        <w:pStyle w:val="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pPr>
        <w:pStyle w:val="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same as the premises in connection which the notice was given) are available for occupation by the tenant.</w:t>
      </w:r>
    </w:p>
    <w:p>
      <w:pPr>
        <w:pStyle w:val="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pPr>
        <w:pStyle w:val="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pPr>
        <w:pStyle w:val="Indenta"/>
        <w:rPr>
          <w:snapToGrid w:val="0"/>
        </w:rPr>
      </w:pPr>
      <w:r>
        <w:rPr>
          <w:snapToGrid w:val="0"/>
        </w:rPr>
        <w:tab/>
        <w:t>(b)</w:t>
      </w:r>
      <w:r>
        <w:rPr>
          <w:snapToGrid w:val="0"/>
        </w:rPr>
        <w:tab/>
        <w:t>any review required to be carried out under section 71F or 71I was carried out and that it was carried out in accordance with that section.</w:t>
      </w:r>
    </w:p>
    <w:p>
      <w:pPr>
        <w:pStyle w:val="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pPr>
        <w:pStyle w:val="Indenta"/>
        <w:rPr>
          <w:snapToGrid w:val="0"/>
        </w:rPr>
      </w:pPr>
      <w:r>
        <w:rPr>
          <w:snapToGrid w:val="0"/>
        </w:rPr>
        <w:tab/>
        <w:t>(a)</w:t>
      </w:r>
      <w:r>
        <w:rPr>
          <w:snapToGrid w:val="0"/>
        </w:rPr>
        <w:tab/>
        <w:t>any serious adverse effects the tenancy has had on neighbouring residents or other persons;</w:t>
      </w:r>
    </w:p>
    <w:p>
      <w:pPr>
        <w:pStyle w:val="Indenta"/>
        <w:rPr>
          <w:snapToGrid w:val="0"/>
        </w:rPr>
      </w:pPr>
      <w:r>
        <w:rPr>
          <w:snapToGrid w:val="0"/>
        </w:rPr>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pPr>
        <w:pStyle w:val="Indenta"/>
        <w:rPr>
          <w:snapToGrid w:val="0"/>
        </w:rPr>
      </w:pPr>
      <w:r>
        <w:rPr>
          <w:snapToGrid w:val="0"/>
        </w:rPr>
        <w:tab/>
        <w:t>(c)</w:t>
      </w:r>
      <w:r>
        <w:rPr>
          <w:snapToGrid w:val="0"/>
        </w:rPr>
        <w:tab/>
        <w:t xml:space="preserve">the </w:t>
      </w:r>
      <w:r>
        <w:t>lessor</w:t>
      </w:r>
      <w:r>
        <w:rPr>
          <w:snapToGrid w:val="0"/>
        </w:rPr>
        <w:t>’s responsibility to its other tenants;</w:t>
      </w:r>
    </w:p>
    <w:p>
      <w:pPr>
        <w:pStyle w:val="Indenta"/>
        <w:rPr>
          <w:snapToGrid w:val="0"/>
        </w:rPr>
      </w:pPr>
      <w:r>
        <w:rPr>
          <w:snapToGrid w:val="0"/>
        </w:rPr>
        <w:tab/>
        <w:t>(d)</w:t>
      </w:r>
      <w:r>
        <w:rPr>
          <w:snapToGrid w:val="0"/>
        </w:rPr>
        <w:tab/>
        <w:t>whether the tenant, wilfully or otherwise, is or has been in breach of an order of the court;</w:t>
      </w:r>
    </w:p>
    <w:p>
      <w:pPr>
        <w:pStyle w:val="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 xml:space="preserve">except where the premises the subject of the agreement are the principal place of residence of the lessor, suspend the operation of orders made under that subsection for a period not exceeding </w:t>
      </w:r>
      <w:r>
        <w:t xml:space="preserve">30 days after the day on which the orders are made, </w:t>
      </w:r>
      <w:r>
        <w:rPr>
          <w:snapToGrid w:val="0"/>
        </w:rPr>
        <w:t>if it is satisfied that it is desirable to do so having regard to the relative hardship that would be caused — </w:t>
      </w:r>
    </w:p>
    <w:p>
      <w:pPr>
        <w:pStyle w:val="Indenti"/>
        <w:rPr>
          <w:snapToGrid w:val="0"/>
        </w:rPr>
      </w:pPr>
      <w:r>
        <w:rPr>
          <w:snapToGrid w:val="0"/>
        </w:rPr>
        <w:tab/>
        <w:t>(i)</w:t>
      </w:r>
      <w:r>
        <w:rPr>
          <w:snapToGrid w:val="0"/>
        </w:rPr>
        <w:tab/>
        <w:t>to the lessor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lessor was wholly or partly motivated to give the notice by the fact that the tenant had complained to a public authority or taken steps to secure or enforce his rights as a tenant; or</w:t>
      </w:r>
    </w:p>
    <w:p>
      <w:pPr>
        <w:pStyle w:val="Indenti"/>
        <w:rPr>
          <w:snapToGrid w:val="0"/>
        </w:rPr>
      </w:pPr>
      <w:r>
        <w:rPr>
          <w:snapToGrid w:val="0"/>
        </w:rPr>
        <w:tab/>
        <w:t>(ii)</w:t>
      </w:r>
      <w:r>
        <w:rPr>
          <w:snapToGrid w:val="0"/>
        </w:rPr>
        <w:tab/>
        <w:t>in the case of notice given by the lessor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lessor upon the ground referred to in section 69, that the consequences of the lessor continuing to be bound by the agreement would not be unduly burdensome to the lessor.</w:t>
      </w:r>
    </w:p>
    <w:p>
      <w:pPr>
        <w:pStyle w:val="Subsection"/>
        <w:rPr>
          <w:snapToGrid w:val="0"/>
        </w:rPr>
      </w:pPr>
      <w:r>
        <w:rPr>
          <w:snapToGrid w:val="0"/>
        </w:rPr>
        <w:tab/>
        <w:t>(4)</w:t>
      </w:r>
      <w:r>
        <w:rPr>
          <w:snapToGrid w:val="0"/>
        </w:rPr>
        <w:tab/>
        <w:t xml:space="preserve">Where in any proceedings upon an application under this section the court is satisfied that the tenant had, within the period of 6 months before notice was given by the lessor, complained to a public authority or taken steps to secure or enforce </w:t>
      </w:r>
      <w:r>
        <w:t>the tenant’s</w:t>
      </w:r>
      <w:r>
        <w:rPr>
          <w:snapToGrid w:val="0"/>
        </w:rPr>
        <w:t xml:space="preserve"> rights as a tenant, the burden shall lie on the lessor to prove that </w:t>
      </w:r>
      <w:r>
        <w:t>the lessor</w:t>
      </w:r>
      <w:r>
        <w:rPr>
          <w:snapToGrid w:val="0"/>
        </w:rPr>
        <w:t xml:space="preserve"> was not wholly or partly motivated to give notice by that fact.</w:t>
      </w:r>
    </w:p>
    <w:p>
      <w:pPr>
        <w:pStyle w:val="Subsection"/>
        <w:rPr>
          <w:snapToGrid w:val="0"/>
        </w:rPr>
      </w:pPr>
      <w:r>
        <w:rPr>
          <w:snapToGrid w:val="0"/>
        </w:rPr>
        <w:tab/>
        <w:t>(5)</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71 amended: No. 50 of 1988 s. 18; No. 59 of 1995 s. 51; No. 59 of 2004 s. 120; No. 20 of 2005 s. 23; No. 60 of 2011 s. 70, 88, 89 and 93.] </w:t>
      </w:r>
    </w:p>
    <w:p>
      <w:pPr>
        <w:pStyle w:val="Heading5"/>
        <w:rPr>
          <w:snapToGrid w:val="0"/>
        </w:rPr>
      </w:pPr>
      <w:bookmarkStart w:id="793" w:name="_Toc5719371"/>
      <w:bookmarkStart w:id="794" w:name="_Toc2160953"/>
      <w:r>
        <w:rPr>
          <w:rStyle w:val="CharSectno"/>
        </w:rPr>
        <w:t>72</w:t>
      </w:r>
      <w:r>
        <w:rPr>
          <w:snapToGrid w:val="0"/>
        </w:rPr>
        <w:t>.</w:t>
      </w:r>
      <w:r>
        <w:rPr>
          <w:snapToGrid w:val="0"/>
        </w:rPr>
        <w:tab/>
        <w:t>Application for termination and order for possession in relation to fixed term agreements</w:t>
      </w:r>
      <w:bookmarkEnd w:id="793"/>
      <w:bookmarkEnd w:id="794"/>
      <w:r>
        <w:rPr>
          <w:snapToGrid w:val="0"/>
        </w:rPr>
        <w:t xml:space="preserve"> </w:t>
      </w:r>
    </w:p>
    <w:p>
      <w:pPr>
        <w:pStyle w:val="Subsection"/>
      </w:pPr>
      <w:r>
        <w:tab/>
        <w:t>(1A)</w:t>
      </w:r>
      <w:r>
        <w:tab/>
        <w:t xml:space="preserve">In this section — </w:t>
      </w:r>
    </w:p>
    <w:p>
      <w:pPr>
        <w:pStyle w:val="Defstart"/>
      </w:pPr>
      <w:r>
        <w:tab/>
      </w:r>
      <w:r>
        <w:rPr>
          <w:rStyle w:val="CharDefText"/>
        </w:rPr>
        <w:t>agreement</w:t>
      </w:r>
      <w:r>
        <w:t xml:space="preserve"> has the meaning given in section 70A(1);</w:t>
      </w:r>
    </w:p>
    <w:p>
      <w:pPr>
        <w:pStyle w:val="Defstart"/>
      </w:pPr>
      <w:r>
        <w:tab/>
      </w:r>
      <w:r>
        <w:rPr>
          <w:rStyle w:val="CharDefText"/>
        </w:rPr>
        <w:t>possession day</w:t>
      </w:r>
      <w:r>
        <w:t xml:space="preserve"> has the meaning given in section 70A(1).</w:t>
      </w:r>
    </w:p>
    <w:p>
      <w:pPr>
        <w:pStyle w:val="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 xml:space="preserve">Notwithstanding subsection (2), except where the premises the subject of the agreement are the principal place of residence of </w:t>
      </w:r>
      <w:r>
        <w:t>the lessor</w:t>
      </w:r>
      <w:r>
        <w:rPr>
          <w:snapToGrid w:val="0"/>
        </w:rPr>
        <w:t>,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 xml:space="preserve">to </w:t>
      </w:r>
      <w:r>
        <w:t>the lessor</w:t>
      </w:r>
      <w:r>
        <w:rPr>
          <w:snapToGrid w:val="0"/>
        </w:rPr>
        <w:t xml:space="preserve">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spacing w:before="60"/>
        <w:rPr>
          <w:snapToGrid w:val="0"/>
        </w:rPr>
      </w:pPr>
      <w:r>
        <w:rPr>
          <w:snapToGrid w:val="0"/>
        </w:rPr>
        <w:tab/>
        <w:t>(i)</w:t>
      </w:r>
      <w:r>
        <w:rPr>
          <w:snapToGrid w:val="0"/>
        </w:rPr>
        <w:tab/>
        <w:t xml:space="preserve">that </w:t>
      </w:r>
      <w:r>
        <w:t>the lessor</w:t>
      </w:r>
      <w:r>
        <w:rPr>
          <w:snapToGrid w:val="0"/>
        </w:rPr>
        <w:t xml:space="preserve"> genuinely proposed, at the time that </w:t>
      </w:r>
      <w:r>
        <w:t>the lessor</w:t>
      </w:r>
      <w:r>
        <w:rPr>
          <w:snapToGrid w:val="0"/>
        </w:rPr>
        <w:t xml:space="preserve"> entered into the agreement, to use the premises after the expiration of the term for purposes inconsistent with the tenant continuing to occupy the premises; or</w:t>
      </w:r>
    </w:p>
    <w:p>
      <w:pPr>
        <w:pStyle w:val="Indenti"/>
        <w:spacing w:before="60"/>
        <w:rPr>
          <w:snapToGrid w:val="0"/>
        </w:rPr>
      </w:pPr>
      <w:r>
        <w:rPr>
          <w:snapToGrid w:val="0"/>
        </w:rPr>
        <w:tab/>
        <w:t>(ii)</w:t>
      </w:r>
      <w:r>
        <w:rPr>
          <w:snapToGrid w:val="0"/>
        </w:rPr>
        <w:tab/>
        <w:t xml:space="preserve">that the tenant of </w:t>
      </w:r>
      <w:r>
        <w:t>the tenant’s</w:t>
      </w:r>
      <w:r>
        <w:rPr>
          <w:snapToGrid w:val="0"/>
        </w:rPr>
        <w:t xml:space="preserve"> own initiative sought a tenancy of a term of less than 90 days.</w:t>
      </w:r>
    </w:p>
    <w:p>
      <w:pPr>
        <w:pStyle w:val="Subsection"/>
        <w:spacing w:before="140"/>
        <w:rPr>
          <w:snapToGrid w:val="0"/>
        </w:rPr>
      </w:pPr>
      <w:r>
        <w:rPr>
          <w:snapToGrid w:val="0"/>
        </w:rPr>
        <w:tab/>
        <w:t>(4)</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keepNext/>
        <w:spacing w:before="140"/>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spacing w:before="80"/>
      </w:pPr>
      <w:r>
        <w:tab/>
        <w:t>[Section 72 amended: No. 50 of 1988 s. 18; No. 59 of 2004 s. 120 and 121; No. 20 of 2005 s. 23; No. 60 of 2011 s. 71, 88 and 89.]</w:t>
      </w:r>
    </w:p>
    <w:p>
      <w:pPr>
        <w:pStyle w:val="Heading5"/>
        <w:spacing w:before="200"/>
      </w:pPr>
      <w:bookmarkStart w:id="795" w:name="_Toc5719372"/>
      <w:bookmarkStart w:id="796" w:name="_Toc2160954"/>
      <w:r>
        <w:rPr>
          <w:rStyle w:val="CharSectno"/>
        </w:rPr>
        <w:t>73A</w:t>
      </w:r>
      <w:r>
        <w:t>.</w:t>
      </w:r>
      <w:r>
        <w:tab/>
        <w:t>Notice of termination not required in certain cases</w:t>
      </w:r>
      <w:bookmarkEnd w:id="795"/>
      <w:bookmarkEnd w:id="796"/>
    </w:p>
    <w:p>
      <w:pPr>
        <w:pStyle w:val="Subsection"/>
        <w:spacing w:before="140"/>
      </w:pPr>
      <w:r>
        <w:tab/>
      </w:r>
      <w:r>
        <w:tab/>
        <w:t>An application under section 73, 74, 75A or 75 may be made whether or not notice of termination has been given.</w:t>
      </w:r>
    </w:p>
    <w:p>
      <w:pPr>
        <w:pStyle w:val="Footnotesection"/>
        <w:spacing w:before="80"/>
      </w:pPr>
      <w:r>
        <w:tab/>
        <w:t>[Section 73A inserted: No. 60 of 2011 s. 94.]</w:t>
      </w:r>
    </w:p>
    <w:p>
      <w:pPr>
        <w:pStyle w:val="Heading5"/>
        <w:spacing w:before="200"/>
        <w:rPr>
          <w:snapToGrid w:val="0"/>
        </w:rPr>
      </w:pPr>
      <w:bookmarkStart w:id="797" w:name="_Toc5719373"/>
      <w:bookmarkStart w:id="798" w:name="_Toc2160955"/>
      <w:r>
        <w:rPr>
          <w:rStyle w:val="CharSectno"/>
        </w:rPr>
        <w:t>73</w:t>
      </w:r>
      <w:r>
        <w:rPr>
          <w:snapToGrid w:val="0"/>
        </w:rPr>
        <w:t>.</w:t>
      </w:r>
      <w:r>
        <w:rPr>
          <w:snapToGrid w:val="0"/>
        </w:rPr>
        <w:tab/>
        <w:t>Termination of agreement where tenant causing serious damage or injury</w:t>
      </w:r>
      <w:bookmarkEnd w:id="797"/>
      <w:bookmarkEnd w:id="798"/>
      <w:r>
        <w:rPr>
          <w:snapToGrid w:val="0"/>
        </w:rPr>
        <w:t xml:space="preserve"> </w:t>
      </w:r>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w:t>
      </w:r>
      <w:r>
        <w:rPr>
          <w:snapToGrid w:val="0"/>
        </w:rPr>
        <w:t xml:space="preserve"> under </w:t>
      </w:r>
      <w:r>
        <w:t>a residential tenancy agreement</w:t>
      </w:r>
      <w:r>
        <w:rPr>
          <w:snapToGrid w:val="0"/>
        </w:rPr>
        <w:t xml:space="preserve">, terminate the agreement if it is satisfied that the tenant has intentionally or recklessly caused or permitted, or is likely intentionally or recklessly to cause or permit, serious damage to the premises or injury to </w:t>
      </w:r>
      <w:r>
        <w:t>the lessor or the property manager of the premises</w:t>
      </w:r>
      <w:r>
        <w:rPr>
          <w:snapToGrid w:val="0"/>
        </w:rPr>
        <w:t xml:space="preserve"> or any person in occupation of or permitted on adjacent premises.</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of immediate effect.</w:t>
      </w:r>
    </w:p>
    <w:p>
      <w:pPr>
        <w:pStyle w:val="Footnotesection"/>
        <w:spacing w:before="100"/>
      </w:pPr>
      <w:r>
        <w:tab/>
        <w:t xml:space="preserve">[Section 73 amended: No. 50 of 1988 s. 18; No. 59 of 2004 s. 120; No. 60 of 2011 s. 72, 88 and 89.] </w:t>
      </w:r>
    </w:p>
    <w:p>
      <w:pPr>
        <w:pStyle w:val="Heading5"/>
        <w:rPr>
          <w:snapToGrid w:val="0"/>
        </w:rPr>
      </w:pPr>
      <w:bookmarkStart w:id="799" w:name="_Toc5719374"/>
      <w:bookmarkStart w:id="800" w:name="_Toc2160956"/>
      <w:r>
        <w:rPr>
          <w:rStyle w:val="CharSectno"/>
        </w:rPr>
        <w:t>74</w:t>
      </w:r>
      <w:r>
        <w:rPr>
          <w:snapToGrid w:val="0"/>
        </w:rPr>
        <w:t>.</w:t>
      </w:r>
      <w:r>
        <w:rPr>
          <w:snapToGrid w:val="0"/>
        </w:rPr>
        <w:tab/>
        <w:t>Termination of agreement where lessor or tenant would otherwise suffer undue hardship</w:t>
      </w:r>
      <w:bookmarkEnd w:id="799"/>
      <w:bookmarkEnd w:id="800"/>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 or tenant</w:t>
      </w:r>
      <w:r>
        <w:rPr>
          <w:snapToGrid w:val="0"/>
        </w:rPr>
        <w:t xml:space="preserve"> under </w:t>
      </w:r>
      <w:r>
        <w:t>a residential tenancy agreement</w:t>
      </w:r>
      <w:r>
        <w:rPr>
          <w:snapToGrid w:val="0"/>
        </w:rPr>
        <w:t xml:space="preserve">, terminate the agreement, if it is satisfied that </w:t>
      </w:r>
      <w:r>
        <w:t>the lessor or tenant</w:t>
      </w:r>
      <w:r>
        <w:rPr>
          <w:snapToGrid w:val="0"/>
        </w:rPr>
        <w:t xml:space="preserve"> would, in the circumstances of the case, suffer undue hardship if </w:t>
      </w:r>
      <w:r>
        <w:t>the lessor or tenant</w:t>
      </w:r>
      <w:r>
        <w:rPr>
          <w:snapToGrid w:val="0"/>
        </w:rPr>
        <w:t xml:space="preserve"> were required to terminate the agreement under any other provision of this Act.</w:t>
      </w:r>
    </w:p>
    <w:p>
      <w:pPr>
        <w:pStyle w:val="Subsection"/>
        <w:spacing w:before="140"/>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 xml:space="preserve">may make such other orders as to compensation of the tenant </w:t>
      </w:r>
      <w:r>
        <w:t>or lessor</w:t>
      </w:r>
      <w:r>
        <w:rPr>
          <w:snapToGrid w:val="0"/>
        </w:rPr>
        <w:t xml:space="preserve"> for any loss caused thereby or as to any other matter that it considers is, in the circumstances of the case, appropriate.</w:t>
      </w:r>
    </w:p>
    <w:p>
      <w:pPr>
        <w:pStyle w:val="Footnotesection"/>
        <w:spacing w:before="100"/>
      </w:pPr>
      <w:r>
        <w:tab/>
        <w:t xml:space="preserve">[Section 74 amended: No. 50 of 1988 s. 18; No. 59 of 2004 s. 120 and 121; No. 60 of 2011 s. 73 and 88.] </w:t>
      </w:r>
    </w:p>
    <w:p>
      <w:pPr>
        <w:pStyle w:val="Heading5"/>
      </w:pPr>
      <w:bookmarkStart w:id="801" w:name="_Toc5719375"/>
      <w:bookmarkStart w:id="802" w:name="_Toc2160957"/>
      <w:r>
        <w:rPr>
          <w:rStyle w:val="CharSectno"/>
        </w:rPr>
        <w:t>75A</w:t>
      </w:r>
      <w:r>
        <w:t>.</w:t>
      </w:r>
      <w:r>
        <w:tab/>
        <w:t>Termination of social housing tenancy agreement due to objectionable behaviour</w:t>
      </w:r>
      <w:bookmarkEnd w:id="801"/>
      <w:bookmarkEnd w:id="802"/>
    </w:p>
    <w:p>
      <w:pPr>
        <w:pStyle w:val="Subsection"/>
        <w:spacing w:before="140"/>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pPr>
        <w:pStyle w:val="Indenta"/>
        <w:spacing w:before="60"/>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pPr>
        <w:pStyle w:val="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pPr>
        <w:pStyle w:val="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pPr>
        <w:pStyle w:val="Subsection"/>
      </w:pPr>
      <w:r>
        <w:tab/>
      </w:r>
      <w:r>
        <w:tab/>
        <w:t>and that the behaviour justifies terminating the agreement.</w:t>
      </w:r>
    </w:p>
    <w:p>
      <w:pPr>
        <w:pStyle w:val="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pPr>
        <w:pStyle w:val="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pPr>
        <w:pStyle w:val="Subsection"/>
      </w:pPr>
      <w:r>
        <w:tab/>
        <w:t>(4)</w:t>
      </w:r>
      <w:r>
        <w:tab/>
        <w:t>Subsection (3) does not limit the issues to which the court may have regard.</w:t>
      </w:r>
    </w:p>
    <w:p>
      <w:pPr>
        <w:pStyle w:val="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pPr>
        <w:pStyle w:val="Subsection"/>
      </w:pPr>
      <w:r>
        <w:tab/>
        <w:t>(6)</w:t>
      </w:r>
      <w:r>
        <w:tab/>
        <w:t>For the purposes of section 16(1), an order made by the court under subsection (2) is to be taken to have been made under section 15(2).</w:t>
      </w:r>
    </w:p>
    <w:p>
      <w:pPr>
        <w:pStyle w:val="Footnotesection"/>
      </w:pPr>
      <w:r>
        <w:tab/>
        <w:t>[Section 75A inserted: No. 60 of 2011 s. 95.]</w:t>
      </w:r>
    </w:p>
    <w:p>
      <w:pPr>
        <w:pStyle w:val="Heading5"/>
        <w:spacing w:before="200"/>
        <w:rPr>
          <w:snapToGrid w:val="0"/>
        </w:rPr>
      </w:pPr>
      <w:bookmarkStart w:id="803" w:name="_Toc5719376"/>
      <w:bookmarkStart w:id="804" w:name="_Toc2160958"/>
      <w:r>
        <w:rPr>
          <w:rStyle w:val="CharSectno"/>
        </w:rPr>
        <w:t>75</w:t>
      </w:r>
      <w:r>
        <w:rPr>
          <w:snapToGrid w:val="0"/>
        </w:rPr>
        <w:t>.</w:t>
      </w:r>
      <w:r>
        <w:rPr>
          <w:snapToGrid w:val="0"/>
        </w:rPr>
        <w:tab/>
        <w:t>Termination of agreement for breach by lessor</w:t>
      </w:r>
      <w:bookmarkEnd w:id="803"/>
      <w:bookmarkEnd w:id="804"/>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w:t>
      </w:r>
      <w:r>
        <w:t>a residential tenancy agreement</w:t>
      </w:r>
      <w:r>
        <w:rPr>
          <w:snapToGrid w:val="0"/>
        </w:rPr>
        <w:t xml:space="preserve">, terminate the agreement, if it is satisfied that </w:t>
      </w:r>
      <w:r>
        <w:t>the lessor</w:t>
      </w:r>
      <w:r>
        <w:rPr>
          <w:snapToGrid w:val="0"/>
        </w:rPr>
        <w:t xml:space="preserve"> has breached the agreement and the breach is in the circumstances of the case such as to justify termination of the agreement.</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and shall specify a day as from which the orders shall operate.</w:t>
      </w:r>
    </w:p>
    <w:p>
      <w:pPr>
        <w:pStyle w:val="Footnotesection"/>
      </w:pPr>
      <w:r>
        <w:tab/>
        <w:t xml:space="preserve">[Section 75 amended: No. 50 of 1988 s. 18; No. 59 of 2004 s. 120; No. 60 of 2011 s. 88 and 89.] </w:t>
      </w:r>
    </w:p>
    <w:p>
      <w:pPr>
        <w:pStyle w:val="Heading5"/>
      </w:pPr>
      <w:bookmarkStart w:id="805" w:name="_Toc5719377"/>
      <w:bookmarkStart w:id="806" w:name="_Toc2160959"/>
      <w:r>
        <w:rPr>
          <w:rStyle w:val="CharSectno"/>
        </w:rPr>
        <w:t>76A</w:t>
      </w:r>
      <w:r>
        <w:t>.</w:t>
      </w:r>
      <w:r>
        <w:tab/>
        <w:t>Termination of agreement by lessor if premises abandoned</w:t>
      </w:r>
      <w:bookmarkEnd w:id="805"/>
      <w:bookmarkEnd w:id="806"/>
    </w:p>
    <w:p>
      <w:pPr>
        <w:pStyle w:val="Subsection"/>
      </w:pPr>
      <w:r>
        <w:tab/>
        <w:t>(1)</w:t>
      </w:r>
      <w:r>
        <w:tab/>
        <w:t>If a lessor suspects on reasonable grounds that a tenant has abandoned the residential premises, the lessor may give a written notice to the tenant terminating the agreement.</w:t>
      </w:r>
    </w:p>
    <w:p>
      <w:pPr>
        <w:pStyle w:val="Subsection"/>
      </w:pPr>
      <w:r>
        <w:tab/>
        <w:t>(2)</w:t>
      </w:r>
      <w:r>
        <w:tab/>
        <w:t>The notice must be in a form approved by the Minister and must —</w:t>
      </w:r>
    </w:p>
    <w:p>
      <w:pPr>
        <w:pStyle w:val="Indenta"/>
      </w:pPr>
      <w:r>
        <w:tab/>
        <w:t>(a)</w:t>
      </w:r>
      <w:r>
        <w:tab/>
        <w:t>be signed by or for the lessor or property manager; and</w:t>
      </w:r>
    </w:p>
    <w:p>
      <w:pPr>
        <w:pStyle w:val="Indenta"/>
      </w:pPr>
      <w:r>
        <w:tab/>
        <w:t>(b)</w:t>
      </w:r>
      <w:r>
        <w:tab/>
        <w:t>identify the residential premises; and</w:t>
      </w:r>
    </w:p>
    <w:p>
      <w:pPr>
        <w:pStyle w:val="Indenta"/>
      </w:pPr>
      <w:r>
        <w:tab/>
        <w:t>(c)</w:t>
      </w:r>
      <w:r>
        <w:tab/>
        <w:t>state the lessor is terminating the agreement because the tenant has abandoned the premises.</w:t>
      </w:r>
    </w:p>
    <w:p>
      <w:pPr>
        <w:pStyle w:val="Subsection"/>
      </w:pPr>
      <w:r>
        <w:tab/>
        <w:t>(3)</w:t>
      </w:r>
      <w:r>
        <w:tab/>
        <w:t>If the tenant does not take action under section 76B to dispute the notice within 7 days after being given the notice, the tenant is to be taken to have abandoned the premises.</w:t>
      </w:r>
    </w:p>
    <w:p>
      <w:pPr>
        <w:pStyle w:val="Footnotesection"/>
      </w:pPr>
      <w:r>
        <w:tab/>
        <w:t>[Section 76A inserted: No. 60 of 2011 s. 74.]</w:t>
      </w:r>
    </w:p>
    <w:p>
      <w:pPr>
        <w:pStyle w:val="Heading5"/>
      </w:pPr>
      <w:bookmarkStart w:id="807" w:name="_Toc5719378"/>
      <w:bookmarkStart w:id="808" w:name="_Toc2160960"/>
      <w:r>
        <w:rPr>
          <w:rStyle w:val="CharSectno"/>
        </w:rPr>
        <w:t>76B</w:t>
      </w:r>
      <w:r>
        <w:t>.</w:t>
      </w:r>
      <w:r>
        <w:tab/>
        <w:t>Dispute about s. 76A notice</w:t>
      </w:r>
      <w:bookmarkEnd w:id="807"/>
      <w:bookmarkEnd w:id="808"/>
    </w:p>
    <w:p>
      <w:pPr>
        <w:pStyle w:val="Subsection"/>
      </w:pPr>
      <w:r>
        <w:tab/>
        <w:t>(1)</w:t>
      </w:r>
      <w:r>
        <w:tab/>
        <w:t>If the tenant wishes to dispute a notice given under section 76A, the tenant may apply to a competent court for an order —</w:t>
      </w:r>
    </w:p>
    <w:p>
      <w:pPr>
        <w:pStyle w:val="Indenta"/>
      </w:pPr>
      <w:r>
        <w:tab/>
        <w:t>(a)</w:t>
      </w:r>
      <w:r>
        <w:tab/>
        <w:t>setting aside the notice; or</w:t>
      </w:r>
    </w:p>
    <w:p>
      <w:pPr>
        <w:pStyle w:val="Indenta"/>
      </w:pPr>
      <w:r>
        <w:tab/>
        <w:t>(b)</w:t>
      </w:r>
      <w:r>
        <w:tab/>
        <w:t>for compensation.</w:t>
      </w:r>
    </w:p>
    <w:p>
      <w:pPr>
        <w:pStyle w:val="Subsection"/>
      </w:pPr>
      <w:r>
        <w:tab/>
        <w:t>(2)</w:t>
      </w:r>
      <w:r>
        <w:tab/>
        <w:t>The application must be made within 28 days after the notice is given.</w:t>
      </w:r>
    </w:p>
    <w:p>
      <w:pPr>
        <w:pStyle w:val="Subsection"/>
      </w:pPr>
      <w:r>
        <w:tab/>
        <w:t>(3)</w:t>
      </w:r>
      <w:r>
        <w:tab/>
        <w:t>On an application under this section, the court may —</w:t>
      </w:r>
    </w:p>
    <w:p>
      <w:pPr>
        <w:pStyle w:val="Indenta"/>
        <w:spacing w:before="60"/>
      </w:pPr>
      <w:r>
        <w:tab/>
        <w:t>(a)</w:t>
      </w:r>
      <w:r>
        <w:tab/>
        <w:t>if the application was made within 7 days after the notice was given — make an order setting aside the notice; or</w:t>
      </w:r>
    </w:p>
    <w:p>
      <w:pPr>
        <w:pStyle w:val="Indenta"/>
        <w:spacing w:before="60"/>
      </w:pPr>
      <w:r>
        <w:tab/>
        <w:t>(b)</w:t>
      </w:r>
      <w:r>
        <w:tab/>
        <w:t>if paragraph (a) does not apply — make any of the following orders —</w:t>
      </w:r>
    </w:p>
    <w:p>
      <w:pPr>
        <w:pStyle w:val="Indenti"/>
        <w:spacing w:before="60"/>
      </w:pPr>
      <w:r>
        <w:tab/>
        <w:t>(i)</w:t>
      </w:r>
      <w:r>
        <w:tab/>
        <w:t>an order terminating the agreement;</w:t>
      </w:r>
    </w:p>
    <w:p>
      <w:pPr>
        <w:pStyle w:val="Indenti"/>
        <w:spacing w:before="60"/>
      </w:pPr>
      <w:r>
        <w:tab/>
        <w:t>(ii)</w:t>
      </w:r>
      <w:r>
        <w:tab/>
        <w:t>an order requiring the lessor to pay to the tenant the amount stated by the court as compensation for loss or expense incurred by the tenant because of the termination of the agreement;</w:t>
      </w:r>
    </w:p>
    <w:p>
      <w:pPr>
        <w:pStyle w:val="Indenti"/>
        <w:spacing w:before="60"/>
      </w:pPr>
      <w:r>
        <w:tab/>
        <w:t>(iii)</w:t>
      </w:r>
      <w:r>
        <w:tab/>
        <w:t>any other order it considers appropriate.</w:t>
      </w:r>
    </w:p>
    <w:p>
      <w:pPr>
        <w:pStyle w:val="Footnotesection"/>
        <w:spacing w:before="80"/>
      </w:pPr>
      <w:r>
        <w:tab/>
        <w:t>[Section 76B inserted: No. 60 of 2011 s. 74.]</w:t>
      </w:r>
    </w:p>
    <w:p>
      <w:pPr>
        <w:pStyle w:val="Heading3"/>
      </w:pPr>
      <w:bookmarkStart w:id="809" w:name="_Toc2153403"/>
      <w:bookmarkStart w:id="810" w:name="_Toc2160237"/>
      <w:bookmarkStart w:id="811" w:name="_Toc2160961"/>
      <w:bookmarkStart w:id="812" w:name="_Toc5621584"/>
      <w:bookmarkStart w:id="813" w:name="_Toc5633000"/>
      <w:bookmarkStart w:id="814" w:name="_Toc5719379"/>
      <w:r>
        <w:rPr>
          <w:rStyle w:val="CharDivNo"/>
        </w:rPr>
        <w:t>Division 5</w:t>
      </w:r>
      <w:r>
        <w:t> — </w:t>
      </w:r>
      <w:r>
        <w:rPr>
          <w:rStyle w:val="CharDivText"/>
        </w:rPr>
        <w:t>General</w:t>
      </w:r>
      <w:bookmarkEnd w:id="809"/>
      <w:bookmarkEnd w:id="810"/>
      <w:bookmarkEnd w:id="811"/>
      <w:bookmarkEnd w:id="812"/>
      <w:bookmarkEnd w:id="813"/>
      <w:bookmarkEnd w:id="814"/>
    </w:p>
    <w:p>
      <w:pPr>
        <w:pStyle w:val="Footnoteheading"/>
        <w:spacing w:before="80"/>
      </w:pPr>
      <w:r>
        <w:tab/>
        <w:t>[Heading inserted: No. 60 of 2011 s. 74.]</w:t>
      </w:r>
    </w:p>
    <w:p>
      <w:pPr>
        <w:pStyle w:val="Heading5"/>
      </w:pPr>
      <w:bookmarkStart w:id="815" w:name="_Toc5719380"/>
      <w:bookmarkStart w:id="816" w:name="_Toc2160962"/>
      <w:r>
        <w:rPr>
          <w:rStyle w:val="CharSectno"/>
        </w:rPr>
        <w:t>76C</w:t>
      </w:r>
      <w:r>
        <w:t>.</w:t>
      </w:r>
      <w:r>
        <w:tab/>
        <w:t>Fixed term tenancies continued as periodic tenancies</w:t>
      </w:r>
      <w:bookmarkEnd w:id="815"/>
      <w:bookmarkEnd w:id="816"/>
    </w:p>
    <w:p>
      <w:pPr>
        <w:pStyle w:val="Subsection"/>
        <w:spacing w:before="140"/>
      </w:pPr>
      <w:r>
        <w:tab/>
        <w:t>(1)</w:t>
      </w:r>
      <w:r>
        <w:tab/>
        <w:t>This section applies to a residential tenancy agreement that creates a tenancy for a fixed term unless the agreement is terminated before the expiry day.</w:t>
      </w:r>
    </w:p>
    <w:p>
      <w:pPr>
        <w:pStyle w:val="Subsection"/>
        <w:spacing w:before="140"/>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pPr>
        <w:pStyle w:val="Subsection"/>
        <w:spacing w:before="140"/>
      </w:pPr>
      <w:r>
        <w:tab/>
        <w:t>(3)</w:t>
      </w:r>
      <w:r>
        <w:tab/>
        <w:t>A competent court may, upon application by the lessor or tenant, make such modification to the terms of the residential tenancy agreement as may be necessary for, or appropriate to, its continuance.</w:t>
      </w:r>
    </w:p>
    <w:p>
      <w:pPr>
        <w:pStyle w:val="Footnotesection"/>
        <w:spacing w:before="80"/>
      </w:pPr>
      <w:r>
        <w:tab/>
        <w:t>[Section 76C inserted: No. 60 of 2011 s. 74.]</w:t>
      </w:r>
    </w:p>
    <w:p>
      <w:pPr>
        <w:pStyle w:val="Heading5"/>
        <w:keepLines w:val="0"/>
        <w:rPr>
          <w:snapToGrid w:val="0"/>
        </w:rPr>
      </w:pPr>
      <w:bookmarkStart w:id="817" w:name="_Toc5719381"/>
      <w:bookmarkStart w:id="818" w:name="_Toc2160963"/>
      <w:r>
        <w:rPr>
          <w:rStyle w:val="CharSectno"/>
        </w:rPr>
        <w:t>76</w:t>
      </w:r>
      <w:r>
        <w:rPr>
          <w:snapToGrid w:val="0"/>
        </w:rPr>
        <w:t>.</w:t>
      </w:r>
      <w:r>
        <w:rPr>
          <w:snapToGrid w:val="0"/>
        </w:rPr>
        <w:tab/>
        <w:t>Compensation to lessor for holding over</w:t>
      </w:r>
      <w:bookmarkEnd w:id="817"/>
      <w:bookmarkEnd w:id="818"/>
    </w:p>
    <w:p>
      <w:pPr>
        <w:pStyle w:val="Subsection"/>
        <w:spacing w:before="140"/>
        <w:rPr>
          <w:snapToGrid w:val="0"/>
        </w:rPr>
      </w:pPr>
      <w:r>
        <w:rPr>
          <w:snapToGrid w:val="0"/>
        </w:rPr>
        <w:tab/>
        <w:t>(1)</w:t>
      </w:r>
      <w:r>
        <w:rPr>
          <w:snapToGrid w:val="0"/>
        </w:rPr>
        <w:tab/>
        <w:t xml:space="preserve">Where a tenant fails to comply with an order for possession made by a court under this Part, </w:t>
      </w:r>
      <w:r>
        <w:t>the lessor</w:t>
      </w:r>
      <w:r>
        <w:rPr>
          <w:snapToGrid w:val="0"/>
        </w:rPr>
        <w:t xml:space="preserve"> shall be entitled to compensation for any loss caused by that failure.</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order the tenant to pay to the lessor any compensation to which the lessor is entitled under this section.</w:t>
      </w:r>
    </w:p>
    <w:p>
      <w:pPr>
        <w:pStyle w:val="Footnotesection"/>
      </w:pPr>
      <w:r>
        <w:tab/>
        <w:t xml:space="preserve">[Section 76 amended: No. 50 of 1988 s. 18; No. 59 of 2004 s. 120(1) and (3); No. 60 of 2011 s. 89.] </w:t>
      </w:r>
    </w:p>
    <w:p>
      <w:pPr>
        <w:pStyle w:val="Heading5"/>
      </w:pPr>
      <w:bookmarkStart w:id="819" w:name="_Toc5719382"/>
      <w:bookmarkStart w:id="820" w:name="_Toc2160964"/>
      <w:r>
        <w:rPr>
          <w:rStyle w:val="CharSectno"/>
        </w:rPr>
        <w:t>77</w:t>
      </w:r>
      <w:r>
        <w:t>.</w:t>
      </w:r>
      <w:r>
        <w:tab/>
        <w:t>Abandonment of premises</w:t>
      </w:r>
      <w:bookmarkEnd w:id="819"/>
      <w:bookmarkEnd w:id="820"/>
    </w:p>
    <w:p>
      <w:pPr>
        <w:pStyle w:val="Subsection"/>
      </w:pPr>
      <w:r>
        <w:tab/>
        <w:t>(1)</w:t>
      </w:r>
      <w:r>
        <w:tab/>
        <w:t xml:space="preserve">If the lessor suspects on reasonable grounds that the tenant has abandoned the residential premises, the lessor may give to the tenant a written notice stating that — </w:t>
      </w:r>
    </w:p>
    <w:p>
      <w:pPr>
        <w:pStyle w:val="Indenta"/>
      </w:pPr>
      <w:r>
        <w:tab/>
        <w:t>(a)</w:t>
      </w:r>
      <w:r>
        <w:tab/>
        <w:t>the lessor suspects that the tenant has abandoned the premises; and</w:t>
      </w:r>
    </w:p>
    <w:p>
      <w:pPr>
        <w:pStyle w:val="Indenta"/>
      </w:pPr>
      <w:r>
        <w:tab/>
        <w:t>(b)</w:t>
      </w:r>
      <w:r>
        <w:tab/>
        <w:t xml:space="preserve">unless the tenant informs the lessor within 24 hours after the giving of the notice that the tenant has not abandoned the premises, the lessor — </w:t>
      </w:r>
    </w:p>
    <w:p>
      <w:pPr>
        <w:pStyle w:val="Indenti"/>
      </w:pPr>
      <w:r>
        <w:tab/>
        <w:t>(i)</w:t>
      </w:r>
      <w:r>
        <w:tab/>
        <w:t>will enter the premises for the purpose of inspecting and securing them; and</w:t>
      </w:r>
    </w:p>
    <w:p>
      <w:pPr>
        <w:pStyle w:val="Indenti"/>
      </w:pPr>
      <w:r>
        <w:tab/>
        <w:t>(ii)</w:t>
      </w:r>
      <w:r>
        <w:tab/>
        <w:t>may give to the tenant a notice under section 76A or apply to a competent court for an order under section 78A.</w:t>
      </w:r>
    </w:p>
    <w:p>
      <w:pPr>
        <w:pStyle w:val="Subsection"/>
      </w:pPr>
      <w:r>
        <w:tab/>
        <w:t>(2)</w:t>
      </w:r>
      <w:r>
        <w:tab/>
        <w:t>The notice under subsection (1) must be in a form approved by the Minister.</w:t>
      </w:r>
    </w:p>
    <w:p>
      <w:pPr>
        <w:pStyle w:val="Subsection"/>
      </w:pPr>
      <w:r>
        <w:tab/>
        <w:t>(3)</w:t>
      </w:r>
      <w:r>
        <w:tab/>
        <w:t xml:space="preserve">The lessor must give the notice to the tenant by — </w:t>
      </w:r>
    </w:p>
    <w:p>
      <w:pPr>
        <w:pStyle w:val="Indenta"/>
      </w:pPr>
      <w:r>
        <w:tab/>
        <w:t>(a)</w:t>
      </w:r>
      <w:r>
        <w:tab/>
        <w:t>leaving a copy at the premises; and</w:t>
      </w:r>
    </w:p>
    <w:p>
      <w:pPr>
        <w:pStyle w:val="Indenta"/>
      </w:pPr>
      <w:r>
        <w:tab/>
        <w:t>(b)</w:t>
      </w:r>
      <w:r>
        <w:tab/>
        <w:t>leaving a copy at the tenant’s last known place of employment.</w:t>
      </w:r>
    </w:p>
    <w:p>
      <w:pPr>
        <w:pStyle w:val="Subsection"/>
      </w:pPr>
      <w:r>
        <w:tab/>
        <w:t>(4)</w:t>
      </w:r>
      <w:r>
        <w:tab/>
        <w:t>If the tenant fails to notify the lessor within 24 hours after notice has been given under subsection (3) that the premises have not been abandoned, the lessor may enter the premises for the purposes of inspecting and securing them.</w:t>
      </w:r>
    </w:p>
    <w:p>
      <w:pPr>
        <w:pStyle w:val="Footnotesection"/>
      </w:pPr>
      <w:r>
        <w:tab/>
        <w:t>[Section 77 inserted: No. 60 of 2011 s. 75.]</w:t>
      </w:r>
    </w:p>
    <w:p>
      <w:pPr>
        <w:pStyle w:val="Heading5"/>
      </w:pPr>
      <w:bookmarkStart w:id="821" w:name="_Toc5719383"/>
      <w:bookmarkStart w:id="822" w:name="_Toc2160965"/>
      <w:r>
        <w:rPr>
          <w:rStyle w:val="CharSectno"/>
        </w:rPr>
        <w:t>78A</w:t>
      </w:r>
      <w:r>
        <w:t>.</w:t>
      </w:r>
      <w:r>
        <w:tab/>
        <w:t>Order about abandonment</w:t>
      </w:r>
      <w:bookmarkEnd w:id="821"/>
      <w:bookmarkEnd w:id="822"/>
    </w:p>
    <w:p>
      <w:pPr>
        <w:pStyle w:val="Subsection"/>
        <w:spacing w:before="130"/>
      </w:pPr>
      <w:r>
        <w:tab/>
        <w:t>(1)</w:t>
      </w:r>
      <w:r>
        <w:tab/>
        <w:t>If a lessor suspects on reasonable grounds that the tenant has abandoned the residential premises, the lessor may apply to a competent court for an order under this section.</w:t>
      </w:r>
    </w:p>
    <w:p>
      <w:pPr>
        <w:pStyle w:val="Subsection"/>
        <w:spacing w:before="130"/>
      </w:pPr>
      <w:r>
        <w:tab/>
        <w:t>(2)</w:t>
      </w:r>
      <w:r>
        <w:tab/>
        <w:t>The lessor may make the application instead of giving a notice under section 76A to the tenant.</w:t>
      </w:r>
    </w:p>
    <w:p>
      <w:pPr>
        <w:pStyle w:val="Subsection"/>
        <w:spacing w:before="130"/>
      </w:pPr>
      <w:r>
        <w:tab/>
        <w:t>(3)</w:t>
      </w:r>
      <w:r>
        <w:tab/>
        <w:t>If an application is made, the court may make an order declaring that the premises were abandoned by the tenant on the day stated in the order.</w:t>
      </w:r>
    </w:p>
    <w:p>
      <w:pPr>
        <w:pStyle w:val="Subsection"/>
        <w:keepNext/>
        <w:spacing w:before="130"/>
      </w:pPr>
      <w:r>
        <w:tab/>
        <w:t>(4)</w:t>
      </w:r>
      <w:r>
        <w:tab/>
        <w:t>If the court makes an order under subsection (3), the tenant is taken to have abandoned the premises on the day stated in the order.</w:t>
      </w:r>
    </w:p>
    <w:p>
      <w:pPr>
        <w:pStyle w:val="Footnotesection"/>
        <w:spacing w:before="100"/>
      </w:pPr>
      <w:r>
        <w:tab/>
        <w:t>[Section 78A inserted: No. 60 of 2011 s. 75.]</w:t>
      </w:r>
    </w:p>
    <w:p>
      <w:pPr>
        <w:pStyle w:val="Heading5"/>
      </w:pPr>
      <w:bookmarkStart w:id="823" w:name="_Toc5719384"/>
      <w:bookmarkStart w:id="824" w:name="_Toc2160966"/>
      <w:r>
        <w:rPr>
          <w:rStyle w:val="CharSectno"/>
        </w:rPr>
        <w:t>78B</w:t>
      </w:r>
      <w:r>
        <w:t>.</w:t>
      </w:r>
      <w:r>
        <w:tab/>
        <w:t>Review of abandonment order</w:t>
      </w:r>
      <w:bookmarkEnd w:id="823"/>
      <w:bookmarkEnd w:id="824"/>
    </w:p>
    <w:p>
      <w:pPr>
        <w:pStyle w:val="Subsection"/>
        <w:spacing w:before="130"/>
      </w:pPr>
      <w:r>
        <w:tab/>
        <w:t>(1)</w:t>
      </w:r>
      <w:r>
        <w:tab/>
        <w:t>The tenant under a residential tenancy agreement who is dissatisfied with a decision of a court under section 78A(3) declaring that the tenant abandoned the premises on a stated day may apply to the court for a review of the decision.</w:t>
      </w:r>
    </w:p>
    <w:p>
      <w:pPr>
        <w:pStyle w:val="Subsection"/>
        <w:spacing w:before="130"/>
      </w:pPr>
      <w:r>
        <w:tab/>
        <w:t>(2)</w:t>
      </w:r>
      <w:r>
        <w:tab/>
        <w:t>The application must be made within 28 days after the decision is made.</w:t>
      </w:r>
    </w:p>
    <w:p>
      <w:pPr>
        <w:pStyle w:val="Subsection"/>
        <w:spacing w:before="130"/>
      </w:pPr>
      <w:r>
        <w:tab/>
        <w:t>(3)</w:t>
      </w:r>
      <w:r>
        <w:tab/>
        <w:t>The review is to be by way of a rehearing.</w:t>
      </w:r>
    </w:p>
    <w:p>
      <w:pPr>
        <w:pStyle w:val="Subsection"/>
        <w:spacing w:before="130"/>
      </w:pPr>
      <w:r>
        <w:tab/>
        <w:t>(4)</w:t>
      </w:r>
      <w:r>
        <w:tab/>
        <w:t>The court —</w:t>
      </w:r>
    </w:p>
    <w:p>
      <w:pPr>
        <w:pStyle w:val="Indenta"/>
      </w:pPr>
      <w:r>
        <w:tab/>
        <w:t>(a)</w:t>
      </w:r>
      <w:r>
        <w:tab/>
        <w:t>must exercise its original jurisdiction for the review; and</w:t>
      </w:r>
    </w:p>
    <w:p>
      <w:pPr>
        <w:pStyle w:val="Indenta"/>
      </w:pPr>
      <w:r>
        <w:tab/>
        <w:t>(b)</w:t>
      </w:r>
      <w:r>
        <w:tab/>
        <w:t>may make an order under this section if it is satisfied the applicant did not abandon the premises or only abandoned the premises on a day after the day stated.</w:t>
      </w:r>
    </w:p>
    <w:p>
      <w:pPr>
        <w:pStyle w:val="Subsection"/>
        <w:spacing w:before="130"/>
      </w:pPr>
      <w:r>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pPr>
        <w:pStyle w:val="Footnotesection"/>
        <w:spacing w:before="100"/>
      </w:pPr>
      <w:r>
        <w:tab/>
        <w:t>[Section 78B inserted: No. 60 of 2011 s. 75.]</w:t>
      </w:r>
    </w:p>
    <w:p>
      <w:pPr>
        <w:pStyle w:val="Heading5"/>
        <w:rPr>
          <w:snapToGrid w:val="0"/>
        </w:rPr>
      </w:pPr>
      <w:bookmarkStart w:id="825" w:name="_Toc5719385"/>
      <w:bookmarkStart w:id="826" w:name="_Toc2160967"/>
      <w:r>
        <w:rPr>
          <w:rStyle w:val="CharSectno"/>
        </w:rPr>
        <w:t>78</w:t>
      </w:r>
      <w:r>
        <w:rPr>
          <w:snapToGrid w:val="0"/>
        </w:rPr>
        <w:t>.</w:t>
      </w:r>
      <w:r>
        <w:rPr>
          <w:snapToGrid w:val="0"/>
        </w:rPr>
        <w:tab/>
      </w:r>
      <w:r>
        <w:rPr>
          <w:bCs/>
        </w:rPr>
        <w:t>Right of lessor to compensation where tenant abandons premises</w:t>
      </w:r>
      <w:bookmarkEnd w:id="825"/>
      <w:bookmarkEnd w:id="826"/>
    </w:p>
    <w:p>
      <w:pPr>
        <w:pStyle w:val="Subsection"/>
        <w:spacing w:before="140"/>
        <w:rPr>
          <w:snapToGrid w:val="0"/>
        </w:rPr>
      </w:pPr>
      <w:r>
        <w:rPr>
          <w:snapToGrid w:val="0"/>
        </w:rPr>
        <w:tab/>
        <w:t>(1)</w:t>
      </w:r>
      <w:r>
        <w:rPr>
          <w:snapToGrid w:val="0"/>
        </w:rPr>
        <w:tab/>
        <w:t xml:space="preserve">Where a tenant under </w:t>
      </w:r>
      <w:r>
        <w:t>a residential tenancy agreement</w:t>
      </w:r>
      <w:r>
        <w:rPr>
          <w:snapToGrid w:val="0"/>
        </w:rPr>
        <w:t xml:space="preserve"> abandons the premises, </w:t>
      </w:r>
      <w:r>
        <w:t>the lessor</w:t>
      </w:r>
      <w:r>
        <w:rPr>
          <w:snapToGrid w:val="0"/>
        </w:rPr>
        <w:t xml:space="preserve">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spacing w:before="140"/>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xml:space="preserve">, order the tenant to pay to the lessor any compensation to which </w:t>
      </w:r>
      <w:r>
        <w:t>the lessor</w:t>
      </w:r>
      <w:r>
        <w:rPr>
          <w:snapToGrid w:val="0"/>
        </w:rPr>
        <w:t xml:space="preserve"> is entitled under this section.</w:t>
      </w:r>
    </w:p>
    <w:p>
      <w:pPr>
        <w:pStyle w:val="Footnotesection"/>
        <w:spacing w:before="100"/>
      </w:pPr>
      <w:r>
        <w:tab/>
        <w:t xml:space="preserve">[Section 78 amended: No. 50 of 1988 s. 18; No. 59 of 2004 s. 120(1); No. 60 of 2011 s. 88 and 89.] </w:t>
      </w:r>
    </w:p>
    <w:p>
      <w:pPr>
        <w:pStyle w:val="Heading5"/>
        <w:spacing w:before="200"/>
        <w:rPr>
          <w:snapToGrid w:val="0"/>
        </w:rPr>
      </w:pPr>
      <w:bookmarkStart w:id="827" w:name="_Toc5719386"/>
      <w:bookmarkStart w:id="828" w:name="_Toc2160968"/>
      <w:r>
        <w:rPr>
          <w:rStyle w:val="CharSectno"/>
        </w:rPr>
        <w:t>79</w:t>
      </w:r>
      <w:r>
        <w:rPr>
          <w:snapToGrid w:val="0"/>
        </w:rPr>
        <w:t>.</w:t>
      </w:r>
      <w:r>
        <w:rPr>
          <w:snapToGrid w:val="0"/>
        </w:rPr>
        <w:tab/>
        <w:t>Abandoned goods</w:t>
      </w:r>
      <w:bookmarkEnd w:id="827"/>
      <w:bookmarkEnd w:id="828"/>
      <w:r>
        <w:rPr>
          <w:snapToGrid w:val="0"/>
        </w:rPr>
        <w:t xml:space="preserve"> </w:t>
      </w:r>
    </w:p>
    <w:p>
      <w:pPr>
        <w:pStyle w:val="Subsection"/>
        <w:spacing w:before="140"/>
      </w:pPr>
      <w:r>
        <w:tab/>
        <w:t>(1A)</w:t>
      </w:r>
      <w:r>
        <w:tab/>
        <w:t xml:space="preserve">In this section — </w:t>
      </w:r>
    </w:p>
    <w:p>
      <w:pPr>
        <w:pStyle w:val="Defstart"/>
        <w:spacing w:before="60"/>
      </w:pPr>
      <w:r>
        <w:tab/>
      </w:r>
      <w:r>
        <w:rPr>
          <w:rStyle w:val="CharDefText"/>
        </w:rPr>
        <w:t>goods</w:t>
      </w:r>
      <w:r>
        <w:t xml:space="preserve"> does not include a tenant’s document as defined in section 80A.</w:t>
      </w:r>
    </w:p>
    <w:p>
      <w:pPr>
        <w:pStyle w:val="Subsection"/>
        <w:spacing w:before="140"/>
        <w:rPr>
          <w:snapToGrid w:val="0"/>
        </w:rPr>
      </w:pPr>
      <w:r>
        <w:rPr>
          <w:snapToGrid w:val="0"/>
        </w:rPr>
        <w:tab/>
        <w:t>(1)</w:t>
      </w:r>
      <w:r>
        <w:rPr>
          <w:snapToGrid w:val="0"/>
        </w:rPr>
        <w:tab/>
        <w:t xml:space="preserve">Where </w:t>
      </w:r>
      <w:r>
        <w:t>a residential tenancy agreement</w:t>
      </w:r>
      <w:r>
        <w:rPr>
          <w:snapToGrid w:val="0"/>
        </w:rPr>
        <w:t xml:space="preserve"> is terminated and goods are left on the premises that were subject to the agreement, </w:t>
      </w:r>
      <w:r>
        <w:t>the lessor</w:t>
      </w:r>
      <w:r>
        <w:rPr>
          <w:snapToGrid w:val="0"/>
        </w:rPr>
        <w:t xml:space="preserve"> may, after the expiration of 2 days from the termination of the agreement, remove and destroy or dispose of the goods if — </w:t>
      </w:r>
    </w:p>
    <w:p>
      <w:pPr>
        <w:pStyle w:val="Indenta"/>
        <w:spacing w:before="60"/>
        <w:rPr>
          <w:snapToGrid w:val="0"/>
        </w:rPr>
      </w:pPr>
      <w:r>
        <w:rPr>
          <w:snapToGrid w:val="0"/>
        </w:rPr>
        <w:tab/>
        <w:t>(a)</w:t>
      </w:r>
      <w:r>
        <w:rPr>
          <w:snapToGrid w:val="0"/>
        </w:rPr>
        <w:tab/>
        <w:t>the goods are perishable foodstuffs; or</w:t>
      </w:r>
    </w:p>
    <w:p>
      <w:pPr>
        <w:pStyle w:val="Indenta"/>
        <w:spacing w:before="60"/>
        <w:rPr>
          <w:snapToGrid w:val="0"/>
        </w:rPr>
      </w:pPr>
      <w:r>
        <w:rPr>
          <w:snapToGrid w:val="0"/>
        </w:rPr>
        <w:tab/>
        <w:t>(b)</w:t>
      </w:r>
      <w:r>
        <w:rPr>
          <w:snapToGrid w:val="0"/>
        </w:rPr>
        <w:tab/>
        <w:t>the estimated value of the goods is less than the total estimated cost of the removal, storage and sale of the goods.</w:t>
      </w:r>
    </w:p>
    <w:p>
      <w:pPr>
        <w:pStyle w:val="Subsection"/>
        <w:spacing w:before="140"/>
        <w:rPr>
          <w:snapToGrid w:val="0"/>
        </w:rPr>
      </w:pPr>
      <w:r>
        <w:rPr>
          <w:snapToGrid w:val="0"/>
        </w:rPr>
        <w:tab/>
        <w:t>(2)</w:t>
      </w:r>
      <w:r>
        <w:rPr>
          <w:snapToGrid w:val="0"/>
        </w:rPr>
        <w:tab/>
        <w:t xml:space="preserve">Where </w:t>
      </w:r>
      <w:r>
        <w:t>a residential tenancy agreement</w:t>
      </w:r>
      <w:r>
        <w:rPr>
          <w:snapToGrid w:val="0"/>
        </w:rPr>
        <w:t xml:space="preserve"> is terminated and goods are left on the premises that were subject to the agreement and have not been removed for destruction or disposal under subsection (1), </w:t>
      </w:r>
      <w:r>
        <w:t>the lessor</w:t>
      </w:r>
      <w:r>
        <w:rPr>
          <w:snapToGrid w:val="0"/>
        </w:rPr>
        <w:t xml:space="preserve"> shall store them in a safe place and manner for a period of not less than </w:t>
      </w:r>
      <w:r>
        <w:t>60 days after the day on which the agreement is terminated.</w:t>
      </w:r>
    </w:p>
    <w:p>
      <w:pPr>
        <w:pStyle w:val="Penstart"/>
      </w:pPr>
      <w:r>
        <w:tab/>
        <w:t>Penalty for this subsection: a fine of $5 000.</w:t>
      </w:r>
    </w:p>
    <w:p>
      <w:pPr>
        <w:pStyle w:val="Subsection"/>
      </w:pPr>
      <w:r>
        <w:tab/>
        <w:t>(3)</w:t>
      </w:r>
      <w:r>
        <w:tab/>
        <w:t xml:space="preserve">A lessor who stores goods under subsection (2) must cause notice in or to the effect of the form approved by the Commissioner for the purposes of this subsection — </w:t>
      </w:r>
    </w:p>
    <w:p>
      <w:pPr>
        <w:pStyle w:val="Indenta"/>
      </w:pPr>
      <w:r>
        <w:tab/>
        <w:t>(a)</w:t>
      </w:r>
      <w:r>
        <w:tab/>
        <w:t>to be given to the tenant within 7 days after the day on which the goods were stored; or</w:t>
      </w:r>
    </w:p>
    <w:p>
      <w:pPr>
        <w:pStyle w:val="Indenta"/>
        <w:keepNext/>
      </w:pPr>
      <w:r>
        <w:tab/>
        <w:t>(b)</w:t>
      </w:r>
      <w:r>
        <w:tab/>
        <w:t xml:space="preserve">to be — </w:t>
      </w:r>
    </w:p>
    <w:p>
      <w:pPr>
        <w:pStyle w:val="Indenti"/>
      </w:pPr>
      <w:r>
        <w:tab/>
        <w:t>(i)</w:t>
      </w:r>
      <w:r>
        <w:tab/>
        <w:t>made publicly available in any manner prescribed for the purposes of this paragraph, including (without limitation) by means of a website within 7 days after the day on which the goods were stored; and</w:t>
      </w:r>
    </w:p>
    <w:p>
      <w:pPr>
        <w:pStyle w:val="Indenti"/>
      </w:pPr>
      <w:r>
        <w:tab/>
        <w:t>(ii)</w:t>
      </w:r>
      <w:r>
        <w:tab/>
        <w:t>posted in a prominent position on the premises that were subject to the former agreement within 9 days after the day on which the goods were stored.</w:t>
      </w:r>
    </w:p>
    <w:p>
      <w:pPr>
        <w:pStyle w:val="Penstart"/>
      </w:pPr>
      <w:r>
        <w:tab/>
        <w:t>Penalty for this subsection: a fine of $5 000.</w:t>
      </w:r>
    </w:p>
    <w:p>
      <w:pPr>
        <w:pStyle w:val="Subsection"/>
        <w:rPr>
          <w:snapToGrid w:val="0"/>
        </w:rPr>
      </w:pPr>
      <w:r>
        <w:rPr>
          <w:snapToGrid w:val="0"/>
        </w:rPr>
        <w:tab/>
        <w:t>(4)</w:t>
      </w:r>
      <w:r>
        <w:rPr>
          <w:snapToGrid w:val="0"/>
        </w:rPr>
        <w:tab/>
        <w:t xml:space="preserve">At the request of </w:t>
      </w:r>
      <w:r>
        <w:t>a lessor</w:t>
      </w:r>
      <w:r>
        <w:rPr>
          <w:snapToGrid w:val="0"/>
        </w:rPr>
        <w:t xml:space="preserve">, the Commissioner may state in writing whether or not in </w:t>
      </w:r>
      <w:r>
        <w:t>the Commissioner’s</w:t>
      </w:r>
      <w:r>
        <w:rPr>
          <w:snapToGrid w:val="0"/>
        </w:rPr>
        <w:t xml:space="preserve"> opinion there are reasonable grounds for believing that subsection (1) applies in respect of particular goods.</w:t>
      </w:r>
    </w:p>
    <w:p>
      <w:pPr>
        <w:pStyle w:val="Subsection"/>
        <w:rPr>
          <w:snapToGrid w:val="0"/>
        </w:rPr>
      </w:pPr>
      <w:r>
        <w:rPr>
          <w:snapToGrid w:val="0"/>
        </w:rPr>
        <w:tab/>
        <w:t>(5)</w:t>
      </w:r>
      <w:r>
        <w:rPr>
          <w:snapToGrid w:val="0"/>
        </w:rPr>
        <w:tab/>
        <w:t xml:space="preserve">Where </w:t>
      </w:r>
      <w:r>
        <w:t>a lessor</w:t>
      </w:r>
      <w:r>
        <w:rPr>
          <w:snapToGrid w:val="0"/>
        </w:rPr>
        <w:t xml:space="preserve"> has been found liable to the owner of goods in respect of the removal, destruction or disposal of the goods, being goods that were left on premises that were subject to a former agreement, and it is proved that </w:t>
      </w:r>
      <w:r>
        <w:t>the lessor</w:t>
      </w:r>
      <w:r>
        <w:rPr>
          <w:snapToGrid w:val="0"/>
        </w:rPr>
        <w:t xml:space="preserve"> removed and destroyed or disposed of the goods in reliance upon a statement of the Commissioner under subsection (4), </w:t>
      </w:r>
      <w:r>
        <w:t>the lessor</w:t>
      </w:r>
      <w:r>
        <w:rPr>
          <w:snapToGrid w:val="0"/>
        </w:rPr>
        <w:t xml:space="preserve"> shall be entitled to be paid from moneys standing to the credit of the Rental Accommodation Account, in accordance with clause 3(3)(a) of Schedule 1, an amount equal to the amount in respect of which </w:t>
      </w:r>
      <w:r>
        <w:t>the lessor</w:t>
      </w:r>
      <w:r>
        <w:rPr>
          <w:snapToGrid w:val="0"/>
        </w:rPr>
        <w:t xml:space="preserv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r>
      <w:r>
        <w:t>a residential tenancy agreement</w:t>
      </w:r>
      <w:r>
        <w:rPr>
          <w:snapToGrid w:val="0"/>
        </w:rPr>
        <w:t xml:space="preserve"> has been terminated; and</w:t>
      </w:r>
    </w:p>
    <w:p>
      <w:pPr>
        <w:pStyle w:val="Indenta"/>
        <w:rPr>
          <w:snapToGrid w:val="0"/>
        </w:rPr>
      </w:pPr>
      <w:r>
        <w:rPr>
          <w:snapToGrid w:val="0"/>
        </w:rPr>
        <w:tab/>
        <w:t>(b)</w:t>
      </w:r>
      <w:r>
        <w:rPr>
          <w:snapToGrid w:val="0"/>
        </w:rPr>
        <w:tab/>
        <w:t>goods have been left on the premises that were subject to the agreement; and</w:t>
      </w:r>
    </w:p>
    <w:p>
      <w:pPr>
        <w:pStyle w:val="Indenta"/>
        <w:rPr>
          <w:snapToGrid w:val="0"/>
        </w:rPr>
      </w:pPr>
      <w:r>
        <w:rPr>
          <w:snapToGrid w:val="0"/>
        </w:rPr>
        <w:tab/>
        <w:t>(c)</w:t>
      </w:r>
      <w:r>
        <w:rPr>
          <w:snapToGrid w:val="0"/>
        </w:rPr>
        <w:tab/>
        <w:t xml:space="preserve">at the request of </w:t>
      </w:r>
      <w:r>
        <w:t>the lessor</w:t>
      </w:r>
      <w:r>
        <w:rPr>
          <w:snapToGrid w:val="0"/>
        </w:rPr>
        <w:t xml:space="preserve">, the Commissioner has made a statement in writing that in </w:t>
      </w:r>
      <w:r>
        <w:t>the Commissioner’s</w:t>
      </w:r>
      <w:r>
        <w:rPr>
          <w:snapToGrid w:val="0"/>
        </w:rPr>
        <w:t xml:space="preserve">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w:t>
      </w:r>
      <w:r>
        <w:t>the lessor</w:t>
      </w:r>
      <w:r>
        <w:rPr>
          <w:snapToGrid w:val="0"/>
        </w:rPr>
        <w:t xml:space="preserve"> make an order for the payment to </w:t>
      </w:r>
      <w:r>
        <w:t>the lessor</w:t>
      </w:r>
      <w:r>
        <w:rPr>
          <w:snapToGrid w:val="0"/>
        </w:rPr>
        <w:t xml:space="preserve">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 xml:space="preserve">A person who has a lawful right to goods removed and stored under subsection (2) may at any time before the goods are sold under subsection (8) reclaim the goods upon paying to </w:t>
      </w:r>
      <w:r>
        <w:t>the lessor</w:t>
      </w:r>
      <w:r>
        <w:rPr>
          <w:snapToGrid w:val="0"/>
        </w:rPr>
        <w:t xml:space="preserve"> the reasonable costs of the removal and storage of the goods.</w:t>
      </w:r>
    </w:p>
    <w:p>
      <w:pPr>
        <w:pStyle w:val="Subsection"/>
        <w:rPr>
          <w:snapToGrid w:val="0"/>
        </w:rPr>
      </w:pPr>
      <w:r>
        <w:rPr>
          <w:snapToGrid w:val="0"/>
        </w:rPr>
        <w:tab/>
        <w:t>(8)</w:t>
      </w:r>
      <w:r>
        <w:rPr>
          <w:snapToGrid w:val="0"/>
        </w:rPr>
        <w:tab/>
        <w:t xml:space="preserve">Where goods are stored under subsection (2) and have not been reclaimed within 60 days after the day on which they were removed and stored, </w:t>
      </w:r>
      <w:r>
        <w:t>the lessor</w:t>
      </w:r>
      <w:r>
        <w:rPr>
          <w:snapToGrid w:val="0"/>
        </w:rPr>
        <w:t xml:space="preserve"> shall as soon as practicable after the expiration of that period cause them to be sold by public auction.</w:t>
      </w:r>
    </w:p>
    <w:p>
      <w:pPr>
        <w:pStyle w:val="Subsection"/>
        <w:rPr>
          <w:snapToGrid w:val="0"/>
        </w:rPr>
      </w:pPr>
      <w:r>
        <w:rPr>
          <w:snapToGrid w:val="0"/>
        </w:rPr>
        <w:tab/>
        <w:t>(9)</w:t>
      </w:r>
      <w:r>
        <w:rPr>
          <w:snapToGrid w:val="0"/>
        </w:rPr>
        <w:tab/>
        <w:t xml:space="preserve">If goods are stored, removed and sold by public auction under this section, </w:t>
      </w:r>
      <w:r>
        <w:t>the lessor</w:t>
      </w:r>
      <w:r>
        <w:rPr>
          <w:snapToGrid w:val="0"/>
        </w:rPr>
        <w:t xml:space="preserve">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w:t>
      </w:r>
      <w:r>
        <w:t>a lessor</w:t>
      </w:r>
      <w:r>
        <w:rPr>
          <w:snapToGrid w:val="0"/>
        </w:rPr>
        <w:t xml:space="preserve">, </w:t>
      </w:r>
      <w:r>
        <w:t>the lessor</w:t>
      </w:r>
      <w:r>
        <w:rPr>
          <w:snapToGrid w:val="0"/>
        </w:rPr>
        <w:t xml:space="preserve"> may, upon application containing the prescribed information, pay into court an amount that a </w:t>
      </w:r>
      <w:r>
        <w:t>competent court</w:t>
      </w:r>
      <w:r>
        <w:rPr>
          <w:snapToGrid w:val="0"/>
        </w:rPr>
        <w:t xml:space="preserve"> is satisfied represents the balance of the proceeds of the sale after deduction of any amount to which </w:t>
      </w:r>
      <w:r>
        <w:t>the lessor</w:t>
      </w:r>
      <w:r>
        <w:rPr>
          <w:snapToGrid w:val="0"/>
        </w:rPr>
        <w:t xml:space="preserve"> is entitled under subsection (9) and any amount that </w:t>
      </w:r>
      <w:r>
        <w:t>the lessor</w:t>
      </w:r>
      <w:r>
        <w:rPr>
          <w:snapToGrid w:val="0"/>
        </w:rPr>
        <w:t xml:space="preserve"> is owed under the former agreement, and, where such payment is made, the receipt of the court for the moneys paid shall be sufficient discharge to </w:t>
      </w:r>
      <w:r>
        <w:t>the lessor</w:t>
      </w:r>
      <w:r>
        <w:rPr>
          <w:snapToGrid w:val="0"/>
        </w:rPr>
        <w:t xml:space="preserve"> of </w:t>
      </w:r>
      <w:r>
        <w:t>the lessor’s</w:t>
      </w:r>
      <w:r>
        <w:rPr>
          <w:snapToGrid w:val="0"/>
        </w:rPr>
        <w:t xml:space="preserve">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w:t>
      </w:r>
      <w:r>
        <w:t>the person.</w:t>
      </w:r>
    </w:p>
    <w:p>
      <w:pPr>
        <w:pStyle w:val="Subsection"/>
        <w:rPr>
          <w:snapToGrid w:val="0"/>
        </w:rPr>
      </w:pPr>
      <w:r>
        <w:rPr>
          <w:snapToGrid w:val="0"/>
        </w:rPr>
        <w:tab/>
        <w:t>(13)</w:t>
      </w:r>
      <w:r>
        <w:rPr>
          <w:snapToGrid w:val="0"/>
        </w:rPr>
        <w:tab/>
        <w:t xml:space="preserve">Where goods are sold by public auction under this section, the purchaser shall, unless </w:t>
      </w:r>
      <w:r>
        <w:t>the purchaser</w:t>
      </w:r>
      <w:r>
        <w:rPr>
          <w:snapToGrid w:val="0"/>
        </w:rPr>
        <w:t xml:space="preserve"> has actual notice of any interest in the goods of any person other than the tenant, acquire a good title to the goods in defeasance of any such interest.</w:t>
      </w:r>
    </w:p>
    <w:p>
      <w:pPr>
        <w:pStyle w:val="Subsection"/>
        <w:rPr>
          <w:snapToGrid w:val="0"/>
        </w:rPr>
      </w:pPr>
      <w:r>
        <w:rPr>
          <w:snapToGrid w:val="0"/>
        </w:rPr>
        <w:tab/>
        <w:t>(14)</w:t>
      </w:r>
      <w:r>
        <w:rPr>
          <w:snapToGrid w:val="0"/>
        </w:rPr>
        <w:tab/>
        <w:t>A lessor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 xml:space="preserve">in respect of the removal, storage or sale under this section of goods to which subsection (1) does not apply, except liability for intentional or negligent damage to the goods or where </w:t>
      </w:r>
      <w:r>
        <w:t>the lessor</w:t>
      </w:r>
      <w:r>
        <w:rPr>
          <w:snapToGrid w:val="0"/>
        </w:rPr>
        <w:t xml:space="preserve"> has actual notice of any interest in the goods of any person other than the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w:t>
      </w:r>
      <w:r>
        <w:t>a lessor</w:t>
      </w:r>
      <w:r>
        <w:rPr>
          <w:snapToGrid w:val="0"/>
        </w:rPr>
        <w:t xml:space="preserve"> and a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Footnotesection"/>
      </w:pPr>
      <w:r>
        <w:tab/>
        <w:t xml:space="preserve">[Section 79 amended: No. 50 of 1988 s. 14 and 18; No. 59 of 1995 s. 56; No. 59 of 2004 s. 120 and 121; No. 77 of 2006 Sch. 1 cl. 149(1) and (5); No. 60 of 2011 s. 76, 88 and 89; No. 42 of 2016 s. 5.] </w:t>
      </w:r>
    </w:p>
    <w:p>
      <w:pPr>
        <w:pStyle w:val="Heading5"/>
      </w:pPr>
      <w:bookmarkStart w:id="829" w:name="_Toc5719387"/>
      <w:bookmarkStart w:id="830" w:name="_Toc2160969"/>
      <w:r>
        <w:rPr>
          <w:rStyle w:val="CharSectno"/>
        </w:rPr>
        <w:t>80A</w:t>
      </w:r>
      <w:r>
        <w:t>.</w:t>
      </w:r>
      <w:r>
        <w:tab/>
        <w:t>Abandoned documents</w:t>
      </w:r>
      <w:bookmarkEnd w:id="829"/>
      <w:bookmarkEnd w:id="830"/>
    </w:p>
    <w:p>
      <w:pPr>
        <w:pStyle w:val="Subsection"/>
      </w:pPr>
      <w:r>
        <w:tab/>
        <w:t>(1)</w:t>
      </w:r>
      <w:r>
        <w:tab/>
        <w:t xml:space="preserve">In this section — </w:t>
      </w:r>
    </w:p>
    <w:p>
      <w:pPr>
        <w:pStyle w:val="Defstart"/>
      </w:pPr>
      <w:r>
        <w:tab/>
      </w:r>
      <w:r>
        <w:rPr>
          <w:rStyle w:val="CharDefText"/>
        </w:rPr>
        <w:t>tenant’s document</w:t>
      </w:r>
      <w:r>
        <w:t xml:space="preserve"> means —</w:t>
      </w:r>
    </w:p>
    <w:p>
      <w:pPr>
        <w:pStyle w:val="Defpara"/>
      </w:pPr>
      <w:r>
        <w:tab/>
        <w:t>(a)</w:t>
      </w:r>
      <w:r>
        <w:tab/>
        <w:t>an official document; or</w:t>
      </w:r>
    </w:p>
    <w:p>
      <w:pPr>
        <w:pStyle w:val="Defpara"/>
      </w:pPr>
      <w:r>
        <w:tab/>
        <w:t>(b)</w:t>
      </w:r>
      <w:r>
        <w:tab/>
        <w:t>a photograph; or</w:t>
      </w:r>
    </w:p>
    <w:p>
      <w:pPr>
        <w:pStyle w:val="Defpara"/>
      </w:pPr>
      <w:r>
        <w:tab/>
        <w:t>(c)</w:t>
      </w:r>
      <w:r>
        <w:tab/>
        <w:t>correspondence; or</w:t>
      </w:r>
    </w:p>
    <w:p>
      <w:pPr>
        <w:pStyle w:val="Defpara"/>
      </w:pPr>
      <w:r>
        <w:tab/>
        <w:t>(d)</w:t>
      </w:r>
      <w:r>
        <w:tab/>
        <w:t>any other document which it would be reasonable to expect that a person would want to keep.</w:t>
      </w:r>
    </w:p>
    <w:p>
      <w:pPr>
        <w:pStyle w:val="Subsection"/>
      </w:pPr>
      <w:r>
        <w:tab/>
        <w:t>(2)</w:t>
      </w:r>
      <w:r>
        <w:tab/>
        <w:t>This section applies if —</w:t>
      </w:r>
    </w:p>
    <w:p>
      <w:pPr>
        <w:pStyle w:val="Indenta"/>
      </w:pPr>
      <w:r>
        <w:tab/>
        <w:t>(a)</w:t>
      </w:r>
      <w:r>
        <w:tab/>
        <w:t>a residential tenancy agreement is terminated; and</w:t>
      </w:r>
    </w:p>
    <w:p>
      <w:pPr>
        <w:pStyle w:val="Indenta"/>
      </w:pPr>
      <w:r>
        <w:tab/>
        <w:t>(b)</w:t>
      </w:r>
      <w:r>
        <w:tab/>
        <w:t>a tenant’s document is left on premises the subject of the agreement.</w:t>
      </w:r>
    </w:p>
    <w:p>
      <w:pPr>
        <w:pStyle w:val="Subsection"/>
      </w:pPr>
      <w:r>
        <w:tab/>
        <w:t>(3)</w:t>
      </w:r>
      <w:r>
        <w:tab/>
        <w:t>The lessor must take reasonable care of the tenant’s document for a period of 60 days after the termination of the agreement.</w:t>
      </w:r>
    </w:p>
    <w:p>
      <w:pPr>
        <w:pStyle w:val="Penstart"/>
      </w:pPr>
      <w:r>
        <w:tab/>
        <w:t>Penalty</w:t>
      </w:r>
      <w:ins w:id="831" w:author="svcMRProcess" w:date="2019-04-15T16:46:00Z">
        <w:r>
          <w:t xml:space="preserve"> for this subsection</w:t>
        </w:r>
      </w:ins>
      <w:r>
        <w:t>: a fine of $5 000.</w:t>
      </w:r>
    </w:p>
    <w:p>
      <w:pPr>
        <w:pStyle w:val="Subsection"/>
      </w:pPr>
      <w:r>
        <w:tab/>
        <w:t>(4)</w:t>
      </w:r>
      <w:r>
        <w:tab/>
        <w:t xml:space="preserve">The lessor must, during the period of 60 days after the termination of the agreement, take reasonable steps to notify the tenant — </w:t>
      </w:r>
    </w:p>
    <w:p>
      <w:pPr>
        <w:pStyle w:val="Indenta"/>
      </w:pPr>
      <w:r>
        <w:tab/>
        <w:t>(a)</w:t>
      </w:r>
      <w:r>
        <w:tab/>
        <w:t>that the document was left at the premises; and</w:t>
      </w:r>
    </w:p>
    <w:p>
      <w:pPr>
        <w:pStyle w:val="Indenta"/>
      </w:pPr>
      <w:r>
        <w:tab/>
        <w:t>(b)</w:t>
      </w:r>
      <w:r>
        <w:tab/>
        <w:t>as to when and from where the document may be collected.</w:t>
      </w:r>
    </w:p>
    <w:p>
      <w:pPr>
        <w:pStyle w:val="Penstart"/>
      </w:pPr>
      <w:r>
        <w:tab/>
        <w:t>Penalty</w:t>
      </w:r>
      <w:ins w:id="832" w:author="svcMRProcess" w:date="2019-04-15T16:46:00Z">
        <w:r>
          <w:t xml:space="preserve"> for this subsection</w:t>
        </w:r>
      </w:ins>
      <w:r>
        <w:t>: a fine of $5 000.</w:t>
      </w:r>
    </w:p>
    <w:p>
      <w:pPr>
        <w:pStyle w:val="Subsection"/>
      </w:pPr>
      <w:r>
        <w:tab/>
        <w:t>(5)</w:t>
      </w:r>
      <w:r>
        <w:tab/>
        <w:t xml:space="preserve">A person who has a lawful right to the document may reclaim it at any time before it is disposed of in accordance with subsection (7) if the person pays the lessor the reasonable costs, if any, incurred by the lessor in discharging </w:t>
      </w:r>
      <w:r>
        <w:rPr>
          <w:snapToGrid w:val="0"/>
        </w:rPr>
        <w:t>the duties imposed on the lessor under this section in relation to that document</w:t>
      </w:r>
      <w:r>
        <w:t>.</w:t>
      </w:r>
    </w:p>
    <w:p>
      <w:pPr>
        <w:pStyle w:val="Subsection"/>
      </w:pPr>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p>
    <w:p>
      <w:pPr>
        <w:pStyle w:val="Penstart"/>
      </w:pPr>
      <w:r>
        <w:tab/>
        <w:t>Penalty</w:t>
      </w:r>
      <w:ins w:id="833" w:author="svcMRProcess" w:date="2019-04-15T16:46:00Z">
        <w:r>
          <w:t xml:space="preserve"> for this subsection</w:t>
        </w:r>
      </w:ins>
      <w:r>
        <w:t>: a fine of $5 000.</w:t>
      </w:r>
    </w:p>
    <w:p>
      <w:pPr>
        <w:pStyle w:val="Subsection"/>
      </w:pPr>
      <w:r>
        <w:tab/>
        <w:t>(7)</w:t>
      </w:r>
      <w:r>
        <w:tab/>
      </w:r>
      <w:r>
        <w:rPr>
          <w:snapToGrid w:val="0"/>
        </w:rPr>
        <w:t>If the document has not been claimed under subsection (5) within 60 days after the day on which the agreement was terminated, the lessor may destroy or otherwise dispose of the document.</w:t>
      </w:r>
    </w:p>
    <w:p>
      <w:pPr>
        <w:pStyle w:val="Subsection"/>
      </w:pPr>
      <w:r>
        <w:tab/>
        <w:t>(8)</w:t>
      </w:r>
      <w:r>
        <w:tab/>
        <w:t>If a lessor destroys or otherwise disposes of a document under subsection (7), a</w:t>
      </w:r>
      <w:r>
        <w:rPr>
          <w:snapToGrid w:val="0"/>
        </w:rPr>
        <w:t xml:space="preserve"> </w:t>
      </w:r>
      <w:r>
        <w:t>competent court</w:t>
      </w:r>
      <w:r>
        <w:rPr>
          <w:snapToGrid w:val="0"/>
        </w:rPr>
        <w:t xml:space="preserve"> may, on an application by the lessor, 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pPr>
        <w:pStyle w:val="Subsection"/>
      </w:pPr>
      <w:r>
        <w:tab/>
        <w:t>(9)</w:t>
      </w:r>
      <w:r>
        <w:tab/>
        <w:t>Nothing in this section affects the operation of any other Act or law affecting the destruction or disposal of a document.</w:t>
      </w:r>
    </w:p>
    <w:p>
      <w:pPr>
        <w:pStyle w:val="Footnotesection"/>
      </w:pPr>
      <w:r>
        <w:tab/>
        <w:t>[Section 80A inserted: No. 60 of 2011 s. </w:t>
      </w:r>
      <w:del w:id="834" w:author="svcMRProcess" w:date="2019-04-15T16:46:00Z">
        <w:r>
          <w:delText>77</w:delText>
        </w:r>
      </w:del>
      <w:ins w:id="835" w:author="svcMRProcess" w:date="2019-04-15T16:46:00Z">
        <w:r>
          <w:t>77; amended: No. 3 of 2019 s. 25</w:t>
        </w:r>
      </w:ins>
      <w:r>
        <w:t xml:space="preserve">.] </w:t>
      </w:r>
    </w:p>
    <w:p>
      <w:pPr>
        <w:pStyle w:val="Heading5"/>
        <w:rPr>
          <w:snapToGrid w:val="0"/>
        </w:rPr>
      </w:pPr>
      <w:bookmarkStart w:id="836" w:name="_Toc5719388"/>
      <w:bookmarkStart w:id="837" w:name="_Toc2160970"/>
      <w:r>
        <w:rPr>
          <w:rStyle w:val="CharSectno"/>
        </w:rPr>
        <w:t>80</w:t>
      </w:r>
      <w:r>
        <w:rPr>
          <w:snapToGrid w:val="0"/>
        </w:rPr>
        <w:t>.</w:t>
      </w:r>
      <w:r>
        <w:rPr>
          <w:snapToGrid w:val="0"/>
        </w:rPr>
        <w:tab/>
        <w:t>Recovery of possession of premises prohibited except by court order</w:t>
      </w:r>
      <w:bookmarkEnd w:id="836"/>
      <w:bookmarkEnd w:id="837"/>
      <w:r>
        <w:rPr>
          <w:snapToGrid w:val="0"/>
        </w:rPr>
        <w:t xml:space="preserve"> </w:t>
      </w:r>
    </w:p>
    <w:p>
      <w:pPr>
        <w:pStyle w:val="Subsection"/>
        <w:rPr>
          <w:snapToGrid w:val="0"/>
        </w:rPr>
      </w:pPr>
      <w:r>
        <w:rPr>
          <w:snapToGrid w:val="0"/>
        </w:rPr>
        <w:tab/>
      </w:r>
      <w:r>
        <w:rPr>
          <w:snapToGrid w:val="0"/>
        </w:rPr>
        <w:tab/>
        <w:t xml:space="preserve">No person shall except under an order of a </w:t>
      </w:r>
      <w:r>
        <w:t>competent court</w:t>
      </w:r>
      <w:r>
        <w:rPr>
          <w:snapToGrid w:val="0"/>
        </w:rPr>
        <w:t xml:space="preserve"> enter premises or any part of premises of which a person has possession as a tenant under </w:t>
      </w:r>
      <w:r>
        <w:t>a residential tenancy agreement</w:t>
      </w:r>
      <w:r>
        <w:rPr>
          <w:snapToGrid w:val="0"/>
        </w:rPr>
        <w:t xml:space="preserve"> or a former tenant holding over after termination of </w:t>
      </w:r>
      <w:r>
        <w:t>a residential tenancy agreement</w:t>
      </w:r>
      <w:r>
        <w:rPr>
          <w:snapToGrid w:val="0"/>
        </w:rPr>
        <w:t xml:space="preserve"> for the purpose of recovering possession of the premises or part of the premises, whether entry is effected peaceably or otherwise.</w:t>
      </w:r>
    </w:p>
    <w:p>
      <w:pPr>
        <w:pStyle w:val="Penstart"/>
      </w:pPr>
      <w:r>
        <w:tab/>
        <w:t>Penalty: a fine of $20 000.</w:t>
      </w:r>
    </w:p>
    <w:p>
      <w:pPr>
        <w:pStyle w:val="Footnotesection"/>
      </w:pPr>
      <w:r>
        <w:tab/>
        <w:t xml:space="preserve">[Section 80 amended: No. 50 of 1988 s. 18; No. 59 of 1995 s. 55; No. 59 of 2004 s. 120(1); No. 60 of 2011 s. 78 and 88.] </w:t>
      </w:r>
    </w:p>
    <w:p>
      <w:pPr>
        <w:pStyle w:val="Heading5"/>
      </w:pPr>
      <w:bookmarkStart w:id="838" w:name="_Toc5719389"/>
      <w:bookmarkStart w:id="839" w:name="_Toc2160971"/>
      <w:r>
        <w:rPr>
          <w:rStyle w:val="CharSectno"/>
        </w:rPr>
        <w:t>81A</w:t>
      </w:r>
      <w:r>
        <w:t>.</w:t>
      </w:r>
      <w:r>
        <w:tab/>
        <w:t>Mortgagee repossessions of rented properties</w:t>
      </w:r>
      <w:bookmarkEnd w:id="838"/>
      <w:bookmarkEnd w:id="839"/>
    </w:p>
    <w:p>
      <w:pPr>
        <w:pStyle w:val="Subsection"/>
      </w:pPr>
      <w:r>
        <w:tab/>
        <w:t>(1)</w:t>
      </w:r>
      <w:r>
        <w:tab/>
        <w:t>In this section —</w:t>
      </w:r>
    </w:p>
    <w:p>
      <w:pPr>
        <w:pStyle w:val="Defstart"/>
      </w:pPr>
      <w:r>
        <w:tab/>
      </w:r>
      <w:r>
        <w:rPr>
          <w:rStyle w:val="CharDefText"/>
        </w:rPr>
        <w:t>notice to vacate</w:t>
      </w:r>
      <w:r>
        <w:t>, in relation to residential premises, means a written notice to vacate the premises;</w:t>
      </w:r>
    </w:p>
    <w:p>
      <w:pPr>
        <w:pStyle w:val="Defstart"/>
      </w:pPr>
      <w:r>
        <w:tab/>
      </w:r>
      <w:r>
        <w:rPr>
          <w:rStyle w:val="CharDefText"/>
        </w:rPr>
        <w:t>specified date</w:t>
      </w:r>
      <w:r>
        <w:t xml:space="preserve"> means a date, specified in a notice to vacate, by which the tenant is to vacate the residential premises.</w:t>
      </w:r>
    </w:p>
    <w:p>
      <w:pPr>
        <w:pStyle w:val="Subsection"/>
      </w:pPr>
      <w:r>
        <w:tab/>
        <w:t>(2)</w:t>
      </w:r>
      <w:r>
        <w:tab/>
        <w:t>If a residential tenancy agreement is terminated under section 60(</w:t>
      </w:r>
      <w:ins w:id="840" w:author="svcMRProcess" w:date="2019-04-15T16:46:00Z">
        <w:r>
          <w:t>1)(</w:t>
        </w:r>
      </w:ins>
      <w:r>
        <w:t>e), the mortgagee is not to take possession of the residential premises from a tenant who is holding over after termination of the agreement unless the mortgagee, after becoming entitled to take possession, gives the tenant a notice to vacate the premises.</w:t>
      </w:r>
    </w:p>
    <w:p>
      <w:pPr>
        <w:pStyle w:val="Subsection"/>
      </w:pPr>
      <w:r>
        <w:tab/>
        <w:t>(3)</w:t>
      </w:r>
      <w:r>
        <w:tab/>
        <w:t>The notice to vacate must be in a form approved by the Minister and must include a specified date that is not less than 30 days after the date on which the notice is given to the tenant.</w:t>
      </w:r>
    </w:p>
    <w:p>
      <w:pPr>
        <w:pStyle w:val="Subsection"/>
      </w:pPr>
      <w:r>
        <w:tab/>
        <w:t>(4)</w:t>
      </w:r>
      <w:r>
        <w:tab/>
        <w:t>The tenant who is holding over after termination of the residential tenancy agreement —</w:t>
      </w:r>
    </w:p>
    <w:p>
      <w:pPr>
        <w:pStyle w:val="Indenta"/>
      </w:pPr>
      <w:r>
        <w:tab/>
        <w:t>(a)</w:t>
      </w:r>
      <w:r>
        <w:tab/>
        <w:t>is not, during the period of 30 days following the date on which the tenant is given the notice to vacate, required to pay any rent, fee or other charge to occupy the residential premises; and</w:t>
      </w:r>
    </w:p>
    <w:p>
      <w:pPr>
        <w:pStyle w:val="Indenta"/>
      </w:pPr>
      <w:r>
        <w:tab/>
        <w:t>(b)</w:t>
      </w:r>
      <w:r>
        <w:tab/>
        <w:t>is, if the tenant has paid any rent in advance for any part of that period, entitled to be repaid the amount of that rent.</w:t>
      </w:r>
    </w:p>
    <w:p>
      <w:pPr>
        <w:pStyle w:val="Subsection"/>
      </w:pPr>
      <w:r>
        <w:tab/>
        <w:t>(5)</w:t>
      </w:r>
      <w:r>
        <w:tab/>
        <w:t>A competent court may, on application by the tenant, order the repayment to the tenant of any such amount referred to in subsection (4)(a) or (b).</w:t>
      </w:r>
    </w:p>
    <w:p>
      <w:pPr>
        <w:pStyle w:val="Subsection"/>
      </w:pPr>
      <w:r>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pPr>
        <w:pStyle w:val="Indenta"/>
      </w:pPr>
      <w:r>
        <w:tab/>
        <w:t>(a)</w:t>
      </w:r>
      <w:r>
        <w:tab/>
        <w:t>is given reasonable notice of each such occasion; and</w:t>
      </w:r>
    </w:p>
    <w:p>
      <w:pPr>
        <w:pStyle w:val="Indenta"/>
      </w:pPr>
      <w:r>
        <w:tab/>
        <w:t>(b)</w:t>
      </w:r>
      <w:r>
        <w:tab/>
        <w:t>agrees to the date and time of the inspection.</w:t>
      </w:r>
    </w:p>
    <w:p>
      <w:pPr>
        <w:pStyle w:val="Subsection"/>
      </w:pPr>
      <w:r>
        <w:tab/>
        <w:t>(7)</w:t>
      </w:r>
      <w:r>
        <w:tab/>
        <w:t>This section does not prevent the mortgagee from —</w:t>
      </w:r>
    </w:p>
    <w:p>
      <w:pPr>
        <w:pStyle w:val="Indenta"/>
      </w:pPr>
      <w:r>
        <w:tab/>
        <w:t>(a)</w:t>
      </w:r>
      <w:r>
        <w:tab/>
        <w:t>taking possession of the residential premises before the specified date if the tenant voluntarily vacates the premises before that date; or</w:t>
      </w:r>
    </w:p>
    <w:p>
      <w:pPr>
        <w:pStyle w:val="Indenta"/>
      </w:pPr>
      <w:r>
        <w:tab/>
        <w:t>(b)</w:t>
      </w:r>
      <w:r>
        <w:tab/>
        <w:t>changing the specified date to a later date by further notice in writing given to the tenant; or</w:t>
      </w:r>
    </w:p>
    <w:p>
      <w:pPr>
        <w:pStyle w:val="Indenta"/>
      </w:pPr>
      <w:r>
        <w:tab/>
        <w:t>(c)</w:t>
      </w:r>
      <w:r>
        <w:tab/>
        <w:t>entering into a new residential tenancy agreement with the tenant in respect of the residential premises.</w:t>
      </w:r>
    </w:p>
    <w:p>
      <w:pPr>
        <w:pStyle w:val="Subsection"/>
      </w:pPr>
      <w:r>
        <w:tab/>
        <w:t>(8)</w:t>
      </w:r>
      <w:r>
        <w:tab/>
        <w:t>This section extends to a tenant who is, immediately before the commencement of this section, holding over after termination of the residential tenancy agreement.</w:t>
      </w:r>
    </w:p>
    <w:p>
      <w:pPr>
        <w:pStyle w:val="Subsection"/>
      </w:pPr>
      <w:r>
        <w:tab/>
        <w:t>(9)</w:t>
      </w:r>
      <w:r>
        <w:tab/>
        <w:t>This section has effect despite the terms of any court order made before the commencement of this section or any contract or other agreement.</w:t>
      </w:r>
    </w:p>
    <w:p>
      <w:pPr>
        <w:pStyle w:val="Footnotesection"/>
      </w:pPr>
      <w:r>
        <w:tab/>
        <w:t>[Section 81A inserted: No. 60 of 2011 s. </w:t>
      </w:r>
      <w:del w:id="841" w:author="svcMRProcess" w:date="2019-04-15T16:46:00Z">
        <w:r>
          <w:delText>79</w:delText>
        </w:r>
      </w:del>
      <w:ins w:id="842" w:author="svcMRProcess" w:date="2019-04-15T16:46:00Z">
        <w:r>
          <w:t>79; amended: No. 3 of 2019 s. 19</w:t>
        </w:r>
      </w:ins>
      <w:r>
        <w:t xml:space="preserve">.] </w:t>
      </w:r>
    </w:p>
    <w:p>
      <w:pPr>
        <w:pStyle w:val="Heading5"/>
      </w:pPr>
      <w:bookmarkStart w:id="843" w:name="_Toc5719390"/>
      <w:bookmarkStart w:id="844" w:name="_Toc2160972"/>
      <w:r>
        <w:rPr>
          <w:rStyle w:val="CharSectno"/>
        </w:rPr>
        <w:t>81B</w:t>
      </w:r>
      <w:r>
        <w:t>.</w:t>
      </w:r>
      <w:r>
        <w:tab/>
        <w:t>Notice of proposed recovery of premises by person with superior title</w:t>
      </w:r>
      <w:bookmarkEnd w:id="843"/>
      <w:bookmarkEnd w:id="844"/>
    </w:p>
    <w:p>
      <w:pPr>
        <w:pStyle w:val="Subsection"/>
      </w:pPr>
      <w:r>
        <w:tab/>
        <w:t>(1)</w:t>
      </w:r>
      <w:r>
        <w:tab/>
        <w:t xml:space="preserve">This section applies where a person (the </w:t>
      </w:r>
      <w:r>
        <w:rPr>
          <w:rStyle w:val="CharDefText"/>
        </w:rPr>
        <w:t>plaintiff</w:t>
      </w:r>
      <w:r>
        <w:t>) brings proceedings in a competent court for the recovery of possession of residential premises.</w:t>
      </w:r>
    </w:p>
    <w:p>
      <w:pPr>
        <w:pStyle w:val="Subsection"/>
      </w:pPr>
      <w:r>
        <w:tab/>
        <w:t>(2)</w:t>
      </w:r>
      <w:r>
        <w:tab/>
        <w:t>The court must not make an order for possession unless it is satisfied —</w:t>
      </w:r>
    </w:p>
    <w:p>
      <w:pPr>
        <w:pStyle w:val="Indenta"/>
      </w:pPr>
      <w:r>
        <w:tab/>
        <w:t>(a)</w:t>
      </w:r>
      <w:r>
        <w:tab/>
        <w:t>that a person is not in possession of the residential premises as —</w:t>
      </w:r>
    </w:p>
    <w:p>
      <w:pPr>
        <w:pStyle w:val="Indenti"/>
      </w:pPr>
      <w:r>
        <w:tab/>
        <w:t>(i)</w:t>
      </w:r>
      <w:r>
        <w:tab/>
        <w:t>a tenant under a residential tenancy agreement; or</w:t>
      </w:r>
    </w:p>
    <w:p>
      <w:pPr>
        <w:pStyle w:val="Indenti"/>
      </w:pPr>
      <w:r>
        <w:tab/>
        <w:t>(ii)</w:t>
      </w:r>
      <w:r>
        <w:tab/>
        <w:t xml:space="preserve">a tenant holding over after termination of a residential tenancy agreement; </w:t>
      </w:r>
    </w:p>
    <w:p>
      <w:pPr>
        <w:pStyle w:val="Indenta"/>
      </w:pPr>
      <w:r>
        <w:tab/>
      </w:r>
      <w:r>
        <w:tab/>
        <w:t>or</w:t>
      </w:r>
    </w:p>
    <w:p>
      <w:pPr>
        <w:pStyle w:val="Indenta"/>
      </w:pPr>
      <w:r>
        <w:tab/>
        <w:t>(b)</w:t>
      </w:r>
      <w:r>
        <w:tab/>
        <w:t>if there is such a person in possession of the residential premises and the plaintiff is not the lessor under the residential tenancy agreement — that the person has been given written notice, in a form approved by the Minister, of the proceedings not less than 30 days before the commencement of the proceedings.</w:t>
      </w:r>
    </w:p>
    <w:p>
      <w:pPr>
        <w:pStyle w:val="Subsection"/>
      </w:pPr>
      <w:r>
        <w:tab/>
        <w:t>(3)</w:t>
      </w:r>
      <w:r>
        <w:tab/>
        <w:t>Failure to comply with this section does not invalidate or otherwise affect the judgment or order.</w:t>
      </w:r>
    </w:p>
    <w:p>
      <w:pPr>
        <w:pStyle w:val="Footnotesection"/>
      </w:pPr>
      <w:r>
        <w:tab/>
        <w:t xml:space="preserve">[Section 81B inserted: No. 60 of 2011 s. 79.] </w:t>
      </w:r>
    </w:p>
    <w:p>
      <w:pPr>
        <w:pStyle w:val="Heading5"/>
      </w:pPr>
      <w:bookmarkStart w:id="845" w:name="_Toc5719391"/>
      <w:bookmarkStart w:id="846" w:name="_Toc2160973"/>
      <w:r>
        <w:rPr>
          <w:rStyle w:val="CharSectno"/>
        </w:rPr>
        <w:t>81</w:t>
      </w:r>
      <w:r>
        <w:t>.</w:t>
      </w:r>
      <w:r>
        <w:tab/>
        <w:t>Order for tenancy against person with superior title</w:t>
      </w:r>
      <w:bookmarkEnd w:id="845"/>
      <w:bookmarkEnd w:id="846"/>
    </w:p>
    <w:p>
      <w:pPr>
        <w:pStyle w:val="Subsection"/>
      </w:pPr>
      <w:r>
        <w:tab/>
        <w:t>(1)</w:t>
      </w:r>
      <w:r>
        <w:tab/>
        <w:t>This section applies to a person who is or was in possession of residential premises as —</w:t>
      </w:r>
    </w:p>
    <w:p>
      <w:pPr>
        <w:pStyle w:val="Indenta"/>
      </w:pPr>
      <w:r>
        <w:tab/>
        <w:t>(a)</w:t>
      </w:r>
      <w:r>
        <w:tab/>
        <w:t>a tenant under a residential tenancy agreement; or</w:t>
      </w:r>
    </w:p>
    <w:p>
      <w:pPr>
        <w:pStyle w:val="Indenta"/>
      </w:pPr>
      <w:r>
        <w:tab/>
        <w:t>(b)</w:t>
      </w:r>
      <w:r>
        <w:tab/>
        <w:t>a tenant holding over after termination of a residential tenancy agreement,</w:t>
      </w:r>
    </w:p>
    <w:p>
      <w:pPr>
        <w:pStyle w:val="Subsection"/>
      </w:pPr>
      <w:r>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pPr>
        <w:pStyle w:val="Subsection"/>
      </w:pPr>
      <w:r>
        <w:tab/>
        <w:t>(2)</w:t>
      </w:r>
      <w:r>
        <w:tab/>
        <w:t>A person to whom this section applies may apply for an order under this section and such an application may be made to —</w:t>
      </w:r>
    </w:p>
    <w:p>
      <w:pPr>
        <w:pStyle w:val="Indenta"/>
      </w:pPr>
      <w:r>
        <w:tab/>
        <w:t>(a)</w:t>
      </w:r>
      <w:r>
        <w:tab/>
        <w:t>the court before which the proceedings are pending; or</w:t>
      </w:r>
    </w:p>
    <w:p>
      <w:pPr>
        <w:pStyle w:val="Indenta"/>
      </w:pPr>
      <w:r>
        <w:tab/>
        <w:t>(b)</w:t>
      </w:r>
      <w:r>
        <w:tab/>
        <w:t>if the proceedings have been completed or possession has been recovered — a competent court,</w:t>
      </w:r>
    </w:p>
    <w:p>
      <w:pPr>
        <w:pStyle w:val="Subsection"/>
      </w:pPr>
      <w:r>
        <w:tab/>
      </w:r>
      <w:r>
        <w:tab/>
        <w:t>within a reasonable time after the applicant was given notice of the proceedings or, if no notice was given, within a reasonable time after the recovery of possession of the residential premises.</w:t>
      </w:r>
    </w:p>
    <w:p>
      <w:pPr>
        <w:pStyle w:val="Subsection"/>
      </w:pPr>
      <w:r>
        <w:tab/>
        <w:t>(3)</w:t>
      </w:r>
      <w:r>
        <w:tab/>
        <w:t>The court may, on such an application, and if it thinks it appropriate to do so in the special circumstances of the case, make an order vesting a tenancy over the residential premises in the applicant.</w:t>
      </w:r>
    </w:p>
    <w:p>
      <w:pPr>
        <w:pStyle w:val="Subsection"/>
      </w:pPr>
      <w:r>
        <w:tab/>
        <w:t>(4)</w:t>
      </w:r>
      <w:r>
        <w:tab/>
        <w:t>The tenancy is to be held of the plaintiff, and on such terms and conditions as the court thinks fit, having regard to the circumstances of the case.</w:t>
      </w:r>
    </w:p>
    <w:p>
      <w:pPr>
        <w:pStyle w:val="Subsection"/>
      </w:pPr>
      <w:r>
        <w:tab/>
        <w:t>(5)</w:t>
      </w:r>
      <w:r>
        <w:tab/>
        <w:t>Such an application or order may be made, even though —</w:t>
      </w:r>
    </w:p>
    <w:p>
      <w:pPr>
        <w:pStyle w:val="Indenta"/>
      </w:pPr>
      <w:r>
        <w:tab/>
        <w:t>(a)</w:t>
      </w:r>
      <w:r>
        <w:tab/>
        <w:t>notice was not given to the applicant of the proceedings brought by the plaintiff; or</w:t>
      </w:r>
    </w:p>
    <w:p>
      <w:pPr>
        <w:pStyle w:val="Indenta"/>
      </w:pPr>
      <w:r>
        <w:tab/>
        <w:t>(b)</w:t>
      </w:r>
      <w:r>
        <w:tab/>
        <w:t>the proceedings brought by the plaintiff have been completed or possession of the residential premises has been recovered by the plaintiff.</w:t>
      </w:r>
    </w:p>
    <w:p>
      <w:pPr>
        <w:pStyle w:val="Footnotesection"/>
      </w:pPr>
      <w:r>
        <w:tab/>
        <w:t xml:space="preserve">[Section 81 inserted: No. 60 of 2011 s. 79.] </w:t>
      </w:r>
    </w:p>
    <w:p>
      <w:pPr>
        <w:pStyle w:val="Heading2"/>
      </w:pPr>
      <w:bookmarkStart w:id="847" w:name="_Toc2153416"/>
      <w:bookmarkStart w:id="848" w:name="_Toc2160250"/>
      <w:bookmarkStart w:id="849" w:name="_Toc2160974"/>
      <w:bookmarkStart w:id="850" w:name="_Toc5621597"/>
      <w:bookmarkStart w:id="851" w:name="_Toc5633013"/>
      <w:bookmarkStart w:id="852" w:name="_Toc5719392"/>
      <w:r>
        <w:rPr>
          <w:rStyle w:val="CharPartNo"/>
        </w:rPr>
        <w:t>Part VIA</w:t>
      </w:r>
      <w:r>
        <w:t> — </w:t>
      </w:r>
      <w:r>
        <w:rPr>
          <w:rStyle w:val="CharPartText"/>
        </w:rPr>
        <w:t>Residential tenancy databases</w:t>
      </w:r>
      <w:bookmarkEnd w:id="847"/>
      <w:bookmarkEnd w:id="848"/>
      <w:bookmarkEnd w:id="849"/>
      <w:bookmarkEnd w:id="850"/>
      <w:bookmarkEnd w:id="851"/>
      <w:bookmarkEnd w:id="852"/>
    </w:p>
    <w:p>
      <w:pPr>
        <w:pStyle w:val="Footnoteheading"/>
      </w:pPr>
      <w:r>
        <w:tab/>
        <w:t xml:space="preserve">[Heading inserted: No. 60 of 2011 s. 96.] </w:t>
      </w:r>
    </w:p>
    <w:p>
      <w:pPr>
        <w:pStyle w:val="Heading3"/>
      </w:pPr>
      <w:bookmarkStart w:id="853" w:name="_Toc2153417"/>
      <w:bookmarkStart w:id="854" w:name="_Toc2160251"/>
      <w:bookmarkStart w:id="855" w:name="_Toc2160975"/>
      <w:bookmarkStart w:id="856" w:name="_Toc5621598"/>
      <w:bookmarkStart w:id="857" w:name="_Toc5633014"/>
      <w:bookmarkStart w:id="858" w:name="_Toc5719393"/>
      <w:r>
        <w:rPr>
          <w:rStyle w:val="CharDivNo"/>
        </w:rPr>
        <w:t>Division 1</w:t>
      </w:r>
      <w:r>
        <w:t> — </w:t>
      </w:r>
      <w:r>
        <w:rPr>
          <w:rStyle w:val="CharDivText"/>
        </w:rPr>
        <w:t>Preliminary</w:t>
      </w:r>
      <w:bookmarkEnd w:id="853"/>
      <w:bookmarkEnd w:id="854"/>
      <w:bookmarkEnd w:id="855"/>
      <w:bookmarkEnd w:id="856"/>
      <w:bookmarkEnd w:id="857"/>
      <w:bookmarkEnd w:id="858"/>
    </w:p>
    <w:p>
      <w:pPr>
        <w:pStyle w:val="Footnoteheading"/>
      </w:pPr>
      <w:r>
        <w:tab/>
        <w:t xml:space="preserve">[Heading inserted: No. 60 of 2011 s. 96.] </w:t>
      </w:r>
    </w:p>
    <w:p>
      <w:pPr>
        <w:pStyle w:val="Heading5"/>
      </w:pPr>
      <w:bookmarkStart w:id="859" w:name="_Toc5719394"/>
      <w:bookmarkStart w:id="860" w:name="_Toc2160976"/>
      <w:r>
        <w:rPr>
          <w:rStyle w:val="CharSectno"/>
        </w:rPr>
        <w:t>82A</w:t>
      </w:r>
      <w:r>
        <w:t>.</w:t>
      </w:r>
      <w:r>
        <w:tab/>
        <w:t>Terms used</w:t>
      </w:r>
      <w:bookmarkEnd w:id="859"/>
      <w:bookmarkEnd w:id="860"/>
    </w:p>
    <w:p>
      <w:pPr>
        <w:pStyle w:val="Subsection"/>
      </w:pPr>
      <w:r>
        <w:tab/>
      </w:r>
      <w:r>
        <w:tab/>
        <w:t>In this Part —</w:t>
      </w:r>
    </w:p>
    <w:p>
      <w:pPr>
        <w:pStyle w:val="Defstart"/>
      </w:pPr>
      <w:r>
        <w:tab/>
      </w:r>
      <w:r>
        <w:rPr>
          <w:rStyle w:val="CharDefText"/>
        </w:rPr>
        <w:t>agent</w:t>
      </w:r>
      <w:r>
        <w:t>, of a lessor, means a person employed, or otherwise authorised, by the lessor to act as the lessor’s agent;</w:t>
      </w:r>
    </w:p>
    <w:p>
      <w:pPr>
        <w:pStyle w:val="Defstart"/>
      </w:pPr>
      <w:r>
        <w:tab/>
      </w:r>
      <w:r>
        <w:rPr>
          <w:rStyle w:val="CharDefText"/>
        </w:rPr>
        <w:t>database</w:t>
      </w:r>
      <w:r>
        <w:t xml:space="preserve"> means a system, device or other thing used for storing information, whether electronically or in some other form;</w:t>
      </w:r>
    </w:p>
    <w:p>
      <w:pPr>
        <w:pStyle w:val="Defstart"/>
      </w:pPr>
      <w:r>
        <w:tab/>
      </w:r>
      <w:r>
        <w:rPr>
          <w:rStyle w:val="CharDefText"/>
        </w:rPr>
        <w:t>database operator</w:t>
      </w:r>
      <w:r>
        <w:t xml:space="preserve"> means an entity that operates a residential tenancy database;</w:t>
      </w:r>
    </w:p>
    <w:p>
      <w:pPr>
        <w:pStyle w:val="Defstart"/>
      </w:pPr>
      <w:r>
        <w:tab/>
      </w:r>
      <w:r>
        <w:rPr>
          <w:rStyle w:val="CharDefText"/>
        </w:rPr>
        <w:t>inaccurate</w:t>
      </w:r>
      <w:r>
        <w:t>, in relation to personal information in a residential tenancy database, includes information that is inaccurate because —</w:t>
      </w:r>
    </w:p>
    <w:p>
      <w:pPr>
        <w:pStyle w:val="Defpara"/>
      </w:pPr>
      <w:r>
        <w:tab/>
        <w:t>(a)</w:t>
      </w:r>
      <w:r>
        <w:tab/>
        <w:t>the information indicates that the person owes a lessor an amount that is more than the security bond for a residential tenancy agreement; and</w:t>
      </w:r>
    </w:p>
    <w:p>
      <w:pPr>
        <w:pStyle w:val="Defpara"/>
      </w:pPr>
      <w:r>
        <w:tab/>
        <w:t>(b)</w:t>
      </w:r>
      <w:r>
        <w:tab/>
        <w:t>the amount owed was paid to the lessor more than 3 months after the amount became due;</w:t>
      </w:r>
    </w:p>
    <w:p>
      <w:pPr>
        <w:pStyle w:val="Defstart"/>
      </w:pPr>
      <w:r>
        <w:tab/>
      </w:r>
      <w:r>
        <w:rPr>
          <w:rStyle w:val="CharDefText"/>
        </w:rPr>
        <w:t>list</w:t>
      </w:r>
      <w:r>
        <w:t xml:space="preserve">, personal information about a person in a residential tenancy database — </w:t>
      </w:r>
    </w:p>
    <w:p>
      <w:pPr>
        <w:pStyle w:val="Defpara"/>
      </w:pPr>
      <w:r>
        <w:tab/>
        <w:t>(a)</w:t>
      </w:r>
      <w:r>
        <w:tab/>
        <w:t>means —</w:t>
      </w:r>
    </w:p>
    <w:p>
      <w:pPr>
        <w:pStyle w:val="Defsubpara"/>
      </w:pPr>
      <w:r>
        <w:tab/>
        <w:t>(i)</w:t>
      </w:r>
      <w:r>
        <w:tab/>
        <w:t>to enter the personal information into the database; or</w:t>
      </w:r>
    </w:p>
    <w:p>
      <w:pPr>
        <w:pStyle w:val="Defsubpara"/>
      </w:pPr>
      <w:r>
        <w:tab/>
        <w:t>(ii)</w:t>
      </w:r>
      <w:r>
        <w:tab/>
        <w:t>to give the personal information to a database operator or someone else for entry into the database;</w:t>
      </w:r>
    </w:p>
    <w:p>
      <w:pPr>
        <w:pStyle w:val="Defpara"/>
      </w:pPr>
      <w:r>
        <w:tab/>
      </w:r>
      <w:r>
        <w:tab/>
        <w:t>and</w:t>
      </w:r>
    </w:p>
    <w:p>
      <w:pPr>
        <w:pStyle w:val="Defpara"/>
      </w:pPr>
      <w:r>
        <w:tab/>
        <w:t>(b)</w:t>
      </w:r>
      <w:r>
        <w:tab/>
        <w:t>includes to amend personal information about a person in the database to include additional personal information about the person;</w:t>
      </w:r>
    </w:p>
    <w:p>
      <w:pPr>
        <w:pStyle w:val="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pPr>
        <w:pStyle w:val="Defpara"/>
      </w:pPr>
      <w:r>
        <w:tab/>
        <w:t>(a)</w:t>
      </w:r>
      <w:r>
        <w:tab/>
        <w:t>for a listing made on the basis the person owes a lessor an amount that is more than the security bond for a residential tenancy agreement — the amount owed was paid to the lessor within 3 months after the amount became due; or</w:t>
      </w:r>
    </w:p>
    <w:p>
      <w:pPr>
        <w:pStyle w:val="Defpara"/>
      </w:pPr>
      <w:r>
        <w:tab/>
        <w:t>(b)</w:t>
      </w:r>
      <w:r>
        <w:tab/>
        <w:t>for a listing made on the basis a court has made an order terminating the residential tenancy agreement — the order has been set aside on appeal;</w:t>
      </w:r>
    </w:p>
    <w:p>
      <w:pPr>
        <w:pStyle w:val="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pPr>
        <w:pStyle w:val="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pPr>
        <w:pStyle w:val="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pPr>
        <w:pStyle w:val="Defstart"/>
      </w:pPr>
      <w:r>
        <w:tab/>
      </w:r>
      <w:r>
        <w:rPr>
          <w:rStyle w:val="CharDefText"/>
        </w:rPr>
        <w:t>residential tenancy database</w:t>
      </w:r>
      <w:r>
        <w:t xml:space="preserve"> means a database —</w:t>
      </w:r>
    </w:p>
    <w:p>
      <w:pPr>
        <w:pStyle w:val="Defpara"/>
      </w:pPr>
      <w:r>
        <w:tab/>
        <w:t>(a)</w:t>
      </w:r>
      <w:r>
        <w:tab/>
        <w:t>containing personal information —</w:t>
      </w:r>
    </w:p>
    <w:p>
      <w:pPr>
        <w:pStyle w:val="Defsubpara"/>
      </w:pPr>
      <w:r>
        <w:tab/>
        <w:t>(i)</w:t>
      </w:r>
      <w:r>
        <w:tab/>
        <w:t>relating to, or arising from, the occupation of residential premises under a residential tenancy agreement; or</w:t>
      </w:r>
    </w:p>
    <w:p>
      <w:pPr>
        <w:pStyle w:val="Defsubpara"/>
      </w:pPr>
      <w:r>
        <w:tab/>
        <w:t>(ii)</w:t>
      </w:r>
      <w:r>
        <w:tab/>
        <w:t>entered into the database for reasons relating to, or arising from, the occupation of residential premises under a residential tenancy agreement;</w:t>
      </w:r>
    </w:p>
    <w:p>
      <w:pPr>
        <w:pStyle w:val="Defpara"/>
      </w:pPr>
      <w:r>
        <w:tab/>
      </w:r>
      <w:r>
        <w:tab/>
        <w:t>and</w:t>
      </w:r>
    </w:p>
    <w:p>
      <w:pPr>
        <w:pStyle w:val="Defpara"/>
      </w:pPr>
      <w:r>
        <w:tab/>
        <w:t>(b)</w:t>
      </w:r>
      <w:r>
        <w:tab/>
        <w:t>the purpose of which is for use by lessors or agents of lessors for checking a person’s tenancy history to decide whether a residential tenancy agreement should be entered into with the person;</w:t>
      </w:r>
    </w:p>
    <w:p>
      <w:pPr>
        <w:pStyle w:val="Defstart"/>
      </w:pPr>
      <w:r>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pPr>
        <w:pStyle w:val="Footnotesection"/>
        <w:spacing w:before="100"/>
      </w:pPr>
      <w:r>
        <w:tab/>
        <w:t xml:space="preserve">[Section 82A inserted: No. 60 of 2011 s. 96.] </w:t>
      </w:r>
    </w:p>
    <w:p>
      <w:pPr>
        <w:pStyle w:val="Heading5"/>
      </w:pPr>
      <w:bookmarkStart w:id="861" w:name="_Toc5719395"/>
      <w:bookmarkStart w:id="862" w:name="_Toc2160977"/>
      <w:r>
        <w:rPr>
          <w:rStyle w:val="CharSectno"/>
        </w:rPr>
        <w:t>82B</w:t>
      </w:r>
      <w:r>
        <w:t>.</w:t>
      </w:r>
      <w:r>
        <w:tab/>
        <w:t>Application of Part</w:t>
      </w:r>
      <w:bookmarkEnd w:id="861"/>
      <w:bookmarkEnd w:id="862"/>
    </w:p>
    <w:p>
      <w:pPr>
        <w:pStyle w:val="Subsection"/>
      </w:pPr>
      <w:r>
        <w:tab/>
      </w:r>
      <w:r>
        <w:tab/>
        <w:t>This Part does not apply to a residential tenancy database kept by an entity (including a government department of this State, another State or a Territory) for use only by that entity or its officers, employees or agents.</w:t>
      </w:r>
    </w:p>
    <w:p>
      <w:pPr>
        <w:pStyle w:val="Footnotesection"/>
        <w:spacing w:before="100"/>
      </w:pPr>
      <w:r>
        <w:tab/>
        <w:t xml:space="preserve">[Section 82B inserted: No. 60 of 2011 s. 96.] </w:t>
      </w:r>
    </w:p>
    <w:p>
      <w:pPr>
        <w:pStyle w:val="Heading3"/>
      </w:pPr>
      <w:bookmarkStart w:id="863" w:name="_Toc2153420"/>
      <w:bookmarkStart w:id="864" w:name="_Toc2160254"/>
      <w:bookmarkStart w:id="865" w:name="_Toc2160978"/>
      <w:bookmarkStart w:id="866" w:name="_Toc5621601"/>
      <w:bookmarkStart w:id="867" w:name="_Toc5633017"/>
      <w:bookmarkStart w:id="868" w:name="_Toc5719396"/>
      <w:r>
        <w:rPr>
          <w:rStyle w:val="CharDivNo"/>
        </w:rPr>
        <w:t>Division 2</w:t>
      </w:r>
      <w:r>
        <w:t> — </w:t>
      </w:r>
      <w:r>
        <w:rPr>
          <w:rStyle w:val="CharDivText"/>
        </w:rPr>
        <w:t>Tenancy database information</w:t>
      </w:r>
      <w:bookmarkEnd w:id="863"/>
      <w:bookmarkEnd w:id="864"/>
      <w:bookmarkEnd w:id="865"/>
      <w:bookmarkEnd w:id="866"/>
      <w:bookmarkEnd w:id="867"/>
      <w:bookmarkEnd w:id="868"/>
    </w:p>
    <w:p>
      <w:pPr>
        <w:pStyle w:val="Footnoteheading"/>
        <w:spacing w:before="100"/>
      </w:pPr>
      <w:r>
        <w:tab/>
        <w:t xml:space="preserve">[Heading inserted: No. 60 of 2011 s. 96.] </w:t>
      </w:r>
    </w:p>
    <w:p>
      <w:pPr>
        <w:pStyle w:val="Heading5"/>
      </w:pPr>
      <w:bookmarkStart w:id="869" w:name="_Toc5719397"/>
      <w:bookmarkStart w:id="870" w:name="_Toc2160979"/>
      <w:r>
        <w:rPr>
          <w:rStyle w:val="CharSectno"/>
        </w:rPr>
        <w:t>82C</w:t>
      </w:r>
      <w:r>
        <w:t>.</w:t>
      </w:r>
      <w:r>
        <w:tab/>
        <w:t>Notice of usual use of database</w:t>
      </w:r>
      <w:bookmarkEnd w:id="869"/>
      <w:bookmarkEnd w:id="870"/>
    </w:p>
    <w:p>
      <w:pPr>
        <w:pStyle w:val="Subsection"/>
      </w:pPr>
      <w:r>
        <w:tab/>
        <w:t>(1)</w:t>
      </w:r>
      <w:r>
        <w:tab/>
        <w:t>This section applies if —</w:t>
      </w:r>
    </w:p>
    <w:p>
      <w:pPr>
        <w:pStyle w:val="Indenta"/>
        <w:spacing w:before="60"/>
      </w:pPr>
      <w:r>
        <w:tab/>
        <w:t>(a)</w:t>
      </w:r>
      <w:r>
        <w:tab/>
        <w:t xml:space="preserve">a person (the </w:t>
      </w:r>
      <w:r>
        <w:rPr>
          <w:rStyle w:val="CharDefText"/>
        </w:rPr>
        <w:t>applicant</w:t>
      </w:r>
      <w:r>
        <w:t>) applies to a lessor, whether or not through the lessor’s agent, to enter into a residential tenancy agreement; and</w:t>
      </w:r>
    </w:p>
    <w:p>
      <w:pPr>
        <w:pStyle w:val="Indenta"/>
        <w:spacing w:before="60"/>
      </w:pPr>
      <w:r>
        <w:tab/>
        <w:t>(b)</w:t>
      </w:r>
      <w:r>
        <w:tab/>
        <w:t>the lessor or, if the application is made through the lessor’s agent, the lessor or agent usually uses one or more residential tenancy databases for deciding whether a residential tenancy agreement should be entered into with a person.</w:t>
      </w:r>
    </w:p>
    <w:p>
      <w:pPr>
        <w:pStyle w:val="Subsection"/>
      </w:pPr>
      <w:r>
        <w:tab/>
        <w:t>(2)</w:t>
      </w:r>
      <w:r>
        <w:tab/>
        <w:t>The lessor or agent must, when the application is made, give the applicant written notice stating the following —</w:t>
      </w:r>
    </w:p>
    <w:p>
      <w:pPr>
        <w:pStyle w:val="Indenta"/>
      </w:pPr>
      <w:r>
        <w:tab/>
        <w:t>(a)</w:t>
      </w:r>
      <w:r>
        <w:tab/>
        <w:t>the name of each residential tenancy database the lessor or agent usually uses, or may use, for deciding whether a residential tenancy agreement should be entered into with a person;</w:t>
      </w:r>
    </w:p>
    <w:p>
      <w:pPr>
        <w:pStyle w:val="Indenta"/>
      </w:pPr>
      <w:r>
        <w:tab/>
        <w:t>(b)</w:t>
      </w:r>
      <w:r>
        <w:tab/>
        <w:t>that the reason the lessor or agent uses a residential tenancy database mentioned in paragraph (a) is for checking an applicant’s tenancy history;</w:t>
      </w:r>
    </w:p>
    <w:p>
      <w:pPr>
        <w:pStyle w:val="Indenta"/>
      </w:pPr>
      <w:r>
        <w:tab/>
        <w:t>(c)</w:t>
      </w:r>
      <w:r>
        <w:tab/>
        <w:t>for each residential tenancy database mentioned in paragraph (a), how persons may contact the database operator who operates the database and obtain information from the operator.</w:t>
      </w:r>
    </w:p>
    <w:p>
      <w:pPr>
        <w:pStyle w:val="Penstart"/>
      </w:pPr>
      <w:r>
        <w:tab/>
        <w:t>Penalty</w:t>
      </w:r>
      <w:ins w:id="871" w:author="svcMRProcess" w:date="2019-04-15T16:46:00Z">
        <w:r>
          <w:t xml:space="preserve"> for this subsection</w:t>
        </w:r>
      </w:ins>
      <w:r>
        <w:t>: a fine of $5 000.</w:t>
      </w:r>
    </w:p>
    <w:p>
      <w:pPr>
        <w:pStyle w:val="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pPr>
        <w:pStyle w:val="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pPr>
        <w:pStyle w:val="Footnotesection"/>
      </w:pPr>
      <w:r>
        <w:tab/>
        <w:t>[Section 82C inserted: No. 60 of 2011 s. </w:t>
      </w:r>
      <w:del w:id="872" w:author="svcMRProcess" w:date="2019-04-15T16:46:00Z">
        <w:r>
          <w:delText>96</w:delText>
        </w:r>
      </w:del>
      <w:ins w:id="873" w:author="svcMRProcess" w:date="2019-04-15T16:46:00Z">
        <w:r>
          <w:t>96; amended: No. 3 of 2019 s. 25</w:t>
        </w:r>
      </w:ins>
      <w:r>
        <w:t xml:space="preserve">.] </w:t>
      </w:r>
    </w:p>
    <w:p>
      <w:pPr>
        <w:pStyle w:val="Heading5"/>
      </w:pPr>
      <w:bookmarkStart w:id="874" w:name="_Toc5719398"/>
      <w:bookmarkStart w:id="875" w:name="_Toc2160980"/>
      <w:r>
        <w:rPr>
          <w:rStyle w:val="CharSectno"/>
        </w:rPr>
        <w:t>82D</w:t>
      </w:r>
      <w:r>
        <w:t>.</w:t>
      </w:r>
      <w:r>
        <w:tab/>
        <w:t>Notice of listing if database used</w:t>
      </w:r>
      <w:bookmarkEnd w:id="874"/>
      <w:bookmarkEnd w:id="875"/>
    </w:p>
    <w:p>
      <w:pPr>
        <w:pStyle w:val="Subsection"/>
      </w:pPr>
      <w:r>
        <w:tab/>
        <w:t>(1)</w:t>
      </w:r>
      <w:r>
        <w:tab/>
        <w:t>This section applies if —</w:t>
      </w:r>
    </w:p>
    <w:p>
      <w:pPr>
        <w:pStyle w:val="Indenta"/>
      </w:pPr>
      <w:r>
        <w:tab/>
        <w:t>(a)</w:t>
      </w:r>
      <w:r>
        <w:tab/>
        <w:t xml:space="preserve">a person (the </w:t>
      </w:r>
      <w:r>
        <w:rPr>
          <w:rStyle w:val="CharDefText"/>
        </w:rPr>
        <w:t>applicant</w:t>
      </w:r>
      <w:r>
        <w:t>) applies to a lessor, whether or not through the lessor’s agent, to enter into a residential tenancy agreement; and</w:t>
      </w:r>
    </w:p>
    <w:p>
      <w:pPr>
        <w:pStyle w:val="Indenta"/>
      </w:pPr>
      <w:r>
        <w:tab/>
        <w:t>(b)</w:t>
      </w:r>
      <w:r>
        <w:tab/>
        <w:t>the lessor or, if the application is made through the lessor’s agent, the lessor or agent uses a residential tenancy database for checking whether personal information about the applicant is in the database; and</w:t>
      </w:r>
    </w:p>
    <w:p>
      <w:pPr>
        <w:pStyle w:val="Indenta"/>
      </w:pPr>
      <w:r>
        <w:tab/>
        <w:t>(c)</w:t>
      </w:r>
      <w:r>
        <w:tab/>
        <w:t>personal information about the applicant is in the database.</w:t>
      </w:r>
    </w:p>
    <w:p>
      <w:pPr>
        <w:pStyle w:val="Subsection"/>
        <w:keepNext/>
      </w:pPr>
      <w:r>
        <w:tab/>
        <w:t>(2)</w:t>
      </w:r>
      <w:r>
        <w:tab/>
        <w:t>The lessor or agent must, as soon as possible but within 7 days after using the database, give the applicant a written notice stating —</w:t>
      </w:r>
    </w:p>
    <w:p>
      <w:pPr>
        <w:pStyle w:val="Indenta"/>
      </w:pPr>
      <w:r>
        <w:tab/>
        <w:t>(a)</w:t>
      </w:r>
      <w:r>
        <w:tab/>
        <w:t>the name of the database; and</w:t>
      </w:r>
    </w:p>
    <w:p>
      <w:pPr>
        <w:pStyle w:val="Indenta"/>
      </w:pPr>
      <w:r>
        <w:tab/>
        <w:t>(b)</w:t>
      </w:r>
      <w:r>
        <w:tab/>
        <w:t>that personal information about the applicant is in the database; and</w:t>
      </w:r>
    </w:p>
    <w:p>
      <w:pPr>
        <w:pStyle w:val="Indenta"/>
      </w:pPr>
      <w:r>
        <w:tab/>
        <w:t>(c)</w:t>
      </w:r>
      <w:r>
        <w:tab/>
        <w:t>the name of each person who listed the personal information in the database; and</w:t>
      </w:r>
    </w:p>
    <w:p>
      <w:pPr>
        <w:pStyle w:val="Indenta"/>
      </w:pPr>
      <w:r>
        <w:tab/>
        <w:t>(d)</w:t>
      </w:r>
      <w:r>
        <w:tab/>
        <w:t>how and in what circumstances the applicant can have the personal information removed or amended under this Part.</w:t>
      </w:r>
    </w:p>
    <w:p>
      <w:pPr>
        <w:pStyle w:val="Penstart"/>
      </w:pPr>
      <w:r>
        <w:tab/>
        <w:t>Penalty</w:t>
      </w:r>
      <w:ins w:id="876" w:author="svcMRProcess" w:date="2019-04-15T16:46:00Z">
        <w:r>
          <w:t xml:space="preserve"> for this subsection</w:t>
        </w:r>
      </w:ins>
      <w:r>
        <w:t>: a fine of $5 000.</w:t>
      </w:r>
    </w:p>
    <w:p>
      <w:pPr>
        <w:pStyle w:val="Subsection"/>
      </w:pPr>
      <w:r>
        <w:tab/>
        <w:t>(3)</w:t>
      </w:r>
      <w:r>
        <w:tab/>
        <w:t>However, subsection (2)(c) requires the written notice to state the name of a person only if the person is identified in the residential tenancy database as the person who listed the personal information in the database.</w:t>
      </w:r>
    </w:p>
    <w:p>
      <w:pPr>
        <w:pStyle w:val="Footnotesection"/>
      </w:pPr>
      <w:r>
        <w:tab/>
        <w:t>[Section 82D inserted: No. 60 of 2011 s. </w:t>
      </w:r>
      <w:del w:id="877" w:author="svcMRProcess" w:date="2019-04-15T16:46:00Z">
        <w:r>
          <w:delText>96</w:delText>
        </w:r>
      </w:del>
      <w:ins w:id="878" w:author="svcMRProcess" w:date="2019-04-15T16:46:00Z">
        <w:r>
          <w:t>96; amended: No. 3 of 2019 s. 25</w:t>
        </w:r>
      </w:ins>
      <w:r>
        <w:t xml:space="preserve">.] </w:t>
      </w:r>
    </w:p>
    <w:p>
      <w:pPr>
        <w:pStyle w:val="Heading5"/>
      </w:pPr>
      <w:bookmarkStart w:id="879" w:name="_Toc5719399"/>
      <w:bookmarkStart w:id="880" w:name="_Toc2160981"/>
      <w:r>
        <w:rPr>
          <w:rStyle w:val="CharSectno"/>
        </w:rPr>
        <w:t>82E</w:t>
      </w:r>
      <w:r>
        <w:t>.</w:t>
      </w:r>
      <w:r>
        <w:tab/>
        <w:t>Listing can be made only for particular breaches by particular persons</w:t>
      </w:r>
      <w:bookmarkEnd w:id="879"/>
      <w:bookmarkEnd w:id="880"/>
    </w:p>
    <w:p>
      <w:pPr>
        <w:pStyle w:val="Subsection"/>
      </w:pPr>
      <w:r>
        <w:tab/>
        <w:t>(1)</w:t>
      </w:r>
      <w:r>
        <w:tab/>
        <w:t>A lessor, lessor’s agent or database operator must not list personal information about a person in a residential tenancy database unless —</w:t>
      </w:r>
    </w:p>
    <w:p>
      <w:pPr>
        <w:pStyle w:val="Indenta"/>
      </w:pPr>
      <w:r>
        <w:tab/>
        <w:t>(a)</w:t>
      </w:r>
      <w:r>
        <w:tab/>
        <w:t>the person was named as a tenant in a residential tenancy agreement that has ended; and</w:t>
      </w:r>
    </w:p>
    <w:p>
      <w:pPr>
        <w:pStyle w:val="Indenta"/>
      </w:pPr>
      <w:r>
        <w:tab/>
        <w:t>(b)</w:t>
      </w:r>
      <w:r>
        <w:tab/>
        <w:t>the person has breached the agreement; and</w:t>
      </w:r>
    </w:p>
    <w:p>
      <w:pPr>
        <w:pStyle w:val="Indenta"/>
      </w:pPr>
      <w:r>
        <w:tab/>
        <w:t>(c)</w:t>
      </w:r>
      <w:r>
        <w:tab/>
        <w:t>because of the breach, either —</w:t>
      </w:r>
    </w:p>
    <w:p>
      <w:pPr>
        <w:pStyle w:val="Indenti"/>
      </w:pPr>
      <w:r>
        <w:tab/>
        <w:t>(i)</w:t>
      </w:r>
      <w:r>
        <w:tab/>
        <w:t>the person owes the lessor an amount that is more than the security bond for the agreement; or</w:t>
      </w:r>
    </w:p>
    <w:p>
      <w:pPr>
        <w:pStyle w:val="Indenti"/>
      </w:pPr>
      <w:r>
        <w:tab/>
        <w:t>(ii)</w:t>
      </w:r>
      <w:r>
        <w:tab/>
        <w:t xml:space="preserve">a court has made an order terminating the residential tenancy agreement; </w:t>
      </w:r>
    </w:p>
    <w:p>
      <w:pPr>
        <w:pStyle w:val="Indenta"/>
      </w:pPr>
      <w:r>
        <w:tab/>
      </w:r>
      <w:r>
        <w:tab/>
        <w:t>and</w:t>
      </w:r>
    </w:p>
    <w:p>
      <w:pPr>
        <w:pStyle w:val="Indenta"/>
      </w:pPr>
      <w:r>
        <w:tab/>
        <w:t>(d)</w:t>
      </w:r>
      <w:r>
        <w:tab/>
        <w:t>the personal information —</w:t>
      </w:r>
    </w:p>
    <w:p>
      <w:pPr>
        <w:pStyle w:val="Indenti"/>
      </w:pPr>
      <w:r>
        <w:tab/>
        <w:t>(i)</w:t>
      </w:r>
      <w:r>
        <w:tab/>
        <w:t>relates only to the breach; and</w:t>
      </w:r>
    </w:p>
    <w:p>
      <w:pPr>
        <w:pStyle w:val="Indenti"/>
      </w:pPr>
      <w:r>
        <w:tab/>
        <w:t>(ii)</w:t>
      </w:r>
      <w:r>
        <w:tab/>
        <w:t>is accurate, complete and unambiguous.</w:t>
      </w:r>
    </w:p>
    <w:p>
      <w:pPr>
        <w:pStyle w:val="Penstart"/>
      </w:pPr>
      <w:r>
        <w:tab/>
        <w:t>Penalty</w:t>
      </w:r>
      <w:ins w:id="881" w:author="svcMRProcess" w:date="2019-04-15T16:46:00Z">
        <w:r>
          <w:t xml:space="preserve"> for this subsection</w:t>
        </w:r>
      </w:ins>
      <w:r>
        <w:t>: a fine of $5 000.</w:t>
      </w:r>
    </w:p>
    <w:p>
      <w:pPr>
        <w:pStyle w:val="Subsection"/>
      </w:pPr>
      <w:r>
        <w:tab/>
        <w:t>(2)</w:t>
      </w:r>
      <w:r>
        <w:tab/>
        <w:t>Without limiting subsection (1)(d)(ii), the personal information must indicate the nature of the breach.</w:t>
      </w:r>
    </w:p>
    <w:p>
      <w:pPr>
        <w:pStyle w:val="Footnotesection"/>
      </w:pPr>
      <w:r>
        <w:tab/>
        <w:t>[Section 82E inserted: No. 60 of 2011 s. </w:t>
      </w:r>
      <w:del w:id="882" w:author="svcMRProcess" w:date="2019-04-15T16:46:00Z">
        <w:r>
          <w:delText>96</w:delText>
        </w:r>
      </w:del>
      <w:ins w:id="883" w:author="svcMRProcess" w:date="2019-04-15T16:46:00Z">
        <w:r>
          <w:t>96; amended: No. 3 of 2019 s. 25</w:t>
        </w:r>
      </w:ins>
      <w:r>
        <w:t xml:space="preserve">.] </w:t>
      </w:r>
    </w:p>
    <w:p>
      <w:pPr>
        <w:pStyle w:val="Heading5"/>
      </w:pPr>
      <w:bookmarkStart w:id="884" w:name="_Toc5719400"/>
      <w:bookmarkStart w:id="885" w:name="_Toc2160982"/>
      <w:r>
        <w:rPr>
          <w:rStyle w:val="CharSectno"/>
        </w:rPr>
        <w:t>82F</w:t>
      </w:r>
      <w:r>
        <w:t>.</w:t>
      </w:r>
      <w:r>
        <w:tab/>
        <w:t>Further restriction on listing</w:t>
      </w:r>
      <w:bookmarkEnd w:id="884"/>
      <w:bookmarkEnd w:id="885"/>
    </w:p>
    <w:p>
      <w:pPr>
        <w:pStyle w:val="Subsection"/>
      </w:pPr>
      <w:r>
        <w:tab/>
        <w:t>(1)</w:t>
      </w:r>
      <w:r>
        <w:tab/>
        <w:t>A lessor, lessor’s agent or database operator must not list personal information about a person in a residential tenancy database unless the lessor, agent or operator —</w:t>
      </w:r>
    </w:p>
    <w:p>
      <w:pPr>
        <w:pStyle w:val="Indenta"/>
      </w:pPr>
      <w:r>
        <w:tab/>
        <w:t>(a)</w:t>
      </w:r>
      <w:r>
        <w:tab/>
        <w:t>has, without charging a fee —</w:t>
      </w:r>
    </w:p>
    <w:p>
      <w:pPr>
        <w:pStyle w:val="Indenti"/>
      </w:pPr>
      <w:r>
        <w:tab/>
        <w:t>(i)</w:t>
      </w:r>
      <w:r>
        <w:tab/>
        <w:t>given the person a copy of the personal information; or</w:t>
      </w:r>
    </w:p>
    <w:p>
      <w:pPr>
        <w:pStyle w:val="Indenti"/>
      </w:pPr>
      <w:r>
        <w:tab/>
        <w:t>(ii)</w:t>
      </w:r>
      <w:r>
        <w:tab/>
        <w:t>taken other reasonable steps to disclose the personal information to the person;</w:t>
      </w:r>
    </w:p>
    <w:p>
      <w:pPr>
        <w:pStyle w:val="Indenta"/>
      </w:pPr>
      <w:r>
        <w:tab/>
      </w:r>
      <w:r>
        <w:tab/>
        <w:t>and</w:t>
      </w:r>
    </w:p>
    <w:p>
      <w:pPr>
        <w:pStyle w:val="Indenta"/>
      </w:pPr>
      <w:r>
        <w:tab/>
        <w:t>(b)</w:t>
      </w:r>
      <w:r>
        <w:tab/>
        <w:t>has given the person at least 14 days to review the personal information and make submissions —</w:t>
      </w:r>
    </w:p>
    <w:p>
      <w:pPr>
        <w:pStyle w:val="Indenti"/>
      </w:pPr>
      <w:r>
        <w:tab/>
        <w:t>(i)</w:t>
      </w:r>
      <w:r>
        <w:tab/>
        <w:t>objecting to its entry into the database; or</w:t>
      </w:r>
    </w:p>
    <w:p>
      <w:pPr>
        <w:pStyle w:val="Indenti"/>
      </w:pPr>
      <w:r>
        <w:tab/>
        <w:t>(ii)</w:t>
      </w:r>
      <w:r>
        <w:tab/>
        <w:t>about its accuracy, completeness and clarity;</w:t>
      </w:r>
    </w:p>
    <w:p>
      <w:pPr>
        <w:pStyle w:val="Indenta"/>
      </w:pPr>
      <w:r>
        <w:tab/>
      </w:r>
      <w:r>
        <w:tab/>
        <w:t>and</w:t>
      </w:r>
    </w:p>
    <w:p>
      <w:pPr>
        <w:pStyle w:val="Indenta"/>
      </w:pPr>
      <w:r>
        <w:tab/>
        <w:t>(c)</w:t>
      </w:r>
      <w:r>
        <w:tab/>
        <w:t>has considered any submissions made.</w:t>
      </w:r>
    </w:p>
    <w:p>
      <w:pPr>
        <w:pStyle w:val="Penstart"/>
      </w:pPr>
      <w:r>
        <w:tab/>
        <w:t>Penalty</w:t>
      </w:r>
      <w:ins w:id="886" w:author="svcMRProcess" w:date="2019-04-15T16:46:00Z">
        <w:r>
          <w:t xml:space="preserve"> for this subsection</w:t>
        </w:r>
      </w:ins>
      <w:r>
        <w:t>: a fine of $5 000.</w:t>
      </w:r>
    </w:p>
    <w:p>
      <w:pPr>
        <w:pStyle w:val="Subsection"/>
      </w:pPr>
      <w:r>
        <w:tab/>
        <w:t>(2)</w:t>
      </w:r>
      <w:r>
        <w:tab/>
        <w:t>Subsection (1) does not apply if the lessor, lessor’s agent or database operator cannot locate the person after making reasonable enquiries.</w:t>
      </w:r>
    </w:p>
    <w:p>
      <w:pPr>
        <w:pStyle w:val="Subsection"/>
        <w:keepNext/>
      </w:pPr>
      <w:r>
        <w:tab/>
        <w:t>(3)</w:t>
      </w:r>
      <w:r>
        <w:tab/>
        <w:t>Subsection (1)(b) and (c) do not apply —</w:t>
      </w:r>
    </w:p>
    <w:p>
      <w:pPr>
        <w:pStyle w:val="Indenta"/>
      </w:pPr>
      <w:r>
        <w:tab/>
        <w:t>(a)</w:t>
      </w:r>
      <w:r>
        <w:tab/>
        <w:t>to information that, at the time of the listing, is contained in publicly available court or tribunal records; or</w:t>
      </w:r>
    </w:p>
    <w:p>
      <w:pPr>
        <w:pStyle w:val="Indenta"/>
      </w:pPr>
      <w:r>
        <w:tab/>
        <w:t>(b)</w:t>
      </w:r>
      <w:r>
        <w:tab/>
        <w:t>to a listing involving only an amendment of personal information about a person under section 82G.</w:t>
      </w:r>
    </w:p>
    <w:p>
      <w:pPr>
        <w:pStyle w:val="Footnotesection"/>
      </w:pPr>
      <w:r>
        <w:tab/>
        <w:t>[Section 82F inserted: No. 60 of 2011 s. </w:t>
      </w:r>
      <w:del w:id="887" w:author="svcMRProcess" w:date="2019-04-15T16:46:00Z">
        <w:r>
          <w:delText>96</w:delText>
        </w:r>
      </w:del>
      <w:ins w:id="888" w:author="svcMRProcess" w:date="2019-04-15T16:46:00Z">
        <w:r>
          <w:t>96; amended: No. 3 of 2019 s. 25</w:t>
        </w:r>
      </w:ins>
      <w:r>
        <w:t xml:space="preserve">.] </w:t>
      </w:r>
    </w:p>
    <w:p>
      <w:pPr>
        <w:pStyle w:val="Heading5"/>
      </w:pPr>
      <w:bookmarkStart w:id="889" w:name="_Toc5719401"/>
      <w:bookmarkStart w:id="890" w:name="_Toc2160983"/>
      <w:r>
        <w:rPr>
          <w:rStyle w:val="CharSectno"/>
        </w:rPr>
        <w:t>82G</w:t>
      </w:r>
      <w:r>
        <w:t>.</w:t>
      </w:r>
      <w:r>
        <w:tab/>
        <w:t>Ensuring quality of listing — lessor’s or agent’s obligation</w:t>
      </w:r>
      <w:bookmarkEnd w:id="889"/>
      <w:bookmarkEnd w:id="890"/>
    </w:p>
    <w:p>
      <w:pPr>
        <w:pStyle w:val="Subsection"/>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pPr>
        <w:pStyle w:val="Subsection"/>
      </w:pPr>
      <w:r>
        <w:tab/>
        <w:t>(2)</w:t>
      </w:r>
      <w:r>
        <w:tab/>
        <w:t>The lessor or agent must, within 7 days, give written notice of the following to the database operator who operates the database —</w:t>
      </w:r>
    </w:p>
    <w:p>
      <w:pPr>
        <w:pStyle w:val="Indenta"/>
      </w:pPr>
      <w:r>
        <w:tab/>
        <w:t>(a)</w:t>
      </w:r>
      <w:r>
        <w:tab/>
        <w:t>if the information is inaccurate, incomplete or ambiguous —</w:t>
      </w:r>
    </w:p>
    <w:p>
      <w:pPr>
        <w:pStyle w:val="Indenti"/>
      </w:pPr>
      <w:r>
        <w:tab/>
        <w:t>(i)</w:t>
      </w:r>
      <w:r>
        <w:tab/>
        <w:t>that the information is inaccurate, incomplete or ambiguous; and</w:t>
      </w:r>
    </w:p>
    <w:p>
      <w:pPr>
        <w:pStyle w:val="Indenti"/>
      </w:pPr>
      <w:r>
        <w:tab/>
        <w:t>(ii)</w:t>
      </w:r>
      <w:r>
        <w:tab/>
        <w:t>how the information must be amended so that it is no longer inaccurate, incomplete or ambiguous;</w:t>
      </w:r>
    </w:p>
    <w:p>
      <w:pPr>
        <w:pStyle w:val="Indenta"/>
      </w:pPr>
      <w:r>
        <w:tab/>
        <w:t>(b)</w:t>
      </w:r>
      <w:r>
        <w:tab/>
        <w:t>if the information is out</w:t>
      </w:r>
      <w:r>
        <w:noBreakHyphen/>
        <w:t>of</w:t>
      </w:r>
      <w:r>
        <w:noBreakHyphen/>
        <w:t>date — that the information is out</w:t>
      </w:r>
      <w:r>
        <w:noBreakHyphen/>
        <w:t>of</w:t>
      </w:r>
      <w:r>
        <w:noBreakHyphen/>
        <w:t>date and must be removed.</w:t>
      </w:r>
    </w:p>
    <w:p>
      <w:pPr>
        <w:pStyle w:val="Penstart"/>
      </w:pPr>
      <w:r>
        <w:tab/>
        <w:t>Penalty</w:t>
      </w:r>
      <w:ins w:id="891" w:author="svcMRProcess" w:date="2019-04-15T16:46:00Z">
        <w:r>
          <w:t xml:space="preserve"> for this subsection</w:t>
        </w:r>
      </w:ins>
      <w:r>
        <w:t>: a fine of $5 000.</w:t>
      </w:r>
    </w:p>
    <w:p>
      <w:pPr>
        <w:pStyle w:val="Subsection"/>
      </w:pPr>
      <w:r>
        <w:tab/>
        <w:t>(3)</w:t>
      </w:r>
      <w:r>
        <w:tab/>
        <w:t>The lessor or agent must keep a copy of the written notice for one year after it was given under subsection (2).</w:t>
      </w:r>
    </w:p>
    <w:p>
      <w:pPr>
        <w:pStyle w:val="Penstart"/>
      </w:pPr>
      <w:r>
        <w:tab/>
        <w:t>Penalty</w:t>
      </w:r>
      <w:ins w:id="892" w:author="svcMRProcess" w:date="2019-04-15T16:46:00Z">
        <w:r>
          <w:t xml:space="preserve"> for this subsection</w:t>
        </w:r>
      </w:ins>
      <w:r>
        <w:t>: a fine of $5 000.</w:t>
      </w:r>
    </w:p>
    <w:p>
      <w:pPr>
        <w:pStyle w:val="Footnotesection"/>
      </w:pPr>
      <w:r>
        <w:tab/>
        <w:t>[Section 82G inserted: No. 60 of 2011 s. </w:t>
      </w:r>
      <w:del w:id="893" w:author="svcMRProcess" w:date="2019-04-15T16:46:00Z">
        <w:r>
          <w:delText>96</w:delText>
        </w:r>
      </w:del>
      <w:ins w:id="894" w:author="svcMRProcess" w:date="2019-04-15T16:46:00Z">
        <w:r>
          <w:t>96; amended: No. 3 of 2019 s. 25</w:t>
        </w:r>
      </w:ins>
      <w:r>
        <w:t xml:space="preserve">.] </w:t>
      </w:r>
    </w:p>
    <w:p>
      <w:pPr>
        <w:pStyle w:val="Heading5"/>
      </w:pPr>
      <w:bookmarkStart w:id="895" w:name="_Toc5719402"/>
      <w:bookmarkStart w:id="896" w:name="_Toc2160984"/>
      <w:r>
        <w:rPr>
          <w:rStyle w:val="CharSectno"/>
        </w:rPr>
        <w:t>82H</w:t>
      </w:r>
      <w:r>
        <w:t>.</w:t>
      </w:r>
      <w:r>
        <w:tab/>
        <w:t>Ensuring quality of listing — database operator’s obligation</w:t>
      </w:r>
      <w:bookmarkEnd w:id="895"/>
      <w:bookmarkEnd w:id="896"/>
    </w:p>
    <w:p>
      <w:pPr>
        <w:pStyle w:val="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pPr>
        <w:pStyle w:val="Indenta"/>
      </w:pPr>
      <w:r>
        <w:tab/>
        <w:t>(a)</w:t>
      </w:r>
      <w:r>
        <w:tab/>
        <w:t>amended in a stated way to make it accurate, complete and unambiguous; or</w:t>
      </w:r>
    </w:p>
    <w:p>
      <w:pPr>
        <w:pStyle w:val="Indenta"/>
      </w:pPr>
      <w:r>
        <w:tab/>
        <w:t>(b)</w:t>
      </w:r>
      <w:r>
        <w:tab/>
        <w:t>removed.</w:t>
      </w:r>
    </w:p>
    <w:p>
      <w:pPr>
        <w:pStyle w:val="Subsection"/>
      </w:pPr>
      <w:r>
        <w:tab/>
        <w:t>(2)</w:t>
      </w:r>
      <w:r>
        <w:tab/>
        <w:t>The database operator must amend the personal information in the stated way, or remove the personal information, within 14 days of the notice being given.</w:t>
      </w:r>
    </w:p>
    <w:p>
      <w:pPr>
        <w:pStyle w:val="Penstart"/>
      </w:pPr>
      <w:r>
        <w:tab/>
        <w:t>Penalty</w:t>
      </w:r>
      <w:ins w:id="897" w:author="svcMRProcess" w:date="2019-04-15T16:46:00Z">
        <w:r>
          <w:t xml:space="preserve"> for this subsection</w:t>
        </w:r>
      </w:ins>
      <w:r>
        <w:t>: a fine of $5 000.</w:t>
      </w:r>
    </w:p>
    <w:p>
      <w:pPr>
        <w:pStyle w:val="Footnotesection"/>
      </w:pPr>
      <w:r>
        <w:tab/>
        <w:t>[Section 82H inserted: No. 60 of 2011 s. </w:t>
      </w:r>
      <w:del w:id="898" w:author="svcMRProcess" w:date="2019-04-15T16:46:00Z">
        <w:r>
          <w:delText>96</w:delText>
        </w:r>
      </w:del>
      <w:ins w:id="899" w:author="svcMRProcess" w:date="2019-04-15T16:46:00Z">
        <w:r>
          <w:t>96; amended: No. 3 of 2019 s. 25</w:t>
        </w:r>
      </w:ins>
      <w:r>
        <w:t xml:space="preserve">.] </w:t>
      </w:r>
    </w:p>
    <w:p>
      <w:pPr>
        <w:pStyle w:val="Heading5"/>
      </w:pPr>
      <w:bookmarkStart w:id="900" w:name="_Toc5719403"/>
      <w:bookmarkStart w:id="901" w:name="_Toc2160985"/>
      <w:r>
        <w:rPr>
          <w:rStyle w:val="CharSectno"/>
        </w:rPr>
        <w:t>82I</w:t>
      </w:r>
      <w:r>
        <w:t>.</w:t>
      </w:r>
      <w:r>
        <w:tab/>
        <w:t>Providing copy of personal information listed</w:t>
      </w:r>
      <w:bookmarkEnd w:id="900"/>
      <w:bookmarkEnd w:id="901"/>
    </w:p>
    <w:p>
      <w:pPr>
        <w:pStyle w:val="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pPr>
        <w:pStyle w:val="Penstart"/>
      </w:pPr>
      <w:r>
        <w:tab/>
        <w:t>Penalty</w:t>
      </w:r>
      <w:ins w:id="902" w:author="svcMRProcess" w:date="2019-04-15T16:46:00Z">
        <w:r>
          <w:t xml:space="preserve"> for this subsection</w:t>
        </w:r>
      </w:ins>
      <w:r>
        <w:t>: a fine of $5 000.</w:t>
      </w:r>
    </w:p>
    <w:p>
      <w:pPr>
        <w:pStyle w:val="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pPr>
        <w:pStyle w:val="Penstart"/>
      </w:pPr>
      <w:r>
        <w:tab/>
        <w:t>Penalty</w:t>
      </w:r>
      <w:ins w:id="903" w:author="svcMRProcess" w:date="2019-04-15T16:46:00Z">
        <w:r>
          <w:t xml:space="preserve"> for this subsection</w:t>
        </w:r>
      </w:ins>
      <w:r>
        <w:t>: a fine of $5 000.</w:t>
      </w:r>
    </w:p>
    <w:p>
      <w:pPr>
        <w:pStyle w:val="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pPr>
        <w:pStyle w:val="Subsection"/>
      </w:pPr>
      <w:r>
        <w:tab/>
        <w:t>(4)</w:t>
      </w:r>
      <w:r>
        <w:tab/>
        <w:t>A fee charged by a lessor or lessor’s agent for giving personal information under subsection (1) or by a database operator for giving personal information under subsection (2) —</w:t>
      </w:r>
    </w:p>
    <w:p>
      <w:pPr>
        <w:pStyle w:val="Indenta"/>
      </w:pPr>
      <w:r>
        <w:tab/>
        <w:t>(a)</w:t>
      </w:r>
      <w:r>
        <w:tab/>
        <w:t>must not be excessive; and</w:t>
      </w:r>
    </w:p>
    <w:p>
      <w:pPr>
        <w:pStyle w:val="Indenta"/>
      </w:pPr>
      <w:r>
        <w:tab/>
        <w:t>(b)</w:t>
      </w:r>
      <w:r>
        <w:tab/>
        <w:t>must not apply to lodging a request for the information.</w:t>
      </w:r>
    </w:p>
    <w:p>
      <w:pPr>
        <w:pStyle w:val="Footnotesection"/>
      </w:pPr>
      <w:r>
        <w:tab/>
        <w:t>[Section 82I inserted: No. 60 of 2011 s. </w:t>
      </w:r>
      <w:del w:id="904" w:author="svcMRProcess" w:date="2019-04-15T16:46:00Z">
        <w:r>
          <w:delText>96</w:delText>
        </w:r>
      </w:del>
      <w:ins w:id="905" w:author="svcMRProcess" w:date="2019-04-15T16:46:00Z">
        <w:r>
          <w:t>96; amended: No. 3 of 2019 s. 25</w:t>
        </w:r>
      </w:ins>
      <w:r>
        <w:t xml:space="preserve">.] </w:t>
      </w:r>
    </w:p>
    <w:p>
      <w:pPr>
        <w:pStyle w:val="Heading5"/>
      </w:pPr>
      <w:bookmarkStart w:id="906" w:name="_Toc5719404"/>
      <w:bookmarkStart w:id="907" w:name="_Toc2160986"/>
      <w:r>
        <w:rPr>
          <w:rStyle w:val="CharSectno"/>
        </w:rPr>
        <w:t>82J</w:t>
      </w:r>
      <w:r>
        <w:t>.</w:t>
      </w:r>
      <w:r>
        <w:tab/>
        <w:t>Disputes about listings</w:t>
      </w:r>
      <w:bookmarkEnd w:id="906"/>
      <w:bookmarkEnd w:id="907"/>
    </w:p>
    <w:p>
      <w:pPr>
        <w:pStyle w:val="Subsection"/>
      </w:pPr>
      <w:r>
        <w:tab/>
        <w:t>(1)</w:t>
      </w:r>
      <w:r>
        <w:tab/>
        <w:t>A person may apply to a competent court for an order under this section if personal information about the person has been listed in a residential tenancy database.</w:t>
      </w:r>
    </w:p>
    <w:p>
      <w:pPr>
        <w:pStyle w:val="Subsection"/>
      </w:pPr>
      <w:r>
        <w:tab/>
        <w:t>(2)</w:t>
      </w:r>
      <w:r>
        <w:tab/>
        <w:t>The court may make an order under this section if it is satisfied that —</w:t>
      </w:r>
    </w:p>
    <w:p>
      <w:pPr>
        <w:pStyle w:val="Indenta"/>
      </w:pPr>
      <w:r>
        <w:tab/>
        <w:t>(a)</w:t>
      </w:r>
      <w:r>
        <w:tab/>
        <w:t>the residential tenancy database includes personal information about the applicant that is inaccurate, incomplete, ambiguous or out</w:t>
      </w:r>
      <w:r>
        <w:noBreakHyphen/>
        <w:t>of</w:t>
      </w:r>
      <w:r>
        <w:noBreakHyphen/>
        <w:t>date; or</w:t>
      </w:r>
    </w:p>
    <w:p>
      <w:pPr>
        <w:pStyle w:val="Indenta"/>
      </w:pPr>
      <w:r>
        <w:tab/>
        <w:t>(b)</w:t>
      </w:r>
      <w:r>
        <w:tab/>
        <w:t>the inclusion of the applicant’s name or other personal information about the applicant is unjust in the circumstances, having regard to all of the following —</w:t>
      </w:r>
    </w:p>
    <w:p>
      <w:pPr>
        <w:pStyle w:val="Indenti"/>
      </w:pPr>
      <w:r>
        <w:tab/>
        <w:t>(i)</w:t>
      </w:r>
      <w:r>
        <w:tab/>
        <w:t>the reason for the listing;</w:t>
      </w:r>
    </w:p>
    <w:p>
      <w:pPr>
        <w:pStyle w:val="Indenti"/>
      </w:pPr>
      <w:r>
        <w:tab/>
        <w:t>(ii)</w:t>
      </w:r>
      <w:r>
        <w:tab/>
        <w:t>the tenant’s involvement in any acts or omissions giving rise to the listing;</w:t>
      </w:r>
    </w:p>
    <w:p>
      <w:pPr>
        <w:pStyle w:val="Indenti"/>
      </w:pPr>
      <w:r>
        <w:tab/>
        <w:t>(iii)</w:t>
      </w:r>
      <w:r>
        <w:tab/>
        <w:t>any adverse consequences suffered, or likely to be suffered, by the tenant because of the listing;</w:t>
      </w:r>
    </w:p>
    <w:p>
      <w:pPr>
        <w:pStyle w:val="Indenti"/>
      </w:pPr>
      <w:r>
        <w:tab/>
        <w:t>(iv)</w:t>
      </w:r>
      <w:r>
        <w:tab/>
        <w:t>any other relevant matter.</w:t>
      </w:r>
    </w:p>
    <w:p>
      <w:pPr>
        <w:pStyle w:val="Subsection"/>
        <w:rPr>
          <w:ins w:id="908" w:author="svcMRProcess" w:date="2019-04-15T16:46:00Z"/>
        </w:rPr>
      </w:pPr>
      <w:r>
        <w:tab/>
        <w:t>(</w:t>
      </w:r>
      <w:ins w:id="909" w:author="svcMRProcess" w:date="2019-04-15T16:46:00Z">
        <w:r>
          <w:t>2A)</w:t>
        </w:r>
        <w:r>
          <w:tab/>
          <w:t>Without limiting subsection (</w:t>
        </w:r>
      </w:ins>
      <w:r>
        <w:t>2</w:t>
      </w:r>
      <w:ins w:id="910" w:author="svcMRProcess" w:date="2019-04-15T16:46:00Z">
        <w:r>
          <w:t>)(b), the inclusion of the applicant’s name or other personal information about the applicant is unjust if the circumstances relating to the listing result from the applicant being subjected or exposed to family violence.</w:t>
        </w:r>
      </w:ins>
    </w:p>
    <w:p>
      <w:pPr>
        <w:pStyle w:val="Subsection"/>
      </w:pPr>
      <w:ins w:id="911" w:author="svcMRProcess" w:date="2019-04-15T16:46:00Z">
        <w:r>
          <w:tab/>
          <w:t>(2B</w:t>
        </w:r>
      </w:ins>
      <w:r>
        <w:t>)</w:t>
      </w:r>
      <w:r>
        <w:tab/>
        <w:t>The court may order personal information about a person in a residential tenancy database to be wholly or partly removed, amended in a stated way or not listed in a residential tenancy database.</w:t>
      </w:r>
    </w:p>
    <w:p>
      <w:pPr>
        <w:pStyle w:val="Subsection"/>
      </w:pPr>
      <w:r>
        <w:tab/>
        <w:t>(3)</w:t>
      </w:r>
      <w:r>
        <w:tab/>
        <w:t>The court must give a copy of the order to the lessor, tenant and database operator.</w:t>
      </w:r>
    </w:p>
    <w:p>
      <w:pPr>
        <w:pStyle w:val="Subsection"/>
      </w:pPr>
      <w:r>
        <w:tab/>
        <w:t>(4)</w:t>
      </w:r>
      <w:r>
        <w:tab/>
        <w:t>If the court makes an order directing a person other than a lessor or agent to remove, amend or not list information in a residential tenancy database, the court must give a copy of the order to the person.</w:t>
      </w:r>
    </w:p>
    <w:p>
      <w:pPr>
        <w:pStyle w:val="Footnotesection"/>
      </w:pPr>
      <w:r>
        <w:tab/>
        <w:t>[Section 82J inserted: No. 60 of 2011 s. </w:t>
      </w:r>
      <w:del w:id="912" w:author="svcMRProcess" w:date="2019-04-15T16:46:00Z">
        <w:r>
          <w:delText>96</w:delText>
        </w:r>
      </w:del>
      <w:ins w:id="913" w:author="svcMRProcess" w:date="2019-04-15T16:46:00Z">
        <w:r>
          <w:t>96; amended: No. 3 of 2019 s. 20</w:t>
        </w:r>
      </w:ins>
      <w:r>
        <w:t xml:space="preserve">.] </w:t>
      </w:r>
    </w:p>
    <w:p>
      <w:pPr>
        <w:pStyle w:val="Heading5"/>
      </w:pPr>
      <w:bookmarkStart w:id="914" w:name="_Toc5719405"/>
      <w:bookmarkStart w:id="915" w:name="_Toc2160987"/>
      <w:r>
        <w:rPr>
          <w:rStyle w:val="CharSectno"/>
        </w:rPr>
        <w:t>82K</w:t>
      </w:r>
      <w:r>
        <w:t>.</w:t>
      </w:r>
      <w:r>
        <w:tab/>
        <w:t>Keeping personal information listed</w:t>
      </w:r>
      <w:bookmarkEnd w:id="914"/>
      <w:bookmarkEnd w:id="915"/>
    </w:p>
    <w:p>
      <w:pPr>
        <w:pStyle w:val="Subsection"/>
      </w:pPr>
      <w:r>
        <w:tab/>
        <w:t>(1)</w:t>
      </w:r>
      <w:r>
        <w:tab/>
        <w:t xml:space="preserve">In this section — </w:t>
      </w:r>
    </w:p>
    <w:p>
      <w:pPr>
        <w:pStyle w:val="Defstart"/>
      </w:pPr>
      <w:r>
        <w:tab/>
      </w:r>
      <w:r>
        <w:rPr>
          <w:rStyle w:val="CharDefText"/>
        </w:rPr>
        <w:t>national privacy principles</w:t>
      </w:r>
      <w:r>
        <w:t xml:space="preserve"> means the principles stated in the </w:t>
      </w:r>
      <w:r>
        <w:rPr>
          <w:i/>
          <w:iCs/>
        </w:rPr>
        <w:t>Privacy Act 1988</w:t>
      </w:r>
      <w:r>
        <w:t xml:space="preserve"> (Commonwealth).</w:t>
      </w:r>
    </w:p>
    <w:p>
      <w:pPr>
        <w:pStyle w:val="Subsection"/>
      </w:pPr>
      <w:r>
        <w:tab/>
        <w:t>(2)</w:t>
      </w:r>
      <w:r>
        <w:tab/>
        <w:t>A database operator must not keep personal information about a particular person in the operator’s residential tenancy database for longer than —</w:t>
      </w:r>
    </w:p>
    <w:p>
      <w:pPr>
        <w:pStyle w:val="Indenta"/>
      </w:pPr>
      <w:r>
        <w:tab/>
        <w:t>(a)</w:t>
      </w:r>
      <w:r>
        <w:tab/>
        <w:t>3 years; or</w:t>
      </w:r>
    </w:p>
    <w:p>
      <w:pPr>
        <w:pStyle w:val="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pPr>
        <w:pStyle w:val="Indenta"/>
      </w:pPr>
      <w:r>
        <w:tab/>
        <w:t>(c)</w:t>
      </w:r>
      <w:r>
        <w:tab/>
        <w:t xml:space="preserve">if the person — </w:t>
      </w:r>
    </w:p>
    <w:p>
      <w:pPr>
        <w:pStyle w:val="Indenti"/>
      </w:pPr>
      <w:r>
        <w:tab/>
        <w:t>(i)</w:t>
      </w:r>
      <w:r>
        <w:tab/>
        <w:t>was a minor as defined in section 59A(1) when the information was listed in the database; and</w:t>
      </w:r>
    </w:p>
    <w:p>
      <w:pPr>
        <w:pStyle w:val="Indenti"/>
      </w:pPr>
      <w:r>
        <w:tab/>
        <w:t>(ii)</w:t>
      </w:r>
      <w:r>
        <w:tab/>
        <w:t>reaches 18 years of age before the end of the 3 year period mentioned in paragraph (a),</w:t>
      </w:r>
    </w:p>
    <w:p>
      <w:pPr>
        <w:pStyle w:val="Indenta"/>
      </w:pPr>
      <w:r>
        <w:tab/>
      </w:r>
      <w:r>
        <w:tab/>
        <w:t>the period ending when the person reaches 18 years of age.</w:t>
      </w:r>
    </w:p>
    <w:p>
      <w:pPr>
        <w:pStyle w:val="Penstart"/>
      </w:pPr>
      <w:r>
        <w:tab/>
        <w:t>Penalty</w:t>
      </w:r>
      <w:ins w:id="916" w:author="svcMRProcess" w:date="2019-04-15T16:46:00Z">
        <w:r>
          <w:t xml:space="preserve"> for this subsection</w:t>
        </w:r>
      </w:ins>
      <w:r>
        <w:t>: a fine of $5 000.</w:t>
      </w:r>
    </w:p>
    <w:p>
      <w:pPr>
        <w:pStyle w:val="Subsection"/>
      </w:pPr>
      <w:r>
        <w:tab/>
        <w:t>(3)</w:t>
      </w:r>
      <w:r>
        <w:tab/>
        <w:t>However, a database operator may keep the person’s name in the operator’s residential tenancy database for longer than the period stated in subsection (2)(a) or (b) if —</w:t>
      </w:r>
    </w:p>
    <w:p>
      <w:pPr>
        <w:pStyle w:val="Indenta"/>
      </w:pPr>
      <w:r>
        <w:tab/>
        <w:t>(a)</w:t>
      </w:r>
      <w:r>
        <w:tab/>
        <w:t>other personal information about the person in the database is attached to the name; and</w:t>
      </w:r>
    </w:p>
    <w:p>
      <w:pPr>
        <w:pStyle w:val="Indenta"/>
      </w:pPr>
      <w:r>
        <w:tab/>
        <w:t>(b)</w:t>
      </w:r>
      <w:r>
        <w:tab/>
        <w:t>the other personal information is not required to be removed under subsection (2) or another law.</w:t>
      </w:r>
    </w:p>
    <w:p>
      <w:pPr>
        <w:pStyle w:val="Subsection"/>
      </w:pPr>
      <w:r>
        <w:tab/>
        <w:t>(4)</w:t>
      </w:r>
      <w:r>
        <w:tab/>
        <w:t>This section does not limit the operation of another provision of this Part or of another law that requires the removal of the personal information.</w:t>
      </w:r>
    </w:p>
    <w:p>
      <w:pPr>
        <w:pStyle w:val="Footnotesection"/>
      </w:pPr>
      <w:r>
        <w:tab/>
        <w:t>[Section 82K inserted: No. 60 of 2011 s. </w:t>
      </w:r>
      <w:del w:id="917" w:author="svcMRProcess" w:date="2019-04-15T16:46:00Z">
        <w:r>
          <w:delText>96</w:delText>
        </w:r>
      </w:del>
      <w:ins w:id="918" w:author="svcMRProcess" w:date="2019-04-15T16:46:00Z">
        <w:r>
          <w:t>96; amended: No. 3 of 2019 s. 25</w:t>
        </w:r>
      </w:ins>
      <w:r>
        <w:t xml:space="preserve">.] </w:t>
      </w:r>
    </w:p>
    <w:p>
      <w:pPr>
        <w:pStyle w:val="Heading2"/>
      </w:pPr>
      <w:bookmarkStart w:id="919" w:name="_Toc2153430"/>
      <w:bookmarkStart w:id="920" w:name="_Toc2160264"/>
      <w:bookmarkStart w:id="921" w:name="_Toc2160988"/>
      <w:bookmarkStart w:id="922" w:name="_Toc5621611"/>
      <w:bookmarkStart w:id="923" w:name="_Toc5633027"/>
      <w:bookmarkStart w:id="924" w:name="_Toc5719406"/>
      <w:r>
        <w:rPr>
          <w:rStyle w:val="CharPartNo"/>
        </w:rPr>
        <w:t>Part VI</w:t>
      </w:r>
      <w:r>
        <w:rPr>
          <w:rStyle w:val="CharDivNo"/>
        </w:rPr>
        <w:t> </w:t>
      </w:r>
      <w:r>
        <w:t>—</w:t>
      </w:r>
      <w:r>
        <w:rPr>
          <w:rStyle w:val="CharDivText"/>
        </w:rPr>
        <w:t> </w:t>
      </w:r>
      <w:r>
        <w:rPr>
          <w:rStyle w:val="CharPartText"/>
        </w:rPr>
        <w:t>Miscellaneous</w:t>
      </w:r>
      <w:bookmarkEnd w:id="919"/>
      <w:bookmarkEnd w:id="920"/>
      <w:bookmarkEnd w:id="921"/>
      <w:bookmarkEnd w:id="922"/>
      <w:bookmarkEnd w:id="923"/>
      <w:bookmarkEnd w:id="924"/>
    </w:p>
    <w:p>
      <w:pPr>
        <w:pStyle w:val="Heading5"/>
        <w:spacing w:before="200"/>
        <w:rPr>
          <w:snapToGrid w:val="0"/>
        </w:rPr>
      </w:pPr>
      <w:bookmarkStart w:id="925" w:name="_Toc5719407"/>
      <w:bookmarkStart w:id="926" w:name="_Toc2160989"/>
      <w:r>
        <w:rPr>
          <w:rStyle w:val="CharSectno"/>
        </w:rPr>
        <w:t>82</w:t>
      </w:r>
      <w:r>
        <w:rPr>
          <w:snapToGrid w:val="0"/>
        </w:rPr>
        <w:t>.</w:t>
      </w:r>
      <w:r>
        <w:rPr>
          <w:snapToGrid w:val="0"/>
        </w:rPr>
        <w:tab/>
        <w:t>Contracting out</w:t>
      </w:r>
      <w:bookmarkEnd w:id="925"/>
      <w:bookmarkEnd w:id="926"/>
      <w:r>
        <w:rPr>
          <w:snapToGrid w:val="0"/>
        </w:rPr>
        <w:t xml:space="preserve"> </w:t>
      </w:r>
    </w:p>
    <w:p>
      <w:pPr>
        <w:pStyle w:val="Subsection"/>
        <w:spacing w:before="120"/>
        <w:rPr>
          <w:snapToGrid w:val="0"/>
        </w:rPr>
      </w:pPr>
      <w:r>
        <w:rPr>
          <w:snapToGrid w:val="0"/>
        </w:rPr>
        <w:tab/>
        <w:t>(1)</w:t>
      </w:r>
      <w:r>
        <w:rPr>
          <w:snapToGrid w:val="0"/>
        </w:rPr>
        <w:tab/>
        <w:t xml:space="preserve">Except as provided </w:t>
      </w:r>
      <w:r>
        <w:t>under</w:t>
      </w:r>
      <w:r>
        <w:rPr>
          <w:snapToGrid w:val="0"/>
        </w:rPr>
        <w:t xml:space="preserve"> this Act — </w:t>
      </w:r>
    </w:p>
    <w:p>
      <w:pPr>
        <w:pStyle w:val="Indenta"/>
        <w:spacing w:before="60"/>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spacing w:before="60"/>
        <w:rPr>
          <w:snapToGrid w:val="0"/>
        </w:rPr>
      </w:pPr>
      <w:r>
        <w:rPr>
          <w:snapToGrid w:val="0"/>
        </w:rPr>
        <w:tab/>
        <w:t>(b)</w:t>
      </w:r>
      <w:r>
        <w:rPr>
          <w:snapToGrid w:val="0"/>
        </w:rPr>
        <w:tab/>
        <w:t>any purported waiver of a right conferred by or under this Act is void and of no effect.</w:t>
      </w:r>
    </w:p>
    <w:p>
      <w:pPr>
        <w:pStyle w:val="Subsection"/>
        <w:spacing w:before="120"/>
        <w:rPr>
          <w:snapToGrid w:val="0"/>
        </w:rPr>
      </w:pPr>
      <w:r>
        <w:rPr>
          <w:snapToGrid w:val="0"/>
        </w:rPr>
        <w:tab/>
        <w:t>(2)</w:t>
      </w:r>
      <w:r>
        <w:rPr>
          <w:snapToGrid w:val="0"/>
        </w:rPr>
        <w:tab/>
      </w:r>
      <w:r>
        <w:t>A person must not</w:t>
      </w:r>
      <w:r>
        <w:rPr>
          <w:snapToGrid w:val="0"/>
        </w:rPr>
        <w:t xml:space="preserve"> enter into any agreement or arrangement with intent either directly or indirectly to defeat, evade or prevent the operation of this Act.</w:t>
      </w:r>
    </w:p>
    <w:p>
      <w:pPr>
        <w:pStyle w:val="Penstart"/>
      </w:pPr>
      <w:r>
        <w:tab/>
        <w:t>Penalty</w:t>
      </w:r>
      <w:ins w:id="927" w:author="svcMRProcess" w:date="2019-04-15T16:46:00Z">
        <w:r>
          <w:t xml:space="preserve"> for this subsection</w:t>
        </w:r>
      </w:ins>
      <w:r>
        <w:t>: a fine of $10 000.</w:t>
      </w:r>
    </w:p>
    <w:p>
      <w:pPr>
        <w:pStyle w:val="Ednotesubsection"/>
        <w:spacing w:before="120"/>
      </w:pPr>
      <w:r>
        <w:tab/>
        <w:t>[(3)</w:t>
      </w:r>
      <w:r>
        <w:tab/>
        <w:t>deleted]</w:t>
      </w:r>
    </w:p>
    <w:p>
      <w:pPr>
        <w:pStyle w:val="Footnotesection"/>
        <w:spacing w:before="100"/>
      </w:pPr>
      <w:r>
        <w:tab/>
        <w:t>[Section 82 amended: No. 60 of 2011 s. </w:t>
      </w:r>
      <w:del w:id="928" w:author="svcMRProcess" w:date="2019-04-15T16:46:00Z">
        <w:r>
          <w:delText>80</w:delText>
        </w:r>
      </w:del>
      <w:ins w:id="929" w:author="svcMRProcess" w:date="2019-04-15T16:46:00Z">
        <w:r>
          <w:t>80; No. 3 of 2019 s. 25</w:t>
        </w:r>
      </w:ins>
      <w:r>
        <w:t xml:space="preserve">.] </w:t>
      </w:r>
    </w:p>
    <w:p>
      <w:pPr>
        <w:pStyle w:val="Heading5"/>
        <w:spacing w:before="200"/>
        <w:rPr>
          <w:snapToGrid w:val="0"/>
        </w:rPr>
      </w:pPr>
      <w:bookmarkStart w:id="930" w:name="_Toc5719408"/>
      <w:bookmarkStart w:id="931" w:name="_Toc2160990"/>
      <w:r>
        <w:rPr>
          <w:rStyle w:val="CharSectno"/>
        </w:rPr>
        <w:t>83</w:t>
      </w:r>
      <w:r>
        <w:rPr>
          <w:snapToGrid w:val="0"/>
        </w:rPr>
        <w:t>.</w:t>
      </w:r>
      <w:r>
        <w:rPr>
          <w:snapToGrid w:val="0"/>
        </w:rPr>
        <w:tab/>
        <w:t>Recovery of amounts paid under mistake of law or fact</w:t>
      </w:r>
      <w:bookmarkEnd w:id="930"/>
      <w:bookmarkEnd w:id="931"/>
      <w:r>
        <w:rPr>
          <w:snapToGrid w:val="0"/>
        </w:rPr>
        <w:t xml:space="preserve"> </w:t>
      </w:r>
    </w:p>
    <w:p>
      <w:pPr>
        <w:pStyle w:val="Subsection"/>
        <w:spacing w:before="120"/>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spacing w:before="60"/>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spacing w:before="60"/>
        <w:rPr>
          <w:snapToGrid w:val="0"/>
        </w:rPr>
      </w:pPr>
      <w:r>
        <w:rPr>
          <w:snapToGrid w:val="0"/>
        </w:rPr>
        <w:tab/>
        <w:t>(b)</w:t>
      </w:r>
      <w:r>
        <w:rPr>
          <w:snapToGrid w:val="0"/>
        </w:rPr>
        <w:tab/>
        <w:t>in the case of payment by the tenant, deduct the amount from rent payable under the agreement.</w:t>
      </w:r>
    </w:p>
    <w:p>
      <w:pPr>
        <w:pStyle w:val="Footnotesection"/>
        <w:spacing w:before="100"/>
      </w:pPr>
      <w:r>
        <w:tab/>
        <w:t xml:space="preserve">[Section 83 amended: No. 50 of 1988 s. 18; No. 59 of 2004 s. 120(1).] </w:t>
      </w:r>
    </w:p>
    <w:p>
      <w:pPr>
        <w:pStyle w:val="Heading5"/>
        <w:spacing w:before="200"/>
        <w:rPr>
          <w:snapToGrid w:val="0"/>
        </w:rPr>
      </w:pPr>
      <w:bookmarkStart w:id="932" w:name="_Toc5719409"/>
      <w:bookmarkStart w:id="933" w:name="_Toc2160991"/>
      <w:r>
        <w:rPr>
          <w:rStyle w:val="CharSectno"/>
        </w:rPr>
        <w:t>84</w:t>
      </w:r>
      <w:r>
        <w:rPr>
          <w:snapToGrid w:val="0"/>
        </w:rPr>
        <w:t>.</w:t>
      </w:r>
      <w:r>
        <w:rPr>
          <w:snapToGrid w:val="0"/>
        </w:rPr>
        <w:tab/>
        <w:t>Exemption of tenancy agreement or premises from provision of Act</w:t>
      </w:r>
      <w:bookmarkEnd w:id="932"/>
      <w:bookmarkEnd w:id="933"/>
      <w:r>
        <w:rPr>
          <w:snapToGrid w:val="0"/>
        </w:rPr>
        <w:t xml:space="preserve"> </w:t>
      </w:r>
    </w:p>
    <w:p>
      <w:pPr>
        <w:pStyle w:val="Subsection"/>
        <w:spacing w:before="120"/>
        <w:rPr>
          <w:snapToGrid w:val="0"/>
        </w:rPr>
      </w:pPr>
      <w:r>
        <w:rPr>
          <w:snapToGrid w:val="0"/>
        </w:rPr>
        <w:tab/>
      </w:r>
      <w:r>
        <w:rPr>
          <w:snapToGrid w:val="0"/>
        </w:rPr>
        <w:tab/>
        <w:t xml:space="preserve">A </w:t>
      </w:r>
      <w:r>
        <w:t>competent court</w:t>
      </w:r>
      <w:r>
        <w:rPr>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spacing w:before="100"/>
      </w:pPr>
      <w:r>
        <w:tab/>
        <w:t xml:space="preserve">[Section 84 amended: No. 50 of 1988 s. 16; No. 59 of 2004 s. 120(1) and (3).] </w:t>
      </w:r>
    </w:p>
    <w:p>
      <w:pPr>
        <w:pStyle w:val="Heading5"/>
        <w:rPr>
          <w:snapToGrid w:val="0"/>
        </w:rPr>
      </w:pPr>
      <w:bookmarkStart w:id="934" w:name="_Toc5719410"/>
      <w:bookmarkStart w:id="935" w:name="_Toc2160992"/>
      <w:r>
        <w:rPr>
          <w:rStyle w:val="CharSectno"/>
        </w:rPr>
        <w:t>85</w:t>
      </w:r>
      <w:r>
        <w:rPr>
          <w:snapToGrid w:val="0"/>
        </w:rPr>
        <w:t>.</w:t>
      </w:r>
      <w:r>
        <w:rPr>
          <w:snapToGrid w:val="0"/>
        </w:rPr>
        <w:tab/>
        <w:t>Service</w:t>
      </w:r>
      <w:bookmarkEnd w:id="934"/>
      <w:bookmarkEnd w:id="935"/>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spacing w:before="60"/>
        <w:rPr>
          <w:snapToGrid w:val="0"/>
        </w:rPr>
      </w:pPr>
      <w:r>
        <w:rPr>
          <w:snapToGrid w:val="0"/>
        </w:rPr>
        <w:tab/>
        <w:t>(a)</w:t>
      </w:r>
      <w:r>
        <w:rPr>
          <w:snapToGrid w:val="0"/>
        </w:rPr>
        <w:tab/>
        <w:t>be given to that person personally; or</w:t>
      </w:r>
    </w:p>
    <w:p>
      <w:pPr>
        <w:pStyle w:val="Indenta"/>
        <w:spacing w:before="60"/>
        <w:rPr>
          <w:snapToGrid w:val="0"/>
        </w:rPr>
      </w:pPr>
      <w:r>
        <w:rPr>
          <w:snapToGrid w:val="0"/>
        </w:rPr>
        <w:tab/>
        <w:t>(b)</w:t>
      </w:r>
      <w:r>
        <w:rPr>
          <w:snapToGrid w:val="0"/>
        </w:rPr>
        <w:tab/>
        <w:t xml:space="preserve">be sent by post addressed to that person at </w:t>
      </w:r>
      <w:r>
        <w:t>any place specified by the person as a place where the person’s mail may be directed or, if the person has not so specified, at the person’s</w:t>
      </w:r>
      <w:r>
        <w:rPr>
          <w:snapToGrid w:val="0"/>
        </w:rPr>
        <w:t xml:space="preserve"> last known place of residence, employment or </w:t>
      </w:r>
      <w:r>
        <w:t>business; or</w:t>
      </w:r>
    </w:p>
    <w:p>
      <w:pPr>
        <w:pStyle w:val="Indenta"/>
      </w:pPr>
      <w:r>
        <w:tab/>
        <w:t>(c)</w:t>
      </w:r>
      <w:r>
        <w:tab/>
        <w:t xml:space="preserve">with the consent of that person or in other </w:t>
      </w:r>
      <w:ins w:id="936" w:author="svcMRProcess" w:date="2019-04-15T16:46:00Z">
        <w:r>
          <w:t xml:space="preserve">prescribed </w:t>
        </w:r>
      </w:ins>
      <w:r>
        <w:t>circumstances</w:t>
      </w:r>
      <w:del w:id="937" w:author="svcMRProcess" w:date="2019-04-15T16:46:00Z">
        <w:r>
          <w:delText xml:space="preserve"> specified in the regulations</w:delText>
        </w:r>
      </w:del>
      <w:r>
        <w:t xml:space="preserve">, be given or served by </w:t>
      </w:r>
      <w:ins w:id="938" w:author="svcMRProcess" w:date="2019-04-15T16:46:00Z">
        <w:r>
          <w:t xml:space="preserve">prescribed </w:t>
        </w:r>
      </w:ins>
      <w:r>
        <w:t>electronic means</w:t>
      </w:r>
      <w:del w:id="939" w:author="svcMRProcess" w:date="2019-04-15T16:46:00Z">
        <w:r>
          <w:delText xml:space="preserve"> in accordance with the regulations</w:delText>
        </w:r>
      </w:del>
      <w:r>
        <w:t>.</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r>
      <w:r>
        <w:t>If a notice or document required or authorised to be given under this Act cannot be given or sent to a person in accordance with subsection (1), it</w:t>
      </w:r>
      <w:r>
        <w:rPr>
          <w:snapToGrid w:val="0"/>
        </w:rPr>
        <w:t xml:space="preserve"> shall be deemed to have been given to that person </w:t>
      </w:r>
      <w:r>
        <w:t>if —</w:t>
      </w:r>
    </w:p>
    <w:p>
      <w:pPr>
        <w:pStyle w:val="Indenta"/>
        <w:spacing w:before="60"/>
      </w:pPr>
      <w:r>
        <w:tab/>
        <w:t>(a)</w:t>
      </w:r>
      <w:r>
        <w:tab/>
        <w:t>a copy of it is published in a daily newspaper circulating throughout all, or most of, the State; or</w:t>
      </w:r>
    </w:p>
    <w:p>
      <w:pPr>
        <w:pStyle w:val="Indenta"/>
        <w:spacing w:before="60"/>
      </w:pPr>
      <w:r>
        <w:tab/>
        <w:t>(b)</w:t>
      </w:r>
      <w:r>
        <w:tab/>
        <w:t>a court hearing proceedings under this Act orders an alternative means of giving the notice or document, and that means of giving the notice or document is effected; or</w:t>
      </w:r>
    </w:p>
    <w:p>
      <w:pPr>
        <w:pStyle w:val="Indenta"/>
      </w:pPr>
      <w:r>
        <w:tab/>
        <w:t>(c)</w:t>
      </w:r>
      <w:r>
        <w:tab/>
        <w:t>it is made publicly available in any manner prescribed for the purposes of this paragraph, including (without limitation) by means of a website.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spacing w:before="60"/>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 xml:space="preserve">A notice or document required or authorised to be given under this Act to </w:t>
      </w:r>
      <w:r>
        <w:t>a lessor</w:t>
      </w:r>
      <w:r>
        <w:rPr>
          <w:snapToGrid w:val="0"/>
        </w:rPr>
        <w:t xml:space="preserve"> under a residential tenancy agreement shall be deemed to have been duly given </w:t>
      </w:r>
      <w:r>
        <w:t>to the lessor</w:t>
      </w:r>
      <w:r>
        <w:rPr>
          <w:snapToGrid w:val="0"/>
        </w:rPr>
        <w:t xml:space="preserve"> if it has been given to the </w:t>
      </w:r>
      <w:r>
        <w:t xml:space="preserve">property manager of the residential premises, </w:t>
      </w:r>
      <w:r>
        <w:rPr>
          <w:snapToGrid w:val="0"/>
        </w:rPr>
        <w:t>to any person apparently over the age of 16 years apparently residing at the place of residence of the lessor, or to the person who ordinarily receives the rent under the agreement.</w:t>
      </w:r>
    </w:p>
    <w:p>
      <w:pPr>
        <w:pStyle w:val="Subsection"/>
        <w:rPr>
          <w:snapToGrid w:val="0"/>
        </w:rPr>
      </w:pPr>
      <w:r>
        <w:rPr>
          <w:snapToGrid w:val="0"/>
        </w:rPr>
        <w:tab/>
        <w:t>(6)</w:t>
      </w:r>
      <w:r>
        <w:rPr>
          <w:snapToGrid w:val="0"/>
        </w:rPr>
        <w:tab/>
        <w:t xml:space="preserve">Where 2 or more persons are </w:t>
      </w:r>
      <w:r>
        <w:t>lessors</w:t>
      </w:r>
      <w:r>
        <w:rPr>
          <w:snapToGrid w:val="0"/>
        </w:rPr>
        <w:t xml:space="preserve"> or tenants under a residential tenancy agreement it shall be sufficient compliance with a provision of this Act requiring or authorising that a notice or document be given to </w:t>
      </w:r>
      <w:r>
        <w:t>the lessor</w:t>
      </w:r>
      <w:r>
        <w:rPr>
          <w:snapToGrid w:val="0"/>
        </w:rPr>
        <w:t xml:space="preserve"> or tenant under a residential tenancy agreement if the notice or document is given to any one of the </w:t>
      </w:r>
      <w:r>
        <w:t>lessors</w:t>
      </w:r>
      <w:r>
        <w:rPr>
          <w:snapToGrid w:val="0"/>
        </w:rPr>
        <w:t xml:space="preserve"> or tenants, as the case may be.</w:t>
      </w:r>
    </w:p>
    <w:p>
      <w:pPr>
        <w:pStyle w:val="Footnotesection"/>
      </w:pPr>
      <w:r>
        <w:tab/>
        <w:t>[Section 85 amended: No. 60 of 2011 s. 81 and 89; No. 42 of 2016 s. </w:t>
      </w:r>
      <w:del w:id="940" w:author="svcMRProcess" w:date="2019-04-15T16:46:00Z">
        <w:r>
          <w:delText>6</w:delText>
        </w:r>
      </w:del>
      <w:ins w:id="941" w:author="svcMRProcess" w:date="2019-04-15T16:46:00Z">
        <w:r>
          <w:t>6; No. 3 of 2019 s. 21</w:t>
        </w:r>
      </w:ins>
      <w:r>
        <w:t xml:space="preserve">.] </w:t>
      </w:r>
    </w:p>
    <w:p>
      <w:pPr>
        <w:pStyle w:val="Heading5"/>
        <w:spacing w:before="260"/>
      </w:pPr>
      <w:bookmarkStart w:id="942" w:name="_Toc5719411"/>
      <w:bookmarkStart w:id="943" w:name="_Toc2160993"/>
      <w:r>
        <w:rPr>
          <w:rStyle w:val="CharSectno"/>
        </w:rPr>
        <w:t>86</w:t>
      </w:r>
      <w:r>
        <w:t>.</w:t>
      </w:r>
      <w:r>
        <w:tab/>
        <w:t>Court may refer matter to Commissioner for investigation</w:t>
      </w:r>
      <w:bookmarkEnd w:id="942"/>
      <w:bookmarkEnd w:id="943"/>
    </w:p>
    <w:p>
      <w:pPr>
        <w:pStyle w:val="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the court may refer the matter to the Commissioner for investigation.</w:t>
      </w:r>
    </w:p>
    <w:p>
      <w:pPr>
        <w:pStyle w:val="Subsection"/>
      </w:pPr>
      <w:r>
        <w:tab/>
        <w:t>(2)</w:t>
      </w:r>
      <w:r>
        <w:tab/>
        <w:t>A court referring a matter to the Commissioner under subsection (1) is to give to the Commissioner any relevant documents or other records in the court’s possession.</w:t>
      </w:r>
    </w:p>
    <w:p>
      <w:pPr>
        <w:pStyle w:val="Footnotesection"/>
      </w:pPr>
      <w:r>
        <w:tab/>
        <w:t xml:space="preserve">[Section 86 inserted: No. 60 of 2011 s. 82.] </w:t>
      </w:r>
    </w:p>
    <w:p>
      <w:pPr>
        <w:pStyle w:val="Heading5"/>
        <w:spacing w:before="260"/>
      </w:pPr>
      <w:bookmarkStart w:id="944" w:name="_Toc5719412"/>
      <w:bookmarkStart w:id="945" w:name="_Toc2160994"/>
      <w:r>
        <w:rPr>
          <w:rStyle w:val="CharSectno"/>
        </w:rPr>
        <w:t>87A</w:t>
      </w:r>
      <w:r>
        <w:t>.</w:t>
      </w:r>
      <w:r>
        <w:tab/>
        <w:t>Defence where lessor and property manager are both charged with the same offence</w:t>
      </w:r>
      <w:bookmarkEnd w:id="944"/>
      <w:bookmarkEnd w:id="945"/>
    </w:p>
    <w:p>
      <w:pPr>
        <w:pStyle w:val="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pPr>
        <w:pStyle w:val="Indenta"/>
      </w:pPr>
      <w:r>
        <w:tab/>
        <w:t>(a)</w:t>
      </w:r>
      <w:r>
        <w:tab/>
        <w:t>did not aid, abet, counsel or procure the act or omission of the other giving rise to the offence; and</w:t>
      </w:r>
    </w:p>
    <w:p>
      <w:pPr>
        <w:pStyle w:val="Indenta"/>
      </w:pPr>
      <w:r>
        <w:tab/>
        <w:t>(b)</w:t>
      </w:r>
      <w:r>
        <w:tab/>
        <w:t>was not in any way, by act or omission, directly or indirectly, knowingly concerned in, or party to, the act or omission by the other.</w:t>
      </w:r>
    </w:p>
    <w:p>
      <w:pPr>
        <w:pStyle w:val="Footnotesection"/>
      </w:pPr>
      <w:r>
        <w:tab/>
        <w:t xml:space="preserve">[Section 87A inserted: No. 60 of 2011 s. 82.] </w:t>
      </w:r>
    </w:p>
    <w:p>
      <w:pPr>
        <w:pStyle w:val="Heading5"/>
        <w:rPr>
          <w:snapToGrid w:val="0"/>
        </w:rPr>
      </w:pPr>
      <w:bookmarkStart w:id="946" w:name="_Toc5719413"/>
      <w:bookmarkStart w:id="947" w:name="_Toc2160995"/>
      <w:r>
        <w:rPr>
          <w:rStyle w:val="CharSectno"/>
        </w:rPr>
        <w:t>87</w:t>
      </w:r>
      <w:r>
        <w:rPr>
          <w:snapToGrid w:val="0"/>
        </w:rPr>
        <w:t>.</w:t>
      </w:r>
      <w:r>
        <w:rPr>
          <w:snapToGrid w:val="0"/>
        </w:rPr>
        <w:tab/>
        <w:t>Time for bringing proceedings</w:t>
      </w:r>
      <w:bookmarkEnd w:id="946"/>
      <w:bookmarkEnd w:id="947"/>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pPr>
      <w:bookmarkStart w:id="948" w:name="_Toc5719414"/>
      <w:bookmarkStart w:id="949" w:name="_Toc2160996"/>
      <w:r>
        <w:rPr>
          <w:rStyle w:val="CharSectno"/>
        </w:rPr>
        <w:t>88A</w:t>
      </w:r>
      <w:r>
        <w:t>.</w:t>
      </w:r>
      <w:r>
        <w:tab/>
        <w:t>Infringement notices</w:t>
      </w:r>
      <w:bookmarkEnd w:id="948"/>
      <w:bookmarkEnd w:id="949"/>
    </w:p>
    <w:p>
      <w:pPr>
        <w:pStyle w:val="Subsection"/>
      </w:pPr>
      <w:r>
        <w:tab/>
        <w:t>(1)</w:t>
      </w:r>
      <w:r>
        <w:tab/>
        <w:t>In subsection (2), (3), (6) or (7) —</w:t>
      </w:r>
    </w:p>
    <w:p>
      <w:pPr>
        <w:pStyle w:val="Defstart"/>
      </w:pPr>
      <w:r>
        <w:tab/>
      </w:r>
      <w:r>
        <w:rPr>
          <w:rStyle w:val="CharDefText"/>
        </w:rPr>
        <w:t>authorised person</w:t>
      </w:r>
      <w:r>
        <w:t xml:space="preserve"> means a person appointed under subsection (13) by the Commissioner to be an authorised person for the purposes of the subsection in which the term is used.</w:t>
      </w:r>
    </w:p>
    <w:p>
      <w:pPr>
        <w:pStyle w:val="Subsection"/>
      </w:pPr>
      <w:r>
        <w:tab/>
        <w:t>(2)</w:t>
      </w:r>
      <w:r>
        <w:tab/>
        <w:t xml:space="preserve">An authorised person who has reason to believe that a person has committed a prescribed offence under this Act may give an infringement notice to the alleged offender within — </w:t>
      </w:r>
    </w:p>
    <w:p>
      <w:pPr>
        <w:pStyle w:val="Indenta"/>
      </w:pPr>
      <w:r>
        <w:tab/>
        <w:t>(a)</w:t>
      </w:r>
      <w:r>
        <w:tab/>
        <w:t>21 days after forming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spacing w:before="140"/>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40"/>
      </w:pPr>
      <w:r>
        <w:tab/>
        <w:t>(5)</w:t>
      </w:r>
      <w:r>
        <w:tab/>
        <w:t>The modified penalty that may be prescribed for an offence is not to exceed 20% of the maximum penalty that could be imposed for that offence by a court.</w:t>
      </w:r>
    </w:p>
    <w:p>
      <w:pPr>
        <w:pStyle w:val="Subsection"/>
        <w:spacing w:before="140"/>
      </w:pPr>
      <w:r>
        <w:tab/>
        <w:t>(6)</w:t>
      </w:r>
      <w:r>
        <w:tab/>
        <w:t>An authorised person may, in a particular case, extend the period of 28 days within which the modified penalty may be paid and the extension may be allowed whether or not the period of 28 days has elapsed.</w:t>
      </w:r>
    </w:p>
    <w:p>
      <w:pPr>
        <w:pStyle w:val="Subsection"/>
        <w:spacing w:before="140"/>
      </w:pPr>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p>
    <w:p>
      <w:pPr>
        <w:pStyle w:val="Subsection"/>
        <w:keepNext/>
        <w:spacing w:before="140"/>
      </w:pPr>
      <w:r>
        <w:tab/>
        <w:t>(8)</w:t>
      </w:r>
      <w:r>
        <w:tab/>
        <w:t>Where an infringement notice is withdrawn after the modified penalty has been paid, the amount is to be refunded.</w:t>
      </w:r>
    </w:p>
    <w:p>
      <w:pPr>
        <w:pStyle w:val="Subsection"/>
        <w:spacing w:before="140"/>
      </w:pPr>
      <w:r>
        <w:tab/>
        <w:t>(9)</w:t>
      </w:r>
      <w:r>
        <w:tab/>
        <w:t>Subsection (10) applies if the modified penalty specified in an infringement notice has been paid within 28 days or such further time as is allowed and the notice has not been withdrawn.</w:t>
      </w:r>
    </w:p>
    <w:p>
      <w:pPr>
        <w:pStyle w:val="Subsection"/>
        <w:spacing w:before="140"/>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40"/>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 xml:space="preserve">[Section 88A inserted: No. 60 of 2011 s. 83.] </w:t>
      </w:r>
    </w:p>
    <w:p>
      <w:pPr>
        <w:pStyle w:val="Heading5"/>
        <w:rPr>
          <w:ins w:id="950" w:author="svcMRProcess" w:date="2019-04-15T16:46:00Z"/>
        </w:rPr>
      </w:pPr>
      <w:bookmarkStart w:id="951" w:name="_Toc5719415"/>
      <w:ins w:id="952" w:author="svcMRProcess" w:date="2019-04-15T16:46:00Z">
        <w:r>
          <w:rPr>
            <w:rStyle w:val="CharSectno"/>
          </w:rPr>
          <w:t>88B</w:t>
        </w:r>
        <w:r>
          <w:t>.</w:t>
        </w:r>
        <w:r>
          <w:tab/>
          <w:t>Cross</w:t>
        </w:r>
        <w:r>
          <w:noBreakHyphen/>
          <w:t>examination of persons in proceedings involving family violence</w:t>
        </w:r>
        <w:bookmarkEnd w:id="951"/>
      </w:ins>
    </w:p>
    <w:p>
      <w:pPr>
        <w:pStyle w:val="Subsection"/>
        <w:rPr>
          <w:ins w:id="953" w:author="svcMRProcess" w:date="2019-04-15T16:46:00Z"/>
        </w:rPr>
      </w:pPr>
      <w:ins w:id="954" w:author="svcMRProcess" w:date="2019-04-15T16:46:00Z">
        <w:r>
          <w:tab/>
        </w:r>
        <w:r>
          <w:tab/>
          <w:t xml:space="preserve">The </w:t>
        </w:r>
        <w:r>
          <w:rPr>
            <w:i/>
          </w:rPr>
          <w:t>Restraining Orders Act 1997</w:t>
        </w:r>
        <w:r>
          <w:t xml:space="preserve"> section 44C applies to proceedings under this Act that involve family violence as if references to the respondent were references to the person allegedly committing the family violence.</w:t>
        </w:r>
      </w:ins>
    </w:p>
    <w:p>
      <w:pPr>
        <w:pStyle w:val="Footnotesection"/>
        <w:rPr>
          <w:ins w:id="955" w:author="svcMRProcess" w:date="2019-04-15T16:46:00Z"/>
        </w:rPr>
      </w:pPr>
      <w:ins w:id="956" w:author="svcMRProcess" w:date="2019-04-15T16:46:00Z">
        <w:r>
          <w:tab/>
          <w:t xml:space="preserve">[Section 88B inserted: No. 3 of 2019 s. 22.] </w:t>
        </w:r>
      </w:ins>
    </w:p>
    <w:p>
      <w:pPr>
        <w:pStyle w:val="Heading5"/>
        <w:rPr>
          <w:snapToGrid w:val="0"/>
        </w:rPr>
      </w:pPr>
      <w:bookmarkStart w:id="957" w:name="_Toc5719416"/>
      <w:bookmarkStart w:id="958" w:name="_Toc2160997"/>
      <w:r>
        <w:rPr>
          <w:rStyle w:val="CharSectno"/>
        </w:rPr>
        <w:t>88</w:t>
      </w:r>
      <w:r>
        <w:rPr>
          <w:snapToGrid w:val="0"/>
        </w:rPr>
        <w:t>.</w:t>
      </w:r>
      <w:r>
        <w:rPr>
          <w:snapToGrid w:val="0"/>
        </w:rPr>
        <w:tab/>
        <w:t>Regulations</w:t>
      </w:r>
      <w:bookmarkEnd w:id="957"/>
      <w:bookmarkEnd w:id="95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 and</w:t>
      </w:r>
    </w:p>
    <w:p>
      <w:pPr>
        <w:pStyle w:val="Ednotepara"/>
        <w:rPr>
          <w:snapToGrid w:val="0"/>
        </w:rPr>
      </w:pPr>
      <w:r>
        <w:rPr>
          <w:snapToGrid w:val="0"/>
        </w:rPr>
        <w:tab/>
        <w:t>[(b)-(d)</w:t>
      </w:r>
      <w:r>
        <w:rPr>
          <w:snapToGrid w:val="0"/>
        </w:rPr>
        <w:tab/>
        <w:t>deleted]</w:t>
      </w:r>
    </w:p>
    <w:p>
      <w:pPr>
        <w:pStyle w:val="Indenta"/>
        <w:rPr>
          <w:snapToGrid w:val="0"/>
        </w:rPr>
      </w:pPr>
      <w:r>
        <w:rPr>
          <w:snapToGrid w:val="0"/>
        </w:rPr>
        <w:tab/>
        <w:t>(e)</w:t>
      </w:r>
      <w:r>
        <w:rPr>
          <w:snapToGrid w:val="0"/>
        </w:rPr>
        <w:tab/>
        <w:t xml:space="preserve">prescribe penalties not exceeding </w:t>
      </w:r>
      <w:r>
        <w:t>$5 000</w:t>
      </w:r>
      <w:r>
        <w:rPr>
          <w:snapToGrid w:val="0"/>
        </w:rPr>
        <w:t xml:space="preserve"> for breach of, or non</w:t>
      </w:r>
      <w:r>
        <w:rPr>
          <w:snapToGrid w:val="0"/>
        </w:rPr>
        <w:noBreakHyphen/>
        <w:t>compliance with, any regulation.</w:t>
      </w:r>
    </w:p>
    <w:p>
      <w:pPr>
        <w:pStyle w:val="Subsection"/>
        <w:rPr>
          <w:ins w:id="959" w:author="svcMRProcess" w:date="2019-04-15T16:46:00Z"/>
        </w:rPr>
      </w:pPr>
      <w:ins w:id="960" w:author="svcMRProcess" w:date="2019-04-15T16:46:00Z">
        <w:r>
          <w:tab/>
          <w:t>(3)</w:t>
        </w:r>
        <w:r>
          <w:tab/>
          <w:t xml:space="preserve">Regulations made under subsection (1) for the purposes of section 47(4) or 71AB(2)(d)(vi) cannot come into operation earlier than 6 months after they are published in the </w:t>
        </w:r>
        <w:r>
          <w:rPr>
            <w:i/>
          </w:rPr>
          <w:t>Gazette</w:t>
        </w:r>
        <w:r>
          <w:t>.</w:t>
        </w:r>
      </w:ins>
    </w:p>
    <w:p>
      <w:pPr>
        <w:pStyle w:val="Footnotesection"/>
      </w:pPr>
      <w:r>
        <w:tab/>
        <w:t>[Section 88 amended: No. 60 of 2011 s. </w:t>
      </w:r>
      <w:del w:id="961" w:author="svcMRProcess" w:date="2019-04-15T16:46:00Z">
        <w:r>
          <w:delText>84</w:delText>
        </w:r>
      </w:del>
      <w:ins w:id="962" w:author="svcMRProcess" w:date="2019-04-15T16:46:00Z">
        <w:r>
          <w:t>84; No. 3 of 2019 s. 23</w:t>
        </w:r>
      </w:ins>
      <w:r>
        <w:t xml:space="preserve">.] </w:t>
      </w:r>
    </w:p>
    <w:p>
      <w:pPr>
        <w:pStyle w:val="Ednotesection"/>
      </w:pPr>
      <w:r>
        <w:t>[</w:t>
      </w:r>
      <w:r>
        <w:rPr>
          <w:b/>
        </w:rPr>
        <w:t>89.</w:t>
      </w:r>
      <w:r>
        <w:tab/>
        <w:t>Omitted under the Reprints Act 1984 s. 7(4)(e).]</w:t>
      </w:r>
    </w:p>
    <w:p>
      <w:pPr>
        <w:pStyle w:val="Heading5"/>
        <w:rPr>
          <w:snapToGrid w:val="0"/>
        </w:rPr>
      </w:pPr>
      <w:bookmarkStart w:id="963" w:name="_Toc5719417"/>
      <w:bookmarkStart w:id="964" w:name="_Toc2160998"/>
      <w:r>
        <w:rPr>
          <w:rStyle w:val="CharSectno"/>
        </w:rPr>
        <w:t>90</w:t>
      </w:r>
      <w:r>
        <w:rPr>
          <w:snapToGrid w:val="0"/>
        </w:rPr>
        <w:t>.</w:t>
      </w:r>
      <w:r>
        <w:rPr>
          <w:snapToGrid w:val="0"/>
        </w:rPr>
        <w:tab/>
        <w:t>Review of Act</w:t>
      </w:r>
      <w:bookmarkEnd w:id="963"/>
      <w:bookmarkEnd w:id="964"/>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The Minister shall prepare a report based on </w:t>
      </w:r>
      <w:r>
        <w:t>the Minister’s</w:t>
      </w:r>
      <w:r>
        <w:rPr>
          <w:snapToGrid w:val="0"/>
        </w:rPr>
        <w:t xml:space="preserve"> review of this Act and shall as soon as practicable after the preparation thereof, cause the report to be laid before each House of Parliament.</w:t>
      </w:r>
    </w:p>
    <w:p>
      <w:pPr>
        <w:pStyle w:val="Footnotesection"/>
      </w:pPr>
      <w:r>
        <w:tab/>
        <w:t xml:space="preserve">[Section 90 amended: No. 59 of 1995 s. 53; No. 60 of 2011 s. 85.] </w:t>
      </w:r>
    </w:p>
    <w:p>
      <w:pPr>
        <w:pStyle w:val="Heading2"/>
      </w:pPr>
      <w:bookmarkStart w:id="965" w:name="_Toc2153441"/>
      <w:bookmarkStart w:id="966" w:name="_Toc2160275"/>
      <w:bookmarkStart w:id="967" w:name="_Toc2160999"/>
      <w:bookmarkStart w:id="968" w:name="_Toc5621622"/>
      <w:bookmarkStart w:id="969" w:name="_Toc5633039"/>
      <w:bookmarkStart w:id="970" w:name="_Toc5719418"/>
      <w:r>
        <w:rPr>
          <w:rStyle w:val="CharPartNo"/>
        </w:rPr>
        <w:t>Part VII</w:t>
      </w:r>
      <w:r>
        <w:t> — </w:t>
      </w:r>
      <w:r>
        <w:rPr>
          <w:rStyle w:val="CharPartText"/>
        </w:rPr>
        <w:t xml:space="preserve">Savings and transitional provisions relating to the </w:t>
      </w:r>
      <w:r>
        <w:rPr>
          <w:rStyle w:val="CharPartText"/>
          <w:i/>
        </w:rPr>
        <w:t>Residential Tenancies Amendment Act 2011</w:t>
      </w:r>
      <w:bookmarkEnd w:id="965"/>
      <w:bookmarkEnd w:id="966"/>
      <w:bookmarkEnd w:id="967"/>
      <w:bookmarkEnd w:id="968"/>
      <w:bookmarkEnd w:id="969"/>
      <w:bookmarkEnd w:id="970"/>
    </w:p>
    <w:p>
      <w:pPr>
        <w:pStyle w:val="Footnoteheading"/>
      </w:pPr>
      <w:r>
        <w:tab/>
        <w:t xml:space="preserve">[Heading inserted: No. 60 of 2011 s. 86.] </w:t>
      </w:r>
    </w:p>
    <w:p>
      <w:pPr>
        <w:pStyle w:val="Heading3"/>
      </w:pPr>
      <w:bookmarkStart w:id="971" w:name="_Toc2153442"/>
      <w:bookmarkStart w:id="972" w:name="_Toc2160276"/>
      <w:bookmarkStart w:id="973" w:name="_Toc2161000"/>
      <w:bookmarkStart w:id="974" w:name="_Toc5621623"/>
      <w:bookmarkStart w:id="975" w:name="_Toc5633040"/>
      <w:bookmarkStart w:id="976" w:name="_Toc5719419"/>
      <w:r>
        <w:rPr>
          <w:rStyle w:val="CharDivNo"/>
        </w:rPr>
        <w:t>Division 1</w:t>
      </w:r>
      <w:r>
        <w:t> — </w:t>
      </w:r>
      <w:r>
        <w:rPr>
          <w:rStyle w:val="CharDivText"/>
        </w:rPr>
        <w:t>Contracting out</w:t>
      </w:r>
      <w:bookmarkEnd w:id="971"/>
      <w:bookmarkEnd w:id="972"/>
      <w:bookmarkEnd w:id="973"/>
      <w:bookmarkEnd w:id="974"/>
      <w:bookmarkEnd w:id="975"/>
      <w:bookmarkEnd w:id="976"/>
    </w:p>
    <w:p>
      <w:pPr>
        <w:pStyle w:val="Footnoteheading"/>
      </w:pPr>
      <w:r>
        <w:tab/>
        <w:t xml:space="preserve">[Heading inserted: No. 60 of 2011 s. 86.] </w:t>
      </w:r>
    </w:p>
    <w:p>
      <w:pPr>
        <w:pStyle w:val="Heading5"/>
      </w:pPr>
      <w:bookmarkStart w:id="977" w:name="_Toc5719420"/>
      <w:bookmarkStart w:id="978" w:name="_Toc2161001"/>
      <w:r>
        <w:rPr>
          <w:rStyle w:val="CharSectno"/>
        </w:rPr>
        <w:t>91</w:t>
      </w:r>
      <w:r>
        <w:t>.</w:t>
      </w:r>
      <w:r>
        <w:tab/>
        <w:t>Savings in relation to contracting out of standard terms</w:t>
      </w:r>
      <w:bookmarkEnd w:id="977"/>
      <w:bookmarkEnd w:id="97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iCs/>
        </w:rPr>
        <w:t>Residential Tenancies Amendment Act 2011</w:t>
      </w:r>
      <w:r>
        <w:t xml:space="preserve"> section 80(3) comes into operation</w:t>
      </w:r>
      <w:r>
        <w:rPr>
          <w:vertAlign w:val="superscript"/>
        </w:rPr>
        <w:t> 1</w:t>
      </w:r>
      <w:r>
        <w:t>.</w:t>
      </w:r>
    </w:p>
    <w:p>
      <w:pPr>
        <w:pStyle w:val="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pPr>
        <w:pStyle w:val="Footnotesection"/>
      </w:pPr>
      <w:r>
        <w:tab/>
        <w:t xml:space="preserve">[Section 91 inserted: No. 60 of 2011 s. 86.] </w:t>
      </w:r>
    </w:p>
    <w:p>
      <w:pPr>
        <w:pStyle w:val="Heading3"/>
      </w:pPr>
      <w:bookmarkStart w:id="979" w:name="_Toc2153444"/>
      <w:bookmarkStart w:id="980" w:name="_Toc2160278"/>
      <w:bookmarkStart w:id="981" w:name="_Toc2161002"/>
      <w:bookmarkStart w:id="982" w:name="_Toc5621625"/>
      <w:bookmarkStart w:id="983" w:name="_Toc5633042"/>
      <w:bookmarkStart w:id="984" w:name="_Toc5719421"/>
      <w:r>
        <w:rPr>
          <w:rStyle w:val="CharDivNo"/>
        </w:rPr>
        <w:t>Division 2</w:t>
      </w:r>
      <w:r>
        <w:t> — </w:t>
      </w:r>
      <w:r>
        <w:rPr>
          <w:rStyle w:val="CharDivText"/>
        </w:rPr>
        <w:t>Security bonds held in AFI</w:t>
      </w:r>
      <w:bookmarkEnd w:id="979"/>
      <w:bookmarkEnd w:id="980"/>
      <w:bookmarkEnd w:id="981"/>
      <w:bookmarkEnd w:id="982"/>
      <w:bookmarkEnd w:id="983"/>
      <w:bookmarkEnd w:id="984"/>
    </w:p>
    <w:p>
      <w:pPr>
        <w:pStyle w:val="Footnoteheading"/>
      </w:pPr>
      <w:r>
        <w:tab/>
        <w:t xml:space="preserve">[Heading inserted: No. 60 of 2011 s. 86.] </w:t>
      </w:r>
    </w:p>
    <w:p>
      <w:pPr>
        <w:pStyle w:val="Heading5"/>
      </w:pPr>
      <w:bookmarkStart w:id="985" w:name="_Toc5719422"/>
      <w:bookmarkStart w:id="986" w:name="_Toc2161003"/>
      <w:r>
        <w:rPr>
          <w:rStyle w:val="CharSectno"/>
        </w:rPr>
        <w:t>92</w:t>
      </w:r>
      <w:r>
        <w:t>.</w:t>
      </w:r>
      <w:r>
        <w:tab/>
        <w:t>Terms used</w:t>
      </w:r>
      <w:bookmarkEnd w:id="985"/>
      <w:bookmarkEnd w:id="986"/>
    </w:p>
    <w:p>
      <w:pPr>
        <w:pStyle w:val="Subsection"/>
      </w:pPr>
      <w:r>
        <w:tab/>
      </w:r>
      <w:r>
        <w:tab/>
        <w:t xml:space="preserve">In this Part — </w:t>
      </w:r>
    </w:p>
    <w:p>
      <w:pPr>
        <w:pStyle w:val="Defstart"/>
      </w:pPr>
      <w:r>
        <w:tab/>
      </w:r>
      <w:r>
        <w:rPr>
          <w:rStyle w:val="CharDefText"/>
        </w:rPr>
        <w:t>authorised financial institution</w:t>
      </w:r>
      <w:r>
        <w:t xml:space="preserve"> or </w:t>
      </w:r>
      <w:r>
        <w:rPr>
          <w:rStyle w:val="CharDefText"/>
        </w:rPr>
        <w:t>AFI</w:t>
      </w:r>
      <w:r>
        <w:t xml:space="preserve"> means —</w:t>
      </w:r>
    </w:p>
    <w:p>
      <w:pPr>
        <w:pStyle w:val="Defpara"/>
      </w:pPr>
      <w:r>
        <w:tab/>
        <w:t>(a)</w:t>
      </w:r>
      <w:r>
        <w:tab/>
        <w:t xml:space="preserve">an ADI (authorised deposit taking institution) as defined in the </w:t>
      </w:r>
      <w:r>
        <w:rPr>
          <w:i/>
          <w:iCs/>
        </w:rPr>
        <w:t>Banking Act 1959</w:t>
      </w:r>
      <w:r>
        <w:t xml:space="preserve"> (Commonwealth) section 5; or</w:t>
      </w:r>
    </w:p>
    <w:p>
      <w:pPr>
        <w:pStyle w:val="Defpara"/>
      </w:pPr>
      <w:r>
        <w:tab/>
        <w:t>(b)</w:t>
      </w:r>
      <w:r>
        <w:tab/>
        <w:t>a bank constituted by a law of a State, a Territory or the Commonwealth; or</w:t>
      </w:r>
    </w:p>
    <w:p>
      <w:pPr>
        <w:pStyle w:val="Defpara"/>
      </w:pPr>
      <w:r>
        <w:tab/>
        <w:t>(c)</w:t>
      </w:r>
      <w:r>
        <w:tab/>
        <w:t>any other body,</w:t>
      </w:r>
    </w:p>
    <w:p>
      <w:pPr>
        <w:pStyle w:val="Defstart"/>
      </w:pPr>
      <w:r>
        <w:tab/>
        <w:t>that was prescribed, or that belongs to a class of bodies that was prescribed, for the purposes of the definition of that term under Schedule 1 clause 1 as in force immediately before the commencement day;</w:t>
      </w:r>
    </w:p>
    <w:p>
      <w:pPr>
        <w:pStyle w:val="Defstart"/>
      </w:pPr>
      <w:r>
        <w:tab/>
      </w:r>
      <w:r>
        <w:rPr>
          <w:rStyle w:val="CharDefText"/>
        </w:rPr>
        <w:t>commencement day</w:t>
      </w:r>
      <w:r>
        <w:t xml:space="preserve"> means the day on which the </w:t>
      </w:r>
      <w:r>
        <w:rPr>
          <w:i/>
          <w:iCs/>
        </w:rPr>
        <w:t>Residential Tenancies Amendment Act 2011</w:t>
      </w:r>
      <w:r>
        <w:t xml:space="preserve"> section 87 comes into operation</w:t>
      </w:r>
      <w:r>
        <w:rPr>
          <w:vertAlign w:val="superscript"/>
        </w:rPr>
        <w:t> 1</w:t>
      </w:r>
      <w:r>
        <w:t>;</w:t>
      </w:r>
    </w:p>
    <w:p>
      <w:pPr>
        <w:pStyle w:val="Defstart"/>
      </w:pPr>
      <w:r>
        <w:tab/>
      </w:r>
      <w:r>
        <w:rPr>
          <w:rStyle w:val="CharDefText"/>
        </w:rPr>
        <w:t>security bond held in an AFI</w:t>
      </w:r>
      <w:r>
        <w:t xml:space="preserve"> means an amount of a security bond held in an AFI and that was so held immediately before the commencement day.</w:t>
      </w:r>
    </w:p>
    <w:p>
      <w:pPr>
        <w:pStyle w:val="Footnotesection"/>
      </w:pPr>
      <w:r>
        <w:tab/>
        <w:t xml:space="preserve">[Section 92 inserted: No. 60 of 2011 s. 86.] </w:t>
      </w:r>
    </w:p>
    <w:p>
      <w:pPr>
        <w:pStyle w:val="Heading5"/>
      </w:pPr>
      <w:bookmarkStart w:id="987" w:name="_Toc5719423"/>
      <w:bookmarkStart w:id="988" w:name="_Toc2161004"/>
      <w:r>
        <w:rPr>
          <w:rStyle w:val="CharSectno"/>
        </w:rPr>
        <w:t>93</w:t>
      </w:r>
      <w:r>
        <w:t>.</w:t>
      </w:r>
      <w:r>
        <w:tab/>
        <w:t>All security bonds to be transferred to bond administrator after renewal of agreement or within 18 months</w:t>
      </w:r>
      <w:bookmarkEnd w:id="987"/>
      <w:bookmarkEnd w:id="988"/>
    </w:p>
    <w:p>
      <w:pPr>
        <w:pStyle w:val="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pPr>
        <w:pStyle w:val="Indenta"/>
      </w:pPr>
      <w:r>
        <w:tab/>
        <w:t>(a)</w:t>
      </w:r>
      <w:r>
        <w:tab/>
        <w:t>if the agreement is renewed — as soon as practicable after the renewal; or</w:t>
      </w:r>
    </w:p>
    <w:p>
      <w:pPr>
        <w:pStyle w:val="Indenta"/>
      </w:pPr>
      <w:r>
        <w:tab/>
        <w:t>(b)</w:t>
      </w:r>
      <w:r>
        <w:tab/>
        <w:t>in any other case — not later than 18 months after the commencement day.</w:t>
      </w:r>
    </w:p>
    <w:p>
      <w:pPr>
        <w:pStyle w:val="Penstart"/>
      </w:pPr>
      <w:r>
        <w:tab/>
        <w:t>Penalty</w:t>
      </w:r>
      <w:ins w:id="989" w:author="svcMRProcess" w:date="2019-04-15T16:46:00Z">
        <w:r>
          <w:t xml:space="preserve"> for this subsection</w:t>
        </w:r>
      </w:ins>
      <w:r>
        <w:t>: a fine of $5 000.</w:t>
      </w:r>
    </w:p>
    <w:p>
      <w:pPr>
        <w:pStyle w:val="Subsection"/>
      </w:pPr>
      <w:r>
        <w:tab/>
        <w:t>(2)</w:t>
      </w:r>
      <w:r>
        <w:tab/>
        <w:t xml:space="preserve">The security bond is to be paid either — </w:t>
      </w:r>
    </w:p>
    <w:p>
      <w:pPr>
        <w:pStyle w:val="Indenta"/>
      </w:pPr>
      <w:r>
        <w:tab/>
        <w:t>(a)</w:t>
      </w:r>
      <w:r>
        <w:tab/>
        <w:t>to the tenant; or</w:t>
      </w:r>
    </w:p>
    <w:p>
      <w:pPr>
        <w:pStyle w:val="Indenta"/>
      </w:pPr>
      <w:r>
        <w:tab/>
        <w:t>(b)</w:t>
      </w:r>
      <w:r>
        <w:tab/>
        <w:t>to the bond administrator, in which case section 29(4)(b), (c) and (d) apply, with all necessary changes, to the payment.</w:t>
      </w:r>
    </w:p>
    <w:p>
      <w:pPr>
        <w:pStyle w:val="Footnotesection"/>
      </w:pPr>
      <w:r>
        <w:tab/>
        <w:t>[Section 93 inserted: No. 60 of 2011 s. </w:t>
      </w:r>
      <w:del w:id="990" w:author="svcMRProcess" w:date="2019-04-15T16:46:00Z">
        <w:r>
          <w:delText>86</w:delText>
        </w:r>
      </w:del>
      <w:ins w:id="991" w:author="svcMRProcess" w:date="2019-04-15T16:46:00Z">
        <w:r>
          <w:t>86; amended: No. 3 of 2019 s. 25</w:t>
        </w:r>
      </w:ins>
      <w:r>
        <w:t xml:space="preserve">.] </w:t>
      </w:r>
    </w:p>
    <w:p>
      <w:pPr>
        <w:pStyle w:val="Heading5"/>
      </w:pPr>
      <w:bookmarkStart w:id="992" w:name="_Toc5719424"/>
      <w:bookmarkStart w:id="993" w:name="_Toc2161005"/>
      <w:r>
        <w:rPr>
          <w:rStyle w:val="CharSectno"/>
        </w:rPr>
        <w:t>94</w:t>
      </w:r>
      <w:r>
        <w:t>.</w:t>
      </w:r>
      <w:r>
        <w:tab/>
        <w:t>Requirements for AFI holding security bonds</w:t>
      </w:r>
      <w:bookmarkEnd w:id="992"/>
      <w:bookmarkEnd w:id="993"/>
    </w:p>
    <w:p>
      <w:pPr>
        <w:pStyle w:val="Subsection"/>
      </w:pPr>
      <w:r>
        <w:tab/>
        <w:t>(1)</w:t>
      </w:r>
      <w:r>
        <w:tab/>
        <w:t xml:space="preserve">An AFI must ensure that the following records are kept, in a form approved by the Minister, in relation to each security bond held in the AFI — </w:t>
      </w:r>
    </w:p>
    <w:p>
      <w:pPr>
        <w:pStyle w:val="Indenta"/>
      </w:pPr>
      <w:r>
        <w:tab/>
        <w:t>(a)</w:t>
      </w:r>
      <w:r>
        <w:tab/>
        <w:t>the name and number of the account in which the security bond is held in the AFI;</w:t>
      </w:r>
    </w:p>
    <w:p>
      <w:pPr>
        <w:pStyle w:val="Indenta"/>
      </w:pPr>
      <w:r>
        <w:tab/>
        <w:t>(b)</w:t>
      </w:r>
      <w:r>
        <w:tab/>
        <w:t>the amount of the security bond;</w:t>
      </w:r>
    </w:p>
    <w:p>
      <w:pPr>
        <w:pStyle w:val="Indenta"/>
      </w:pPr>
      <w:r>
        <w:tab/>
        <w:t>(c)</w:t>
      </w:r>
      <w:r>
        <w:tab/>
        <w:t>the date the security bond was paid into the account.</w:t>
      </w:r>
    </w:p>
    <w:p>
      <w:pPr>
        <w:pStyle w:val="Subsection"/>
      </w:pPr>
      <w:r>
        <w:tab/>
        <w:t>(2)</w:t>
      </w:r>
      <w:r>
        <w:tab/>
        <w:t xml:space="preserve">The AFI must hold a security bond on the following terms — </w:t>
      </w:r>
    </w:p>
    <w:p>
      <w:pPr>
        <w:pStyle w:val="Indenta"/>
      </w:pPr>
      <w:r>
        <w:tab/>
        <w:t>(a)</w:t>
      </w:r>
      <w:r>
        <w:tab/>
        <w:t>interest at a rate not less than the prescribed rate must accrue on the amount of the bond for the period during which it is held by the AFI;</w:t>
      </w:r>
    </w:p>
    <w:p>
      <w:pPr>
        <w:pStyle w:val="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pPr>
        <w:pStyle w:val="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pPr>
        <w:pStyle w:val="Indenta"/>
      </w:pPr>
      <w:r>
        <w:tab/>
        <w:t>(d)</w:t>
      </w:r>
      <w:r>
        <w:tab/>
        <w:t>the amount of the security bond must be paid out in accordance with section 96.</w:t>
      </w:r>
    </w:p>
    <w:p>
      <w:pPr>
        <w:pStyle w:val="Subsection"/>
      </w:pPr>
      <w:r>
        <w:tab/>
        <w:t>(3)</w:t>
      </w:r>
      <w:r>
        <w:tab/>
        <w:t xml:space="preserve">In regulations made under section 88 the prescribed rate referred to in subsection (2)(a) and (b) may be prescribed by reference to a </w:t>
      </w:r>
      <w:ins w:id="994" w:author="svcMRProcess" w:date="2019-04-15T16:46:00Z">
        <w:r>
          <w:t xml:space="preserve">prescribed </w:t>
        </w:r>
      </w:ins>
      <w:r>
        <w:t>market rate indicator</w:t>
      </w:r>
      <w:del w:id="995" w:author="svcMRProcess" w:date="2019-04-15T16:46:00Z">
        <w:r>
          <w:delText xml:space="preserve"> specified in the regulations</w:delText>
        </w:r>
      </w:del>
      <w:r>
        <w:t>.</w:t>
      </w:r>
    </w:p>
    <w:p>
      <w:pPr>
        <w:pStyle w:val="Footnotesection"/>
      </w:pPr>
      <w:r>
        <w:tab/>
        <w:t>[Section 94 inserted: No. 60 of 2011 s. </w:t>
      </w:r>
      <w:del w:id="996" w:author="svcMRProcess" w:date="2019-04-15T16:46:00Z">
        <w:r>
          <w:delText>86</w:delText>
        </w:r>
      </w:del>
      <w:ins w:id="997" w:author="svcMRProcess" w:date="2019-04-15T16:46:00Z">
        <w:r>
          <w:t>86; amended: No. 3 of 2019 s. 24</w:t>
        </w:r>
      </w:ins>
      <w:r>
        <w:t xml:space="preserve">.] </w:t>
      </w:r>
    </w:p>
    <w:p>
      <w:pPr>
        <w:pStyle w:val="Heading5"/>
      </w:pPr>
      <w:bookmarkStart w:id="998" w:name="_Toc5719425"/>
      <w:bookmarkStart w:id="999" w:name="_Toc2161006"/>
      <w:r>
        <w:rPr>
          <w:rStyle w:val="CharSectno"/>
        </w:rPr>
        <w:t>95</w:t>
      </w:r>
      <w:r>
        <w:t>.</w:t>
      </w:r>
      <w:r>
        <w:tab/>
        <w:t>Power of Commissioner to obtain information relating to AFI security bond accounts</w:t>
      </w:r>
      <w:bookmarkEnd w:id="998"/>
      <w:bookmarkEnd w:id="999"/>
    </w:p>
    <w:p>
      <w:pPr>
        <w:pStyle w:val="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pPr>
        <w:pStyle w:val="Subsection"/>
      </w:pPr>
      <w:r>
        <w:tab/>
        <w:t>(2)</w:t>
      </w:r>
      <w:r>
        <w:tab/>
        <w:t xml:space="preserve">A requirement under subsection (1) — </w:t>
      </w:r>
    </w:p>
    <w:p>
      <w:pPr>
        <w:pStyle w:val="Indenta"/>
      </w:pPr>
      <w:r>
        <w:tab/>
        <w:t>(a)</w:t>
      </w:r>
      <w:r>
        <w:tab/>
        <w:t>must be given by notice in writing to the AFI; and</w:t>
      </w:r>
    </w:p>
    <w:p>
      <w:pPr>
        <w:pStyle w:val="Indenta"/>
      </w:pPr>
      <w:r>
        <w:tab/>
        <w:t>(b)</w:t>
      </w:r>
      <w:r>
        <w:tab/>
        <w:t>must specify the time at or within which the information is to be given; and</w:t>
      </w:r>
    </w:p>
    <w:p>
      <w:pPr>
        <w:pStyle w:val="Indenta"/>
      </w:pPr>
      <w:r>
        <w:tab/>
        <w:t>(c)</w:t>
      </w:r>
      <w:r>
        <w:tab/>
        <w:t xml:space="preserve">may, by its terms, require that the information be — </w:t>
      </w:r>
    </w:p>
    <w:p>
      <w:pPr>
        <w:pStyle w:val="Indenti"/>
      </w:pPr>
      <w:r>
        <w:tab/>
        <w:t>(i)</w:t>
      </w:r>
      <w:r>
        <w:tab/>
        <w:t>given in writing; and</w:t>
      </w:r>
    </w:p>
    <w:p>
      <w:pPr>
        <w:pStyle w:val="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pPr>
        <w:pStyle w:val="Indenti"/>
      </w:pPr>
      <w:r>
        <w:tab/>
        <w:t>(iii)</w:t>
      </w:r>
      <w:r>
        <w:tab/>
        <w:t>given at or sent or delivered to any place specified in the requirement; and</w:t>
      </w:r>
    </w:p>
    <w:p>
      <w:pPr>
        <w:pStyle w:val="Indenti"/>
      </w:pPr>
      <w:r>
        <w:tab/>
        <w:t>(iv)</w:t>
      </w:r>
      <w:r>
        <w:tab/>
        <w:t>sent or delivered by any means specified in the requirement; and</w:t>
      </w:r>
    </w:p>
    <w:p>
      <w:pPr>
        <w:pStyle w:val="Indenti"/>
      </w:pPr>
      <w:r>
        <w:tab/>
        <w:t>(v)</w:t>
      </w:r>
      <w:r>
        <w:tab/>
        <w:t>given on oath or affirmation or by statutory declaration;</w:t>
      </w:r>
    </w:p>
    <w:p>
      <w:pPr>
        <w:pStyle w:val="Indenta"/>
      </w:pPr>
      <w:r>
        <w:tab/>
      </w:r>
      <w:r>
        <w:tab/>
        <w:t>and</w:t>
      </w:r>
    </w:p>
    <w:p>
      <w:pPr>
        <w:pStyle w:val="Indenta"/>
      </w:pPr>
      <w:r>
        <w:tab/>
        <w:t>(d)</w:t>
      </w:r>
      <w:r>
        <w:tab/>
        <w:t>must state that the AFI is required under this Act to give the information.</w:t>
      </w:r>
    </w:p>
    <w:p>
      <w:pPr>
        <w:pStyle w:val="Subsection"/>
      </w:pPr>
      <w:r>
        <w:tab/>
        <w:t>(3)</w:t>
      </w:r>
      <w:r>
        <w:tab/>
        <w:t>A person must not, without reasonable excuse, refuse or fail to comply with a requirement under subsection (1).</w:t>
      </w:r>
    </w:p>
    <w:p>
      <w:pPr>
        <w:pStyle w:val="Penstart"/>
      </w:pPr>
      <w:r>
        <w:tab/>
        <w:t>Penalty</w:t>
      </w:r>
      <w:ins w:id="1000" w:author="svcMRProcess" w:date="2019-04-15T16:46:00Z">
        <w:r>
          <w:t xml:space="preserve"> for this subsection</w:t>
        </w:r>
      </w:ins>
      <w:r>
        <w:t>: a fine of $3 000.</w:t>
      </w:r>
    </w:p>
    <w:p>
      <w:pPr>
        <w:pStyle w:val="Subsection"/>
      </w:pPr>
      <w:r>
        <w:tab/>
        <w:t>(4)</w:t>
      </w:r>
      <w:r>
        <w:tab/>
        <w:t>A person must not give information in response to a requirement under subsection (1) that the person knows is false or misleading in a material particular.</w:t>
      </w:r>
    </w:p>
    <w:p>
      <w:pPr>
        <w:pStyle w:val="Penstart"/>
      </w:pPr>
      <w:r>
        <w:tab/>
        <w:t>Penalty</w:t>
      </w:r>
      <w:ins w:id="1001" w:author="svcMRProcess" w:date="2019-04-15T16:46:00Z">
        <w:r>
          <w:t xml:space="preserve"> for this subsection</w:t>
        </w:r>
      </w:ins>
      <w:r>
        <w:t>: a fine of $3 000.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(2)(a)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pPr>
        <w:pStyle w:val="Subsection"/>
      </w:pPr>
      <w:r>
        <w:tab/>
        <w:t>(7)</w:t>
      </w:r>
      <w:r>
        <w:tab/>
        <w:t>Despite subsection (6), information given under this section is not admissible in evidence in any proceedings against the person other than proceedings in respect of an offence against subsection (4).</w:t>
      </w:r>
    </w:p>
    <w:p>
      <w:pPr>
        <w:pStyle w:val="Footnotesection"/>
      </w:pPr>
      <w:r>
        <w:tab/>
        <w:t>[Section 95 inserted: No. 60 of 2011 s. </w:t>
      </w:r>
      <w:del w:id="1002" w:author="svcMRProcess" w:date="2019-04-15T16:46:00Z">
        <w:r>
          <w:delText>86</w:delText>
        </w:r>
      </w:del>
      <w:ins w:id="1003" w:author="svcMRProcess" w:date="2019-04-15T16:46:00Z">
        <w:r>
          <w:t>86; amended: No. 3 of 2019 s. 25</w:t>
        </w:r>
      </w:ins>
      <w:r>
        <w:t xml:space="preserve">.] </w:t>
      </w:r>
    </w:p>
    <w:p>
      <w:pPr>
        <w:pStyle w:val="Heading5"/>
      </w:pPr>
      <w:bookmarkStart w:id="1004" w:name="_Toc5719426"/>
      <w:bookmarkStart w:id="1005" w:name="_Toc2161007"/>
      <w:r>
        <w:rPr>
          <w:rStyle w:val="CharSectno"/>
        </w:rPr>
        <w:t>96</w:t>
      </w:r>
      <w:r>
        <w:t>.</w:t>
      </w:r>
      <w:r>
        <w:tab/>
        <w:t>Disposal of security bond held in AFIs</w:t>
      </w:r>
      <w:bookmarkEnd w:id="1004"/>
      <w:bookmarkEnd w:id="1005"/>
    </w:p>
    <w:p>
      <w:pPr>
        <w:pStyle w:val="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from the account the amount of the bond, or where subsection (4) applies part of that amount, in accordance with the application or the order.</w:t>
      </w:r>
    </w:p>
    <w:p>
      <w:pPr>
        <w:pStyle w:val="Subsection"/>
      </w:pPr>
      <w:r>
        <w:tab/>
        <w:t>(2)</w:t>
      </w:r>
      <w:r>
        <w:tab/>
        <w:t xml:space="preserve">A real estate agent must pay an amount under subsection (1) — </w:t>
      </w:r>
    </w:p>
    <w:p>
      <w:pPr>
        <w:pStyle w:val="Indenta"/>
      </w:pPr>
      <w:r>
        <w:tab/>
        <w:t>(a)</w:t>
      </w:r>
      <w:r>
        <w:tab/>
        <w:t>within the period, if any, specified in the relevant application or order; or</w:t>
      </w:r>
    </w:p>
    <w:p>
      <w:pPr>
        <w:pStyle w:val="Indenta"/>
      </w:pPr>
      <w:r>
        <w:tab/>
        <w:t>(b)</w:t>
      </w:r>
      <w:r>
        <w:tab/>
        <w:t>if no such period is specified, as soon as practicable but, in any case, not later than 7 days after receipt of the application or copy of the order.</w:t>
      </w:r>
    </w:p>
    <w:p>
      <w:pPr>
        <w:pStyle w:val="Penstart"/>
      </w:pPr>
      <w:r>
        <w:tab/>
        <w:t>Penalty</w:t>
      </w:r>
      <w:ins w:id="1006" w:author="svcMRProcess" w:date="2019-04-15T16:46:00Z">
        <w:r>
          <w:t xml:space="preserve"> for this subsection</w:t>
        </w:r>
      </w:ins>
      <w:r>
        <w:t>: a fine of $5 000.</w:t>
      </w:r>
    </w:p>
    <w:p>
      <w:pPr>
        <w:pStyle w:val="Subsection"/>
      </w:pPr>
      <w:r>
        <w:tab/>
        <w:t>(3)</w:t>
      </w:r>
      <w:r>
        <w:tab/>
        <w:t xml:space="preserve">Where a security bond is held in an AFI in an account in the names of the lessor and the tenant entitled “tenancy bond account”, the AFI that holds the account must on receipt of —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the amount of the bond, or where subsection (4) applies part of that amount, in accordance with the application or the order.</w:t>
      </w:r>
    </w:p>
    <w:p>
      <w:pPr>
        <w:pStyle w:val="Subsection"/>
      </w:pPr>
      <w:r>
        <w:tab/>
        <w:t>(4)</w:t>
      </w:r>
      <w:r>
        <w:tab/>
        <w:t>An application under subsection (1)(a) or (3)(a) may relate to part of the amount of a security bond.</w:t>
      </w:r>
    </w:p>
    <w:p>
      <w:pPr>
        <w:pStyle w:val="Subsection"/>
      </w:pPr>
      <w:r>
        <w:tab/>
        <w:t>(5)</w:t>
      </w:r>
      <w:r>
        <w:tab/>
        <w:t>Schedule 1 clause 5(3) applies in respect of an application referred to in subsection (1) or (3) as if it were an application referred to in clause 5(1) of that Schedule.</w:t>
      </w:r>
    </w:p>
    <w:p>
      <w:pPr>
        <w:pStyle w:val="Subsection"/>
      </w:pPr>
      <w:r>
        <w:tab/>
        <w:t>(6)</w:t>
      </w:r>
      <w:r>
        <w:tab/>
        <w:t>Schedule 1 clause 5(4) applies, with all necessary changes, in respect of a security bond held in an AFI.</w:t>
      </w:r>
    </w:p>
    <w:p>
      <w:pPr>
        <w:pStyle w:val="Subsection"/>
      </w:pPr>
      <w:r>
        <w:tab/>
        <w:t>(7)</w:t>
      </w:r>
      <w:r>
        <w:tab/>
        <w:t>Regulations made under section 88 may authorise the payment of an unclaimed bond to the credit of the Rental Accommodation Account.</w:t>
      </w:r>
    </w:p>
    <w:p>
      <w:pPr>
        <w:pStyle w:val="Footnotesection"/>
      </w:pPr>
      <w:r>
        <w:tab/>
        <w:t>[Section 96 inserted: No. 60 of 2011 s. </w:t>
      </w:r>
      <w:del w:id="1007" w:author="svcMRProcess" w:date="2019-04-15T16:46:00Z">
        <w:r>
          <w:delText>86</w:delText>
        </w:r>
      </w:del>
      <w:ins w:id="1008" w:author="svcMRProcess" w:date="2019-04-15T16:46:00Z">
        <w:r>
          <w:t>86; amended: No. 3 of 2019 s. 25</w:t>
        </w:r>
      </w:ins>
      <w:r>
        <w:t xml:space="preserve">.] </w:t>
      </w:r>
    </w:p>
    <w:p>
      <w:pPr>
        <w:pStyle w:val="Heading3"/>
      </w:pPr>
      <w:bookmarkStart w:id="1009" w:name="_Toc2153450"/>
      <w:bookmarkStart w:id="1010" w:name="_Toc2160284"/>
      <w:bookmarkStart w:id="1011" w:name="_Toc2161008"/>
      <w:bookmarkStart w:id="1012" w:name="_Toc5621631"/>
      <w:bookmarkStart w:id="1013" w:name="_Toc5633048"/>
      <w:bookmarkStart w:id="1014" w:name="_Toc5719427"/>
      <w:r>
        <w:rPr>
          <w:rStyle w:val="CharDivNo"/>
        </w:rPr>
        <w:t>Division 3</w:t>
      </w:r>
      <w:r>
        <w:t> — </w:t>
      </w:r>
      <w:r>
        <w:rPr>
          <w:rStyle w:val="CharDivText"/>
        </w:rPr>
        <w:t>Residential tenancy databases</w:t>
      </w:r>
      <w:bookmarkEnd w:id="1009"/>
      <w:bookmarkEnd w:id="1010"/>
      <w:bookmarkEnd w:id="1011"/>
      <w:bookmarkEnd w:id="1012"/>
      <w:bookmarkEnd w:id="1013"/>
      <w:bookmarkEnd w:id="1014"/>
    </w:p>
    <w:p>
      <w:pPr>
        <w:pStyle w:val="Footnoteheading"/>
        <w:keepNext/>
      </w:pPr>
      <w:r>
        <w:tab/>
        <w:t xml:space="preserve">[Heading inserted: No. 60 of 2011 s. 86.] </w:t>
      </w:r>
    </w:p>
    <w:p>
      <w:pPr>
        <w:pStyle w:val="Heading5"/>
      </w:pPr>
      <w:bookmarkStart w:id="1015" w:name="_Toc5719428"/>
      <w:bookmarkStart w:id="1016" w:name="_Toc2161009"/>
      <w:r>
        <w:rPr>
          <w:rStyle w:val="CharSectno"/>
        </w:rPr>
        <w:t>97</w:t>
      </w:r>
      <w:r>
        <w:t>.</w:t>
      </w:r>
      <w:r>
        <w:tab/>
        <w:t>Application of Part VIA to listings existing before commencement day</w:t>
      </w:r>
      <w:bookmarkEnd w:id="1015"/>
      <w:bookmarkEnd w:id="1016"/>
    </w:p>
    <w:p>
      <w:pPr>
        <w:pStyle w:val="Subsection"/>
      </w:pPr>
      <w:r>
        <w:tab/>
        <w:t>(1)</w:t>
      </w:r>
      <w:r>
        <w:tab/>
        <w:t>In this section —</w:t>
      </w:r>
    </w:p>
    <w:p>
      <w:pPr>
        <w:pStyle w:val="Defstart"/>
      </w:pPr>
      <w:r>
        <w:tab/>
      </w:r>
      <w:r>
        <w:rPr>
          <w:rStyle w:val="CharDefText"/>
        </w:rPr>
        <w:t>commencement day</w:t>
      </w:r>
      <w:r>
        <w:t xml:space="preserve"> means the day on which the </w:t>
      </w:r>
      <w:r>
        <w:rPr>
          <w:i/>
          <w:iCs/>
        </w:rPr>
        <w:t>Residential Tenancies Amendment Act 2011</w:t>
      </w:r>
      <w:r>
        <w:t xml:space="preserve"> section 96 comes into operation</w:t>
      </w:r>
      <w:r>
        <w:rPr>
          <w:vertAlign w:val="superscript"/>
        </w:rPr>
        <w:t> 1</w:t>
      </w:r>
      <w:r>
        <w:t>.</w:t>
      </w:r>
    </w:p>
    <w:p>
      <w:pPr>
        <w:pStyle w:val="Subsection"/>
      </w:pPr>
      <w:r>
        <w:tab/>
        <w:t>(2)</w:t>
      </w:r>
      <w:r>
        <w:tab/>
        <w:t>For the period of 3 months from the commencement day, Part VIA applies only in respect of personal information that is listed after that day.</w:t>
      </w:r>
    </w:p>
    <w:p>
      <w:pPr>
        <w:pStyle w:val="Subsection"/>
      </w:pPr>
      <w:r>
        <w:tab/>
        <w:t>(3)</w:t>
      </w:r>
      <w:r>
        <w:tab/>
        <w:t>A term used in subsection (2) that is used in Part VIA has the same meaning in that subsection as it has in that Part.</w:t>
      </w:r>
    </w:p>
    <w:p>
      <w:pPr>
        <w:pStyle w:val="Footnotesection"/>
      </w:pPr>
      <w:r>
        <w:tab/>
        <w:t xml:space="preserve">[Section 97 inserted: No. 60 of 2011 s. 86.] </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1017" w:name="_Toc2153452"/>
      <w:bookmarkStart w:id="1018" w:name="_Toc2160286"/>
      <w:bookmarkStart w:id="1019" w:name="_Toc2161010"/>
      <w:bookmarkStart w:id="1020" w:name="_Toc5621633"/>
      <w:bookmarkStart w:id="1021" w:name="_Toc5633050"/>
      <w:bookmarkStart w:id="1022" w:name="_Toc5719429"/>
      <w:r>
        <w:rPr>
          <w:rStyle w:val="CharSchNo"/>
          <w:rFonts w:eastAsia="MS Mincho"/>
        </w:rPr>
        <w:t>Schedule 1</w:t>
      </w:r>
      <w:r>
        <w:rPr>
          <w:rFonts w:eastAsia="MS Mincho"/>
        </w:rPr>
        <w:t> — </w:t>
      </w:r>
      <w:r>
        <w:rPr>
          <w:rStyle w:val="CharSchText"/>
          <w:rFonts w:eastAsia="MS Mincho"/>
        </w:rPr>
        <w:t>Provisions relating to holding and disposal of bonds and income from bonds</w:t>
      </w:r>
      <w:bookmarkEnd w:id="1017"/>
      <w:bookmarkEnd w:id="1018"/>
      <w:bookmarkEnd w:id="1019"/>
      <w:bookmarkEnd w:id="1020"/>
      <w:bookmarkEnd w:id="1021"/>
      <w:bookmarkEnd w:id="1022"/>
    </w:p>
    <w:p>
      <w:pPr>
        <w:pStyle w:val="yShoulderClause"/>
      </w:pPr>
      <w:r>
        <w:t>[s. 3, 7(3), 12, 29(4), (7), (8), 59D(6), 79(5), (6), (11) and 80A(8)]</w:t>
      </w:r>
    </w:p>
    <w:p>
      <w:pPr>
        <w:pStyle w:val="yFootnoteheading"/>
      </w:pPr>
      <w:r>
        <w:tab/>
        <w:t xml:space="preserve">[Heading inserted: No. 60 of 2011 s. 87(1).] </w:t>
      </w:r>
    </w:p>
    <w:p>
      <w:pPr>
        <w:pStyle w:val="yHeading3"/>
      </w:pPr>
      <w:bookmarkStart w:id="1023" w:name="_Toc2153453"/>
      <w:bookmarkStart w:id="1024" w:name="_Toc2160287"/>
      <w:bookmarkStart w:id="1025" w:name="_Toc2161011"/>
      <w:bookmarkStart w:id="1026" w:name="_Toc5621634"/>
      <w:bookmarkStart w:id="1027" w:name="_Toc5633051"/>
      <w:bookmarkStart w:id="1028" w:name="_Toc5719430"/>
      <w:r>
        <w:rPr>
          <w:rStyle w:val="CharSDivNo"/>
        </w:rPr>
        <w:t>Division 1</w:t>
      </w:r>
      <w:r>
        <w:t> — </w:t>
      </w:r>
      <w:r>
        <w:rPr>
          <w:rStyle w:val="CharSDivText"/>
        </w:rPr>
        <w:t>General</w:t>
      </w:r>
      <w:bookmarkEnd w:id="1023"/>
      <w:bookmarkEnd w:id="1024"/>
      <w:bookmarkEnd w:id="1025"/>
      <w:bookmarkEnd w:id="1026"/>
      <w:bookmarkEnd w:id="1027"/>
      <w:bookmarkEnd w:id="1028"/>
    </w:p>
    <w:p>
      <w:pPr>
        <w:pStyle w:val="yFootnoteheading"/>
      </w:pPr>
      <w:r>
        <w:tab/>
        <w:t>[Heading inserted: No. 60 of 2011 s. 87(2).]</w:t>
      </w:r>
    </w:p>
    <w:p>
      <w:pPr>
        <w:pStyle w:val="yHeading5"/>
        <w:rPr>
          <w:snapToGrid w:val="0"/>
        </w:rPr>
      </w:pPr>
      <w:bookmarkStart w:id="1029" w:name="_Toc5719431"/>
      <w:bookmarkStart w:id="1030" w:name="_Toc2161012"/>
      <w:r>
        <w:rPr>
          <w:rStyle w:val="CharSClsNo"/>
        </w:rPr>
        <w:t>1</w:t>
      </w:r>
      <w:r>
        <w:rPr>
          <w:snapToGrid w:val="0"/>
        </w:rPr>
        <w:t>.</w:t>
      </w:r>
      <w:r>
        <w:rPr>
          <w:snapToGrid w:val="0"/>
        </w:rPr>
        <w:tab/>
      </w:r>
      <w:r>
        <w:t>Term</w:t>
      </w:r>
      <w:r>
        <w:rPr>
          <w:snapToGrid w:val="0"/>
        </w:rPr>
        <w:t xml:space="preserve"> used: authorised agent</w:t>
      </w:r>
      <w:bookmarkEnd w:id="1029"/>
      <w:bookmarkEnd w:id="1030"/>
    </w:p>
    <w:p>
      <w:pPr>
        <w:pStyle w:val="ySubsection"/>
        <w:rPr>
          <w:snapToGrid w:val="0"/>
        </w:rPr>
      </w:pPr>
      <w:r>
        <w:rPr>
          <w:snapToGrid w:val="0"/>
        </w:rPr>
        <w:tab/>
      </w:r>
      <w:r>
        <w:rPr>
          <w:snapToGrid w:val="0"/>
        </w:rPr>
        <w:tab/>
        <w:t>In this Schedule — </w:t>
      </w:r>
    </w:p>
    <w:p>
      <w:pPr>
        <w:pStyle w:val="yDefstart"/>
      </w:pPr>
      <w:r>
        <w:tab/>
      </w:r>
      <w:r>
        <w:rPr>
          <w:rStyle w:val="CharDefText"/>
        </w:rPr>
        <w:t>authorised agent</w:t>
      </w:r>
      <w:r>
        <w:t xml:space="preserve"> means a public officer appointed by the bond administrator to be the bond administrator’s agent and included in a notice of such appointment published in the </w:t>
      </w:r>
      <w:r>
        <w:rPr>
          <w:i/>
          <w:iCs/>
        </w:rPr>
        <w:t>Gazette</w:t>
      </w:r>
      <w:r>
        <w:t>.</w:t>
      </w:r>
    </w:p>
    <w:p>
      <w:pPr>
        <w:pStyle w:val="yFootnotesection"/>
      </w:pPr>
      <w:r>
        <w:tab/>
        <w:t>[Clause 1 amended: No. 31 of 1993 s. 63(a); No. 59 of 1995 s. 54(1)(a); No.</w:t>
      </w:r>
      <w:del w:id="1031" w:author="svcMRProcess" w:date="2019-04-15T16:46:00Z">
        <w:r>
          <w:delText xml:space="preserve"> </w:delText>
        </w:r>
      </w:del>
      <w:ins w:id="1032" w:author="svcMRProcess" w:date="2019-04-15T16:46:00Z">
        <w:r>
          <w:t> </w:t>
        </w:r>
      </w:ins>
      <w:r>
        <w:t xml:space="preserve">26 of 1999 s. 100(3); No. 60  of 2011 s. 87(3)-(4).] </w:t>
      </w:r>
    </w:p>
    <w:p>
      <w:pPr>
        <w:pStyle w:val="yEdnotesection"/>
      </w:pPr>
      <w:r>
        <w:t>[</w:t>
      </w:r>
      <w:r>
        <w:rPr>
          <w:b/>
        </w:rPr>
        <w:t>2.</w:t>
      </w:r>
      <w:r>
        <w:tab/>
        <w:t>Deleted: No. 60 of 2011 s. 87(5).]</w:t>
      </w:r>
    </w:p>
    <w:p>
      <w:pPr>
        <w:pStyle w:val="yHeading5"/>
        <w:rPr>
          <w:snapToGrid w:val="0"/>
        </w:rPr>
      </w:pPr>
      <w:bookmarkStart w:id="1033" w:name="_Toc5719432"/>
      <w:bookmarkStart w:id="1034" w:name="_Toc2161013"/>
      <w:r>
        <w:rPr>
          <w:rStyle w:val="CharSClsNo"/>
        </w:rPr>
        <w:t>3</w:t>
      </w:r>
      <w:r>
        <w:rPr>
          <w:snapToGrid w:val="0"/>
        </w:rPr>
        <w:t>.</w:t>
      </w:r>
      <w:r>
        <w:rPr>
          <w:snapToGrid w:val="0"/>
        </w:rPr>
        <w:tab/>
        <w:t>Rental Accommodation Account</w:t>
      </w:r>
      <w:bookmarkEnd w:id="1033"/>
      <w:bookmarkEnd w:id="1034"/>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w:t>
      </w:r>
      <w:r>
        <w:t xml:space="preserve"> Account all of the following —</w:t>
      </w:r>
    </w:p>
    <w:p>
      <w:pPr>
        <w:pStyle w:val="yIndenta"/>
      </w:pPr>
      <w:r>
        <w:tab/>
        <w:t>(a)</w:t>
      </w:r>
      <w:r>
        <w:tab/>
        <w:t xml:space="preserve">all moneys received under </w:t>
      </w:r>
      <w:r>
        <w:rPr>
          <w:snapToGrid w:val="0"/>
        </w:rPr>
        <w:t>section 29(4)(b)</w:t>
      </w:r>
      <w:r>
        <w:t>;</w:t>
      </w:r>
    </w:p>
    <w:p>
      <w:pPr>
        <w:pStyle w:val="yIndenta"/>
      </w:pPr>
      <w:r>
        <w:tab/>
        <w:t>(ba)</w:t>
      </w:r>
      <w:r>
        <w:tab/>
        <w:t>all moneys received pursuant to a court order under section 59D(2);</w:t>
      </w:r>
    </w:p>
    <w:p>
      <w:pPr>
        <w:pStyle w:val="yIndenta"/>
      </w:pPr>
      <w:r>
        <w:tab/>
        <w:t>(bb)</w:t>
      </w:r>
      <w:r>
        <w:tab/>
        <w:t>interest payable to the fund under section 94(2)(b);</w:t>
      </w:r>
    </w:p>
    <w:p>
      <w:pPr>
        <w:pStyle w:val="yIndenta"/>
      </w:pPr>
      <w:r>
        <w:tab/>
        <w:t>(bc)</w:t>
      </w:r>
      <w:r>
        <w:tab/>
        <w:t xml:space="preserve">amounts payable to the fund under the </w:t>
      </w:r>
      <w:r>
        <w:rPr>
          <w:i/>
          <w:iCs/>
        </w:rPr>
        <w:t>Residential Parks (Long</w:t>
      </w:r>
      <w:r>
        <w:rPr>
          <w:i/>
          <w:iCs/>
        </w:rPr>
        <w:noBreakHyphen/>
        <w:t>stay Tenants) Act 2006</w:t>
      </w:r>
      <w:r>
        <w:t xml:space="preserve"> sections 75(3) and 92(b);</w:t>
      </w:r>
    </w:p>
    <w:p>
      <w:pPr>
        <w:pStyle w:val="yIndenta"/>
      </w:pPr>
      <w:r>
        <w:tab/>
        <w:t>(bd)</w:t>
      </w:r>
      <w:r>
        <w:tab/>
        <w:t xml:space="preserve">amounts payable to the fund under the </w:t>
      </w:r>
      <w:r>
        <w:rPr>
          <w:i/>
          <w:iCs/>
        </w:rPr>
        <w:t>Residential Parks (Long</w:t>
      </w:r>
      <w:r>
        <w:rPr>
          <w:i/>
          <w:iCs/>
        </w:rPr>
        <w:noBreakHyphen/>
        <w:t>stay Tenants) Act 2006</w:t>
      </w:r>
      <w:r>
        <w:t xml:space="preserve"> section 94(a);</w:t>
      </w:r>
    </w:p>
    <w:p>
      <w:pPr>
        <w:pStyle w:val="yIndenta"/>
        <w:rPr>
          <w:snapToGrid w:val="0"/>
        </w:rPr>
      </w:pPr>
      <w:r>
        <w:rPr>
          <w:snapToGrid w:val="0"/>
        </w:rPr>
        <w:tab/>
        <w:t>(b)</w:t>
      </w:r>
      <w:r>
        <w:rPr>
          <w:snapToGrid w:val="0"/>
        </w:rPr>
        <w:tab/>
        <w:t>all income arising from the investment of that account, as determined by the</w:t>
      </w:r>
      <w:r>
        <w:t xml:space="preserve"> Treasurer;</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 xml:space="preserve">The </w:t>
      </w:r>
      <w:r>
        <w:t>interest referred to in subclause (2)(bb), the amounts referred to subclause (2)(bc), the</w:t>
      </w:r>
      <w:r>
        <w:rPr>
          <w:snapToGrid w:val="0"/>
        </w:rPr>
        <w:t xml:space="preserve"> income referred to in subclause (2)(b) and the moneys referred to in subclause (2)(c) shall be applied — </w:t>
      </w:r>
    </w:p>
    <w:p>
      <w:pPr>
        <w:pStyle w:val="yIndenta"/>
        <w:rPr>
          <w:snapToGrid w:val="0"/>
        </w:rPr>
      </w:pPr>
      <w:r>
        <w:rPr>
          <w:snapToGrid w:val="0"/>
        </w:rPr>
        <w:tab/>
        <w:t>(a)</w:t>
      </w:r>
      <w:r>
        <w:rPr>
          <w:snapToGrid w:val="0"/>
        </w:rPr>
        <w:tab/>
        <w:t xml:space="preserve">in payment of any amount required to be paid by or under </w:t>
      </w:r>
      <w:r>
        <w:t>section 79(5) or (6) or 80A(8); and</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 and</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authorised agents and the Commissioner in carrying out their respective functions; and</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w:t>
      </w:r>
      <w:smartTag w:uri="urn:schemas-microsoft-com:office:smarttags" w:element="Street">
        <w:smartTag w:uri="urn:schemas-microsoft-com:office:smarttags" w:element="address">
          <w:r>
            <w:t>Magistrates Court</w:t>
          </w:r>
        </w:smartTag>
      </w:smartTag>
      <w:r>
        <w:t xml:space="preserve"> in connection with dealing with minor cases (within the meaning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the bond administrator’s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 xml:space="preserve">in payment of any amount required to be paid under </w:t>
      </w:r>
      <w:r>
        <w:t>subclause (5); and</w:t>
      </w:r>
    </w:p>
    <w:p>
      <w:pPr>
        <w:pStyle w:val="y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 xml:space="preserve">shall be determined by the Treasurer after consultation with the Ministers responsible for the administration of this Act and the </w:t>
      </w:r>
      <w:r>
        <w:rPr>
          <w:i/>
          <w:iCs/>
        </w:rPr>
        <w:t xml:space="preserve">Magistrates Court (Civil Proceedings) Act 2004 </w:t>
      </w:r>
      <w:r>
        <w:rPr>
          <w:snapToGrid w:val="0"/>
        </w:rPr>
        <w:t>respectively; and</w:t>
      </w:r>
    </w:p>
    <w:p>
      <w:pPr>
        <w:pStyle w:val="yIndenta"/>
        <w:rPr>
          <w:snapToGrid w:val="0"/>
        </w:rPr>
      </w:pPr>
      <w:r>
        <w:rPr>
          <w:snapToGrid w:val="0"/>
        </w:rPr>
        <w:tab/>
        <w:t>(b)</w:t>
      </w:r>
      <w:r>
        <w:rPr>
          <w:snapToGrid w:val="0"/>
        </w:rPr>
        <w:tab/>
        <w:t>shall be credited to</w:t>
      </w:r>
      <w:r>
        <w:t xml:space="preserve"> an operating account of the Department and the department principally assisting in the administration of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respectively.</w:t>
      </w:r>
    </w:p>
    <w:p>
      <w:pPr>
        <w:pStyle w:val="ySubsection"/>
        <w:rPr>
          <w:snapToGrid w:val="0"/>
        </w:rPr>
      </w:pPr>
      <w:r>
        <w:rPr>
          <w:snapToGrid w:val="0"/>
        </w:rPr>
        <w:tab/>
        <w:t>(5)</w:t>
      </w:r>
      <w:r>
        <w:rPr>
          <w:snapToGrid w:val="0"/>
        </w:rPr>
        <w:tab/>
        <w:t xml:space="preserve">If in the opinion of the Treasurer there is at any time any surplus income available from the Rental Accommodation </w:t>
      </w:r>
      <w:r>
        <w:t xml:space="preserve">Account the Treasurer may, after consulting the Minister, </w:t>
      </w:r>
      <w:r>
        <w:rPr>
          <w:snapToGrid w:val="0"/>
        </w:rPr>
        <w:t>direct that all or part of that surplus income be expended</w:t>
      </w:r>
      <w:r>
        <w:t xml:space="preserve"> </w:t>
      </w:r>
      <w:r>
        <w:rPr>
          <w:snapToGrid w:val="0"/>
        </w:rPr>
        <w:t>by the Housing Authority as defined in section 71A for the purpose of social housing premises in such manner as the Treasurer might specify.</w:t>
      </w:r>
    </w:p>
    <w:p>
      <w:pPr>
        <w:pStyle w:val="yFootnotesection"/>
      </w:pPr>
      <w:r>
        <w:tab/>
        <w:t>[Clause 3 amended: No. 50 of 1988 s. 17(a); No. 6 of 1993 s. 11; No. 31 of 1993 s. 63(b); No. 59 of 1995 s. 54(1)(d) and (e) and 56; No. 59 of 2004 s. 121; No. 28 of 2006 s. 137; No. 32 of 2006 s. 98; No. 77 of 2006 s. 4 and Sch. 1 cl. 149(2)-(5); No. 60 of 2011 s. 87(6)-(9).]</w:t>
      </w:r>
    </w:p>
    <w:p>
      <w:pPr>
        <w:pStyle w:val="yHeading5"/>
        <w:rPr>
          <w:snapToGrid w:val="0"/>
        </w:rPr>
      </w:pPr>
      <w:bookmarkStart w:id="1035" w:name="_Toc5719433"/>
      <w:bookmarkStart w:id="1036" w:name="_Toc2161014"/>
      <w:r>
        <w:rPr>
          <w:rStyle w:val="CharSClsNo"/>
        </w:rPr>
        <w:t>4</w:t>
      </w:r>
      <w:r>
        <w:rPr>
          <w:snapToGrid w:val="0"/>
        </w:rPr>
        <w:t>.</w:t>
      </w:r>
      <w:r>
        <w:rPr>
          <w:snapToGrid w:val="0"/>
        </w:rPr>
        <w:tab/>
        <w:t>Duties of bond administrator</w:t>
      </w:r>
      <w:bookmarkEnd w:id="1035"/>
      <w:bookmarkEnd w:id="1036"/>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w:t>
      </w:r>
      <w:r>
        <w:t xml:space="preserve"> Rental Accommodation Account; and</w:t>
      </w:r>
    </w:p>
    <w:p>
      <w:pPr>
        <w:pStyle w:val="yIndenta"/>
        <w:rPr>
          <w:snapToGrid w:val="0"/>
        </w:rPr>
      </w:pPr>
      <w:r>
        <w:rPr>
          <w:snapToGrid w:val="0"/>
        </w:rPr>
        <w:tab/>
        <w:t>(b)</w:t>
      </w:r>
      <w:r>
        <w:rPr>
          <w:snapToGrid w:val="0"/>
        </w:rPr>
        <w:tab/>
        <w:t xml:space="preserve">in relation to the amount of a security bond paid to </w:t>
      </w:r>
      <w:r>
        <w:t>the bond administrator</w:t>
      </w:r>
      <w:r>
        <w:rPr>
          <w:snapToGrid w:val="0"/>
        </w:rPr>
        <w:t xml:space="preserve"> under</w:t>
      </w:r>
      <w:r>
        <w:rPr>
          <w:szCs w:val="22"/>
        </w:rPr>
        <w:t xml:space="preserve"> section 29(4)(b) —</w:t>
      </w:r>
    </w:p>
    <w:p>
      <w:pPr>
        <w:pStyle w:val="yIndenti0"/>
        <w:rPr>
          <w:snapToGrid w:val="0"/>
        </w:rPr>
      </w:pPr>
      <w:r>
        <w:rPr>
          <w:snapToGrid w:val="0"/>
        </w:rPr>
        <w:tab/>
        <w:t>(i)</w:t>
      </w:r>
      <w:r>
        <w:rPr>
          <w:snapToGrid w:val="0"/>
        </w:rPr>
        <w:tab/>
        <w:t xml:space="preserve">show in such records the name and address of </w:t>
      </w:r>
      <w:r>
        <w:t>the lessor</w:t>
      </w:r>
      <w:r>
        <w:rPr>
          <w:snapToGrid w:val="0"/>
        </w:rPr>
        <w:t xml:space="preserve"> and the tenant under the residential tenancy agreement in respect of which the bond was paid; and</w:t>
      </w:r>
    </w:p>
    <w:p>
      <w:pPr>
        <w:pStyle w:val="yIndenti0"/>
        <w:rPr>
          <w:snapToGrid w:val="0"/>
        </w:rPr>
      </w:pPr>
      <w:r>
        <w:rPr>
          <w:snapToGrid w:val="0"/>
        </w:rPr>
        <w:tab/>
        <w:t>(ii)</w:t>
      </w:r>
      <w:r>
        <w:rPr>
          <w:snapToGrid w:val="0"/>
        </w:rPr>
        <w:tab/>
        <w:t xml:space="preserve">pay out the amount of the bond in accordance with </w:t>
      </w:r>
      <w:r>
        <w:rPr>
          <w:szCs w:val="22"/>
        </w:rPr>
        <w:t>clause 5;</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 xml:space="preserve">in relation to the amount of a tenant compensation bond paid to the bond administrator under section 59D(2) — </w:t>
      </w:r>
    </w:p>
    <w:p>
      <w:pPr>
        <w:pStyle w:val="yIndenti0"/>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pPr>
        <w:pStyle w:val="yIndenti0"/>
        <w:rPr>
          <w:snapToGrid w:val="0"/>
        </w:rPr>
      </w:pPr>
      <w:r>
        <w:rPr>
          <w:snapToGrid w:val="0"/>
        </w:rPr>
        <w:tab/>
        <w:t>(ii)</w:t>
      </w:r>
      <w:r>
        <w:rPr>
          <w:snapToGrid w:val="0"/>
        </w:rPr>
        <w:tab/>
        <w:t>pay out the amount of the bond in accordance with Division 3.</w:t>
      </w:r>
    </w:p>
    <w:p>
      <w:pPr>
        <w:pStyle w:val="yFootnotesection"/>
      </w:pPr>
      <w:r>
        <w:tab/>
        <w:t xml:space="preserve">[Clause 4 amended: No. 77 of 2006 Sch. 1 cl. 149(5); No. 60 of 2011 s. 87(10) and 89.] </w:t>
      </w:r>
    </w:p>
    <w:p>
      <w:pPr>
        <w:pStyle w:val="yHeading3"/>
      </w:pPr>
      <w:bookmarkStart w:id="1037" w:name="_Toc2153457"/>
      <w:bookmarkStart w:id="1038" w:name="_Toc2160291"/>
      <w:bookmarkStart w:id="1039" w:name="_Toc2161015"/>
      <w:bookmarkStart w:id="1040" w:name="_Toc5621638"/>
      <w:bookmarkStart w:id="1041" w:name="_Toc5633055"/>
      <w:bookmarkStart w:id="1042" w:name="_Toc5719434"/>
      <w:r>
        <w:rPr>
          <w:rStyle w:val="CharSDivNo"/>
        </w:rPr>
        <w:t>Division 2</w:t>
      </w:r>
      <w:r>
        <w:t> — </w:t>
      </w:r>
      <w:r>
        <w:rPr>
          <w:rStyle w:val="CharSDivText"/>
        </w:rPr>
        <w:t>Security bonds</w:t>
      </w:r>
      <w:bookmarkEnd w:id="1037"/>
      <w:bookmarkEnd w:id="1038"/>
      <w:bookmarkEnd w:id="1039"/>
      <w:bookmarkEnd w:id="1040"/>
      <w:bookmarkEnd w:id="1041"/>
      <w:bookmarkEnd w:id="1042"/>
    </w:p>
    <w:p>
      <w:pPr>
        <w:pStyle w:val="yFootnoteheading"/>
      </w:pPr>
      <w:r>
        <w:tab/>
        <w:t>[Heading inserted: No. 60 of 2011 s. 87(11).]</w:t>
      </w:r>
    </w:p>
    <w:p>
      <w:pPr>
        <w:pStyle w:val="yHeading5"/>
      </w:pPr>
      <w:bookmarkStart w:id="1043" w:name="_Toc5719435"/>
      <w:bookmarkStart w:id="1044" w:name="_Toc2161016"/>
      <w:r>
        <w:rPr>
          <w:rStyle w:val="CharSClsNo"/>
        </w:rPr>
        <w:t>5A</w:t>
      </w:r>
      <w:r>
        <w:t>.</w:t>
      </w:r>
      <w:r>
        <w:tab/>
        <w:t>Security bond moneys to be paid to bond administrator</w:t>
      </w:r>
      <w:bookmarkEnd w:id="1043"/>
      <w:bookmarkEnd w:id="1044"/>
    </w:p>
    <w:p>
      <w:pPr>
        <w:pStyle w:val="ySubsection"/>
        <w:rPr>
          <w:snapToGrid w:val="0"/>
        </w:rPr>
      </w:pPr>
      <w:r>
        <w:tab/>
        <w:t>(1)</w:t>
      </w:r>
      <w:r>
        <w:tab/>
      </w:r>
      <w:r>
        <w:rPr>
          <w:snapToGrid w:val="0"/>
        </w:rPr>
        <w:t>The payment of an amount under section 29(4)(b) must be made as soon as practicable, and in any event within 14 days, after the person’s receipt of the bond.</w:t>
      </w:r>
    </w:p>
    <w:p>
      <w:pPr>
        <w:pStyle w:val="ySubsection"/>
        <w:rPr>
          <w:snapToGrid w:val="0"/>
        </w:rPr>
      </w:pPr>
      <w:r>
        <w:rPr>
          <w:snapToGrid w:val="0"/>
        </w:rPr>
        <w:tab/>
        <w:t>(2)</w:t>
      </w:r>
      <w:r>
        <w:rPr>
          <w:snapToGrid w:val="0"/>
        </w:rPr>
        <w:tab/>
        <w:t>The payment may be made either directly</w:t>
      </w:r>
      <w:r>
        <w:t xml:space="preserve">, including by electronic means, </w:t>
      </w:r>
      <w:r>
        <w:rPr>
          <w:snapToGrid w:val="0"/>
        </w:rPr>
        <w:t>or by lodging the amount with an authorised agent of the bond administrator.</w:t>
      </w:r>
    </w:p>
    <w:p>
      <w:pPr>
        <w:pStyle w:val="yFootnotesection"/>
      </w:pPr>
      <w:r>
        <w:tab/>
        <w:t xml:space="preserve">[Clause 5A inserted: No. 60 of 2011 s. 87(12).] </w:t>
      </w:r>
    </w:p>
    <w:p>
      <w:pPr>
        <w:pStyle w:val="yHeading5"/>
        <w:rPr>
          <w:snapToGrid w:val="0"/>
        </w:rPr>
      </w:pPr>
      <w:bookmarkStart w:id="1045" w:name="_Toc5719436"/>
      <w:bookmarkStart w:id="1046" w:name="_Toc2161017"/>
      <w:r>
        <w:rPr>
          <w:rStyle w:val="CharSClsNo"/>
        </w:rPr>
        <w:t>5</w:t>
      </w:r>
      <w:r>
        <w:rPr>
          <w:snapToGrid w:val="0"/>
        </w:rPr>
        <w:t>.</w:t>
      </w:r>
      <w:r>
        <w:rPr>
          <w:snapToGrid w:val="0"/>
        </w:rPr>
        <w:tab/>
        <w:t xml:space="preserve">Disposal of </w:t>
      </w:r>
      <w:r>
        <w:t>security</w:t>
      </w:r>
      <w:r>
        <w:rPr>
          <w:snapToGrid w:val="0"/>
        </w:rPr>
        <w:t xml:space="preserve"> bond by bond administrator</w:t>
      </w:r>
      <w:bookmarkEnd w:id="1045"/>
      <w:bookmarkEnd w:id="1046"/>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 xml:space="preserve">signed by both parties to the residential tenancy agreement to which the </w:t>
      </w:r>
      <w:r>
        <w:t>security</w:t>
      </w:r>
      <w:r>
        <w:rPr>
          <w:snapToGrid w:val="0"/>
        </w:rPr>
        <w:t xml:space="preserv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w:t>
      </w:r>
      <w:r>
        <w:t>the bond administrator’s</w:t>
      </w:r>
      <w:r>
        <w:rPr>
          <w:snapToGrid w:val="0"/>
        </w:rPr>
        <w:t xml:space="preserve">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 xml:space="preserve">pay the amount of the </w:t>
      </w:r>
      <w:r>
        <w:t>security</w:t>
      </w:r>
      <w:r>
        <w:rPr>
          <w:snapToGrid w:val="0"/>
        </w:rPr>
        <w:t xml:space="preserv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 xml:space="preserve">If a </w:t>
      </w:r>
      <w:r>
        <w:t>tenant</w:t>
      </w:r>
      <w:r>
        <w:rPr>
          <w:snapToGrid w:val="0"/>
        </w:rPr>
        <w:t xml:space="preserve"> is deceased, the signature of </w:t>
      </w:r>
      <w:r>
        <w:t>the tenant’s</w:t>
      </w:r>
      <w:r>
        <w:rPr>
          <w:snapToGrid w:val="0"/>
        </w:rPr>
        <w:t xml:space="preserve"> executor or administrator to an application is sufficient for the purposes of subclause (1)(a), and if a </w:t>
      </w:r>
      <w:r>
        <w:t>tenant</w:t>
      </w:r>
      <w:r>
        <w:rPr>
          <w:snapToGrid w:val="0"/>
        </w:rPr>
        <w:t xml:space="preserve">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 xml:space="preserve">If </w:t>
      </w:r>
      <w:r>
        <w:t>the bond administrator is satisfied that</w:t>
      </w:r>
      <w:r>
        <w:rPr>
          <w:snapToGrid w:val="0"/>
        </w:rPr>
        <w:t xml:space="preserve"> 6 months have elapsed since termination of a residential tenancy agreement and a </w:t>
      </w:r>
      <w:r>
        <w:t>security</w:t>
      </w:r>
      <w:r>
        <w:rPr>
          <w:snapToGrid w:val="0"/>
        </w:rPr>
        <w:t xml:space="preserve"> bond has not been paid in accordance with an application under this clause or an application has not been made under clause 8, the </w:t>
      </w:r>
      <w:r>
        <w:t>amount of the bond or any remaining portion of that amount must</w:t>
      </w:r>
      <w:r>
        <w:rPr>
          <w:snapToGrid w:val="0"/>
        </w:rPr>
        <w:t xml:space="preserve">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r>
        <w:tab/>
        <w:t xml:space="preserve">[Clause 5 amended: No. 69 of 2006 s. 32(2) and (3); No. 60 of 2011 s. 87(13)-(15).] </w:t>
      </w:r>
    </w:p>
    <w:p>
      <w:pPr>
        <w:pStyle w:val="yEdnotesection"/>
      </w:pPr>
      <w:r>
        <w:t>[Part C (cl. 6-7) deleted: No. 60 of 2011 s. 87(16).]</w:t>
      </w:r>
    </w:p>
    <w:p>
      <w:pPr>
        <w:pStyle w:val="yEdnotesection"/>
      </w:pPr>
      <w:r>
        <w:tab/>
        <w:t>[Heading deleted: No. 60 of 2011 s. 87(17).]</w:t>
      </w:r>
    </w:p>
    <w:p>
      <w:pPr>
        <w:pStyle w:val="yHeading5"/>
        <w:rPr>
          <w:snapToGrid w:val="0"/>
        </w:rPr>
      </w:pPr>
      <w:bookmarkStart w:id="1047" w:name="_Toc5719437"/>
      <w:bookmarkStart w:id="1048" w:name="_Toc2161018"/>
      <w:r>
        <w:rPr>
          <w:rStyle w:val="CharSClsNo"/>
        </w:rPr>
        <w:t>8</w:t>
      </w:r>
      <w:r>
        <w:rPr>
          <w:snapToGrid w:val="0"/>
        </w:rPr>
        <w:t>.</w:t>
      </w:r>
      <w:r>
        <w:rPr>
          <w:snapToGrid w:val="0"/>
        </w:rPr>
        <w:tab/>
      </w:r>
      <w:r>
        <w:t>Court</w:t>
      </w:r>
      <w:r>
        <w:rPr>
          <w:snapToGrid w:val="0"/>
        </w:rPr>
        <w:t xml:space="preserve"> may determine disposal of security bond</w:t>
      </w:r>
      <w:bookmarkEnd w:id="1047"/>
      <w:bookmarkEnd w:id="1048"/>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w:t>
      </w:r>
      <w:r>
        <w:t>a lessor</w:t>
      </w:r>
      <w:r>
        <w:rPr>
          <w:snapToGrid w:val="0"/>
        </w:rPr>
        <w:t xml:space="preserve"> or a tenant, order that the amount of any security bond be paid to the tenant in full, or, where the court is satisfied that the tenant is liable to pay an amount to </w:t>
      </w:r>
      <w:r>
        <w:t>the lessor</w:t>
      </w:r>
      <w:r>
        <w:rPr>
          <w:snapToGrid w:val="0"/>
        </w:rPr>
        <w:t xml:space="preserve">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 xml:space="preserve">Where a person makes an application under subclause (1), section 18(2) shall not apply but the court shall give to the other party notice in writing of the application inviting </w:t>
      </w:r>
      <w:r>
        <w:t>the party</w:t>
      </w:r>
      <w:r>
        <w:rPr>
          <w:snapToGrid w:val="0"/>
        </w:rPr>
        <w:t xml:space="preserve"> to indicate by notice in writing in the </w:t>
      </w:r>
      <w:r>
        <w:rPr>
          <w:szCs w:val="22"/>
        </w:rPr>
        <w:t xml:space="preserve">form approved by the Minister, </w:t>
      </w:r>
      <w:r>
        <w:rPr>
          <w:snapToGrid w:val="0"/>
        </w:rPr>
        <w:t xml:space="preserve">filed in the office in which the application was filed within 7 days after service of the court’s notice, whether </w:t>
      </w:r>
      <w:r>
        <w:t>the party</w:t>
      </w:r>
      <w:r>
        <w:rPr>
          <w:snapToGrid w:val="0"/>
        </w:rPr>
        <w:t xml:space="preserve"> intends to dispute the application.</w:t>
      </w:r>
    </w:p>
    <w:p>
      <w:pPr>
        <w:pStyle w:val="ySubsection"/>
        <w:spacing w:before="140"/>
        <w:rPr>
          <w:snapToGrid w:val="0"/>
        </w:rPr>
      </w:pPr>
      <w:r>
        <w:rPr>
          <w:snapToGrid w:val="0"/>
        </w:rPr>
        <w:tab/>
        <w:t>(4)</w:t>
      </w:r>
      <w:r>
        <w:rPr>
          <w:snapToGrid w:val="0"/>
        </w:rPr>
        <w:tab/>
        <w:t>Notwithstanding any other provision of this Act, where — </w:t>
      </w:r>
    </w:p>
    <w:p>
      <w:pPr>
        <w:pStyle w:val="yIndenta"/>
        <w:spacing w:before="60"/>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spacing w:before="60"/>
        <w:rPr>
          <w:snapToGrid w:val="0"/>
        </w:rPr>
      </w:pPr>
      <w:r>
        <w:rPr>
          <w:snapToGrid w:val="0"/>
        </w:rPr>
        <w:tab/>
        <w:t>(b)</w:t>
      </w:r>
      <w:r>
        <w:rPr>
          <w:snapToGrid w:val="0"/>
        </w:rPr>
        <w:tab/>
        <w:t xml:space="preserve">that other party does not within 7 days after service of that notice, </w:t>
      </w:r>
      <w:r>
        <w:t xml:space="preserve">or such longer period as the court hearing the application thinks fit, </w:t>
      </w:r>
      <w:r>
        <w:rPr>
          <w:snapToGrid w:val="0"/>
        </w:rPr>
        <w:t xml:space="preserve">file in the office in which the application was filed a notice in writing in the </w:t>
      </w:r>
      <w:r>
        <w:rPr>
          <w:szCs w:val="22"/>
        </w:rPr>
        <w:t>form approved by the Minister,</w:t>
      </w:r>
      <w:r>
        <w:rPr>
          <w:snapToGrid w:val="0"/>
        </w:rPr>
        <w:t xml:space="preserve"> indicating that </w:t>
      </w:r>
      <w:r>
        <w:t>the party</w:t>
      </w:r>
      <w:r>
        <w:rPr>
          <w:snapToGrid w:val="0"/>
        </w:rPr>
        <w:t xml:space="preserve"> intends to dispute the application,</w:t>
      </w:r>
    </w:p>
    <w:p>
      <w:pPr>
        <w:pStyle w:val="ySubsection"/>
        <w:spacing w:before="120"/>
        <w:rPr>
          <w:snapToGrid w:val="0"/>
        </w:rPr>
      </w:pPr>
      <w:r>
        <w:rPr>
          <w:snapToGrid w:val="0"/>
        </w:rPr>
        <w:tab/>
      </w:r>
      <w:r>
        <w:rPr>
          <w:snapToGrid w:val="0"/>
        </w:rPr>
        <w:tab/>
      </w:r>
      <w:r>
        <w:t>the court</w:t>
      </w:r>
      <w:r>
        <w:rPr>
          <w:snapToGrid w:val="0"/>
        </w:rPr>
        <w:t xml:space="preserve"> may, without conducting a formal hearing, order payment in accordance with the application.</w:t>
      </w:r>
    </w:p>
    <w:p>
      <w:pPr>
        <w:pStyle w:val="ySubsection"/>
        <w:spacing w:before="140"/>
        <w:rPr>
          <w:snapToGrid w:val="0"/>
        </w:rPr>
      </w:pPr>
      <w:r>
        <w:rPr>
          <w:snapToGrid w:val="0"/>
        </w:rPr>
        <w:tab/>
        <w:t>(5)</w:t>
      </w:r>
      <w:r>
        <w:rPr>
          <w:snapToGrid w:val="0"/>
        </w:rPr>
        <w:tab/>
        <w:t xml:space="preserve">If the other party indicates in the manner referred to in subclause (4) that </w:t>
      </w:r>
      <w:r>
        <w:t>the party</w:t>
      </w:r>
      <w:r>
        <w:rPr>
          <w:snapToGrid w:val="0"/>
        </w:rPr>
        <w:t xml:space="preserve"> intends to dispute the application, section 18(2) and the other provisions of this Act relating to proceedings shall thereupon apply in relation to the application.</w:t>
      </w:r>
    </w:p>
    <w:p>
      <w:pPr>
        <w:pStyle w:val="ySubsection"/>
        <w:spacing w:before="140"/>
        <w:rPr>
          <w:snapToGrid w:val="0"/>
        </w:rPr>
      </w:pPr>
      <w:r>
        <w:rPr>
          <w:snapToGrid w:val="0"/>
        </w:rPr>
        <w:tab/>
        <w:t>(6)</w:t>
      </w:r>
      <w:r>
        <w:rPr>
          <w:snapToGrid w:val="0"/>
        </w:rPr>
        <w:tab/>
        <w:t>A tenant may not make an application under subclause (1) before the termination of the residential tenancy agreement.</w:t>
      </w:r>
    </w:p>
    <w:p>
      <w:pPr>
        <w:pStyle w:val="ySubsection"/>
        <w:spacing w:before="140"/>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spacing w:before="60"/>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spacing w:before="60"/>
        <w:rPr>
          <w:snapToGrid w:val="0"/>
        </w:rPr>
      </w:pPr>
      <w:r>
        <w:rPr>
          <w:snapToGrid w:val="0"/>
        </w:rPr>
        <w:tab/>
        <w:t>(b)</w:t>
      </w:r>
      <w:r>
        <w:rPr>
          <w:snapToGrid w:val="0"/>
        </w:rPr>
        <w:tab/>
        <w:t xml:space="preserve">order that a tenant be paid any share of the bond to which </w:t>
      </w:r>
      <w:r>
        <w:t>the tenant</w:t>
      </w:r>
      <w:r>
        <w:rPr>
          <w:snapToGrid w:val="0"/>
        </w:rPr>
        <w:t xml:space="preserve"> is entitled,</w:t>
      </w:r>
    </w:p>
    <w:p>
      <w:pPr>
        <w:pStyle w:val="ySubsection"/>
        <w:spacing w:before="120"/>
        <w:rPr>
          <w:snapToGrid w:val="0"/>
        </w:rPr>
      </w:pPr>
      <w:r>
        <w:rPr>
          <w:snapToGrid w:val="0"/>
        </w:rPr>
        <w:tab/>
      </w:r>
      <w:r>
        <w:rPr>
          <w:snapToGrid w:val="0"/>
        </w:rPr>
        <w:tab/>
        <w:t>in either case, less any deduction referred to in subclause (1).</w:t>
      </w:r>
    </w:p>
    <w:p>
      <w:pPr>
        <w:pStyle w:val="ySubsection"/>
        <w:spacing w:before="140"/>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applies, a reference to the balance of a bond.</w:t>
      </w:r>
    </w:p>
    <w:p>
      <w:pPr>
        <w:pStyle w:val="yFootnotesection"/>
      </w:pPr>
      <w:r>
        <w:tab/>
        <w:t>[Clause 8 amended: No. 50 of 1988 s. 17(b) and (c) and 18; No. 59 of 1995 s. 54(1)(h); No. 59 of 2004 s. 120 and 121; No. 60 of 2011 s. 87(18)-(22) and 89; No. 42 of 2016 s. 7.]</w:t>
      </w:r>
    </w:p>
    <w:p>
      <w:pPr>
        <w:pStyle w:val="yHeading3"/>
      </w:pPr>
      <w:bookmarkStart w:id="1049" w:name="_Toc2153461"/>
      <w:bookmarkStart w:id="1050" w:name="_Toc2160295"/>
      <w:bookmarkStart w:id="1051" w:name="_Toc2161019"/>
      <w:bookmarkStart w:id="1052" w:name="_Toc5621642"/>
      <w:bookmarkStart w:id="1053" w:name="_Toc5633059"/>
      <w:bookmarkStart w:id="1054" w:name="_Toc5719438"/>
      <w:r>
        <w:rPr>
          <w:rStyle w:val="CharSDivNo"/>
        </w:rPr>
        <w:t>Division 3</w:t>
      </w:r>
      <w:r>
        <w:t> — </w:t>
      </w:r>
      <w:r>
        <w:rPr>
          <w:rStyle w:val="CharSDivText"/>
        </w:rPr>
        <w:t>Tenant compensation bonds</w:t>
      </w:r>
      <w:bookmarkEnd w:id="1049"/>
      <w:bookmarkEnd w:id="1050"/>
      <w:bookmarkEnd w:id="1051"/>
      <w:bookmarkEnd w:id="1052"/>
      <w:bookmarkEnd w:id="1053"/>
      <w:bookmarkEnd w:id="1054"/>
    </w:p>
    <w:p>
      <w:pPr>
        <w:pStyle w:val="yFootnoteheading"/>
      </w:pPr>
      <w:r>
        <w:tab/>
        <w:t>[Heading inserted: No. 60 of 2011 s. 87(23).]</w:t>
      </w:r>
    </w:p>
    <w:p>
      <w:pPr>
        <w:pStyle w:val="yHeading5"/>
      </w:pPr>
      <w:bookmarkStart w:id="1055" w:name="_Toc5719439"/>
      <w:bookmarkStart w:id="1056" w:name="_Toc2161020"/>
      <w:r>
        <w:rPr>
          <w:rStyle w:val="CharSClsNo"/>
        </w:rPr>
        <w:t>9</w:t>
      </w:r>
      <w:r>
        <w:t>.</w:t>
      </w:r>
      <w:r>
        <w:tab/>
        <w:t>Application of Division</w:t>
      </w:r>
      <w:bookmarkEnd w:id="1055"/>
      <w:bookmarkEnd w:id="1056"/>
    </w:p>
    <w:p>
      <w:pPr>
        <w:pStyle w:val="ySubsection"/>
      </w:pPr>
      <w:r>
        <w:tab/>
      </w:r>
      <w:r>
        <w:tab/>
        <w:t>This Division applies where the bond administrator has been paid a tenant compensation bond in accordance with an order under section 59D(2).</w:t>
      </w:r>
    </w:p>
    <w:p>
      <w:pPr>
        <w:pStyle w:val="yFootnotesection"/>
      </w:pPr>
      <w:r>
        <w:tab/>
        <w:t>[Clause 9 inserted: No. 60 of 2011 s. 87(23).]</w:t>
      </w:r>
    </w:p>
    <w:p>
      <w:pPr>
        <w:pStyle w:val="yHeading5"/>
      </w:pPr>
      <w:bookmarkStart w:id="1057" w:name="_Toc5719440"/>
      <w:bookmarkStart w:id="1058" w:name="_Toc2161021"/>
      <w:r>
        <w:rPr>
          <w:rStyle w:val="CharSClsNo"/>
        </w:rPr>
        <w:t>10</w:t>
      </w:r>
      <w:r>
        <w:t>.</w:t>
      </w:r>
      <w:r>
        <w:tab/>
        <w:t>Disposal of tenant compensation bond to tenant by bond administrator</w:t>
      </w:r>
      <w:bookmarkEnd w:id="1057"/>
      <w:bookmarkEnd w:id="1058"/>
    </w:p>
    <w:p>
      <w:pPr>
        <w:pStyle w:val="ySubsection"/>
      </w:pPr>
      <w:r>
        <w:tab/>
        <w:t>(1)</w:t>
      </w:r>
      <w:r>
        <w:tab/>
        <w:t>The bond administrator must on receipt of —</w:t>
      </w:r>
    </w:p>
    <w:p>
      <w:pPr>
        <w:pStyle w:val="yIndenta"/>
      </w:pPr>
      <w:r>
        <w:tab/>
        <w:t>(a)</w:t>
      </w:r>
      <w:r>
        <w:tab/>
        <w:t xml:space="preserve">an application in a form approved by the Minister — </w:t>
      </w:r>
    </w:p>
    <w:p>
      <w:pPr>
        <w:pStyle w:val="yIndenti0"/>
      </w:pPr>
      <w:r>
        <w:tab/>
        <w:t>(i)</w:t>
      </w:r>
      <w:r>
        <w:tab/>
        <w:t>signed by a tenant to a residential tenancy agreement to which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 xml:space="preserve">a copy of an order — </w:t>
      </w:r>
    </w:p>
    <w:p>
      <w:pPr>
        <w:pStyle w:val="yIndenti0"/>
      </w:pPr>
      <w:r>
        <w:tab/>
        <w:t>(i)</w:t>
      </w:r>
      <w:r>
        <w:tab/>
        <w:t>made under section 15(2)(b) in relation to a failure by a lessor to compensate a tenant for reasonable expenses incurred by the tenant in arranging for urgent repairs to be carried out in accordance with section 43; and</w:t>
      </w:r>
    </w:p>
    <w:p>
      <w:pPr>
        <w:pStyle w:val="yIndenti0"/>
      </w:pPr>
      <w:r>
        <w:tab/>
        <w:t>(ii)</w:t>
      </w:r>
      <w:r>
        <w:tab/>
        <w:t>subsequent to the order under section 59D(2),</w:t>
      </w:r>
    </w:p>
    <w:p>
      <w:pPr>
        <w:pStyle w:val="ySubsection"/>
      </w:pPr>
      <w:r>
        <w:tab/>
      </w:r>
      <w:r>
        <w:tab/>
        <w:t>pay the amount of the tenant compensation bond, or where subclause (2) applies part of that amount, in accordance with the application.</w:t>
      </w:r>
    </w:p>
    <w:p>
      <w:pPr>
        <w:pStyle w:val="ySubsection"/>
      </w:pPr>
      <w:r>
        <w:tab/>
        <w:t>(2)</w:t>
      </w:r>
      <w:r>
        <w:tab/>
        <w:t>An application under subclause (1)(a) may relate to part of the amount of a tenant compensation bond.</w:t>
      </w:r>
    </w:p>
    <w:p>
      <w:pPr>
        <w:pStyle w:val="ySubsection"/>
      </w:pPr>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p>
    <w:p>
      <w:pPr>
        <w:pStyle w:val="ySubsection"/>
      </w:pPr>
      <w:r>
        <w:tab/>
        <w:t>(4)</w:t>
      </w:r>
      <w:r>
        <w:tab/>
        <w:t>A payment under subclause (1) is to be taken to be a payment by the lessor in satisfaction, or part satisfaction as the case may be, of the order referred to in subclause (1)(b).</w:t>
      </w:r>
    </w:p>
    <w:p>
      <w:pPr>
        <w:pStyle w:val="yFootnotesection"/>
      </w:pPr>
      <w:r>
        <w:tab/>
        <w:t>[Clause 10 inserted: No. 60 of 2011 s. 87(23).]</w:t>
      </w:r>
    </w:p>
    <w:p>
      <w:pPr>
        <w:pStyle w:val="yHeading5"/>
      </w:pPr>
      <w:bookmarkStart w:id="1059" w:name="_Toc5719441"/>
      <w:bookmarkStart w:id="1060" w:name="_Toc2161022"/>
      <w:r>
        <w:rPr>
          <w:rStyle w:val="CharSClsNo"/>
        </w:rPr>
        <w:t>11</w:t>
      </w:r>
      <w:r>
        <w:t>.</w:t>
      </w:r>
      <w:r>
        <w:tab/>
        <w:t>Disposal of tenant compensation bond to lessor by bond administrator</w:t>
      </w:r>
      <w:bookmarkEnd w:id="1059"/>
      <w:bookmarkEnd w:id="1060"/>
    </w:p>
    <w:p>
      <w:pPr>
        <w:pStyle w:val="ySubsection"/>
      </w:pPr>
      <w:r>
        <w:tab/>
      </w:r>
      <w:r>
        <w:tab/>
        <w:t xml:space="preserve">The bond administrator must on receipt of — </w:t>
      </w:r>
    </w:p>
    <w:p>
      <w:pPr>
        <w:pStyle w:val="yIndenta"/>
      </w:pPr>
      <w:r>
        <w:tab/>
        <w:t>(a)</w:t>
      </w:r>
      <w:r>
        <w:tab/>
        <w:t xml:space="preserve">an application in a form approved by the Minister — </w:t>
      </w:r>
    </w:p>
    <w:p>
      <w:pPr>
        <w:pStyle w:val="yIndenti0"/>
      </w:pPr>
      <w:r>
        <w:tab/>
        <w:t>(i)</w:t>
      </w:r>
      <w:r>
        <w:tab/>
        <w:t>signed by the lessor to whom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a copy of an order made under section 59D(5),</w:t>
      </w:r>
    </w:p>
    <w:p>
      <w:pPr>
        <w:pStyle w:val="ySubsection"/>
      </w:pPr>
      <w:r>
        <w:tab/>
      </w:r>
      <w:r>
        <w:tab/>
        <w:t>pay the amount of the tenant compensation bond, or part of that amount, ordered by the court in accordance with the application.</w:t>
      </w:r>
    </w:p>
    <w:p>
      <w:pPr>
        <w:pStyle w:val="yFootnotesection"/>
      </w:pPr>
      <w:r>
        <w:tab/>
        <w:t>[Clause 11 inserted: No. 60 of 2011 s. 87(23).]</w:t>
      </w:r>
    </w:p>
    <w:p>
      <w:pPr>
        <w:pStyle w:val="yEdnotesection"/>
        <w:outlineLvl w:val="9"/>
      </w:pPr>
      <w:r>
        <w:t>[Schedule 2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1062" w:name="_Toc2153465"/>
      <w:bookmarkStart w:id="1063" w:name="_Toc2160299"/>
      <w:bookmarkStart w:id="1064" w:name="_Toc2161023"/>
      <w:bookmarkStart w:id="1065" w:name="_Toc5621646"/>
      <w:bookmarkStart w:id="1066" w:name="_Toc5633063"/>
      <w:bookmarkStart w:id="1067" w:name="_Toc5719442"/>
      <w:r>
        <w:t>Notes</w:t>
      </w:r>
      <w:bookmarkEnd w:id="1062"/>
      <w:bookmarkEnd w:id="1063"/>
      <w:bookmarkEnd w:id="1064"/>
      <w:bookmarkEnd w:id="1065"/>
      <w:bookmarkEnd w:id="1066"/>
      <w:bookmarkEnd w:id="1067"/>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Act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068" w:name="_Toc5719443"/>
      <w:bookmarkStart w:id="1069" w:name="_Toc2161024"/>
      <w:r>
        <w:t>Compilation table</w:t>
      </w:r>
      <w:bookmarkEnd w:id="1068"/>
      <w:bookmarkEnd w:id="1069"/>
    </w:p>
    <w:tbl>
      <w:tblPr>
        <w:tblW w:w="0" w:type="auto"/>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9"/>
        <w:gridCol w:w="2551"/>
      </w:tblGrid>
      <w:tr>
        <w:trPr>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gridSpan w:val="2"/>
          </w:tcPr>
          <w:p>
            <w:pPr>
              <w:pStyle w:val="nTable"/>
              <w:spacing w:after="40"/>
            </w:pPr>
            <w:r>
              <w:rPr>
                <w:i/>
              </w:rPr>
              <w:t>Residential Tenancies Act 1987</w:t>
            </w:r>
          </w:p>
        </w:tc>
        <w:tc>
          <w:tcPr>
            <w:tcW w:w="1134" w:type="dxa"/>
            <w:gridSpan w:val="2"/>
          </w:tcPr>
          <w:p>
            <w:pPr>
              <w:pStyle w:val="nTable"/>
              <w:spacing w:after="40"/>
            </w:pPr>
            <w:r>
              <w:t>128 of 1987</w:t>
            </w:r>
          </w:p>
        </w:tc>
        <w:tc>
          <w:tcPr>
            <w:tcW w:w="1135" w:type="dxa"/>
            <w:gridSpan w:val="2"/>
          </w:tcPr>
          <w:p>
            <w:pPr>
              <w:pStyle w:val="nTable"/>
              <w:spacing w:after="40"/>
            </w:pPr>
            <w:r>
              <w:t>21 Jan 1988</w:t>
            </w:r>
          </w:p>
        </w:tc>
        <w:tc>
          <w:tcPr>
            <w:tcW w:w="2551" w:type="dxa"/>
          </w:tcPr>
          <w:p>
            <w:pPr>
              <w:pStyle w:val="nTable"/>
              <w:spacing w:after="40"/>
            </w:pPr>
            <w:r>
              <w:t>s. 1 and 2: 21 Jan 1988;</w:t>
            </w:r>
            <w:r>
              <w:br/>
              <w:t xml:space="preserve">Act other than s. 1 and 2: 1 Oct 1989 (see s. 2 and </w:t>
            </w:r>
            <w:r>
              <w:rPr>
                <w:i/>
              </w:rPr>
              <w:t>Gazette</w:t>
            </w:r>
            <w:r>
              <w:t xml:space="preserve"> 18 Aug 1989 p. 2748)</w:t>
            </w:r>
          </w:p>
        </w:tc>
      </w:tr>
      <w:tr>
        <w:trPr>
          <w:cantSplit/>
        </w:trPr>
        <w:tc>
          <w:tcPr>
            <w:tcW w:w="2268" w:type="dxa"/>
            <w:gridSpan w:val="2"/>
          </w:tcPr>
          <w:p>
            <w:pPr>
              <w:pStyle w:val="nTable"/>
              <w:spacing w:after="40"/>
            </w:pPr>
            <w:r>
              <w:rPr>
                <w:i/>
              </w:rPr>
              <w:t>Residential Tenancies Amendment Act 1988</w:t>
            </w:r>
          </w:p>
        </w:tc>
        <w:tc>
          <w:tcPr>
            <w:tcW w:w="1134" w:type="dxa"/>
            <w:gridSpan w:val="2"/>
          </w:tcPr>
          <w:p>
            <w:pPr>
              <w:pStyle w:val="nTable"/>
              <w:spacing w:after="40"/>
            </w:pPr>
            <w:r>
              <w:t>50 of 1988</w:t>
            </w:r>
          </w:p>
        </w:tc>
        <w:tc>
          <w:tcPr>
            <w:tcW w:w="1135" w:type="dxa"/>
            <w:gridSpan w:val="2"/>
          </w:tcPr>
          <w:p>
            <w:pPr>
              <w:pStyle w:val="nTable"/>
              <w:spacing w:after="40"/>
            </w:pPr>
            <w:r>
              <w:t>8 Dec 1988</w:t>
            </w:r>
          </w:p>
        </w:tc>
        <w:tc>
          <w:tcPr>
            <w:tcW w:w="2551" w:type="dxa"/>
          </w:tcPr>
          <w:p>
            <w:pPr>
              <w:pStyle w:val="nTable"/>
              <w:spacing w:after="40"/>
            </w:pPr>
            <w:r>
              <w:t>8 Dec 1988 (see s. 2)</w:t>
            </w:r>
          </w:p>
        </w:tc>
      </w:tr>
      <w:tr>
        <w:trPr>
          <w:cantSplit/>
        </w:trPr>
        <w:tc>
          <w:tcPr>
            <w:tcW w:w="2268"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5" w:type="dxa"/>
            <w:gridSpan w:val="2"/>
          </w:tcPr>
          <w:p>
            <w:pPr>
              <w:pStyle w:val="nTable"/>
              <w:spacing w:after="40"/>
            </w:pPr>
            <w:r>
              <w:t>27 Aug 1993</w:t>
            </w:r>
          </w:p>
        </w:tc>
        <w:tc>
          <w:tcPr>
            <w:tcW w:w="2551" w:type="dxa"/>
          </w:tcPr>
          <w:p>
            <w:pPr>
              <w:pStyle w:val="nTable"/>
              <w:spacing w:after="40"/>
            </w:pPr>
            <w:r>
              <w:t>1 Jul 1993 (see s. 2(1))</w:t>
            </w:r>
          </w:p>
        </w:tc>
      </w:tr>
      <w:tr>
        <w:trPr>
          <w:cantSplit/>
        </w:trPr>
        <w:tc>
          <w:tcPr>
            <w:tcW w:w="2268" w:type="dxa"/>
            <w:gridSpan w:val="2"/>
          </w:tcPr>
          <w:p>
            <w:pPr>
              <w:pStyle w:val="nTable"/>
              <w:spacing w:after="40"/>
            </w:pPr>
            <w:r>
              <w:rPr>
                <w:i/>
              </w:rPr>
              <w:t>Acts Amendment (Ministry of Justice) Act 1993</w:t>
            </w:r>
            <w:r>
              <w:t xml:space="preserve"> Pt. 17</w:t>
            </w:r>
            <w:r>
              <w:rPr>
                <w:snapToGrid w:val="0"/>
              </w:rPr>
              <w:t> </w:t>
            </w:r>
            <w:r>
              <w:rPr>
                <w:snapToGrid w:val="0"/>
                <w:vertAlign w:val="superscript"/>
              </w:rPr>
              <w:t>3</w:t>
            </w:r>
          </w:p>
        </w:tc>
        <w:tc>
          <w:tcPr>
            <w:tcW w:w="1134" w:type="dxa"/>
            <w:gridSpan w:val="2"/>
          </w:tcPr>
          <w:p>
            <w:pPr>
              <w:pStyle w:val="nTable"/>
              <w:spacing w:after="40"/>
            </w:pPr>
            <w:r>
              <w:t>31 of 1993</w:t>
            </w:r>
          </w:p>
        </w:tc>
        <w:tc>
          <w:tcPr>
            <w:tcW w:w="1135" w:type="dxa"/>
            <w:gridSpan w:val="2"/>
          </w:tcPr>
          <w:p>
            <w:pPr>
              <w:pStyle w:val="nTable"/>
              <w:spacing w:after="40"/>
            </w:pPr>
            <w:r>
              <w:t>15 Dec 1993</w:t>
            </w:r>
          </w:p>
        </w:tc>
        <w:tc>
          <w:tcPr>
            <w:tcW w:w="2551" w:type="dxa"/>
          </w:tcPr>
          <w:p>
            <w:pPr>
              <w:pStyle w:val="nTable"/>
              <w:spacing w:after="40"/>
            </w:pPr>
            <w:r>
              <w:t>1 Jul 1993 (see s. 2)</w:t>
            </w:r>
          </w:p>
        </w:tc>
      </w:tr>
      <w:tr>
        <w:trPr>
          <w:cantSplit/>
        </w:trPr>
        <w:tc>
          <w:tcPr>
            <w:tcW w:w="2268" w:type="dxa"/>
            <w:gridSpan w:val="2"/>
          </w:tcPr>
          <w:p>
            <w:pPr>
              <w:pStyle w:val="nTable"/>
              <w:spacing w:after="40"/>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34" w:type="dxa"/>
            <w:gridSpan w:val="2"/>
          </w:tcPr>
          <w:p>
            <w:pPr>
              <w:pStyle w:val="nTable"/>
              <w:spacing w:after="40"/>
            </w:pPr>
            <w:r>
              <w:t>34 of 1995</w:t>
            </w:r>
          </w:p>
        </w:tc>
        <w:tc>
          <w:tcPr>
            <w:tcW w:w="1135" w:type="dxa"/>
            <w:gridSpan w:val="2"/>
          </w:tcPr>
          <w:p>
            <w:pPr>
              <w:pStyle w:val="nTable"/>
              <w:spacing w:after="40"/>
            </w:pPr>
            <w:r>
              <w:t>29 Sep 1995</w:t>
            </w:r>
          </w:p>
        </w:tc>
        <w:tc>
          <w:tcPr>
            <w:tcW w:w="2551" w:type="dxa"/>
          </w:tcPr>
          <w:p>
            <w:pPr>
              <w:pStyle w:val="nTable"/>
              <w:spacing w:after="40"/>
            </w:pPr>
            <w:r>
              <w:t>1 Jul 1997 (see s. 2 and </w:t>
            </w:r>
            <w:r>
              <w:rPr>
                <w:i/>
              </w:rPr>
              <w:t>Gazette</w:t>
            </w:r>
            <w:r>
              <w:t xml:space="preserve"> 20 Jun 1997 p. 2805)</w:t>
            </w:r>
          </w:p>
        </w:tc>
      </w:tr>
      <w:tr>
        <w:trPr>
          <w:cantSplit/>
        </w:trPr>
        <w:tc>
          <w:tcPr>
            <w:tcW w:w="2268" w:type="dxa"/>
            <w:gridSpan w:val="2"/>
          </w:tcPr>
          <w:p>
            <w:pPr>
              <w:pStyle w:val="nTable"/>
              <w:spacing w:after="40"/>
              <w:rPr>
                <w:i/>
              </w:rPr>
            </w:pPr>
            <w:r>
              <w:rPr>
                <w:i/>
              </w:rPr>
              <w:t>Real Estate Legislation Amendment Act 1995</w:t>
            </w:r>
            <w:r>
              <w:t xml:space="preserve"> Pt. 3 </w:t>
            </w:r>
            <w:r>
              <w:rPr>
                <w:snapToGrid w:val="0"/>
                <w:vertAlign w:val="superscript"/>
              </w:rPr>
              <w:t>4,</w:t>
            </w:r>
            <w:r>
              <w:rPr>
                <w:vertAlign w:val="superscript"/>
              </w:rPr>
              <w:t> 5</w:t>
            </w:r>
          </w:p>
        </w:tc>
        <w:tc>
          <w:tcPr>
            <w:tcW w:w="1134" w:type="dxa"/>
            <w:gridSpan w:val="2"/>
          </w:tcPr>
          <w:p>
            <w:pPr>
              <w:pStyle w:val="nTable"/>
              <w:spacing w:after="40"/>
            </w:pPr>
            <w:r>
              <w:t>59 of 1995</w:t>
            </w:r>
          </w:p>
        </w:tc>
        <w:tc>
          <w:tcPr>
            <w:tcW w:w="1135" w:type="dxa"/>
            <w:gridSpan w:val="2"/>
          </w:tcPr>
          <w:p>
            <w:pPr>
              <w:pStyle w:val="nTable"/>
              <w:spacing w:after="40"/>
            </w:pPr>
            <w:r>
              <w:t>20 Dec 1995</w:t>
            </w:r>
          </w:p>
        </w:tc>
        <w:tc>
          <w:tcPr>
            <w:tcW w:w="2551" w:type="dxa"/>
          </w:tcPr>
          <w:p>
            <w:pPr>
              <w:pStyle w:val="nTable"/>
              <w:spacing w:after="40"/>
            </w:pPr>
            <w:r>
              <w:t>Pt. 3 other than s. 46 and 52: 1 Jul 1996 (see s. 2 and </w:t>
            </w:r>
            <w:r>
              <w:rPr>
                <w:i/>
              </w:rPr>
              <w:t>Gazette</w:t>
            </w:r>
            <w:r>
              <w:t xml:space="preserve"> 25 Jun 1996 p. 2902);</w:t>
            </w:r>
            <w:r>
              <w:br/>
              <w:t xml:space="preserve">s. 46 and 52: 5 Apr 2007 (see s. 2 and </w:t>
            </w:r>
            <w:r>
              <w:rPr>
                <w:i/>
                <w:iCs/>
              </w:rPr>
              <w:t xml:space="preserve">Gazette </w:t>
            </w:r>
            <w:r>
              <w:t>30 Mar 2007</w:t>
            </w:r>
            <w:r>
              <w:rPr>
                <w:iCs/>
              </w:rPr>
              <w:t xml:space="preserve"> </w:t>
            </w:r>
            <w:r>
              <w:t>p. 1451)</w:t>
            </w:r>
          </w:p>
        </w:tc>
      </w:tr>
      <w:tr>
        <w:trPr>
          <w:cantSplit/>
        </w:trPr>
        <w:tc>
          <w:tcPr>
            <w:tcW w:w="2268" w:type="dxa"/>
            <w:gridSpan w:val="2"/>
          </w:tcPr>
          <w:p>
            <w:pPr>
              <w:pStyle w:val="nTable"/>
              <w:keepNext/>
              <w:keepLines/>
              <w:spacing w:after="40"/>
            </w:pPr>
            <w:r>
              <w:rPr>
                <w:i/>
              </w:rPr>
              <w:t>Water Agencies Restructure (Transitional and Consequential Provisions) Act 1995</w:t>
            </w:r>
            <w:r>
              <w:t xml:space="preserve"> s. 188</w:t>
            </w:r>
          </w:p>
        </w:tc>
        <w:tc>
          <w:tcPr>
            <w:tcW w:w="1134" w:type="dxa"/>
            <w:gridSpan w:val="2"/>
          </w:tcPr>
          <w:p>
            <w:pPr>
              <w:pStyle w:val="nTable"/>
              <w:keepNext/>
              <w:keepLines/>
              <w:spacing w:after="40"/>
            </w:pPr>
            <w:r>
              <w:t>73 of 1995</w:t>
            </w:r>
          </w:p>
        </w:tc>
        <w:tc>
          <w:tcPr>
            <w:tcW w:w="1135" w:type="dxa"/>
            <w:gridSpan w:val="2"/>
          </w:tcPr>
          <w:p>
            <w:pPr>
              <w:pStyle w:val="nTable"/>
              <w:keepNext/>
              <w:keepLines/>
              <w:spacing w:after="40"/>
            </w:pPr>
            <w:r>
              <w:t>27 Dec 1995</w:t>
            </w:r>
          </w:p>
        </w:tc>
        <w:tc>
          <w:tcPr>
            <w:tcW w:w="2551" w:type="dxa"/>
          </w:tcPr>
          <w:p>
            <w:pPr>
              <w:pStyle w:val="nTable"/>
              <w:keepNext/>
              <w:keepLines/>
              <w:spacing w:after="40"/>
            </w:pPr>
            <w:r>
              <w:t xml:space="preserve">1 Jan 1996 (see s. 2(2) and </w:t>
            </w:r>
            <w:r>
              <w:rPr>
                <w:i/>
              </w:rPr>
              <w:t>Gazette</w:t>
            </w:r>
            <w:r>
              <w:t xml:space="preserve"> 29 Dec 1995 p. 6291)</w:t>
            </w:r>
          </w:p>
        </w:tc>
      </w:tr>
      <w:tr>
        <w:trPr>
          <w:cantSplit/>
        </w:trPr>
        <w:tc>
          <w:tcPr>
            <w:tcW w:w="7088" w:type="dxa"/>
            <w:gridSpan w:val="7"/>
          </w:tcPr>
          <w:p>
            <w:pPr>
              <w:pStyle w:val="nTable"/>
              <w:keepNext/>
              <w:keepLines/>
              <w:spacing w:after="40"/>
            </w:pPr>
            <w:r>
              <w:rPr>
                <w:b/>
              </w:rPr>
              <w:t xml:space="preserve">Reprint of the </w:t>
            </w:r>
            <w:r>
              <w:rPr>
                <w:b/>
                <w:i/>
              </w:rPr>
              <w:t xml:space="preserve">Residential Tenancies Act 1987 </w:t>
            </w:r>
            <w:r>
              <w:rPr>
                <w:b/>
              </w:rPr>
              <w:t>as at 15 Mar 1996</w:t>
            </w:r>
            <w:r>
              <w:t xml:space="preserve"> (includes amendments listed above except those in the </w:t>
            </w:r>
            <w:r>
              <w:rPr>
                <w:i/>
              </w:rPr>
              <w:t>Real Estate Legislation Amendment Act 1995</w:t>
            </w:r>
            <w:r>
              <w:t xml:space="preserve">) (correction in </w:t>
            </w:r>
            <w:r>
              <w:rPr>
                <w:i/>
              </w:rPr>
              <w:t>Gazette</w:t>
            </w:r>
            <w:r>
              <w:t xml:space="preserve"> 6 Dec 1996 p. 6725)</w:t>
            </w:r>
          </w:p>
        </w:tc>
      </w:tr>
      <w:tr>
        <w:trPr>
          <w:cantSplit/>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5" w:type="dxa"/>
            <w:gridSpan w:val="2"/>
          </w:tcPr>
          <w:p>
            <w:pPr>
              <w:pStyle w:val="nTable"/>
              <w:spacing w:after="40"/>
            </w:pPr>
            <w:r>
              <w:t>28 Jun 1996</w:t>
            </w:r>
          </w:p>
        </w:tc>
        <w:tc>
          <w:tcPr>
            <w:tcW w:w="2551" w:type="dxa"/>
          </w:tcPr>
          <w:p>
            <w:pPr>
              <w:pStyle w:val="nTable"/>
              <w:spacing w:after="40"/>
            </w:pPr>
            <w:r>
              <w:t>1 Jul 1996 (see s. 2)</w:t>
            </w:r>
          </w:p>
        </w:tc>
      </w:tr>
      <w:tr>
        <w:trPr>
          <w:cantSplit/>
        </w:trPr>
        <w:tc>
          <w:tcPr>
            <w:tcW w:w="2268" w:type="dxa"/>
            <w:gridSpan w:val="2"/>
          </w:tcPr>
          <w:p>
            <w:pPr>
              <w:pStyle w:val="nTable"/>
              <w:spacing w:after="40"/>
            </w:pPr>
            <w:r>
              <w:rPr>
                <w:i/>
              </w:rPr>
              <w:t>Statutes (Repeals and Minor Amendments) Act 1997</w:t>
            </w:r>
            <w:r>
              <w:t xml:space="preserve"> s. 39(10)</w:t>
            </w:r>
          </w:p>
        </w:tc>
        <w:tc>
          <w:tcPr>
            <w:tcW w:w="1134" w:type="dxa"/>
            <w:gridSpan w:val="2"/>
          </w:tcPr>
          <w:p>
            <w:pPr>
              <w:pStyle w:val="nTable"/>
              <w:spacing w:after="40"/>
            </w:pPr>
            <w:r>
              <w:t>57 of 1997</w:t>
            </w:r>
          </w:p>
        </w:tc>
        <w:tc>
          <w:tcPr>
            <w:tcW w:w="1135" w:type="dxa"/>
            <w:gridSpan w:val="2"/>
          </w:tcPr>
          <w:p>
            <w:pPr>
              <w:pStyle w:val="nTable"/>
              <w:spacing w:after="40"/>
            </w:pPr>
            <w:r>
              <w:t>15 Dec 1997</w:t>
            </w:r>
          </w:p>
        </w:tc>
        <w:tc>
          <w:tcPr>
            <w:tcW w:w="2551" w:type="dxa"/>
          </w:tcPr>
          <w:p>
            <w:pPr>
              <w:pStyle w:val="nTable"/>
              <w:spacing w:after="40"/>
            </w:pPr>
            <w:r>
              <w:t>15 Dec 1997 (see s. 2(1))</w:t>
            </w:r>
          </w:p>
        </w:tc>
      </w:tr>
      <w:tr>
        <w:trPr>
          <w:cantSplit/>
        </w:trPr>
        <w:tc>
          <w:tcPr>
            <w:tcW w:w="7088" w:type="dxa"/>
            <w:gridSpan w:val="7"/>
          </w:tcPr>
          <w:p>
            <w:pPr>
              <w:pStyle w:val="nTable"/>
              <w:keepLines/>
              <w:spacing w:after="40"/>
            </w:pPr>
            <w:r>
              <w:rPr>
                <w:b/>
              </w:rPr>
              <w:t xml:space="preserve">Reprint of the </w:t>
            </w:r>
            <w:r>
              <w:rPr>
                <w:b/>
                <w:i/>
              </w:rPr>
              <w:t xml:space="preserve">Residential Tenancies Act 1987 </w:t>
            </w:r>
            <w:r>
              <w:rPr>
                <w:b/>
              </w:rPr>
              <w:t>as at 22 Jan 1999</w:t>
            </w:r>
            <w:r>
              <w:t xml:space="preserve"> (includes amendments listed above except those in the </w:t>
            </w:r>
            <w:r>
              <w:rPr>
                <w:i/>
              </w:rPr>
              <w:t>Real Estate Legislation Amendment Act 1995</w:t>
            </w:r>
            <w:r>
              <w:rPr>
                <w:iCs/>
              </w:rPr>
              <w:t xml:space="preserve"> s. 46 and 52</w:t>
            </w:r>
            <w:r>
              <w:t>)</w:t>
            </w:r>
          </w:p>
        </w:tc>
      </w:tr>
      <w:tr>
        <w:trPr>
          <w:cantSplit/>
        </w:trPr>
        <w:tc>
          <w:tcPr>
            <w:tcW w:w="2268" w:type="dxa"/>
            <w:gridSpan w:val="2"/>
          </w:tcPr>
          <w:p>
            <w:pPr>
              <w:pStyle w:val="nTable"/>
              <w:spacing w:after="40"/>
            </w:pPr>
            <w:r>
              <w:rPr>
                <w:i/>
              </w:rPr>
              <w:t>Acts Amendment and Repeal (Financial Sector Reform) Act 1999</w:t>
            </w:r>
            <w:r>
              <w:t xml:space="preserve"> s. 100</w:t>
            </w:r>
          </w:p>
        </w:tc>
        <w:tc>
          <w:tcPr>
            <w:tcW w:w="1134" w:type="dxa"/>
            <w:gridSpan w:val="2"/>
          </w:tcPr>
          <w:p>
            <w:pPr>
              <w:pStyle w:val="nTable"/>
              <w:spacing w:after="40"/>
            </w:pPr>
            <w:r>
              <w:t>26 of 1999</w:t>
            </w:r>
          </w:p>
        </w:tc>
        <w:tc>
          <w:tcPr>
            <w:tcW w:w="1135" w:type="dxa"/>
            <w:gridSpan w:val="2"/>
          </w:tcPr>
          <w:p>
            <w:pPr>
              <w:pStyle w:val="nTable"/>
              <w:spacing w:after="40"/>
            </w:pPr>
            <w:r>
              <w:t>29 Jun 1999</w:t>
            </w:r>
          </w:p>
        </w:tc>
        <w:tc>
          <w:tcPr>
            <w:tcW w:w="2551" w:type="dxa"/>
          </w:tcPr>
          <w:p>
            <w:pPr>
              <w:pStyle w:val="nTable"/>
              <w:spacing w:after="40"/>
            </w:pPr>
            <w:r>
              <w:t xml:space="preserve">1 Jul 1999 (see s. 2(1) and </w:t>
            </w:r>
            <w:r>
              <w:rPr>
                <w:i/>
              </w:rPr>
              <w:t>Gazette</w:t>
            </w:r>
            <w:r>
              <w:t xml:space="preserve"> 30 Jun 1999 p. 2905)</w:t>
            </w:r>
          </w:p>
        </w:tc>
      </w:tr>
      <w:tr>
        <w:trPr>
          <w:cantSplit/>
        </w:trPr>
        <w:tc>
          <w:tcPr>
            <w:tcW w:w="2268" w:type="dxa"/>
            <w:gridSpan w:val="2"/>
          </w:tcPr>
          <w:p>
            <w:pPr>
              <w:pStyle w:val="nTable"/>
              <w:spacing w:after="40"/>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5" w:type="dxa"/>
            <w:gridSpan w:val="2"/>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gridSpan w:val="2"/>
          </w:tcPr>
          <w:p>
            <w:pPr>
              <w:pStyle w:val="nTable"/>
              <w:spacing w:after="40"/>
              <w:rPr>
                <w:i/>
              </w:rPr>
            </w:pPr>
            <w:r>
              <w:rPr>
                <w:i/>
              </w:rPr>
              <w:t xml:space="preserve">Taxation Administration (Consequential Provisions) Act 2002 </w:t>
            </w:r>
            <w:r>
              <w:t>s. 21</w:t>
            </w:r>
            <w:r>
              <w:rPr>
                <w:vertAlign w:val="superscript"/>
              </w:rPr>
              <w:t> 6</w:t>
            </w:r>
          </w:p>
        </w:tc>
        <w:tc>
          <w:tcPr>
            <w:tcW w:w="1134" w:type="dxa"/>
            <w:gridSpan w:val="2"/>
          </w:tcPr>
          <w:p>
            <w:pPr>
              <w:pStyle w:val="nTable"/>
              <w:spacing w:after="40"/>
            </w:pPr>
            <w:r>
              <w:t>45 of 2002</w:t>
            </w:r>
          </w:p>
        </w:tc>
        <w:tc>
          <w:tcPr>
            <w:tcW w:w="1135" w:type="dxa"/>
            <w:gridSpan w:val="2"/>
          </w:tcPr>
          <w:p>
            <w:pPr>
              <w:pStyle w:val="nTable"/>
              <w:spacing w:after="40"/>
            </w:pPr>
            <w:r>
              <w:t>20 Mar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gridSpan w:val="2"/>
          </w:tcPr>
          <w:p>
            <w:pPr>
              <w:pStyle w:val="nTable"/>
              <w:spacing w:after="40"/>
            </w:pPr>
            <w:r>
              <w:rPr>
                <w:i/>
              </w:rPr>
              <w:t>Acts Amendment and Repeal (Courts and Legal Practice) Act 2003</w:t>
            </w:r>
            <w:r>
              <w:t xml:space="preserve"> s. 61</w:t>
            </w:r>
          </w:p>
        </w:tc>
        <w:tc>
          <w:tcPr>
            <w:tcW w:w="1134" w:type="dxa"/>
            <w:gridSpan w:val="2"/>
          </w:tcPr>
          <w:p>
            <w:pPr>
              <w:pStyle w:val="nTable"/>
              <w:spacing w:after="40"/>
            </w:pPr>
            <w:r>
              <w:t>65 of 2003</w:t>
            </w:r>
          </w:p>
        </w:tc>
        <w:tc>
          <w:tcPr>
            <w:tcW w:w="1135" w:type="dxa"/>
            <w:gridSpan w:val="2"/>
          </w:tcPr>
          <w:p>
            <w:pPr>
              <w:pStyle w:val="nTable"/>
              <w:spacing w:after="40"/>
            </w:pPr>
            <w:r>
              <w:t>4 Dec 2003</w:t>
            </w:r>
          </w:p>
        </w:tc>
        <w:tc>
          <w:tcPr>
            <w:tcW w:w="2551" w:type="dxa"/>
          </w:tcPr>
          <w:p>
            <w:pPr>
              <w:pStyle w:val="nTable"/>
              <w:spacing w:after="40"/>
            </w:pPr>
            <w:r>
              <w:t xml:space="preserve">1 Jan 2004 (see s. 2 and </w:t>
            </w:r>
            <w:r>
              <w:rPr>
                <w:i/>
              </w:rPr>
              <w:t>Gazette</w:t>
            </w:r>
            <w:r>
              <w:t xml:space="preserve"> 30 Dec 2003 p. 5722)</w:t>
            </w:r>
          </w:p>
        </w:tc>
      </w:tr>
      <w:tr>
        <w:trPr>
          <w:cantSplit/>
        </w:trPr>
        <w:tc>
          <w:tcPr>
            <w:tcW w:w="2268" w:type="dxa"/>
            <w:gridSpan w:val="2"/>
          </w:tcPr>
          <w:p>
            <w:pPr>
              <w:pStyle w:val="nTable"/>
              <w:spacing w:after="40"/>
              <w:rPr>
                <w:i/>
              </w:rPr>
            </w:pPr>
            <w:r>
              <w:rPr>
                <w:i/>
                <w:snapToGrid w:val="0"/>
              </w:rPr>
              <w:t>Courts Legislation Amendment and Repeal Act 2004</w:t>
            </w:r>
            <w:r>
              <w:rPr>
                <w:snapToGrid w:val="0"/>
              </w:rPr>
              <w:t xml:space="preserve"> Pt. 16</w:t>
            </w:r>
          </w:p>
        </w:tc>
        <w:tc>
          <w:tcPr>
            <w:tcW w:w="1134" w:type="dxa"/>
            <w:gridSpan w:val="2"/>
          </w:tcPr>
          <w:p>
            <w:pPr>
              <w:pStyle w:val="nTable"/>
              <w:spacing w:after="40"/>
            </w:pPr>
            <w:r>
              <w:rPr>
                <w:snapToGrid w:val="0"/>
              </w:rPr>
              <w:t>59 of 2004</w:t>
            </w:r>
          </w:p>
        </w:tc>
        <w:tc>
          <w:tcPr>
            <w:tcW w:w="1135" w:type="dxa"/>
            <w:gridSpan w:val="2"/>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7088" w:type="dxa"/>
            <w:gridSpan w:val="7"/>
          </w:tcPr>
          <w:p>
            <w:pPr>
              <w:pStyle w:val="nTable"/>
              <w:spacing w:after="40"/>
              <w:rPr>
                <w:snapToGrid w:val="0"/>
              </w:rPr>
            </w:pPr>
            <w:r>
              <w:rPr>
                <w:b/>
              </w:rPr>
              <w:t xml:space="preserve">Reprint 3: The </w:t>
            </w:r>
            <w:r>
              <w:rPr>
                <w:b/>
                <w:i/>
              </w:rPr>
              <w:t xml:space="preserve">Residential Tenancies Act 1987 </w:t>
            </w:r>
            <w:r>
              <w:rPr>
                <w:b/>
              </w:rPr>
              <w:t>as at 27 May 2005</w:t>
            </w:r>
            <w:r>
              <w:t xml:space="preserve"> (includes amendments listed above except those in the </w:t>
            </w:r>
            <w:r>
              <w:rPr>
                <w:i/>
              </w:rPr>
              <w:t>Real Estate Legislation Amendment Act 1995</w:t>
            </w:r>
            <w:r>
              <w:rPr>
                <w:iCs/>
              </w:rPr>
              <w:t xml:space="preserve"> s. 46 and 52</w:t>
            </w:r>
            <w:r>
              <w:t>)</w:t>
            </w:r>
          </w:p>
        </w:tc>
      </w:tr>
      <w:tr>
        <w:tc>
          <w:tcPr>
            <w:tcW w:w="2268"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s. 23</w:t>
            </w:r>
          </w:p>
        </w:tc>
        <w:tc>
          <w:tcPr>
            <w:tcW w:w="1134" w:type="dxa"/>
            <w:gridSpan w:val="2"/>
          </w:tcPr>
          <w:p>
            <w:pPr>
              <w:pStyle w:val="nTable"/>
              <w:spacing w:after="40"/>
              <w:rPr>
                <w:snapToGrid w:val="0"/>
              </w:rPr>
            </w:pPr>
            <w:r>
              <w:rPr>
                <w:snapToGrid w:val="0"/>
              </w:rPr>
              <w:t>20 of 2005</w:t>
            </w:r>
          </w:p>
        </w:tc>
        <w:tc>
          <w:tcPr>
            <w:tcW w:w="1135" w:type="dxa"/>
            <w:gridSpan w:val="2"/>
          </w:tcPr>
          <w:p>
            <w:pPr>
              <w:pStyle w:val="nTable"/>
              <w:spacing w:after="40"/>
            </w:pPr>
            <w:r>
              <w:t>15 Nov 2005</w:t>
            </w:r>
          </w:p>
        </w:tc>
        <w:tc>
          <w:tcPr>
            <w:tcW w:w="2551" w:type="dxa"/>
          </w:tcPr>
          <w:p>
            <w:pPr>
              <w:pStyle w:val="nTable"/>
              <w:spacing w:after="40"/>
              <w:rPr>
                <w:snapToGrid w:val="0"/>
              </w:rPr>
            </w:pPr>
            <w:r>
              <w:rPr>
                <w:snapToGrid w:val="0"/>
              </w:rPr>
              <w:t>15 Nov 2005 (see s. 2)</w:t>
            </w:r>
          </w:p>
        </w:tc>
      </w:tr>
      <w:tr>
        <w:tc>
          <w:tcPr>
            <w:tcW w:w="2268" w:type="dxa"/>
            <w:gridSpan w:val="2"/>
          </w:tcPr>
          <w:p>
            <w:pPr>
              <w:pStyle w:val="nTable"/>
              <w:spacing w:after="40"/>
              <w:rPr>
                <w:snapToGrid w:val="0"/>
                <w:vertAlign w:val="superscript"/>
              </w:rPr>
            </w:pPr>
            <w:r>
              <w:rPr>
                <w:i/>
                <w:snapToGrid w:val="0"/>
              </w:rPr>
              <w:t>Machinery of Government (Miscellaneous Amendments) Act 2006</w:t>
            </w:r>
            <w:r>
              <w:rPr>
                <w:snapToGrid w:val="0"/>
              </w:rPr>
              <w:t xml:space="preserve"> Pt. 4 Div. 20 </w:t>
            </w:r>
            <w:r>
              <w:rPr>
                <w:snapToGrid w:val="0"/>
                <w:vertAlign w:val="superscript"/>
              </w:rPr>
              <w:t>7</w:t>
            </w:r>
          </w:p>
        </w:tc>
        <w:tc>
          <w:tcPr>
            <w:tcW w:w="1134" w:type="dxa"/>
            <w:gridSpan w:val="2"/>
          </w:tcPr>
          <w:p>
            <w:pPr>
              <w:pStyle w:val="nTable"/>
              <w:spacing w:after="40"/>
              <w:rPr>
                <w:snapToGrid w:val="0"/>
              </w:rPr>
            </w:pPr>
            <w:r>
              <w:rPr>
                <w:snapToGrid w:val="0"/>
              </w:rPr>
              <w:t>28 of 2006</w:t>
            </w:r>
          </w:p>
        </w:tc>
        <w:tc>
          <w:tcPr>
            <w:tcW w:w="1135" w:type="dxa"/>
            <w:gridSpan w:val="2"/>
          </w:tcPr>
          <w:p>
            <w:pPr>
              <w:pStyle w:val="nTable"/>
              <w:spacing w:after="40"/>
            </w:pPr>
            <w:r>
              <w:t>26 Jun 2006</w:t>
            </w:r>
          </w:p>
        </w:tc>
        <w:tc>
          <w:tcPr>
            <w:tcW w:w="2551"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c>
          <w:tcPr>
            <w:tcW w:w="2268" w:type="dxa"/>
            <w:gridSpan w:val="2"/>
          </w:tcPr>
          <w:p>
            <w:pPr>
              <w:pStyle w:val="nTable"/>
              <w:spacing w:after="40"/>
              <w:rPr>
                <w:iCs/>
                <w:snapToGrid w:val="0"/>
              </w:rPr>
            </w:pPr>
            <w:r>
              <w:rPr>
                <w:i/>
                <w:snapToGrid w:val="0"/>
              </w:rPr>
              <w:t>Residential Parks (Long</w:t>
            </w:r>
            <w:r>
              <w:rPr>
                <w:i/>
                <w:snapToGrid w:val="0"/>
              </w:rPr>
              <w:noBreakHyphen/>
              <w:t>stay Tenants) Act 2006</w:t>
            </w:r>
            <w:r>
              <w:rPr>
                <w:iCs/>
                <w:snapToGrid w:val="0"/>
              </w:rPr>
              <w:t xml:space="preserve"> s. 98</w:t>
            </w:r>
          </w:p>
        </w:tc>
        <w:tc>
          <w:tcPr>
            <w:tcW w:w="1134" w:type="dxa"/>
            <w:gridSpan w:val="2"/>
          </w:tcPr>
          <w:p>
            <w:pPr>
              <w:pStyle w:val="nTable"/>
              <w:spacing w:after="40"/>
              <w:rPr>
                <w:snapToGrid w:val="0"/>
              </w:rPr>
            </w:pPr>
            <w:r>
              <w:rPr>
                <w:snapToGrid w:val="0"/>
              </w:rPr>
              <w:t>32 of 2006</w:t>
            </w:r>
          </w:p>
        </w:tc>
        <w:tc>
          <w:tcPr>
            <w:tcW w:w="1135" w:type="dxa"/>
            <w:gridSpan w:val="2"/>
          </w:tcPr>
          <w:p>
            <w:pPr>
              <w:pStyle w:val="nTable"/>
              <w:spacing w:after="40"/>
            </w:pPr>
            <w:r>
              <w:t>4 Jul 2006</w:t>
            </w:r>
          </w:p>
        </w:tc>
        <w:tc>
          <w:tcPr>
            <w:tcW w:w="2551" w:type="dxa"/>
          </w:tcPr>
          <w:p>
            <w:pPr>
              <w:pStyle w:val="nTable"/>
              <w:spacing w:after="40"/>
              <w:rPr>
                <w:snapToGrid w:val="0"/>
              </w:rPr>
            </w:pPr>
            <w:r>
              <w:rPr>
                <w:snapToGrid w:val="0"/>
              </w:rPr>
              <w:t xml:space="preserve">3 Aug 2007 (see s. 2 and </w:t>
            </w:r>
            <w:r>
              <w:rPr>
                <w:i/>
                <w:iCs/>
                <w:snapToGrid w:val="0"/>
              </w:rPr>
              <w:t>Gazette</w:t>
            </w:r>
            <w:r>
              <w:rPr>
                <w:snapToGrid w:val="0"/>
              </w:rPr>
              <w:t xml:space="preserve"> 1 Aug 2007 p. 3835)</w:t>
            </w:r>
          </w:p>
        </w:tc>
      </w:tr>
      <w:tr>
        <w:tc>
          <w:tcPr>
            <w:tcW w:w="2268" w:type="dxa"/>
            <w:gridSpan w:val="2"/>
          </w:tcPr>
          <w:p>
            <w:pPr>
              <w:pStyle w:val="nTable"/>
              <w:spacing w:after="40"/>
              <w:rPr>
                <w:i/>
                <w:snapToGrid w:val="0"/>
              </w:rPr>
            </w:pPr>
            <w:r>
              <w:rPr>
                <w:i/>
                <w:snapToGrid w:val="0"/>
              </w:rPr>
              <w:t>Consumer Protection Legislation Amendment and Repeal Act 2006</w:t>
            </w:r>
            <w:r>
              <w:rPr>
                <w:iCs/>
                <w:snapToGrid w:val="0"/>
              </w:rPr>
              <w:t xml:space="preserve"> Pt. 9</w:t>
            </w:r>
          </w:p>
        </w:tc>
        <w:tc>
          <w:tcPr>
            <w:tcW w:w="1134" w:type="dxa"/>
            <w:gridSpan w:val="2"/>
          </w:tcPr>
          <w:p>
            <w:pPr>
              <w:pStyle w:val="nTable"/>
              <w:spacing w:after="40"/>
              <w:rPr>
                <w:snapToGrid w:val="0"/>
              </w:rPr>
            </w:pPr>
            <w:r>
              <w:rPr>
                <w:snapToGrid w:val="0"/>
              </w:rPr>
              <w:t>69 of 2006</w:t>
            </w:r>
          </w:p>
        </w:tc>
        <w:tc>
          <w:tcPr>
            <w:tcW w:w="1135" w:type="dxa"/>
            <w:gridSpan w:val="2"/>
          </w:tcPr>
          <w:p>
            <w:pPr>
              <w:pStyle w:val="nTable"/>
              <w:spacing w:after="40"/>
            </w:pPr>
            <w:r>
              <w:t>13 Dec 2006</w:t>
            </w:r>
          </w:p>
        </w:tc>
        <w:tc>
          <w:tcPr>
            <w:tcW w:w="2551" w:type="dxa"/>
          </w:tcPr>
          <w:p>
            <w:pPr>
              <w:pStyle w:val="nTable"/>
              <w:spacing w:after="40"/>
              <w:rPr>
                <w:snapToGrid w:val="0"/>
              </w:rPr>
            </w:pPr>
            <w:r>
              <w:rPr>
                <w:snapToGrid w:val="0"/>
              </w:rPr>
              <w:t xml:space="preserve">14 Jul 2007 (see s. 2 and </w:t>
            </w:r>
            <w:r>
              <w:rPr>
                <w:i/>
                <w:iCs/>
                <w:snapToGrid w:val="0"/>
              </w:rPr>
              <w:t>Gazette</w:t>
            </w:r>
            <w:r>
              <w:rPr>
                <w:snapToGrid w:val="0"/>
              </w:rPr>
              <w:t xml:space="preserve"> 13 Jul 2007 p. 3453)</w:t>
            </w:r>
          </w:p>
        </w:tc>
      </w:tr>
      <w:tr>
        <w:tc>
          <w:tcPr>
            <w:tcW w:w="2268" w:type="dxa"/>
            <w:gridSpan w:val="2"/>
          </w:tcPr>
          <w:p>
            <w:pPr>
              <w:pStyle w:val="nTable"/>
              <w:spacing w:after="40"/>
              <w:rPr>
                <w:i/>
                <w:snapToGrid w:val="0"/>
              </w:rPr>
            </w:pPr>
            <w:r>
              <w:rPr>
                <w:i/>
                <w:snapToGrid w:val="0"/>
              </w:rPr>
              <w:t xml:space="preserve">Financial Legislation Amendment and Repeal Act 2006 </w:t>
            </w:r>
            <w:r>
              <w:rPr>
                <w:snapToGrid w:val="0"/>
              </w:rPr>
              <w:t>s. 4 and Sch. 1 cl. 149</w:t>
            </w:r>
          </w:p>
        </w:tc>
        <w:tc>
          <w:tcPr>
            <w:tcW w:w="1134" w:type="dxa"/>
            <w:gridSpan w:val="2"/>
          </w:tcPr>
          <w:p>
            <w:pPr>
              <w:pStyle w:val="nTable"/>
              <w:spacing w:after="40"/>
              <w:rPr>
                <w:snapToGrid w:val="0"/>
              </w:rPr>
            </w:pPr>
            <w:r>
              <w:rPr>
                <w:snapToGrid w:val="0"/>
              </w:rPr>
              <w:t xml:space="preserve">77 of 2006 </w:t>
            </w:r>
          </w:p>
        </w:tc>
        <w:tc>
          <w:tcPr>
            <w:tcW w:w="1135" w:type="dxa"/>
            <w:gridSpan w:val="2"/>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8" w:type="dxa"/>
            <w:gridSpan w:val="7"/>
          </w:tcPr>
          <w:p>
            <w:pPr>
              <w:pStyle w:val="nTable"/>
              <w:spacing w:after="40"/>
              <w:rPr>
                <w:snapToGrid w:val="0"/>
              </w:rPr>
            </w:pPr>
            <w:r>
              <w:rPr>
                <w:b/>
              </w:rPr>
              <w:t xml:space="preserve">Reprint 4: The </w:t>
            </w:r>
            <w:r>
              <w:rPr>
                <w:b/>
                <w:i/>
              </w:rPr>
              <w:t xml:space="preserve">Residential Tenancies Act 1987 </w:t>
            </w:r>
            <w:r>
              <w:rPr>
                <w:b/>
              </w:rPr>
              <w:t>as at 20 Jul 2007</w:t>
            </w:r>
            <w:r>
              <w:t xml:space="preserve"> (includes amendments listed above except those in the </w:t>
            </w:r>
            <w:r>
              <w:rPr>
                <w:i/>
                <w:snapToGrid w:val="0"/>
              </w:rPr>
              <w:t>Residential Parks (Long</w:t>
            </w:r>
            <w:r>
              <w:rPr>
                <w:i/>
                <w:snapToGrid w:val="0"/>
              </w:rPr>
              <w:noBreakHyphen/>
              <w:t>stay Tenants) Act 2006</w:t>
            </w:r>
            <w:r>
              <w:t>)</w:t>
            </w:r>
          </w:p>
        </w:tc>
      </w:tr>
      <w:tr>
        <w:tc>
          <w:tcPr>
            <w:tcW w:w="2268" w:type="dxa"/>
            <w:gridSpan w:val="2"/>
          </w:tcPr>
          <w:p>
            <w:pPr>
              <w:pStyle w:val="nTable"/>
              <w:spacing w:after="40"/>
              <w:rPr>
                <w:i/>
                <w:snapToGrid w:val="0"/>
              </w:rPr>
            </w:pPr>
            <w:r>
              <w:rPr>
                <w:i/>
                <w:iCs/>
                <w:snapToGrid w:val="0"/>
              </w:rPr>
              <w:t>Legal Profession Act 2008</w:t>
            </w:r>
            <w:r>
              <w:rPr>
                <w:snapToGrid w:val="0"/>
              </w:rPr>
              <w:t xml:space="preserve"> s. 698</w:t>
            </w:r>
          </w:p>
        </w:tc>
        <w:tc>
          <w:tcPr>
            <w:tcW w:w="1134" w:type="dxa"/>
            <w:gridSpan w:val="2"/>
          </w:tcPr>
          <w:p>
            <w:pPr>
              <w:pStyle w:val="nTable"/>
              <w:spacing w:after="40"/>
              <w:rPr>
                <w:snapToGrid w:val="0"/>
              </w:rPr>
            </w:pPr>
            <w:r>
              <w:rPr>
                <w:snapToGrid w:val="0"/>
              </w:rPr>
              <w:t>21 of 2008</w:t>
            </w:r>
          </w:p>
        </w:tc>
        <w:tc>
          <w:tcPr>
            <w:tcW w:w="1135" w:type="dxa"/>
            <w:gridSpan w:val="2"/>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29</w:t>
            </w:r>
          </w:p>
        </w:tc>
        <w:tc>
          <w:tcPr>
            <w:tcW w:w="1134"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gridSpan w:val="2"/>
          </w:tcPr>
          <w:p>
            <w:pPr>
              <w:pStyle w:val="nTable"/>
              <w:spacing w:after="40"/>
              <w:ind w:right="113"/>
              <w:rPr>
                <w:i/>
                <w:snapToGrid w:val="0"/>
              </w:rPr>
            </w:pPr>
            <w:r>
              <w:rPr>
                <w:i/>
                <w:noProof/>
                <w:snapToGrid w:val="0"/>
              </w:rPr>
              <w:t>Acts Amendment (Fair Trading) Act 2010</w:t>
            </w:r>
            <w:r>
              <w:rPr>
                <w:iCs/>
                <w:noProof/>
                <w:snapToGrid w:val="0"/>
              </w:rPr>
              <w:t xml:space="preserve"> s. 189</w:t>
            </w:r>
          </w:p>
        </w:tc>
        <w:tc>
          <w:tcPr>
            <w:tcW w:w="1134" w:type="dxa"/>
            <w:gridSpan w:val="2"/>
          </w:tcPr>
          <w:p>
            <w:pPr>
              <w:pStyle w:val="nTable"/>
              <w:spacing w:after="40"/>
              <w:rPr>
                <w:snapToGrid w:val="0"/>
              </w:rPr>
            </w:pPr>
            <w:r>
              <w:t>58 of 2010</w:t>
            </w:r>
          </w:p>
        </w:tc>
        <w:tc>
          <w:tcPr>
            <w:tcW w:w="1135" w:type="dxa"/>
            <w:gridSpan w:val="2"/>
          </w:tcPr>
          <w:p>
            <w:pPr>
              <w:pStyle w:val="nTable"/>
              <w:spacing w:after="40"/>
              <w:rPr>
                <w:snapToGrid w:val="0"/>
              </w:rPr>
            </w:pPr>
            <w:r>
              <w:t>8 Dec 2010</w:t>
            </w:r>
          </w:p>
        </w:tc>
        <w:tc>
          <w:tcPr>
            <w:tcW w:w="2551"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2268" w:type="dxa"/>
            <w:gridSpan w:val="2"/>
            <w:shd w:val="clear" w:color="auto" w:fill="auto"/>
          </w:tcPr>
          <w:p>
            <w:pPr>
              <w:pStyle w:val="nTable"/>
              <w:spacing w:after="40"/>
              <w:ind w:right="113"/>
              <w:rPr>
                <w:i/>
                <w:noProof/>
                <w:snapToGrid w:val="0"/>
              </w:rPr>
            </w:pPr>
            <w:r>
              <w:rPr>
                <w:i/>
                <w:snapToGrid w:val="0"/>
              </w:rPr>
              <w:t>Residential Tenancies Amendment Act 2011</w:t>
            </w:r>
          </w:p>
        </w:tc>
        <w:tc>
          <w:tcPr>
            <w:tcW w:w="1134" w:type="dxa"/>
            <w:gridSpan w:val="2"/>
            <w:shd w:val="clear" w:color="auto" w:fill="auto"/>
          </w:tcPr>
          <w:p>
            <w:pPr>
              <w:pStyle w:val="nTable"/>
              <w:spacing w:after="40"/>
            </w:pPr>
            <w:r>
              <w:rPr>
                <w:snapToGrid w:val="0"/>
              </w:rPr>
              <w:t>60 of 2011</w:t>
            </w:r>
          </w:p>
        </w:tc>
        <w:tc>
          <w:tcPr>
            <w:tcW w:w="1135" w:type="dxa"/>
            <w:gridSpan w:val="2"/>
            <w:shd w:val="clear" w:color="auto" w:fill="auto"/>
          </w:tcPr>
          <w:p>
            <w:pPr>
              <w:pStyle w:val="nTable"/>
              <w:spacing w:after="40"/>
            </w:pPr>
            <w:r>
              <w:t>14 Dec 2011</w:t>
            </w:r>
          </w:p>
        </w:tc>
        <w:tc>
          <w:tcPr>
            <w:tcW w:w="2551" w:type="dxa"/>
            <w:shd w:val="clear" w:color="auto" w:fill="auto"/>
          </w:tcPr>
          <w:p>
            <w:pPr>
              <w:pStyle w:val="nTable"/>
              <w:spacing w:after="40"/>
            </w:pPr>
            <w:r>
              <w:rPr>
                <w:snapToGrid w:val="0"/>
              </w:rPr>
              <w:t xml:space="preserve">s. 1 and 2: </w:t>
            </w:r>
            <w:r>
              <w:t>14 Dec 2011 (see s. 2(a));</w:t>
            </w:r>
            <w:r>
              <w:br/>
            </w:r>
            <w:r>
              <w:rPr>
                <w:snapToGrid w:val="0"/>
              </w:rPr>
              <w:t xml:space="preserve">s. 5(2) </w:t>
            </w:r>
            <w:r>
              <w:t xml:space="preserve">(to the extent that it inserts the definition of </w:t>
            </w:r>
            <w:r>
              <w:rPr>
                <w:b/>
                <w:i/>
              </w:rPr>
              <w:t>lessor</w:t>
            </w:r>
            <w:r>
              <w:t>)</w:t>
            </w:r>
            <w:r>
              <w:rPr>
                <w:snapToGrid w:val="0"/>
              </w:rPr>
              <w:t xml:space="preserve">, 42(1) and (2), 45(1), 57, 58, 60, 69, 88, 89 </w:t>
            </w:r>
            <w:r>
              <w:t>(to the extent that it amends s. 71) and 90</w:t>
            </w:r>
            <w:r>
              <w:noBreakHyphen/>
              <w:t xml:space="preserve">95: 30 Jul 2012 (see s. 2(b) and </w:t>
            </w:r>
            <w:r>
              <w:rPr>
                <w:i/>
              </w:rPr>
              <w:t>Gazette</w:t>
            </w:r>
            <w:r>
              <w:t xml:space="preserve"> 27 Jul 2012 p. 3663);</w:t>
            </w:r>
            <w:r>
              <w:br/>
            </w:r>
            <w:r>
              <w:rPr>
                <w:snapToGrid w:val="0"/>
              </w:rPr>
              <w:t xml:space="preserve">s. 3-5 (except to the extent that it inserts the definition of </w:t>
            </w:r>
            <w:r>
              <w:rPr>
                <w:b/>
                <w:i/>
                <w:snapToGrid w:val="0"/>
              </w:rPr>
              <w:t>lessor</w:t>
            </w:r>
            <w:r>
              <w:rPr>
                <w:snapToGrid w:val="0"/>
              </w:rPr>
              <w:t>), 6-41, 42(3), 43-44, 45(2), 46-56, 59, 61-68, 70</w:t>
            </w:r>
            <w:r>
              <w:rPr>
                <w:snapToGrid w:val="0"/>
              </w:rPr>
              <w:noBreakHyphen/>
              <w:t xml:space="preserve">87, 89 (except to the extent that it amends s. 71) and Pt. 4 (s. 96): 1 Jul 2013 (see s. 2(b) and </w:t>
            </w:r>
            <w:r>
              <w:rPr>
                <w:i/>
                <w:snapToGrid w:val="0"/>
              </w:rPr>
              <w:t>Gazette</w:t>
            </w:r>
            <w:r>
              <w:rPr>
                <w:snapToGrid w:val="0"/>
              </w:rPr>
              <w:t xml:space="preserve"> 3 May 2013 p. 1735)</w:t>
            </w:r>
          </w:p>
        </w:tc>
      </w:tr>
      <w:tr>
        <w:trPr>
          <w:cantSplit/>
        </w:trPr>
        <w:tc>
          <w:tcPr>
            <w:tcW w:w="7088" w:type="dxa"/>
            <w:gridSpan w:val="7"/>
            <w:shd w:val="clear" w:color="auto" w:fill="auto"/>
          </w:tcPr>
          <w:p>
            <w:pPr>
              <w:pStyle w:val="nTable"/>
              <w:spacing w:after="40"/>
              <w:rPr>
                <w:snapToGrid w:val="0"/>
              </w:rPr>
            </w:pPr>
            <w:r>
              <w:rPr>
                <w:b/>
              </w:rPr>
              <w:t xml:space="preserve">Reprint 5: The </w:t>
            </w:r>
            <w:r>
              <w:rPr>
                <w:b/>
                <w:i/>
              </w:rPr>
              <w:t xml:space="preserve">Residential Tenancies Act 1987 </w:t>
            </w:r>
            <w:r>
              <w:rPr>
                <w:b/>
              </w:rPr>
              <w:t>as at 19 Jul 2013</w:t>
            </w:r>
            <w:r>
              <w:t xml:space="preserve"> (includes amendments listed above)</w:t>
            </w:r>
          </w:p>
        </w:tc>
      </w:tr>
      <w:tr>
        <w:trPr>
          <w:cantSplit/>
        </w:trPr>
        <w:tc>
          <w:tcPr>
            <w:tcW w:w="2268" w:type="dxa"/>
            <w:gridSpan w:val="2"/>
            <w:shd w:val="clear" w:color="auto" w:fill="auto"/>
          </w:tcPr>
          <w:p>
            <w:pPr>
              <w:pStyle w:val="nTable"/>
              <w:spacing w:after="40"/>
              <w:ind w:right="113"/>
              <w:rPr>
                <w:i/>
                <w:noProof/>
                <w:snapToGrid w:val="0"/>
              </w:rPr>
            </w:pPr>
            <w:r>
              <w:rPr>
                <w:i/>
              </w:rPr>
              <w:t>Dog Amendment Act 2013</w:t>
            </w:r>
            <w:r>
              <w:t xml:space="preserve"> Pt. 3</w:t>
            </w:r>
          </w:p>
        </w:tc>
        <w:tc>
          <w:tcPr>
            <w:tcW w:w="1134" w:type="dxa"/>
            <w:gridSpan w:val="2"/>
            <w:shd w:val="clear" w:color="auto" w:fill="auto"/>
          </w:tcPr>
          <w:p>
            <w:pPr>
              <w:pStyle w:val="nTable"/>
              <w:spacing w:after="40"/>
            </w:pPr>
            <w:r>
              <w:t>18 of 2013</w:t>
            </w:r>
          </w:p>
        </w:tc>
        <w:tc>
          <w:tcPr>
            <w:tcW w:w="1135" w:type="dxa"/>
            <w:gridSpan w:val="2"/>
            <w:shd w:val="clear" w:color="auto" w:fill="auto"/>
          </w:tcPr>
          <w:p>
            <w:pPr>
              <w:pStyle w:val="nTable"/>
              <w:spacing w:after="40"/>
            </w:pPr>
            <w:r>
              <w:t>29 Oct 2013</w:t>
            </w:r>
          </w:p>
        </w:tc>
        <w:tc>
          <w:tcPr>
            <w:tcW w:w="2551" w:type="dxa"/>
            <w:shd w:val="clear" w:color="auto" w:fill="auto"/>
          </w:tcPr>
          <w:p>
            <w:pPr>
              <w:pStyle w:val="nTable"/>
              <w:spacing w:after="40"/>
            </w:pPr>
            <w:r>
              <w:t xml:space="preserve">1 Nov 2013 (see s. 2(b) and </w:t>
            </w:r>
            <w:r>
              <w:rPr>
                <w:i/>
              </w:rPr>
              <w:t>Gazette</w:t>
            </w:r>
            <w:r>
              <w:t xml:space="preserve"> 31 Oct 2013 p. 4829)</w:t>
            </w:r>
          </w:p>
        </w:tc>
      </w:tr>
      <w:tr>
        <w:trPr>
          <w:cantSplit/>
        </w:trPr>
        <w:tc>
          <w:tcPr>
            <w:tcW w:w="2268" w:type="dxa"/>
            <w:gridSpan w:val="2"/>
            <w:shd w:val="clear" w:color="auto" w:fill="auto"/>
          </w:tcPr>
          <w:p>
            <w:pPr>
              <w:pStyle w:val="nTable"/>
              <w:spacing w:after="40"/>
              <w:ind w:right="113"/>
              <w:rPr>
                <w:i/>
              </w:rPr>
            </w:pPr>
            <w:r>
              <w:rPr>
                <w:i/>
                <w:snapToGrid w:val="0"/>
              </w:rPr>
              <w:t>Statutes (Repeals and Minor Amendments) Act 2014</w:t>
            </w:r>
            <w:r>
              <w:rPr>
                <w:snapToGrid w:val="0"/>
              </w:rPr>
              <w:t xml:space="preserve"> s. 5</w:t>
            </w:r>
          </w:p>
        </w:tc>
        <w:tc>
          <w:tcPr>
            <w:tcW w:w="1134" w:type="dxa"/>
            <w:gridSpan w:val="2"/>
            <w:shd w:val="clear" w:color="auto" w:fill="auto"/>
          </w:tcPr>
          <w:p>
            <w:pPr>
              <w:pStyle w:val="nTable"/>
              <w:spacing w:after="40"/>
            </w:pPr>
            <w:r>
              <w:t>17 of 2014</w:t>
            </w:r>
          </w:p>
        </w:tc>
        <w:tc>
          <w:tcPr>
            <w:tcW w:w="1135" w:type="dxa"/>
            <w:gridSpan w:val="2"/>
            <w:shd w:val="clear" w:color="auto" w:fill="auto"/>
          </w:tcPr>
          <w:p>
            <w:pPr>
              <w:pStyle w:val="nTable"/>
              <w:spacing w:after="40"/>
            </w:pPr>
            <w:r>
              <w:t>2 Jul 2014</w:t>
            </w:r>
          </w:p>
        </w:tc>
        <w:tc>
          <w:tcPr>
            <w:tcW w:w="2551" w:type="dxa"/>
            <w:shd w:val="clear" w:color="auto" w:fill="auto"/>
          </w:tcPr>
          <w:p>
            <w:pPr>
              <w:pStyle w:val="nTable"/>
              <w:spacing w:after="40"/>
            </w:pPr>
            <w:r>
              <w:t xml:space="preserve">6 Sep 2014 (see s. 2(b) and </w:t>
            </w:r>
            <w:r>
              <w:rPr>
                <w:i/>
              </w:rPr>
              <w:t>Gazette</w:t>
            </w:r>
            <w:r>
              <w:t xml:space="preserve"> 5 Sep 2014 p. 3213)</w:t>
            </w:r>
          </w:p>
        </w:tc>
      </w:tr>
      <w:tr>
        <w:trPr>
          <w:cantSplit/>
        </w:trPr>
        <w:tc>
          <w:tcPr>
            <w:tcW w:w="2268" w:type="dxa"/>
            <w:gridSpan w:val="2"/>
            <w:shd w:val="clear" w:color="auto" w:fill="auto"/>
          </w:tcPr>
          <w:p>
            <w:pPr>
              <w:pStyle w:val="nTable"/>
              <w:spacing w:after="40"/>
              <w:ind w:right="113"/>
              <w:rPr>
                <w:i/>
                <w:snapToGrid w:val="0"/>
              </w:rPr>
            </w:pPr>
            <w:r>
              <w:rPr>
                <w:i/>
                <w:snapToGrid w:val="0"/>
              </w:rPr>
              <w:t>Consumer Protection Legislation Amendment Act 2014</w:t>
            </w:r>
            <w:r>
              <w:rPr>
                <w:snapToGrid w:val="0"/>
              </w:rPr>
              <w:t xml:space="preserve"> Pt. 12</w:t>
            </w:r>
          </w:p>
        </w:tc>
        <w:tc>
          <w:tcPr>
            <w:tcW w:w="1134" w:type="dxa"/>
            <w:gridSpan w:val="2"/>
            <w:shd w:val="clear" w:color="auto" w:fill="auto"/>
          </w:tcPr>
          <w:p>
            <w:pPr>
              <w:pStyle w:val="nTable"/>
              <w:spacing w:after="40"/>
            </w:pPr>
            <w:r>
              <w:rPr>
                <w:snapToGrid w:val="0"/>
              </w:rPr>
              <w:t>23 of 2014</w:t>
            </w:r>
          </w:p>
        </w:tc>
        <w:tc>
          <w:tcPr>
            <w:tcW w:w="1135" w:type="dxa"/>
            <w:gridSpan w:val="2"/>
            <w:shd w:val="clear" w:color="auto" w:fill="auto"/>
          </w:tcPr>
          <w:p>
            <w:pPr>
              <w:pStyle w:val="nTable"/>
              <w:spacing w:after="40"/>
            </w:pPr>
            <w:r>
              <w:rPr>
                <w:snapToGrid w:val="0"/>
              </w:rPr>
              <w:t>9 Oct 2014</w:t>
            </w:r>
          </w:p>
        </w:tc>
        <w:tc>
          <w:tcPr>
            <w:tcW w:w="2551" w:type="dxa"/>
            <w:shd w:val="clear" w:color="auto" w:fill="auto"/>
          </w:tcPr>
          <w:p>
            <w:pPr>
              <w:pStyle w:val="nTable"/>
              <w:spacing w:after="40"/>
            </w:pPr>
            <w:r>
              <w:rPr>
                <w:snapToGrid w:val="0"/>
              </w:rPr>
              <w:t xml:space="preserve">19 Nov 2014 (see s. 2(b) and </w:t>
            </w:r>
            <w:r>
              <w:rPr>
                <w:i/>
                <w:snapToGrid w:val="0"/>
              </w:rPr>
              <w:t>Gazette</w:t>
            </w:r>
            <w:r>
              <w:rPr>
                <w:snapToGrid w:val="0"/>
              </w:rPr>
              <w:t xml:space="preserve"> 18 Nov 2014 p. 4315)</w:t>
            </w:r>
          </w:p>
        </w:tc>
      </w:tr>
      <w:tr>
        <w:trPr>
          <w:cantSplit/>
        </w:trPr>
        <w:tc>
          <w:tcPr>
            <w:tcW w:w="7088" w:type="dxa"/>
            <w:gridSpan w:val="7"/>
            <w:shd w:val="clear" w:color="auto" w:fill="auto"/>
          </w:tcPr>
          <w:p>
            <w:pPr>
              <w:pStyle w:val="nTable"/>
              <w:spacing w:after="40"/>
              <w:rPr>
                <w:snapToGrid w:val="0"/>
              </w:rPr>
            </w:pPr>
            <w:r>
              <w:rPr>
                <w:b/>
              </w:rPr>
              <w:t xml:space="preserve">Reprint 6: The </w:t>
            </w:r>
            <w:r>
              <w:rPr>
                <w:b/>
                <w:i/>
              </w:rPr>
              <w:t xml:space="preserve">Residential Tenancies Act 1987 </w:t>
            </w:r>
            <w:r>
              <w:rPr>
                <w:b/>
              </w:rPr>
              <w:t>as at 6 Feb 2015</w:t>
            </w:r>
            <w:r>
              <w:t xml:space="preserve"> (includes amendments listed above)</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spacing w:after="40"/>
            </w:pPr>
            <w:r>
              <w:rPr>
                <w:i/>
              </w:rPr>
              <w:t>Residential Tenancies Amendment Act 2016</w:t>
            </w:r>
            <w:r>
              <w:t xml:space="preserve"> </w:t>
            </w:r>
          </w:p>
        </w:tc>
        <w:tc>
          <w:tcPr>
            <w:tcW w:w="1134" w:type="dxa"/>
            <w:gridSpan w:val="2"/>
            <w:tcBorders>
              <w:top w:val="nil"/>
              <w:bottom w:val="nil"/>
            </w:tcBorders>
          </w:tcPr>
          <w:p>
            <w:pPr>
              <w:pStyle w:val="nTable"/>
              <w:spacing w:after="40"/>
            </w:pPr>
            <w:r>
              <w:t>42 of 2016</w:t>
            </w:r>
          </w:p>
        </w:tc>
        <w:tc>
          <w:tcPr>
            <w:tcW w:w="1134" w:type="dxa"/>
            <w:gridSpan w:val="2"/>
            <w:tcBorders>
              <w:top w:val="nil"/>
              <w:bottom w:val="nil"/>
            </w:tcBorders>
          </w:tcPr>
          <w:p>
            <w:pPr>
              <w:pStyle w:val="nTable"/>
              <w:spacing w:after="40"/>
            </w:pPr>
            <w:r>
              <w:t>1 Dec 2016</w:t>
            </w:r>
          </w:p>
        </w:tc>
        <w:tc>
          <w:tcPr>
            <w:tcW w:w="2580" w:type="dxa"/>
            <w:gridSpan w:val="2"/>
            <w:tcBorders>
              <w:top w:val="nil"/>
              <w:bottom w:val="nil"/>
            </w:tcBorders>
          </w:tcPr>
          <w:p>
            <w:pPr>
              <w:pStyle w:val="nTable"/>
              <w:spacing w:after="40"/>
            </w:pPr>
            <w:r>
              <w:t>s. 1 and 2: 1 Dec 2016 (see s. 2(a));</w:t>
            </w:r>
            <w:r>
              <w:br/>
              <w:t xml:space="preserve">Act other than s. 1 and 2: 3 Jul 2017 (see s. 2(b) and </w:t>
            </w:r>
            <w:r>
              <w:rPr>
                <w:i/>
              </w:rPr>
              <w:t>Gazette</w:t>
            </w:r>
            <w:r>
              <w:t xml:space="preserve"> 30 Jun 2017 p. 3551</w:t>
            </w:r>
            <w:r>
              <w:noBreakHyphen/>
              <w:t>2)</w:t>
            </w:r>
          </w:p>
        </w:tc>
      </w:tr>
      <w:tr>
        <w:tblPrEx>
          <w:tblBorders>
            <w:top w:val="single" w:sz="8" w:space="0" w:color="auto"/>
            <w:bottom w:val="single" w:sz="8" w:space="0" w:color="auto"/>
            <w:insideH w:val="single" w:sz="8" w:space="0" w:color="auto"/>
          </w:tblBorders>
        </w:tblPrEx>
        <w:trPr>
          <w:ins w:id="1070" w:author="svcMRProcess" w:date="2019-04-15T16:46:00Z"/>
        </w:trPr>
        <w:tc>
          <w:tcPr>
            <w:tcW w:w="2240" w:type="dxa"/>
            <w:tcBorders>
              <w:top w:val="nil"/>
              <w:bottom w:val="single" w:sz="4" w:space="0" w:color="auto"/>
            </w:tcBorders>
          </w:tcPr>
          <w:p>
            <w:pPr>
              <w:pStyle w:val="nTable"/>
              <w:keepNext/>
              <w:spacing w:after="40"/>
              <w:rPr>
                <w:ins w:id="1071" w:author="svcMRProcess" w:date="2019-04-15T16:46:00Z"/>
                <w:i/>
              </w:rPr>
            </w:pPr>
            <w:ins w:id="1072" w:author="svcMRProcess" w:date="2019-04-15T16:46:00Z">
              <w:r>
                <w:rPr>
                  <w:i/>
                </w:rPr>
                <w:t xml:space="preserve">Residential Tenancies Legislation Amendment (Family Violence) Act 2019 </w:t>
              </w:r>
              <w:r>
                <w:t>Pt. 2</w:t>
              </w:r>
            </w:ins>
          </w:p>
        </w:tc>
        <w:tc>
          <w:tcPr>
            <w:tcW w:w="1134" w:type="dxa"/>
            <w:gridSpan w:val="2"/>
            <w:tcBorders>
              <w:top w:val="nil"/>
              <w:bottom w:val="single" w:sz="4" w:space="0" w:color="auto"/>
            </w:tcBorders>
          </w:tcPr>
          <w:p>
            <w:pPr>
              <w:pStyle w:val="nTable"/>
              <w:keepNext/>
              <w:spacing w:after="40"/>
              <w:rPr>
                <w:ins w:id="1073" w:author="svcMRProcess" w:date="2019-04-15T16:46:00Z"/>
              </w:rPr>
            </w:pPr>
            <w:ins w:id="1074" w:author="svcMRProcess" w:date="2019-04-15T16:46:00Z">
              <w:r>
                <w:t>3 of 2019</w:t>
              </w:r>
            </w:ins>
          </w:p>
        </w:tc>
        <w:tc>
          <w:tcPr>
            <w:tcW w:w="1134" w:type="dxa"/>
            <w:gridSpan w:val="2"/>
            <w:tcBorders>
              <w:top w:val="nil"/>
              <w:bottom w:val="single" w:sz="4" w:space="0" w:color="auto"/>
            </w:tcBorders>
          </w:tcPr>
          <w:p>
            <w:pPr>
              <w:pStyle w:val="nTable"/>
              <w:keepNext/>
              <w:spacing w:after="40"/>
              <w:rPr>
                <w:ins w:id="1075" w:author="svcMRProcess" w:date="2019-04-15T16:46:00Z"/>
              </w:rPr>
            </w:pPr>
            <w:ins w:id="1076" w:author="svcMRProcess" w:date="2019-04-15T16:46:00Z">
              <w:r>
                <w:t>26 Feb 2019</w:t>
              </w:r>
            </w:ins>
          </w:p>
        </w:tc>
        <w:tc>
          <w:tcPr>
            <w:tcW w:w="2580" w:type="dxa"/>
            <w:gridSpan w:val="2"/>
            <w:tcBorders>
              <w:top w:val="nil"/>
              <w:bottom w:val="single" w:sz="4" w:space="0" w:color="auto"/>
            </w:tcBorders>
          </w:tcPr>
          <w:p>
            <w:pPr>
              <w:pStyle w:val="nTable"/>
              <w:keepNext/>
              <w:spacing w:after="40"/>
              <w:rPr>
                <w:ins w:id="1077" w:author="svcMRProcess" w:date="2019-04-15T16:46:00Z"/>
              </w:rPr>
            </w:pPr>
            <w:ins w:id="1078" w:author="svcMRProcess" w:date="2019-04-15T16:46:00Z">
              <w:r>
                <w:t xml:space="preserve">15 Apr 2019 (see s. 2(b) and </w:t>
              </w:r>
              <w:r>
                <w:rPr>
                  <w:i/>
                </w:rPr>
                <w:t>Gazette</w:t>
              </w:r>
              <w:r>
                <w:t xml:space="preserve"> 9 Apr 2019 p. 1041-2)</w:t>
              </w:r>
            </w:ins>
          </w:p>
        </w:tc>
      </w:tr>
    </w:tbl>
    <w:p>
      <w:pPr>
        <w:pStyle w:val="nSubsection"/>
        <w:spacing w:before="24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rPr>
          <w:snapToGrid w:val="0"/>
        </w:rPr>
      </w:pPr>
      <w:bookmarkStart w:id="1079" w:name="_Toc5719444"/>
      <w:bookmarkStart w:id="1080" w:name="_Toc2161025"/>
      <w:r>
        <w:rPr>
          <w:snapToGrid w:val="0"/>
        </w:rPr>
        <w:t>Provisions that have not come into operation</w:t>
      </w:r>
      <w:bookmarkEnd w:id="1079"/>
      <w:bookmarkEnd w:id="1080"/>
    </w:p>
    <w:tbl>
      <w:tblPr>
        <w:tblW w:w="0" w:type="auto"/>
        <w:tblInd w:w="28" w:type="dxa"/>
        <w:tblLayout w:type="fixed"/>
        <w:tblCellMar>
          <w:left w:w="56" w:type="dxa"/>
          <w:right w:w="56" w:type="dxa"/>
        </w:tblCellMar>
        <w:tblLook w:val="0000" w:firstRow="0" w:lastRow="0" w:firstColumn="0" w:lastColumn="0" w:noHBand="0" w:noVBand="0"/>
      </w:tblPr>
      <w:tblGrid>
        <w:gridCol w:w="2273"/>
        <w:gridCol w:w="23"/>
        <w:gridCol w:w="1114"/>
        <w:gridCol w:w="20"/>
        <w:gridCol w:w="1117"/>
        <w:gridCol w:w="17"/>
        <w:gridCol w:w="2524"/>
        <w:gridCol w:w="27"/>
      </w:tblGrid>
      <w:tr>
        <w:trPr>
          <w:cantSplit/>
          <w:tblHeader/>
        </w:trPr>
        <w:tc>
          <w:tcPr>
            <w:tcW w:w="2273"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7" w:type="dxa"/>
            <w:gridSpan w:val="2"/>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7" w:type="dxa"/>
            <w:gridSpan w:val="2"/>
            <w:tcBorders>
              <w:top w:val="single" w:sz="8" w:space="0" w:color="auto"/>
              <w:bottom w:val="single" w:sz="8" w:space="0" w:color="auto"/>
            </w:tcBorders>
            <w:shd w:val="clear" w:color="auto" w:fill="auto"/>
          </w:tcPr>
          <w:p>
            <w:pPr>
              <w:pStyle w:val="nTable"/>
              <w:keepNext/>
              <w:spacing w:after="40"/>
              <w:rPr>
                <w:b/>
              </w:rPr>
            </w:pPr>
            <w:r>
              <w:rPr>
                <w:b/>
              </w:rPr>
              <w:t>Assent</w:t>
            </w:r>
          </w:p>
        </w:tc>
        <w:tc>
          <w:tcPr>
            <w:tcW w:w="2568" w:type="dxa"/>
            <w:gridSpan w:val="3"/>
            <w:tcBorders>
              <w:top w:val="single" w:sz="8" w:space="0" w:color="auto"/>
              <w:bottom w:val="single" w:sz="8" w:space="0" w:color="auto"/>
            </w:tcBorders>
            <w:shd w:val="clear" w:color="auto" w:fill="auto"/>
          </w:tcPr>
          <w:p>
            <w:pPr>
              <w:pStyle w:val="nTable"/>
              <w:keepNext/>
              <w:spacing w:after="40"/>
              <w:rPr>
                <w:b/>
              </w:rPr>
            </w:pPr>
            <w:r>
              <w:rPr>
                <w:b/>
              </w:rPr>
              <w:t>Commencement</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96" w:type="dxa"/>
            <w:gridSpan w:val="2"/>
            <w:tcBorders>
              <w:top w:val="nil"/>
              <w:bottom w:val="nil"/>
            </w:tcBorders>
          </w:tcPr>
          <w:p>
            <w:pPr>
              <w:pStyle w:val="nTable"/>
              <w:spacing w:after="40"/>
            </w:pPr>
            <w:r>
              <w:rPr>
                <w:i/>
              </w:rPr>
              <w:t>Strata Titles Amendment Act 2018</w:t>
            </w:r>
            <w:r>
              <w:t xml:space="preserve"> Pt. 3 Div 18</w:t>
            </w:r>
            <w:r>
              <w:rPr>
                <w:vertAlign w:val="superscript"/>
              </w:rPr>
              <w:t> 8</w:t>
            </w:r>
          </w:p>
        </w:tc>
        <w:tc>
          <w:tcPr>
            <w:tcW w:w="1134" w:type="dxa"/>
            <w:gridSpan w:val="2"/>
            <w:tcBorders>
              <w:top w:val="nil"/>
              <w:bottom w:val="nil"/>
            </w:tcBorders>
          </w:tcPr>
          <w:p>
            <w:pPr>
              <w:pStyle w:val="nTable"/>
              <w:spacing w:after="40"/>
            </w:pPr>
            <w:r>
              <w:t>30 of 2018</w:t>
            </w:r>
          </w:p>
        </w:tc>
        <w:tc>
          <w:tcPr>
            <w:tcW w:w="1134" w:type="dxa"/>
            <w:gridSpan w:val="2"/>
            <w:tcBorders>
              <w:top w:val="nil"/>
              <w:bottom w:val="nil"/>
            </w:tcBorders>
          </w:tcPr>
          <w:p>
            <w:pPr>
              <w:pStyle w:val="nTable"/>
              <w:spacing w:after="40"/>
            </w:pPr>
            <w:r>
              <w:t>19 Nov 2018</w:t>
            </w:r>
          </w:p>
        </w:tc>
        <w:tc>
          <w:tcPr>
            <w:tcW w:w="2524"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96" w:type="dxa"/>
            <w:gridSpan w:val="2"/>
            <w:tcBorders>
              <w:top w:val="nil"/>
              <w:bottom w:val="nil"/>
            </w:tcBorders>
          </w:tcPr>
          <w:p>
            <w:pPr>
              <w:pStyle w:val="nTable"/>
              <w:spacing w:after="40"/>
            </w:pPr>
            <w:r>
              <w:rPr>
                <w:i/>
              </w:rPr>
              <w:t>Community Titles Act 2018</w:t>
            </w:r>
            <w:r>
              <w:t xml:space="preserve"> Pt. 14 Div. 18</w:t>
            </w:r>
            <w:r>
              <w:rPr>
                <w:vertAlign w:val="superscript"/>
              </w:rPr>
              <w:t> 9</w:t>
            </w:r>
          </w:p>
        </w:tc>
        <w:tc>
          <w:tcPr>
            <w:tcW w:w="1134" w:type="dxa"/>
            <w:gridSpan w:val="2"/>
            <w:tcBorders>
              <w:top w:val="nil"/>
              <w:bottom w:val="nil"/>
            </w:tcBorders>
          </w:tcPr>
          <w:p>
            <w:pPr>
              <w:pStyle w:val="nTable"/>
              <w:spacing w:after="40"/>
            </w:pPr>
            <w:r>
              <w:t>32 of 2018</w:t>
            </w:r>
          </w:p>
        </w:tc>
        <w:tc>
          <w:tcPr>
            <w:tcW w:w="1134" w:type="dxa"/>
            <w:gridSpan w:val="2"/>
            <w:tcBorders>
              <w:top w:val="nil"/>
              <w:bottom w:val="nil"/>
            </w:tcBorders>
          </w:tcPr>
          <w:p>
            <w:pPr>
              <w:pStyle w:val="nTable"/>
              <w:spacing w:after="40"/>
            </w:pPr>
            <w:r>
              <w:t>19 Nov 2018</w:t>
            </w:r>
          </w:p>
        </w:tc>
        <w:tc>
          <w:tcPr>
            <w:tcW w:w="2524"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del w:id="1081" w:author="svcMRProcess" w:date="2019-04-15T16:46:00Z"/>
        </w:trPr>
        <w:tc>
          <w:tcPr>
            <w:tcW w:w="2296" w:type="dxa"/>
            <w:gridSpan w:val="2"/>
            <w:tcBorders>
              <w:top w:val="nil"/>
              <w:bottom w:val="single" w:sz="2" w:space="0" w:color="auto"/>
            </w:tcBorders>
          </w:tcPr>
          <w:p>
            <w:pPr>
              <w:pStyle w:val="nTable"/>
              <w:spacing w:after="40"/>
              <w:rPr>
                <w:del w:id="1082" w:author="svcMRProcess" w:date="2019-04-15T16:46:00Z"/>
                <w:i/>
              </w:rPr>
            </w:pPr>
            <w:del w:id="1083" w:author="svcMRProcess" w:date="2019-04-15T16:46:00Z">
              <w:r>
                <w:rPr>
                  <w:i/>
                </w:rPr>
                <w:delText xml:space="preserve">Residential Tenancies Legislation Amendment (Family Violence) Act 2019 </w:delText>
              </w:r>
              <w:r>
                <w:delText>Pt 2</w:delText>
              </w:r>
              <w:r>
                <w:rPr>
                  <w:vertAlign w:val="superscript"/>
                </w:rPr>
                <w:delText> 10</w:delText>
              </w:r>
            </w:del>
          </w:p>
        </w:tc>
        <w:tc>
          <w:tcPr>
            <w:tcW w:w="1134" w:type="dxa"/>
            <w:gridSpan w:val="2"/>
            <w:tcBorders>
              <w:top w:val="nil"/>
              <w:bottom w:val="single" w:sz="2" w:space="0" w:color="auto"/>
            </w:tcBorders>
          </w:tcPr>
          <w:p>
            <w:pPr>
              <w:pStyle w:val="nTable"/>
              <w:spacing w:after="40"/>
              <w:rPr>
                <w:del w:id="1084" w:author="svcMRProcess" w:date="2019-04-15T16:46:00Z"/>
              </w:rPr>
            </w:pPr>
            <w:del w:id="1085" w:author="svcMRProcess" w:date="2019-04-15T16:46:00Z">
              <w:r>
                <w:delText>3 of 2019</w:delText>
              </w:r>
            </w:del>
          </w:p>
        </w:tc>
        <w:tc>
          <w:tcPr>
            <w:tcW w:w="1134" w:type="dxa"/>
            <w:gridSpan w:val="2"/>
            <w:tcBorders>
              <w:top w:val="nil"/>
              <w:bottom w:val="single" w:sz="2" w:space="0" w:color="auto"/>
            </w:tcBorders>
          </w:tcPr>
          <w:p>
            <w:pPr>
              <w:pStyle w:val="nTable"/>
              <w:spacing w:after="40"/>
              <w:rPr>
                <w:del w:id="1086" w:author="svcMRProcess" w:date="2019-04-15T16:46:00Z"/>
              </w:rPr>
            </w:pPr>
            <w:del w:id="1087" w:author="svcMRProcess" w:date="2019-04-15T16:46:00Z">
              <w:r>
                <w:delText>26 Feb 2019</w:delText>
              </w:r>
            </w:del>
          </w:p>
        </w:tc>
        <w:tc>
          <w:tcPr>
            <w:tcW w:w="2524" w:type="dxa"/>
            <w:tcBorders>
              <w:top w:val="nil"/>
              <w:bottom w:val="single" w:sz="2" w:space="0" w:color="auto"/>
            </w:tcBorders>
          </w:tcPr>
          <w:p>
            <w:pPr>
              <w:pStyle w:val="nTable"/>
              <w:spacing w:after="40"/>
              <w:rPr>
                <w:del w:id="1088" w:author="svcMRProcess" w:date="2019-04-15T16:46:00Z"/>
              </w:rPr>
            </w:pPr>
            <w:del w:id="1089" w:author="svcMRProcess" w:date="2019-04-15T16:46:00Z">
              <w:r>
                <w:delText>To be proclaimed (see s. 2(b))</w:delText>
              </w:r>
            </w:del>
          </w:p>
        </w:tc>
      </w:tr>
    </w:tbl>
    <w:p>
      <w:pPr>
        <w:pStyle w:val="nSubsection"/>
        <w:rPr>
          <w:snapToGrid w:val="0"/>
        </w:rPr>
      </w:pPr>
      <w:r>
        <w:rPr>
          <w:snapToGrid w:val="0"/>
          <w:vertAlign w:val="superscript"/>
        </w:rPr>
        <w:t>2</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keepNext/>
        <w:rPr>
          <w:snapToGrid w:val="0"/>
        </w:rPr>
      </w:pPr>
      <w:r>
        <w:rPr>
          <w:snapToGrid w:val="0"/>
          <w:vertAlign w:val="superscript"/>
        </w:rPr>
        <w:t>4</w:t>
      </w:r>
      <w:r>
        <w:rPr>
          <w:snapToGrid w:val="0"/>
        </w:rPr>
        <w:tab/>
        <w:t xml:space="preserve">The </w:t>
      </w:r>
      <w:r>
        <w:rPr>
          <w:i/>
          <w:snapToGrid w:val="0"/>
        </w:rPr>
        <w:t>Real Estate Legislation Amendment Act 1995</w:t>
      </w:r>
      <w:r>
        <w:rPr>
          <w:snapToGrid w:val="0"/>
        </w:rPr>
        <w:t xml:space="preserve"> s. 54(2) and (3) read as follows:</w:t>
      </w:r>
    </w:p>
    <w:p>
      <w:pPr>
        <w:pStyle w:val="BlankOpen"/>
      </w:pP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p>
    <w:p>
      <w:pPr>
        <w:pStyle w:val="nSubsection"/>
      </w:pPr>
      <w:r>
        <w:rPr>
          <w:snapToGrid w:val="0"/>
          <w:vertAlign w:val="superscript"/>
        </w:rPr>
        <w:t>5</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6</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r>
        <w:rPr>
          <w:vertAlign w:val="superscript"/>
        </w:rPr>
        <w:t>7</w:t>
      </w:r>
      <w:r>
        <w:tab/>
        <w:t xml:space="preserve">The </w:t>
      </w:r>
      <w:r>
        <w:rPr>
          <w:i/>
        </w:rPr>
        <w:t>Machinery of Government (Miscellaneous Amendments) Act 2006</w:t>
      </w:r>
      <w:r>
        <w:t xml:space="preserve"> Pt. 4 Div. 23 is a transitional provision that is of no further effect.</w:t>
      </w:r>
    </w:p>
    <w:p>
      <w:pPr>
        <w:pStyle w:val="nSubsection"/>
      </w:pPr>
      <w:r>
        <w:rPr>
          <w:vertAlign w:val="superscript"/>
        </w:rPr>
        <w:t>8</w:t>
      </w:r>
      <w:r>
        <w:tab/>
        <w:t xml:space="preserve">On the date as at which this compilation was prepared, the </w:t>
      </w:r>
      <w:r>
        <w:rPr>
          <w:i/>
        </w:rPr>
        <w:t>Strata Titles Amendment Act 2018</w:t>
      </w:r>
      <w:r>
        <w:t xml:space="preserve"> Pt. 3 Div. 18 had not come into operation.  It reads as follows:</w:t>
      </w:r>
    </w:p>
    <w:p>
      <w:pPr>
        <w:pStyle w:val="BlankOpen"/>
      </w:pPr>
    </w:p>
    <w:p>
      <w:pPr>
        <w:pStyle w:val="nzHeading2"/>
      </w:pPr>
      <w:r>
        <w:rPr>
          <w:rStyle w:val="CharPartNo"/>
        </w:rPr>
        <w:t>Part 3</w:t>
      </w:r>
      <w:r>
        <w:t> — </w:t>
      </w:r>
      <w:r>
        <w:rPr>
          <w:rStyle w:val="CharPartText"/>
        </w:rPr>
        <w:t>Other Acts amended</w:t>
      </w:r>
    </w:p>
    <w:p>
      <w:pPr>
        <w:pStyle w:val="nzHeading3"/>
      </w:pPr>
      <w:r>
        <w:rPr>
          <w:rStyle w:val="CharDivNo"/>
        </w:rPr>
        <w:t>Division 18</w:t>
      </w:r>
      <w:r>
        <w:t> — </w:t>
      </w:r>
      <w:r>
        <w:rPr>
          <w:rStyle w:val="CharDivText"/>
        </w:rPr>
        <w:t>Residential Tenancies Act 1987 amended</w:t>
      </w:r>
    </w:p>
    <w:p>
      <w:pPr>
        <w:pStyle w:val="nzHeading5"/>
      </w:pPr>
      <w:r>
        <w:rPr>
          <w:rStyle w:val="CharSectno"/>
        </w:rPr>
        <w:t>181</w:t>
      </w:r>
      <w:r>
        <w:t>.</w:t>
      </w:r>
      <w:r>
        <w:tab/>
        <w:t>Act amended</w:t>
      </w:r>
    </w:p>
    <w:p>
      <w:pPr>
        <w:pStyle w:val="nzSubsection"/>
      </w:pPr>
      <w:r>
        <w:tab/>
      </w:r>
      <w:r>
        <w:tab/>
        <w:t xml:space="preserve">This Division amends the </w:t>
      </w:r>
      <w:r>
        <w:rPr>
          <w:i/>
        </w:rPr>
        <w:t>Residential Tenancies Act 1987.</w:t>
      </w:r>
    </w:p>
    <w:p>
      <w:pPr>
        <w:pStyle w:val="nzHeading5"/>
      </w:pPr>
      <w:r>
        <w:rPr>
          <w:rStyle w:val="CharSectno"/>
        </w:rPr>
        <w:t>182</w:t>
      </w:r>
      <w:r>
        <w:t>.</w:t>
      </w:r>
      <w:r>
        <w:tab/>
        <w:t>Section 5 amended</w:t>
      </w:r>
    </w:p>
    <w:p>
      <w:pPr>
        <w:pStyle w:val="nzSubsection"/>
      </w:pPr>
      <w:r>
        <w:tab/>
      </w:r>
      <w:r>
        <w:tab/>
        <w:t>After section 5(1) insert:</w:t>
      </w:r>
    </w:p>
    <w:p>
      <w:pPr>
        <w:pStyle w:val="BlankOpen"/>
      </w:pPr>
    </w:p>
    <w:p>
      <w:pPr>
        <w:pStyle w:val="nzSubsection"/>
      </w:pPr>
      <w:r>
        <w:tab/>
        <w:t>(1A)</w:t>
      </w:r>
      <w:r>
        <w:tab/>
        <w:t xml:space="preserve">This Act does not apply to a residential tenancy agreement that is a strata lease, within the meaning of the </w:t>
      </w:r>
      <w:r>
        <w:rPr>
          <w:i/>
          <w:snapToGrid w:val="0"/>
        </w:rPr>
        <w:t>Strata Titles Act 1985</w:t>
      </w:r>
      <w:r>
        <w:t>.</w:t>
      </w:r>
    </w:p>
    <w:p>
      <w:pPr>
        <w:pStyle w:val="nzPermNoteHeading"/>
      </w:pPr>
      <w:r>
        <w:tab/>
        <w:t>Note for this subsection:</w:t>
      </w:r>
    </w:p>
    <w:p>
      <w:pPr>
        <w:pStyle w:val="nzPermNoteText"/>
      </w:pPr>
      <w:r>
        <w:tab/>
      </w:r>
      <w:r>
        <w:tab/>
        <w:t>This subsection does not affect the application of this Act to a residential tenancy agreement that is a sublease of a strata lease.</w:t>
      </w:r>
    </w:p>
    <w:p>
      <w:pPr>
        <w:pStyle w:val="BlankClose"/>
      </w:pPr>
    </w:p>
    <w:p>
      <w:pPr>
        <w:pStyle w:val="BlankClose"/>
      </w:pPr>
    </w:p>
    <w:p>
      <w:pPr>
        <w:pStyle w:val="nSubsection"/>
      </w:pPr>
      <w:r>
        <w:rPr>
          <w:vertAlign w:val="superscript"/>
        </w:rPr>
        <w:t>9</w:t>
      </w:r>
      <w:r>
        <w:tab/>
        <w:t xml:space="preserve">On the date as at which this compilation was prepared, the </w:t>
      </w:r>
      <w:r>
        <w:rPr>
          <w:i/>
        </w:rPr>
        <w:t>Community Titles Act 2018</w:t>
      </w:r>
      <w:r>
        <w:t xml:space="preserve"> Pt. 14 Div. 18 had not come into operation.  It reads as follows:</w:t>
      </w:r>
    </w:p>
    <w:p>
      <w:pPr>
        <w:pStyle w:val="BlankOpen"/>
      </w:pPr>
    </w:p>
    <w:p>
      <w:pPr>
        <w:pStyle w:val="nzHeading2"/>
      </w:pPr>
      <w:r>
        <w:rPr>
          <w:rStyle w:val="CharPartNo"/>
        </w:rPr>
        <w:t>Part 14</w:t>
      </w:r>
      <w:r>
        <w:t> — </w:t>
      </w:r>
      <w:r>
        <w:rPr>
          <w:rStyle w:val="CharPartText"/>
        </w:rPr>
        <w:t>Other Acts amended</w:t>
      </w:r>
    </w:p>
    <w:p>
      <w:pPr>
        <w:pStyle w:val="nzHeading3"/>
      </w:pPr>
      <w:r>
        <w:rPr>
          <w:rStyle w:val="CharDivNo"/>
        </w:rPr>
        <w:t>Division 18</w:t>
      </w:r>
      <w:r>
        <w:t> — </w:t>
      </w:r>
      <w:r>
        <w:rPr>
          <w:rStyle w:val="CharDivText"/>
        </w:rPr>
        <w:t>Residential Tenancies Act 1987 amended</w:t>
      </w:r>
    </w:p>
    <w:p>
      <w:pPr>
        <w:pStyle w:val="nzHeading5"/>
        <w:rPr>
          <w:snapToGrid w:val="0"/>
        </w:rPr>
      </w:pPr>
      <w:r>
        <w:rPr>
          <w:rStyle w:val="CharSectno"/>
        </w:rPr>
        <w:t>236</w:t>
      </w:r>
      <w:r>
        <w:rPr>
          <w:snapToGrid w:val="0"/>
        </w:rPr>
        <w:t>.</w:t>
      </w:r>
      <w:r>
        <w:rPr>
          <w:snapToGrid w:val="0"/>
        </w:rPr>
        <w:tab/>
        <w:t>Act amended</w:t>
      </w:r>
    </w:p>
    <w:p>
      <w:pPr>
        <w:pStyle w:val="nzSubsection"/>
      </w:pPr>
      <w:r>
        <w:tab/>
      </w:r>
      <w:r>
        <w:tab/>
        <w:t xml:space="preserve">This Division amends the </w:t>
      </w:r>
      <w:r>
        <w:rPr>
          <w:i/>
        </w:rPr>
        <w:t>Residential Tenancies Act 1987</w:t>
      </w:r>
      <w:r>
        <w:t>.</w:t>
      </w:r>
    </w:p>
    <w:p>
      <w:pPr>
        <w:pStyle w:val="nzHeading5"/>
        <w:rPr>
          <w:snapToGrid w:val="0"/>
        </w:rPr>
      </w:pPr>
      <w:r>
        <w:rPr>
          <w:rStyle w:val="CharSectno"/>
        </w:rPr>
        <w:t>237</w:t>
      </w:r>
      <w:r>
        <w:rPr>
          <w:snapToGrid w:val="0"/>
        </w:rPr>
        <w:t>.</w:t>
      </w:r>
      <w:r>
        <w:rPr>
          <w:snapToGrid w:val="0"/>
        </w:rPr>
        <w:tab/>
        <w:t>Section 48 amended</w:t>
      </w:r>
    </w:p>
    <w:p>
      <w:pPr>
        <w:pStyle w:val="nzSubsection"/>
      </w:pPr>
      <w:r>
        <w:tab/>
      </w:r>
      <w:r>
        <w:tab/>
        <w:t>Delete section 48(2) and insert:</w:t>
      </w:r>
    </w:p>
    <w:p>
      <w:pPr>
        <w:pStyle w:val="BlankOpen"/>
        <w:rPr>
          <w:sz w:val="20"/>
          <w:szCs w:val="20"/>
        </w:rPr>
      </w:pPr>
    </w:p>
    <w:p>
      <w:pPr>
        <w:pStyle w:val="nzSubsection"/>
      </w:pPr>
      <w:r>
        <w:tab/>
        <w:t>(2)</w:t>
      </w:r>
      <w:r>
        <w:tab/>
        <w:t xml:space="preserve">It is a term of every residential tenancy agreement that contributions payable to a community corporation under the </w:t>
      </w:r>
      <w:r>
        <w:rPr>
          <w:i/>
        </w:rPr>
        <w:t>Community Titles Act 2018</w:t>
      </w:r>
      <w:r>
        <w:t xml:space="preserve"> or a strata company under the </w:t>
      </w:r>
      <w:r>
        <w:rPr>
          <w:i/>
        </w:rPr>
        <w:t>Strata Titles Act 1985</w:t>
      </w:r>
      <w:r>
        <w:t xml:space="preserve"> cannot be passed on to a tenant.</w:t>
      </w:r>
    </w:p>
    <w:p>
      <w:pPr>
        <w:pStyle w:val="BlankClose"/>
        <w:rPr>
          <w:sz w:val="20"/>
          <w:szCs w:val="20"/>
        </w:rPr>
      </w:pPr>
    </w:p>
    <w:p>
      <w:pPr>
        <w:pStyle w:val="BlankClose"/>
        <w:rPr>
          <w:del w:id="1090" w:author="svcMRProcess" w:date="2019-04-15T16:46:00Z"/>
          <w:sz w:val="20"/>
          <w:szCs w:val="20"/>
        </w:rPr>
      </w:pPr>
    </w:p>
    <w:p>
      <w:pPr>
        <w:pStyle w:val="nSubsection"/>
        <w:rPr>
          <w:del w:id="1091" w:author="svcMRProcess" w:date="2019-04-15T16:46:00Z"/>
        </w:rPr>
      </w:pPr>
      <w:del w:id="1092" w:author="svcMRProcess" w:date="2019-04-15T16:46:00Z">
        <w:r>
          <w:rPr>
            <w:vertAlign w:val="superscript"/>
          </w:rPr>
          <w:delText>10</w:delText>
        </w:r>
        <w:r>
          <w:tab/>
          <w:delText xml:space="preserve">On the date as at which this compilation was prepared, the </w:delText>
        </w:r>
        <w:r>
          <w:rPr>
            <w:i/>
          </w:rPr>
          <w:delText>Residential Tenancies Legislation Amendment (Family Violence) Act 2019</w:delText>
        </w:r>
        <w:r>
          <w:delText xml:space="preserve"> Pt. 2 had not come into operation.  It reads as follows:</w:delText>
        </w:r>
      </w:del>
    </w:p>
    <w:p>
      <w:pPr>
        <w:pStyle w:val="BlankOpen"/>
        <w:rPr>
          <w:del w:id="1093" w:author="svcMRProcess" w:date="2019-04-15T16:46:00Z"/>
        </w:rPr>
      </w:pPr>
    </w:p>
    <w:p>
      <w:pPr>
        <w:pStyle w:val="nzHeading2"/>
        <w:rPr>
          <w:del w:id="1094" w:author="svcMRProcess" w:date="2019-04-15T16:46:00Z"/>
        </w:rPr>
      </w:pPr>
      <w:bookmarkStart w:id="1095" w:name="_Toc508617478"/>
      <w:bookmarkStart w:id="1096" w:name="_Toc508617536"/>
      <w:bookmarkStart w:id="1097" w:name="_Toc508627714"/>
      <w:bookmarkStart w:id="1098" w:name="_Toc508693971"/>
      <w:bookmarkStart w:id="1099" w:name="_Toc508695444"/>
      <w:bookmarkStart w:id="1100" w:name="_Toc508695965"/>
      <w:bookmarkStart w:id="1101" w:name="_Toc508712622"/>
      <w:bookmarkStart w:id="1102" w:name="_Toc508712789"/>
      <w:bookmarkStart w:id="1103" w:name="_Toc509411256"/>
      <w:bookmarkStart w:id="1104" w:name="_Toc509411314"/>
      <w:bookmarkStart w:id="1105" w:name="_Toc511230128"/>
      <w:bookmarkStart w:id="1106" w:name="_Toc511230765"/>
      <w:bookmarkStart w:id="1107" w:name="_Toc511819822"/>
      <w:bookmarkStart w:id="1108" w:name="_Toc531675235"/>
      <w:bookmarkStart w:id="1109" w:name="_Toc531859761"/>
      <w:bookmarkStart w:id="1110" w:name="_Toc531945347"/>
      <w:bookmarkStart w:id="1111" w:name="_Toc1570334"/>
      <w:bookmarkStart w:id="1112" w:name="_Toc2090034"/>
      <w:bookmarkStart w:id="1113" w:name="_Toc2091396"/>
      <w:bookmarkStart w:id="1114" w:name="_Toc2091944"/>
      <w:bookmarkStart w:id="1115" w:name="_Toc2092007"/>
      <w:bookmarkStart w:id="1116" w:name="_Toc2092128"/>
      <w:del w:id="1117" w:author="svcMRProcess" w:date="2019-04-15T16:46:00Z">
        <w:r>
          <w:rPr>
            <w:rStyle w:val="CharPartNo"/>
          </w:rPr>
          <w:delText>Part 2</w:delText>
        </w:r>
        <w:r>
          <w:rPr>
            <w:rStyle w:val="CharDivNo"/>
          </w:rPr>
          <w:delText> </w:delText>
        </w:r>
        <w:r>
          <w:delText>—</w:delText>
        </w:r>
        <w:r>
          <w:rPr>
            <w:rStyle w:val="CharDivText"/>
          </w:rPr>
          <w:delText> </w:delText>
        </w:r>
        <w:r>
          <w:rPr>
            <w:rStyle w:val="CharPartText"/>
            <w:i/>
          </w:rPr>
          <w:delText>Residential Tenancies Act 1987</w:delText>
        </w:r>
        <w:r>
          <w:rPr>
            <w:rStyle w:val="CharPartText"/>
          </w:rPr>
          <w:delText> amended</w:delTex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del>
    </w:p>
    <w:p>
      <w:pPr>
        <w:pStyle w:val="nzHeading5"/>
        <w:rPr>
          <w:del w:id="1118" w:author="svcMRProcess" w:date="2019-04-15T16:46:00Z"/>
          <w:snapToGrid w:val="0"/>
        </w:rPr>
      </w:pPr>
      <w:bookmarkStart w:id="1119" w:name="_Toc1570335"/>
      <w:bookmarkStart w:id="1120" w:name="_Toc2090035"/>
      <w:bookmarkStart w:id="1121" w:name="_Toc2092129"/>
      <w:del w:id="1122" w:author="svcMRProcess" w:date="2019-04-15T16:46:00Z">
        <w:r>
          <w:rPr>
            <w:rStyle w:val="CharSectno"/>
          </w:rPr>
          <w:delText>3</w:delText>
        </w:r>
        <w:r>
          <w:rPr>
            <w:snapToGrid w:val="0"/>
          </w:rPr>
          <w:delText>.</w:delText>
        </w:r>
        <w:r>
          <w:rPr>
            <w:snapToGrid w:val="0"/>
          </w:rPr>
          <w:tab/>
          <w:delText>Act amended</w:delText>
        </w:r>
        <w:bookmarkEnd w:id="1119"/>
        <w:bookmarkEnd w:id="1120"/>
        <w:bookmarkEnd w:id="1121"/>
      </w:del>
    </w:p>
    <w:p>
      <w:pPr>
        <w:pStyle w:val="nzSubsection"/>
        <w:rPr>
          <w:del w:id="1123" w:author="svcMRProcess" w:date="2019-04-15T16:46:00Z"/>
        </w:rPr>
      </w:pPr>
      <w:del w:id="1124" w:author="svcMRProcess" w:date="2019-04-15T16:46:00Z">
        <w:r>
          <w:tab/>
        </w:r>
        <w:r>
          <w:tab/>
          <w:delText xml:space="preserve">This Part amends the </w:delText>
        </w:r>
        <w:r>
          <w:rPr>
            <w:i/>
          </w:rPr>
          <w:delText>Residential Tenancies Act 1987</w:delText>
        </w:r>
        <w:r>
          <w:delText>.</w:delText>
        </w:r>
      </w:del>
    </w:p>
    <w:p>
      <w:pPr>
        <w:pStyle w:val="nzHeading5"/>
        <w:rPr>
          <w:del w:id="1125" w:author="svcMRProcess" w:date="2019-04-15T16:46:00Z"/>
        </w:rPr>
      </w:pPr>
      <w:bookmarkStart w:id="1126" w:name="_Toc1570336"/>
      <w:bookmarkStart w:id="1127" w:name="_Toc2090036"/>
      <w:bookmarkStart w:id="1128" w:name="_Toc2092130"/>
      <w:del w:id="1129" w:author="svcMRProcess" w:date="2019-04-15T16:46:00Z">
        <w:r>
          <w:rPr>
            <w:rStyle w:val="CharSectno"/>
          </w:rPr>
          <w:delText>4</w:delText>
        </w:r>
        <w:r>
          <w:delText>.</w:delText>
        </w:r>
        <w:r>
          <w:tab/>
          <w:delText>Section 3 amended</w:delText>
        </w:r>
        <w:bookmarkEnd w:id="1126"/>
        <w:bookmarkEnd w:id="1127"/>
        <w:bookmarkEnd w:id="1128"/>
      </w:del>
    </w:p>
    <w:p>
      <w:pPr>
        <w:pStyle w:val="nzSubsection"/>
        <w:rPr>
          <w:del w:id="1130" w:author="svcMRProcess" w:date="2019-04-15T16:46:00Z"/>
        </w:rPr>
      </w:pPr>
      <w:del w:id="1131" w:author="svcMRProcess" w:date="2019-04-15T16:46:00Z">
        <w:r>
          <w:tab/>
          <w:delText>(1)</w:delText>
        </w:r>
        <w:r>
          <w:tab/>
          <w:delText>In section 3 insert in alphabetical order:</w:delText>
        </w:r>
      </w:del>
    </w:p>
    <w:p>
      <w:pPr>
        <w:pStyle w:val="BlankOpen"/>
        <w:rPr>
          <w:del w:id="1132" w:author="svcMRProcess" w:date="2019-04-15T16:46:00Z"/>
        </w:rPr>
      </w:pPr>
    </w:p>
    <w:p>
      <w:pPr>
        <w:pStyle w:val="nzDefstart"/>
        <w:rPr>
          <w:del w:id="1133" w:author="svcMRProcess" w:date="2019-04-15T16:46:00Z"/>
        </w:rPr>
      </w:pPr>
      <w:del w:id="1134" w:author="svcMRProcess" w:date="2019-04-15T16:46:00Z">
        <w:r>
          <w:tab/>
        </w:r>
        <w:r>
          <w:rPr>
            <w:rStyle w:val="CharDefText"/>
          </w:rPr>
          <w:delText>family violence</w:delText>
        </w:r>
        <w:r>
          <w:delText xml:space="preserve"> has the meaning given in the </w:delText>
        </w:r>
        <w:r>
          <w:rPr>
            <w:i/>
          </w:rPr>
          <w:delText>Restraining Orders Act 1997</w:delText>
        </w:r>
        <w:r>
          <w:delText xml:space="preserve"> section 5A(1);</w:delText>
        </w:r>
      </w:del>
    </w:p>
    <w:p>
      <w:pPr>
        <w:pStyle w:val="nzDefstart"/>
        <w:rPr>
          <w:del w:id="1135" w:author="svcMRProcess" w:date="2019-04-15T16:46:00Z"/>
        </w:rPr>
      </w:pPr>
      <w:del w:id="1136" w:author="svcMRProcess" w:date="2019-04-15T16:46:00Z">
        <w:r>
          <w:tab/>
        </w:r>
        <w:r>
          <w:rPr>
            <w:rStyle w:val="CharDefText"/>
          </w:rPr>
          <w:delText>prescribed</w:delText>
        </w:r>
        <w:r>
          <w:delText xml:space="preserve"> means prescribed in the regulations;</w:delText>
        </w:r>
      </w:del>
    </w:p>
    <w:p>
      <w:pPr>
        <w:pStyle w:val="nzDefstart"/>
        <w:rPr>
          <w:del w:id="1137" w:author="svcMRProcess" w:date="2019-04-15T16:46:00Z"/>
        </w:rPr>
      </w:pPr>
      <w:del w:id="1138" w:author="svcMRProcess" w:date="2019-04-15T16:46:00Z">
        <w:r>
          <w:tab/>
        </w:r>
        <w:r>
          <w:rPr>
            <w:rStyle w:val="CharDefText"/>
          </w:rPr>
          <w:delText>tenancy period</w:delText>
        </w:r>
        <w:r>
          <w:delText>, in relation to a residential tenancy agreement, means the whole period during which the agreement is in force, whether the agreement is for a fixed term or creates a periodic tenancy;</w:delText>
        </w:r>
      </w:del>
    </w:p>
    <w:p>
      <w:pPr>
        <w:pStyle w:val="BlankClose"/>
        <w:rPr>
          <w:del w:id="1139" w:author="svcMRProcess" w:date="2019-04-15T16:46:00Z"/>
        </w:rPr>
      </w:pPr>
    </w:p>
    <w:p>
      <w:pPr>
        <w:pStyle w:val="nzSubsection"/>
        <w:rPr>
          <w:del w:id="1140" w:author="svcMRProcess" w:date="2019-04-15T16:46:00Z"/>
        </w:rPr>
      </w:pPr>
      <w:del w:id="1141" w:author="svcMRProcess" w:date="2019-04-15T16:46:00Z">
        <w:r>
          <w:tab/>
          <w:delText>(2)</w:delText>
        </w:r>
        <w:r>
          <w:tab/>
          <w:delText xml:space="preserve">In section 3 in the definition of </w:delText>
        </w:r>
        <w:r>
          <w:rPr>
            <w:b/>
            <w:i/>
          </w:rPr>
          <w:delText>rent</w:delText>
        </w:r>
        <w:r>
          <w:delText xml:space="preserve"> delete “a period of the tenancy;” and insert:</w:delText>
        </w:r>
      </w:del>
    </w:p>
    <w:p>
      <w:pPr>
        <w:pStyle w:val="BlankOpen"/>
        <w:rPr>
          <w:del w:id="1142" w:author="svcMRProcess" w:date="2019-04-15T16:46:00Z"/>
        </w:rPr>
      </w:pPr>
    </w:p>
    <w:p>
      <w:pPr>
        <w:pStyle w:val="nzSubsection"/>
        <w:rPr>
          <w:del w:id="1143" w:author="svcMRProcess" w:date="2019-04-15T16:46:00Z"/>
        </w:rPr>
      </w:pPr>
      <w:del w:id="1144" w:author="svcMRProcess" w:date="2019-04-15T16:46:00Z">
        <w:r>
          <w:tab/>
        </w:r>
        <w:r>
          <w:tab/>
          <w:delText>the tenancy period or part of the tenancy period;</w:delText>
        </w:r>
      </w:del>
    </w:p>
    <w:p>
      <w:pPr>
        <w:pStyle w:val="BlankClose"/>
        <w:rPr>
          <w:del w:id="1145" w:author="svcMRProcess" w:date="2019-04-15T16:46:00Z"/>
        </w:rPr>
      </w:pPr>
    </w:p>
    <w:p>
      <w:pPr>
        <w:pStyle w:val="nzHeading5"/>
        <w:rPr>
          <w:del w:id="1146" w:author="svcMRProcess" w:date="2019-04-15T16:46:00Z"/>
        </w:rPr>
      </w:pPr>
      <w:bookmarkStart w:id="1147" w:name="_Toc1570337"/>
      <w:bookmarkStart w:id="1148" w:name="_Toc2090037"/>
      <w:bookmarkStart w:id="1149" w:name="_Toc2092131"/>
      <w:del w:id="1150" w:author="svcMRProcess" w:date="2019-04-15T16:46:00Z">
        <w:r>
          <w:rPr>
            <w:rStyle w:val="CharSectno"/>
          </w:rPr>
          <w:delText>5</w:delText>
        </w:r>
        <w:r>
          <w:delText>.</w:delText>
        </w:r>
        <w:r>
          <w:tab/>
          <w:delText>Section 17B inserted</w:delText>
        </w:r>
        <w:bookmarkEnd w:id="1147"/>
        <w:bookmarkEnd w:id="1148"/>
        <w:bookmarkEnd w:id="1149"/>
      </w:del>
    </w:p>
    <w:p>
      <w:pPr>
        <w:pStyle w:val="nzSubsection"/>
        <w:rPr>
          <w:del w:id="1151" w:author="svcMRProcess" w:date="2019-04-15T16:46:00Z"/>
        </w:rPr>
      </w:pPr>
      <w:del w:id="1152" w:author="svcMRProcess" w:date="2019-04-15T16:46:00Z">
        <w:r>
          <w:tab/>
        </w:r>
        <w:r>
          <w:tab/>
          <w:delText>After section 17A insert:</w:delText>
        </w:r>
      </w:del>
    </w:p>
    <w:p>
      <w:pPr>
        <w:pStyle w:val="BlankOpen"/>
        <w:rPr>
          <w:del w:id="1153" w:author="svcMRProcess" w:date="2019-04-15T16:46:00Z"/>
        </w:rPr>
      </w:pPr>
    </w:p>
    <w:p>
      <w:pPr>
        <w:pStyle w:val="nzHeading5"/>
        <w:rPr>
          <w:del w:id="1154" w:author="svcMRProcess" w:date="2019-04-15T16:46:00Z"/>
        </w:rPr>
      </w:pPr>
      <w:bookmarkStart w:id="1155" w:name="_Toc1570338"/>
      <w:bookmarkStart w:id="1156" w:name="_Toc2090038"/>
      <w:bookmarkStart w:id="1157" w:name="_Toc2092132"/>
      <w:del w:id="1158" w:author="svcMRProcess" w:date="2019-04-15T16:46:00Z">
        <w:r>
          <w:delText>17B.</w:delText>
        </w:r>
        <w:r>
          <w:tab/>
          <w:delText>Determination of rights and liabilities after termination of tenant’s interest on grounds of family violence</w:delText>
        </w:r>
        <w:bookmarkEnd w:id="1155"/>
        <w:bookmarkEnd w:id="1156"/>
        <w:bookmarkEnd w:id="1157"/>
      </w:del>
    </w:p>
    <w:p>
      <w:pPr>
        <w:pStyle w:val="nzSubsection"/>
        <w:rPr>
          <w:del w:id="1159" w:author="svcMRProcess" w:date="2019-04-15T16:46:00Z"/>
        </w:rPr>
      </w:pPr>
      <w:del w:id="1160" w:author="svcMRProcess" w:date="2019-04-15T16:46:00Z">
        <w:r>
          <w:tab/>
          <w:delText>(1)</w:delText>
        </w:r>
        <w:r>
          <w:tab/>
          <w:delText>A tenant, or former tenant, under a residential tenancy agreement may apply to a competent court for a determination of the rights and liabilities of the parties to the agreement once the former tenant’s interest in the agreement has been terminated under section 60(1)(ba) or (bb).</w:delText>
        </w:r>
      </w:del>
    </w:p>
    <w:p>
      <w:pPr>
        <w:pStyle w:val="nzSubsection"/>
        <w:rPr>
          <w:del w:id="1161" w:author="svcMRProcess" w:date="2019-04-15T16:46:00Z"/>
        </w:rPr>
      </w:pPr>
      <w:del w:id="1162" w:author="svcMRProcess" w:date="2019-04-15T16:46:00Z">
        <w:r>
          <w:tab/>
          <w:delText>(2)</w:delText>
        </w:r>
        <w:r>
          <w:tab/>
          <w:delText xml:space="preserve">When hearing an application under subsection (1) or section 71AE(3), the court — </w:delText>
        </w:r>
      </w:del>
    </w:p>
    <w:p>
      <w:pPr>
        <w:pStyle w:val="nzIndenta"/>
        <w:rPr>
          <w:del w:id="1163" w:author="svcMRProcess" w:date="2019-04-15T16:46:00Z"/>
        </w:rPr>
      </w:pPr>
      <w:del w:id="1164" w:author="svcMRProcess" w:date="2019-04-15T16:46:00Z">
        <w:r>
          <w:tab/>
          <w:delText>(a)</w:delText>
        </w:r>
        <w:r>
          <w:tab/>
          <w:delText>must determine the rights and liabilities of the parties to the agreement, as affected by the termination; and</w:delText>
        </w:r>
      </w:del>
    </w:p>
    <w:p>
      <w:pPr>
        <w:pStyle w:val="nzIndenta"/>
        <w:rPr>
          <w:del w:id="1165" w:author="svcMRProcess" w:date="2019-04-15T16:46:00Z"/>
        </w:rPr>
      </w:pPr>
      <w:del w:id="1166" w:author="svcMRProcess" w:date="2019-04-15T16:46:00Z">
        <w:r>
          <w:tab/>
          <w:delText>(b)</w:delText>
        </w:r>
        <w:r>
          <w:tab/>
          <w:delText>may order a party to pay compensation to another party for loss or injury, other than personal injury, relating to the termination.</w:delText>
        </w:r>
      </w:del>
    </w:p>
    <w:p>
      <w:pPr>
        <w:pStyle w:val="nzSubsection"/>
        <w:rPr>
          <w:del w:id="1167" w:author="svcMRProcess" w:date="2019-04-15T16:46:00Z"/>
        </w:rPr>
      </w:pPr>
      <w:del w:id="1168" w:author="svcMRProcess" w:date="2019-04-15T16:46:00Z">
        <w:r>
          <w:tab/>
          <w:delText>(3)</w:delText>
        </w:r>
        <w:r>
          <w:tab/>
          <w:delText>Without limiting subsection (2), a determination or order under that provision may apportion the disposal of a security bond to the lessor and each tenant or former tenant as appropriate having regard to subsection (4).</w:delText>
        </w:r>
      </w:del>
    </w:p>
    <w:p>
      <w:pPr>
        <w:pStyle w:val="nzSubsection"/>
        <w:rPr>
          <w:del w:id="1169" w:author="svcMRProcess" w:date="2019-04-15T16:46:00Z"/>
        </w:rPr>
      </w:pPr>
      <w:del w:id="1170" w:author="svcMRProcess" w:date="2019-04-15T16:46:00Z">
        <w:r>
          <w:tab/>
          <w:delText>(4)</w:delText>
        </w:r>
        <w:r>
          <w:tab/>
          <w:delText>Despite any law to the contrary, each tenant under a residential tenancy agreement has an equal interest in the security bond in respect of the agreement unless the court in a particular case determines otherwise under this section.</w:delText>
        </w:r>
      </w:del>
    </w:p>
    <w:p>
      <w:pPr>
        <w:pStyle w:val="nzSubsection"/>
        <w:rPr>
          <w:del w:id="1171" w:author="svcMRProcess" w:date="2019-04-15T16:46:00Z"/>
        </w:rPr>
      </w:pPr>
      <w:del w:id="1172" w:author="svcMRProcess" w:date="2019-04-15T16:46:00Z">
        <w:r>
          <w:tab/>
          <w:delText>(5)</w:delText>
        </w:r>
        <w:r>
          <w:tab/>
          <w:delText>In making a determination or order under subsection (2), the court must have regard to all of the following principles —</w:delText>
        </w:r>
      </w:del>
    </w:p>
    <w:p>
      <w:pPr>
        <w:pStyle w:val="nzIndenta"/>
        <w:rPr>
          <w:del w:id="1173" w:author="svcMRProcess" w:date="2019-04-15T16:46:00Z"/>
        </w:rPr>
      </w:pPr>
      <w:del w:id="1174" w:author="svcMRProcess" w:date="2019-04-15T16:46:00Z">
        <w:r>
          <w:tab/>
          <w:delText>(a)</w:delText>
        </w:r>
        <w:r>
          <w:tab/>
          <w:delText xml:space="preserve">that family violence is a fundamental violation of human rights and is unacceptable in any form; </w:delText>
        </w:r>
      </w:del>
    </w:p>
    <w:p>
      <w:pPr>
        <w:pStyle w:val="nzIndenta"/>
        <w:rPr>
          <w:del w:id="1175" w:author="svcMRProcess" w:date="2019-04-15T16:46:00Z"/>
        </w:rPr>
      </w:pPr>
      <w:del w:id="1176" w:author="svcMRProcess" w:date="2019-04-15T16:46:00Z">
        <w:r>
          <w:tab/>
          <w:delText>(b)</w:delText>
        </w:r>
        <w:r>
          <w:tab/>
          <w:delText>the need to prevent further victimisation of a person who has experienced family violence through the unjust application of the principle of joint and several liability or the principle of vicarious liability;</w:delText>
        </w:r>
      </w:del>
    </w:p>
    <w:p>
      <w:pPr>
        <w:pStyle w:val="nzIndenta"/>
        <w:rPr>
          <w:del w:id="1177" w:author="svcMRProcess" w:date="2019-04-15T16:46:00Z"/>
        </w:rPr>
      </w:pPr>
      <w:del w:id="1178" w:author="svcMRProcess" w:date="2019-04-15T16:46:00Z">
        <w:r>
          <w:tab/>
          <w:delText>(c)</w:delText>
        </w:r>
        <w:r>
          <w:tab/>
          <w:delText>the need to maximise the safety of persons who have experienced family violence by reducing any financial burden arising from the family violence;</w:delText>
        </w:r>
      </w:del>
    </w:p>
    <w:p>
      <w:pPr>
        <w:pStyle w:val="nzIndenta"/>
        <w:rPr>
          <w:del w:id="1179" w:author="svcMRProcess" w:date="2019-04-15T16:46:00Z"/>
        </w:rPr>
      </w:pPr>
      <w:del w:id="1180" w:author="svcMRProcess" w:date="2019-04-15T16:46:00Z">
        <w:r>
          <w:tab/>
          <w:delText>(d)</w:delText>
        </w:r>
        <w:r>
          <w:tab/>
          <w:delText>the need to prevent, or reduce to the greatest extent possible, the consequences of family violence;</w:delText>
        </w:r>
      </w:del>
    </w:p>
    <w:p>
      <w:pPr>
        <w:pStyle w:val="nzIndenta"/>
        <w:rPr>
          <w:del w:id="1181" w:author="svcMRProcess" w:date="2019-04-15T16:46:00Z"/>
        </w:rPr>
      </w:pPr>
      <w:del w:id="1182" w:author="svcMRProcess" w:date="2019-04-15T16:46:00Z">
        <w:r>
          <w:tab/>
          <w:delText>(e)</w:delText>
        </w:r>
        <w:r>
          <w:tab/>
          <w:delText>the need to protect the wellbeing of children by preventing them from being subjected or exposed to further family violence;</w:delText>
        </w:r>
      </w:del>
    </w:p>
    <w:p>
      <w:pPr>
        <w:pStyle w:val="nzIndenta"/>
        <w:rPr>
          <w:del w:id="1183" w:author="svcMRProcess" w:date="2019-04-15T16:46:00Z"/>
        </w:rPr>
      </w:pPr>
      <w:del w:id="1184" w:author="svcMRProcess" w:date="2019-04-15T16:46:00Z">
        <w:r>
          <w:tab/>
          <w:delText>(f)</w:delText>
        </w:r>
        <w:r>
          <w:tab/>
          <w:delText>the need to encourage perpetrators of family violence to accept responsibility for their behaviour and the effect it has on others.</w:delText>
        </w:r>
      </w:del>
    </w:p>
    <w:p>
      <w:pPr>
        <w:pStyle w:val="nzSubsection"/>
        <w:rPr>
          <w:del w:id="1185" w:author="svcMRProcess" w:date="2019-04-15T16:46:00Z"/>
        </w:rPr>
      </w:pPr>
      <w:del w:id="1186" w:author="svcMRProcess" w:date="2019-04-15T16:46:00Z">
        <w:r>
          <w:tab/>
          <w:delText>(6)</w:delText>
        </w:r>
        <w:r>
          <w:tab/>
          <w:delText>Nothing in subsection (2) is to be read as enabling the court to order compensation for early termination of a residential tenancy agreement.</w:delText>
        </w:r>
      </w:del>
    </w:p>
    <w:p>
      <w:pPr>
        <w:pStyle w:val="BlankClose"/>
        <w:rPr>
          <w:del w:id="1187" w:author="svcMRProcess" w:date="2019-04-15T16:46:00Z"/>
        </w:rPr>
      </w:pPr>
    </w:p>
    <w:p>
      <w:pPr>
        <w:pStyle w:val="nzHeading5"/>
        <w:rPr>
          <w:del w:id="1188" w:author="svcMRProcess" w:date="2019-04-15T16:46:00Z"/>
        </w:rPr>
      </w:pPr>
      <w:bookmarkStart w:id="1189" w:name="_Toc1570339"/>
      <w:bookmarkStart w:id="1190" w:name="_Toc2090039"/>
      <w:bookmarkStart w:id="1191" w:name="_Toc2092133"/>
      <w:del w:id="1192" w:author="svcMRProcess" w:date="2019-04-15T16:46:00Z">
        <w:r>
          <w:rPr>
            <w:rStyle w:val="CharSectno"/>
          </w:rPr>
          <w:delText>6</w:delText>
        </w:r>
        <w:r>
          <w:delText>.</w:delText>
        </w:r>
        <w:r>
          <w:tab/>
          <w:delText>Section 27C amended</w:delText>
        </w:r>
        <w:bookmarkEnd w:id="1189"/>
        <w:bookmarkEnd w:id="1190"/>
        <w:bookmarkEnd w:id="1191"/>
      </w:del>
    </w:p>
    <w:p>
      <w:pPr>
        <w:pStyle w:val="nzSubsection"/>
        <w:rPr>
          <w:del w:id="1193" w:author="svcMRProcess" w:date="2019-04-15T16:46:00Z"/>
        </w:rPr>
      </w:pPr>
      <w:del w:id="1194" w:author="svcMRProcess" w:date="2019-04-15T16:46:00Z">
        <w:r>
          <w:tab/>
          <w:delText>(1)</w:delText>
        </w:r>
        <w:r>
          <w:tab/>
          <w:delText>In section 27C(4) delete “tenancy —” and insert:</w:delText>
        </w:r>
      </w:del>
    </w:p>
    <w:p>
      <w:pPr>
        <w:pStyle w:val="BlankOpen"/>
        <w:rPr>
          <w:del w:id="1195" w:author="svcMRProcess" w:date="2019-04-15T16:46:00Z"/>
        </w:rPr>
      </w:pPr>
    </w:p>
    <w:p>
      <w:pPr>
        <w:pStyle w:val="nzSubsection"/>
        <w:rPr>
          <w:del w:id="1196" w:author="svcMRProcess" w:date="2019-04-15T16:46:00Z"/>
        </w:rPr>
      </w:pPr>
      <w:del w:id="1197" w:author="svcMRProcess" w:date="2019-04-15T16:46:00Z">
        <w:r>
          <w:tab/>
        </w:r>
        <w:r>
          <w:tab/>
          <w:delText xml:space="preserve">tenancy or tenant’s interest in a residential tenancy agreement — </w:delText>
        </w:r>
      </w:del>
    </w:p>
    <w:p>
      <w:pPr>
        <w:pStyle w:val="BlankClose"/>
        <w:rPr>
          <w:del w:id="1198" w:author="svcMRProcess" w:date="2019-04-15T16:46:00Z"/>
        </w:rPr>
      </w:pPr>
    </w:p>
    <w:p>
      <w:pPr>
        <w:pStyle w:val="nzSubsection"/>
        <w:rPr>
          <w:del w:id="1199" w:author="svcMRProcess" w:date="2019-04-15T16:46:00Z"/>
        </w:rPr>
      </w:pPr>
      <w:del w:id="1200" w:author="svcMRProcess" w:date="2019-04-15T16:46:00Z">
        <w:r>
          <w:tab/>
          <w:delText>(2)</w:delText>
        </w:r>
        <w:r>
          <w:tab/>
          <w:delText>After section 27C(4) insert:</w:delText>
        </w:r>
      </w:del>
    </w:p>
    <w:p>
      <w:pPr>
        <w:pStyle w:val="BlankOpen"/>
        <w:rPr>
          <w:del w:id="1201" w:author="svcMRProcess" w:date="2019-04-15T16:46:00Z"/>
        </w:rPr>
      </w:pPr>
    </w:p>
    <w:p>
      <w:pPr>
        <w:pStyle w:val="nzSubsection"/>
        <w:rPr>
          <w:del w:id="1202" w:author="svcMRProcess" w:date="2019-04-15T16:46:00Z"/>
        </w:rPr>
      </w:pPr>
      <w:del w:id="1203" w:author="svcMRProcess" w:date="2019-04-15T16:46:00Z">
        <w:r>
          <w:tab/>
          <w:delText>(4A)</w:delText>
        </w:r>
        <w:r>
          <w:tab/>
          <w:delText xml:space="preserve">A lessor is taken to comply with subsection (4) if, before the termination of a tenant’s interest, the lessor — </w:delText>
        </w:r>
      </w:del>
    </w:p>
    <w:p>
      <w:pPr>
        <w:pStyle w:val="nzIndenta"/>
        <w:rPr>
          <w:del w:id="1204" w:author="svcMRProcess" w:date="2019-04-15T16:46:00Z"/>
        </w:rPr>
      </w:pPr>
      <w:del w:id="1205" w:author="svcMRProcess" w:date="2019-04-15T16:46:00Z">
        <w:r>
          <w:tab/>
          <w:delText>(a)</w:delText>
        </w:r>
        <w:r>
          <w:tab/>
          <w:delText>enters residential premises under section 46(6B); and</w:delText>
        </w:r>
      </w:del>
    </w:p>
    <w:p>
      <w:pPr>
        <w:pStyle w:val="nzIndenta"/>
        <w:rPr>
          <w:del w:id="1206" w:author="svcMRProcess" w:date="2019-04-15T16:46:00Z"/>
        </w:rPr>
      </w:pPr>
      <w:del w:id="1207" w:author="svcMRProcess" w:date="2019-04-15T16:46:00Z">
        <w:r>
          <w:tab/>
          <w:delText>(b)</w:delText>
        </w:r>
        <w:r>
          <w:tab/>
          <w:delText xml:space="preserve">in relation to that entry — </w:delText>
        </w:r>
      </w:del>
    </w:p>
    <w:p>
      <w:pPr>
        <w:pStyle w:val="nzIndenti"/>
        <w:rPr>
          <w:del w:id="1208" w:author="svcMRProcess" w:date="2019-04-15T16:46:00Z"/>
        </w:rPr>
      </w:pPr>
      <w:del w:id="1209" w:author="svcMRProcess" w:date="2019-04-15T16:46:00Z">
        <w:r>
          <w:tab/>
          <w:delText>(i)</w:delText>
        </w:r>
        <w:r>
          <w:tab/>
          <w:delText xml:space="preserve">conducts an inspection of the premises; and </w:delText>
        </w:r>
      </w:del>
    </w:p>
    <w:p>
      <w:pPr>
        <w:pStyle w:val="nzIndenti"/>
        <w:rPr>
          <w:del w:id="1210" w:author="svcMRProcess" w:date="2019-04-15T16:46:00Z"/>
        </w:rPr>
      </w:pPr>
      <w:del w:id="1211" w:author="svcMRProcess" w:date="2019-04-15T16:46:00Z">
        <w:r>
          <w:tab/>
          <w:delText>(ii)</w:delText>
        </w:r>
        <w:r>
          <w:tab/>
          <w:delText xml:space="preserve">prepares a report describing the condition of the premises; and </w:delText>
        </w:r>
      </w:del>
    </w:p>
    <w:p>
      <w:pPr>
        <w:pStyle w:val="nzIndenti"/>
        <w:rPr>
          <w:del w:id="1212" w:author="svcMRProcess" w:date="2019-04-15T16:46:00Z"/>
        </w:rPr>
      </w:pPr>
      <w:del w:id="1213" w:author="svcMRProcess" w:date="2019-04-15T16:46:00Z">
        <w:r>
          <w:tab/>
          <w:delText>(iii)</w:delText>
        </w:r>
        <w:r>
          <w:tab/>
          <w:delText>provides a copy of the report to the tenant.</w:delText>
        </w:r>
      </w:del>
    </w:p>
    <w:p>
      <w:pPr>
        <w:pStyle w:val="BlankClose"/>
        <w:rPr>
          <w:del w:id="1214" w:author="svcMRProcess" w:date="2019-04-15T16:46:00Z"/>
        </w:rPr>
      </w:pPr>
    </w:p>
    <w:p>
      <w:pPr>
        <w:pStyle w:val="nzSubsection"/>
        <w:rPr>
          <w:del w:id="1215" w:author="svcMRProcess" w:date="2019-04-15T16:46:00Z"/>
        </w:rPr>
      </w:pPr>
      <w:del w:id="1216" w:author="svcMRProcess" w:date="2019-04-15T16:46:00Z">
        <w:r>
          <w:tab/>
          <w:delText>(3)</w:delText>
        </w:r>
        <w:r>
          <w:tab/>
          <w:delText>In section 27C(5) delete “subsection (4)(a).” and insert:</w:delText>
        </w:r>
      </w:del>
    </w:p>
    <w:p>
      <w:pPr>
        <w:pStyle w:val="BlankOpen"/>
        <w:rPr>
          <w:del w:id="1217" w:author="svcMRProcess" w:date="2019-04-15T16:46:00Z"/>
        </w:rPr>
      </w:pPr>
    </w:p>
    <w:p>
      <w:pPr>
        <w:pStyle w:val="nzSubsection"/>
        <w:rPr>
          <w:del w:id="1218" w:author="svcMRProcess" w:date="2019-04-15T16:46:00Z"/>
        </w:rPr>
      </w:pPr>
      <w:del w:id="1219" w:author="svcMRProcess" w:date="2019-04-15T16:46:00Z">
        <w:r>
          <w:tab/>
        </w:r>
        <w:r>
          <w:tab/>
          <w:delText>subsection (4)(a) or (4A)(a).</w:delText>
        </w:r>
      </w:del>
    </w:p>
    <w:p>
      <w:pPr>
        <w:pStyle w:val="BlankClose"/>
        <w:rPr>
          <w:del w:id="1220" w:author="svcMRProcess" w:date="2019-04-15T16:46:00Z"/>
        </w:rPr>
      </w:pPr>
    </w:p>
    <w:p>
      <w:pPr>
        <w:pStyle w:val="nzHeading5"/>
        <w:rPr>
          <w:del w:id="1221" w:author="svcMRProcess" w:date="2019-04-15T16:46:00Z"/>
        </w:rPr>
      </w:pPr>
      <w:bookmarkStart w:id="1222" w:name="_Toc1570340"/>
      <w:bookmarkStart w:id="1223" w:name="_Toc2090040"/>
      <w:bookmarkStart w:id="1224" w:name="_Toc2092134"/>
      <w:del w:id="1225" w:author="svcMRProcess" w:date="2019-04-15T16:46:00Z">
        <w:r>
          <w:rPr>
            <w:rStyle w:val="CharSectno"/>
          </w:rPr>
          <w:delText>7</w:delText>
        </w:r>
        <w:r>
          <w:delText>.</w:delText>
        </w:r>
        <w:r>
          <w:tab/>
          <w:delText>Section 29 amended</w:delText>
        </w:r>
        <w:bookmarkEnd w:id="1222"/>
        <w:bookmarkEnd w:id="1223"/>
        <w:bookmarkEnd w:id="1224"/>
      </w:del>
    </w:p>
    <w:p>
      <w:pPr>
        <w:pStyle w:val="nzSubsection"/>
        <w:rPr>
          <w:del w:id="1226" w:author="svcMRProcess" w:date="2019-04-15T16:46:00Z"/>
        </w:rPr>
      </w:pPr>
      <w:del w:id="1227" w:author="svcMRProcess" w:date="2019-04-15T16:46:00Z">
        <w:r>
          <w:tab/>
        </w:r>
        <w:r>
          <w:tab/>
          <w:delText>After section 29(8) insert:</w:delText>
        </w:r>
      </w:del>
    </w:p>
    <w:p>
      <w:pPr>
        <w:pStyle w:val="BlankOpen"/>
        <w:rPr>
          <w:del w:id="1228" w:author="svcMRProcess" w:date="2019-04-15T16:46:00Z"/>
        </w:rPr>
      </w:pPr>
    </w:p>
    <w:p>
      <w:pPr>
        <w:pStyle w:val="nzSubsection"/>
        <w:rPr>
          <w:del w:id="1229" w:author="svcMRProcess" w:date="2019-04-15T16:46:00Z"/>
        </w:rPr>
      </w:pPr>
      <w:del w:id="1230" w:author="svcMRProcess" w:date="2019-04-15T16:46:00Z">
        <w:r>
          <w:tab/>
          <w:delText>(9)</w:delText>
        </w:r>
        <w:r>
          <w:tab/>
          <w:delText>Nothing in subsection (1)(a) prevents the lessor from requiring further payment from a remaining tenant towards the security bond in order to cover the disposal of a former tenant’s portion of the security bond under section 17B(3).</w:delText>
        </w:r>
      </w:del>
    </w:p>
    <w:p>
      <w:pPr>
        <w:pStyle w:val="BlankClose"/>
        <w:rPr>
          <w:del w:id="1231" w:author="svcMRProcess" w:date="2019-04-15T16:46:00Z"/>
        </w:rPr>
      </w:pPr>
    </w:p>
    <w:p>
      <w:pPr>
        <w:pStyle w:val="nzHeading5"/>
        <w:rPr>
          <w:del w:id="1232" w:author="svcMRProcess" w:date="2019-04-15T16:46:00Z"/>
        </w:rPr>
      </w:pPr>
      <w:bookmarkStart w:id="1233" w:name="_Toc1570341"/>
      <w:bookmarkStart w:id="1234" w:name="_Toc2090041"/>
      <w:bookmarkStart w:id="1235" w:name="_Toc2092135"/>
      <w:del w:id="1236" w:author="svcMRProcess" w:date="2019-04-15T16:46:00Z">
        <w:r>
          <w:rPr>
            <w:rStyle w:val="CharSectno"/>
          </w:rPr>
          <w:delText>8</w:delText>
        </w:r>
        <w:r>
          <w:delText>.</w:delText>
        </w:r>
        <w:r>
          <w:tab/>
          <w:delText>Section 41 amended</w:delText>
        </w:r>
        <w:bookmarkEnd w:id="1233"/>
        <w:bookmarkEnd w:id="1234"/>
        <w:bookmarkEnd w:id="1235"/>
      </w:del>
    </w:p>
    <w:p>
      <w:pPr>
        <w:pStyle w:val="nzSubsection"/>
        <w:rPr>
          <w:del w:id="1237" w:author="svcMRProcess" w:date="2019-04-15T16:46:00Z"/>
        </w:rPr>
      </w:pPr>
      <w:del w:id="1238" w:author="svcMRProcess" w:date="2019-04-15T16:46:00Z">
        <w:r>
          <w:tab/>
        </w:r>
        <w:r>
          <w:tab/>
          <w:delText>In section 41 delete “period of the tenancy.” and insert:</w:delText>
        </w:r>
      </w:del>
    </w:p>
    <w:p>
      <w:pPr>
        <w:pStyle w:val="BlankOpen"/>
        <w:rPr>
          <w:del w:id="1239" w:author="svcMRProcess" w:date="2019-04-15T16:46:00Z"/>
        </w:rPr>
      </w:pPr>
    </w:p>
    <w:p>
      <w:pPr>
        <w:pStyle w:val="nzSubsection"/>
        <w:rPr>
          <w:del w:id="1240" w:author="svcMRProcess" w:date="2019-04-15T16:46:00Z"/>
        </w:rPr>
      </w:pPr>
      <w:del w:id="1241" w:author="svcMRProcess" w:date="2019-04-15T16:46:00Z">
        <w:r>
          <w:tab/>
        </w:r>
        <w:r>
          <w:tab/>
          <w:delText>tenancy period.</w:delText>
        </w:r>
      </w:del>
    </w:p>
    <w:p>
      <w:pPr>
        <w:pStyle w:val="BlankClose"/>
        <w:rPr>
          <w:del w:id="1242" w:author="svcMRProcess" w:date="2019-04-15T16:46:00Z"/>
        </w:rPr>
      </w:pPr>
    </w:p>
    <w:p>
      <w:pPr>
        <w:pStyle w:val="nzHeading5"/>
        <w:rPr>
          <w:del w:id="1243" w:author="svcMRProcess" w:date="2019-04-15T16:46:00Z"/>
        </w:rPr>
      </w:pPr>
      <w:bookmarkStart w:id="1244" w:name="_Toc1570342"/>
      <w:bookmarkStart w:id="1245" w:name="_Toc2090042"/>
      <w:bookmarkStart w:id="1246" w:name="_Toc2092136"/>
      <w:del w:id="1247" w:author="svcMRProcess" w:date="2019-04-15T16:46:00Z">
        <w:r>
          <w:rPr>
            <w:rStyle w:val="CharSectno"/>
          </w:rPr>
          <w:delText>9</w:delText>
        </w:r>
        <w:r>
          <w:delText>.</w:delText>
        </w:r>
        <w:r>
          <w:tab/>
          <w:delText>Section 43 amended</w:delText>
        </w:r>
        <w:bookmarkEnd w:id="1244"/>
        <w:bookmarkEnd w:id="1245"/>
        <w:bookmarkEnd w:id="1246"/>
      </w:del>
    </w:p>
    <w:p>
      <w:pPr>
        <w:pStyle w:val="nzSubsection"/>
        <w:rPr>
          <w:del w:id="1248" w:author="svcMRProcess" w:date="2019-04-15T16:46:00Z"/>
        </w:rPr>
      </w:pPr>
      <w:del w:id="1249" w:author="svcMRProcess" w:date="2019-04-15T16:46:00Z">
        <w:r>
          <w:tab/>
          <w:delText>(1)</w:delText>
        </w:r>
        <w:r>
          <w:tab/>
          <w:delText xml:space="preserve">In section 43(1) in the definition of </w:delText>
        </w:r>
        <w:r>
          <w:rPr>
            <w:b/>
            <w:i/>
          </w:rPr>
          <w:delText>prescribed period</w:delText>
        </w:r>
        <w:r>
          <w:delText>:</w:delText>
        </w:r>
      </w:del>
    </w:p>
    <w:p>
      <w:pPr>
        <w:pStyle w:val="nzIndenta"/>
        <w:rPr>
          <w:del w:id="1250" w:author="svcMRProcess" w:date="2019-04-15T16:46:00Z"/>
        </w:rPr>
      </w:pPr>
      <w:del w:id="1251" w:author="svcMRProcess" w:date="2019-04-15T16:46:00Z">
        <w:r>
          <w:tab/>
          <w:delText>(a)</w:delText>
        </w:r>
        <w:r>
          <w:tab/>
          <w:delText>in paragraph (a) delete “in the regulations”;</w:delText>
        </w:r>
      </w:del>
    </w:p>
    <w:p>
      <w:pPr>
        <w:pStyle w:val="nzIndenta"/>
        <w:rPr>
          <w:del w:id="1252" w:author="svcMRProcess" w:date="2019-04-15T16:46:00Z"/>
        </w:rPr>
      </w:pPr>
      <w:del w:id="1253" w:author="svcMRProcess" w:date="2019-04-15T16:46:00Z">
        <w:r>
          <w:tab/>
          <w:delText>(b)</w:delText>
        </w:r>
        <w:r>
          <w:tab/>
          <w:delText>in paragraph (b) delete “longer period prescribed in the regulations;” and insert:</w:delText>
        </w:r>
      </w:del>
    </w:p>
    <w:p>
      <w:pPr>
        <w:pStyle w:val="BlankOpen"/>
        <w:rPr>
          <w:del w:id="1254" w:author="svcMRProcess" w:date="2019-04-15T16:46:00Z"/>
        </w:rPr>
      </w:pPr>
    </w:p>
    <w:p>
      <w:pPr>
        <w:pStyle w:val="nzIndenta"/>
        <w:rPr>
          <w:del w:id="1255" w:author="svcMRProcess" w:date="2019-04-15T16:46:00Z"/>
        </w:rPr>
      </w:pPr>
      <w:del w:id="1256" w:author="svcMRProcess" w:date="2019-04-15T16:46:00Z">
        <w:r>
          <w:tab/>
        </w:r>
        <w:r>
          <w:tab/>
          <w:delText>prescribed longer period;</w:delText>
        </w:r>
      </w:del>
    </w:p>
    <w:p>
      <w:pPr>
        <w:pStyle w:val="BlankClose"/>
        <w:rPr>
          <w:del w:id="1257" w:author="svcMRProcess" w:date="2019-04-15T16:46:00Z"/>
        </w:rPr>
      </w:pPr>
    </w:p>
    <w:p>
      <w:pPr>
        <w:pStyle w:val="nzSubsection"/>
        <w:rPr>
          <w:del w:id="1258" w:author="svcMRProcess" w:date="2019-04-15T16:46:00Z"/>
        </w:rPr>
      </w:pPr>
      <w:del w:id="1259" w:author="svcMRProcess" w:date="2019-04-15T16:46:00Z">
        <w:r>
          <w:tab/>
          <w:delText>(2)</w:delText>
        </w:r>
        <w:r>
          <w:tab/>
          <w:delText xml:space="preserve">In section 43(1) in the definition of </w:delText>
        </w:r>
        <w:r>
          <w:rPr>
            <w:b/>
            <w:i/>
          </w:rPr>
          <w:delText>urgent repairs</w:delText>
        </w:r>
        <w:r>
          <w:delText xml:space="preserve"> paragraph (a) delete “in the regulations”.</w:delText>
        </w:r>
      </w:del>
    </w:p>
    <w:p>
      <w:pPr>
        <w:pStyle w:val="nzHeading5"/>
        <w:rPr>
          <w:del w:id="1260" w:author="svcMRProcess" w:date="2019-04-15T16:46:00Z"/>
        </w:rPr>
      </w:pPr>
      <w:bookmarkStart w:id="1261" w:name="_Toc1570343"/>
      <w:bookmarkStart w:id="1262" w:name="_Toc2090043"/>
      <w:bookmarkStart w:id="1263" w:name="_Toc2092137"/>
      <w:del w:id="1264" w:author="svcMRProcess" w:date="2019-04-15T16:46:00Z">
        <w:r>
          <w:rPr>
            <w:rStyle w:val="CharSectno"/>
          </w:rPr>
          <w:delText>10</w:delText>
        </w:r>
        <w:r>
          <w:delText>.</w:delText>
        </w:r>
        <w:r>
          <w:tab/>
          <w:delText>Section 45 amended</w:delText>
        </w:r>
        <w:bookmarkEnd w:id="1261"/>
        <w:bookmarkEnd w:id="1262"/>
        <w:bookmarkEnd w:id="1263"/>
      </w:del>
    </w:p>
    <w:p>
      <w:pPr>
        <w:pStyle w:val="nzSubsection"/>
        <w:rPr>
          <w:del w:id="1265" w:author="svcMRProcess" w:date="2019-04-15T16:46:00Z"/>
        </w:rPr>
      </w:pPr>
      <w:del w:id="1266" w:author="svcMRProcess" w:date="2019-04-15T16:46:00Z">
        <w:r>
          <w:tab/>
          <w:delText>(1)</w:delText>
        </w:r>
        <w:r>
          <w:tab/>
          <w:delText>In section 45:</w:delText>
        </w:r>
      </w:del>
    </w:p>
    <w:p>
      <w:pPr>
        <w:pStyle w:val="nzIndenta"/>
        <w:rPr>
          <w:del w:id="1267" w:author="svcMRProcess" w:date="2019-04-15T16:46:00Z"/>
        </w:rPr>
      </w:pPr>
      <w:del w:id="1268" w:author="svcMRProcess" w:date="2019-04-15T16:46:00Z">
        <w:r>
          <w:tab/>
          <w:delText>(a)</w:delText>
        </w:r>
        <w:r>
          <w:tab/>
          <w:delText>delete “It” and insert:</w:delText>
        </w:r>
      </w:del>
    </w:p>
    <w:p>
      <w:pPr>
        <w:pStyle w:val="BlankOpen"/>
        <w:rPr>
          <w:del w:id="1269" w:author="svcMRProcess" w:date="2019-04-15T16:46:00Z"/>
        </w:rPr>
      </w:pPr>
    </w:p>
    <w:p>
      <w:pPr>
        <w:pStyle w:val="nzSubsection"/>
        <w:rPr>
          <w:del w:id="1270" w:author="svcMRProcess" w:date="2019-04-15T16:46:00Z"/>
        </w:rPr>
      </w:pPr>
      <w:del w:id="1271" w:author="svcMRProcess" w:date="2019-04-15T16:46:00Z">
        <w:r>
          <w:tab/>
          <w:delText>(1)</w:delText>
        </w:r>
        <w:r>
          <w:tab/>
          <w:delText>It</w:delText>
        </w:r>
      </w:del>
    </w:p>
    <w:p>
      <w:pPr>
        <w:pStyle w:val="BlankClose"/>
        <w:rPr>
          <w:del w:id="1272" w:author="svcMRProcess" w:date="2019-04-15T16:46:00Z"/>
        </w:rPr>
      </w:pPr>
    </w:p>
    <w:p>
      <w:pPr>
        <w:pStyle w:val="nzIndenta"/>
        <w:rPr>
          <w:del w:id="1273" w:author="svcMRProcess" w:date="2019-04-15T16:46:00Z"/>
        </w:rPr>
      </w:pPr>
      <w:del w:id="1274" w:author="svcMRProcess" w:date="2019-04-15T16:46:00Z">
        <w:r>
          <w:tab/>
          <w:delText>(b)</w:delText>
        </w:r>
        <w:r>
          <w:tab/>
          <w:delText>in paragraph (a) delete “prescribed in the regulations; and” and insert:</w:delText>
        </w:r>
      </w:del>
    </w:p>
    <w:p>
      <w:pPr>
        <w:pStyle w:val="BlankOpen"/>
        <w:rPr>
          <w:del w:id="1275" w:author="svcMRProcess" w:date="2019-04-15T16:46:00Z"/>
        </w:rPr>
      </w:pPr>
    </w:p>
    <w:p>
      <w:pPr>
        <w:pStyle w:val="nzIndenta"/>
        <w:rPr>
          <w:del w:id="1276" w:author="svcMRProcess" w:date="2019-04-15T16:46:00Z"/>
        </w:rPr>
      </w:pPr>
      <w:del w:id="1277" w:author="svcMRProcess" w:date="2019-04-15T16:46:00Z">
        <w:r>
          <w:tab/>
        </w:r>
        <w:r>
          <w:tab/>
          <w:delText>prescribed; and</w:delText>
        </w:r>
      </w:del>
    </w:p>
    <w:p>
      <w:pPr>
        <w:pStyle w:val="BlankClose"/>
        <w:rPr>
          <w:del w:id="1278" w:author="svcMRProcess" w:date="2019-04-15T16:46:00Z"/>
        </w:rPr>
      </w:pPr>
    </w:p>
    <w:p>
      <w:pPr>
        <w:pStyle w:val="nzIndenta"/>
        <w:rPr>
          <w:del w:id="1279" w:author="svcMRProcess" w:date="2019-04-15T16:46:00Z"/>
        </w:rPr>
      </w:pPr>
      <w:del w:id="1280" w:author="svcMRProcess" w:date="2019-04-15T16:46:00Z">
        <w:r>
          <w:tab/>
          <w:delText>(c)</w:delText>
        </w:r>
        <w:r>
          <w:tab/>
          <w:delText>in paragraph (c) delete “that” and insert:</w:delText>
        </w:r>
      </w:del>
    </w:p>
    <w:p>
      <w:pPr>
        <w:pStyle w:val="BlankOpen"/>
        <w:rPr>
          <w:del w:id="1281" w:author="svcMRProcess" w:date="2019-04-15T16:46:00Z"/>
        </w:rPr>
      </w:pPr>
    </w:p>
    <w:p>
      <w:pPr>
        <w:pStyle w:val="nzIndenta"/>
        <w:rPr>
          <w:del w:id="1282" w:author="svcMRProcess" w:date="2019-04-15T16:46:00Z"/>
        </w:rPr>
      </w:pPr>
      <w:del w:id="1283" w:author="svcMRProcess" w:date="2019-04-15T16:46:00Z">
        <w:r>
          <w:tab/>
        </w:r>
        <w:r>
          <w:tab/>
          <w:delText xml:space="preserve">that, except as provided in subsection (2), </w:delText>
        </w:r>
      </w:del>
    </w:p>
    <w:p>
      <w:pPr>
        <w:pStyle w:val="BlankClose"/>
        <w:rPr>
          <w:del w:id="1284" w:author="svcMRProcess" w:date="2019-04-15T16:46:00Z"/>
        </w:rPr>
      </w:pPr>
    </w:p>
    <w:p>
      <w:pPr>
        <w:pStyle w:val="nzSubsection"/>
        <w:rPr>
          <w:del w:id="1285" w:author="svcMRProcess" w:date="2019-04-15T16:46:00Z"/>
        </w:rPr>
      </w:pPr>
      <w:del w:id="1286" w:author="svcMRProcess" w:date="2019-04-15T16:46:00Z">
        <w:r>
          <w:tab/>
          <w:delText>(2)</w:delText>
        </w:r>
        <w:r>
          <w:tab/>
          <w:delText>At the end of section 45 insert:</w:delText>
        </w:r>
      </w:del>
    </w:p>
    <w:p>
      <w:pPr>
        <w:pStyle w:val="BlankOpen"/>
        <w:rPr>
          <w:del w:id="1287" w:author="svcMRProcess" w:date="2019-04-15T16:46:00Z"/>
        </w:rPr>
      </w:pPr>
    </w:p>
    <w:p>
      <w:pPr>
        <w:pStyle w:val="nzSubsection"/>
        <w:rPr>
          <w:del w:id="1288" w:author="svcMRProcess" w:date="2019-04-15T16:46:00Z"/>
        </w:rPr>
      </w:pPr>
      <w:del w:id="1289" w:author="svcMRProcess" w:date="2019-04-15T16:46:00Z">
        <w:r>
          <w:tab/>
          <w:delText>(2)</w:delText>
        </w:r>
        <w:r>
          <w:tab/>
          <w:delText xml:space="preserve">It is a term of every residential tenancy agreement — </w:delText>
        </w:r>
      </w:del>
    </w:p>
    <w:p>
      <w:pPr>
        <w:pStyle w:val="nzIndenta"/>
        <w:rPr>
          <w:del w:id="1290" w:author="svcMRProcess" w:date="2019-04-15T16:46:00Z"/>
        </w:rPr>
      </w:pPr>
      <w:del w:id="1291" w:author="svcMRProcess" w:date="2019-04-15T16:46:00Z">
        <w:r>
          <w:tab/>
          <w:delText>(a)</w:delText>
        </w:r>
        <w:r>
          <w:tab/>
          <w:delText xml:space="preserve">that a tenant may alter or add any lock or other means of securing the residential premises — </w:delText>
        </w:r>
      </w:del>
    </w:p>
    <w:p>
      <w:pPr>
        <w:pStyle w:val="nzIndenti"/>
        <w:rPr>
          <w:del w:id="1292" w:author="svcMRProcess" w:date="2019-04-15T16:46:00Z"/>
        </w:rPr>
      </w:pPr>
      <w:del w:id="1293" w:author="svcMRProcess" w:date="2019-04-15T16:46:00Z">
        <w:r>
          <w:tab/>
          <w:delText>(i)</w:delText>
        </w:r>
        <w:r>
          <w:tab/>
          <w:delText>after the termination of a person’s interest in a residential tenancy agreement under section 60(1)(bc); or</w:delText>
        </w:r>
      </w:del>
    </w:p>
    <w:p>
      <w:pPr>
        <w:pStyle w:val="nzIndenti"/>
        <w:rPr>
          <w:del w:id="1294" w:author="svcMRProcess" w:date="2019-04-15T16:46:00Z"/>
        </w:rPr>
      </w:pPr>
      <w:del w:id="1295" w:author="svcMRProcess" w:date="2019-04-15T16:46:00Z">
        <w:r>
          <w:tab/>
          <w:delText>(ii)</w:delText>
        </w:r>
        <w:r>
          <w:tab/>
          <w:delText>in any event, if it is necessary to prevent the commission of family violence that the tenant suspects, on reasonable grounds, is likely to be committed against the tenant or a dependant of the tenant;</w:delText>
        </w:r>
      </w:del>
    </w:p>
    <w:p>
      <w:pPr>
        <w:pStyle w:val="nzIndenta"/>
        <w:rPr>
          <w:del w:id="1296" w:author="svcMRProcess" w:date="2019-04-15T16:46:00Z"/>
        </w:rPr>
      </w:pPr>
      <w:del w:id="1297" w:author="svcMRProcess" w:date="2019-04-15T16:46:00Z">
        <w:r>
          <w:tab/>
        </w:r>
        <w:r>
          <w:tab/>
          <w:delText>and</w:delText>
        </w:r>
      </w:del>
    </w:p>
    <w:p>
      <w:pPr>
        <w:pStyle w:val="nzIndenta"/>
        <w:rPr>
          <w:del w:id="1298" w:author="svcMRProcess" w:date="2019-04-15T16:46:00Z"/>
        </w:rPr>
      </w:pPr>
      <w:del w:id="1299" w:author="svcMRProcess" w:date="2019-04-15T16:46:00Z">
        <w:r>
          <w:tab/>
          <w:delText>(b)</w:delText>
        </w:r>
        <w:r>
          <w:tab/>
          <w:delText>that the tenant must give to the lessor a copy of the key to any lock or other means of securing the residential premises altered or added under paragraph (a) as soon as practicable, and in any event within 7 days, after the lock or other means of securing the residential premises has been altered or added; and</w:delText>
        </w:r>
      </w:del>
    </w:p>
    <w:p>
      <w:pPr>
        <w:pStyle w:val="nzIndenta"/>
        <w:rPr>
          <w:del w:id="1300" w:author="svcMRProcess" w:date="2019-04-15T16:46:00Z"/>
        </w:rPr>
      </w:pPr>
      <w:del w:id="1301" w:author="svcMRProcess" w:date="2019-04-15T16:46:00Z">
        <w:r>
          <w:tab/>
          <w:delText>(c)</w:delText>
        </w:r>
        <w:r>
          <w:tab/>
          <w:delText xml:space="preserve">that the lessor must not give a copy of a key referred to in paragraph (b) — </w:delText>
        </w:r>
      </w:del>
    </w:p>
    <w:p>
      <w:pPr>
        <w:pStyle w:val="nzIndenti"/>
        <w:rPr>
          <w:del w:id="1302" w:author="svcMRProcess" w:date="2019-04-15T16:46:00Z"/>
        </w:rPr>
      </w:pPr>
      <w:del w:id="1303" w:author="svcMRProcess" w:date="2019-04-15T16:46:00Z">
        <w:r>
          <w:tab/>
          <w:delText>(i)</w:delText>
        </w:r>
        <w:r>
          <w:tab/>
          <w:delText>to a person whose interest in the residential tenancy agreement has been terminated under section 60(1)(bc); or</w:delText>
        </w:r>
      </w:del>
    </w:p>
    <w:p>
      <w:pPr>
        <w:pStyle w:val="nzIndenti"/>
        <w:rPr>
          <w:del w:id="1304" w:author="svcMRProcess" w:date="2019-04-15T16:46:00Z"/>
        </w:rPr>
      </w:pPr>
      <w:del w:id="1305" w:author="svcMRProcess" w:date="2019-04-15T16:46:00Z">
        <w:r>
          <w:tab/>
          <w:delText>(ii)</w:delText>
        </w:r>
        <w:r>
          <w:tab/>
          <w:delText>in any event, to a person who the tenant has instructed the lessor in writing not to give the copy of the key.</w:delText>
        </w:r>
      </w:del>
    </w:p>
    <w:p>
      <w:pPr>
        <w:pStyle w:val="nzSubsection"/>
        <w:rPr>
          <w:del w:id="1306" w:author="svcMRProcess" w:date="2019-04-15T16:46:00Z"/>
        </w:rPr>
      </w:pPr>
      <w:del w:id="1307" w:author="svcMRProcess" w:date="2019-04-15T16:46:00Z">
        <w:r>
          <w:tab/>
          <w:delText>(3)</w:delText>
        </w:r>
        <w:r>
          <w:tab/>
          <w:delText>A tenant who breaches a term referred to in subsection (2)(b) without reasonable excuse, in addition to any civil liability that the tenant might incur, commits an offence.</w:delText>
        </w:r>
      </w:del>
    </w:p>
    <w:p>
      <w:pPr>
        <w:pStyle w:val="nzPenstart"/>
        <w:rPr>
          <w:del w:id="1308" w:author="svcMRProcess" w:date="2019-04-15T16:46:00Z"/>
        </w:rPr>
      </w:pPr>
      <w:del w:id="1309" w:author="svcMRProcess" w:date="2019-04-15T16:46:00Z">
        <w:r>
          <w:tab/>
          <w:delText>Penalty for this subsection: a fine of $5 000.</w:delText>
        </w:r>
      </w:del>
    </w:p>
    <w:p>
      <w:pPr>
        <w:pStyle w:val="nzSubsection"/>
        <w:rPr>
          <w:del w:id="1310" w:author="svcMRProcess" w:date="2019-04-15T16:46:00Z"/>
        </w:rPr>
      </w:pPr>
      <w:del w:id="1311" w:author="svcMRProcess" w:date="2019-04-15T16:46:00Z">
        <w:r>
          <w:tab/>
          <w:delText>(4)</w:delText>
        </w:r>
        <w:r>
          <w:tab/>
          <w:delText>Subsection (2)(b) does not apply if the lessor is a person reasonably suspected of being likely to commit the family violence referred to in subsection (2)(a)(ii).</w:delText>
        </w:r>
      </w:del>
    </w:p>
    <w:p>
      <w:pPr>
        <w:pStyle w:val="BlankClose"/>
        <w:rPr>
          <w:del w:id="1312" w:author="svcMRProcess" w:date="2019-04-15T16:46:00Z"/>
        </w:rPr>
      </w:pPr>
    </w:p>
    <w:p>
      <w:pPr>
        <w:pStyle w:val="nzHeading5"/>
        <w:rPr>
          <w:del w:id="1313" w:author="svcMRProcess" w:date="2019-04-15T16:46:00Z"/>
        </w:rPr>
      </w:pPr>
      <w:bookmarkStart w:id="1314" w:name="_Toc1570344"/>
      <w:bookmarkStart w:id="1315" w:name="_Toc2090044"/>
      <w:bookmarkStart w:id="1316" w:name="_Toc2092138"/>
      <w:del w:id="1317" w:author="svcMRProcess" w:date="2019-04-15T16:46:00Z">
        <w:r>
          <w:rPr>
            <w:rStyle w:val="CharSectno"/>
            <w:bCs/>
          </w:rPr>
          <w:delText>11</w:delText>
        </w:r>
        <w:r>
          <w:rPr>
            <w:bCs/>
          </w:rPr>
          <w:delText>.</w:delText>
        </w:r>
        <w:r>
          <w:rPr>
            <w:bCs/>
          </w:rPr>
          <w:tab/>
          <w:delText>Section 46 amended</w:delText>
        </w:r>
        <w:bookmarkEnd w:id="1314"/>
        <w:bookmarkEnd w:id="1315"/>
        <w:bookmarkEnd w:id="1316"/>
      </w:del>
    </w:p>
    <w:p>
      <w:pPr>
        <w:pStyle w:val="nzSubsection"/>
        <w:rPr>
          <w:del w:id="1318" w:author="svcMRProcess" w:date="2019-04-15T16:46:00Z"/>
        </w:rPr>
      </w:pPr>
      <w:del w:id="1319" w:author="svcMRProcess" w:date="2019-04-15T16:46:00Z">
        <w:r>
          <w:tab/>
          <w:delText>(1)</w:delText>
        </w:r>
        <w:r>
          <w:tab/>
          <w:delText>After section 46(2)(g) insert:</w:delText>
        </w:r>
      </w:del>
    </w:p>
    <w:p>
      <w:pPr>
        <w:pStyle w:val="BlankOpen"/>
        <w:rPr>
          <w:del w:id="1320" w:author="svcMRProcess" w:date="2019-04-15T16:46:00Z"/>
        </w:rPr>
      </w:pPr>
    </w:p>
    <w:p>
      <w:pPr>
        <w:pStyle w:val="nzIndenta"/>
        <w:rPr>
          <w:del w:id="1321" w:author="svcMRProcess" w:date="2019-04-15T16:46:00Z"/>
        </w:rPr>
      </w:pPr>
      <w:del w:id="1322" w:author="svcMRProcess" w:date="2019-04-15T16:46:00Z">
        <w:r>
          <w:tab/>
          <w:delText>(ga)</w:delText>
        </w:r>
        <w:r>
          <w:tab/>
          <w:delText xml:space="preserve">for the purpose of inspecting the premises and assessing any damage after the termination of a tenant’s interest under — </w:delText>
        </w:r>
      </w:del>
    </w:p>
    <w:p>
      <w:pPr>
        <w:pStyle w:val="nzIndenti"/>
        <w:rPr>
          <w:del w:id="1323" w:author="svcMRProcess" w:date="2019-04-15T16:46:00Z"/>
        </w:rPr>
      </w:pPr>
      <w:del w:id="1324" w:author="svcMRProcess" w:date="2019-04-15T16:46:00Z">
        <w:r>
          <w:tab/>
          <w:delText>(i)</w:delText>
        </w:r>
        <w:r>
          <w:tab/>
          <w:delText>section 60(1)(ba) or (bb); or</w:delText>
        </w:r>
      </w:del>
    </w:p>
    <w:p>
      <w:pPr>
        <w:pStyle w:val="nzIndenti"/>
        <w:rPr>
          <w:del w:id="1325" w:author="svcMRProcess" w:date="2019-04-15T16:46:00Z"/>
        </w:rPr>
      </w:pPr>
      <w:del w:id="1326" w:author="svcMRProcess" w:date="2019-04-15T16:46:00Z">
        <w:r>
          <w:tab/>
          <w:delText>(ii)</w:delText>
        </w:r>
        <w:r>
          <w:tab/>
          <w:delText>section 60(1)(bc);</w:delText>
        </w:r>
      </w:del>
    </w:p>
    <w:p>
      <w:pPr>
        <w:pStyle w:val="BlankClose"/>
        <w:rPr>
          <w:del w:id="1327" w:author="svcMRProcess" w:date="2019-04-15T16:46:00Z"/>
        </w:rPr>
      </w:pPr>
    </w:p>
    <w:p>
      <w:pPr>
        <w:pStyle w:val="nzSubsection"/>
        <w:rPr>
          <w:del w:id="1328" w:author="svcMRProcess" w:date="2019-04-15T16:46:00Z"/>
        </w:rPr>
      </w:pPr>
      <w:del w:id="1329" w:author="svcMRProcess" w:date="2019-04-15T16:46:00Z">
        <w:r>
          <w:tab/>
          <w:delText>(2)</w:delText>
        </w:r>
        <w:r>
          <w:tab/>
          <w:delText>After section 46(6) insert:</w:delText>
        </w:r>
      </w:del>
    </w:p>
    <w:p>
      <w:pPr>
        <w:pStyle w:val="BlankOpen"/>
        <w:rPr>
          <w:del w:id="1330" w:author="svcMRProcess" w:date="2019-04-15T16:46:00Z"/>
        </w:rPr>
      </w:pPr>
    </w:p>
    <w:p>
      <w:pPr>
        <w:pStyle w:val="nzSubsection"/>
        <w:rPr>
          <w:del w:id="1331" w:author="svcMRProcess" w:date="2019-04-15T16:46:00Z"/>
        </w:rPr>
      </w:pPr>
      <w:del w:id="1332" w:author="svcMRProcess" w:date="2019-04-15T16:46:00Z">
        <w:r>
          <w:tab/>
          <w:delText>(6A)</w:delText>
        </w:r>
        <w:r>
          <w:tab/>
          <w:delText xml:space="preserve">It is a term of every residential tenancy agreement that the lessor may enter the premises under subsection (2)(ga)(i) — </w:delText>
        </w:r>
      </w:del>
    </w:p>
    <w:p>
      <w:pPr>
        <w:pStyle w:val="nzIndenta"/>
        <w:rPr>
          <w:del w:id="1333" w:author="svcMRProcess" w:date="2019-04-15T16:46:00Z"/>
        </w:rPr>
      </w:pPr>
      <w:del w:id="1334" w:author="svcMRProcess" w:date="2019-04-15T16:46:00Z">
        <w:r>
          <w:tab/>
          <w:delText>(a)</w:delText>
        </w:r>
        <w:r>
          <w:tab/>
          <w:delText xml:space="preserve">not more than 7 days after receiving notice under section 71AB(1) or 71AD(4); and </w:delText>
        </w:r>
      </w:del>
    </w:p>
    <w:p>
      <w:pPr>
        <w:pStyle w:val="nzIndenta"/>
        <w:rPr>
          <w:del w:id="1335" w:author="svcMRProcess" w:date="2019-04-15T16:46:00Z"/>
        </w:rPr>
      </w:pPr>
      <w:del w:id="1336" w:author="svcMRProcess" w:date="2019-04-15T16:46:00Z">
        <w:r>
          <w:tab/>
          <w:delText>(b)</w:delText>
        </w:r>
        <w:r>
          <w:tab/>
          <w:delText>not less than 3 days after giving notice to each tenant of the lessor’s intention to enter the premises.</w:delText>
        </w:r>
      </w:del>
    </w:p>
    <w:p>
      <w:pPr>
        <w:pStyle w:val="nzSubsection"/>
        <w:rPr>
          <w:del w:id="1337" w:author="svcMRProcess" w:date="2019-04-15T16:46:00Z"/>
        </w:rPr>
      </w:pPr>
      <w:del w:id="1338" w:author="svcMRProcess" w:date="2019-04-15T16:46:00Z">
        <w:r>
          <w:tab/>
          <w:delText>(6B)</w:delText>
        </w:r>
        <w:r>
          <w:tab/>
          <w:delText xml:space="preserve">It is a term of every residential tenancy agreement that the lessor may enter the premises under subsection (2)(ga)(ii) — </w:delText>
        </w:r>
      </w:del>
    </w:p>
    <w:p>
      <w:pPr>
        <w:pStyle w:val="nzIndenta"/>
        <w:rPr>
          <w:del w:id="1339" w:author="svcMRProcess" w:date="2019-04-15T16:46:00Z"/>
        </w:rPr>
      </w:pPr>
      <w:del w:id="1340" w:author="svcMRProcess" w:date="2019-04-15T16:46:00Z">
        <w:r>
          <w:tab/>
          <w:delText>(a)</w:delText>
        </w:r>
        <w:r>
          <w:tab/>
          <w:delText xml:space="preserve">not more than 10 days before the hearing of the application under section 71AE; and </w:delText>
        </w:r>
      </w:del>
    </w:p>
    <w:p>
      <w:pPr>
        <w:pStyle w:val="nzIndenta"/>
        <w:rPr>
          <w:del w:id="1341" w:author="svcMRProcess" w:date="2019-04-15T16:46:00Z"/>
        </w:rPr>
      </w:pPr>
      <w:del w:id="1342" w:author="svcMRProcess" w:date="2019-04-15T16:46:00Z">
        <w:r>
          <w:tab/>
          <w:delText>(b)</w:delText>
        </w:r>
        <w:r>
          <w:tab/>
          <w:delText>not less than 3 days after giving notice to each tenant of the lessor’s intention to enter the premises.</w:delText>
        </w:r>
      </w:del>
    </w:p>
    <w:p>
      <w:pPr>
        <w:pStyle w:val="BlankClose"/>
        <w:rPr>
          <w:del w:id="1343" w:author="svcMRProcess" w:date="2019-04-15T16:46:00Z"/>
        </w:rPr>
      </w:pPr>
    </w:p>
    <w:p>
      <w:pPr>
        <w:pStyle w:val="nzHeading5"/>
        <w:rPr>
          <w:del w:id="1344" w:author="svcMRProcess" w:date="2019-04-15T16:46:00Z"/>
        </w:rPr>
      </w:pPr>
      <w:bookmarkStart w:id="1345" w:name="_Toc1570345"/>
      <w:bookmarkStart w:id="1346" w:name="_Toc2090045"/>
      <w:bookmarkStart w:id="1347" w:name="_Toc2092139"/>
      <w:del w:id="1348" w:author="svcMRProcess" w:date="2019-04-15T16:46:00Z">
        <w:r>
          <w:rPr>
            <w:rStyle w:val="CharSectno"/>
            <w:bCs/>
          </w:rPr>
          <w:delText>12</w:delText>
        </w:r>
        <w:r>
          <w:rPr>
            <w:bCs/>
          </w:rPr>
          <w:delText>.</w:delText>
        </w:r>
        <w:r>
          <w:rPr>
            <w:bCs/>
          </w:rPr>
          <w:tab/>
          <w:delText>Section 47 amended</w:delText>
        </w:r>
        <w:bookmarkEnd w:id="1345"/>
        <w:bookmarkEnd w:id="1346"/>
        <w:bookmarkEnd w:id="1347"/>
      </w:del>
    </w:p>
    <w:p>
      <w:pPr>
        <w:pStyle w:val="nzSubsection"/>
        <w:rPr>
          <w:del w:id="1349" w:author="svcMRProcess" w:date="2019-04-15T16:46:00Z"/>
        </w:rPr>
      </w:pPr>
      <w:del w:id="1350" w:author="svcMRProcess" w:date="2019-04-15T16:46:00Z">
        <w:r>
          <w:tab/>
          <w:delText>(1)</w:delText>
        </w:r>
        <w:r>
          <w:tab/>
          <w:delText>In section 47(1) delete “A” and insert:</w:delText>
        </w:r>
      </w:del>
    </w:p>
    <w:p>
      <w:pPr>
        <w:pStyle w:val="BlankOpen"/>
        <w:rPr>
          <w:del w:id="1351" w:author="svcMRProcess" w:date="2019-04-15T16:46:00Z"/>
        </w:rPr>
      </w:pPr>
    </w:p>
    <w:p>
      <w:pPr>
        <w:pStyle w:val="nzSubsection"/>
        <w:rPr>
          <w:del w:id="1352" w:author="svcMRProcess" w:date="2019-04-15T16:46:00Z"/>
        </w:rPr>
      </w:pPr>
      <w:del w:id="1353" w:author="svcMRProcess" w:date="2019-04-15T16:46:00Z">
        <w:r>
          <w:tab/>
        </w:r>
        <w:r>
          <w:tab/>
          <w:delText xml:space="preserve">Except as provided in subsection (4), a </w:delText>
        </w:r>
      </w:del>
    </w:p>
    <w:p>
      <w:pPr>
        <w:pStyle w:val="BlankClose"/>
        <w:rPr>
          <w:del w:id="1354" w:author="svcMRProcess" w:date="2019-04-15T16:46:00Z"/>
        </w:rPr>
      </w:pPr>
    </w:p>
    <w:p>
      <w:pPr>
        <w:pStyle w:val="nzSubsection"/>
        <w:rPr>
          <w:del w:id="1355" w:author="svcMRProcess" w:date="2019-04-15T16:46:00Z"/>
        </w:rPr>
      </w:pPr>
      <w:del w:id="1356" w:author="svcMRProcess" w:date="2019-04-15T16:46:00Z">
        <w:r>
          <w:tab/>
          <w:delText>(2)</w:delText>
        </w:r>
        <w:r>
          <w:tab/>
          <w:delText>After section 47(3) insert:</w:delText>
        </w:r>
      </w:del>
    </w:p>
    <w:p>
      <w:pPr>
        <w:pStyle w:val="BlankOpen"/>
        <w:rPr>
          <w:del w:id="1357" w:author="svcMRProcess" w:date="2019-04-15T16:46:00Z"/>
        </w:rPr>
      </w:pPr>
    </w:p>
    <w:p>
      <w:pPr>
        <w:pStyle w:val="nzSubsection"/>
        <w:rPr>
          <w:del w:id="1358" w:author="svcMRProcess" w:date="2019-04-15T16:46:00Z"/>
        </w:rPr>
      </w:pPr>
      <w:del w:id="1359" w:author="svcMRProcess" w:date="2019-04-15T16:46:00Z">
        <w:r>
          <w:tab/>
          <w:delText>(4)</w:delText>
        </w:r>
        <w:r>
          <w:tab/>
          <w:delText xml:space="preserve">It is a term of every residential tenancy agreement that a tenant may affix any prescribed fixture, or make any prescribed renovation, alteration or addition to the premises (the </w:delText>
        </w:r>
        <w:r>
          <w:rPr>
            <w:rStyle w:val="CharDefText"/>
          </w:rPr>
          <w:delText>prescribed alterations</w:delText>
        </w:r>
        <w:r>
          <w:delText xml:space="preserve">), necessary to prevent entry onto the premises of a person — </w:delText>
        </w:r>
      </w:del>
    </w:p>
    <w:p>
      <w:pPr>
        <w:pStyle w:val="nzIndenta"/>
        <w:rPr>
          <w:del w:id="1360" w:author="svcMRProcess" w:date="2019-04-15T16:46:00Z"/>
        </w:rPr>
      </w:pPr>
      <w:del w:id="1361" w:author="svcMRProcess" w:date="2019-04-15T16:46:00Z">
        <w:r>
          <w:tab/>
          <w:delText>(a)</w:delText>
        </w:r>
        <w:r>
          <w:tab/>
          <w:delText>after the termination of the person’s interest in a residential tenancy agreement under section 60(1)(bc); or</w:delText>
        </w:r>
      </w:del>
    </w:p>
    <w:p>
      <w:pPr>
        <w:pStyle w:val="nzIndenta"/>
        <w:rPr>
          <w:del w:id="1362" w:author="svcMRProcess" w:date="2019-04-15T16:46:00Z"/>
        </w:rPr>
      </w:pPr>
      <w:del w:id="1363" w:author="svcMRProcess" w:date="2019-04-15T16:46:00Z">
        <w:r>
          <w:tab/>
          <w:delText>(b)</w:delText>
        </w:r>
        <w:r>
          <w:tab/>
          <w:delText>in any event, if it is necessary to prevent the commission of family violence that the tenant suspects, on reasonable grounds, is likely to be committed by the person against the tenant or a dependant of the tenant.</w:delText>
        </w:r>
      </w:del>
    </w:p>
    <w:p>
      <w:pPr>
        <w:pStyle w:val="nzSubsection"/>
        <w:rPr>
          <w:del w:id="1364" w:author="svcMRProcess" w:date="2019-04-15T16:46:00Z"/>
        </w:rPr>
      </w:pPr>
      <w:del w:id="1365" w:author="svcMRProcess" w:date="2019-04-15T16:46:00Z">
        <w:r>
          <w:tab/>
          <w:delText>(5)</w:delText>
        </w:r>
        <w:r>
          <w:tab/>
          <w:delText xml:space="preserve">For the purposes of subsection (4) — </w:delText>
        </w:r>
      </w:del>
    </w:p>
    <w:p>
      <w:pPr>
        <w:pStyle w:val="nzIndenta"/>
        <w:rPr>
          <w:del w:id="1366" w:author="svcMRProcess" w:date="2019-04-15T16:46:00Z"/>
        </w:rPr>
      </w:pPr>
      <w:del w:id="1367" w:author="svcMRProcess" w:date="2019-04-15T16:46:00Z">
        <w:r>
          <w:tab/>
          <w:delText>(a)</w:delText>
        </w:r>
        <w:r>
          <w:tab/>
          <w:delText>the cost of making the prescribed alterations must be borne by the tenant; and</w:delText>
        </w:r>
      </w:del>
    </w:p>
    <w:p>
      <w:pPr>
        <w:pStyle w:val="nzIndenta"/>
        <w:rPr>
          <w:del w:id="1368" w:author="svcMRProcess" w:date="2019-04-15T16:46:00Z"/>
        </w:rPr>
      </w:pPr>
      <w:del w:id="1369" w:author="svcMRProcess" w:date="2019-04-15T16:46:00Z">
        <w:r>
          <w:tab/>
          <w:delText>(b)</w:delText>
        </w:r>
        <w:r>
          <w:tab/>
          <w:delText>the tenant must give written notice to the lessor of the tenant’s intention to make the prescribed alterations; and</w:delText>
        </w:r>
      </w:del>
    </w:p>
    <w:p>
      <w:pPr>
        <w:pStyle w:val="nzIndenta"/>
        <w:rPr>
          <w:del w:id="1370" w:author="svcMRProcess" w:date="2019-04-15T16:46:00Z"/>
        </w:rPr>
      </w:pPr>
      <w:del w:id="1371" w:author="svcMRProcess" w:date="2019-04-15T16:46:00Z">
        <w:r>
          <w:tab/>
          <w:delText>(c)</w:delText>
        </w:r>
        <w:r>
          <w:tab/>
          <w:delText>work on the prescribed alterations must be undertaken by a qualified tradesperson, a copy of whose invoice the tenant must provide to the lessor within 14 days of the alterations being completed; and</w:delText>
        </w:r>
      </w:del>
    </w:p>
    <w:p>
      <w:pPr>
        <w:pStyle w:val="nzIndenta"/>
        <w:rPr>
          <w:del w:id="1372" w:author="svcMRProcess" w:date="2019-04-15T16:46:00Z"/>
        </w:rPr>
      </w:pPr>
      <w:del w:id="1373" w:author="svcMRProcess" w:date="2019-04-15T16:46:00Z">
        <w:r>
          <w:tab/>
          <w:delText>(d)</w:delText>
        </w:r>
        <w:r>
          <w:tab/>
          <w:delText>the prescribed alterations must be effected having regard to the age and character of the property and any applicable strata company by</w:delText>
        </w:r>
        <w:r>
          <w:noBreakHyphen/>
          <w:delText>laws; and</w:delText>
        </w:r>
      </w:del>
    </w:p>
    <w:p>
      <w:pPr>
        <w:pStyle w:val="nzIndenta"/>
        <w:rPr>
          <w:del w:id="1374" w:author="svcMRProcess" w:date="2019-04-15T16:46:00Z"/>
        </w:rPr>
      </w:pPr>
      <w:del w:id="1375" w:author="svcMRProcess" w:date="2019-04-15T16:46:00Z">
        <w:r>
          <w:tab/>
          <w:delText>(e)</w:delText>
        </w:r>
        <w:r>
          <w:tab/>
          <w:delTex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delText>
        </w:r>
      </w:del>
    </w:p>
    <w:p>
      <w:pPr>
        <w:pStyle w:val="nzSubsection"/>
        <w:rPr>
          <w:del w:id="1376" w:author="svcMRProcess" w:date="2019-04-15T16:46:00Z"/>
        </w:rPr>
      </w:pPr>
      <w:del w:id="1377" w:author="svcMRProcess" w:date="2019-04-15T16:46:00Z">
        <w:r>
          <w:tab/>
          <w:delText>(6)</w:delText>
        </w:r>
        <w:r>
          <w:tab/>
          <w:delText xml:space="preserve">Subsection (4) does not apply to premises entered into the Register as defined in the </w:delText>
        </w:r>
        <w:r>
          <w:rPr>
            <w:i/>
          </w:rPr>
          <w:delText>Heritage of Western Australia Act 1990</w:delText>
        </w:r>
        <w:r>
          <w:delText xml:space="preserve"> section 3(1) or in the register as defined in the </w:delText>
        </w:r>
        <w:r>
          <w:rPr>
            <w:i/>
          </w:rPr>
          <w:delText>Heritage Act 2018</w:delText>
        </w:r>
        <w:r>
          <w:delText xml:space="preserve"> section 4.</w:delText>
        </w:r>
      </w:del>
    </w:p>
    <w:p>
      <w:pPr>
        <w:pStyle w:val="BlankClose"/>
        <w:keepNext/>
        <w:widowControl w:val="0"/>
        <w:rPr>
          <w:del w:id="1378" w:author="svcMRProcess" w:date="2019-04-15T16:46:00Z"/>
        </w:rPr>
      </w:pPr>
    </w:p>
    <w:p>
      <w:pPr>
        <w:pStyle w:val="nzHeading5"/>
        <w:rPr>
          <w:del w:id="1379" w:author="svcMRProcess" w:date="2019-04-15T16:46:00Z"/>
        </w:rPr>
      </w:pPr>
      <w:bookmarkStart w:id="1380" w:name="_Toc1570346"/>
      <w:bookmarkStart w:id="1381" w:name="_Toc2090046"/>
      <w:bookmarkStart w:id="1382" w:name="_Toc2092140"/>
      <w:del w:id="1383" w:author="svcMRProcess" w:date="2019-04-15T16:46:00Z">
        <w:r>
          <w:rPr>
            <w:rStyle w:val="CharSectno"/>
          </w:rPr>
          <w:delText>13</w:delText>
        </w:r>
        <w:r>
          <w:delText>.</w:delText>
        </w:r>
        <w:r>
          <w:tab/>
          <w:delText>Section 56A inserted</w:delText>
        </w:r>
        <w:bookmarkEnd w:id="1380"/>
        <w:bookmarkEnd w:id="1381"/>
        <w:bookmarkEnd w:id="1382"/>
      </w:del>
    </w:p>
    <w:p>
      <w:pPr>
        <w:pStyle w:val="nzSubsection"/>
        <w:rPr>
          <w:del w:id="1384" w:author="svcMRProcess" w:date="2019-04-15T16:46:00Z"/>
        </w:rPr>
      </w:pPr>
      <w:del w:id="1385" w:author="svcMRProcess" w:date="2019-04-15T16:46:00Z">
        <w:r>
          <w:tab/>
        </w:r>
        <w:r>
          <w:tab/>
          <w:delText>After section 56 insert:</w:delText>
        </w:r>
      </w:del>
    </w:p>
    <w:p>
      <w:pPr>
        <w:pStyle w:val="BlankOpen"/>
        <w:rPr>
          <w:del w:id="1386" w:author="svcMRProcess" w:date="2019-04-15T16:46:00Z"/>
        </w:rPr>
      </w:pPr>
    </w:p>
    <w:p>
      <w:pPr>
        <w:pStyle w:val="nzHeading5"/>
        <w:rPr>
          <w:del w:id="1387" w:author="svcMRProcess" w:date="2019-04-15T16:46:00Z"/>
        </w:rPr>
      </w:pPr>
      <w:bookmarkStart w:id="1388" w:name="_Toc1570347"/>
      <w:bookmarkStart w:id="1389" w:name="_Toc2090047"/>
      <w:bookmarkStart w:id="1390" w:name="_Toc2092141"/>
      <w:del w:id="1391" w:author="svcMRProcess" w:date="2019-04-15T16:46:00Z">
        <w:r>
          <w:delText>56A.</w:delText>
        </w:r>
        <w:r>
          <w:tab/>
          <w:delText>Discrimination against tenants subjected or exposed to family violence</w:delText>
        </w:r>
        <w:bookmarkEnd w:id="1388"/>
        <w:bookmarkEnd w:id="1389"/>
        <w:bookmarkEnd w:id="1390"/>
      </w:del>
    </w:p>
    <w:p>
      <w:pPr>
        <w:pStyle w:val="nzSubsection"/>
        <w:rPr>
          <w:del w:id="1392" w:author="svcMRProcess" w:date="2019-04-15T16:46:00Z"/>
        </w:rPr>
      </w:pPr>
      <w:del w:id="1393" w:author="svcMRProcess" w:date="2019-04-15T16:46:00Z">
        <w:r>
          <w:tab/>
        </w:r>
        <w:r>
          <w:tab/>
          <w:delText xml:space="preserve">A person must not refuse, or cause any person to refuse, to grant a tenancy to any person on the ground that the person — </w:delText>
        </w:r>
      </w:del>
    </w:p>
    <w:p>
      <w:pPr>
        <w:pStyle w:val="nzIndenta"/>
        <w:rPr>
          <w:del w:id="1394" w:author="svcMRProcess" w:date="2019-04-15T16:46:00Z"/>
        </w:rPr>
      </w:pPr>
      <w:del w:id="1395" w:author="svcMRProcess" w:date="2019-04-15T16:46:00Z">
        <w:r>
          <w:tab/>
          <w:delText>(a)</w:delText>
        </w:r>
        <w:r>
          <w:tab/>
          <w:delText>has been or might be subjected or exposed to family violence; or</w:delText>
        </w:r>
      </w:del>
    </w:p>
    <w:p>
      <w:pPr>
        <w:pStyle w:val="nzIndenta"/>
        <w:rPr>
          <w:del w:id="1396" w:author="svcMRProcess" w:date="2019-04-15T16:46:00Z"/>
        </w:rPr>
      </w:pPr>
      <w:del w:id="1397" w:author="svcMRProcess" w:date="2019-04-15T16:46:00Z">
        <w:r>
          <w:tab/>
          <w:delText>(b)</w:delText>
        </w:r>
        <w:r>
          <w:tab/>
          <w:delText>has been convicted of a charge relating to family violence.</w:delText>
        </w:r>
      </w:del>
    </w:p>
    <w:p>
      <w:pPr>
        <w:pStyle w:val="nzPenstart"/>
        <w:rPr>
          <w:del w:id="1398" w:author="svcMRProcess" w:date="2019-04-15T16:46:00Z"/>
        </w:rPr>
      </w:pPr>
      <w:del w:id="1399" w:author="svcMRProcess" w:date="2019-04-15T16:46:00Z">
        <w:r>
          <w:tab/>
          <w:delText>Penalty: a fine of $5 000.</w:delText>
        </w:r>
      </w:del>
    </w:p>
    <w:p>
      <w:pPr>
        <w:pStyle w:val="BlankClose"/>
        <w:rPr>
          <w:del w:id="1400" w:author="svcMRProcess" w:date="2019-04-15T16:46:00Z"/>
        </w:rPr>
      </w:pPr>
    </w:p>
    <w:p>
      <w:pPr>
        <w:pStyle w:val="nzHeading5"/>
        <w:rPr>
          <w:del w:id="1401" w:author="svcMRProcess" w:date="2019-04-15T16:46:00Z"/>
        </w:rPr>
      </w:pPr>
      <w:bookmarkStart w:id="1402" w:name="_Toc1570348"/>
      <w:bookmarkStart w:id="1403" w:name="_Toc2090048"/>
      <w:bookmarkStart w:id="1404" w:name="_Toc2092142"/>
      <w:del w:id="1405" w:author="svcMRProcess" w:date="2019-04-15T16:46:00Z">
        <w:r>
          <w:rPr>
            <w:rStyle w:val="CharSectno"/>
          </w:rPr>
          <w:delText>14</w:delText>
        </w:r>
        <w:r>
          <w:delText>.</w:delText>
        </w:r>
        <w:r>
          <w:tab/>
          <w:delText>Section 59E amended</w:delText>
        </w:r>
        <w:bookmarkEnd w:id="1402"/>
        <w:bookmarkEnd w:id="1403"/>
        <w:bookmarkEnd w:id="1404"/>
      </w:del>
    </w:p>
    <w:p>
      <w:pPr>
        <w:pStyle w:val="nzSubsection"/>
        <w:rPr>
          <w:del w:id="1406" w:author="svcMRProcess" w:date="2019-04-15T16:46:00Z"/>
        </w:rPr>
      </w:pPr>
      <w:del w:id="1407" w:author="svcMRProcess" w:date="2019-04-15T16:46:00Z">
        <w:r>
          <w:tab/>
        </w:r>
        <w:r>
          <w:tab/>
          <w:delText>After section 59E(2) insert:</w:delText>
        </w:r>
      </w:del>
    </w:p>
    <w:p>
      <w:pPr>
        <w:pStyle w:val="BlankOpen"/>
        <w:rPr>
          <w:del w:id="1408" w:author="svcMRProcess" w:date="2019-04-15T16:46:00Z"/>
        </w:rPr>
      </w:pPr>
    </w:p>
    <w:p>
      <w:pPr>
        <w:pStyle w:val="nzSubsection"/>
        <w:rPr>
          <w:del w:id="1409" w:author="svcMRProcess" w:date="2019-04-15T16:46:00Z"/>
        </w:rPr>
      </w:pPr>
      <w:del w:id="1410" w:author="svcMRProcess" w:date="2019-04-15T16:46:00Z">
        <w:r>
          <w:tab/>
          <w:delText>(3)</w:delText>
        </w:r>
        <w:r>
          <w:tab/>
          <w:delText xml:space="preserve">When a charge of an offence under subsection (1) relates to a failure by the lessor to give the tenant a copy of a key to the premises, it is a defence to the charge to prove that — </w:delText>
        </w:r>
      </w:del>
    </w:p>
    <w:p>
      <w:pPr>
        <w:pStyle w:val="nzIndenta"/>
        <w:rPr>
          <w:del w:id="1411" w:author="svcMRProcess" w:date="2019-04-15T16:46:00Z"/>
        </w:rPr>
      </w:pPr>
      <w:del w:id="1412" w:author="svcMRProcess" w:date="2019-04-15T16:46:00Z">
        <w:r>
          <w:tab/>
          <w:delText>(a)</w:delText>
        </w:r>
        <w:r>
          <w:tab/>
          <w:delText>the copy of the key had been given to the lessor under section 45(2)(b); and</w:delText>
        </w:r>
      </w:del>
    </w:p>
    <w:p>
      <w:pPr>
        <w:pStyle w:val="nzIndenta"/>
        <w:rPr>
          <w:del w:id="1413" w:author="svcMRProcess" w:date="2019-04-15T16:46:00Z"/>
        </w:rPr>
      </w:pPr>
      <w:del w:id="1414" w:author="svcMRProcess" w:date="2019-04-15T16:46:00Z">
        <w:r>
          <w:tab/>
          <w:delText>(b)</w:delText>
        </w:r>
        <w:r>
          <w:tab/>
          <w:delText>the tenant was a person to whom the lessor was instructed not to give the copy of the key under section 45(2)(c)(ii).</w:delText>
        </w:r>
      </w:del>
    </w:p>
    <w:p>
      <w:pPr>
        <w:pStyle w:val="BlankClose"/>
        <w:rPr>
          <w:del w:id="1415" w:author="svcMRProcess" w:date="2019-04-15T16:46:00Z"/>
        </w:rPr>
      </w:pPr>
    </w:p>
    <w:p>
      <w:pPr>
        <w:pStyle w:val="nzHeading5"/>
        <w:rPr>
          <w:del w:id="1416" w:author="svcMRProcess" w:date="2019-04-15T16:46:00Z"/>
        </w:rPr>
      </w:pPr>
      <w:bookmarkStart w:id="1417" w:name="_Toc1570349"/>
      <w:bookmarkStart w:id="1418" w:name="_Toc2090049"/>
      <w:bookmarkStart w:id="1419" w:name="_Toc2092143"/>
      <w:del w:id="1420" w:author="svcMRProcess" w:date="2019-04-15T16:46:00Z">
        <w:r>
          <w:rPr>
            <w:rStyle w:val="CharSectno"/>
          </w:rPr>
          <w:delText>15</w:delText>
        </w:r>
        <w:r>
          <w:delText>.</w:delText>
        </w:r>
        <w:r>
          <w:tab/>
          <w:delText>Section 59F amended</w:delText>
        </w:r>
        <w:bookmarkEnd w:id="1417"/>
        <w:bookmarkEnd w:id="1418"/>
        <w:bookmarkEnd w:id="1419"/>
      </w:del>
    </w:p>
    <w:p>
      <w:pPr>
        <w:pStyle w:val="nzSubsection"/>
        <w:rPr>
          <w:del w:id="1421" w:author="svcMRProcess" w:date="2019-04-15T16:46:00Z"/>
        </w:rPr>
      </w:pPr>
      <w:del w:id="1422" w:author="svcMRProcess" w:date="2019-04-15T16:46:00Z">
        <w:r>
          <w:tab/>
          <w:delText>(1)</w:delText>
        </w:r>
        <w:r>
          <w:tab/>
          <w:delText>In section 59F(1) delete “section 45(b)” and insert:</w:delText>
        </w:r>
      </w:del>
    </w:p>
    <w:p>
      <w:pPr>
        <w:pStyle w:val="BlankOpen"/>
        <w:rPr>
          <w:del w:id="1423" w:author="svcMRProcess" w:date="2019-04-15T16:46:00Z"/>
        </w:rPr>
      </w:pPr>
    </w:p>
    <w:p>
      <w:pPr>
        <w:pStyle w:val="nzSubsection"/>
        <w:rPr>
          <w:del w:id="1424" w:author="svcMRProcess" w:date="2019-04-15T16:46:00Z"/>
        </w:rPr>
      </w:pPr>
      <w:del w:id="1425" w:author="svcMRProcess" w:date="2019-04-15T16:46:00Z">
        <w:r>
          <w:tab/>
        </w:r>
        <w:r>
          <w:tab/>
          <w:delText>section 45(1)(b)</w:delText>
        </w:r>
      </w:del>
    </w:p>
    <w:p>
      <w:pPr>
        <w:pStyle w:val="BlankClose"/>
        <w:rPr>
          <w:del w:id="1426" w:author="svcMRProcess" w:date="2019-04-15T16:46:00Z"/>
        </w:rPr>
      </w:pPr>
    </w:p>
    <w:p>
      <w:pPr>
        <w:pStyle w:val="nzSubsection"/>
        <w:rPr>
          <w:del w:id="1427" w:author="svcMRProcess" w:date="2019-04-15T16:46:00Z"/>
        </w:rPr>
      </w:pPr>
      <w:del w:id="1428" w:author="svcMRProcess" w:date="2019-04-15T16:46:00Z">
        <w:r>
          <w:tab/>
          <w:delText>(2)</w:delText>
        </w:r>
        <w:r>
          <w:tab/>
          <w:delText>After section 59F(2) insert:</w:delText>
        </w:r>
      </w:del>
    </w:p>
    <w:p>
      <w:pPr>
        <w:pStyle w:val="BlankOpen"/>
        <w:rPr>
          <w:del w:id="1429" w:author="svcMRProcess" w:date="2019-04-15T16:46:00Z"/>
        </w:rPr>
      </w:pPr>
    </w:p>
    <w:p>
      <w:pPr>
        <w:pStyle w:val="nzSubsection"/>
        <w:rPr>
          <w:del w:id="1430" w:author="svcMRProcess" w:date="2019-04-15T16:46:00Z"/>
        </w:rPr>
      </w:pPr>
      <w:del w:id="1431" w:author="svcMRProcess" w:date="2019-04-15T16:46:00Z">
        <w:r>
          <w:tab/>
          <w:delText>(2A)</w:delText>
        </w:r>
        <w:r>
          <w:tab/>
          <w:delText>A lessor who breaches the term referred to in section 45(2)(c) without reasonable excuse commits an offence.</w:delText>
        </w:r>
      </w:del>
    </w:p>
    <w:p>
      <w:pPr>
        <w:pStyle w:val="nzPenstart"/>
        <w:rPr>
          <w:del w:id="1432" w:author="svcMRProcess" w:date="2019-04-15T16:46:00Z"/>
        </w:rPr>
      </w:pPr>
      <w:del w:id="1433" w:author="svcMRProcess" w:date="2019-04-15T16:46:00Z">
        <w:r>
          <w:tab/>
          <w:delText>Penalty for this subsection: a fine of $20 000.</w:delText>
        </w:r>
      </w:del>
    </w:p>
    <w:p>
      <w:pPr>
        <w:pStyle w:val="BlankClose"/>
        <w:rPr>
          <w:del w:id="1434" w:author="svcMRProcess" w:date="2019-04-15T16:46:00Z"/>
        </w:rPr>
      </w:pPr>
    </w:p>
    <w:p>
      <w:pPr>
        <w:pStyle w:val="nzHeading5"/>
        <w:rPr>
          <w:del w:id="1435" w:author="svcMRProcess" w:date="2019-04-15T16:46:00Z"/>
        </w:rPr>
      </w:pPr>
      <w:bookmarkStart w:id="1436" w:name="_Toc1570350"/>
      <w:bookmarkStart w:id="1437" w:name="_Toc2090050"/>
      <w:bookmarkStart w:id="1438" w:name="_Toc2092144"/>
      <w:del w:id="1439" w:author="svcMRProcess" w:date="2019-04-15T16:46:00Z">
        <w:r>
          <w:rPr>
            <w:rStyle w:val="CharSectno"/>
          </w:rPr>
          <w:delText>16</w:delText>
        </w:r>
        <w:r>
          <w:delText>.</w:delText>
        </w:r>
        <w:r>
          <w:tab/>
          <w:delText>Section 60 amended</w:delText>
        </w:r>
        <w:bookmarkEnd w:id="1436"/>
        <w:bookmarkEnd w:id="1437"/>
        <w:bookmarkEnd w:id="1438"/>
      </w:del>
    </w:p>
    <w:p>
      <w:pPr>
        <w:pStyle w:val="nzSubsection"/>
        <w:rPr>
          <w:del w:id="1440" w:author="svcMRProcess" w:date="2019-04-15T16:46:00Z"/>
        </w:rPr>
      </w:pPr>
      <w:del w:id="1441" w:author="svcMRProcess" w:date="2019-04-15T16:46:00Z">
        <w:r>
          <w:tab/>
          <w:delText>(1)</w:delText>
        </w:r>
        <w:r>
          <w:tab/>
          <w:delText>In section 60:</w:delText>
        </w:r>
      </w:del>
    </w:p>
    <w:p>
      <w:pPr>
        <w:pStyle w:val="nzIndenta"/>
        <w:rPr>
          <w:del w:id="1442" w:author="svcMRProcess" w:date="2019-04-15T16:46:00Z"/>
        </w:rPr>
      </w:pPr>
      <w:del w:id="1443" w:author="svcMRProcess" w:date="2019-04-15T16:46:00Z">
        <w:r>
          <w:tab/>
          <w:delText>(a)</w:delText>
        </w:r>
        <w:r>
          <w:tab/>
          <w:delText>delete “Despite” and insert:</w:delText>
        </w:r>
      </w:del>
    </w:p>
    <w:p>
      <w:pPr>
        <w:pStyle w:val="BlankOpen"/>
        <w:rPr>
          <w:del w:id="1444" w:author="svcMRProcess" w:date="2019-04-15T16:46:00Z"/>
        </w:rPr>
      </w:pPr>
    </w:p>
    <w:p>
      <w:pPr>
        <w:pStyle w:val="nzSubsection"/>
        <w:rPr>
          <w:del w:id="1445" w:author="svcMRProcess" w:date="2019-04-15T16:46:00Z"/>
        </w:rPr>
      </w:pPr>
      <w:del w:id="1446" w:author="svcMRProcess" w:date="2019-04-15T16:46:00Z">
        <w:r>
          <w:tab/>
          <w:delText>(1)</w:delText>
        </w:r>
        <w:r>
          <w:tab/>
          <w:delText>Despite</w:delText>
        </w:r>
      </w:del>
    </w:p>
    <w:p>
      <w:pPr>
        <w:pStyle w:val="BlankClose"/>
        <w:keepNext/>
        <w:rPr>
          <w:del w:id="1447" w:author="svcMRProcess" w:date="2019-04-15T16:46:00Z"/>
        </w:rPr>
      </w:pPr>
    </w:p>
    <w:p>
      <w:pPr>
        <w:pStyle w:val="nzIndenta"/>
        <w:rPr>
          <w:del w:id="1448" w:author="svcMRProcess" w:date="2019-04-15T16:46:00Z"/>
        </w:rPr>
      </w:pPr>
      <w:del w:id="1449" w:author="svcMRProcess" w:date="2019-04-15T16:46:00Z">
        <w:r>
          <w:tab/>
          <w:delText>(b)</w:delText>
        </w:r>
        <w:r>
          <w:tab/>
          <w:delText>after paragraph (b) insert:</w:delText>
        </w:r>
      </w:del>
    </w:p>
    <w:p>
      <w:pPr>
        <w:pStyle w:val="BlankOpen"/>
        <w:rPr>
          <w:del w:id="1450" w:author="svcMRProcess" w:date="2019-04-15T16:46:00Z"/>
        </w:rPr>
      </w:pPr>
    </w:p>
    <w:p>
      <w:pPr>
        <w:pStyle w:val="nzIndenta"/>
        <w:rPr>
          <w:del w:id="1451" w:author="svcMRProcess" w:date="2019-04-15T16:46:00Z"/>
        </w:rPr>
      </w:pPr>
      <w:del w:id="1452" w:author="svcMRProcess" w:date="2019-04-15T16:46:00Z">
        <w:r>
          <w:tab/>
          <w:delText>(ba)</w:delText>
        </w:r>
        <w:r>
          <w:tab/>
          <w:delText xml:space="preserve">in the case of a particular tenant’s interest in the agreement, where the tenant — </w:delText>
        </w:r>
      </w:del>
    </w:p>
    <w:p>
      <w:pPr>
        <w:pStyle w:val="nzIndenti"/>
        <w:rPr>
          <w:del w:id="1453" w:author="svcMRProcess" w:date="2019-04-15T16:46:00Z"/>
        </w:rPr>
      </w:pPr>
      <w:del w:id="1454" w:author="svcMRProcess" w:date="2019-04-15T16:46:00Z">
        <w:r>
          <w:tab/>
          <w:delText>(i)</w:delText>
        </w:r>
        <w:r>
          <w:tab/>
          <w:delText>gives notice under section 71AB(1) of termination of the tenant’s interest together with at least 1 of the documents required under section 71AB(2); and</w:delText>
        </w:r>
      </w:del>
    </w:p>
    <w:p>
      <w:pPr>
        <w:pStyle w:val="nzIndenti"/>
        <w:rPr>
          <w:del w:id="1455" w:author="svcMRProcess" w:date="2019-04-15T16:46:00Z"/>
        </w:rPr>
      </w:pPr>
      <w:del w:id="1456" w:author="svcMRProcess" w:date="2019-04-15T16:46:00Z">
        <w:r>
          <w:tab/>
          <w:delText>(ii)</w:delText>
        </w:r>
        <w:r>
          <w:tab/>
          <w:delText>vacates the premises on or after the expiration of the period of notice required under section 71AB(5);</w:delText>
        </w:r>
      </w:del>
    </w:p>
    <w:p>
      <w:pPr>
        <w:pStyle w:val="nzIndenta"/>
        <w:rPr>
          <w:del w:id="1457" w:author="svcMRProcess" w:date="2019-04-15T16:46:00Z"/>
        </w:rPr>
      </w:pPr>
      <w:del w:id="1458" w:author="svcMRProcess" w:date="2019-04-15T16:46:00Z">
        <w:r>
          <w:tab/>
          <w:delText>(bb)</w:delText>
        </w:r>
        <w:r>
          <w:tab/>
          <w:delText xml:space="preserve">in the case of a particular tenant’s interest in the agreement, where the tenant — </w:delText>
        </w:r>
      </w:del>
    </w:p>
    <w:p>
      <w:pPr>
        <w:pStyle w:val="nzIndenti"/>
        <w:rPr>
          <w:del w:id="1459" w:author="svcMRProcess" w:date="2019-04-15T16:46:00Z"/>
        </w:rPr>
      </w:pPr>
      <w:del w:id="1460" w:author="svcMRProcess" w:date="2019-04-15T16:46:00Z">
        <w:r>
          <w:tab/>
          <w:delText>(i)</w:delText>
        </w:r>
        <w:r>
          <w:tab/>
          <w:delText>gives notice under section 71AD(4) of termination of the tenant’s interest; and</w:delText>
        </w:r>
      </w:del>
    </w:p>
    <w:p>
      <w:pPr>
        <w:pStyle w:val="nzIndenti"/>
        <w:rPr>
          <w:del w:id="1461" w:author="svcMRProcess" w:date="2019-04-15T16:46:00Z"/>
        </w:rPr>
      </w:pPr>
      <w:del w:id="1462" w:author="svcMRProcess" w:date="2019-04-15T16:46:00Z">
        <w:r>
          <w:tab/>
          <w:delText>(ii)</w:delText>
        </w:r>
        <w:r>
          <w:tab/>
          <w:delText>vacates the premises on or after the expiration of the period of notice required under section 71AD(5);</w:delText>
        </w:r>
      </w:del>
    </w:p>
    <w:p>
      <w:pPr>
        <w:pStyle w:val="nzIndenta"/>
        <w:rPr>
          <w:del w:id="1463" w:author="svcMRProcess" w:date="2019-04-15T16:46:00Z"/>
        </w:rPr>
      </w:pPr>
      <w:del w:id="1464" w:author="svcMRProcess" w:date="2019-04-15T16:46:00Z">
        <w:r>
          <w:tab/>
          <w:delText>(bc)</w:delText>
        </w:r>
        <w:r>
          <w:tab/>
          <w:delText>in the case of a particular tenant’s interest in the agreement, where a competent court terminates the tenant’s interest under section 71AE;</w:delText>
        </w:r>
      </w:del>
    </w:p>
    <w:p>
      <w:pPr>
        <w:pStyle w:val="BlankClose"/>
        <w:rPr>
          <w:del w:id="1465" w:author="svcMRProcess" w:date="2019-04-15T16:46:00Z"/>
        </w:rPr>
      </w:pPr>
    </w:p>
    <w:p>
      <w:pPr>
        <w:pStyle w:val="nzSubsection"/>
        <w:rPr>
          <w:del w:id="1466" w:author="svcMRProcess" w:date="2019-04-15T16:46:00Z"/>
        </w:rPr>
      </w:pPr>
      <w:del w:id="1467" w:author="svcMRProcess" w:date="2019-04-15T16:46:00Z">
        <w:r>
          <w:tab/>
          <w:delText>(2)</w:delText>
        </w:r>
        <w:r>
          <w:tab/>
          <w:delText>At the end of section 60 insert:</w:delText>
        </w:r>
      </w:del>
    </w:p>
    <w:p>
      <w:pPr>
        <w:pStyle w:val="BlankOpen"/>
        <w:rPr>
          <w:del w:id="1468" w:author="svcMRProcess" w:date="2019-04-15T16:46:00Z"/>
        </w:rPr>
      </w:pPr>
    </w:p>
    <w:p>
      <w:pPr>
        <w:pStyle w:val="nzSubsection"/>
        <w:rPr>
          <w:del w:id="1469" w:author="svcMRProcess" w:date="2019-04-15T16:46:00Z"/>
        </w:rPr>
      </w:pPr>
      <w:del w:id="1470" w:author="svcMRProcess" w:date="2019-04-15T16:46:00Z">
        <w:r>
          <w:tab/>
          <w:delText>(2)</w:delText>
        </w:r>
        <w:r>
          <w:tab/>
          <w:delText>The termination of a tenant’s interest in a residential tenancy agreement does not terminate the agreement in respect of any other tenant under the agreement.</w:delText>
        </w:r>
      </w:del>
    </w:p>
    <w:p>
      <w:pPr>
        <w:pStyle w:val="BlankClose"/>
        <w:rPr>
          <w:del w:id="1471" w:author="svcMRProcess" w:date="2019-04-15T16:46:00Z"/>
        </w:rPr>
      </w:pPr>
    </w:p>
    <w:p>
      <w:pPr>
        <w:pStyle w:val="nzSectAltNote"/>
        <w:rPr>
          <w:del w:id="1472" w:author="svcMRProcess" w:date="2019-04-15T16:46:00Z"/>
        </w:rPr>
      </w:pPr>
      <w:del w:id="1473" w:author="svcMRProcess" w:date="2019-04-15T16:46:00Z">
        <w:r>
          <w:tab/>
          <w:delText>Note:</w:delText>
        </w:r>
        <w:r>
          <w:tab/>
          <w:delText>The heading to amended section 60 is to read:</w:delText>
        </w:r>
      </w:del>
    </w:p>
    <w:p>
      <w:pPr>
        <w:pStyle w:val="nzSectAltHeading"/>
        <w:rPr>
          <w:del w:id="1474" w:author="svcMRProcess" w:date="2019-04-15T16:46:00Z"/>
          <w:snapToGrid w:val="0"/>
        </w:rPr>
      </w:pPr>
      <w:del w:id="1475" w:author="svcMRProcess" w:date="2019-04-15T16:46:00Z">
        <w:r>
          <w:rPr>
            <w:b w:val="0"/>
          </w:rPr>
          <w:tab/>
        </w:r>
        <w:r>
          <w:rPr>
            <w:b w:val="0"/>
          </w:rPr>
          <w:tab/>
        </w:r>
        <w:r>
          <w:rPr>
            <w:snapToGrid w:val="0"/>
          </w:rPr>
          <w:delText>How residential tenancy agreements and tenant’s interests in agreements are terminated</w:delText>
        </w:r>
      </w:del>
    </w:p>
    <w:p>
      <w:pPr>
        <w:pStyle w:val="nzHeading5"/>
        <w:rPr>
          <w:del w:id="1476" w:author="svcMRProcess" w:date="2019-04-15T16:46:00Z"/>
        </w:rPr>
      </w:pPr>
      <w:bookmarkStart w:id="1477" w:name="_Toc1570351"/>
      <w:bookmarkStart w:id="1478" w:name="_Toc2090051"/>
      <w:bookmarkStart w:id="1479" w:name="_Toc2092145"/>
      <w:del w:id="1480" w:author="svcMRProcess" w:date="2019-04-15T16:46:00Z">
        <w:r>
          <w:rPr>
            <w:rStyle w:val="CharSectno"/>
          </w:rPr>
          <w:delText>17</w:delText>
        </w:r>
        <w:r>
          <w:delText>.</w:delText>
        </w:r>
        <w:r>
          <w:tab/>
          <w:delText>Section 67 amended</w:delText>
        </w:r>
        <w:bookmarkEnd w:id="1477"/>
        <w:bookmarkEnd w:id="1478"/>
        <w:bookmarkEnd w:id="1479"/>
      </w:del>
    </w:p>
    <w:p>
      <w:pPr>
        <w:pStyle w:val="nzSubsection"/>
        <w:rPr>
          <w:del w:id="1481" w:author="svcMRProcess" w:date="2019-04-15T16:46:00Z"/>
        </w:rPr>
      </w:pPr>
      <w:del w:id="1482" w:author="svcMRProcess" w:date="2019-04-15T16:46:00Z">
        <w:r>
          <w:tab/>
          <w:delText>(1)</w:delText>
        </w:r>
        <w:r>
          <w:tab/>
          <w:delText>In section 67 delete “Notice of termination of a residential tenancy agreement by the tenant shall —” and insert:</w:delText>
        </w:r>
      </w:del>
    </w:p>
    <w:p>
      <w:pPr>
        <w:pStyle w:val="BlankOpen"/>
        <w:rPr>
          <w:del w:id="1483" w:author="svcMRProcess" w:date="2019-04-15T16:46:00Z"/>
        </w:rPr>
      </w:pPr>
    </w:p>
    <w:p>
      <w:pPr>
        <w:pStyle w:val="nzSubsection"/>
        <w:rPr>
          <w:del w:id="1484" w:author="svcMRProcess" w:date="2019-04-15T16:46:00Z"/>
        </w:rPr>
      </w:pPr>
      <w:del w:id="1485" w:author="svcMRProcess" w:date="2019-04-15T16:46:00Z">
        <w:r>
          <w:tab/>
          <w:delText>(1)</w:delText>
        </w:r>
        <w:r>
          <w:tab/>
          <w:delText xml:space="preserve">Except as provided in subsection (2), a notice of termination of a residential tenancy agreement, or of the tenant’s interest in the agreement, must — </w:delText>
        </w:r>
      </w:del>
    </w:p>
    <w:p>
      <w:pPr>
        <w:pStyle w:val="BlankClose"/>
        <w:rPr>
          <w:del w:id="1486" w:author="svcMRProcess" w:date="2019-04-15T16:46:00Z"/>
        </w:rPr>
      </w:pPr>
    </w:p>
    <w:p>
      <w:pPr>
        <w:pStyle w:val="nzSubsection"/>
        <w:rPr>
          <w:del w:id="1487" w:author="svcMRProcess" w:date="2019-04-15T16:46:00Z"/>
        </w:rPr>
      </w:pPr>
      <w:del w:id="1488" w:author="svcMRProcess" w:date="2019-04-15T16:46:00Z">
        <w:r>
          <w:tab/>
          <w:delText>(2)</w:delText>
        </w:r>
        <w:r>
          <w:tab/>
          <w:delText>At the end of section 67 insert:</w:delText>
        </w:r>
      </w:del>
    </w:p>
    <w:p>
      <w:pPr>
        <w:pStyle w:val="BlankOpen"/>
        <w:rPr>
          <w:del w:id="1489" w:author="svcMRProcess" w:date="2019-04-15T16:46:00Z"/>
        </w:rPr>
      </w:pPr>
    </w:p>
    <w:p>
      <w:pPr>
        <w:pStyle w:val="nzSubsection"/>
        <w:rPr>
          <w:del w:id="1490" w:author="svcMRProcess" w:date="2019-04-15T16:46:00Z"/>
        </w:rPr>
      </w:pPr>
      <w:del w:id="1491" w:author="svcMRProcess" w:date="2019-04-15T16:46:00Z">
        <w:r>
          <w:tab/>
          <w:delText>(2)</w:delText>
        </w:r>
        <w:r>
          <w:tab/>
          <w:delText>A notice given under section 71AB(1) must be in a prescribed form.</w:delText>
        </w:r>
      </w:del>
    </w:p>
    <w:p>
      <w:pPr>
        <w:pStyle w:val="BlankClose"/>
        <w:rPr>
          <w:del w:id="1492" w:author="svcMRProcess" w:date="2019-04-15T16:46:00Z"/>
        </w:rPr>
      </w:pPr>
    </w:p>
    <w:p>
      <w:pPr>
        <w:pStyle w:val="nzHeading5"/>
        <w:rPr>
          <w:del w:id="1493" w:author="svcMRProcess" w:date="2019-04-15T16:46:00Z"/>
        </w:rPr>
      </w:pPr>
      <w:bookmarkStart w:id="1494" w:name="_Toc1570352"/>
      <w:bookmarkStart w:id="1495" w:name="_Toc2090052"/>
      <w:bookmarkStart w:id="1496" w:name="_Toc2092146"/>
      <w:del w:id="1497" w:author="svcMRProcess" w:date="2019-04-15T16:46:00Z">
        <w:r>
          <w:rPr>
            <w:rStyle w:val="CharSectno"/>
          </w:rPr>
          <w:delText>18</w:delText>
        </w:r>
        <w:r>
          <w:delText>.</w:delText>
        </w:r>
        <w:r>
          <w:tab/>
          <w:delText>Part V Division 2A inserted</w:delText>
        </w:r>
        <w:bookmarkEnd w:id="1494"/>
        <w:bookmarkEnd w:id="1495"/>
        <w:bookmarkEnd w:id="1496"/>
      </w:del>
    </w:p>
    <w:p>
      <w:pPr>
        <w:pStyle w:val="nzSubsection"/>
        <w:rPr>
          <w:del w:id="1498" w:author="svcMRProcess" w:date="2019-04-15T16:46:00Z"/>
        </w:rPr>
      </w:pPr>
      <w:del w:id="1499" w:author="svcMRProcess" w:date="2019-04-15T16:46:00Z">
        <w:r>
          <w:tab/>
        </w:r>
        <w:r>
          <w:tab/>
          <w:delText>After section 70 insert:</w:delText>
        </w:r>
      </w:del>
    </w:p>
    <w:p>
      <w:pPr>
        <w:pStyle w:val="BlankOpen"/>
        <w:rPr>
          <w:del w:id="1500" w:author="svcMRProcess" w:date="2019-04-15T16:46:00Z"/>
        </w:rPr>
      </w:pPr>
    </w:p>
    <w:p>
      <w:pPr>
        <w:pStyle w:val="nzHeading3"/>
        <w:rPr>
          <w:del w:id="1501" w:author="svcMRProcess" w:date="2019-04-15T16:46:00Z"/>
        </w:rPr>
      </w:pPr>
      <w:bookmarkStart w:id="1502" w:name="_Toc508617497"/>
      <w:bookmarkStart w:id="1503" w:name="_Toc508617555"/>
      <w:bookmarkStart w:id="1504" w:name="_Toc508627733"/>
      <w:bookmarkStart w:id="1505" w:name="_Toc508693990"/>
      <w:bookmarkStart w:id="1506" w:name="_Toc508695463"/>
      <w:bookmarkStart w:id="1507" w:name="_Toc508695984"/>
      <w:bookmarkStart w:id="1508" w:name="_Toc508712641"/>
      <w:bookmarkStart w:id="1509" w:name="_Toc508712808"/>
      <w:bookmarkStart w:id="1510" w:name="_Toc509411275"/>
      <w:bookmarkStart w:id="1511" w:name="_Toc509411333"/>
      <w:bookmarkStart w:id="1512" w:name="_Toc511230147"/>
      <w:bookmarkStart w:id="1513" w:name="_Toc511230784"/>
      <w:bookmarkStart w:id="1514" w:name="_Toc511819841"/>
      <w:bookmarkStart w:id="1515" w:name="_Toc531675254"/>
      <w:bookmarkStart w:id="1516" w:name="_Toc531859780"/>
      <w:bookmarkStart w:id="1517" w:name="_Toc531945366"/>
      <w:bookmarkStart w:id="1518" w:name="_Toc1570353"/>
      <w:bookmarkStart w:id="1519" w:name="_Toc2090053"/>
      <w:bookmarkStart w:id="1520" w:name="_Toc2091415"/>
      <w:bookmarkStart w:id="1521" w:name="_Toc2091963"/>
      <w:bookmarkStart w:id="1522" w:name="_Toc2092026"/>
      <w:bookmarkStart w:id="1523" w:name="_Toc2092147"/>
      <w:del w:id="1524" w:author="svcMRProcess" w:date="2019-04-15T16:46:00Z">
        <w:r>
          <w:delText>Division 2A — Special provisions about terminating tenant’s interest on grounds of family violence</w:delText>
        </w:r>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del>
    </w:p>
    <w:p>
      <w:pPr>
        <w:pStyle w:val="nzHeading5"/>
        <w:rPr>
          <w:del w:id="1525" w:author="svcMRProcess" w:date="2019-04-15T16:46:00Z"/>
        </w:rPr>
      </w:pPr>
      <w:bookmarkStart w:id="1526" w:name="_Toc1570354"/>
      <w:bookmarkStart w:id="1527" w:name="_Toc2090054"/>
      <w:bookmarkStart w:id="1528" w:name="_Toc2092148"/>
      <w:del w:id="1529" w:author="svcMRProcess" w:date="2019-04-15T16:46:00Z">
        <w:r>
          <w:delText>71AA.</w:delText>
        </w:r>
        <w:r>
          <w:tab/>
          <w:delText>Terms used</w:delText>
        </w:r>
        <w:bookmarkEnd w:id="1526"/>
        <w:bookmarkEnd w:id="1527"/>
        <w:bookmarkEnd w:id="1528"/>
      </w:del>
    </w:p>
    <w:p>
      <w:pPr>
        <w:pStyle w:val="nzSubsection"/>
        <w:rPr>
          <w:del w:id="1530" w:author="svcMRProcess" w:date="2019-04-15T16:46:00Z"/>
        </w:rPr>
      </w:pPr>
      <w:del w:id="1531" w:author="svcMRProcess" w:date="2019-04-15T16:46:00Z">
        <w:r>
          <w:tab/>
        </w:r>
        <w:r>
          <w:tab/>
          <w:delText xml:space="preserve">In this Division — </w:delText>
        </w:r>
      </w:del>
    </w:p>
    <w:p>
      <w:pPr>
        <w:pStyle w:val="nzDefstart"/>
        <w:rPr>
          <w:del w:id="1532" w:author="svcMRProcess" w:date="2019-04-15T16:46:00Z"/>
        </w:rPr>
      </w:pPr>
      <w:del w:id="1533" w:author="svcMRProcess" w:date="2019-04-15T16:46:00Z">
        <w:r>
          <w:tab/>
        </w:r>
        <w:r>
          <w:rPr>
            <w:rStyle w:val="CharDefText"/>
          </w:rPr>
          <w:delText>DVO</w:delText>
        </w:r>
        <w:r>
          <w:delText xml:space="preserve"> has the meaning given under the </w:delText>
        </w:r>
        <w:r>
          <w:rPr>
            <w:i/>
          </w:rPr>
          <w:delText>Domestic Violence Orders (National Recognition) Act 2017</w:delText>
        </w:r>
        <w:r>
          <w:delText xml:space="preserve"> section 4(1);</w:delText>
        </w:r>
      </w:del>
    </w:p>
    <w:p>
      <w:pPr>
        <w:pStyle w:val="nzDefstart"/>
        <w:rPr>
          <w:del w:id="1534" w:author="svcMRProcess" w:date="2019-04-15T16:46:00Z"/>
        </w:rPr>
      </w:pPr>
      <w:del w:id="1535" w:author="svcMRProcess" w:date="2019-04-15T16:46:00Z">
        <w:r>
          <w:tab/>
        </w:r>
        <w:r>
          <w:rPr>
            <w:rStyle w:val="CharDefText"/>
          </w:rPr>
          <w:delText>Family Court injunction</w:delText>
        </w:r>
        <w:r>
          <w:delText xml:space="preserve"> means an injunction under the </w:delText>
        </w:r>
        <w:r>
          <w:rPr>
            <w:i/>
          </w:rPr>
          <w:delText>Family Court Act 1997</w:delText>
        </w:r>
        <w:r>
          <w:delText xml:space="preserve"> section 235 or 235A or the </w:delText>
        </w:r>
        <w:r>
          <w:rPr>
            <w:i/>
          </w:rPr>
          <w:delText>Family Law Act 1975</w:delText>
        </w:r>
        <w:r>
          <w:delText xml:space="preserve"> (Commonwealth) section 68B or 114;</w:delText>
        </w:r>
      </w:del>
    </w:p>
    <w:p>
      <w:pPr>
        <w:pStyle w:val="nzDefstart"/>
        <w:rPr>
          <w:del w:id="1536" w:author="svcMRProcess" w:date="2019-04-15T16:46:00Z"/>
        </w:rPr>
      </w:pPr>
      <w:del w:id="1537" w:author="svcMRProcess" w:date="2019-04-15T16:46:00Z">
        <w:r>
          <w:tab/>
        </w:r>
        <w:r>
          <w:rPr>
            <w:rStyle w:val="CharDefText"/>
          </w:rPr>
          <w:delText>premises</w:delText>
        </w:r>
        <w:r>
          <w:delText>, in relation to a residential tenancy agreement, means the residential premises to which the agreement relates.</w:delText>
        </w:r>
      </w:del>
    </w:p>
    <w:p>
      <w:pPr>
        <w:pStyle w:val="nzHeading5"/>
        <w:rPr>
          <w:del w:id="1538" w:author="svcMRProcess" w:date="2019-04-15T16:46:00Z"/>
        </w:rPr>
      </w:pPr>
      <w:bookmarkStart w:id="1539" w:name="_Toc1570355"/>
      <w:bookmarkStart w:id="1540" w:name="_Toc2090055"/>
      <w:bookmarkStart w:id="1541" w:name="_Toc2092149"/>
      <w:del w:id="1542" w:author="svcMRProcess" w:date="2019-04-15T16:46:00Z">
        <w:r>
          <w:delText>71AB.</w:delText>
        </w:r>
        <w:r>
          <w:tab/>
          <w:delText>Notice of termination of tenant’s interest on ground that tenant subject to family violence</w:delText>
        </w:r>
        <w:bookmarkEnd w:id="1539"/>
        <w:bookmarkEnd w:id="1540"/>
        <w:bookmarkEnd w:id="1541"/>
      </w:del>
    </w:p>
    <w:p>
      <w:pPr>
        <w:pStyle w:val="nzSubsection"/>
        <w:rPr>
          <w:del w:id="1543" w:author="svcMRProcess" w:date="2019-04-15T16:46:00Z"/>
        </w:rPr>
      </w:pPr>
      <w:del w:id="1544" w:author="svcMRProcess" w:date="2019-04-15T16:46:00Z">
        <w:r>
          <w:tab/>
          <w:delText>(1)</w:delText>
        </w:r>
        <w:r>
          <w:tab/>
          <w:delText>Despite any other provision of this Act or another written law or a requirement under a contract, a tenant may give to the lessor notice of termination of the tenant’s interest in the residential tenancy agreement on the ground that the tenant or a dependant of the tenant is, during the tenancy period, likely to be subjected or exposed to family violence.</w:delText>
        </w:r>
      </w:del>
    </w:p>
    <w:p>
      <w:pPr>
        <w:pStyle w:val="nzSubsection"/>
        <w:rPr>
          <w:del w:id="1545" w:author="svcMRProcess" w:date="2019-04-15T16:46:00Z"/>
        </w:rPr>
      </w:pPr>
      <w:del w:id="1546" w:author="svcMRProcess" w:date="2019-04-15T16:46:00Z">
        <w:r>
          <w:tab/>
          <w:delText>(2)</w:delText>
        </w:r>
        <w:r>
          <w:tab/>
          <w:delText xml:space="preserve">A notice under this section must be accompanied by a document, applicable during the tenancy period, comprising 1 of the following — </w:delText>
        </w:r>
      </w:del>
    </w:p>
    <w:p>
      <w:pPr>
        <w:pStyle w:val="nzIndenta"/>
        <w:rPr>
          <w:del w:id="1547" w:author="svcMRProcess" w:date="2019-04-15T16:46:00Z"/>
        </w:rPr>
      </w:pPr>
      <w:del w:id="1548" w:author="svcMRProcess" w:date="2019-04-15T16:46:00Z">
        <w:r>
          <w:tab/>
          <w:delText>(a)</w:delText>
        </w:r>
        <w:r>
          <w:tab/>
          <w:delText>a DVO;</w:delText>
        </w:r>
      </w:del>
    </w:p>
    <w:p>
      <w:pPr>
        <w:pStyle w:val="nzIndenta"/>
        <w:rPr>
          <w:del w:id="1549" w:author="svcMRProcess" w:date="2019-04-15T16:46:00Z"/>
        </w:rPr>
      </w:pPr>
      <w:del w:id="1550" w:author="svcMRProcess" w:date="2019-04-15T16:46:00Z">
        <w:r>
          <w:tab/>
          <w:delText>(b)</w:delText>
        </w:r>
        <w:r>
          <w:tab/>
          <w:delText>a Family Court injunction or an application for a Family Court injunction;</w:delText>
        </w:r>
      </w:del>
    </w:p>
    <w:p>
      <w:pPr>
        <w:pStyle w:val="nzIndenta"/>
        <w:rPr>
          <w:del w:id="1551" w:author="svcMRProcess" w:date="2019-04-15T16:46:00Z"/>
        </w:rPr>
      </w:pPr>
      <w:del w:id="1552" w:author="svcMRProcess" w:date="2019-04-15T16:46:00Z">
        <w:r>
          <w:tab/>
          <w:delText>(c)</w:delText>
        </w:r>
        <w:r>
          <w:tab/>
          <w:delText>a copy of a prosecution notice or indictment containing a charge relating to violence against the tenant or a court record of a conviction of the charge;</w:delText>
        </w:r>
      </w:del>
    </w:p>
    <w:p>
      <w:pPr>
        <w:pStyle w:val="nzIndenta"/>
        <w:rPr>
          <w:del w:id="1553" w:author="svcMRProcess" w:date="2019-04-15T16:46:00Z"/>
        </w:rPr>
      </w:pPr>
      <w:del w:id="1554" w:author="svcMRProcess" w:date="2019-04-15T16:46:00Z">
        <w:r>
          <w:tab/>
          <w:delText>(d)</w:delText>
        </w:r>
        <w:r>
          <w:tab/>
          <w:delText>a report of family violence, in a form approved by the Commissioner, completed by a person who has worked with the tenant and is 1 of the following —</w:delText>
        </w:r>
      </w:del>
    </w:p>
    <w:p>
      <w:pPr>
        <w:pStyle w:val="nzIndenti"/>
        <w:rPr>
          <w:del w:id="1555" w:author="svcMRProcess" w:date="2019-04-15T16:46:00Z"/>
        </w:rPr>
      </w:pPr>
      <w:del w:id="1556" w:author="svcMRProcess" w:date="2019-04-15T16:46:00Z">
        <w:r>
          <w:tab/>
          <w:delText>(i)</w:delText>
        </w:r>
        <w:r>
          <w:tab/>
          <w:delText xml:space="preserve">a person registered under the </w:delText>
        </w:r>
        <w:r>
          <w:rPr>
            <w:i/>
          </w:rPr>
          <w:delText>Health Practitioner Regulation National Law (Western Australia)</w:delText>
        </w:r>
        <w:r>
          <w:delText xml:space="preserve"> in the medical profession;</w:delText>
        </w:r>
      </w:del>
    </w:p>
    <w:p>
      <w:pPr>
        <w:pStyle w:val="nzIndenti"/>
        <w:rPr>
          <w:del w:id="1557" w:author="svcMRProcess" w:date="2019-04-15T16:46:00Z"/>
        </w:rPr>
      </w:pPr>
      <w:del w:id="1558" w:author="svcMRProcess" w:date="2019-04-15T16:46:00Z">
        <w:r>
          <w:tab/>
          <w:delText>(ii)</w:delText>
        </w:r>
        <w:r>
          <w:tab/>
          <w:delText xml:space="preserve">a person registered under the </w:delText>
        </w:r>
        <w:r>
          <w:rPr>
            <w:i/>
          </w:rPr>
          <w:delText>Health Practitioner Regulation National Law (Western Australia)</w:delText>
        </w:r>
        <w:r>
          <w:delText xml:space="preserve"> in the psychology profession;</w:delText>
        </w:r>
      </w:del>
    </w:p>
    <w:p>
      <w:pPr>
        <w:pStyle w:val="nzIndenti"/>
        <w:rPr>
          <w:del w:id="1559" w:author="svcMRProcess" w:date="2019-04-15T16:46:00Z"/>
        </w:rPr>
      </w:pPr>
      <w:del w:id="1560" w:author="svcMRProcess" w:date="2019-04-15T16:46:00Z">
        <w:r>
          <w:tab/>
          <w:delText>(iii)</w:delText>
        </w:r>
        <w:r>
          <w:tab/>
          <w:delText xml:space="preserve">a social worker as defined in the </w:delText>
        </w:r>
        <w:r>
          <w:rPr>
            <w:i/>
          </w:rPr>
          <w:delText>Mental Health Act 2014</w:delText>
        </w:r>
        <w:r>
          <w:delText xml:space="preserve"> section 4;</w:delText>
        </w:r>
      </w:del>
    </w:p>
    <w:p>
      <w:pPr>
        <w:pStyle w:val="nzIndenti"/>
        <w:rPr>
          <w:del w:id="1561" w:author="svcMRProcess" w:date="2019-04-15T16:46:00Z"/>
        </w:rPr>
      </w:pPr>
      <w:del w:id="1562" w:author="svcMRProcess" w:date="2019-04-15T16:46:00Z">
        <w:r>
          <w:tab/>
          <w:delText>(iv)</w:delText>
        </w:r>
        <w:r>
          <w:tab/>
          <w:delText>a police officer;</w:delText>
        </w:r>
      </w:del>
    </w:p>
    <w:p>
      <w:pPr>
        <w:pStyle w:val="nzIndenti"/>
        <w:rPr>
          <w:del w:id="1563" w:author="svcMRProcess" w:date="2019-04-15T16:46:00Z"/>
        </w:rPr>
      </w:pPr>
      <w:del w:id="1564" w:author="svcMRProcess" w:date="2019-04-15T16:46:00Z">
        <w:r>
          <w:tab/>
          <w:delText>(v)</w:delText>
        </w:r>
        <w:r>
          <w:tab/>
          <w:delText>a person in charge of a women’s refuge;</w:delText>
        </w:r>
      </w:del>
    </w:p>
    <w:p>
      <w:pPr>
        <w:pStyle w:val="nzIndenti"/>
        <w:rPr>
          <w:del w:id="1565" w:author="svcMRProcess" w:date="2019-04-15T16:46:00Z"/>
        </w:rPr>
      </w:pPr>
      <w:del w:id="1566" w:author="svcMRProcess" w:date="2019-04-15T16:46:00Z">
        <w:r>
          <w:tab/>
          <w:delText>(vi)</w:delText>
        </w:r>
        <w:r>
          <w:tab/>
          <w:delText>a prescribed person or class of persons.</w:delText>
        </w:r>
      </w:del>
    </w:p>
    <w:p>
      <w:pPr>
        <w:pStyle w:val="nzSubsection"/>
        <w:rPr>
          <w:del w:id="1567" w:author="svcMRProcess" w:date="2019-04-15T16:46:00Z"/>
        </w:rPr>
      </w:pPr>
      <w:del w:id="1568" w:author="svcMRProcess" w:date="2019-04-15T16:46:00Z">
        <w:r>
          <w:tab/>
          <w:delText>(3)</w:delText>
        </w:r>
        <w:r>
          <w:tab/>
          <w:delText>The lessor must not disclose information in a document provided to the lessor under subsection (2) to another person except in accordance with this Act or another written law.</w:delText>
        </w:r>
      </w:del>
    </w:p>
    <w:p>
      <w:pPr>
        <w:pStyle w:val="nzPenstart"/>
        <w:rPr>
          <w:del w:id="1569" w:author="svcMRProcess" w:date="2019-04-15T16:46:00Z"/>
        </w:rPr>
      </w:pPr>
      <w:del w:id="1570" w:author="svcMRProcess" w:date="2019-04-15T16:46:00Z">
        <w:r>
          <w:tab/>
          <w:delText>Penalty for this subsection: a fine of $5 000.</w:delText>
        </w:r>
      </w:del>
    </w:p>
    <w:p>
      <w:pPr>
        <w:pStyle w:val="nzSubsection"/>
        <w:rPr>
          <w:del w:id="1571" w:author="svcMRProcess" w:date="2019-04-15T16:46:00Z"/>
        </w:rPr>
      </w:pPr>
      <w:del w:id="1572" w:author="svcMRProcess" w:date="2019-04-15T16:46:00Z">
        <w:r>
          <w:tab/>
          <w:delText>(4)</w:delText>
        </w:r>
        <w:r>
          <w:tab/>
          <w:delText>The lessor must ensure that information provided to the lessor under subsection (2) is kept in a secure manner so far as it is reasonably practicable to do so.</w:delText>
        </w:r>
      </w:del>
    </w:p>
    <w:p>
      <w:pPr>
        <w:pStyle w:val="nzPenstart"/>
        <w:rPr>
          <w:del w:id="1573" w:author="svcMRProcess" w:date="2019-04-15T16:46:00Z"/>
        </w:rPr>
      </w:pPr>
      <w:del w:id="1574" w:author="svcMRProcess" w:date="2019-04-15T16:46:00Z">
        <w:r>
          <w:tab/>
          <w:delText>Penalty for this subsection: a fine of $5 000.</w:delText>
        </w:r>
      </w:del>
    </w:p>
    <w:p>
      <w:pPr>
        <w:pStyle w:val="nzSubsection"/>
        <w:rPr>
          <w:del w:id="1575" w:author="svcMRProcess" w:date="2019-04-15T16:46:00Z"/>
        </w:rPr>
      </w:pPr>
      <w:del w:id="1576" w:author="svcMRProcess" w:date="2019-04-15T16:46:00Z">
        <w:r>
          <w:tab/>
          <w:delText>(5)</w:delText>
        </w:r>
        <w:r>
          <w:tab/>
          <w:delText>If a tenant gives notice under this section, the period of notice must be not less than 7 days before the termination day.</w:delText>
        </w:r>
      </w:del>
    </w:p>
    <w:p>
      <w:pPr>
        <w:pStyle w:val="nzHeading5"/>
        <w:rPr>
          <w:del w:id="1577" w:author="svcMRProcess" w:date="2019-04-15T16:46:00Z"/>
        </w:rPr>
      </w:pPr>
      <w:bookmarkStart w:id="1578" w:name="_Toc1570356"/>
      <w:bookmarkStart w:id="1579" w:name="_Toc2090056"/>
      <w:bookmarkStart w:id="1580" w:name="_Toc2092150"/>
      <w:del w:id="1581" w:author="svcMRProcess" w:date="2019-04-15T16:46:00Z">
        <w:r>
          <w:delText>71AC.</w:delText>
        </w:r>
        <w:r>
          <w:tab/>
          <w:delText>Review of notice of termination under s. 71AB</w:delText>
        </w:r>
        <w:bookmarkEnd w:id="1578"/>
        <w:bookmarkEnd w:id="1579"/>
        <w:bookmarkEnd w:id="1580"/>
      </w:del>
    </w:p>
    <w:p>
      <w:pPr>
        <w:pStyle w:val="nzSubsection"/>
        <w:rPr>
          <w:del w:id="1582" w:author="svcMRProcess" w:date="2019-04-15T16:46:00Z"/>
        </w:rPr>
      </w:pPr>
      <w:del w:id="1583" w:author="svcMRProcess" w:date="2019-04-15T16:46:00Z">
        <w:r>
          <w:tab/>
          <w:delText>(1)</w:delText>
        </w:r>
        <w:r>
          <w:tab/>
          <w:delText xml:space="preserve">In this section — </w:delText>
        </w:r>
      </w:del>
    </w:p>
    <w:p>
      <w:pPr>
        <w:pStyle w:val="nzDefstart"/>
        <w:rPr>
          <w:del w:id="1584" w:author="svcMRProcess" w:date="2019-04-15T16:46:00Z"/>
        </w:rPr>
      </w:pPr>
      <w:del w:id="1585" w:author="svcMRProcess" w:date="2019-04-15T16:46:00Z">
        <w:r>
          <w:tab/>
        </w:r>
        <w:r>
          <w:rPr>
            <w:rStyle w:val="CharDefText"/>
          </w:rPr>
          <w:delText>terminating tenant</w:delText>
        </w:r>
        <w:r>
          <w:delText xml:space="preserve"> means a tenant who has given, or purportedly given, notice of termination under section 71AB.</w:delText>
        </w:r>
      </w:del>
    </w:p>
    <w:p>
      <w:pPr>
        <w:pStyle w:val="nzSubsection"/>
        <w:rPr>
          <w:del w:id="1586" w:author="svcMRProcess" w:date="2019-04-15T16:46:00Z"/>
        </w:rPr>
      </w:pPr>
      <w:del w:id="1587" w:author="svcMRProcess" w:date="2019-04-15T16:46:00Z">
        <w:r>
          <w:tab/>
          <w:delText>(2)</w:delText>
        </w:r>
        <w:r>
          <w:tab/>
          <w:delText>A lessor may, within 7 days after receiving a notice under section 71AB, apply to a competent court to review whether notice was validly given under that section.</w:delText>
        </w:r>
      </w:del>
    </w:p>
    <w:p>
      <w:pPr>
        <w:pStyle w:val="nzSubsection"/>
        <w:rPr>
          <w:del w:id="1588" w:author="svcMRProcess" w:date="2019-04-15T16:46:00Z"/>
        </w:rPr>
      </w:pPr>
      <w:del w:id="1589" w:author="svcMRProcess" w:date="2019-04-15T16:46:00Z">
        <w:r>
          <w:tab/>
          <w:delText>(3)</w:delText>
        </w:r>
        <w:r>
          <w:tab/>
          <w:delText xml:space="preserve">In its review, the court — </w:delText>
        </w:r>
      </w:del>
    </w:p>
    <w:p>
      <w:pPr>
        <w:pStyle w:val="nzIndenta"/>
        <w:rPr>
          <w:del w:id="1590" w:author="svcMRProcess" w:date="2019-04-15T16:46:00Z"/>
        </w:rPr>
      </w:pPr>
      <w:del w:id="1591" w:author="svcMRProcess" w:date="2019-04-15T16:46:00Z">
        <w:r>
          <w:tab/>
          <w:delText>(a)</w:delText>
        </w:r>
        <w:r>
          <w:tab/>
          <w:delText>must examine whether the terminating tenant has complied with section 71AB in giving the notice; and</w:delText>
        </w:r>
      </w:del>
    </w:p>
    <w:p>
      <w:pPr>
        <w:pStyle w:val="nzIndenta"/>
        <w:rPr>
          <w:del w:id="1592" w:author="svcMRProcess" w:date="2019-04-15T16:46:00Z"/>
        </w:rPr>
      </w:pPr>
      <w:del w:id="1593" w:author="svcMRProcess" w:date="2019-04-15T16:46:00Z">
        <w:r>
          <w:tab/>
          <w:delText>(b)</w:delText>
        </w:r>
        <w:r>
          <w:tab/>
          <w:delText>cannot examine whether the terminating tenant, or a dependant of the tenant, has been or might be subject to family violence.</w:delText>
        </w:r>
      </w:del>
    </w:p>
    <w:p>
      <w:pPr>
        <w:pStyle w:val="nzSubsection"/>
        <w:rPr>
          <w:del w:id="1594" w:author="svcMRProcess" w:date="2019-04-15T16:46:00Z"/>
        </w:rPr>
      </w:pPr>
      <w:del w:id="1595" w:author="svcMRProcess" w:date="2019-04-15T16:46:00Z">
        <w:r>
          <w:tab/>
          <w:delText>(4)</w:delText>
        </w:r>
        <w:r>
          <w:tab/>
          <w:delText>If the court finds that notice was not validly given under section 71AB, the court must make an order declaring that the terminating tenant’s interest in the residential tenancy agreement has not been terminated, otherwise the court must dismiss the application.</w:delText>
        </w:r>
      </w:del>
    </w:p>
    <w:p>
      <w:pPr>
        <w:pStyle w:val="nzHeading5"/>
        <w:rPr>
          <w:del w:id="1596" w:author="svcMRProcess" w:date="2019-04-15T16:46:00Z"/>
        </w:rPr>
      </w:pPr>
      <w:bookmarkStart w:id="1597" w:name="_Toc1570357"/>
      <w:bookmarkStart w:id="1598" w:name="_Toc2090057"/>
      <w:bookmarkStart w:id="1599" w:name="_Toc2092151"/>
      <w:del w:id="1600" w:author="svcMRProcess" w:date="2019-04-15T16:46:00Z">
        <w:r>
          <w:delText>71AD.</w:delText>
        </w:r>
        <w:r>
          <w:tab/>
          <w:delText>Rights of co</w:delText>
        </w:r>
        <w:r>
          <w:noBreakHyphen/>
          <w:delText>tenants after notice under s. 71AB</w:delText>
        </w:r>
        <w:bookmarkEnd w:id="1597"/>
        <w:bookmarkEnd w:id="1598"/>
        <w:bookmarkEnd w:id="1599"/>
      </w:del>
    </w:p>
    <w:p>
      <w:pPr>
        <w:pStyle w:val="nzSubsection"/>
        <w:rPr>
          <w:del w:id="1601" w:author="svcMRProcess" w:date="2019-04-15T16:46:00Z"/>
        </w:rPr>
      </w:pPr>
      <w:del w:id="1602" w:author="svcMRProcess" w:date="2019-04-15T16:46:00Z">
        <w:r>
          <w:tab/>
          <w:delText>(1)</w:delText>
        </w:r>
        <w:r>
          <w:tab/>
          <w:delText xml:space="preserve">In this section — </w:delText>
        </w:r>
      </w:del>
    </w:p>
    <w:p>
      <w:pPr>
        <w:pStyle w:val="nzDefstart"/>
        <w:rPr>
          <w:del w:id="1603" w:author="svcMRProcess" w:date="2019-04-15T16:46:00Z"/>
        </w:rPr>
      </w:pPr>
      <w:del w:id="1604" w:author="svcMRProcess" w:date="2019-04-15T16:46:00Z">
        <w:r>
          <w:tab/>
        </w:r>
        <w:r>
          <w:rPr>
            <w:rStyle w:val="CharDefText"/>
          </w:rPr>
          <w:delText>co</w:delText>
        </w:r>
        <w:r>
          <w:rPr>
            <w:rStyle w:val="CharDefText"/>
          </w:rPr>
          <w:noBreakHyphen/>
          <w:delText>tenant</w:delText>
        </w:r>
        <w:r>
          <w:delText>, in relation to a notice under section 71AB(1), does not include the tenant who gave the notice.</w:delText>
        </w:r>
      </w:del>
    </w:p>
    <w:p>
      <w:pPr>
        <w:pStyle w:val="nzSubsection"/>
        <w:rPr>
          <w:del w:id="1605" w:author="svcMRProcess" w:date="2019-04-15T16:46:00Z"/>
        </w:rPr>
      </w:pPr>
      <w:del w:id="1606" w:author="svcMRProcess" w:date="2019-04-15T16:46:00Z">
        <w:r>
          <w:tab/>
          <w:delText>(2)</w:delText>
        </w:r>
        <w:r>
          <w:tab/>
          <w:delText>A lessor must give a copy of a notice received by the lessor under section 71AB(1) to each co</w:delText>
        </w:r>
        <w:r>
          <w:noBreakHyphen/>
          <w:delText>tenant under the residential tenancy agreement within 7 days after receiving the notice.</w:delText>
        </w:r>
      </w:del>
    </w:p>
    <w:p>
      <w:pPr>
        <w:pStyle w:val="nzSubsection"/>
        <w:rPr>
          <w:del w:id="1607" w:author="svcMRProcess" w:date="2019-04-15T16:46:00Z"/>
        </w:rPr>
      </w:pPr>
      <w:del w:id="1608" w:author="svcMRProcess" w:date="2019-04-15T16:46:00Z">
        <w:r>
          <w:tab/>
          <w:delText>(3)</w:delText>
        </w:r>
        <w:r>
          <w:tab/>
          <w:delText>Nothing in subsection (2) requires or permits the lessor to give a copy of a document provided under section 71AB(2) to a co</w:delText>
        </w:r>
        <w:r>
          <w:noBreakHyphen/>
          <w:delText>tenant.</w:delText>
        </w:r>
      </w:del>
    </w:p>
    <w:p>
      <w:pPr>
        <w:pStyle w:val="nzSubsection"/>
        <w:rPr>
          <w:del w:id="1609" w:author="svcMRProcess" w:date="2019-04-15T16:46:00Z"/>
        </w:rPr>
      </w:pPr>
      <w:del w:id="1610" w:author="svcMRProcess" w:date="2019-04-15T16:46:00Z">
        <w:r>
          <w:tab/>
          <w:delText>(4)</w:delText>
        </w:r>
        <w:r>
          <w:tab/>
          <w:delText>The co</w:delText>
        </w:r>
        <w:r>
          <w:noBreakHyphen/>
          <w:delText>tenant may, within 7 days after receiving the copy of the notice, give notice of termination of the co</w:delText>
        </w:r>
        <w:r>
          <w:noBreakHyphen/>
          <w:delText>tenant’s interest in the residential tenancy agreement to the lessor.</w:delText>
        </w:r>
      </w:del>
    </w:p>
    <w:p>
      <w:pPr>
        <w:pStyle w:val="nzSubsection"/>
        <w:rPr>
          <w:del w:id="1611" w:author="svcMRProcess" w:date="2019-04-15T16:46:00Z"/>
        </w:rPr>
      </w:pPr>
      <w:del w:id="1612" w:author="svcMRProcess" w:date="2019-04-15T16:46:00Z">
        <w:r>
          <w:tab/>
          <w:delText>(5)</w:delText>
        </w:r>
        <w:r>
          <w:tab/>
          <w:delText>If a co</w:delText>
        </w:r>
        <w:r>
          <w:noBreakHyphen/>
          <w:delText>tenant gives notice of termination under subsection (4), the period of notice must be not less than 21 days before the termination day.</w:delText>
        </w:r>
      </w:del>
    </w:p>
    <w:p>
      <w:pPr>
        <w:pStyle w:val="nzHeading5"/>
        <w:rPr>
          <w:del w:id="1613" w:author="svcMRProcess" w:date="2019-04-15T16:46:00Z"/>
        </w:rPr>
      </w:pPr>
      <w:bookmarkStart w:id="1614" w:name="_Toc1570358"/>
      <w:bookmarkStart w:id="1615" w:name="_Toc2090058"/>
      <w:bookmarkStart w:id="1616" w:name="_Toc2092152"/>
      <w:del w:id="1617" w:author="svcMRProcess" w:date="2019-04-15T16:46:00Z">
        <w:r>
          <w:delText>71AE.</w:delText>
        </w:r>
        <w:r>
          <w:tab/>
          <w:delText>Termination of tenant’s interest by court on grounds of family violence</w:delText>
        </w:r>
        <w:bookmarkEnd w:id="1614"/>
        <w:bookmarkEnd w:id="1615"/>
        <w:bookmarkEnd w:id="1616"/>
      </w:del>
    </w:p>
    <w:p>
      <w:pPr>
        <w:pStyle w:val="nzSubsection"/>
        <w:rPr>
          <w:del w:id="1618" w:author="svcMRProcess" w:date="2019-04-15T16:46:00Z"/>
        </w:rPr>
      </w:pPr>
      <w:del w:id="1619" w:author="svcMRProcess" w:date="2019-04-15T16:46:00Z">
        <w:r>
          <w:tab/>
          <w:delText>(1)</w:delText>
        </w:r>
        <w:r>
          <w:tab/>
          <w:delText xml:space="preserve">In this section — </w:delText>
        </w:r>
      </w:del>
    </w:p>
    <w:p>
      <w:pPr>
        <w:pStyle w:val="nzDefstart"/>
        <w:rPr>
          <w:del w:id="1620" w:author="svcMRProcess" w:date="2019-04-15T16:46:00Z"/>
        </w:rPr>
      </w:pPr>
      <w:del w:id="1621" w:author="svcMRProcess" w:date="2019-04-15T16:46:00Z">
        <w:r>
          <w:tab/>
        </w:r>
        <w:r>
          <w:rPr>
            <w:rStyle w:val="CharDefText"/>
          </w:rPr>
          <w:delText>excluded tenant</w:delText>
        </w:r>
        <w:r>
          <w:delText xml:space="preserve"> means a tenant against whom an order is sought or made under subsection (2);</w:delText>
        </w:r>
      </w:del>
    </w:p>
    <w:p>
      <w:pPr>
        <w:pStyle w:val="nzDefstart"/>
        <w:rPr>
          <w:del w:id="1622" w:author="svcMRProcess" w:date="2019-04-15T16:46:00Z"/>
        </w:rPr>
      </w:pPr>
      <w:del w:id="1623" w:author="svcMRProcess" w:date="2019-04-15T16:46:00Z">
        <w:r>
          <w:tab/>
        </w:r>
        <w:r>
          <w:rPr>
            <w:rStyle w:val="CharDefText"/>
          </w:rPr>
          <w:delText>family violence order</w:delText>
        </w:r>
        <w:r>
          <w:delText xml:space="preserve"> means a DVO, Family Court injunction or other court order denying a tenant’s right of occupancy in premises under a residential tenancy agreement;</w:delText>
        </w:r>
      </w:del>
    </w:p>
    <w:p>
      <w:pPr>
        <w:pStyle w:val="nzDefstart"/>
        <w:rPr>
          <w:del w:id="1624" w:author="svcMRProcess" w:date="2019-04-15T16:46:00Z"/>
        </w:rPr>
      </w:pPr>
      <w:del w:id="1625" w:author="svcMRProcess" w:date="2019-04-15T16:46:00Z">
        <w:r>
          <w:tab/>
        </w:r>
        <w:r>
          <w:rPr>
            <w:rStyle w:val="CharDefText"/>
          </w:rPr>
          <w:delText>protected tenant</w:delText>
        </w:r>
        <w:r>
          <w:delText xml:space="preserve"> means a tenant for whose benefit an order is sought or made under subsection (2).</w:delText>
        </w:r>
      </w:del>
    </w:p>
    <w:p>
      <w:pPr>
        <w:pStyle w:val="nzSubsection"/>
        <w:rPr>
          <w:del w:id="1626" w:author="svcMRProcess" w:date="2019-04-15T16:46:00Z"/>
        </w:rPr>
      </w:pPr>
      <w:del w:id="1627" w:author="svcMRProcess" w:date="2019-04-15T16:46:00Z">
        <w:r>
          <w:tab/>
          <w:delText>(2)</w:delText>
        </w:r>
        <w:r>
          <w:tab/>
          <w:delText xml:space="preserve">Despite any other provision of this Act or another written law, or a requirement under a contract, a court may make an order terminating a tenant’s interest in a residential tenancy agreement if it is satisfied — </w:delText>
        </w:r>
      </w:del>
    </w:p>
    <w:p>
      <w:pPr>
        <w:pStyle w:val="nzIndenta"/>
        <w:rPr>
          <w:del w:id="1628" w:author="svcMRProcess" w:date="2019-04-15T16:46:00Z"/>
        </w:rPr>
      </w:pPr>
      <w:del w:id="1629" w:author="svcMRProcess" w:date="2019-04-15T16:46:00Z">
        <w:r>
          <w:tab/>
          <w:delText>(a)</w:delText>
        </w:r>
        <w:r>
          <w:tab/>
          <w:delText>that a family violence order is in force against the excluded tenant; or</w:delText>
        </w:r>
      </w:del>
    </w:p>
    <w:p>
      <w:pPr>
        <w:pStyle w:val="nzIndenta"/>
        <w:rPr>
          <w:del w:id="1630" w:author="svcMRProcess" w:date="2019-04-15T16:46:00Z"/>
        </w:rPr>
      </w:pPr>
      <w:del w:id="1631" w:author="svcMRProcess" w:date="2019-04-15T16:46:00Z">
        <w:r>
          <w:tab/>
          <w:delText>(b)</w:delText>
        </w:r>
        <w:r>
          <w:tab/>
          <w:delText>that the excluded tenant has, during the tenancy period, committed family violence against the protected tenant or a dependant of the protected tenant.</w:delText>
        </w:r>
      </w:del>
    </w:p>
    <w:p>
      <w:pPr>
        <w:pStyle w:val="nzSubsection"/>
        <w:rPr>
          <w:del w:id="1632" w:author="svcMRProcess" w:date="2019-04-15T16:46:00Z"/>
        </w:rPr>
      </w:pPr>
      <w:del w:id="1633" w:author="svcMRProcess" w:date="2019-04-15T16:46:00Z">
        <w:r>
          <w:tab/>
          <w:delText>(3)</w:delText>
        </w:r>
        <w:r>
          <w:tab/>
          <w:delText xml:space="preserve">The court may make the order on an application by any of the following — </w:delText>
        </w:r>
      </w:del>
    </w:p>
    <w:p>
      <w:pPr>
        <w:pStyle w:val="nzIndenta"/>
        <w:rPr>
          <w:del w:id="1634" w:author="svcMRProcess" w:date="2019-04-15T16:46:00Z"/>
        </w:rPr>
      </w:pPr>
      <w:del w:id="1635" w:author="svcMRProcess" w:date="2019-04-15T16:46:00Z">
        <w:r>
          <w:tab/>
          <w:delText>(a)</w:delText>
        </w:r>
        <w:r>
          <w:tab/>
          <w:delText>the excluded tenant;</w:delText>
        </w:r>
      </w:del>
    </w:p>
    <w:p>
      <w:pPr>
        <w:pStyle w:val="nzIndenta"/>
        <w:rPr>
          <w:del w:id="1636" w:author="svcMRProcess" w:date="2019-04-15T16:46:00Z"/>
        </w:rPr>
      </w:pPr>
      <w:del w:id="1637" w:author="svcMRProcess" w:date="2019-04-15T16:46:00Z">
        <w:r>
          <w:tab/>
          <w:delText>(b)</w:delText>
        </w:r>
        <w:r>
          <w:tab/>
          <w:delText>a protected tenant;</w:delText>
        </w:r>
      </w:del>
    </w:p>
    <w:p>
      <w:pPr>
        <w:pStyle w:val="nzIndenta"/>
        <w:rPr>
          <w:del w:id="1638" w:author="svcMRProcess" w:date="2019-04-15T16:46:00Z"/>
        </w:rPr>
      </w:pPr>
      <w:del w:id="1639" w:author="svcMRProcess" w:date="2019-04-15T16:46:00Z">
        <w:r>
          <w:tab/>
          <w:delText>(c)</w:delText>
        </w:r>
        <w:r>
          <w:tab/>
          <w:delText>a prescribed person acting on behalf of the protected tenant.</w:delText>
        </w:r>
      </w:del>
    </w:p>
    <w:p>
      <w:pPr>
        <w:pStyle w:val="nzSubsection"/>
        <w:rPr>
          <w:del w:id="1640" w:author="svcMRProcess" w:date="2019-04-15T16:46:00Z"/>
        </w:rPr>
      </w:pPr>
      <w:del w:id="1641" w:author="svcMRProcess" w:date="2019-04-15T16:46:00Z">
        <w:r>
          <w:tab/>
          <w:delText>(4)</w:delText>
        </w:r>
        <w:r>
          <w:tab/>
          <w:delText xml:space="preserve">Before making the order the court must consider the following matters — </w:delText>
        </w:r>
      </w:del>
    </w:p>
    <w:p>
      <w:pPr>
        <w:pStyle w:val="nzIndenta"/>
        <w:rPr>
          <w:del w:id="1642" w:author="svcMRProcess" w:date="2019-04-15T16:46:00Z"/>
        </w:rPr>
      </w:pPr>
      <w:del w:id="1643" w:author="svcMRProcess" w:date="2019-04-15T16:46:00Z">
        <w:r>
          <w:tab/>
          <w:delText>(a)</w:delText>
        </w:r>
        <w:r>
          <w:tab/>
          <w:delText>the best interests of any child ordinarily resident at the premises;</w:delText>
        </w:r>
      </w:del>
    </w:p>
    <w:p>
      <w:pPr>
        <w:pStyle w:val="nzIndenta"/>
        <w:rPr>
          <w:del w:id="1644" w:author="svcMRProcess" w:date="2019-04-15T16:46:00Z"/>
        </w:rPr>
      </w:pPr>
      <w:del w:id="1645" w:author="svcMRProcess" w:date="2019-04-15T16:46:00Z">
        <w:r>
          <w:tab/>
          <w:delText>(b)</w:delText>
        </w:r>
        <w:r>
          <w:tab/>
          <w:delText>the best interests of the protected tenant, including, if the premises under the residential tenancy agreement are social housing premises, the ability of the tenant to meet any eligibility criteria for those premises;</w:delText>
        </w:r>
      </w:del>
    </w:p>
    <w:p>
      <w:pPr>
        <w:pStyle w:val="nzIndenta"/>
        <w:rPr>
          <w:del w:id="1646" w:author="svcMRProcess" w:date="2019-04-15T16:46:00Z"/>
        </w:rPr>
      </w:pPr>
      <w:del w:id="1647" w:author="svcMRProcess" w:date="2019-04-15T16:46:00Z">
        <w:r>
          <w:tab/>
          <w:delText>(c)</w:delText>
        </w:r>
        <w:r>
          <w:tab/>
          <w:delText>the effect the order might have on the lessor and any tenants other than the protected tenant;</w:delText>
        </w:r>
      </w:del>
    </w:p>
    <w:p>
      <w:pPr>
        <w:pStyle w:val="nzIndenta"/>
        <w:rPr>
          <w:del w:id="1648" w:author="svcMRProcess" w:date="2019-04-15T16:46:00Z"/>
        </w:rPr>
      </w:pPr>
      <w:del w:id="1649" w:author="svcMRProcess" w:date="2019-04-15T16:46:00Z">
        <w:r>
          <w:tab/>
          <w:delText>(d)</w:delText>
        </w:r>
        <w:r>
          <w:tab/>
          <w:delText>the effect the order might have on any pets kept on the premises;</w:delText>
        </w:r>
      </w:del>
    </w:p>
    <w:p>
      <w:pPr>
        <w:pStyle w:val="nzIndenta"/>
        <w:rPr>
          <w:del w:id="1650" w:author="svcMRProcess" w:date="2019-04-15T16:46:00Z"/>
        </w:rPr>
      </w:pPr>
      <w:del w:id="1651" w:author="svcMRProcess" w:date="2019-04-15T16:46:00Z">
        <w:r>
          <w:tab/>
          <w:delText>(e)</w:delText>
        </w:r>
        <w:r>
          <w:tab/>
          <w:delText>the fact that perpetrators of family violence might seek to misuse the protections offered to tenants and lessors under this Act to further their violence and the need to prevent that misuse.</w:delText>
        </w:r>
      </w:del>
    </w:p>
    <w:p>
      <w:pPr>
        <w:pStyle w:val="nzSubsection"/>
        <w:rPr>
          <w:del w:id="1652" w:author="svcMRProcess" w:date="2019-04-15T16:46:00Z"/>
        </w:rPr>
      </w:pPr>
      <w:del w:id="1653" w:author="svcMRProcess" w:date="2019-04-15T16:46:00Z">
        <w:r>
          <w:tab/>
          <w:delText>(5)</w:delText>
        </w:r>
        <w:r>
          <w:tab/>
          <w:delText>The court is to have regard to the matter set out in subsection (4)(a) as being of primary importance.</w:delText>
        </w:r>
      </w:del>
    </w:p>
    <w:p>
      <w:pPr>
        <w:pStyle w:val="nzSubsection"/>
        <w:rPr>
          <w:del w:id="1654" w:author="svcMRProcess" w:date="2019-04-15T16:46:00Z"/>
        </w:rPr>
      </w:pPr>
      <w:del w:id="1655" w:author="svcMRProcess" w:date="2019-04-15T16:46:00Z">
        <w:r>
          <w:tab/>
          <w:delText>(6)</w:delText>
        </w:r>
        <w:r>
          <w:tab/>
          <w:delText>The order takes effect on a day specified in the order, being a day that is not less than 7 days and not more than 30 days after the order is made.</w:delText>
        </w:r>
      </w:del>
    </w:p>
    <w:p>
      <w:pPr>
        <w:pStyle w:val="nzSubsection"/>
        <w:rPr>
          <w:del w:id="1656" w:author="svcMRProcess" w:date="2019-04-15T16:46:00Z"/>
        </w:rPr>
      </w:pPr>
      <w:del w:id="1657" w:author="svcMRProcess" w:date="2019-04-15T16:46:00Z">
        <w:r>
          <w:tab/>
          <w:delText>(7)</w:delText>
        </w:r>
        <w:r>
          <w:tab/>
          <w:delText>The court may make the order in proceedings under this Act or the Act under which the family violence order is made.</w:delText>
        </w:r>
      </w:del>
    </w:p>
    <w:p>
      <w:pPr>
        <w:pStyle w:val="nzHeading5"/>
        <w:rPr>
          <w:del w:id="1658" w:author="svcMRProcess" w:date="2019-04-15T16:46:00Z"/>
        </w:rPr>
      </w:pPr>
      <w:bookmarkStart w:id="1659" w:name="_Toc1570359"/>
      <w:bookmarkStart w:id="1660" w:name="_Toc2090059"/>
      <w:bookmarkStart w:id="1661" w:name="_Toc2092153"/>
      <w:del w:id="1662" w:author="svcMRProcess" w:date="2019-04-15T16:46:00Z">
        <w:r>
          <w:delText>71AF.</w:delText>
        </w:r>
        <w:r>
          <w:tab/>
          <w:delText>Review of Division</w:delText>
        </w:r>
        <w:bookmarkEnd w:id="1659"/>
        <w:bookmarkEnd w:id="1660"/>
        <w:bookmarkEnd w:id="1661"/>
      </w:del>
    </w:p>
    <w:p>
      <w:pPr>
        <w:pStyle w:val="nzSubsection"/>
        <w:rPr>
          <w:del w:id="1663" w:author="svcMRProcess" w:date="2019-04-15T16:46:00Z"/>
        </w:rPr>
      </w:pPr>
      <w:del w:id="1664" w:author="svcMRProcess" w:date="2019-04-15T16:46:00Z">
        <w:r>
          <w:tab/>
          <w:delText>(1)</w:delText>
        </w:r>
        <w:r>
          <w:tab/>
          <w:delText>The Minister must carry out a review of the operation and effectiveness of this Division, and prepare a report based on the review, as soon as practicable after the 3</w:delText>
        </w:r>
        <w:r>
          <w:rPr>
            <w:vertAlign w:val="superscript"/>
          </w:rPr>
          <w:delText>rd</w:delText>
        </w:r>
        <w:r>
          <w:delText> anniversary of the day on which this Division comes into operation.</w:delText>
        </w:r>
      </w:del>
    </w:p>
    <w:p>
      <w:pPr>
        <w:pStyle w:val="nzSubsection"/>
        <w:rPr>
          <w:del w:id="1665" w:author="svcMRProcess" w:date="2019-04-15T16:46:00Z"/>
        </w:rPr>
      </w:pPr>
      <w:del w:id="1666" w:author="svcMRProcess" w:date="2019-04-15T16:46:00Z">
        <w:r>
          <w:tab/>
          <w:delText>(2)</w:delText>
        </w:r>
        <w:r>
          <w:tab/>
          <w:delText xml:space="preserve">Without limiting the scope of the review, the review must address the following — </w:delText>
        </w:r>
      </w:del>
    </w:p>
    <w:p>
      <w:pPr>
        <w:pStyle w:val="nzIndenta"/>
        <w:rPr>
          <w:del w:id="1667" w:author="svcMRProcess" w:date="2019-04-15T16:46:00Z"/>
        </w:rPr>
      </w:pPr>
      <w:del w:id="1668" w:author="svcMRProcess" w:date="2019-04-15T16:46:00Z">
        <w:r>
          <w:tab/>
          <w:delText>(a)</w:delText>
        </w:r>
        <w:r>
          <w:tab/>
          <w:delText>the effect of this Division on lessors’ rights to recover debts owed by tenants;</w:delText>
        </w:r>
      </w:del>
    </w:p>
    <w:p>
      <w:pPr>
        <w:pStyle w:val="nzIndenta"/>
        <w:rPr>
          <w:del w:id="1669" w:author="svcMRProcess" w:date="2019-04-15T16:46:00Z"/>
        </w:rPr>
      </w:pPr>
      <w:del w:id="1670" w:author="svcMRProcess" w:date="2019-04-15T16:46:00Z">
        <w:r>
          <w:tab/>
          <w:delText>(b)</w:delText>
        </w:r>
        <w:r>
          <w:tab/>
          <w:delText>the effect of this Division on lessors’ insurance policies;</w:delText>
        </w:r>
      </w:del>
    </w:p>
    <w:p>
      <w:pPr>
        <w:pStyle w:val="nzIndenta"/>
        <w:rPr>
          <w:del w:id="1671" w:author="svcMRProcess" w:date="2019-04-15T16:46:00Z"/>
        </w:rPr>
      </w:pPr>
      <w:del w:id="1672" w:author="svcMRProcess" w:date="2019-04-15T16:46:00Z">
        <w:r>
          <w:tab/>
          <w:delText>(c)</w:delText>
        </w:r>
        <w:r>
          <w:tab/>
          <w:delText>the effect of this Division on contractual certainty;</w:delText>
        </w:r>
      </w:del>
    </w:p>
    <w:p>
      <w:pPr>
        <w:pStyle w:val="nzIndenta"/>
        <w:rPr>
          <w:del w:id="1673" w:author="svcMRProcess" w:date="2019-04-15T16:46:00Z"/>
        </w:rPr>
      </w:pPr>
      <w:del w:id="1674" w:author="svcMRProcess" w:date="2019-04-15T16:46:00Z">
        <w:r>
          <w:tab/>
          <w:delText>(d)</w:delText>
        </w:r>
        <w:r>
          <w:tab/>
          <w:delText>the extent to which this Division affects contractual obligations upon lessors and co</w:delText>
        </w:r>
        <w:r>
          <w:noBreakHyphen/>
          <w:delText>tenants who are not perpetrators of family violence and the impact of those obligations;</w:delText>
        </w:r>
      </w:del>
    </w:p>
    <w:p>
      <w:pPr>
        <w:pStyle w:val="nzIndenta"/>
        <w:rPr>
          <w:del w:id="1675" w:author="svcMRProcess" w:date="2019-04-15T16:46:00Z"/>
        </w:rPr>
      </w:pPr>
      <w:del w:id="1676" w:author="svcMRProcess" w:date="2019-04-15T16:46:00Z">
        <w:r>
          <w:tab/>
          <w:delText>(e)</w:delText>
        </w:r>
        <w:r>
          <w:tab/>
          <w:delText>such other matters as appear to the Minister to be relevant.</w:delText>
        </w:r>
      </w:del>
    </w:p>
    <w:p>
      <w:pPr>
        <w:pStyle w:val="nzSubsection"/>
        <w:rPr>
          <w:del w:id="1677" w:author="svcMRProcess" w:date="2019-04-15T16:46:00Z"/>
        </w:rPr>
      </w:pPr>
      <w:del w:id="1678" w:author="svcMRProcess" w:date="2019-04-15T16:46:00Z">
        <w:r>
          <w:tab/>
          <w:delText>(3)</w:delText>
        </w:r>
        <w:r>
          <w:tab/>
          <w:delText>The Minister must cause the report to be laid before each House of Parliament as soon as practicable after it is prepared, but not later than 12 months after the 3</w:delText>
        </w:r>
        <w:r>
          <w:rPr>
            <w:vertAlign w:val="superscript"/>
          </w:rPr>
          <w:delText>rd</w:delText>
        </w:r>
        <w:r>
          <w:delText> anniversary.</w:delText>
        </w:r>
      </w:del>
    </w:p>
    <w:p>
      <w:pPr>
        <w:pStyle w:val="BlankClose"/>
        <w:rPr>
          <w:del w:id="1679" w:author="svcMRProcess" w:date="2019-04-15T16:46:00Z"/>
        </w:rPr>
      </w:pPr>
    </w:p>
    <w:p>
      <w:pPr>
        <w:pStyle w:val="nzHeading5"/>
        <w:rPr>
          <w:del w:id="1680" w:author="svcMRProcess" w:date="2019-04-15T16:46:00Z"/>
        </w:rPr>
      </w:pPr>
      <w:bookmarkStart w:id="1681" w:name="_Toc1570360"/>
      <w:bookmarkStart w:id="1682" w:name="_Toc2090060"/>
      <w:bookmarkStart w:id="1683" w:name="_Toc2092154"/>
      <w:del w:id="1684" w:author="svcMRProcess" w:date="2019-04-15T16:46:00Z">
        <w:r>
          <w:rPr>
            <w:rStyle w:val="CharSectno"/>
          </w:rPr>
          <w:delText>19</w:delText>
        </w:r>
        <w:r>
          <w:delText>.</w:delText>
        </w:r>
        <w:r>
          <w:tab/>
          <w:delText>Section 81A amended</w:delText>
        </w:r>
        <w:bookmarkEnd w:id="1681"/>
        <w:bookmarkEnd w:id="1682"/>
        <w:bookmarkEnd w:id="1683"/>
      </w:del>
    </w:p>
    <w:p>
      <w:pPr>
        <w:pStyle w:val="nzSubsection"/>
        <w:rPr>
          <w:del w:id="1685" w:author="svcMRProcess" w:date="2019-04-15T16:46:00Z"/>
        </w:rPr>
      </w:pPr>
      <w:del w:id="1686" w:author="svcMRProcess" w:date="2019-04-15T16:46:00Z">
        <w:r>
          <w:tab/>
        </w:r>
        <w:r>
          <w:tab/>
          <w:delText>In section 81A(2) delete “section 60(e),” and insert:</w:delText>
        </w:r>
      </w:del>
    </w:p>
    <w:p>
      <w:pPr>
        <w:pStyle w:val="BlankOpen"/>
        <w:rPr>
          <w:del w:id="1687" w:author="svcMRProcess" w:date="2019-04-15T16:46:00Z"/>
        </w:rPr>
      </w:pPr>
    </w:p>
    <w:p>
      <w:pPr>
        <w:pStyle w:val="nzSubsection"/>
        <w:rPr>
          <w:del w:id="1688" w:author="svcMRProcess" w:date="2019-04-15T16:46:00Z"/>
        </w:rPr>
      </w:pPr>
      <w:del w:id="1689" w:author="svcMRProcess" w:date="2019-04-15T16:46:00Z">
        <w:r>
          <w:tab/>
        </w:r>
        <w:r>
          <w:tab/>
          <w:delText xml:space="preserve">section 60(1)(e), </w:delText>
        </w:r>
      </w:del>
    </w:p>
    <w:p>
      <w:pPr>
        <w:pStyle w:val="BlankClose"/>
        <w:rPr>
          <w:del w:id="1690" w:author="svcMRProcess" w:date="2019-04-15T16:46:00Z"/>
        </w:rPr>
      </w:pPr>
    </w:p>
    <w:p>
      <w:pPr>
        <w:pStyle w:val="nzHeading5"/>
        <w:rPr>
          <w:del w:id="1691" w:author="svcMRProcess" w:date="2019-04-15T16:46:00Z"/>
        </w:rPr>
      </w:pPr>
      <w:bookmarkStart w:id="1692" w:name="_Toc1570361"/>
      <w:bookmarkStart w:id="1693" w:name="_Toc2090061"/>
      <w:bookmarkStart w:id="1694" w:name="_Toc2092155"/>
      <w:del w:id="1695" w:author="svcMRProcess" w:date="2019-04-15T16:46:00Z">
        <w:r>
          <w:rPr>
            <w:rStyle w:val="CharSectno"/>
          </w:rPr>
          <w:delText>20</w:delText>
        </w:r>
        <w:r>
          <w:delText>.</w:delText>
        </w:r>
        <w:r>
          <w:tab/>
          <w:delText>Section 82J amended</w:delText>
        </w:r>
        <w:bookmarkEnd w:id="1692"/>
        <w:bookmarkEnd w:id="1693"/>
        <w:bookmarkEnd w:id="1694"/>
      </w:del>
    </w:p>
    <w:p>
      <w:pPr>
        <w:pStyle w:val="nzSubsection"/>
        <w:rPr>
          <w:del w:id="1696" w:author="svcMRProcess" w:date="2019-04-15T16:46:00Z"/>
        </w:rPr>
      </w:pPr>
      <w:del w:id="1697" w:author="svcMRProcess" w:date="2019-04-15T16:46:00Z">
        <w:r>
          <w:tab/>
        </w:r>
        <w:r>
          <w:tab/>
          <w:delText>Delete section 82J(2) (2</w:delText>
        </w:r>
        <w:r>
          <w:rPr>
            <w:vertAlign w:val="superscript"/>
          </w:rPr>
          <w:delText>nd</w:delText>
        </w:r>
        <w:r>
          <w:delText xml:space="preserve"> occurrence) and insert:</w:delText>
        </w:r>
      </w:del>
    </w:p>
    <w:p>
      <w:pPr>
        <w:pStyle w:val="BlankOpen"/>
        <w:rPr>
          <w:del w:id="1698" w:author="svcMRProcess" w:date="2019-04-15T16:46:00Z"/>
        </w:rPr>
      </w:pPr>
    </w:p>
    <w:p>
      <w:pPr>
        <w:pStyle w:val="nzSubsection"/>
        <w:rPr>
          <w:del w:id="1699" w:author="svcMRProcess" w:date="2019-04-15T16:46:00Z"/>
        </w:rPr>
      </w:pPr>
      <w:del w:id="1700" w:author="svcMRProcess" w:date="2019-04-15T16:46:00Z">
        <w:r>
          <w:tab/>
          <w:delText>(2A)</w:delText>
        </w:r>
        <w:r>
          <w:tab/>
          <w:delText>Without limiting subsection (2)(b), the inclusion of the applicant’s name or other personal information about the applicant is unjust if the circumstances relating to the listing result from the applicant being subjected or exposed to family violence.</w:delText>
        </w:r>
      </w:del>
    </w:p>
    <w:p>
      <w:pPr>
        <w:pStyle w:val="nzSubsection"/>
        <w:rPr>
          <w:del w:id="1701" w:author="svcMRProcess" w:date="2019-04-15T16:46:00Z"/>
        </w:rPr>
      </w:pPr>
      <w:del w:id="1702" w:author="svcMRProcess" w:date="2019-04-15T16:46:00Z">
        <w:r>
          <w:tab/>
          <w:delText>(2B)</w:delText>
        </w:r>
        <w:r>
          <w:tab/>
          <w:delText>The court may order personal information about a person in a residential tenancy database to be wholly or partly removed, amended in a stated way or not listed in a residential tenancy database.</w:delText>
        </w:r>
      </w:del>
    </w:p>
    <w:p>
      <w:pPr>
        <w:pStyle w:val="BlankClose"/>
        <w:rPr>
          <w:del w:id="1703" w:author="svcMRProcess" w:date="2019-04-15T16:46:00Z"/>
        </w:rPr>
      </w:pPr>
    </w:p>
    <w:p>
      <w:pPr>
        <w:pStyle w:val="nzHeading5"/>
        <w:rPr>
          <w:del w:id="1704" w:author="svcMRProcess" w:date="2019-04-15T16:46:00Z"/>
        </w:rPr>
      </w:pPr>
      <w:bookmarkStart w:id="1705" w:name="_Toc1570362"/>
      <w:bookmarkStart w:id="1706" w:name="_Toc2090062"/>
      <w:bookmarkStart w:id="1707" w:name="_Toc2092156"/>
      <w:del w:id="1708" w:author="svcMRProcess" w:date="2019-04-15T16:46:00Z">
        <w:r>
          <w:rPr>
            <w:rStyle w:val="CharSectno"/>
            <w:bCs/>
          </w:rPr>
          <w:delText>21</w:delText>
        </w:r>
        <w:r>
          <w:rPr>
            <w:bCs/>
          </w:rPr>
          <w:delText>.</w:delText>
        </w:r>
        <w:r>
          <w:rPr>
            <w:bCs/>
          </w:rPr>
          <w:tab/>
          <w:delText>Section 85 amended</w:delText>
        </w:r>
        <w:bookmarkEnd w:id="1705"/>
        <w:bookmarkEnd w:id="1706"/>
        <w:bookmarkEnd w:id="1707"/>
      </w:del>
    </w:p>
    <w:p>
      <w:pPr>
        <w:pStyle w:val="nzSubsection"/>
        <w:rPr>
          <w:del w:id="1709" w:author="svcMRProcess" w:date="2019-04-15T16:46:00Z"/>
        </w:rPr>
      </w:pPr>
      <w:del w:id="1710" w:author="svcMRProcess" w:date="2019-04-15T16:46:00Z">
        <w:r>
          <w:tab/>
        </w:r>
        <w:r>
          <w:tab/>
          <w:delText xml:space="preserve">In section 85(1)(c) delete “circumstances specified in the </w:delText>
        </w:r>
        <w:r>
          <w:rPr>
            <w:rStyle w:val="CharDefText"/>
          </w:rPr>
          <w:delText>regulation</w:delText>
        </w:r>
        <w:r>
          <w:delText>s, be given or served by electronic means in accordance with the regulations.” and insert:</w:delText>
        </w:r>
      </w:del>
    </w:p>
    <w:p>
      <w:pPr>
        <w:pStyle w:val="BlankOpen"/>
        <w:rPr>
          <w:del w:id="1711" w:author="svcMRProcess" w:date="2019-04-15T16:46:00Z"/>
        </w:rPr>
      </w:pPr>
    </w:p>
    <w:p>
      <w:pPr>
        <w:pStyle w:val="nzSubsection"/>
        <w:rPr>
          <w:del w:id="1712" w:author="svcMRProcess" w:date="2019-04-15T16:46:00Z"/>
        </w:rPr>
      </w:pPr>
      <w:del w:id="1713" w:author="svcMRProcess" w:date="2019-04-15T16:46:00Z">
        <w:r>
          <w:tab/>
        </w:r>
        <w:r>
          <w:tab/>
          <w:delText xml:space="preserve">prescribed circumstances, be given or served by prescribed electronic means. </w:delText>
        </w:r>
      </w:del>
    </w:p>
    <w:p>
      <w:pPr>
        <w:pStyle w:val="BlankClose"/>
        <w:rPr>
          <w:del w:id="1714" w:author="svcMRProcess" w:date="2019-04-15T16:46:00Z"/>
        </w:rPr>
      </w:pPr>
    </w:p>
    <w:p>
      <w:pPr>
        <w:pStyle w:val="nzHeading5"/>
        <w:rPr>
          <w:del w:id="1715" w:author="svcMRProcess" w:date="2019-04-15T16:46:00Z"/>
        </w:rPr>
      </w:pPr>
      <w:bookmarkStart w:id="1716" w:name="_Toc1570363"/>
      <w:bookmarkStart w:id="1717" w:name="_Toc2090063"/>
      <w:bookmarkStart w:id="1718" w:name="_Toc2092157"/>
      <w:del w:id="1719" w:author="svcMRProcess" w:date="2019-04-15T16:46:00Z">
        <w:r>
          <w:rPr>
            <w:rStyle w:val="CharSectno"/>
          </w:rPr>
          <w:delText>22</w:delText>
        </w:r>
        <w:r>
          <w:delText>.</w:delText>
        </w:r>
        <w:r>
          <w:tab/>
          <w:delText>Section 88B inserted</w:delText>
        </w:r>
        <w:bookmarkEnd w:id="1716"/>
        <w:bookmarkEnd w:id="1717"/>
        <w:bookmarkEnd w:id="1718"/>
      </w:del>
    </w:p>
    <w:p>
      <w:pPr>
        <w:pStyle w:val="nzSubsection"/>
        <w:rPr>
          <w:del w:id="1720" w:author="svcMRProcess" w:date="2019-04-15T16:46:00Z"/>
        </w:rPr>
      </w:pPr>
      <w:del w:id="1721" w:author="svcMRProcess" w:date="2019-04-15T16:46:00Z">
        <w:r>
          <w:tab/>
        </w:r>
        <w:r>
          <w:tab/>
          <w:delText>After section 88A insert:</w:delText>
        </w:r>
      </w:del>
    </w:p>
    <w:p>
      <w:pPr>
        <w:pStyle w:val="BlankOpen"/>
        <w:rPr>
          <w:del w:id="1722" w:author="svcMRProcess" w:date="2019-04-15T16:46:00Z"/>
        </w:rPr>
      </w:pPr>
    </w:p>
    <w:p>
      <w:pPr>
        <w:pStyle w:val="nzHeading5"/>
        <w:rPr>
          <w:del w:id="1723" w:author="svcMRProcess" w:date="2019-04-15T16:46:00Z"/>
        </w:rPr>
      </w:pPr>
      <w:bookmarkStart w:id="1724" w:name="_Toc1570364"/>
      <w:bookmarkStart w:id="1725" w:name="_Toc2090064"/>
      <w:bookmarkStart w:id="1726" w:name="_Toc2092158"/>
      <w:del w:id="1727" w:author="svcMRProcess" w:date="2019-04-15T16:46:00Z">
        <w:r>
          <w:delText>88B.</w:delText>
        </w:r>
        <w:r>
          <w:tab/>
          <w:delText>Cross</w:delText>
        </w:r>
        <w:r>
          <w:noBreakHyphen/>
          <w:delText>examination of persons in proceedings involving family violence</w:delText>
        </w:r>
        <w:bookmarkEnd w:id="1724"/>
        <w:bookmarkEnd w:id="1725"/>
        <w:bookmarkEnd w:id="1726"/>
      </w:del>
    </w:p>
    <w:p>
      <w:pPr>
        <w:pStyle w:val="nzSubsection"/>
        <w:rPr>
          <w:del w:id="1728" w:author="svcMRProcess" w:date="2019-04-15T16:46:00Z"/>
        </w:rPr>
      </w:pPr>
      <w:del w:id="1729" w:author="svcMRProcess" w:date="2019-04-15T16:46:00Z">
        <w:r>
          <w:tab/>
        </w:r>
        <w:r>
          <w:tab/>
          <w:delText xml:space="preserve">The </w:delText>
        </w:r>
        <w:r>
          <w:rPr>
            <w:i/>
          </w:rPr>
          <w:delText>Restraining Orders Act 1997</w:delText>
        </w:r>
        <w:r>
          <w:delText xml:space="preserve"> section 44C applies to proceedings under this Act that involve family violence as if references to the respondent were references to the person allegedly committing the family violence.</w:delText>
        </w:r>
      </w:del>
    </w:p>
    <w:p>
      <w:pPr>
        <w:pStyle w:val="BlankClose"/>
        <w:rPr>
          <w:del w:id="1730" w:author="svcMRProcess" w:date="2019-04-15T16:46:00Z"/>
        </w:rPr>
      </w:pPr>
    </w:p>
    <w:p>
      <w:pPr>
        <w:pStyle w:val="nzHeading5"/>
        <w:rPr>
          <w:del w:id="1731" w:author="svcMRProcess" w:date="2019-04-15T16:46:00Z"/>
        </w:rPr>
      </w:pPr>
      <w:bookmarkStart w:id="1732" w:name="_Toc1570365"/>
      <w:bookmarkStart w:id="1733" w:name="_Toc2090065"/>
      <w:bookmarkStart w:id="1734" w:name="_Toc2092159"/>
      <w:del w:id="1735" w:author="svcMRProcess" w:date="2019-04-15T16:46:00Z">
        <w:r>
          <w:rPr>
            <w:rStyle w:val="CharSectno"/>
          </w:rPr>
          <w:delText>23</w:delText>
        </w:r>
        <w:r>
          <w:delText>.</w:delText>
        </w:r>
        <w:r>
          <w:tab/>
          <w:delText>Section 88 amended</w:delText>
        </w:r>
        <w:bookmarkEnd w:id="1732"/>
        <w:bookmarkEnd w:id="1733"/>
        <w:bookmarkEnd w:id="1734"/>
      </w:del>
    </w:p>
    <w:p>
      <w:pPr>
        <w:pStyle w:val="nzSubsection"/>
        <w:rPr>
          <w:del w:id="1736" w:author="svcMRProcess" w:date="2019-04-15T16:46:00Z"/>
        </w:rPr>
      </w:pPr>
      <w:del w:id="1737" w:author="svcMRProcess" w:date="2019-04-15T16:46:00Z">
        <w:r>
          <w:tab/>
        </w:r>
        <w:r>
          <w:tab/>
          <w:delText>After section 88(2) insert:</w:delText>
        </w:r>
      </w:del>
    </w:p>
    <w:p>
      <w:pPr>
        <w:pStyle w:val="BlankOpen"/>
        <w:rPr>
          <w:del w:id="1738" w:author="svcMRProcess" w:date="2019-04-15T16:46:00Z"/>
        </w:rPr>
      </w:pPr>
    </w:p>
    <w:p>
      <w:pPr>
        <w:pStyle w:val="nzSubsection"/>
        <w:rPr>
          <w:del w:id="1739" w:author="svcMRProcess" w:date="2019-04-15T16:46:00Z"/>
        </w:rPr>
      </w:pPr>
      <w:del w:id="1740" w:author="svcMRProcess" w:date="2019-04-15T16:46:00Z">
        <w:r>
          <w:tab/>
          <w:delText>(3)</w:delText>
        </w:r>
        <w:r>
          <w:tab/>
          <w:delText xml:space="preserve">Regulations made under subsection (1) for the purposes of section 47(4) or 71AB(2)(d)(vi) cannot come into operation earlier than 6 months after they are published in the </w:delText>
        </w:r>
        <w:r>
          <w:rPr>
            <w:i/>
          </w:rPr>
          <w:delText>Gazette</w:delText>
        </w:r>
        <w:r>
          <w:delText>.</w:delText>
        </w:r>
      </w:del>
    </w:p>
    <w:p>
      <w:pPr>
        <w:pStyle w:val="BlankClose"/>
        <w:rPr>
          <w:del w:id="1741" w:author="svcMRProcess" w:date="2019-04-15T16:46:00Z"/>
        </w:rPr>
      </w:pPr>
    </w:p>
    <w:p>
      <w:pPr>
        <w:pStyle w:val="nzHeading5"/>
        <w:rPr>
          <w:del w:id="1742" w:author="svcMRProcess" w:date="2019-04-15T16:46:00Z"/>
        </w:rPr>
      </w:pPr>
      <w:bookmarkStart w:id="1743" w:name="_Toc1570366"/>
      <w:bookmarkStart w:id="1744" w:name="_Toc2090066"/>
      <w:bookmarkStart w:id="1745" w:name="_Toc2092160"/>
      <w:del w:id="1746" w:author="svcMRProcess" w:date="2019-04-15T16:46:00Z">
        <w:r>
          <w:rPr>
            <w:rStyle w:val="CharSectno"/>
          </w:rPr>
          <w:delText>24</w:delText>
        </w:r>
        <w:r>
          <w:delText>.</w:delText>
        </w:r>
        <w:r>
          <w:tab/>
          <w:delText>Section 94 amended</w:delText>
        </w:r>
        <w:bookmarkEnd w:id="1743"/>
        <w:bookmarkEnd w:id="1744"/>
        <w:bookmarkEnd w:id="1745"/>
      </w:del>
    </w:p>
    <w:p>
      <w:pPr>
        <w:pStyle w:val="nzSubsection"/>
        <w:rPr>
          <w:del w:id="1747" w:author="svcMRProcess" w:date="2019-04-15T16:46:00Z"/>
        </w:rPr>
      </w:pPr>
      <w:del w:id="1748" w:author="svcMRProcess" w:date="2019-04-15T16:46:00Z">
        <w:r>
          <w:tab/>
        </w:r>
        <w:r>
          <w:tab/>
          <w:delText>In section 94(3) delete “a market rate indicator specified in the regulations.” and insert:</w:delText>
        </w:r>
      </w:del>
    </w:p>
    <w:p>
      <w:pPr>
        <w:pStyle w:val="BlankOpen"/>
        <w:rPr>
          <w:del w:id="1749" w:author="svcMRProcess" w:date="2019-04-15T16:46:00Z"/>
        </w:rPr>
      </w:pPr>
    </w:p>
    <w:p>
      <w:pPr>
        <w:pStyle w:val="nzSubsection"/>
        <w:rPr>
          <w:del w:id="1750" w:author="svcMRProcess" w:date="2019-04-15T16:46:00Z"/>
        </w:rPr>
      </w:pPr>
      <w:del w:id="1751" w:author="svcMRProcess" w:date="2019-04-15T16:46:00Z">
        <w:r>
          <w:tab/>
        </w:r>
        <w:r>
          <w:tab/>
          <w:delText>a prescribed market rate indicator.</w:delText>
        </w:r>
      </w:del>
    </w:p>
    <w:p>
      <w:pPr>
        <w:pStyle w:val="BlankClose"/>
        <w:rPr>
          <w:del w:id="1752" w:author="svcMRProcess" w:date="2019-04-15T16:46:00Z"/>
        </w:rPr>
      </w:pPr>
    </w:p>
    <w:p>
      <w:pPr>
        <w:pStyle w:val="nzHeading5"/>
        <w:rPr>
          <w:del w:id="1753" w:author="svcMRProcess" w:date="2019-04-15T16:46:00Z"/>
        </w:rPr>
      </w:pPr>
      <w:bookmarkStart w:id="1754" w:name="_Toc1570367"/>
      <w:bookmarkStart w:id="1755" w:name="_Toc2090067"/>
      <w:bookmarkStart w:id="1756" w:name="_Toc2092161"/>
      <w:del w:id="1757" w:author="svcMRProcess" w:date="2019-04-15T16:46:00Z">
        <w:r>
          <w:rPr>
            <w:rStyle w:val="CharSectno"/>
            <w:bCs/>
          </w:rPr>
          <w:delText>25</w:delText>
        </w:r>
        <w:r>
          <w:rPr>
            <w:bCs/>
          </w:rPr>
          <w:delText>.</w:delText>
        </w:r>
        <w:r>
          <w:rPr>
            <w:bCs/>
          </w:rPr>
          <w:tab/>
          <w:delText>Various penalties amended</w:delText>
        </w:r>
        <w:bookmarkEnd w:id="1754"/>
        <w:bookmarkEnd w:id="1755"/>
        <w:bookmarkEnd w:id="1756"/>
      </w:del>
    </w:p>
    <w:p>
      <w:pPr>
        <w:pStyle w:val="nzSubsection"/>
        <w:rPr>
          <w:del w:id="1758" w:author="svcMRProcess" w:date="2019-04-15T16:46:00Z"/>
        </w:rPr>
      </w:pPr>
      <w:del w:id="1759" w:author="svcMRProcess" w:date="2019-04-15T16:46:00Z">
        <w:r>
          <w:tab/>
        </w:r>
        <w:r>
          <w:tab/>
          <w:delText>In the provisions listed in the Table delete “Penalty:” and insert:</w:delText>
        </w:r>
      </w:del>
    </w:p>
    <w:p>
      <w:pPr>
        <w:pStyle w:val="BlankOpen"/>
        <w:widowControl w:val="0"/>
        <w:rPr>
          <w:del w:id="1760" w:author="svcMRProcess" w:date="2019-04-15T16:46:00Z"/>
        </w:rPr>
      </w:pPr>
    </w:p>
    <w:p>
      <w:pPr>
        <w:pStyle w:val="nzSubsection"/>
        <w:rPr>
          <w:del w:id="1761" w:author="svcMRProcess" w:date="2019-04-15T16:46:00Z"/>
        </w:rPr>
      </w:pPr>
      <w:del w:id="1762" w:author="svcMRProcess" w:date="2019-04-15T16:46:00Z">
        <w:r>
          <w:tab/>
        </w:r>
        <w:r>
          <w:tab/>
          <w:delText>Penalty for this subsection:</w:delText>
        </w:r>
      </w:del>
    </w:p>
    <w:p>
      <w:pPr>
        <w:pStyle w:val="BlankClose"/>
        <w:keepNext/>
        <w:widowControl w:val="0"/>
        <w:rPr>
          <w:del w:id="1763" w:author="svcMRProcess" w:date="2019-04-15T16:46:00Z"/>
        </w:rPr>
      </w:pPr>
    </w:p>
    <w:p>
      <w:pPr>
        <w:pStyle w:val="nzTHeadingBefore6pt"/>
        <w:rPr>
          <w:del w:id="1764" w:author="svcMRProcess" w:date="2019-04-15T16:46:00Z"/>
        </w:rPr>
      </w:pPr>
      <w:del w:id="1765" w:author="svcMRProcess" w:date="2019-04-15T16:46: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1766" w:author="svcMRProcess" w:date="2019-04-15T16:46:00Z"/>
        </w:trPr>
        <w:tc>
          <w:tcPr>
            <w:tcW w:w="3402" w:type="dxa"/>
          </w:tcPr>
          <w:p>
            <w:pPr>
              <w:pStyle w:val="nzTableAm"/>
              <w:rPr>
                <w:del w:id="1767" w:author="svcMRProcess" w:date="2019-04-15T16:46:00Z"/>
              </w:rPr>
            </w:pPr>
            <w:del w:id="1768" w:author="svcMRProcess" w:date="2019-04-15T16:46:00Z">
              <w:r>
                <w:delText>s. 11A(1)</w:delText>
              </w:r>
            </w:del>
          </w:p>
        </w:tc>
        <w:tc>
          <w:tcPr>
            <w:tcW w:w="3402" w:type="dxa"/>
          </w:tcPr>
          <w:p>
            <w:pPr>
              <w:pStyle w:val="nzTableAm"/>
              <w:rPr>
                <w:del w:id="1769" w:author="svcMRProcess" w:date="2019-04-15T16:46:00Z"/>
              </w:rPr>
            </w:pPr>
            <w:del w:id="1770" w:author="svcMRProcess" w:date="2019-04-15T16:46:00Z">
              <w:r>
                <w:delText>s. 16(1)</w:delText>
              </w:r>
            </w:del>
          </w:p>
        </w:tc>
      </w:tr>
      <w:tr>
        <w:trPr>
          <w:cantSplit/>
          <w:jc w:val="center"/>
          <w:del w:id="1771" w:author="svcMRProcess" w:date="2019-04-15T16:46:00Z"/>
        </w:trPr>
        <w:tc>
          <w:tcPr>
            <w:tcW w:w="3402" w:type="dxa"/>
          </w:tcPr>
          <w:p>
            <w:pPr>
              <w:pStyle w:val="nzTableAm"/>
              <w:rPr>
                <w:del w:id="1772" w:author="svcMRProcess" w:date="2019-04-15T16:46:00Z"/>
              </w:rPr>
            </w:pPr>
            <w:del w:id="1773" w:author="svcMRProcess" w:date="2019-04-15T16:46:00Z">
              <w:r>
                <w:delText>s. 19(2)</w:delText>
              </w:r>
            </w:del>
          </w:p>
        </w:tc>
        <w:tc>
          <w:tcPr>
            <w:tcW w:w="3402" w:type="dxa"/>
          </w:tcPr>
          <w:p>
            <w:pPr>
              <w:pStyle w:val="nzTableAm"/>
              <w:rPr>
                <w:del w:id="1774" w:author="svcMRProcess" w:date="2019-04-15T16:46:00Z"/>
              </w:rPr>
            </w:pPr>
            <w:del w:id="1775" w:author="svcMRProcess" w:date="2019-04-15T16:46:00Z">
              <w:r>
                <w:delText>s. 22(5)</w:delText>
              </w:r>
            </w:del>
          </w:p>
        </w:tc>
      </w:tr>
      <w:tr>
        <w:trPr>
          <w:cantSplit/>
          <w:jc w:val="center"/>
          <w:del w:id="1776" w:author="svcMRProcess" w:date="2019-04-15T16:46:00Z"/>
        </w:trPr>
        <w:tc>
          <w:tcPr>
            <w:tcW w:w="3402" w:type="dxa"/>
          </w:tcPr>
          <w:p>
            <w:pPr>
              <w:pStyle w:val="nzTableAm"/>
              <w:rPr>
                <w:del w:id="1777" w:author="svcMRProcess" w:date="2019-04-15T16:46:00Z"/>
              </w:rPr>
            </w:pPr>
            <w:del w:id="1778" w:author="svcMRProcess" w:date="2019-04-15T16:46:00Z">
              <w:r>
                <w:delText>s. 27C(1) and (4)</w:delText>
              </w:r>
            </w:del>
          </w:p>
        </w:tc>
        <w:tc>
          <w:tcPr>
            <w:tcW w:w="3402" w:type="dxa"/>
          </w:tcPr>
          <w:p>
            <w:pPr>
              <w:pStyle w:val="nzTableAm"/>
              <w:rPr>
                <w:del w:id="1779" w:author="svcMRProcess" w:date="2019-04-15T16:46:00Z"/>
              </w:rPr>
            </w:pPr>
            <w:del w:id="1780" w:author="svcMRProcess" w:date="2019-04-15T16:46:00Z">
              <w:r>
                <w:delText>s. 27(1)</w:delText>
              </w:r>
            </w:del>
          </w:p>
        </w:tc>
      </w:tr>
      <w:tr>
        <w:trPr>
          <w:cantSplit/>
          <w:jc w:val="center"/>
          <w:del w:id="1781" w:author="svcMRProcess" w:date="2019-04-15T16:46:00Z"/>
        </w:trPr>
        <w:tc>
          <w:tcPr>
            <w:tcW w:w="3402" w:type="dxa"/>
          </w:tcPr>
          <w:p>
            <w:pPr>
              <w:pStyle w:val="nzTableAm"/>
              <w:rPr>
                <w:del w:id="1782" w:author="svcMRProcess" w:date="2019-04-15T16:46:00Z"/>
              </w:rPr>
            </w:pPr>
            <w:del w:id="1783" w:author="svcMRProcess" w:date="2019-04-15T16:46:00Z">
              <w:r>
                <w:delText>s. 28(1) and (2)</w:delText>
              </w:r>
            </w:del>
          </w:p>
        </w:tc>
        <w:tc>
          <w:tcPr>
            <w:tcW w:w="3402" w:type="dxa"/>
          </w:tcPr>
          <w:p>
            <w:pPr>
              <w:pStyle w:val="nzTableAm"/>
              <w:rPr>
                <w:del w:id="1784" w:author="svcMRProcess" w:date="2019-04-15T16:46:00Z"/>
              </w:rPr>
            </w:pPr>
            <w:del w:id="1785" w:author="svcMRProcess" w:date="2019-04-15T16:46:00Z">
              <w:r>
                <w:delText>s. 29(1), (4), (6) and (8)</w:delText>
              </w:r>
            </w:del>
          </w:p>
        </w:tc>
      </w:tr>
      <w:tr>
        <w:trPr>
          <w:cantSplit/>
          <w:jc w:val="center"/>
          <w:del w:id="1786" w:author="svcMRProcess" w:date="2019-04-15T16:46:00Z"/>
        </w:trPr>
        <w:tc>
          <w:tcPr>
            <w:tcW w:w="3402" w:type="dxa"/>
          </w:tcPr>
          <w:p>
            <w:pPr>
              <w:pStyle w:val="nzTableAm"/>
              <w:rPr>
                <w:del w:id="1787" w:author="svcMRProcess" w:date="2019-04-15T16:46:00Z"/>
              </w:rPr>
            </w:pPr>
            <w:del w:id="1788" w:author="svcMRProcess" w:date="2019-04-15T16:46:00Z">
              <w:r>
                <w:delText>s. 32(7)</w:delText>
              </w:r>
            </w:del>
          </w:p>
        </w:tc>
        <w:tc>
          <w:tcPr>
            <w:tcW w:w="3402" w:type="dxa"/>
          </w:tcPr>
          <w:p>
            <w:pPr>
              <w:pStyle w:val="nzTableAm"/>
              <w:rPr>
                <w:del w:id="1789" w:author="svcMRProcess" w:date="2019-04-15T16:46:00Z"/>
              </w:rPr>
            </w:pPr>
            <w:del w:id="1790" w:author="svcMRProcess" w:date="2019-04-15T16:46:00Z">
              <w:r>
                <w:delText>s. 33(1)</w:delText>
              </w:r>
            </w:del>
          </w:p>
        </w:tc>
      </w:tr>
      <w:tr>
        <w:trPr>
          <w:cantSplit/>
          <w:jc w:val="center"/>
          <w:del w:id="1791" w:author="svcMRProcess" w:date="2019-04-15T16:46:00Z"/>
        </w:trPr>
        <w:tc>
          <w:tcPr>
            <w:tcW w:w="3402" w:type="dxa"/>
          </w:tcPr>
          <w:p>
            <w:pPr>
              <w:pStyle w:val="nzTableAm"/>
              <w:rPr>
                <w:del w:id="1792" w:author="svcMRProcess" w:date="2019-04-15T16:46:00Z"/>
              </w:rPr>
            </w:pPr>
            <w:del w:id="1793" w:author="svcMRProcess" w:date="2019-04-15T16:46:00Z">
              <w:r>
                <w:delText>s. 34(1) and (2)</w:delText>
              </w:r>
            </w:del>
          </w:p>
        </w:tc>
        <w:tc>
          <w:tcPr>
            <w:tcW w:w="3402" w:type="dxa"/>
          </w:tcPr>
          <w:p>
            <w:pPr>
              <w:pStyle w:val="nzTableAm"/>
              <w:rPr>
                <w:del w:id="1794" w:author="svcMRProcess" w:date="2019-04-15T16:46:00Z"/>
              </w:rPr>
            </w:pPr>
            <w:del w:id="1795" w:author="svcMRProcess" w:date="2019-04-15T16:46:00Z">
              <w:r>
                <w:delText>s. 51(1), (2), (3) and (4)</w:delText>
              </w:r>
            </w:del>
          </w:p>
        </w:tc>
      </w:tr>
      <w:tr>
        <w:trPr>
          <w:cantSplit/>
          <w:jc w:val="center"/>
          <w:del w:id="1796" w:author="svcMRProcess" w:date="2019-04-15T16:46:00Z"/>
        </w:trPr>
        <w:tc>
          <w:tcPr>
            <w:tcW w:w="3402" w:type="dxa"/>
          </w:tcPr>
          <w:p>
            <w:pPr>
              <w:pStyle w:val="nzTableAm"/>
              <w:rPr>
                <w:del w:id="1797" w:author="svcMRProcess" w:date="2019-04-15T16:46:00Z"/>
              </w:rPr>
            </w:pPr>
            <w:del w:id="1798" w:author="svcMRProcess" w:date="2019-04-15T16:46:00Z">
              <w:r>
                <w:delText>s. 53(1), (2) and (3)</w:delText>
              </w:r>
            </w:del>
          </w:p>
        </w:tc>
        <w:tc>
          <w:tcPr>
            <w:tcW w:w="3402" w:type="dxa"/>
          </w:tcPr>
          <w:p>
            <w:pPr>
              <w:pStyle w:val="nzTableAm"/>
              <w:rPr>
                <w:del w:id="1799" w:author="svcMRProcess" w:date="2019-04-15T16:46:00Z"/>
              </w:rPr>
            </w:pPr>
            <w:del w:id="1800" w:author="svcMRProcess" w:date="2019-04-15T16:46:00Z">
              <w:r>
                <w:delText>s. 54(1)</w:delText>
              </w:r>
            </w:del>
          </w:p>
        </w:tc>
      </w:tr>
      <w:tr>
        <w:trPr>
          <w:cantSplit/>
          <w:jc w:val="center"/>
          <w:del w:id="1801" w:author="svcMRProcess" w:date="2019-04-15T16:46:00Z"/>
        </w:trPr>
        <w:tc>
          <w:tcPr>
            <w:tcW w:w="3402" w:type="dxa"/>
          </w:tcPr>
          <w:p>
            <w:pPr>
              <w:pStyle w:val="nzTableAm"/>
              <w:rPr>
                <w:del w:id="1802" w:author="svcMRProcess" w:date="2019-04-15T16:46:00Z"/>
              </w:rPr>
            </w:pPr>
            <w:del w:id="1803" w:author="svcMRProcess" w:date="2019-04-15T16:46:00Z">
              <w:r>
                <w:delText>s. 56(1) and (2)</w:delText>
              </w:r>
            </w:del>
          </w:p>
        </w:tc>
        <w:tc>
          <w:tcPr>
            <w:tcW w:w="3402" w:type="dxa"/>
          </w:tcPr>
          <w:p>
            <w:pPr>
              <w:pStyle w:val="nzTableAm"/>
              <w:rPr>
                <w:del w:id="1804" w:author="svcMRProcess" w:date="2019-04-15T16:46:00Z"/>
              </w:rPr>
            </w:pPr>
            <w:del w:id="1805" w:author="svcMRProcess" w:date="2019-04-15T16:46:00Z">
              <w:r>
                <w:delText>s. 57(2A)</w:delText>
              </w:r>
            </w:del>
          </w:p>
        </w:tc>
      </w:tr>
      <w:tr>
        <w:trPr>
          <w:cantSplit/>
          <w:jc w:val="center"/>
          <w:del w:id="1806" w:author="svcMRProcess" w:date="2019-04-15T16:46:00Z"/>
        </w:trPr>
        <w:tc>
          <w:tcPr>
            <w:tcW w:w="3402" w:type="dxa"/>
          </w:tcPr>
          <w:p>
            <w:pPr>
              <w:pStyle w:val="nzTableAm"/>
              <w:rPr>
                <w:del w:id="1807" w:author="svcMRProcess" w:date="2019-04-15T16:46:00Z"/>
              </w:rPr>
            </w:pPr>
            <w:del w:id="1808" w:author="svcMRProcess" w:date="2019-04-15T16:46:00Z">
              <w:r>
                <w:delText>s. 59E(1)</w:delText>
              </w:r>
            </w:del>
          </w:p>
        </w:tc>
        <w:tc>
          <w:tcPr>
            <w:tcW w:w="3402" w:type="dxa"/>
          </w:tcPr>
          <w:p>
            <w:pPr>
              <w:pStyle w:val="nzTableAm"/>
              <w:rPr>
                <w:del w:id="1809" w:author="svcMRProcess" w:date="2019-04-15T16:46:00Z"/>
              </w:rPr>
            </w:pPr>
            <w:del w:id="1810" w:author="svcMRProcess" w:date="2019-04-15T16:46:00Z">
              <w:r>
                <w:delText>s. 59F(1) and (2)</w:delText>
              </w:r>
            </w:del>
          </w:p>
        </w:tc>
      </w:tr>
      <w:tr>
        <w:trPr>
          <w:cantSplit/>
          <w:jc w:val="center"/>
          <w:del w:id="1811" w:author="svcMRProcess" w:date="2019-04-15T16:46:00Z"/>
        </w:trPr>
        <w:tc>
          <w:tcPr>
            <w:tcW w:w="3402" w:type="dxa"/>
          </w:tcPr>
          <w:p>
            <w:pPr>
              <w:pStyle w:val="nzTableAm"/>
              <w:rPr>
                <w:del w:id="1812" w:author="svcMRProcess" w:date="2019-04-15T16:46:00Z"/>
              </w:rPr>
            </w:pPr>
            <w:del w:id="1813" w:author="svcMRProcess" w:date="2019-04-15T16:46:00Z">
              <w:r>
                <w:delText>s. 63(3)</w:delText>
              </w:r>
            </w:del>
          </w:p>
        </w:tc>
        <w:tc>
          <w:tcPr>
            <w:tcW w:w="3402" w:type="dxa"/>
          </w:tcPr>
          <w:p>
            <w:pPr>
              <w:pStyle w:val="nzTableAm"/>
              <w:rPr>
                <w:del w:id="1814" w:author="svcMRProcess" w:date="2019-04-15T16:46:00Z"/>
              </w:rPr>
            </w:pPr>
            <w:del w:id="1815" w:author="svcMRProcess" w:date="2019-04-15T16:46:00Z">
              <w:r>
                <w:delText>s. 80A(3), (4) and (6)</w:delText>
              </w:r>
            </w:del>
          </w:p>
        </w:tc>
      </w:tr>
      <w:tr>
        <w:trPr>
          <w:cantSplit/>
          <w:jc w:val="center"/>
          <w:del w:id="1816" w:author="svcMRProcess" w:date="2019-04-15T16:46:00Z"/>
        </w:trPr>
        <w:tc>
          <w:tcPr>
            <w:tcW w:w="3402" w:type="dxa"/>
          </w:tcPr>
          <w:p>
            <w:pPr>
              <w:pStyle w:val="nzTableAm"/>
              <w:rPr>
                <w:del w:id="1817" w:author="svcMRProcess" w:date="2019-04-15T16:46:00Z"/>
              </w:rPr>
            </w:pPr>
            <w:del w:id="1818" w:author="svcMRProcess" w:date="2019-04-15T16:46:00Z">
              <w:r>
                <w:delText>s. 82C(2)</w:delText>
              </w:r>
            </w:del>
          </w:p>
        </w:tc>
        <w:tc>
          <w:tcPr>
            <w:tcW w:w="3402" w:type="dxa"/>
          </w:tcPr>
          <w:p>
            <w:pPr>
              <w:pStyle w:val="nzTableAm"/>
              <w:rPr>
                <w:del w:id="1819" w:author="svcMRProcess" w:date="2019-04-15T16:46:00Z"/>
              </w:rPr>
            </w:pPr>
            <w:del w:id="1820" w:author="svcMRProcess" w:date="2019-04-15T16:46:00Z">
              <w:r>
                <w:delText>s. 82D(2)</w:delText>
              </w:r>
            </w:del>
          </w:p>
        </w:tc>
      </w:tr>
      <w:tr>
        <w:trPr>
          <w:cantSplit/>
          <w:jc w:val="center"/>
          <w:del w:id="1821" w:author="svcMRProcess" w:date="2019-04-15T16:46:00Z"/>
        </w:trPr>
        <w:tc>
          <w:tcPr>
            <w:tcW w:w="3402" w:type="dxa"/>
          </w:tcPr>
          <w:p>
            <w:pPr>
              <w:pStyle w:val="nzTableAm"/>
              <w:rPr>
                <w:del w:id="1822" w:author="svcMRProcess" w:date="2019-04-15T16:46:00Z"/>
              </w:rPr>
            </w:pPr>
            <w:del w:id="1823" w:author="svcMRProcess" w:date="2019-04-15T16:46:00Z">
              <w:r>
                <w:delText>s. 82E(1)</w:delText>
              </w:r>
            </w:del>
          </w:p>
        </w:tc>
        <w:tc>
          <w:tcPr>
            <w:tcW w:w="3402" w:type="dxa"/>
          </w:tcPr>
          <w:p>
            <w:pPr>
              <w:pStyle w:val="nzTableAm"/>
              <w:rPr>
                <w:del w:id="1824" w:author="svcMRProcess" w:date="2019-04-15T16:46:00Z"/>
              </w:rPr>
            </w:pPr>
            <w:del w:id="1825" w:author="svcMRProcess" w:date="2019-04-15T16:46:00Z">
              <w:r>
                <w:delText>s. 82F(1)</w:delText>
              </w:r>
            </w:del>
          </w:p>
        </w:tc>
      </w:tr>
      <w:tr>
        <w:trPr>
          <w:cantSplit/>
          <w:jc w:val="center"/>
          <w:del w:id="1826" w:author="svcMRProcess" w:date="2019-04-15T16:46:00Z"/>
        </w:trPr>
        <w:tc>
          <w:tcPr>
            <w:tcW w:w="3402" w:type="dxa"/>
          </w:tcPr>
          <w:p>
            <w:pPr>
              <w:pStyle w:val="nzTableAm"/>
              <w:rPr>
                <w:del w:id="1827" w:author="svcMRProcess" w:date="2019-04-15T16:46:00Z"/>
              </w:rPr>
            </w:pPr>
            <w:del w:id="1828" w:author="svcMRProcess" w:date="2019-04-15T16:46:00Z">
              <w:r>
                <w:delText>s. 82G(2) and (3)</w:delText>
              </w:r>
            </w:del>
          </w:p>
        </w:tc>
        <w:tc>
          <w:tcPr>
            <w:tcW w:w="3402" w:type="dxa"/>
          </w:tcPr>
          <w:p>
            <w:pPr>
              <w:pStyle w:val="nzTableAm"/>
              <w:rPr>
                <w:del w:id="1829" w:author="svcMRProcess" w:date="2019-04-15T16:46:00Z"/>
              </w:rPr>
            </w:pPr>
            <w:del w:id="1830" w:author="svcMRProcess" w:date="2019-04-15T16:46:00Z">
              <w:r>
                <w:delText>s. 82H(2)</w:delText>
              </w:r>
            </w:del>
          </w:p>
        </w:tc>
      </w:tr>
      <w:tr>
        <w:trPr>
          <w:cantSplit/>
          <w:jc w:val="center"/>
          <w:del w:id="1831" w:author="svcMRProcess" w:date="2019-04-15T16:46:00Z"/>
        </w:trPr>
        <w:tc>
          <w:tcPr>
            <w:tcW w:w="3402" w:type="dxa"/>
          </w:tcPr>
          <w:p>
            <w:pPr>
              <w:pStyle w:val="nzTableAm"/>
              <w:rPr>
                <w:del w:id="1832" w:author="svcMRProcess" w:date="2019-04-15T16:46:00Z"/>
              </w:rPr>
            </w:pPr>
            <w:del w:id="1833" w:author="svcMRProcess" w:date="2019-04-15T16:46:00Z">
              <w:r>
                <w:delText>s. 82I(1) and (2)</w:delText>
              </w:r>
            </w:del>
          </w:p>
        </w:tc>
        <w:tc>
          <w:tcPr>
            <w:tcW w:w="3402" w:type="dxa"/>
          </w:tcPr>
          <w:p>
            <w:pPr>
              <w:pStyle w:val="nzTableAm"/>
              <w:rPr>
                <w:del w:id="1834" w:author="svcMRProcess" w:date="2019-04-15T16:46:00Z"/>
              </w:rPr>
            </w:pPr>
            <w:del w:id="1835" w:author="svcMRProcess" w:date="2019-04-15T16:46:00Z">
              <w:r>
                <w:delText>s. 82K(2)</w:delText>
              </w:r>
            </w:del>
          </w:p>
        </w:tc>
      </w:tr>
      <w:tr>
        <w:trPr>
          <w:cantSplit/>
          <w:jc w:val="center"/>
          <w:del w:id="1836" w:author="svcMRProcess" w:date="2019-04-15T16:46:00Z"/>
        </w:trPr>
        <w:tc>
          <w:tcPr>
            <w:tcW w:w="3402" w:type="dxa"/>
          </w:tcPr>
          <w:p>
            <w:pPr>
              <w:pStyle w:val="nzTableAm"/>
              <w:rPr>
                <w:del w:id="1837" w:author="svcMRProcess" w:date="2019-04-15T16:46:00Z"/>
              </w:rPr>
            </w:pPr>
            <w:del w:id="1838" w:author="svcMRProcess" w:date="2019-04-15T16:46:00Z">
              <w:r>
                <w:delText>s. 82(2)</w:delText>
              </w:r>
            </w:del>
          </w:p>
        </w:tc>
        <w:tc>
          <w:tcPr>
            <w:tcW w:w="3402" w:type="dxa"/>
          </w:tcPr>
          <w:p>
            <w:pPr>
              <w:pStyle w:val="nzTableAm"/>
              <w:rPr>
                <w:del w:id="1839" w:author="svcMRProcess" w:date="2019-04-15T16:46:00Z"/>
              </w:rPr>
            </w:pPr>
            <w:del w:id="1840" w:author="svcMRProcess" w:date="2019-04-15T16:46:00Z">
              <w:r>
                <w:delText>s. 93(1)</w:delText>
              </w:r>
            </w:del>
          </w:p>
        </w:tc>
      </w:tr>
      <w:tr>
        <w:trPr>
          <w:cantSplit/>
          <w:jc w:val="center"/>
          <w:del w:id="1841" w:author="svcMRProcess" w:date="2019-04-15T16:46:00Z"/>
        </w:trPr>
        <w:tc>
          <w:tcPr>
            <w:tcW w:w="3402" w:type="dxa"/>
          </w:tcPr>
          <w:p>
            <w:pPr>
              <w:pStyle w:val="nzTableAm"/>
              <w:rPr>
                <w:del w:id="1842" w:author="svcMRProcess" w:date="2019-04-15T16:46:00Z"/>
              </w:rPr>
            </w:pPr>
            <w:del w:id="1843" w:author="svcMRProcess" w:date="2019-04-15T16:46:00Z">
              <w:r>
                <w:delText>s. 95(3) and (4)</w:delText>
              </w:r>
            </w:del>
          </w:p>
        </w:tc>
        <w:tc>
          <w:tcPr>
            <w:tcW w:w="3402" w:type="dxa"/>
          </w:tcPr>
          <w:p>
            <w:pPr>
              <w:pStyle w:val="nzTableAm"/>
              <w:rPr>
                <w:del w:id="1844" w:author="svcMRProcess" w:date="2019-04-15T16:46:00Z"/>
              </w:rPr>
            </w:pPr>
            <w:del w:id="1845" w:author="svcMRProcess" w:date="2019-04-15T16:46:00Z">
              <w:r>
                <w:delText>s. 96(2)</w:delText>
              </w:r>
            </w:del>
          </w:p>
        </w:tc>
      </w:tr>
    </w:tbl>
    <w:p>
      <w:pPr>
        <w:pStyle w:val="BlankClose"/>
        <w:rPr>
          <w:del w:id="1846" w:author="svcMRProcess" w:date="2019-04-15T16:46:00Z"/>
        </w:rPr>
      </w:pP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rPr>
          <w:rFonts w:ascii="Arial" w:hAnsi="Arial" w:cs="Arial"/>
          <w:szCs w:val="24"/>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61" w:name="Schedule"/>
    <w:bookmarkEnd w:id="106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847" w:name="Compilation"/>
    <w:bookmarkEnd w:id="18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48" w:name="Coversheet"/>
    <w:bookmarkEnd w:id="18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912F0D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22"/>
  </w:num>
  <w:num w:numId="26">
    <w:abstractNumId w:val="10"/>
  </w:num>
  <w:num w:numId="27">
    <w:abstractNumId w:val="11"/>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227083642"/>
    <w:docVar w:name="WAFER_20140115163133" w:val="RemoveTocBookmarks,RemoveUnusedBookmarks,RemoveLanguageTags,UsedStyles,ResetPageSize,UpdateArrangement"/>
    <w:docVar w:name="WAFER_20140115163133_GUID" w:val="be5bd3f4-7d6b-4602-b9a0-b814f4da9c24"/>
    <w:docVar w:name="WAFER_20140306140159" w:val="RemoveTocBookmarks,RemoveUnusedBookmarks,RemoveLanguageTags,UsedStyles,ResetPageSize"/>
    <w:docVar w:name="WAFER_20140306140159_GUID" w:val="99f7eac0-a43b-4f4f-9a79-9fab35100957"/>
    <w:docVar w:name="WAFER_20140306140933" w:val="RemoveTocBookmarks,RunningHeaders"/>
    <w:docVar w:name="WAFER_20140306140933_GUID" w:val="8111e4d9-7fd9-4759-9224-56b4cb352552"/>
    <w:docVar w:name="WAFER_20141015123116" w:val="RemoveTocBookmarks,RemoveUnusedBookmarks,RemoveLanguageTags,UsedStyles,ResetPageSize,UpdateArrangement"/>
    <w:docVar w:name="WAFER_20141015123116_GUID" w:val="6578ad09-a1d6-4d4d-9cc4-d8edb897b7e1"/>
    <w:docVar w:name="WAFER_20141119103506" w:val="RemoveTocBookmarks,RunningHeaders"/>
    <w:docVar w:name="WAFER_20141119103506_GUID" w:val="93cd9326-4f41-4fd0-a045-fab23df6c6c5"/>
    <w:docVar w:name="WAFER_20150130080541" w:val="RemoveTocBookmarks,RemoveUnusedBookmarks,RemoveLanguageTags,UsedStyles,RemoveTrackChanges"/>
    <w:docVar w:name="WAFER_20150130080541_GUID" w:val="b51bef14-6dad-41b9-acf9-09ed77241533"/>
    <w:docVar w:name="WAFER_20150130080553" w:val="RemoveTocBookmarks,RemoveLanguageTags,RemoveTrackChanges,RunningHeaders"/>
    <w:docVar w:name="WAFER_20150130080553_GUID" w:val="1dff9b56-5a5c-4800-9836-171d41d3f7a7"/>
    <w:docVar w:name="WAFER_20150213171452" w:val="RemoveTocBookmarks,RemoveLanguageTags,RemoveTrackChanges,RunningHeaders"/>
    <w:docVar w:name="WAFER_20150213171452_GUID" w:val="17220775-b678-4ead-9a82-8c502c6caa64"/>
    <w:docVar w:name="WAFER_20150721143430" w:val="ResetPageSize,UpdateArrangement,UpdateNTable"/>
    <w:docVar w:name="WAFER_20150721143430_GUID" w:val="57abcb2b-ded5-4855-bb35-34285295664f"/>
    <w:docVar w:name="WAFER_20151111175512" w:val="UpdateStyles,UsedStyles"/>
    <w:docVar w:name="WAFER_20151111175512_GUID" w:val="32225b76-d2e6-436c-9037-6d5f69242800"/>
    <w:docVar w:name="WAFER_20190227083642" w:val="RemoveTocBookmarks,RemoveUnusedBookmarks,RemoveLanguageTags,UpdateStyles,UsedStyles,ResetPageSize"/>
    <w:docVar w:name="WAFER_20190227083642_GUID" w:val="50852a7f-ea64-4356-9573-8d8ee4e5f8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blankclose0">
    <w:name w:val="blank close"/>
    <w:basedOn w:val="Normal"/>
  </w:style>
  <w:style w:type="paragraph" w:customStyle="1" w:styleId="nzHeading5Before6pt">
    <w:name w:val="nzHeading 5 + Before:  6 pt"/>
    <w:basedOn w:val="zHeading5"/>
    <w:pPr>
      <w:spacing w:before="120"/>
    </w:pPr>
  </w:style>
  <w:style w:type="paragraph" w:customStyle="1" w:styleId="nzTHeadingBefore6pt">
    <w:name w:val="nzTHeading + Before:  6 pt"/>
    <w:basedOn w:val="THeading"/>
    <w:pPr>
      <w:spacing w:before="120"/>
    </w:pPr>
  </w:style>
  <w:style w:type="character" w:customStyle="1" w:styleId="CommentTextChar">
    <w:name w:val="Comment Text Char"/>
    <w:basedOn w:val="DefaultParagraphFont"/>
    <w:link w:val="CommentText"/>
    <w:semiHidden/>
    <w:rPr>
      <w:sz w:val="24"/>
    </w:rPr>
  </w:style>
  <w:style w:type="paragraph" w:customStyle="1" w:styleId="nzTableAm">
    <w:name w:val="nzTableAm"/>
    <w:basedOn w:val="TableAm"/>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blankclose0">
    <w:name w:val="blank close"/>
    <w:basedOn w:val="Normal"/>
  </w:style>
  <w:style w:type="paragraph" w:customStyle="1" w:styleId="nzHeading5Before6pt">
    <w:name w:val="nzHeading 5 + Before:  6 pt"/>
    <w:basedOn w:val="zHeading5"/>
    <w:pPr>
      <w:spacing w:before="120"/>
    </w:pPr>
  </w:style>
  <w:style w:type="paragraph" w:customStyle="1" w:styleId="nzTHeadingBefore6pt">
    <w:name w:val="nzTHeading + Before:  6 pt"/>
    <w:basedOn w:val="THeading"/>
    <w:pPr>
      <w:spacing w:before="120"/>
    </w:pPr>
  </w:style>
  <w:style w:type="character" w:customStyle="1" w:styleId="CommentTextChar">
    <w:name w:val="Comment Text Char"/>
    <w:basedOn w:val="DefaultParagraphFont"/>
    <w:link w:val="CommentText"/>
    <w:semiHidden/>
    <w:rPr>
      <w:sz w:val="24"/>
    </w:rPr>
  </w:style>
  <w:style w:type="paragraph" w:customStyle="1" w:styleId="nzTableAm">
    <w:name w:val="nzTableAm"/>
    <w:basedOn w:val="TableAm"/>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644A00-11F6-4552-9798-714671BD78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42864</Words>
  <Characters>200609</Characters>
  <Application>Microsoft Office Word</Application>
  <DocSecurity>0</DocSecurity>
  <Lines>5279</Lines>
  <Paragraphs>2675</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240798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06-e0-00 - 06-f0-01</dc:title>
  <dc:subject/>
  <dc:creator/>
  <cp:keywords/>
  <dc:description/>
  <cp:lastModifiedBy>svcMRProcess</cp:lastModifiedBy>
  <cp:revision>2</cp:revision>
  <cp:lastPrinted>2019-04-15T08:42:00Z</cp:lastPrinted>
  <dcterms:created xsi:type="dcterms:W3CDTF">2019-04-15T08:46:00Z</dcterms:created>
  <dcterms:modified xsi:type="dcterms:W3CDTF">2019-04-15T08:46:00Z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DocumentType">
    <vt:lpwstr>Act</vt:lpwstr>
  </property>
  <property fmtid="{D5CDD505-2E9C-101B-9397-08002B2CF9AE}" pid="4" name="OwlsUID">
    <vt:i4>693</vt:i4>
  </property>
  <property fmtid="{D5CDD505-2E9C-101B-9397-08002B2CF9AE}" pid="5" name="ReprintNo">
    <vt:lpwstr>6</vt:lpwstr>
  </property>
  <property fmtid="{D5CDD505-2E9C-101B-9397-08002B2CF9AE}" pid="6" name="ReprintedAsAt">
    <vt:filetime>2015-02-05T16:00:00Z</vt:filetime>
  </property>
  <property fmtid="{D5CDD505-2E9C-101B-9397-08002B2CF9AE}" pid="7" name="CommencementDate">
    <vt:lpwstr>20190415</vt:lpwstr>
  </property>
  <property fmtid="{D5CDD505-2E9C-101B-9397-08002B2CF9AE}" pid="8" name="FromSuffix">
    <vt:lpwstr>06-e0-00</vt:lpwstr>
  </property>
  <property fmtid="{D5CDD505-2E9C-101B-9397-08002B2CF9AE}" pid="9" name="FromAsAtDate">
    <vt:lpwstr>26 Feb 2019</vt:lpwstr>
  </property>
  <property fmtid="{D5CDD505-2E9C-101B-9397-08002B2CF9AE}" pid="10" name="ToSuffix">
    <vt:lpwstr>06-f0-01</vt:lpwstr>
  </property>
  <property fmtid="{D5CDD505-2E9C-101B-9397-08002B2CF9AE}" pid="11" name="ToAsAtDate">
    <vt:lpwstr>15 Apr 2019</vt:lpwstr>
  </property>
</Properties>
</file>