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Aug 2017</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01 Jun 2019</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377389110"/>
      <w:bookmarkStart w:id="2" w:name="_Toc406507263"/>
      <w:bookmarkStart w:id="3" w:name="_Toc421113551"/>
      <w:bookmarkStart w:id="4" w:name="_Toc421113608"/>
      <w:bookmarkStart w:id="5" w:name="_Toc469577521"/>
      <w:bookmarkStart w:id="6" w:name="_Toc469988495"/>
      <w:bookmarkStart w:id="7" w:name="_Toc474159328"/>
      <w:bookmarkStart w:id="8" w:name="_Toc489533279"/>
      <w:bookmarkStart w:id="9" w:name="_Toc489533340"/>
      <w:bookmarkStart w:id="10" w:name="_Toc10193166"/>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406507264"/>
      <w:bookmarkStart w:id="13" w:name="_Toc10193167"/>
      <w:bookmarkStart w:id="14" w:name="_Toc489533341"/>
      <w:r>
        <w:rPr>
          <w:rStyle w:val="CharSectno"/>
        </w:rPr>
        <w:t>1</w:t>
      </w:r>
      <w:r>
        <w:t>.</w:t>
      </w:r>
      <w:r>
        <w:tab/>
        <w:t>Citation</w:t>
      </w:r>
      <w:bookmarkEnd w:id="12"/>
      <w:bookmarkEnd w:id="13"/>
      <w:bookmarkEnd w:id="14"/>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Metropolitan Redevelopment Authority Regulations 2011</w:t>
      </w:r>
      <w:r>
        <w:rPr>
          <w:vertAlign w:val="superscript"/>
        </w:rPr>
        <w:t> 1</w:t>
      </w:r>
      <w:r>
        <w:t>.</w:t>
      </w:r>
    </w:p>
    <w:p>
      <w:pPr>
        <w:pStyle w:val="Heading5"/>
        <w:rPr>
          <w:spacing w:val="-2"/>
        </w:rPr>
      </w:pPr>
      <w:bookmarkStart w:id="16" w:name="_Toc406507265"/>
      <w:bookmarkStart w:id="17" w:name="_Toc10193168"/>
      <w:bookmarkStart w:id="18" w:name="_Toc489533342"/>
      <w:r>
        <w:rPr>
          <w:rStyle w:val="CharSectno"/>
        </w:rPr>
        <w:t>2</w:t>
      </w:r>
      <w:r>
        <w:rPr>
          <w:spacing w:val="-2"/>
        </w:rPr>
        <w:t>.</w:t>
      </w:r>
      <w:r>
        <w:rPr>
          <w:spacing w:val="-2"/>
        </w:rPr>
        <w:tab/>
        <w:t>Commencement</w:t>
      </w:r>
      <w:bookmarkEnd w:id="16"/>
      <w:bookmarkEnd w:id="17"/>
      <w:bookmarkEnd w:id="1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9" w:name="_Toc466364061"/>
      <w:bookmarkStart w:id="20" w:name="_Toc466364245"/>
      <w:bookmarkStart w:id="21" w:name="_Toc10193169"/>
      <w:bookmarkStart w:id="22" w:name="_Toc489533343"/>
      <w:bookmarkStart w:id="23" w:name="_Toc406507266"/>
      <w:r>
        <w:rPr>
          <w:rStyle w:val="CharSectno"/>
        </w:rPr>
        <w:t>3</w:t>
      </w:r>
      <w:r>
        <w:t>.</w:t>
      </w:r>
      <w:r>
        <w:tab/>
        <w:t>Terms used</w:t>
      </w:r>
      <w:bookmarkEnd w:id="19"/>
      <w:bookmarkEnd w:id="20"/>
      <w:bookmarkEnd w:id="21"/>
      <w:bookmarkEnd w:id="22"/>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24" w:name="_Toc377389114"/>
      <w:bookmarkStart w:id="25" w:name="_Toc406507267"/>
      <w:bookmarkStart w:id="26" w:name="_Toc421113555"/>
      <w:bookmarkStart w:id="27" w:name="_Toc421113612"/>
      <w:bookmarkStart w:id="28" w:name="_Toc469577525"/>
      <w:bookmarkStart w:id="29" w:name="_Toc469988499"/>
      <w:bookmarkStart w:id="30" w:name="_Toc474159332"/>
      <w:bookmarkStart w:id="31" w:name="_Toc489533283"/>
      <w:bookmarkStart w:id="32" w:name="_Toc489533344"/>
      <w:bookmarkStart w:id="33" w:name="_Toc10193170"/>
      <w:bookmarkEnd w:id="23"/>
      <w:r>
        <w:rPr>
          <w:rStyle w:val="CharPartNo"/>
        </w:rPr>
        <w:t>Part 2</w:t>
      </w:r>
      <w:r>
        <w:rPr>
          <w:rStyle w:val="CharDivNo"/>
        </w:rPr>
        <w:t> </w:t>
      </w:r>
      <w:r>
        <w:t>—</w:t>
      </w:r>
      <w:r>
        <w:rPr>
          <w:rStyle w:val="CharDivText"/>
        </w:rPr>
        <w:t> </w:t>
      </w:r>
      <w:r>
        <w:rPr>
          <w:rStyle w:val="CharPartText"/>
        </w:rPr>
        <w:t>Works, acts and activities that do not constitute development</w:t>
      </w:r>
      <w:bookmarkEnd w:id="24"/>
      <w:bookmarkEnd w:id="25"/>
      <w:bookmarkEnd w:id="26"/>
      <w:bookmarkEnd w:id="27"/>
      <w:bookmarkEnd w:id="28"/>
      <w:bookmarkEnd w:id="29"/>
      <w:bookmarkEnd w:id="30"/>
      <w:bookmarkEnd w:id="31"/>
      <w:bookmarkEnd w:id="32"/>
      <w:bookmarkEnd w:id="33"/>
    </w:p>
    <w:p>
      <w:pPr>
        <w:pStyle w:val="Heading5"/>
      </w:pPr>
      <w:bookmarkStart w:id="34" w:name="_Toc466364063"/>
      <w:bookmarkStart w:id="35" w:name="_Toc466364247"/>
      <w:bookmarkStart w:id="36" w:name="_Toc10193171"/>
      <w:bookmarkStart w:id="37" w:name="_Toc489533345"/>
      <w:bookmarkStart w:id="38" w:name="_Toc406507268"/>
      <w:r>
        <w:rPr>
          <w:rStyle w:val="CharSectno"/>
        </w:rPr>
        <w:t>4</w:t>
      </w:r>
      <w:r>
        <w:t>.</w:t>
      </w:r>
      <w:r>
        <w:tab/>
        <w:t>Effect of exclusions in relation to heritage place</w:t>
      </w:r>
      <w:bookmarkEnd w:id="34"/>
      <w:bookmarkEnd w:id="35"/>
      <w:bookmarkEnd w:id="36"/>
      <w:bookmarkEnd w:id="37"/>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39" w:name="_Toc406507269"/>
      <w:bookmarkStart w:id="40" w:name="_Toc10193172"/>
      <w:bookmarkStart w:id="41" w:name="_Toc489533346"/>
      <w:bookmarkEnd w:id="38"/>
      <w:r>
        <w:rPr>
          <w:rStyle w:val="CharSectno"/>
        </w:rPr>
        <w:t>5</w:t>
      </w:r>
      <w:r>
        <w:t>.</w:t>
      </w:r>
      <w:r>
        <w:tab/>
        <w:t>Minor and temporary works, acts and activities</w:t>
      </w:r>
      <w:bookmarkEnd w:id="39"/>
      <w:bookmarkEnd w:id="40"/>
      <w:bookmarkEnd w:id="41"/>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bookmarkStart w:id="42" w:name="_Toc406507270"/>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43" w:name="_Toc10193173"/>
      <w:bookmarkStart w:id="44" w:name="_Toc489533347"/>
      <w:r>
        <w:rPr>
          <w:rStyle w:val="CharSectno"/>
        </w:rPr>
        <w:t>6</w:t>
      </w:r>
      <w:r>
        <w:t>.</w:t>
      </w:r>
      <w:r>
        <w:tab/>
        <w:t>Subdivision works</w:t>
      </w:r>
      <w:bookmarkEnd w:id="42"/>
      <w:bookmarkEnd w:id="43"/>
      <w:bookmarkEnd w:id="44"/>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bookmarkStart w:id="45" w:name="_Toc406507271"/>
      <w:r>
        <w:tab/>
        <w:t>[Regulation 6 amended: Gazette 16 Dec 2016 p. 5705.]</w:t>
      </w:r>
    </w:p>
    <w:p>
      <w:pPr>
        <w:pStyle w:val="Ednotesection"/>
      </w:pPr>
      <w:r>
        <w:t>[</w:t>
      </w:r>
      <w:r>
        <w:rPr>
          <w:b/>
        </w:rPr>
        <w:t>7.</w:t>
      </w:r>
      <w:r>
        <w:tab/>
        <w:t>Deleted: Gazette 16 Dec 2016 p. 5705.]</w:t>
      </w:r>
    </w:p>
    <w:p>
      <w:pPr>
        <w:pStyle w:val="Heading5"/>
      </w:pPr>
      <w:bookmarkStart w:id="46" w:name="_Toc406507272"/>
      <w:bookmarkStart w:id="47" w:name="_Toc10193174"/>
      <w:bookmarkStart w:id="48" w:name="_Toc489533348"/>
      <w:bookmarkEnd w:id="45"/>
      <w:r>
        <w:rPr>
          <w:rStyle w:val="CharSectno"/>
        </w:rPr>
        <w:t>8</w:t>
      </w:r>
      <w:r>
        <w:t>.</w:t>
      </w:r>
      <w:r>
        <w:tab/>
        <w:t>Certain works, acts and activities by Authority</w:t>
      </w:r>
      <w:bookmarkEnd w:id="46"/>
      <w:bookmarkEnd w:id="47"/>
      <w:bookmarkEnd w:id="48"/>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bookmarkStart w:id="49" w:name="_Toc406507273"/>
      <w:r>
        <w:tab/>
        <w:t>[Regulation 8 amended: Gazette 16 Dec 2016 p. 5705.]</w:t>
      </w:r>
    </w:p>
    <w:p>
      <w:pPr>
        <w:pStyle w:val="Heading5"/>
      </w:pPr>
      <w:bookmarkStart w:id="50" w:name="_Toc466364069"/>
      <w:bookmarkStart w:id="51" w:name="_Toc466364253"/>
      <w:bookmarkStart w:id="52" w:name="_Toc10193175"/>
      <w:bookmarkStart w:id="53" w:name="_Toc489533349"/>
      <w:r>
        <w:rPr>
          <w:rStyle w:val="CharSectno"/>
        </w:rPr>
        <w:t>9</w:t>
      </w:r>
      <w:r>
        <w:t>.</w:t>
      </w:r>
      <w:r>
        <w:tab/>
        <w:t>Certain buildings and related works</w:t>
      </w:r>
      <w:bookmarkEnd w:id="50"/>
      <w:bookmarkEnd w:id="51"/>
      <w:bookmarkEnd w:id="52"/>
      <w:bookmarkEnd w:id="53"/>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54" w:name="_Toc377389121"/>
      <w:bookmarkStart w:id="55" w:name="_Toc406507274"/>
      <w:bookmarkStart w:id="56" w:name="_Toc421113562"/>
      <w:bookmarkStart w:id="57" w:name="_Toc421113619"/>
      <w:bookmarkStart w:id="58" w:name="_Toc469577531"/>
      <w:bookmarkStart w:id="59" w:name="_Toc469988505"/>
      <w:bookmarkStart w:id="60" w:name="_Toc474159338"/>
      <w:bookmarkStart w:id="61" w:name="_Toc489533289"/>
      <w:bookmarkStart w:id="62" w:name="_Toc489533350"/>
      <w:bookmarkStart w:id="63" w:name="_Toc10193176"/>
      <w:bookmarkEnd w:id="49"/>
      <w:r>
        <w:rPr>
          <w:rStyle w:val="CharPartNo"/>
        </w:rPr>
        <w:t>Part 3</w:t>
      </w:r>
      <w:r>
        <w:rPr>
          <w:rStyle w:val="CharDivNo"/>
        </w:rPr>
        <w:t> </w:t>
      </w:r>
      <w:r>
        <w:t>— </w:t>
      </w:r>
      <w:r>
        <w:rPr>
          <w:rStyle w:val="CharPartText"/>
        </w:rPr>
        <w:t>Redevelopment areas</w:t>
      </w:r>
      <w:bookmarkEnd w:id="54"/>
      <w:bookmarkEnd w:id="55"/>
      <w:bookmarkEnd w:id="56"/>
      <w:bookmarkEnd w:id="57"/>
      <w:bookmarkEnd w:id="58"/>
      <w:bookmarkEnd w:id="59"/>
      <w:bookmarkEnd w:id="60"/>
      <w:bookmarkEnd w:id="61"/>
      <w:bookmarkEnd w:id="62"/>
      <w:bookmarkEnd w:id="63"/>
    </w:p>
    <w:p>
      <w:pPr>
        <w:pStyle w:val="Heading5"/>
      </w:pPr>
      <w:bookmarkStart w:id="64" w:name="_Toc406507275"/>
      <w:bookmarkStart w:id="65" w:name="_Toc10193177"/>
      <w:bookmarkStart w:id="66" w:name="_Toc489533351"/>
      <w:r>
        <w:rPr>
          <w:rStyle w:val="CharSectno"/>
        </w:rPr>
        <w:t>10</w:t>
      </w:r>
      <w:r>
        <w:t>.</w:t>
      </w:r>
      <w:r>
        <w:tab/>
        <w:t>Armadale redevelopment area</w:t>
      </w:r>
      <w:bookmarkEnd w:id="64"/>
      <w:bookmarkEnd w:id="65"/>
      <w:bookmarkEnd w:id="66"/>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w:t>
      </w:r>
      <w:ins w:id="67" w:author="Master Repository Process" w:date="2021-08-29T08:33:00Z">
        <w:r>
          <w:t xml:space="preserve"> 2019</w:t>
        </w:r>
      </w:ins>
      <w:r>
        <w:t>”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rPr>
          <w:ins w:id="68" w:author="Master Repository Process" w:date="2021-08-29T08:33:00Z"/>
        </w:rPr>
      </w:pPr>
      <w:ins w:id="69" w:author="Master Repository Process" w:date="2021-08-29T08:33:00Z">
        <w:r>
          <w:tab/>
          <w:t>[Regulation 10 amended: Gazette 31 May 2019 p. 1716.]</w:t>
        </w:r>
      </w:ins>
    </w:p>
    <w:p>
      <w:pPr>
        <w:pStyle w:val="Heading5"/>
      </w:pPr>
      <w:bookmarkStart w:id="70" w:name="_Toc406507276"/>
      <w:bookmarkStart w:id="71" w:name="_Toc10193178"/>
      <w:bookmarkStart w:id="72" w:name="_Toc489533352"/>
      <w:r>
        <w:rPr>
          <w:rStyle w:val="CharSectno"/>
        </w:rPr>
        <w:t>11</w:t>
      </w:r>
      <w:r>
        <w:t>.</w:t>
      </w:r>
      <w:r>
        <w:tab/>
        <w:t xml:space="preserve">Central </w:t>
      </w:r>
      <w:smartTag w:uri="urn:schemas-microsoft-com:office:smarttags" w:element="place">
        <w:smartTag w:uri="urn:schemas-microsoft-com:office:smarttags" w:element="City">
          <w:r>
            <w:t>Perth</w:t>
          </w:r>
        </w:smartTag>
      </w:smartTag>
      <w:r>
        <w:t xml:space="preserve"> redevelopment area</w:t>
      </w:r>
      <w:bookmarkEnd w:id="70"/>
      <w:bookmarkEnd w:id="71"/>
      <w:bookmarkEnd w:id="72"/>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w:t>
      </w:r>
      <w:smartTag w:uri="urn:schemas-microsoft-com:office:smarttags" w:element="place">
        <w:r>
          <w:t>Central Perth</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Central Perth</w:t>
        </w:r>
      </w:smartTag>
      <w:r>
        <w:t xml:space="preserve"> redevelopment area.</w:t>
      </w:r>
    </w:p>
    <w:p>
      <w:pPr>
        <w:pStyle w:val="Subsection"/>
      </w:pPr>
      <w:r>
        <w:tab/>
        <w:t>(4)</w:t>
      </w:r>
      <w:r>
        <w:tab/>
        <w:t xml:space="preserve">For guidance, a plan depicting the </w:t>
      </w:r>
      <w:smartTag w:uri="urn:schemas-microsoft-com:office:smarttags" w:element="place">
        <w:r>
          <w:t>Central Perth</w:t>
        </w:r>
      </w:smartTag>
      <w:r>
        <w:t xml:space="preserve"> redevelopment area is set out in Schedule 2.</w:t>
      </w:r>
    </w:p>
    <w:p>
      <w:pPr>
        <w:pStyle w:val="Heading5"/>
      </w:pPr>
      <w:bookmarkStart w:id="73" w:name="_Toc406507277"/>
      <w:bookmarkStart w:id="74" w:name="_Toc10193179"/>
      <w:bookmarkStart w:id="75" w:name="_Toc489533353"/>
      <w:r>
        <w:rPr>
          <w:rStyle w:val="CharSectno"/>
        </w:rPr>
        <w:t>12</w:t>
      </w:r>
      <w:r>
        <w:t>.</w:t>
      </w:r>
      <w:r>
        <w:tab/>
        <w:t>Midland redevelopment area</w:t>
      </w:r>
      <w:bookmarkEnd w:id="73"/>
      <w:bookmarkEnd w:id="74"/>
      <w:bookmarkEnd w:id="75"/>
    </w:p>
    <w:p>
      <w:pPr>
        <w:pStyle w:val="Subsection"/>
        <w:keepNext/>
      </w:pPr>
      <w:r>
        <w:tab/>
        <w:t>(1)</w:t>
      </w:r>
      <w:r>
        <w:tab/>
        <w:t xml:space="preserve">In this regulation — </w:t>
      </w:r>
    </w:p>
    <w:p>
      <w:pPr>
        <w:pStyle w:val="Defstart"/>
      </w:pPr>
      <w:r>
        <w:tab/>
      </w:r>
      <w:r>
        <w:rPr>
          <w:rStyle w:val="CharDefText"/>
        </w:rPr>
        <w:t>relevant plan</w:t>
      </w:r>
      <w:r>
        <w:t xml:space="preserve"> means the plan entitled “Midland redevelopment area 2014” held at the office of the Authority, that plan being certified by the Minister as the plan prepared for the purpose of defining the </w:t>
      </w:r>
      <w:smartTag w:uri="urn:schemas-microsoft-com:office:smarttags" w:element="place">
        <w:r>
          <w:t>Midland</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Midland</w:t>
        </w:r>
      </w:smartTag>
      <w:r>
        <w:t xml:space="preserve"> redevelopment area.</w:t>
      </w:r>
    </w:p>
    <w:p>
      <w:pPr>
        <w:pStyle w:val="Subsection"/>
      </w:pPr>
      <w:r>
        <w:tab/>
        <w:t>(4)</w:t>
      </w:r>
      <w:r>
        <w:tab/>
        <w:t xml:space="preserve">For guidance, a plan depicting the </w:t>
      </w:r>
      <w:smartTag w:uri="urn:schemas-microsoft-com:office:smarttags" w:element="place">
        <w:r>
          <w:t>Midland</w:t>
        </w:r>
      </w:smartTag>
      <w:r>
        <w:t xml:space="preserve"> redevelopment area is set out in Schedule 3.</w:t>
      </w:r>
    </w:p>
    <w:p>
      <w:pPr>
        <w:pStyle w:val="Footnotesection"/>
      </w:pPr>
      <w:r>
        <w:tab/>
        <w:t>[Regulation 12 amended: Gazette 16 Dec 2014 p. 4763.]</w:t>
      </w:r>
    </w:p>
    <w:p>
      <w:pPr>
        <w:pStyle w:val="Heading5"/>
      </w:pPr>
      <w:bookmarkStart w:id="76" w:name="_Toc406507278"/>
      <w:bookmarkStart w:id="77" w:name="_Toc10193180"/>
      <w:bookmarkStart w:id="78" w:name="_Toc489533354"/>
      <w:r>
        <w:rPr>
          <w:rStyle w:val="CharSectno"/>
        </w:rPr>
        <w:t>13</w:t>
      </w:r>
      <w:r>
        <w:t>.</w:t>
      </w:r>
      <w:r>
        <w:tab/>
        <w:t>Subiaco redevelopment area</w:t>
      </w:r>
      <w:bookmarkEnd w:id="76"/>
      <w:bookmarkEnd w:id="77"/>
      <w:bookmarkEnd w:id="78"/>
    </w:p>
    <w:p>
      <w:pPr>
        <w:pStyle w:val="Subsection"/>
      </w:pPr>
      <w:r>
        <w:tab/>
        <w:t>(1)</w:t>
      </w:r>
      <w:r>
        <w:tab/>
        <w:t xml:space="preserve">In this regulation — </w:t>
      </w:r>
    </w:p>
    <w:p>
      <w:pPr>
        <w:pStyle w:val="Defstart"/>
      </w:pPr>
      <w:r>
        <w:tab/>
      </w:r>
      <w:r>
        <w:rPr>
          <w:rStyle w:val="CharDefText"/>
        </w:rPr>
        <w:t>relevant plan</w:t>
      </w:r>
      <w:r>
        <w:t xml:space="preserve"> means the plan entitled “Subiaco Redevelopment Area 2017”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Gazette 7 Feb 2017 p. 1171; 4 Aug 2017 p. 4315.]</w:t>
      </w:r>
    </w:p>
    <w:p>
      <w:pPr>
        <w:pStyle w:val="Heading5"/>
      </w:pPr>
      <w:bookmarkStart w:id="79" w:name="_Toc406507279"/>
      <w:bookmarkStart w:id="80" w:name="_Toc10193181"/>
      <w:bookmarkStart w:id="81" w:name="_Toc489533355"/>
      <w:r>
        <w:rPr>
          <w:rStyle w:val="CharSectno"/>
        </w:rPr>
        <w:t>14A</w:t>
      </w:r>
      <w:r>
        <w:t>.</w:t>
      </w:r>
      <w:r>
        <w:tab/>
        <w:t>Scarborough redevelopment area</w:t>
      </w:r>
      <w:bookmarkEnd w:id="79"/>
      <w:bookmarkEnd w:id="80"/>
      <w:bookmarkEnd w:id="81"/>
    </w:p>
    <w:p>
      <w:pPr>
        <w:pStyle w:val="Subsection"/>
        <w:keepNext/>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Gazette 30 Aug 2013 p. 4102.]</w:t>
      </w:r>
    </w:p>
    <w:p>
      <w:pPr>
        <w:pStyle w:val="Heading5"/>
      </w:pPr>
      <w:bookmarkStart w:id="82" w:name="_Toc406507280"/>
      <w:bookmarkStart w:id="83" w:name="_Toc10193182"/>
      <w:bookmarkStart w:id="84" w:name="_Toc489533356"/>
      <w:r>
        <w:rPr>
          <w:rStyle w:val="CharSectno"/>
        </w:rPr>
        <w:t>14</w:t>
      </w:r>
      <w:r>
        <w:t>.</w:t>
      </w:r>
      <w:r>
        <w:tab/>
        <w:t>Redevelopment area objectives: s. 30(5)(c)</w:t>
      </w:r>
      <w:bookmarkEnd w:id="82"/>
      <w:bookmarkEnd w:id="83"/>
      <w:bookmarkEnd w:id="84"/>
    </w:p>
    <w:p>
      <w:pPr>
        <w:pStyle w:val="Subsection"/>
      </w:pPr>
      <w:r>
        <w:tab/>
      </w:r>
      <w:r>
        <w:tab/>
        <w:t xml:space="preserve">The objectives of each redevelopment area are as follows — </w:t>
      </w:r>
    </w:p>
    <w:p>
      <w:pPr>
        <w:pStyle w:val="Indenta"/>
      </w:pPr>
      <w:r>
        <w:tab/>
        <w:t>(a)</w:t>
      </w:r>
      <w:r>
        <w:tab/>
        <w:t>to build a sense of place by supporting high</w:t>
      </w:r>
      <w:r>
        <w:noBreakHyphen/>
        <w:t xml:space="preserve">quality urban design, heritage protection, public art and cultural activities that respond to </w:t>
      </w:r>
      <w:smartTag w:uri="urn:schemas-microsoft-com:office:smarttags" w:element="place">
        <w:smartTag w:uri="urn:schemas-microsoft-com:office:smarttags" w:element="City">
          <w:r>
            <w:t>Perth</w:t>
          </w:r>
        </w:smartTag>
      </w:smartTag>
      <w:r>
        <w:t>’s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85" w:name="_Toc377389128"/>
      <w:bookmarkStart w:id="86" w:name="_Toc406507281"/>
      <w:bookmarkStart w:id="87" w:name="_Toc421113569"/>
      <w:bookmarkStart w:id="88" w:name="_Toc421113626"/>
      <w:bookmarkStart w:id="89" w:name="_Toc469577538"/>
      <w:bookmarkStart w:id="90" w:name="_Toc469988512"/>
      <w:bookmarkStart w:id="91" w:name="_Toc474159345"/>
      <w:bookmarkStart w:id="92" w:name="_Toc489533296"/>
      <w:bookmarkStart w:id="93" w:name="_Toc489533357"/>
      <w:bookmarkStart w:id="94" w:name="_Toc10193183"/>
      <w:r>
        <w:rPr>
          <w:rStyle w:val="CharPartNo"/>
        </w:rPr>
        <w:t>Part 4</w:t>
      </w:r>
      <w:r>
        <w:rPr>
          <w:rStyle w:val="CharDivNo"/>
        </w:rPr>
        <w:t> </w:t>
      </w:r>
      <w:r>
        <w:t>—</w:t>
      </w:r>
      <w:r>
        <w:rPr>
          <w:rStyle w:val="CharDivText"/>
        </w:rPr>
        <w:t> </w:t>
      </w:r>
      <w:r>
        <w:rPr>
          <w:rStyle w:val="CharPartText"/>
        </w:rPr>
        <w:t>Development applications</w:t>
      </w:r>
      <w:bookmarkEnd w:id="85"/>
      <w:bookmarkEnd w:id="86"/>
      <w:bookmarkEnd w:id="87"/>
      <w:bookmarkEnd w:id="88"/>
      <w:bookmarkEnd w:id="89"/>
      <w:bookmarkEnd w:id="90"/>
      <w:bookmarkEnd w:id="91"/>
      <w:bookmarkEnd w:id="92"/>
      <w:bookmarkEnd w:id="93"/>
      <w:bookmarkEnd w:id="94"/>
    </w:p>
    <w:p>
      <w:pPr>
        <w:pStyle w:val="Heading5"/>
      </w:pPr>
      <w:bookmarkStart w:id="95" w:name="_Toc406507282"/>
      <w:bookmarkStart w:id="96" w:name="_Toc10193184"/>
      <w:bookmarkStart w:id="97" w:name="_Toc489533358"/>
      <w:r>
        <w:rPr>
          <w:rStyle w:val="CharSectno"/>
        </w:rPr>
        <w:t>15</w:t>
      </w:r>
      <w:r>
        <w:t>.</w:t>
      </w:r>
      <w:r>
        <w:tab/>
        <w:t>Criteria for determining whether development application is standard or major application: s. 63(1)</w:t>
      </w:r>
      <w:bookmarkEnd w:id="95"/>
      <w:bookmarkEnd w:id="96"/>
      <w:bookmarkEnd w:id="97"/>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98" w:name="_Toc406507283"/>
      <w:bookmarkStart w:id="99" w:name="_Toc10193185"/>
      <w:bookmarkStart w:id="100" w:name="_Toc489533359"/>
      <w:r>
        <w:rPr>
          <w:rStyle w:val="CharSectno"/>
        </w:rPr>
        <w:t>16</w:t>
      </w:r>
      <w:r>
        <w:t>.</w:t>
      </w:r>
      <w:r>
        <w:tab/>
        <w:t>Development application</w:t>
      </w:r>
      <w:bookmarkEnd w:id="98"/>
      <w:bookmarkEnd w:id="99"/>
      <w:bookmarkEnd w:id="100"/>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101" w:name="_Toc406507284"/>
      <w:bookmarkStart w:id="102" w:name="_Toc10193186"/>
      <w:bookmarkStart w:id="103" w:name="_Toc489533360"/>
      <w:r>
        <w:rPr>
          <w:rStyle w:val="CharSectno"/>
        </w:rPr>
        <w:t>17</w:t>
      </w:r>
      <w:r>
        <w:t>.</w:t>
      </w:r>
      <w:r>
        <w:tab/>
        <w:t>Plans to accompany development application</w:t>
      </w:r>
      <w:bookmarkEnd w:id="101"/>
      <w:bookmarkEnd w:id="102"/>
      <w:bookmarkEnd w:id="103"/>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104" w:name="_Toc406507285"/>
      <w:bookmarkStart w:id="105" w:name="_Toc10193187"/>
      <w:bookmarkStart w:id="106" w:name="_Toc489533361"/>
      <w:r>
        <w:rPr>
          <w:rStyle w:val="CharSectno"/>
        </w:rPr>
        <w:t>18</w:t>
      </w:r>
      <w:r>
        <w:t>.</w:t>
      </w:r>
      <w:r>
        <w:tab/>
        <w:t>Statements to accompany development application</w:t>
      </w:r>
      <w:bookmarkEnd w:id="104"/>
      <w:bookmarkEnd w:id="105"/>
      <w:bookmarkEnd w:id="106"/>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bookmarkStart w:id="107" w:name="_Toc406507286"/>
      <w:r>
        <w:tab/>
        <w:t>[Regulation 18 amended: Gazette 16 Dec 2016 p. 5707.]</w:t>
      </w:r>
    </w:p>
    <w:p>
      <w:pPr>
        <w:pStyle w:val="Heading5"/>
      </w:pPr>
      <w:bookmarkStart w:id="108" w:name="_Toc10193188"/>
      <w:bookmarkStart w:id="109" w:name="_Toc489533362"/>
      <w:r>
        <w:rPr>
          <w:rStyle w:val="CharSectno"/>
        </w:rPr>
        <w:t>19</w:t>
      </w:r>
      <w:r>
        <w:t>.</w:t>
      </w:r>
      <w:r>
        <w:tab/>
        <w:t>Other material to accompany development application</w:t>
      </w:r>
      <w:bookmarkEnd w:id="107"/>
      <w:bookmarkEnd w:id="108"/>
      <w:bookmarkEnd w:id="109"/>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110" w:name="_Toc406507287"/>
      <w:bookmarkStart w:id="111" w:name="_Toc10193189"/>
      <w:bookmarkStart w:id="112" w:name="_Toc489533363"/>
      <w:r>
        <w:rPr>
          <w:rStyle w:val="CharSectno"/>
        </w:rPr>
        <w:t>20</w:t>
      </w:r>
      <w:r>
        <w:t>.</w:t>
      </w:r>
      <w:r>
        <w:tab/>
        <w:t>Electronic lodgment under regulation 17, 18 or 19</w:t>
      </w:r>
      <w:bookmarkEnd w:id="110"/>
      <w:bookmarkEnd w:id="111"/>
      <w:bookmarkEnd w:id="112"/>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113" w:name="_Toc406507288"/>
      <w:bookmarkStart w:id="114" w:name="_Toc10193190"/>
      <w:bookmarkStart w:id="115" w:name="_Toc489533364"/>
      <w:r>
        <w:rPr>
          <w:rStyle w:val="CharSectno"/>
        </w:rPr>
        <w:t>21</w:t>
      </w:r>
      <w:r>
        <w:t>.</w:t>
      </w:r>
      <w:r>
        <w:tab/>
        <w:t>Authority may request additional information</w:t>
      </w:r>
      <w:bookmarkEnd w:id="113"/>
      <w:bookmarkEnd w:id="114"/>
      <w:bookmarkEnd w:id="115"/>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116" w:name="_Toc406507289"/>
      <w:bookmarkStart w:id="117" w:name="_Toc10193191"/>
      <w:bookmarkStart w:id="118" w:name="_Toc489533365"/>
      <w:r>
        <w:rPr>
          <w:rStyle w:val="CharSectno"/>
        </w:rPr>
        <w:t>22</w:t>
      </w:r>
      <w:r>
        <w:t>.</w:t>
      </w:r>
      <w:r>
        <w:tab/>
        <w:t>Amending development approval on application</w:t>
      </w:r>
      <w:bookmarkEnd w:id="116"/>
      <w:bookmarkEnd w:id="117"/>
      <w:bookmarkEnd w:id="118"/>
    </w:p>
    <w:p>
      <w:pPr>
        <w:pStyle w:val="Subsection"/>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119" w:name="_Toc406507290"/>
      <w:bookmarkStart w:id="120" w:name="_Toc10193192"/>
      <w:bookmarkStart w:id="121" w:name="_Toc489533366"/>
      <w:r>
        <w:rPr>
          <w:rStyle w:val="CharSectno"/>
        </w:rPr>
        <w:t>23</w:t>
      </w:r>
      <w:r>
        <w:t>.</w:t>
      </w:r>
      <w:r>
        <w:tab/>
        <w:t>Review of Authority’s decision by SAT</w:t>
      </w:r>
      <w:bookmarkEnd w:id="119"/>
      <w:bookmarkEnd w:id="120"/>
      <w:bookmarkEnd w:id="121"/>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122" w:name="_Toc377389138"/>
      <w:bookmarkStart w:id="123" w:name="_Toc406507291"/>
      <w:bookmarkStart w:id="124" w:name="_Toc421113579"/>
      <w:bookmarkStart w:id="125" w:name="_Toc421113636"/>
      <w:bookmarkStart w:id="126" w:name="_Toc469577548"/>
      <w:bookmarkStart w:id="127" w:name="_Toc469988522"/>
      <w:bookmarkStart w:id="128" w:name="_Toc474159355"/>
      <w:bookmarkStart w:id="129" w:name="_Toc489533306"/>
      <w:bookmarkStart w:id="130" w:name="_Toc489533367"/>
      <w:bookmarkStart w:id="131" w:name="_Toc10193193"/>
      <w:r>
        <w:rPr>
          <w:rStyle w:val="CharPartNo"/>
        </w:rPr>
        <w:t>Part 5</w:t>
      </w:r>
      <w:r>
        <w:rPr>
          <w:rStyle w:val="CharDivNo"/>
        </w:rPr>
        <w:t> </w:t>
      </w:r>
      <w:r>
        <w:t>—</w:t>
      </w:r>
      <w:r>
        <w:rPr>
          <w:rStyle w:val="CharDivText"/>
        </w:rPr>
        <w:t> </w:t>
      </w:r>
      <w:r>
        <w:rPr>
          <w:rStyle w:val="CharPartText"/>
        </w:rPr>
        <w:t>Functions of Authority</w:t>
      </w:r>
      <w:bookmarkEnd w:id="122"/>
      <w:bookmarkEnd w:id="123"/>
      <w:bookmarkEnd w:id="124"/>
      <w:bookmarkEnd w:id="125"/>
      <w:bookmarkEnd w:id="126"/>
      <w:bookmarkEnd w:id="127"/>
      <w:bookmarkEnd w:id="128"/>
      <w:bookmarkEnd w:id="129"/>
      <w:bookmarkEnd w:id="130"/>
      <w:bookmarkEnd w:id="131"/>
    </w:p>
    <w:p>
      <w:pPr>
        <w:pStyle w:val="Heading5"/>
      </w:pPr>
      <w:bookmarkStart w:id="132" w:name="_Toc406507292"/>
      <w:bookmarkStart w:id="133" w:name="_Toc10193194"/>
      <w:bookmarkStart w:id="134" w:name="_Toc489533368"/>
      <w:r>
        <w:rPr>
          <w:rStyle w:val="CharSectno"/>
        </w:rPr>
        <w:t>24</w:t>
      </w:r>
      <w:r>
        <w:t>.</w:t>
      </w:r>
      <w:r>
        <w:tab/>
        <w:t>Delegation: s. 14</w:t>
      </w:r>
      <w:bookmarkEnd w:id="132"/>
      <w:bookmarkEnd w:id="133"/>
      <w:bookmarkEnd w:id="134"/>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135" w:name="_Toc406507293"/>
      <w:bookmarkStart w:id="136" w:name="_Toc10193195"/>
      <w:bookmarkStart w:id="137" w:name="_Toc489533369"/>
      <w:r>
        <w:rPr>
          <w:rStyle w:val="CharSectno"/>
        </w:rPr>
        <w:t>25</w:t>
      </w:r>
      <w:r>
        <w:t>.</w:t>
      </w:r>
      <w:r>
        <w:tab/>
        <w:t>Value of land acquired or disposed of: s. 18</w:t>
      </w:r>
      <w:bookmarkEnd w:id="135"/>
      <w:bookmarkEnd w:id="136"/>
      <w:bookmarkEnd w:id="137"/>
    </w:p>
    <w:p>
      <w:pPr>
        <w:pStyle w:val="Subsection"/>
      </w:pPr>
      <w:r>
        <w:tab/>
      </w:r>
      <w:r>
        <w:tab/>
        <w:t>For the purposes of section 18(2), the amount prescribed is $5 million.</w:t>
      </w:r>
    </w:p>
    <w:p>
      <w:pPr>
        <w:pStyle w:val="Heading5"/>
      </w:pPr>
      <w:bookmarkStart w:id="138" w:name="_Toc406507294"/>
      <w:bookmarkStart w:id="139" w:name="_Toc10193196"/>
      <w:bookmarkStart w:id="140" w:name="_Toc489533370"/>
      <w:r>
        <w:rPr>
          <w:rStyle w:val="CharSectno"/>
        </w:rPr>
        <w:t>26</w:t>
      </w:r>
      <w:r>
        <w:t>.</w:t>
      </w:r>
      <w:r>
        <w:tab/>
        <w:t>Business plans: s. 113</w:t>
      </w:r>
      <w:bookmarkEnd w:id="138"/>
      <w:bookmarkEnd w:id="139"/>
      <w:bookmarkEnd w:id="140"/>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141" w:name="_Toc406507295"/>
      <w:bookmarkStart w:id="142" w:name="_Toc10193197"/>
      <w:bookmarkStart w:id="143" w:name="_Toc489533371"/>
      <w:r>
        <w:rPr>
          <w:rStyle w:val="CharSectno"/>
        </w:rPr>
        <w:t>27</w:t>
      </w:r>
      <w:r>
        <w:t>.</w:t>
      </w:r>
      <w:r>
        <w:tab/>
        <w:t>Operational plans: s. 113</w:t>
      </w:r>
      <w:bookmarkEnd w:id="141"/>
      <w:bookmarkEnd w:id="142"/>
      <w:bookmarkEnd w:id="143"/>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144" w:name="_Toc377389143"/>
      <w:bookmarkStart w:id="145" w:name="_Toc406507296"/>
      <w:bookmarkStart w:id="146" w:name="_Toc421113584"/>
      <w:bookmarkStart w:id="147" w:name="_Toc421113641"/>
      <w:bookmarkStart w:id="148" w:name="_Toc469577553"/>
      <w:bookmarkStart w:id="149" w:name="_Toc469988527"/>
      <w:bookmarkStart w:id="150" w:name="_Toc474159360"/>
      <w:bookmarkStart w:id="151" w:name="_Toc489533311"/>
      <w:bookmarkStart w:id="152" w:name="_Toc489533372"/>
      <w:bookmarkStart w:id="153" w:name="_Toc10193198"/>
      <w:r>
        <w:rPr>
          <w:rStyle w:val="CharPartNo"/>
        </w:rPr>
        <w:t>Part 6</w:t>
      </w:r>
      <w:r>
        <w:t> — </w:t>
      </w:r>
      <w:r>
        <w:rPr>
          <w:rStyle w:val="CharPartText"/>
        </w:rPr>
        <w:t>Fees and charges</w:t>
      </w:r>
      <w:bookmarkEnd w:id="144"/>
      <w:bookmarkEnd w:id="145"/>
      <w:bookmarkEnd w:id="146"/>
      <w:bookmarkEnd w:id="147"/>
      <w:bookmarkEnd w:id="148"/>
      <w:bookmarkEnd w:id="149"/>
      <w:bookmarkEnd w:id="150"/>
      <w:bookmarkEnd w:id="151"/>
      <w:bookmarkEnd w:id="152"/>
      <w:bookmarkEnd w:id="153"/>
    </w:p>
    <w:p>
      <w:pPr>
        <w:pStyle w:val="Heading3"/>
      </w:pPr>
      <w:bookmarkStart w:id="154" w:name="_Toc377389144"/>
      <w:bookmarkStart w:id="155" w:name="_Toc406507297"/>
      <w:bookmarkStart w:id="156" w:name="_Toc421113585"/>
      <w:bookmarkStart w:id="157" w:name="_Toc421113642"/>
      <w:bookmarkStart w:id="158" w:name="_Toc469577554"/>
      <w:bookmarkStart w:id="159" w:name="_Toc469988528"/>
      <w:bookmarkStart w:id="160" w:name="_Toc474159361"/>
      <w:bookmarkStart w:id="161" w:name="_Toc489533312"/>
      <w:bookmarkStart w:id="162" w:name="_Toc489533373"/>
      <w:bookmarkStart w:id="163" w:name="_Toc10193199"/>
      <w:r>
        <w:rPr>
          <w:rStyle w:val="CharDivNo"/>
        </w:rPr>
        <w:t>Division 1</w:t>
      </w:r>
      <w:r>
        <w:t> — </w:t>
      </w:r>
      <w:r>
        <w:rPr>
          <w:rStyle w:val="CharDivText"/>
        </w:rPr>
        <w:t>General</w:t>
      </w:r>
      <w:bookmarkEnd w:id="154"/>
      <w:bookmarkEnd w:id="155"/>
      <w:bookmarkEnd w:id="156"/>
      <w:bookmarkEnd w:id="157"/>
      <w:bookmarkEnd w:id="158"/>
      <w:bookmarkEnd w:id="159"/>
      <w:bookmarkEnd w:id="160"/>
      <w:bookmarkEnd w:id="161"/>
      <w:bookmarkEnd w:id="162"/>
      <w:bookmarkEnd w:id="163"/>
    </w:p>
    <w:p>
      <w:pPr>
        <w:pStyle w:val="Heading5"/>
      </w:pPr>
      <w:bookmarkStart w:id="164" w:name="_Toc406507298"/>
      <w:bookmarkStart w:id="165" w:name="_Toc10193200"/>
      <w:bookmarkStart w:id="166" w:name="_Toc489533374"/>
      <w:r>
        <w:rPr>
          <w:rStyle w:val="CharSectno"/>
        </w:rPr>
        <w:t>28</w:t>
      </w:r>
      <w:r>
        <w:t>.</w:t>
      </w:r>
      <w:r>
        <w:tab/>
        <w:t>Terms used</w:t>
      </w:r>
      <w:bookmarkEnd w:id="164"/>
      <w:bookmarkEnd w:id="165"/>
      <w:bookmarkEnd w:id="166"/>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167" w:name="_Toc406507299"/>
      <w:bookmarkStart w:id="168" w:name="_Toc10193201"/>
      <w:bookmarkStart w:id="169" w:name="_Toc489533375"/>
      <w:r>
        <w:rPr>
          <w:rStyle w:val="CharSectno"/>
        </w:rPr>
        <w:t>29</w:t>
      </w:r>
      <w:r>
        <w:t>.</w:t>
      </w:r>
      <w:r>
        <w:tab/>
        <w:t>Fees for certain services</w:t>
      </w:r>
      <w:bookmarkEnd w:id="167"/>
      <w:bookmarkEnd w:id="168"/>
      <w:bookmarkEnd w:id="169"/>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170" w:name="_Toc406507300"/>
      <w:bookmarkStart w:id="171" w:name="_Toc10193202"/>
      <w:bookmarkStart w:id="172" w:name="_Toc489533376"/>
      <w:r>
        <w:rPr>
          <w:rStyle w:val="CharSectno"/>
        </w:rPr>
        <w:t>30</w:t>
      </w:r>
      <w:r>
        <w:t>.</w:t>
      </w:r>
      <w:r>
        <w:tab/>
        <w:t>Fees relating to structure plans and scheme amendments etc.</w:t>
      </w:r>
      <w:bookmarkEnd w:id="170"/>
      <w:bookmarkEnd w:id="171"/>
      <w:bookmarkEnd w:id="172"/>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173" w:name="_Toc406507301"/>
      <w:bookmarkStart w:id="174" w:name="_Toc10193203"/>
      <w:bookmarkStart w:id="175" w:name="_Toc489533377"/>
      <w:r>
        <w:rPr>
          <w:rStyle w:val="CharSectno"/>
        </w:rPr>
        <w:t>31</w:t>
      </w:r>
      <w:r>
        <w:t>.</w:t>
      </w:r>
      <w:r>
        <w:tab/>
        <w:t>Additional costs and expenses payable by applicants</w:t>
      </w:r>
      <w:bookmarkEnd w:id="173"/>
      <w:bookmarkEnd w:id="174"/>
      <w:bookmarkEnd w:id="175"/>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176" w:name="_Toc406507302"/>
      <w:bookmarkStart w:id="177" w:name="_Toc10193204"/>
      <w:bookmarkStart w:id="178" w:name="_Toc489533378"/>
      <w:r>
        <w:rPr>
          <w:rStyle w:val="CharSectno"/>
        </w:rPr>
        <w:t>32</w:t>
      </w:r>
      <w:r>
        <w:t>.</w:t>
      </w:r>
      <w:r>
        <w:tab/>
        <w:t>Itemised account to be provided on request</w:t>
      </w:r>
      <w:bookmarkEnd w:id="176"/>
      <w:bookmarkEnd w:id="177"/>
      <w:bookmarkEnd w:id="178"/>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179" w:name="_Toc406507303"/>
      <w:bookmarkStart w:id="180" w:name="_Toc10193205"/>
      <w:bookmarkStart w:id="181" w:name="_Toc489533379"/>
      <w:r>
        <w:rPr>
          <w:rStyle w:val="CharSectno"/>
        </w:rPr>
        <w:t>33</w:t>
      </w:r>
      <w:r>
        <w:t>.</w:t>
      </w:r>
      <w:r>
        <w:tab/>
        <w:t>Dispute as to amount payable</w:t>
      </w:r>
      <w:bookmarkEnd w:id="179"/>
      <w:bookmarkEnd w:id="180"/>
      <w:bookmarkEnd w:id="181"/>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82" w:name="_Toc406507304"/>
      <w:bookmarkStart w:id="183" w:name="_Toc10193206"/>
      <w:bookmarkStart w:id="184" w:name="_Toc489533380"/>
      <w:r>
        <w:rPr>
          <w:rStyle w:val="CharSectno"/>
        </w:rPr>
        <w:t>34</w:t>
      </w:r>
      <w:r>
        <w:t>.</w:t>
      </w:r>
      <w:r>
        <w:tab/>
        <w:t>Authority may waive or refund fee</w:t>
      </w:r>
      <w:bookmarkEnd w:id="182"/>
      <w:bookmarkEnd w:id="183"/>
      <w:bookmarkEnd w:id="184"/>
    </w:p>
    <w:p>
      <w:pPr>
        <w:pStyle w:val="Subsection"/>
      </w:pPr>
      <w:r>
        <w:tab/>
      </w:r>
      <w:r>
        <w:tab/>
        <w:t>The Authority may waive or refund, in whole or in part, the payment of a fee imposed under this Division.</w:t>
      </w:r>
    </w:p>
    <w:p>
      <w:pPr>
        <w:pStyle w:val="Heading3"/>
      </w:pPr>
      <w:bookmarkStart w:id="185" w:name="_Toc377389152"/>
      <w:bookmarkStart w:id="186" w:name="_Toc406507305"/>
      <w:bookmarkStart w:id="187" w:name="_Toc421113593"/>
      <w:bookmarkStart w:id="188" w:name="_Toc421113650"/>
      <w:bookmarkStart w:id="189" w:name="_Toc469577562"/>
      <w:bookmarkStart w:id="190" w:name="_Toc469988536"/>
      <w:bookmarkStart w:id="191" w:name="_Toc474159369"/>
      <w:bookmarkStart w:id="192" w:name="_Toc489533320"/>
      <w:bookmarkStart w:id="193" w:name="_Toc489533381"/>
      <w:bookmarkStart w:id="194" w:name="_Toc10193207"/>
      <w:r>
        <w:rPr>
          <w:rStyle w:val="CharDivNo"/>
        </w:rPr>
        <w:t>Division 2</w:t>
      </w:r>
      <w:r>
        <w:t> — </w:t>
      </w:r>
      <w:r>
        <w:rPr>
          <w:rStyle w:val="CharDivText"/>
        </w:rPr>
        <w:t>Fees Arbitration Panels</w:t>
      </w:r>
      <w:bookmarkEnd w:id="185"/>
      <w:bookmarkEnd w:id="186"/>
      <w:bookmarkEnd w:id="187"/>
      <w:bookmarkEnd w:id="188"/>
      <w:bookmarkEnd w:id="189"/>
      <w:bookmarkEnd w:id="190"/>
      <w:bookmarkEnd w:id="191"/>
      <w:bookmarkEnd w:id="192"/>
      <w:bookmarkEnd w:id="193"/>
      <w:bookmarkEnd w:id="194"/>
    </w:p>
    <w:p>
      <w:pPr>
        <w:pStyle w:val="Heading5"/>
      </w:pPr>
      <w:bookmarkStart w:id="195" w:name="_Toc406507306"/>
      <w:bookmarkStart w:id="196" w:name="_Toc10193208"/>
      <w:bookmarkStart w:id="197" w:name="_Toc489533382"/>
      <w:r>
        <w:rPr>
          <w:rStyle w:val="CharSectno"/>
        </w:rPr>
        <w:t>35</w:t>
      </w:r>
      <w:r>
        <w:t>.</w:t>
      </w:r>
      <w:r>
        <w:tab/>
        <w:t>Fees Arbitration Panels</w:t>
      </w:r>
      <w:bookmarkEnd w:id="195"/>
      <w:bookmarkEnd w:id="196"/>
      <w:bookmarkEnd w:id="197"/>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98" w:name="_Toc406507307"/>
      <w:bookmarkStart w:id="199" w:name="_Toc10193209"/>
      <w:bookmarkStart w:id="200" w:name="_Toc489533383"/>
      <w:r>
        <w:rPr>
          <w:rStyle w:val="CharSectno"/>
        </w:rPr>
        <w:t>36</w:t>
      </w:r>
      <w:r>
        <w:t>.</w:t>
      </w:r>
      <w:r>
        <w:tab/>
        <w:t>Panel meetings</w:t>
      </w:r>
      <w:bookmarkEnd w:id="198"/>
      <w:bookmarkEnd w:id="199"/>
      <w:bookmarkEnd w:id="200"/>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201" w:name="_Toc406507308"/>
      <w:bookmarkStart w:id="202" w:name="_Toc10193210"/>
      <w:bookmarkStart w:id="203" w:name="_Toc489533384"/>
      <w:r>
        <w:rPr>
          <w:rStyle w:val="CharSectno"/>
        </w:rPr>
        <w:t>37</w:t>
      </w:r>
      <w:r>
        <w:t>.</w:t>
      </w:r>
      <w:r>
        <w:tab/>
        <w:t>Decisions of a Panel</w:t>
      </w:r>
      <w:bookmarkEnd w:id="201"/>
      <w:bookmarkEnd w:id="202"/>
      <w:bookmarkEnd w:id="203"/>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204" w:name="_Toc377389156"/>
      <w:bookmarkStart w:id="205" w:name="_Toc406507309"/>
      <w:bookmarkStart w:id="206" w:name="_Toc421113597"/>
      <w:bookmarkStart w:id="207" w:name="_Toc421113654"/>
      <w:bookmarkStart w:id="208" w:name="_Toc469577566"/>
      <w:bookmarkStart w:id="209" w:name="_Toc469988540"/>
      <w:bookmarkStart w:id="210" w:name="_Toc474159373"/>
      <w:bookmarkStart w:id="211" w:name="_Toc489533324"/>
      <w:bookmarkStart w:id="212" w:name="_Toc489533385"/>
      <w:bookmarkStart w:id="213" w:name="_Toc10193211"/>
      <w:r>
        <w:rPr>
          <w:rStyle w:val="CharPartNo"/>
        </w:rPr>
        <w:t>Part 7</w:t>
      </w:r>
      <w:r>
        <w:rPr>
          <w:rStyle w:val="CharDivNo"/>
        </w:rPr>
        <w:t> </w:t>
      </w:r>
      <w:r>
        <w:t>—</w:t>
      </w:r>
      <w:r>
        <w:rPr>
          <w:rStyle w:val="CharDivText"/>
        </w:rPr>
        <w:t> </w:t>
      </w:r>
      <w:r>
        <w:rPr>
          <w:rStyle w:val="CharPartText"/>
        </w:rPr>
        <w:t>Miscellaneous</w:t>
      </w:r>
      <w:bookmarkEnd w:id="204"/>
      <w:bookmarkEnd w:id="205"/>
      <w:bookmarkEnd w:id="206"/>
      <w:bookmarkEnd w:id="207"/>
      <w:bookmarkEnd w:id="208"/>
      <w:bookmarkEnd w:id="209"/>
      <w:bookmarkEnd w:id="210"/>
      <w:bookmarkEnd w:id="211"/>
      <w:bookmarkEnd w:id="212"/>
      <w:bookmarkEnd w:id="213"/>
    </w:p>
    <w:p>
      <w:pPr>
        <w:pStyle w:val="Heading5"/>
      </w:pPr>
      <w:bookmarkStart w:id="214" w:name="_Toc406507310"/>
      <w:bookmarkStart w:id="215" w:name="_Toc10193212"/>
      <w:bookmarkStart w:id="216" w:name="_Toc489533386"/>
      <w:r>
        <w:rPr>
          <w:rStyle w:val="CharSectno"/>
        </w:rPr>
        <w:t>38</w:t>
      </w:r>
      <w:r>
        <w:t>.</w:t>
      </w:r>
      <w:r>
        <w:tab/>
        <w:t>Closely associated persons: s. 95</w:t>
      </w:r>
      <w:bookmarkEnd w:id="214"/>
      <w:bookmarkEnd w:id="215"/>
      <w:bookmarkEnd w:id="216"/>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217" w:name="_Toc406507311"/>
      <w:bookmarkStart w:id="218" w:name="_Toc10193213"/>
      <w:bookmarkStart w:id="219" w:name="_Toc489533387"/>
      <w:r>
        <w:rPr>
          <w:rStyle w:val="CharSectno"/>
        </w:rPr>
        <w:t>39</w:t>
      </w:r>
      <w:r>
        <w:t>.</w:t>
      </w:r>
      <w:r>
        <w:tab/>
        <w:t>Offences</w:t>
      </w:r>
      <w:bookmarkEnd w:id="217"/>
      <w:bookmarkEnd w:id="218"/>
      <w:bookmarkEnd w:id="219"/>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220" w:name="_Toc5021015"/>
      <w:bookmarkStart w:id="221" w:name="_Toc5021021"/>
      <w:bookmarkStart w:id="222" w:name="_Toc5026458"/>
      <w:bookmarkStart w:id="223" w:name="_Toc10121209"/>
      <w:bookmarkStart w:id="224" w:name="_Toc10193214"/>
      <w:bookmarkStart w:id="225" w:name="_Toc377389159"/>
      <w:bookmarkStart w:id="226" w:name="_Toc406507312"/>
      <w:bookmarkStart w:id="227" w:name="_Toc421113600"/>
      <w:bookmarkStart w:id="228" w:name="_Toc421113657"/>
      <w:bookmarkStart w:id="229" w:name="_Toc469577569"/>
      <w:bookmarkStart w:id="230" w:name="_Toc469988543"/>
      <w:bookmarkStart w:id="231" w:name="_Toc474159376"/>
      <w:bookmarkStart w:id="232" w:name="_Toc489533327"/>
      <w:bookmarkStart w:id="233" w:name="_Toc489533388"/>
      <w:r>
        <w:rPr>
          <w:rStyle w:val="CharSchNo"/>
        </w:rPr>
        <w:t>Schedule</w:t>
      </w:r>
      <w:del w:id="234" w:author="Master Repository Process" w:date="2021-08-29T08:33:00Z">
        <w:r>
          <w:rPr>
            <w:rStyle w:val="CharSchNo"/>
          </w:rPr>
          <w:delText xml:space="preserve"> </w:delText>
        </w:r>
      </w:del>
      <w:ins w:id="235" w:author="Master Repository Process" w:date="2021-08-29T08:33:00Z">
        <w:r>
          <w:rPr>
            <w:rStyle w:val="CharSchNo"/>
          </w:rPr>
          <w:t> </w:t>
        </w:r>
      </w:ins>
      <w:r>
        <w:rPr>
          <w:rStyle w:val="CharSchNo"/>
        </w:rPr>
        <w:t>1</w:t>
      </w:r>
      <w:r>
        <w:rPr>
          <w:rStyle w:val="CharSDivNo"/>
        </w:rPr>
        <w:t> </w:t>
      </w:r>
      <w:r>
        <w:t>—</w:t>
      </w:r>
      <w:r>
        <w:rPr>
          <w:rStyle w:val="CharSDivText"/>
        </w:rPr>
        <w:t> </w:t>
      </w:r>
      <w:r>
        <w:rPr>
          <w:rStyle w:val="CharSchText"/>
        </w:rPr>
        <w:t>Armadale redevelopment area</w:t>
      </w:r>
      <w:bookmarkEnd w:id="220"/>
      <w:bookmarkEnd w:id="221"/>
      <w:bookmarkEnd w:id="222"/>
      <w:bookmarkEnd w:id="223"/>
      <w:bookmarkEnd w:id="224"/>
    </w:p>
    <w:p>
      <w:pPr>
        <w:pStyle w:val="yShoulderClause"/>
      </w:pPr>
      <w:r>
        <w:t>[r. 10(4)]</w:t>
      </w:r>
    </w:p>
    <w:p>
      <w:pPr>
        <w:pStyle w:val="ySubsection"/>
        <w:rPr>
          <w:del w:id="236" w:author="Master Repository Process" w:date="2021-08-29T08:33:00Z"/>
        </w:rPr>
      </w:pPr>
      <w:del w:id="237" w:author="Master Repository Process" w:date="2021-08-29T08:33:00Z">
        <w:r>
          <w:rPr>
            <w:noProof/>
          </w:rPr>
          <w:drawing>
            <wp:inline distT="0" distB="0" distL="0" distR="0">
              <wp:extent cx="4542155" cy="5521960"/>
              <wp:effectExtent l="0" t="0" r="0" b="2540"/>
              <wp:docPr id="1" name="Picture 1" descr="RedevelopmentAreaMaps_Armadale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evelopmentAreaMaps_Armadale_2011120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42155" cy="5521960"/>
                      </a:xfrm>
                      <a:prstGeom prst="rect">
                        <a:avLst/>
                      </a:prstGeom>
                      <a:noFill/>
                      <a:ln>
                        <a:noFill/>
                      </a:ln>
                    </pic:spPr>
                  </pic:pic>
                </a:graphicData>
              </a:graphic>
            </wp:inline>
          </w:drawing>
        </w:r>
      </w:del>
    </w:p>
    <w:p>
      <w:pPr>
        <w:pStyle w:val="yFootnoteheading"/>
        <w:rPr>
          <w:ins w:id="238" w:author="Master Repository Process" w:date="2021-08-29T08:33:00Z"/>
        </w:rPr>
      </w:pPr>
      <w:ins w:id="239" w:author="Master Repository Process" w:date="2021-08-29T08:33:00Z">
        <w:r>
          <w:tab/>
          <w:t>[Heading inserted: Gazette 31 May 2019 p. 1716.]</w:t>
        </w:r>
      </w:ins>
    </w:p>
    <w:p>
      <w:pPr>
        <w:pStyle w:val="ySubsection"/>
        <w:rPr>
          <w:ins w:id="240" w:author="Master Repository Process" w:date="2021-08-29T08:33:00Z"/>
        </w:rPr>
      </w:pPr>
      <w:ins w:id="241" w:author="Master Repository Process" w:date="2021-08-29T08:33:00Z">
        <w:r>
          <w:rPr>
            <w:noProof/>
          </w:rPr>
          <w:drawing>
            <wp:inline distT="0" distB="0" distL="0" distR="0">
              <wp:extent cx="3716122" cy="481706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721132" cy="4823554"/>
                      </a:xfrm>
                      <a:prstGeom prst="rect">
                        <a:avLst/>
                      </a:prstGeom>
                    </pic:spPr>
                  </pic:pic>
                </a:graphicData>
              </a:graphic>
            </wp:inline>
          </w:drawing>
        </w:r>
      </w:ins>
    </w:p>
    <w:p>
      <w:pPr>
        <w:pStyle w:val="yFootnotesection"/>
        <w:rPr>
          <w:ins w:id="242" w:author="Master Repository Process" w:date="2021-08-29T08:33:00Z"/>
        </w:rPr>
      </w:pPr>
      <w:ins w:id="243" w:author="Master Repository Process" w:date="2021-08-29T08:33:00Z">
        <w:r>
          <w:tab/>
          <w:t>[Schedule 1 inserted: Gazette 31 May 2019 p. 1716.]</w:t>
        </w:r>
      </w:ins>
    </w:p>
    <w:p>
      <w:pPr>
        <w:pStyle w:val="yScheduleHeading"/>
      </w:pPr>
      <w:bookmarkStart w:id="244" w:name="_Toc377389160"/>
      <w:bookmarkStart w:id="245" w:name="_Toc406507313"/>
      <w:bookmarkStart w:id="246" w:name="_Toc421113601"/>
      <w:bookmarkStart w:id="247" w:name="_Toc421113658"/>
      <w:bookmarkStart w:id="248" w:name="_Toc469577570"/>
      <w:bookmarkStart w:id="249" w:name="_Toc469988544"/>
      <w:bookmarkStart w:id="250" w:name="_Toc474159377"/>
      <w:bookmarkStart w:id="251" w:name="_Toc489533328"/>
      <w:bookmarkStart w:id="252" w:name="_Toc489533389"/>
      <w:bookmarkStart w:id="253" w:name="_Toc10193215"/>
      <w:bookmarkEnd w:id="225"/>
      <w:bookmarkEnd w:id="226"/>
      <w:bookmarkEnd w:id="227"/>
      <w:bookmarkEnd w:id="228"/>
      <w:bookmarkEnd w:id="229"/>
      <w:bookmarkEnd w:id="230"/>
      <w:bookmarkEnd w:id="231"/>
      <w:bookmarkEnd w:id="232"/>
      <w:bookmarkEnd w:id="233"/>
      <w:r>
        <w:rPr>
          <w:rStyle w:val="CharSchNo"/>
        </w:rPr>
        <w:t>Schedule 2</w:t>
      </w:r>
      <w:r>
        <w:rPr>
          <w:rStyle w:val="CharSDivNo"/>
        </w:rPr>
        <w:t> </w:t>
      </w:r>
      <w:r>
        <w:t>—</w:t>
      </w:r>
      <w:r>
        <w:rPr>
          <w:rStyle w:val="CharSDivText"/>
        </w:rPr>
        <w:t> </w:t>
      </w:r>
      <w:smartTag w:uri="urn:schemas-microsoft-com:office:smarttags" w:element="place">
        <w:r>
          <w:rPr>
            <w:rStyle w:val="CharSchText"/>
          </w:rPr>
          <w:t>Central Perth</w:t>
        </w:r>
      </w:smartTag>
      <w:r>
        <w:rPr>
          <w:rStyle w:val="CharSchText"/>
        </w:rPr>
        <w:t xml:space="preserve"> redevelopment area</w:t>
      </w:r>
      <w:bookmarkEnd w:id="244"/>
      <w:bookmarkEnd w:id="245"/>
      <w:bookmarkEnd w:id="246"/>
      <w:bookmarkEnd w:id="247"/>
      <w:bookmarkEnd w:id="248"/>
      <w:bookmarkEnd w:id="249"/>
      <w:bookmarkEnd w:id="250"/>
      <w:bookmarkEnd w:id="251"/>
      <w:bookmarkEnd w:id="252"/>
      <w:bookmarkEnd w:id="253"/>
    </w:p>
    <w:p>
      <w:pPr>
        <w:pStyle w:val="yShoulderClause"/>
      </w:pPr>
      <w:r>
        <w:t>[r. 11(4)]</w:t>
      </w:r>
    </w:p>
    <w:p>
      <w:pPr>
        <w:pStyle w:val="ySubsection"/>
      </w:pPr>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254" w:name="_Toc406507314"/>
      <w:bookmarkStart w:id="255" w:name="_Toc421113602"/>
      <w:bookmarkStart w:id="256" w:name="_Toc421113659"/>
      <w:bookmarkStart w:id="257" w:name="_Toc469577571"/>
      <w:bookmarkStart w:id="258" w:name="_Toc469988545"/>
      <w:bookmarkStart w:id="259" w:name="_Toc474159378"/>
      <w:bookmarkStart w:id="260" w:name="_Toc489533329"/>
      <w:bookmarkStart w:id="261" w:name="_Toc489533390"/>
      <w:bookmarkStart w:id="262" w:name="_Toc10193216"/>
      <w:bookmarkStart w:id="263" w:name="_Toc377389161"/>
      <w:r>
        <w:rPr>
          <w:rStyle w:val="CharSchNo"/>
        </w:rPr>
        <w:t>Schedule 3</w:t>
      </w:r>
      <w:r>
        <w:t> — </w:t>
      </w:r>
      <w:r>
        <w:rPr>
          <w:rStyle w:val="CharSchText"/>
        </w:rPr>
        <w:t>Midland redevelopment area</w:t>
      </w:r>
      <w:bookmarkEnd w:id="254"/>
      <w:bookmarkEnd w:id="255"/>
      <w:bookmarkEnd w:id="256"/>
      <w:bookmarkEnd w:id="257"/>
      <w:bookmarkEnd w:id="258"/>
      <w:bookmarkEnd w:id="259"/>
      <w:bookmarkEnd w:id="260"/>
      <w:bookmarkEnd w:id="261"/>
      <w:bookmarkEnd w:id="262"/>
    </w:p>
    <w:p>
      <w:pPr>
        <w:pStyle w:val="yShoulderClause"/>
      </w:pPr>
      <w:r>
        <w:t>[r. 12(4)]</w:t>
      </w:r>
    </w:p>
    <w:p>
      <w:pPr>
        <w:pStyle w:val="yFootnoteheading"/>
      </w:pPr>
      <w:r>
        <w:tab/>
        <w:t>[Heading inserted: Gazette 16 Dec 2014 p. 4763.]</w:t>
      </w:r>
    </w:p>
    <w:p>
      <w:pPr>
        <w:pStyle w:val="ySubsection"/>
        <w:jc w:val="center"/>
      </w:pPr>
      <w:r>
        <w:rPr>
          <w:noProof/>
        </w:rPr>
        <w:drawing>
          <wp:inline distT="0" distB="0" distL="0" distR="0">
            <wp:extent cx="4369623" cy="510398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369623" cy="5103984"/>
                    </a:xfrm>
                    <a:prstGeom prst="rect">
                      <a:avLst/>
                    </a:prstGeom>
                  </pic:spPr>
                </pic:pic>
              </a:graphicData>
            </a:graphic>
          </wp:inline>
        </w:drawing>
      </w:r>
    </w:p>
    <w:p>
      <w:pPr>
        <w:pStyle w:val="yFootnotesection"/>
      </w:pPr>
      <w:r>
        <w:tab/>
        <w:t>[Schedule 3 inserted: Gazette 16 Dec 2014 p. 4763.]</w:t>
      </w:r>
    </w:p>
    <w:p>
      <w:pPr>
        <w:pStyle w:val="yScheduleHeading"/>
      </w:pPr>
      <w:bookmarkStart w:id="264" w:name="_Toc487029762"/>
      <w:bookmarkStart w:id="265" w:name="_Toc487029768"/>
      <w:bookmarkStart w:id="266" w:name="_Toc487030143"/>
      <w:bookmarkStart w:id="267" w:name="_Toc487030843"/>
      <w:bookmarkStart w:id="268" w:name="_Toc487030888"/>
      <w:bookmarkStart w:id="269" w:name="_Toc489533330"/>
      <w:bookmarkStart w:id="270" w:name="_Toc489533391"/>
      <w:bookmarkStart w:id="271" w:name="_Toc10193217"/>
      <w:bookmarkStart w:id="272" w:name="_Toc471808003"/>
      <w:bookmarkStart w:id="273" w:name="_Toc471808009"/>
      <w:bookmarkStart w:id="274" w:name="_Toc471808400"/>
      <w:bookmarkStart w:id="275" w:name="_Toc471808787"/>
      <w:bookmarkStart w:id="276" w:name="_Toc471808865"/>
      <w:bookmarkStart w:id="277" w:name="_Toc474159379"/>
      <w:bookmarkStart w:id="278" w:name="_Toc377389162"/>
      <w:bookmarkStart w:id="279" w:name="_Toc406507315"/>
      <w:bookmarkStart w:id="280" w:name="_Toc421113603"/>
      <w:bookmarkStart w:id="281" w:name="_Toc421113660"/>
      <w:bookmarkStart w:id="282" w:name="_Toc469577572"/>
      <w:bookmarkStart w:id="283" w:name="_Toc469988546"/>
      <w:bookmarkEnd w:id="263"/>
      <w:r>
        <w:t>Schedule 4 — Subiaco redevelopment area</w:t>
      </w:r>
      <w:bookmarkEnd w:id="264"/>
      <w:bookmarkEnd w:id="265"/>
      <w:bookmarkEnd w:id="266"/>
      <w:bookmarkEnd w:id="267"/>
      <w:bookmarkEnd w:id="268"/>
      <w:bookmarkEnd w:id="269"/>
      <w:bookmarkEnd w:id="270"/>
      <w:bookmarkEnd w:id="271"/>
    </w:p>
    <w:p>
      <w:pPr>
        <w:pStyle w:val="yShoulderClause"/>
      </w:pPr>
      <w:r>
        <w:t>[r. 13(4)]</w:t>
      </w:r>
    </w:p>
    <w:p>
      <w:pPr>
        <w:pStyle w:val="yFootnoteheading"/>
      </w:pPr>
      <w:r>
        <w:tab/>
        <w:t>[Heading inserted: Gazette 4 Aug 2017 p. 4315.]</w:t>
      </w:r>
    </w:p>
    <w:p>
      <w:pPr>
        <w:pStyle w:val="ySubsection"/>
      </w:pPr>
      <w:r>
        <w:rPr>
          <w:noProof/>
        </w:rPr>
        <w:drawing>
          <wp:inline distT="0" distB="0" distL="0" distR="0">
            <wp:extent cx="4131325" cy="2187620"/>
            <wp:effectExtent l="0" t="0" r="254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Redevelopment-Area-2017(0704) (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56287" cy="2200838"/>
                    </a:xfrm>
                    <a:prstGeom prst="rect">
                      <a:avLst/>
                    </a:prstGeom>
                  </pic:spPr>
                </pic:pic>
              </a:graphicData>
            </a:graphic>
          </wp:inline>
        </w:drawing>
      </w:r>
    </w:p>
    <w:p>
      <w:pPr>
        <w:pStyle w:val="yFootnotesection"/>
      </w:pPr>
      <w:r>
        <w:tab/>
        <w:t>[Schedule 4 inserted: Gazette 4 Aug 2017 p. 4315.]</w:t>
      </w:r>
    </w:p>
    <w:p>
      <w:pPr>
        <w:pStyle w:val="yScheduleHeading"/>
      </w:pPr>
      <w:bookmarkStart w:id="284" w:name="_Toc377389163"/>
      <w:bookmarkStart w:id="285" w:name="_Toc406507316"/>
      <w:bookmarkStart w:id="286" w:name="_Toc421113604"/>
      <w:bookmarkStart w:id="287" w:name="_Toc421113661"/>
      <w:bookmarkStart w:id="288" w:name="_Toc469577573"/>
      <w:bookmarkStart w:id="289" w:name="_Toc469988547"/>
      <w:bookmarkStart w:id="290" w:name="_Toc474159380"/>
      <w:bookmarkStart w:id="291" w:name="_Toc489533331"/>
      <w:bookmarkStart w:id="292" w:name="_Toc489533392"/>
      <w:bookmarkStart w:id="293" w:name="_Toc10193218"/>
      <w:bookmarkEnd w:id="272"/>
      <w:bookmarkEnd w:id="273"/>
      <w:bookmarkEnd w:id="274"/>
      <w:bookmarkEnd w:id="275"/>
      <w:bookmarkEnd w:id="276"/>
      <w:bookmarkEnd w:id="277"/>
      <w:bookmarkEnd w:id="278"/>
      <w:bookmarkEnd w:id="279"/>
      <w:bookmarkEnd w:id="280"/>
      <w:bookmarkEnd w:id="281"/>
      <w:bookmarkEnd w:id="282"/>
      <w:bookmarkEnd w:id="283"/>
      <w:r>
        <w:rPr>
          <w:rStyle w:val="CharSchNo"/>
        </w:rPr>
        <w:t>Schedule 5A</w:t>
      </w:r>
      <w:r>
        <w:t> — </w:t>
      </w:r>
      <w:r>
        <w:rPr>
          <w:rStyle w:val="CharSchText"/>
        </w:rPr>
        <w:t>Scarborough redevelopment area</w:t>
      </w:r>
      <w:bookmarkEnd w:id="284"/>
      <w:bookmarkEnd w:id="285"/>
      <w:bookmarkEnd w:id="286"/>
      <w:bookmarkEnd w:id="287"/>
      <w:bookmarkEnd w:id="288"/>
      <w:bookmarkEnd w:id="289"/>
      <w:bookmarkEnd w:id="290"/>
      <w:bookmarkEnd w:id="291"/>
      <w:bookmarkEnd w:id="292"/>
      <w:bookmarkEnd w:id="293"/>
    </w:p>
    <w:p>
      <w:pPr>
        <w:pStyle w:val="yShoulderClause"/>
      </w:pPr>
      <w:r>
        <w:t>[r. 14A(4)]</w:t>
      </w:r>
    </w:p>
    <w:p>
      <w:pPr>
        <w:pStyle w:val="yFootnoteheading"/>
      </w:pPr>
      <w:r>
        <w:tab/>
        <w:t>[Heading inserted: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Gazette 30 Aug 2013 p. 4103.]</w:t>
      </w:r>
    </w:p>
    <w:p>
      <w:pPr>
        <w:pStyle w:val="yScheduleHeading"/>
      </w:pPr>
      <w:bookmarkStart w:id="294" w:name="_Toc377389164"/>
      <w:bookmarkStart w:id="295" w:name="_Toc406507317"/>
      <w:bookmarkStart w:id="296" w:name="_Toc421113605"/>
      <w:bookmarkStart w:id="297" w:name="_Toc421113662"/>
      <w:bookmarkStart w:id="298" w:name="_Toc469577574"/>
      <w:bookmarkStart w:id="299" w:name="_Toc469988548"/>
      <w:bookmarkStart w:id="300" w:name="_Toc474159381"/>
      <w:bookmarkStart w:id="301" w:name="_Toc489533332"/>
      <w:bookmarkStart w:id="302" w:name="_Toc489533393"/>
      <w:bookmarkStart w:id="303" w:name="_Toc10193219"/>
      <w:r>
        <w:rPr>
          <w:rStyle w:val="CharSchNo"/>
        </w:rPr>
        <w:t>Schedule 5</w:t>
      </w:r>
      <w:r>
        <w:rPr>
          <w:rStyle w:val="CharSDivNo"/>
        </w:rPr>
        <w:t> </w:t>
      </w:r>
      <w:r>
        <w:t>—</w:t>
      </w:r>
      <w:r>
        <w:rPr>
          <w:rStyle w:val="CharSDivText"/>
        </w:rPr>
        <w:t> </w:t>
      </w:r>
      <w:r>
        <w:rPr>
          <w:rStyle w:val="CharSchText"/>
        </w:rPr>
        <w:t>Fees</w:t>
      </w:r>
      <w:bookmarkEnd w:id="294"/>
      <w:bookmarkEnd w:id="295"/>
      <w:bookmarkEnd w:id="296"/>
      <w:bookmarkEnd w:id="297"/>
      <w:bookmarkEnd w:id="298"/>
      <w:bookmarkEnd w:id="299"/>
      <w:bookmarkEnd w:id="300"/>
      <w:bookmarkEnd w:id="301"/>
      <w:bookmarkEnd w:id="302"/>
      <w:bookmarkEnd w:id="303"/>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sectPr>
          <w:headerReference w:type="even" r:id="rId26"/>
          <w:headerReference w:type="default" r:id="rId27"/>
          <w:pgSz w:w="11907" w:h="16840" w:code="9"/>
          <w:pgMar w:top="2381" w:right="2410" w:bottom="3544" w:left="2410" w:header="720" w:footer="3380" w:gutter="0"/>
          <w:cols w:space="720"/>
          <w:docGrid w:linePitch="78"/>
        </w:sectPr>
      </w:pPr>
    </w:p>
    <w:p>
      <w:pPr>
        <w:pStyle w:val="nHeading2"/>
      </w:pPr>
      <w:bookmarkStart w:id="305" w:name="_Toc377389165"/>
      <w:bookmarkStart w:id="306" w:name="_Toc406507318"/>
      <w:bookmarkStart w:id="307" w:name="_Toc421113606"/>
      <w:bookmarkStart w:id="308" w:name="_Toc421113663"/>
      <w:bookmarkStart w:id="309" w:name="_Toc469577575"/>
      <w:bookmarkStart w:id="310" w:name="_Toc469988549"/>
      <w:bookmarkStart w:id="311" w:name="_Toc474159382"/>
      <w:bookmarkStart w:id="312" w:name="_Toc489533333"/>
      <w:bookmarkStart w:id="313" w:name="_Toc489533394"/>
      <w:bookmarkStart w:id="314" w:name="_Toc10193220"/>
      <w:r>
        <w:t>Notes</w:t>
      </w:r>
      <w:bookmarkEnd w:id="305"/>
      <w:bookmarkEnd w:id="306"/>
      <w:bookmarkEnd w:id="307"/>
      <w:bookmarkEnd w:id="308"/>
      <w:bookmarkEnd w:id="309"/>
      <w:bookmarkEnd w:id="310"/>
      <w:bookmarkEnd w:id="311"/>
      <w:bookmarkEnd w:id="312"/>
      <w:bookmarkEnd w:id="313"/>
      <w:bookmarkEnd w:id="314"/>
    </w:p>
    <w:p>
      <w:pPr>
        <w:pStyle w:val="nSubsection"/>
        <w:rPr>
          <w:snapToGrid w:val="0"/>
        </w:rPr>
      </w:pPr>
      <w:r>
        <w:rPr>
          <w:snapToGrid w:val="0"/>
          <w:vertAlign w:val="superscript"/>
        </w:rPr>
        <w:t>1</w:t>
      </w:r>
      <w:r>
        <w:rPr>
          <w:snapToGrid w:val="0"/>
        </w:rPr>
        <w:tab/>
        <w:t xml:space="preserve">This is a compilation of the </w:t>
      </w:r>
      <w:r>
        <w:rPr>
          <w:i/>
        </w:rPr>
        <w:t>Metropolitan Redevelopment Authority Regulations 2011</w:t>
      </w:r>
      <w:r>
        <w:rPr>
          <w:snapToGrid w:val="0"/>
        </w:rPr>
        <w:t xml:space="preserve"> and includes the amendments made by the other written laws referred to in the following table.</w:t>
      </w:r>
    </w:p>
    <w:p>
      <w:pPr>
        <w:pStyle w:val="nHeading3"/>
      </w:pPr>
      <w:bookmarkStart w:id="315" w:name="_Toc406507319"/>
      <w:bookmarkStart w:id="316" w:name="_Toc10193221"/>
      <w:bookmarkStart w:id="317" w:name="_Toc489533395"/>
      <w:r>
        <w:t>Compilation table</w:t>
      </w:r>
      <w:bookmarkEnd w:id="315"/>
      <w:bookmarkEnd w:id="316"/>
      <w:bookmarkEnd w:id="3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93"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93"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93" w:type="dxa"/>
            <w:tcBorders>
              <w:top w:val="nil"/>
              <w:bottom w:val="nil"/>
            </w:tcBorders>
            <w:shd w:val="clear" w:color="auto" w:fill="auto"/>
          </w:tcPr>
          <w:p>
            <w:pPr>
              <w:pStyle w:val="nTable"/>
              <w:spacing w:after="40"/>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16 Dec 2016 (see r. 2(a));</w:t>
            </w:r>
            <w:r>
              <w:rPr>
                <w:rFonts w:ascii="Times" w:hAnsi="Times"/>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7 Feb 2017 (see r. 2(a));</w:t>
            </w:r>
            <w:r>
              <w:rPr>
                <w:rFonts w:ascii="Times" w:hAnsi="Times"/>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4 Aug 2017 (see r. 2(a));</w:t>
            </w:r>
            <w:r>
              <w:rPr>
                <w:rFonts w:ascii="Times" w:hAnsi="Times"/>
                <w:bCs/>
                <w:snapToGrid w:val="0"/>
                <w:spacing w:val="-2"/>
              </w:rPr>
              <w:br/>
              <w:t>Regulations other than r. 1 and 2: 5 Aug 2017 (see r. 2(b))</w:t>
            </w:r>
          </w:p>
        </w:tc>
      </w:tr>
      <w:tr>
        <w:trPr>
          <w:ins w:id="318" w:author="Master Repository Process" w:date="2021-08-29T08:33:00Z"/>
        </w:trPr>
        <w:tc>
          <w:tcPr>
            <w:tcW w:w="3118" w:type="dxa"/>
            <w:tcBorders>
              <w:top w:val="nil"/>
              <w:bottom w:val="single" w:sz="8" w:space="0" w:color="auto"/>
            </w:tcBorders>
            <w:shd w:val="clear" w:color="auto" w:fill="auto"/>
          </w:tcPr>
          <w:p>
            <w:pPr>
              <w:pStyle w:val="nTable"/>
              <w:spacing w:after="40"/>
              <w:rPr>
                <w:ins w:id="319" w:author="Master Repository Process" w:date="2021-08-29T08:33:00Z"/>
                <w:i/>
              </w:rPr>
            </w:pPr>
            <w:ins w:id="320" w:author="Master Repository Process" w:date="2021-08-29T08:33:00Z">
              <w:r>
                <w:rPr>
                  <w:i/>
                </w:rPr>
                <w:t>Metropolitan Redevelopment Authority Amendment Regulations 2019</w:t>
              </w:r>
            </w:ins>
          </w:p>
        </w:tc>
        <w:tc>
          <w:tcPr>
            <w:tcW w:w="1276" w:type="dxa"/>
            <w:tcBorders>
              <w:top w:val="nil"/>
              <w:bottom w:val="single" w:sz="8" w:space="0" w:color="auto"/>
            </w:tcBorders>
            <w:shd w:val="clear" w:color="auto" w:fill="auto"/>
          </w:tcPr>
          <w:p>
            <w:pPr>
              <w:pStyle w:val="nTable"/>
              <w:spacing w:after="40"/>
              <w:rPr>
                <w:ins w:id="321" w:author="Master Repository Process" w:date="2021-08-29T08:33:00Z"/>
              </w:rPr>
            </w:pPr>
            <w:ins w:id="322" w:author="Master Repository Process" w:date="2021-08-29T08:33:00Z">
              <w:r>
                <w:t>31 May 2019 p. 1715-16</w:t>
              </w:r>
            </w:ins>
          </w:p>
        </w:tc>
        <w:tc>
          <w:tcPr>
            <w:tcW w:w="2693" w:type="dxa"/>
            <w:tcBorders>
              <w:top w:val="nil"/>
              <w:bottom w:val="single" w:sz="8" w:space="0" w:color="auto"/>
            </w:tcBorders>
            <w:shd w:val="clear" w:color="auto" w:fill="auto"/>
          </w:tcPr>
          <w:p>
            <w:pPr>
              <w:pStyle w:val="nTable"/>
              <w:spacing w:after="40"/>
              <w:rPr>
                <w:ins w:id="323" w:author="Master Repository Process" w:date="2021-08-29T08:33:00Z"/>
                <w:rFonts w:ascii="Times" w:hAnsi="Times"/>
                <w:bCs/>
                <w:snapToGrid w:val="0"/>
                <w:spacing w:val="-2"/>
              </w:rPr>
            </w:pPr>
            <w:ins w:id="324" w:author="Master Repository Process" w:date="2021-08-29T08:33:00Z">
              <w:r>
                <w:rPr>
                  <w:rFonts w:ascii="Times" w:hAnsi="Times"/>
                  <w:bCs/>
                  <w:snapToGrid w:val="0"/>
                  <w:spacing w:val="-2"/>
                </w:rPr>
                <w:t>r. 1 and 2: 31 May 2019 (see r. 2(a));</w:t>
              </w:r>
              <w:r>
                <w:rPr>
                  <w:rFonts w:ascii="Times" w:hAnsi="Times"/>
                  <w:bCs/>
                  <w:snapToGrid w:val="0"/>
                  <w:spacing w:val="-2"/>
                </w:rPr>
                <w:br/>
                <w:t>Regulations other than r. 1 and 2: 1 Jun 2019 (see r. 2(b))</w:t>
              </w:r>
            </w:ins>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4" w:name="Schedule"/>
    <w:bookmarkEnd w:id="3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5" w:name="Compilation"/>
    <w:bookmarkEnd w:id="32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6" w:name="Coversheet"/>
    <w:bookmarkEnd w:id="3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145"/>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C71CDEC0-0152-49AE-A2F0-66F85809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image" Target="media/image3.png"/><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4.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6310</Words>
  <Characters>31427</Characters>
  <Application>Microsoft Office Word</Application>
  <DocSecurity>0</DocSecurity>
  <Lines>924</Lines>
  <Paragraphs>509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00-f0-02 - 00-g0-00</dc:title>
  <dc:subject/>
  <dc:creator/>
  <cp:keywords/>
  <dc:description/>
  <cp:lastModifiedBy>Master Repository Process</cp:lastModifiedBy>
  <cp:revision>2</cp:revision>
  <cp:lastPrinted>2011-12-08T07:54:00Z</cp:lastPrinted>
  <dcterms:created xsi:type="dcterms:W3CDTF">2021-08-29T00:33:00Z</dcterms:created>
  <dcterms:modified xsi:type="dcterms:W3CDTF">2021-08-29T00:33:00Z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CommencementDate">
    <vt:lpwstr>20190601</vt:lpwstr>
  </property>
  <property fmtid="{D5CDD505-2E9C-101B-9397-08002B2CF9AE}" pid="5" name="FromSuffix">
    <vt:lpwstr>00-f0-02</vt:lpwstr>
  </property>
  <property fmtid="{D5CDD505-2E9C-101B-9397-08002B2CF9AE}" pid="6" name="FromAsAtDate">
    <vt:lpwstr>05 Aug 2017</vt:lpwstr>
  </property>
  <property fmtid="{D5CDD505-2E9C-101B-9397-08002B2CF9AE}" pid="7" name="ToSuffix">
    <vt:lpwstr>00-g0-00</vt:lpwstr>
  </property>
  <property fmtid="{D5CDD505-2E9C-101B-9397-08002B2CF9AE}" pid="8" name="ToAsAtDate">
    <vt:lpwstr>01 Jun 2019</vt:lpwstr>
  </property>
</Properties>
</file>