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0195340"/>
      <w:bookmarkStart w:id="2" w:name="_Toc10195392"/>
      <w:bookmarkStart w:id="3" w:name="_Toc517872788"/>
      <w:bookmarkStart w:id="4" w:name="_Toc51794683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10195393"/>
      <w:bookmarkStart w:id="7" w:name="_Toc517946840"/>
      <w:r>
        <w:rPr>
          <w:rStyle w:val="CharSectno"/>
        </w:rPr>
        <w:t>1</w:t>
      </w:r>
      <w:r>
        <w:t>.</w:t>
      </w:r>
      <w:r>
        <w:tab/>
        <w:t>Citation</w:t>
      </w:r>
      <w:bookmarkEnd w:id="6"/>
      <w:bookmarkEnd w:id="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8" w:name="_Toc10195394"/>
      <w:bookmarkStart w:id="9" w:name="_Toc517946841"/>
      <w:r>
        <w:rPr>
          <w:rStyle w:val="CharSectno"/>
        </w:rPr>
        <w:t>2</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Pr>
      <w:bookmarkStart w:id="10" w:name="_Toc10195395"/>
      <w:bookmarkStart w:id="11" w:name="_Toc517946842"/>
      <w:r>
        <w:rPr>
          <w:rStyle w:val="CharSectno"/>
        </w:rPr>
        <w:t>3</w:t>
      </w:r>
      <w:r>
        <w:t>.</w:t>
      </w:r>
      <w:r>
        <w:tab/>
        <w:t>Application</w:t>
      </w:r>
      <w:bookmarkEnd w:id="10"/>
      <w:bookmarkEnd w:id="11"/>
    </w:p>
    <w:p>
      <w:pPr>
        <w:pStyle w:val="Subsection"/>
      </w:pPr>
      <w:r>
        <w:tab/>
      </w:r>
      <w:r>
        <w:tab/>
        <w:t>These regulations apply to each mooring control area specified in Schedule 1.</w:t>
      </w:r>
    </w:p>
    <w:p>
      <w:pPr>
        <w:pStyle w:val="Heading2"/>
      </w:pPr>
      <w:bookmarkStart w:id="12" w:name="_Toc10195344"/>
      <w:bookmarkStart w:id="13" w:name="_Toc10195396"/>
      <w:bookmarkStart w:id="14" w:name="_Toc517872792"/>
      <w:bookmarkStart w:id="15" w:name="_Toc517946843"/>
      <w:r>
        <w:rPr>
          <w:rStyle w:val="CharPartNo"/>
        </w:rPr>
        <w:t>Part 2</w:t>
      </w:r>
      <w:r>
        <w:rPr>
          <w:b w:val="0"/>
        </w:rPr>
        <w:t> </w:t>
      </w:r>
      <w:r>
        <w:t>—</w:t>
      </w:r>
      <w:r>
        <w:rPr>
          <w:b w:val="0"/>
        </w:rPr>
        <w:t> </w:t>
      </w:r>
      <w:r>
        <w:rPr>
          <w:rStyle w:val="CharPartText"/>
        </w:rPr>
        <w:t>Moorings and use of mooring control areas</w:t>
      </w:r>
      <w:bookmarkEnd w:id="12"/>
      <w:bookmarkEnd w:id="13"/>
      <w:bookmarkEnd w:id="14"/>
      <w:bookmarkEnd w:id="15"/>
    </w:p>
    <w:p>
      <w:pPr>
        <w:pStyle w:val="Footnoteheading"/>
      </w:pPr>
      <w:r>
        <w:tab/>
        <w:t>[Heading inserted: Gazette 26 May 2006 p. 1879.]</w:t>
      </w:r>
    </w:p>
    <w:p>
      <w:pPr>
        <w:pStyle w:val="Heading5"/>
      </w:pPr>
      <w:bookmarkStart w:id="16" w:name="_Toc10195397"/>
      <w:bookmarkStart w:id="17" w:name="_Toc517946844"/>
      <w:r>
        <w:rPr>
          <w:rStyle w:val="CharSectno"/>
        </w:rPr>
        <w:t>4</w:t>
      </w:r>
      <w:r>
        <w:t>.</w:t>
      </w:r>
      <w:r>
        <w:tab/>
        <w:t>Installation of moorings</w:t>
      </w:r>
      <w:bookmarkEnd w:id="16"/>
      <w:bookmarkEnd w:id="17"/>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8" w:name="_Toc10195398"/>
      <w:bookmarkStart w:id="19" w:name="_Toc517946845"/>
      <w:r>
        <w:rPr>
          <w:rStyle w:val="CharSectno"/>
        </w:rPr>
        <w:t>5</w:t>
      </w:r>
      <w:r>
        <w:t>.</w:t>
      </w:r>
      <w:r>
        <w:tab/>
        <w:t>Removal of unauthorised mooring</w:t>
      </w:r>
      <w:bookmarkEnd w:id="18"/>
      <w:bookmarkEnd w:id="1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0" w:name="_Toc10195399"/>
      <w:bookmarkStart w:id="21" w:name="_Toc517946846"/>
      <w:r>
        <w:rPr>
          <w:rStyle w:val="CharSectno"/>
        </w:rPr>
        <w:t>6</w:t>
      </w:r>
      <w:r>
        <w:t>.</w:t>
      </w:r>
      <w:r>
        <w:tab/>
        <w:t>Use of mooring sites</w:t>
      </w:r>
      <w:bookmarkEnd w:id="20"/>
      <w:bookmarkEnd w:id="21"/>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2" w:name="_Toc10195400"/>
      <w:bookmarkStart w:id="23" w:name="_Toc517946847"/>
      <w:r>
        <w:rPr>
          <w:rStyle w:val="CharSectno"/>
        </w:rPr>
        <w:t>6A</w:t>
      </w:r>
      <w:r>
        <w:t>.</w:t>
      </w:r>
      <w:r>
        <w:tab/>
        <w:t>Use of temporary anchors in mooring control area</w:t>
      </w:r>
      <w:bookmarkEnd w:id="22"/>
      <w:bookmarkEnd w:id="2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24" w:name="_Toc10195401"/>
      <w:bookmarkStart w:id="25" w:name="_Toc517946848"/>
      <w:r>
        <w:rPr>
          <w:rStyle w:val="CharSectno"/>
        </w:rPr>
        <w:t>7</w:t>
      </w:r>
      <w:r>
        <w:t>.</w:t>
      </w:r>
      <w:r>
        <w:tab/>
        <w:t>Moving vessels</w:t>
      </w:r>
      <w:bookmarkEnd w:id="24"/>
      <w:bookmarkEnd w:id="25"/>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26" w:name="_Toc10195350"/>
      <w:bookmarkStart w:id="27" w:name="_Toc10195402"/>
      <w:bookmarkStart w:id="28" w:name="_Toc517872798"/>
      <w:bookmarkStart w:id="29" w:name="_Toc517946849"/>
      <w:r>
        <w:rPr>
          <w:rStyle w:val="CharPartNo"/>
        </w:rPr>
        <w:t>Part 3</w:t>
      </w:r>
      <w:r>
        <w:rPr>
          <w:rStyle w:val="CharDivNo"/>
        </w:rPr>
        <w:t xml:space="preserve"> </w:t>
      </w:r>
      <w:r>
        <w:t>—</w:t>
      </w:r>
      <w:r>
        <w:rPr>
          <w:rStyle w:val="CharDivText"/>
        </w:rPr>
        <w:t xml:space="preserve"> </w:t>
      </w:r>
      <w:r>
        <w:rPr>
          <w:rStyle w:val="CharPartText"/>
        </w:rPr>
        <w:t>Mooring licences</w:t>
      </w:r>
      <w:bookmarkEnd w:id="26"/>
      <w:bookmarkEnd w:id="27"/>
      <w:bookmarkEnd w:id="28"/>
      <w:bookmarkEnd w:id="29"/>
    </w:p>
    <w:p>
      <w:pPr>
        <w:pStyle w:val="Heading5"/>
      </w:pPr>
      <w:bookmarkStart w:id="30" w:name="_Toc10195403"/>
      <w:bookmarkStart w:id="31" w:name="_Toc517946850"/>
      <w:r>
        <w:rPr>
          <w:rStyle w:val="CharSectno"/>
        </w:rPr>
        <w:t>8</w:t>
      </w:r>
      <w:r>
        <w:t>.</w:t>
      </w:r>
      <w:r>
        <w:tab/>
        <w:t>Register</w:t>
      </w:r>
      <w:bookmarkEnd w:id="30"/>
      <w:bookmarkEnd w:id="3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2" w:name="_Toc10195404"/>
      <w:bookmarkStart w:id="33" w:name="_Toc517946851"/>
      <w:r>
        <w:rPr>
          <w:rStyle w:val="CharSectno"/>
        </w:rPr>
        <w:t>9</w:t>
      </w:r>
      <w:r>
        <w:t>.</w:t>
      </w:r>
      <w:r>
        <w:tab/>
        <w:t>Application for mooring licence</w:t>
      </w:r>
      <w:bookmarkEnd w:id="32"/>
      <w:bookmarkEnd w:id="3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34" w:name="_Toc10195405"/>
      <w:bookmarkStart w:id="35" w:name="_Toc517946852"/>
      <w:r>
        <w:rPr>
          <w:rStyle w:val="CharSectno"/>
        </w:rPr>
        <w:t>10</w:t>
      </w:r>
      <w:r>
        <w:t>.</w:t>
      </w:r>
      <w:r>
        <w:tab/>
        <w:t>List of applicants for mooring licences</w:t>
      </w:r>
      <w:bookmarkEnd w:id="34"/>
      <w:bookmarkEnd w:id="3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36" w:name="_Toc10195406"/>
      <w:bookmarkStart w:id="37" w:name="_Toc517946853"/>
      <w:r>
        <w:rPr>
          <w:rStyle w:val="CharSectno"/>
        </w:rPr>
        <w:t>11</w:t>
      </w:r>
      <w:r>
        <w:t>.</w:t>
      </w:r>
      <w:r>
        <w:tab/>
        <w:t>Offer of mooring licence</w:t>
      </w:r>
      <w:bookmarkEnd w:id="36"/>
      <w:bookmarkEnd w:id="37"/>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38" w:name="_Toc10195407"/>
      <w:bookmarkStart w:id="39" w:name="_Toc517946854"/>
      <w:r>
        <w:rPr>
          <w:rStyle w:val="CharSectno"/>
        </w:rPr>
        <w:t>12</w:t>
      </w:r>
      <w:r>
        <w:t>.</w:t>
      </w:r>
      <w:r>
        <w:tab/>
        <w:t>Mooring licence and registration of mooring site</w:t>
      </w:r>
      <w:bookmarkEnd w:id="38"/>
      <w:bookmarkEnd w:id="39"/>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0" w:name="_Toc10195408"/>
      <w:bookmarkStart w:id="41" w:name="_Toc517946855"/>
      <w:r>
        <w:rPr>
          <w:rStyle w:val="CharSectno"/>
        </w:rPr>
        <w:t>13</w:t>
      </w:r>
      <w:r>
        <w:t>.</w:t>
      </w:r>
      <w:r>
        <w:tab/>
        <w:t>Annual fee</w:t>
      </w:r>
      <w:bookmarkEnd w:id="40"/>
      <w:bookmarkEnd w:id="41"/>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2" w:name="_Toc10195409"/>
      <w:bookmarkStart w:id="43" w:name="_Toc517946856"/>
      <w:r>
        <w:rPr>
          <w:rStyle w:val="CharSectno"/>
        </w:rPr>
        <w:t>14</w:t>
      </w:r>
      <w:r>
        <w:t>.</w:t>
      </w:r>
      <w:r>
        <w:tab/>
        <w:t>Cancellation of mooring licence</w:t>
      </w:r>
      <w:bookmarkEnd w:id="42"/>
      <w:bookmarkEnd w:id="4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4" w:name="_Toc10195410"/>
      <w:bookmarkStart w:id="45" w:name="_Toc517946857"/>
      <w:r>
        <w:rPr>
          <w:rStyle w:val="CharSectno"/>
        </w:rPr>
        <w:t>15</w:t>
      </w:r>
      <w:r>
        <w:t>.</w:t>
      </w:r>
      <w:r>
        <w:tab/>
        <w:t>Exchange of mooring sites</w:t>
      </w:r>
      <w:bookmarkEnd w:id="44"/>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6" w:name="_Toc10195411"/>
      <w:bookmarkStart w:id="47" w:name="_Toc517946858"/>
      <w:r>
        <w:rPr>
          <w:rStyle w:val="CharSectno"/>
        </w:rPr>
        <w:t>16</w:t>
      </w:r>
      <w:r>
        <w:t>.</w:t>
      </w:r>
      <w:r>
        <w:tab/>
        <w:t>Transfer of mooring licence</w:t>
      </w:r>
      <w:bookmarkEnd w:id="46"/>
      <w:bookmarkEnd w:id="4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48" w:name="_Toc10195412"/>
      <w:bookmarkStart w:id="49" w:name="_Toc517946859"/>
      <w:r>
        <w:rPr>
          <w:rStyle w:val="CharSectno"/>
        </w:rPr>
        <w:t>17</w:t>
      </w:r>
      <w:r>
        <w:t>.</w:t>
      </w:r>
      <w:r>
        <w:tab/>
        <w:t>Mooring licences not otherwise transferable</w:t>
      </w:r>
      <w:bookmarkEnd w:id="48"/>
      <w:bookmarkEnd w:id="4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0" w:name="_Toc10195361"/>
      <w:bookmarkStart w:id="51" w:name="_Toc10195413"/>
      <w:bookmarkStart w:id="52" w:name="_Toc517872809"/>
      <w:bookmarkStart w:id="53" w:name="_Toc517946860"/>
      <w:r>
        <w:rPr>
          <w:rStyle w:val="CharPartNo"/>
        </w:rPr>
        <w:t>Part 4</w:t>
      </w:r>
      <w:r>
        <w:t xml:space="preserve"> — </w:t>
      </w:r>
      <w:r>
        <w:rPr>
          <w:rStyle w:val="CharPartText"/>
        </w:rPr>
        <w:t>Registered mooring sites</w:t>
      </w:r>
      <w:bookmarkEnd w:id="50"/>
      <w:bookmarkEnd w:id="51"/>
      <w:bookmarkEnd w:id="52"/>
      <w:bookmarkEnd w:id="53"/>
    </w:p>
    <w:p>
      <w:pPr>
        <w:pStyle w:val="Heading3"/>
      </w:pPr>
      <w:bookmarkStart w:id="54" w:name="_Toc10195362"/>
      <w:bookmarkStart w:id="55" w:name="_Toc10195414"/>
      <w:bookmarkStart w:id="56" w:name="_Toc517872810"/>
      <w:bookmarkStart w:id="57" w:name="_Toc517946861"/>
      <w:r>
        <w:rPr>
          <w:rStyle w:val="CharDivNo"/>
        </w:rPr>
        <w:t>Division 1</w:t>
      </w:r>
      <w:r>
        <w:t xml:space="preserve"> — </w:t>
      </w:r>
      <w:r>
        <w:rPr>
          <w:rStyle w:val="CharDivText"/>
        </w:rPr>
        <w:t>Use of registered mooring sites</w:t>
      </w:r>
      <w:bookmarkEnd w:id="54"/>
      <w:bookmarkEnd w:id="55"/>
      <w:bookmarkEnd w:id="56"/>
      <w:bookmarkEnd w:id="57"/>
    </w:p>
    <w:p>
      <w:pPr>
        <w:pStyle w:val="Heading5"/>
      </w:pPr>
      <w:bookmarkStart w:id="58" w:name="_Toc10195415"/>
      <w:bookmarkStart w:id="59" w:name="_Toc517946862"/>
      <w:r>
        <w:rPr>
          <w:rStyle w:val="CharSectno"/>
        </w:rPr>
        <w:t>18</w:t>
      </w:r>
      <w:r>
        <w:t>.</w:t>
      </w:r>
      <w:r>
        <w:tab/>
        <w:t>Installation of mooring</w:t>
      </w:r>
      <w:bookmarkEnd w:id="58"/>
      <w:bookmarkEnd w:id="5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60" w:name="_Toc10195416"/>
      <w:bookmarkStart w:id="61" w:name="_Toc517946863"/>
      <w:r>
        <w:rPr>
          <w:rStyle w:val="CharSectno"/>
        </w:rPr>
        <w:t>19</w:t>
      </w:r>
      <w:r>
        <w:t>.</w:t>
      </w:r>
      <w:r>
        <w:tab/>
        <w:t>Maintenance of mooring</w:t>
      </w:r>
      <w:bookmarkEnd w:id="60"/>
      <w:bookmarkEnd w:id="6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62" w:name="_Toc10195417"/>
      <w:bookmarkStart w:id="63" w:name="_Toc517946864"/>
      <w:r>
        <w:rPr>
          <w:rStyle w:val="CharSectno"/>
        </w:rPr>
        <w:t>20</w:t>
      </w:r>
      <w:r>
        <w:t>.</w:t>
      </w:r>
      <w:r>
        <w:tab/>
        <w:t>Inspection of mooring</w:t>
      </w:r>
      <w:bookmarkEnd w:id="62"/>
      <w:bookmarkEnd w:id="6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64" w:name="_Toc10195418"/>
      <w:bookmarkStart w:id="65" w:name="_Toc517946865"/>
      <w:r>
        <w:rPr>
          <w:rStyle w:val="CharSectno"/>
        </w:rPr>
        <w:t>21</w:t>
      </w:r>
      <w:r>
        <w:t>.</w:t>
      </w:r>
      <w:r>
        <w:tab/>
        <w:t>Dealing with mooring</w:t>
      </w:r>
      <w:bookmarkEnd w:id="64"/>
      <w:bookmarkEnd w:id="6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66" w:name="_Toc10195419"/>
      <w:bookmarkStart w:id="67" w:name="_Toc517946866"/>
      <w:r>
        <w:rPr>
          <w:rStyle w:val="CharSectno"/>
        </w:rPr>
        <w:t>22</w:t>
      </w:r>
      <w:r>
        <w:t>.</w:t>
      </w:r>
      <w:r>
        <w:tab/>
        <w:t>Relocation or removal of mooring</w:t>
      </w:r>
      <w:bookmarkEnd w:id="66"/>
      <w:bookmarkEnd w:id="6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68" w:name="_Toc10195420"/>
      <w:bookmarkStart w:id="69" w:name="_Toc517946867"/>
      <w:r>
        <w:rPr>
          <w:rStyle w:val="CharSectno"/>
        </w:rPr>
        <w:t>23</w:t>
      </w:r>
      <w:r>
        <w:t>.</w:t>
      </w:r>
      <w:r>
        <w:tab/>
        <w:t>Vessel to be maintained in seaworthy condition</w:t>
      </w:r>
      <w:bookmarkEnd w:id="68"/>
      <w:bookmarkEnd w:id="6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0" w:name="_Toc10195369"/>
      <w:bookmarkStart w:id="71" w:name="_Toc10195421"/>
      <w:bookmarkStart w:id="72" w:name="_Toc517872817"/>
      <w:bookmarkStart w:id="73" w:name="_Toc517946868"/>
      <w:r>
        <w:rPr>
          <w:rStyle w:val="CharDivNo"/>
        </w:rPr>
        <w:t>Division 2</w:t>
      </w:r>
      <w:r>
        <w:t xml:space="preserve"> — </w:t>
      </w:r>
      <w:r>
        <w:rPr>
          <w:rStyle w:val="CharDivText"/>
        </w:rPr>
        <w:t>Licensed vessels</w:t>
      </w:r>
      <w:bookmarkEnd w:id="70"/>
      <w:bookmarkEnd w:id="71"/>
      <w:bookmarkEnd w:id="72"/>
      <w:bookmarkEnd w:id="73"/>
    </w:p>
    <w:p>
      <w:pPr>
        <w:pStyle w:val="Heading5"/>
      </w:pPr>
      <w:bookmarkStart w:id="74" w:name="_Toc10195422"/>
      <w:bookmarkStart w:id="75" w:name="_Toc517946869"/>
      <w:r>
        <w:rPr>
          <w:rStyle w:val="CharSectno"/>
        </w:rPr>
        <w:t>24</w:t>
      </w:r>
      <w:r>
        <w:t>.</w:t>
      </w:r>
      <w:r>
        <w:tab/>
        <w:t>Licensed vessels</w:t>
      </w:r>
      <w:bookmarkEnd w:id="74"/>
      <w:bookmarkEnd w:id="7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76" w:name="_Toc10195423"/>
      <w:bookmarkStart w:id="77" w:name="_Toc517946870"/>
      <w:r>
        <w:rPr>
          <w:rStyle w:val="CharSectno"/>
        </w:rPr>
        <w:t>25</w:t>
      </w:r>
      <w:r>
        <w:t>.</w:t>
      </w:r>
      <w:r>
        <w:tab/>
        <w:t>Substitution of licensed vessel</w:t>
      </w:r>
      <w:bookmarkEnd w:id="76"/>
      <w:bookmarkEnd w:id="7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78" w:name="_Toc10195372"/>
      <w:bookmarkStart w:id="79" w:name="_Toc10195424"/>
      <w:bookmarkStart w:id="80" w:name="_Toc517872820"/>
      <w:bookmarkStart w:id="81" w:name="_Toc517946871"/>
      <w:r>
        <w:rPr>
          <w:rStyle w:val="CharDivNo"/>
        </w:rPr>
        <w:t>Division 3</w:t>
      </w:r>
      <w:r>
        <w:t xml:space="preserve"> — </w:t>
      </w:r>
      <w:r>
        <w:rPr>
          <w:rStyle w:val="CharDivText"/>
        </w:rPr>
        <w:t>Additional vessels</w:t>
      </w:r>
      <w:bookmarkEnd w:id="78"/>
      <w:bookmarkEnd w:id="79"/>
      <w:bookmarkEnd w:id="80"/>
      <w:bookmarkEnd w:id="81"/>
    </w:p>
    <w:p>
      <w:pPr>
        <w:pStyle w:val="Heading5"/>
      </w:pPr>
      <w:bookmarkStart w:id="82" w:name="_Toc10195425"/>
      <w:bookmarkStart w:id="83" w:name="_Toc517946872"/>
      <w:r>
        <w:rPr>
          <w:rStyle w:val="CharSectno"/>
        </w:rPr>
        <w:t>26</w:t>
      </w:r>
      <w:r>
        <w:t>.</w:t>
      </w:r>
      <w:r>
        <w:tab/>
        <w:t>Additional vessels authorised to use mooring site</w:t>
      </w:r>
      <w:bookmarkEnd w:id="82"/>
      <w:bookmarkEnd w:id="8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84" w:name="_Toc10195426"/>
      <w:bookmarkStart w:id="85" w:name="_Toc517946873"/>
      <w:r>
        <w:rPr>
          <w:rStyle w:val="CharSectno"/>
        </w:rPr>
        <w:t>27</w:t>
      </w:r>
      <w:r>
        <w:t>.</w:t>
      </w:r>
      <w:r>
        <w:tab/>
        <w:t>Application for registration of additional vessel</w:t>
      </w:r>
      <w:bookmarkEnd w:id="84"/>
      <w:bookmarkEnd w:id="8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86" w:name="_Toc10195427"/>
      <w:bookmarkStart w:id="87" w:name="_Toc517946874"/>
      <w:r>
        <w:rPr>
          <w:rStyle w:val="CharSectno"/>
        </w:rPr>
        <w:t>28</w:t>
      </w:r>
      <w:r>
        <w:t>.</w:t>
      </w:r>
      <w:r>
        <w:tab/>
        <w:t>Registration of additional vessel</w:t>
      </w:r>
      <w:bookmarkEnd w:id="86"/>
      <w:bookmarkEnd w:id="87"/>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88" w:name="_Toc10195428"/>
      <w:bookmarkStart w:id="89" w:name="_Toc517946875"/>
      <w:r>
        <w:rPr>
          <w:rStyle w:val="CharSectno"/>
        </w:rPr>
        <w:t>29</w:t>
      </w:r>
      <w:r>
        <w:t>.</w:t>
      </w:r>
      <w:r>
        <w:tab/>
        <w:t>Duration of registration</w:t>
      </w:r>
      <w:bookmarkEnd w:id="88"/>
      <w:bookmarkEnd w:id="8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0" w:name="_Toc10195377"/>
      <w:bookmarkStart w:id="91" w:name="_Toc10195429"/>
      <w:bookmarkStart w:id="92" w:name="_Toc517872825"/>
      <w:bookmarkStart w:id="93" w:name="_Toc517946876"/>
      <w:r>
        <w:rPr>
          <w:rStyle w:val="CharSchNo"/>
        </w:rPr>
        <w:t>Schedule 1</w:t>
      </w:r>
      <w:r>
        <w:t xml:space="preserve"> —</w:t>
      </w:r>
      <w:r>
        <w:rPr>
          <w:rStyle w:val="CharSchNo"/>
        </w:rPr>
        <w:t xml:space="preserve"> </w:t>
      </w:r>
      <w:r>
        <w:rPr>
          <w:rStyle w:val="CharSchText"/>
        </w:rPr>
        <w:t>Mooring control areas to which regulations apply</w:t>
      </w:r>
      <w:bookmarkEnd w:id="90"/>
      <w:bookmarkEnd w:id="91"/>
      <w:bookmarkEnd w:id="92"/>
      <w:bookmarkEnd w:id="93"/>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94" w:name="_Toc10195378"/>
      <w:bookmarkStart w:id="95" w:name="_Toc10195430"/>
      <w:bookmarkStart w:id="96" w:name="_Toc517872826"/>
      <w:bookmarkStart w:id="97" w:name="_Toc517946877"/>
      <w:r>
        <w:rPr>
          <w:rStyle w:val="CharSchNo"/>
        </w:rPr>
        <w:t>Schedule 2</w:t>
      </w:r>
      <w:r>
        <w:t> — </w:t>
      </w:r>
      <w:r>
        <w:rPr>
          <w:rStyle w:val="CharSchText"/>
        </w:rPr>
        <w:t>Fees</w:t>
      </w:r>
      <w:bookmarkEnd w:id="94"/>
      <w:bookmarkEnd w:id="95"/>
      <w:bookmarkEnd w:id="96"/>
      <w:bookmarkEnd w:id="97"/>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$110.00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$600.00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$110.00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$110.00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$110.00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$110.00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$110.00</w:t>
            </w:r>
          </w:p>
        </w:tc>
      </w:tr>
    </w:tbl>
    <w:p>
      <w:pPr>
        <w:pStyle w:val="yFootnotesection"/>
        <w:rPr>
          <w:rStyle w:val="CharSchNo"/>
          <w:b/>
          <w:snapToGrid/>
        </w:rPr>
      </w:pPr>
      <w:r>
        <w:tab/>
        <w:t>[Schedule 2 inserted: Gazette 26 May 2017 p. 2640; amended: Gazette 22 Jun 2018 p. 2185.]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9" w:name="_Toc10195379"/>
      <w:bookmarkStart w:id="100" w:name="_Toc10195431"/>
      <w:bookmarkStart w:id="101" w:name="_Toc517872827"/>
      <w:bookmarkStart w:id="102" w:name="_Toc517946878"/>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ins w:id="103" w:author="Master Repository Process" w:date="2021-08-29T10:42:00Z">
        <w:r>
          <w:rPr>
            <w:snapToGrid w:val="0"/>
            <w:vertAlign w:val="superscript"/>
          </w:rPr>
          <w:t> 1a</w:t>
        </w:r>
      </w:ins>
      <w:r>
        <w:rPr>
          <w:snapToGrid w:val="0"/>
        </w:rPr>
        <w:t>.  The table also contains information about any reprint.</w:t>
      </w:r>
    </w:p>
    <w:p>
      <w:pPr>
        <w:pStyle w:val="nHeading3"/>
        <w:rPr>
          <w:snapToGrid w:val="0"/>
        </w:rPr>
      </w:pPr>
      <w:bookmarkStart w:id="104" w:name="_Toc10195432"/>
      <w:bookmarkStart w:id="105" w:name="_Toc517946879"/>
      <w:r>
        <w:rPr>
          <w:snapToGrid w:val="0"/>
        </w:rP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bCs/>
                <w:snapToGrid w:val="0"/>
                <w:spacing w:val="-2"/>
              </w:rPr>
              <w:t>r. 1 and 2: 30 May 2014 (see r. 2(a));</w:t>
            </w:r>
            <w:r>
              <w:rPr>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bCs/>
                <w:snapToGrid w:val="0"/>
                <w:spacing w:val="-2"/>
              </w:rPr>
            </w:pPr>
            <w:r>
              <w:rPr>
                <w:bCs/>
                <w:snapToGrid w:val="0"/>
                <w:spacing w:val="-2"/>
              </w:rPr>
              <w:t>1 Jul 2016 (see r. 2(b))</w:t>
            </w:r>
          </w:p>
        </w:tc>
      </w:tr>
      <w:tr>
        <w:tc>
          <w:tcPr>
            <w:tcW w:w="3119" w:type="dxa"/>
          </w:tcPr>
          <w:p>
            <w:pPr>
              <w:pStyle w:val="nTable"/>
              <w:spacing w:after="40"/>
              <w:rPr>
                <w:i/>
                <w:spacing w:val="-2"/>
              </w:rPr>
            </w:pPr>
            <w:r>
              <w:rPr>
                <w:i/>
              </w:rPr>
              <w:t>Transport Regulations Amendment (Fees and Charges) Regulations 2017</w:t>
            </w:r>
            <w:r>
              <w:t xml:space="preserve"> Pt. 2</w:t>
            </w:r>
          </w:p>
        </w:tc>
        <w:tc>
          <w:tcPr>
            <w:tcW w:w="1276" w:type="dxa"/>
          </w:tcPr>
          <w:p>
            <w:pPr>
              <w:pStyle w:val="nTable"/>
              <w:spacing w:after="40"/>
            </w:pPr>
            <w:r>
              <w:t>26 May 2017 p. 2639</w:t>
            </w:r>
            <w:r>
              <w:noBreakHyphen/>
              <w:t>45</w:t>
            </w:r>
          </w:p>
        </w:tc>
        <w:tc>
          <w:tcPr>
            <w:tcW w:w="2693" w:type="dxa"/>
          </w:tcPr>
          <w:p>
            <w:pPr>
              <w:pStyle w:val="nTable"/>
              <w:spacing w:after="40"/>
              <w:rPr>
                <w:bCs/>
                <w:snapToGrid w:val="0"/>
                <w:spacing w:val="-2"/>
              </w:rPr>
            </w:pPr>
            <w:r>
              <w:t>1 Jul 2017 (see r. 2(b))</w:t>
            </w:r>
          </w:p>
        </w:tc>
      </w:tr>
      <w:tr>
        <w:tc>
          <w:tcPr>
            <w:tcW w:w="3119" w:type="dxa"/>
            <w:tcBorders>
              <w:bottom w:val="single" w:sz="4" w:space="0" w:color="auto"/>
            </w:tcBorders>
          </w:tcPr>
          <w:p>
            <w:pPr>
              <w:pStyle w:val="nTable"/>
              <w:spacing w:after="40"/>
              <w:rPr>
                <w:i/>
              </w:rPr>
            </w:pPr>
            <w:r>
              <w:rPr>
                <w:i/>
              </w:rPr>
              <w:t>Transport Regulations Amendment (Fees and Charges) Regulations (No. 2) 2018</w:t>
            </w:r>
            <w:r>
              <w:t xml:space="preserve"> Pt. 3</w:t>
            </w:r>
          </w:p>
        </w:tc>
        <w:tc>
          <w:tcPr>
            <w:tcW w:w="1276" w:type="dxa"/>
            <w:tcBorders>
              <w:bottom w:val="single" w:sz="4" w:space="0" w:color="auto"/>
            </w:tcBorders>
          </w:tcPr>
          <w:p>
            <w:pPr>
              <w:pStyle w:val="nTable"/>
              <w:spacing w:after="40"/>
            </w:pPr>
            <w:r>
              <w:t>22 Jun 2018 p. 2184</w:t>
            </w:r>
            <w:r>
              <w:noBreakHyphen/>
              <w:t>93</w:t>
            </w:r>
          </w:p>
        </w:tc>
        <w:tc>
          <w:tcPr>
            <w:tcW w:w="2693" w:type="dxa"/>
            <w:tcBorders>
              <w:bottom w:val="single" w:sz="4" w:space="0" w:color="auto"/>
            </w:tcBorders>
          </w:tcPr>
          <w:p>
            <w:pPr>
              <w:pStyle w:val="nTable"/>
              <w:spacing w:after="40"/>
            </w:pPr>
            <w:r>
              <w:t>1 Jul 2018 (see r. 2(b))</w:t>
            </w:r>
          </w:p>
        </w:tc>
      </w:tr>
    </w:tbl>
    <w:p>
      <w:pPr>
        <w:pStyle w:val="nSubsection"/>
        <w:spacing w:before="360"/>
        <w:rPr>
          <w:ins w:id="106" w:author="Master Repository Process" w:date="2021-08-29T10:42:00Z"/>
        </w:rPr>
      </w:pPr>
      <w:ins w:id="107" w:author="Master Repository Process" w:date="2021-08-29T10: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8-29T10:42:00Z"/>
        </w:rPr>
      </w:pPr>
      <w:bookmarkStart w:id="109" w:name="_Toc10195433"/>
      <w:ins w:id="110" w:author="Master Repository Process" w:date="2021-08-29T10:42:00Z">
        <w:r>
          <w:t>Provisions that have not come into operation</w:t>
        </w:r>
        <w:bookmarkEnd w:id="10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1" w:author="Master Repository Process" w:date="2021-08-29T10:42:00Z"/>
        </w:trPr>
        <w:tc>
          <w:tcPr>
            <w:tcW w:w="3118" w:type="dxa"/>
          </w:tcPr>
          <w:p>
            <w:pPr>
              <w:pStyle w:val="nTable"/>
              <w:spacing w:after="40"/>
              <w:rPr>
                <w:ins w:id="112" w:author="Master Repository Process" w:date="2021-08-29T10:42:00Z"/>
                <w:b/>
              </w:rPr>
            </w:pPr>
            <w:ins w:id="113" w:author="Master Repository Process" w:date="2021-08-29T10:42:00Z">
              <w:r>
                <w:rPr>
                  <w:b/>
                </w:rPr>
                <w:t>Citation</w:t>
              </w:r>
            </w:ins>
          </w:p>
        </w:tc>
        <w:tc>
          <w:tcPr>
            <w:tcW w:w="1276" w:type="dxa"/>
          </w:tcPr>
          <w:p>
            <w:pPr>
              <w:pStyle w:val="nTable"/>
              <w:spacing w:after="40"/>
              <w:rPr>
                <w:ins w:id="114" w:author="Master Repository Process" w:date="2021-08-29T10:42:00Z"/>
                <w:b/>
              </w:rPr>
            </w:pPr>
            <w:ins w:id="115" w:author="Master Repository Process" w:date="2021-08-29T10:42:00Z">
              <w:r>
                <w:rPr>
                  <w:b/>
                </w:rPr>
                <w:t>Gazettal</w:t>
              </w:r>
            </w:ins>
          </w:p>
        </w:tc>
        <w:tc>
          <w:tcPr>
            <w:tcW w:w="2693" w:type="dxa"/>
          </w:tcPr>
          <w:p>
            <w:pPr>
              <w:pStyle w:val="nTable"/>
              <w:spacing w:after="40"/>
              <w:rPr>
                <w:ins w:id="116" w:author="Master Repository Process" w:date="2021-08-29T10:42:00Z"/>
                <w:b/>
              </w:rPr>
            </w:pPr>
            <w:ins w:id="117" w:author="Master Repository Process" w:date="2021-08-29T10:42:00Z">
              <w:r>
                <w:rPr>
                  <w:b/>
                </w:rPr>
                <w:t>Commencement</w:t>
              </w:r>
            </w:ins>
          </w:p>
        </w:tc>
      </w:tr>
      <w:tr>
        <w:trPr>
          <w:ins w:id="118" w:author="Master Repository Process" w:date="2021-08-29T10:42:00Z"/>
        </w:trPr>
        <w:tc>
          <w:tcPr>
            <w:tcW w:w="3118" w:type="dxa"/>
          </w:tcPr>
          <w:p>
            <w:pPr>
              <w:pStyle w:val="nTable"/>
              <w:spacing w:after="40"/>
              <w:rPr>
                <w:ins w:id="119" w:author="Master Repository Process" w:date="2021-08-29T10:42:00Z"/>
              </w:rPr>
            </w:pPr>
            <w:ins w:id="120" w:author="Master Repository Process" w:date="2021-08-29T10:42:00Z">
              <w:r>
                <w:rPr>
                  <w:i/>
                </w:rPr>
                <w:t>Transport Regulations Amendment (Fees and Charges) Regulations (No. 2) 2019</w:t>
              </w:r>
              <w:r>
                <w:t xml:space="preserve"> Pt. 3</w:t>
              </w:r>
              <w:r>
                <w:rPr>
                  <w:vertAlign w:val="superscript"/>
                </w:rPr>
                <w:t> 4</w:t>
              </w:r>
            </w:ins>
          </w:p>
        </w:tc>
        <w:tc>
          <w:tcPr>
            <w:tcW w:w="1276" w:type="dxa"/>
          </w:tcPr>
          <w:p>
            <w:pPr>
              <w:pStyle w:val="nTable"/>
              <w:spacing w:after="40"/>
              <w:rPr>
                <w:ins w:id="121" w:author="Master Repository Process" w:date="2021-08-29T10:42:00Z"/>
              </w:rPr>
            </w:pPr>
            <w:ins w:id="122" w:author="Master Repository Process" w:date="2021-08-29T10:42:00Z">
              <w:r>
                <w:t>31 May 2019 p. 1721</w:t>
              </w:r>
              <w:r>
                <w:noBreakHyphen/>
                <w:t>8</w:t>
              </w:r>
            </w:ins>
          </w:p>
        </w:tc>
        <w:tc>
          <w:tcPr>
            <w:tcW w:w="2693" w:type="dxa"/>
          </w:tcPr>
          <w:p>
            <w:pPr>
              <w:pStyle w:val="nTable"/>
              <w:spacing w:after="40"/>
              <w:rPr>
                <w:ins w:id="123" w:author="Master Repository Process" w:date="2021-08-29T10:42:00Z"/>
              </w:rPr>
            </w:pPr>
            <w:ins w:id="124" w:author="Master Repository Process" w:date="2021-08-29T10:42:00Z">
              <w:r>
                <w:t>1 Jul 2019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ins w:id="125" w:author="Master Repository Process" w:date="2021-08-29T10:42:00Z"/>
        </w:rPr>
      </w:pPr>
      <w:ins w:id="126" w:author="Master Repository Process" w:date="2021-08-29T10:42:00Z">
        <w:r>
          <w:rPr>
            <w:vertAlign w:val="superscript"/>
          </w:rPr>
          <w:t>4</w:t>
        </w:r>
        <w:r>
          <w:tab/>
          <w:t xml:space="preserve">On the date at which this compilation was prepared, the </w:t>
        </w:r>
        <w:r>
          <w:rPr>
            <w:i/>
          </w:rPr>
          <w:t>Transport Regulations Amendment (Fees and Charges) Regulations (No. 2) 2019</w:t>
        </w:r>
        <w:r>
          <w:t xml:space="preserve"> Pt. 3 had not come into operation. It reads as follows:</w:t>
        </w:r>
      </w:ins>
    </w:p>
    <w:p>
      <w:pPr>
        <w:pStyle w:val="BlankOpen"/>
        <w:rPr>
          <w:ins w:id="127" w:author="Master Repository Process" w:date="2021-08-29T10:42:00Z"/>
        </w:rPr>
      </w:pPr>
    </w:p>
    <w:p>
      <w:pPr>
        <w:pStyle w:val="nzHeading2"/>
        <w:rPr>
          <w:ins w:id="128" w:author="Master Repository Process" w:date="2021-08-29T10:42:00Z"/>
        </w:rPr>
      </w:pPr>
      <w:bookmarkStart w:id="129" w:name="_Toc5260328"/>
      <w:bookmarkStart w:id="130" w:name="_Toc5260358"/>
      <w:bookmarkStart w:id="131" w:name="_Toc5260388"/>
      <w:ins w:id="132" w:author="Master Repository Process" w:date="2021-08-29T10:42:00Z">
        <w:r>
          <w:rPr>
            <w:rStyle w:val="CharPartNo"/>
          </w:rPr>
          <w:t>Part 3</w:t>
        </w:r>
        <w:r>
          <w:rPr>
            <w:rStyle w:val="CharDivNo"/>
          </w:rPr>
          <w:t> </w:t>
        </w:r>
        <w:r>
          <w:t>—</w:t>
        </w:r>
        <w:r>
          <w:rPr>
            <w:rStyle w:val="CharDivText"/>
          </w:rPr>
          <w:t> </w:t>
        </w:r>
        <w:r>
          <w:rPr>
            <w:rStyle w:val="CharPartText"/>
            <w:i/>
          </w:rPr>
          <w:t>Mooring Regulations 1998</w:t>
        </w:r>
        <w:r>
          <w:rPr>
            <w:rStyle w:val="CharPartText"/>
          </w:rPr>
          <w:t xml:space="preserve"> amended</w:t>
        </w:r>
        <w:bookmarkEnd w:id="129"/>
        <w:bookmarkEnd w:id="130"/>
        <w:bookmarkEnd w:id="131"/>
      </w:ins>
    </w:p>
    <w:p>
      <w:pPr>
        <w:pStyle w:val="nzHeading5"/>
        <w:rPr>
          <w:ins w:id="133" w:author="Master Repository Process" w:date="2021-08-29T10:42:00Z"/>
          <w:snapToGrid w:val="0"/>
        </w:rPr>
      </w:pPr>
      <w:bookmarkStart w:id="134" w:name="_Toc5260359"/>
      <w:bookmarkStart w:id="135" w:name="_Toc5260389"/>
      <w:ins w:id="136" w:author="Master Repository Process" w:date="2021-08-29T10:42:00Z">
        <w:r>
          <w:rPr>
            <w:rStyle w:val="CharSectno"/>
          </w:rPr>
          <w:t>5</w:t>
        </w:r>
        <w:r>
          <w:rPr>
            <w:snapToGrid w:val="0"/>
          </w:rPr>
          <w:t>.</w:t>
        </w:r>
        <w:r>
          <w:rPr>
            <w:snapToGrid w:val="0"/>
          </w:rPr>
          <w:tab/>
          <w:t>Regulations amended</w:t>
        </w:r>
        <w:bookmarkEnd w:id="134"/>
        <w:bookmarkEnd w:id="135"/>
      </w:ins>
    </w:p>
    <w:p>
      <w:pPr>
        <w:pStyle w:val="nzSubsection"/>
        <w:rPr>
          <w:ins w:id="137" w:author="Master Repository Process" w:date="2021-08-29T10:42:00Z"/>
        </w:rPr>
      </w:pPr>
      <w:ins w:id="138" w:author="Master Repository Process" w:date="2021-08-29T10:42:00Z">
        <w:r>
          <w:tab/>
        </w:r>
        <w:r>
          <w:tab/>
          <w:t>This Part amends the</w:t>
        </w:r>
        <w:r>
          <w:rPr>
            <w:i/>
          </w:rPr>
          <w:t xml:space="preserve"> Mooring Regulations 1998</w:t>
        </w:r>
        <w:r>
          <w:t>.</w:t>
        </w:r>
      </w:ins>
    </w:p>
    <w:p>
      <w:pPr>
        <w:pStyle w:val="nzHeading5"/>
        <w:rPr>
          <w:ins w:id="139" w:author="Master Repository Process" w:date="2021-08-29T10:42:00Z"/>
        </w:rPr>
      </w:pPr>
      <w:bookmarkStart w:id="140" w:name="_Toc5260360"/>
      <w:bookmarkStart w:id="141" w:name="_Toc5260390"/>
      <w:ins w:id="142" w:author="Master Repository Process" w:date="2021-08-29T10:42:00Z">
        <w:r>
          <w:rPr>
            <w:rStyle w:val="CharSectno"/>
          </w:rPr>
          <w:t>6</w:t>
        </w:r>
        <w:r>
          <w:t>.</w:t>
        </w:r>
        <w:r>
          <w:tab/>
          <w:t>Schedule 2 amended</w:t>
        </w:r>
        <w:bookmarkEnd w:id="140"/>
        <w:bookmarkEnd w:id="141"/>
      </w:ins>
    </w:p>
    <w:p>
      <w:pPr>
        <w:pStyle w:val="nzSubsection"/>
        <w:rPr>
          <w:ins w:id="143" w:author="Master Repository Process" w:date="2021-08-29T10:42:00Z"/>
        </w:rPr>
      </w:pPr>
      <w:ins w:id="144" w:author="Master Repository Process" w:date="2021-08-29T10:42:00Z">
        <w:r>
          <w:tab/>
        </w:r>
        <w:r>
          <w:tab/>
          <w:t>In Schedule 2 delete the Table and insert:</w:t>
        </w:r>
      </w:ins>
    </w:p>
    <w:p>
      <w:pPr>
        <w:pStyle w:val="BlankOpen"/>
        <w:rPr>
          <w:ins w:id="145" w:author="Master Repository Process" w:date="2021-08-29T10:42:00Z"/>
          <w:b/>
        </w:rPr>
      </w:pP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ins w:id="146" w:author="Master Repository Process" w:date="2021-08-29T10:42:00Z"/>
        </w:trPr>
        <w:tc>
          <w:tcPr>
            <w:tcW w:w="720" w:type="dxa"/>
            <w:tcBorders>
              <w:top w:val="single" w:sz="4" w:space="0" w:color="auto"/>
              <w:bottom w:val="single" w:sz="4" w:space="0" w:color="auto"/>
            </w:tcBorders>
          </w:tcPr>
          <w:p>
            <w:pPr>
              <w:pStyle w:val="nzTableNAm"/>
              <w:rPr>
                <w:ins w:id="147" w:author="Master Repository Process" w:date="2021-08-29T10:42:00Z"/>
                <w:b/>
              </w:rPr>
            </w:pPr>
            <w:ins w:id="148" w:author="Master Repository Process" w:date="2021-08-29T10:42:00Z">
              <w:r>
                <w:rPr>
                  <w:b/>
                </w:rPr>
                <w:t>Item</w:t>
              </w:r>
            </w:ins>
          </w:p>
        </w:tc>
        <w:tc>
          <w:tcPr>
            <w:tcW w:w="5160" w:type="dxa"/>
            <w:tcBorders>
              <w:top w:val="single" w:sz="4" w:space="0" w:color="auto"/>
              <w:bottom w:val="single" w:sz="4" w:space="0" w:color="auto"/>
            </w:tcBorders>
          </w:tcPr>
          <w:p>
            <w:pPr>
              <w:pStyle w:val="nzTableNAm"/>
              <w:rPr>
                <w:ins w:id="149" w:author="Master Repository Process" w:date="2021-08-29T10:42:00Z"/>
                <w:b/>
              </w:rPr>
            </w:pPr>
          </w:p>
        </w:tc>
        <w:tc>
          <w:tcPr>
            <w:tcW w:w="1080" w:type="dxa"/>
            <w:tcBorders>
              <w:top w:val="single" w:sz="4" w:space="0" w:color="auto"/>
              <w:bottom w:val="single" w:sz="4" w:space="0" w:color="auto"/>
            </w:tcBorders>
          </w:tcPr>
          <w:p>
            <w:pPr>
              <w:pStyle w:val="nzTableNAm"/>
              <w:rPr>
                <w:ins w:id="150" w:author="Master Repository Process" w:date="2021-08-29T10:42:00Z"/>
                <w:b/>
              </w:rPr>
            </w:pPr>
            <w:ins w:id="151" w:author="Master Repository Process" w:date="2021-08-29T10:42:00Z">
              <w:r>
                <w:rPr>
                  <w:b/>
                </w:rPr>
                <w:t>Fee</w:t>
              </w:r>
            </w:ins>
          </w:p>
        </w:tc>
      </w:tr>
      <w:tr>
        <w:trPr>
          <w:cantSplit/>
          <w:ins w:id="152" w:author="Master Repository Process" w:date="2021-08-29T10:42:00Z"/>
        </w:trPr>
        <w:tc>
          <w:tcPr>
            <w:tcW w:w="720" w:type="dxa"/>
            <w:tcBorders>
              <w:top w:val="single" w:sz="4" w:space="0" w:color="auto"/>
            </w:tcBorders>
          </w:tcPr>
          <w:p>
            <w:pPr>
              <w:pStyle w:val="nzTableNAm"/>
              <w:rPr>
                <w:ins w:id="153" w:author="Master Repository Process" w:date="2021-08-29T10:42:00Z"/>
              </w:rPr>
            </w:pPr>
            <w:ins w:id="154" w:author="Master Repository Process" w:date="2021-08-29T10:42:00Z">
              <w:r>
                <w:t>1.</w:t>
              </w:r>
            </w:ins>
          </w:p>
        </w:tc>
        <w:tc>
          <w:tcPr>
            <w:tcW w:w="5160" w:type="dxa"/>
            <w:tcBorders>
              <w:top w:val="single" w:sz="4" w:space="0" w:color="auto"/>
            </w:tcBorders>
          </w:tcPr>
          <w:p>
            <w:pPr>
              <w:pStyle w:val="nzTableNAm"/>
              <w:rPr>
                <w:ins w:id="155" w:author="Master Repository Process" w:date="2021-08-29T10:42:00Z"/>
              </w:rPr>
            </w:pPr>
            <w:ins w:id="156" w:author="Master Repository Process" w:date="2021-08-29T10:42:00Z">
              <w:r>
                <w:t>Application for mooring licence (r. 9(1)(c))</w:t>
              </w:r>
            </w:ins>
          </w:p>
        </w:tc>
        <w:tc>
          <w:tcPr>
            <w:tcW w:w="1080" w:type="dxa"/>
            <w:tcBorders>
              <w:top w:val="single" w:sz="4" w:space="0" w:color="auto"/>
            </w:tcBorders>
          </w:tcPr>
          <w:p>
            <w:pPr>
              <w:pStyle w:val="nzTableNAm"/>
              <w:rPr>
                <w:ins w:id="157" w:author="Master Repository Process" w:date="2021-08-29T10:42:00Z"/>
              </w:rPr>
            </w:pPr>
            <w:ins w:id="158" w:author="Master Repository Process" w:date="2021-08-29T10:42:00Z">
              <w:r>
                <w:t>$112.00</w:t>
              </w:r>
            </w:ins>
          </w:p>
        </w:tc>
      </w:tr>
      <w:tr>
        <w:trPr>
          <w:cantSplit/>
          <w:ins w:id="159" w:author="Master Repository Process" w:date="2021-08-29T10:42:00Z"/>
        </w:trPr>
        <w:tc>
          <w:tcPr>
            <w:tcW w:w="720" w:type="dxa"/>
          </w:tcPr>
          <w:p>
            <w:pPr>
              <w:pStyle w:val="nzTableNAm"/>
              <w:rPr>
                <w:ins w:id="160" w:author="Master Repository Process" w:date="2021-08-29T10:42:00Z"/>
              </w:rPr>
            </w:pPr>
            <w:ins w:id="161" w:author="Master Repository Process" w:date="2021-08-29T10:42:00Z">
              <w:r>
                <w:t>2.</w:t>
              </w:r>
            </w:ins>
          </w:p>
        </w:tc>
        <w:tc>
          <w:tcPr>
            <w:tcW w:w="5160" w:type="dxa"/>
          </w:tcPr>
          <w:p>
            <w:pPr>
              <w:pStyle w:val="nzTableNAm"/>
              <w:rPr>
                <w:ins w:id="162" w:author="Master Repository Process" w:date="2021-08-29T10:42:00Z"/>
              </w:rPr>
            </w:pPr>
            <w:ins w:id="163" w:author="Master Repository Process" w:date="2021-08-29T10:42:00Z">
              <w:r>
                <w:t>Annual mooring licence fee (r. 12(1)(c), 13(1))</w:t>
              </w:r>
            </w:ins>
          </w:p>
        </w:tc>
        <w:tc>
          <w:tcPr>
            <w:tcW w:w="1080" w:type="dxa"/>
          </w:tcPr>
          <w:p>
            <w:pPr>
              <w:pStyle w:val="nzTableNAm"/>
              <w:rPr>
                <w:ins w:id="164" w:author="Master Repository Process" w:date="2021-08-29T10:42:00Z"/>
              </w:rPr>
            </w:pPr>
            <w:ins w:id="165" w:author="Master Repository Process" w:date="2021-08-29T10:42:00Z">
              <w:r>
                <w:t>$612.00</w:t>
              </w:r>
            </w:ins>
          </w:p>
        </w:tc>
      </w:tr>
      <w:tr>
        <w:trPr>
          <w:cantSplit/>
          <w:ins w:id="166" w:author="Master Repository Process" w:date="2021-08-29T10:42:00Z"/>
        </w:trPr>
        <w:tc>
          <w:tcPr>
            <w:tcW w:w="720" w:type="dxa"/>
          </w:tcPr>
          <w:p>
            <w:pPr>
              <w:pStyle w:val="nzTableNAm"/>
              <w:rPr>
                <w:ins w:id="167" w:author="Master Repository Process" w:date="2021-08-29T10:42:00Z"/>
              </w:rPr>
            </w:pPr>
            <w:ins w:id="168" w:author="Master Repository Process" w:date="2021-08-29T10:42:00Z">
              <w:r>
                <w:t>3.</w:t>
              </w:r>
            </w:ins>
          </w:p>
        </w:tc>
        <w:tc>
          <w:tcPr>
            <w:tcW w:w="5160" w:type="dxa"/>
          </w:tcPr>
          <w:p>
            <w:pPr>
              <w:pStyle w:val="nzTableNAm"/>
              <w:rPr>
                <w:ins w:id="169" w:author="Master Repository Process" w:date="2021-08-29T10:42:00Z"/>
              </w:rPr>
            </w:pPr>
            <w:ins w:id="170" w:author="Master Repository Process" w:date="2021-08-29T10:42:00Z">
              <w:r>
                <w:t>Late fee (r. 13(3))</w:t>
              </w:r>
            </w:ins>
          </w:p>
        </w:tc>
        <w:tc>
          <w:tcPr>
            <w:tcW w:w="1080" w:type="dxa"/>
          </w:tcPr>
          <w:p>
            <w:pPr>
              <w:pStyle w:val="nzTableNAm"/>
              <w:rPr>
                <w:ins w:id="171" w:author="Master Repository Process" w:date="2021-08-29T10:42:00Z"/>
              </w:rPr>
            </w:pPr>
            <w:ins w:id="172" w:author="Master Repository Process" w:date="2021-08-29T10:42:00Z">
              <w:r>
                <w:t>$112.00</w:t>
              </w:r>
            </w:ins>
          </w:p>
        </w:tc>
      </w:tr>
      <w:tr>
        <w:trPr>
          <w:cantSplit/>
          <w:ins w:id="173" w:author="Master Repository Process" w:date="2021-08-29T10:42:00Z"/>
        </w:trPr>
        <w:tc>
          <w:tcPr>
            <w:tcW w:w="720" w:type="dxa"/>
          </w:tcPr>
          <w:p>
            <w:pPr>
              <w:pStyle w:val="nzTableNAm"/>
              <w:rPr>
                <w:ins w:id="174" w:author="Master Repository Process" w:date="2021-08-29T10:42:00Z"/>
              </w:rPr>
            </w:pPr>
            <w:ins w:id="175" w:author="Master Repository Process" w:date="2021-08-29T10:42:00Z">
              <w:r>
                <w:t>4.</w:t>
              </w:r>
            </w:ins>
          </w:p>
        </w:tc>
        <w:tc>
          <w:tcPr>
            <w:tcW w:w="5160" w:type="dxa"/>
          </w:tcPr>
          <w:p>
            <w:pPr>
              <w:pStyle w:val="nzTableNAm"/>
              <w:rPr>
                <w:ins w:id="176" w:author="Master Repository Process" w:date="2021-08-29T10:42:00Z"/>
              </w:rPr>
            </w:pPr>
            <w:ins w:id="177" w:author="Master Repository Process" w:date="2021-08-29T10:42:00Z">
              <w:r>
                <w:t>Exchange of mooring sites (r. 15(2)(b))</w:t>
              </w:r>
            </w:ins>
          </w:p>
        </w:tc>
        <w:tc>
          <w:tcPr>
            <w:tcW w:w="1080" w:type="dxa"/>
          </w:tcPr>
          <w:p>
            <w:pPr>
              <w:pStyle w:val="nzTableNAm"/>
              <w:rPr>
                <w:ins w:id="178" w:author="Master Repository Process" w:date="2021-08-29T10:42:00Z"/>
              </w:rPr>
            </w:pPr>
            <w:ins w:id="179" w:author="Master Repository Process" w:date="2021-08-29T10:42:00Z">
              <w:r>
                <w:t>$112.00</w:t>
              </w:r>
            </w:ins>
          </w:p>
        </w:tc>
      </w:tr>
      <w:tr>
        <w:trPr>
          <w:cantSplit/>
          <w:ins w:id="180" w:author="Master Repository Process" w:date="2021-08-29T10:42:00Z"/>
        </w:trPr>
        <w:tc>
          <w:tcPr>
            <w:tcW w:w="720" w:type="dxa"/>
          </w:tcPr>
          <w:p>
            <w:pPr>
              <w:pStyle w:val="nzTableNAm"/>
              <w:rPr>
                <w:ins w:id="181" w:author="Master Repository Process" w:date="2021-08-29T10:42:00Z"/>
              </w:rPr>
            </w:pPr>
            <w:ins w:id="182" w:author="Master Repository Process" w:date="2021-08-29T10:42:00Z">
              <w:r>
                <w:t>5.</w:t>
              </w:r>
            </w:ins>
          </w:p>
        </w:tc>
        <w:tc>
          <w:tcPr>
            <w:tcW w:w="5160" w:type="dxa"/>
          </w:tcPr>
          <w:p>
            <w:pPr>
              <w:pStyle w:val="nzTableNAm"/>
              <w:rPr>
                <w:ins w:id="183" w:author="Master Repository Process" w:date="2021-08-29T10:42:00Z"/>
              </w:rPr>
            </w:pPr>
            <w:ins w:id="184" w:author="Master Repository Process" w:date="2021-08-29T10:42:00Z">
              <w:r>
                <w:t>Application for transfer of mooring licence (r. 16(2)(b))</w:t>
              </w:r>
            </w:ins>
          </w:p>
        </w:tc>
        <w:tc>
          <w:tcPr>
            <w:tcW w:w="1080" w:type="dxa"/>
          </w:tcPr>
          <w:p>
            <w:pPr>
              <w:pStyle w:val="nzTableNAm"/>
              <w:rPr>
                <w:ins w:id="185" w:author="Master Repository Process" w:date="2021-08-29T10:42:00Z"/>
              </w:rPr>
            </w:pPr>
            <w:ins w:id="186" w:author="Master Repository Process" w:date="2021-08-29T10:42:00Z">
              <w:r>
                <w:t>$112.00</w:t>
              </w:r>
            </w:ins>
          </w:p>
        </w:tc>
      </w:tr>
      <w:tr>
        <w:trPr>
          <w:cantSplit/>
          <w:ins w:id="187" w:author="Master Repository Process" w:date="2021-08-29T10:42:00Z"/>
        </w:trPr>
        <w:tc>
          <w:tcPr>
            <w:tcW w:w="720" w:type="dxa"/>
          </w:tcPr>
          <w:p>
            <w:pPr>
              <w:pStyle w:val="nzTableNAm"/>
              <w:rPr>
                <w:ins w:id="188" w:author="Master Repository Process" w:date="2021-08-29T10:42:00Z"/>
              </w:rPr>
            </w:pPr>
            <w:ins w:id="189" w:author="Master Repository Process" w:date="2021-08-29T10:42:00Z">
              <w:r>
                <w:t>6.</w:t>
              </w:r>
            </w:ins>
          </w:p>
        </w:tc>
        <w:tc>
          <w:tcPr>
            <w:tcW w:w="5160" w:type="dxa"/>
          </w:tcPr>
          <w:p>
            <w:pPr>
              <w:pStyle w:val="nzTableNAm"/>
              <w:rPr>
                <w:ins w:id="190" w:author="Master Repository Process" w:date="2021-08-29T10:42:00Z"/>
              </w:rPr>
            </w:pPr>
            <w:ins w:id="191" w:author="Master Repository Process" w:date="2021-08-29T10:42:00Z">
              <w:r>
                <w:t>Substitution of licensed vessel (r. 25(5)(b))</w:t>
              </w:r>
            </w:ins>
          </w:p>
        </w:tc>
        <w:tc>
          <w:tcPr>
            <w:tcW w:w="1080" w:type="dxa"/>
          </w:tcPr>
          <w:p>
            <w:pPr>
              <w:pStyle w:val="nzTableNAm"/>
              <w:rPr>
                <w:ins w:id="192" w:author="Master Repository Process" w:date="2021-08-29T10:42:00Z"/>
              </w:rPr>
            </w:pPr>
            <w:ins w:id="193" w:author="Master Repository Process" w:date="2021-08-29T10:42:00Z">
              <w:r>
                <w:t>$112.00</w:t>
              </w:r>
            </w:ins>
          </w:p>
        </w:tc>
      </w:tr>
      <w:tr>
        <w:trPr>
          <w:cantSplit/>
          <w:ins w:id="194" w:author="Master Repository Process" w:date="2021-08-29T10:42:00Z"/>
        </w:trPr>
        <w:tc>
          <w:tcPr>
            <w:tcW w:w="720" w:type="dxa"/>
            <w:tcBorders>
              <w:bottom w:val="single" w:sz="4" w:space="0" w:color="auto"/>
            </w:tcBorders>
          </w:tcPr>
          <w:p>
            <w:pPr>
              <w:pStyle w:val="nzTableNAm"/>
              <w:rPr>
                <w:ins w:id="195" w:author="Master Repository Process" w:date="2021-08-29T10:42:00Z"/>
              </w:rPr>
            </w:pPr>
            <w:ins w:id="196" w:author="Master Repository Process" w:date="2021-08-29T10:42:00Z">
              <w:r>
                <w:t>7.</w:t>
              </w:r>
            </w:ins>
          </w:p>
        </w:tc>
        <w:tc>
          <w:tcPr>
            <w:tcW w:w="5160" w:type="dxa"/>
            <w:tcBorders>
              <w:bottom w:val="single" w:sz="4" w:space="0" w:color="auto"/>
            </w:tcBorders>
          </w:tcPr>
          <w:p>
            <w:pPr>
              <w:pStyle w:val="nzTableNAm"/>
              <w:rPr>
                <w:ins w:id="197" w:author="Master Repository Process" w:date="2021-08-29T10:42:00Z"/>
              </w:rPr>
            </w:pPr>
            <w:ins w:id="198" w:author="Master Repository Process" w:date="2021-08-29T10:42:00Z">
              <w:r>
                <w:t>Application to register additional vessel (r. 27(e))</w:t>
              </w:r>
            </w:ins>
          </w:p>
        </w:tc>
        <w:tc>
          <w:tcPr>
            <w:tcW w:w="1080" w:type="dxa"/>
            <w:tcBorders>
              <w:bottom w:val="single" w:sz="4" w:space="0" w:color="auto"/>
            </w:tcBorders>
          </w:tcPr>
          <w:p>
            <w:pPr>
              <w:pStyle w:val="nzTableNAm"/>
              <w:rPr>
                <w:ins w:id="199" w:author="Master Repository Process" w:date="2021-08-29T10:42:00Z"/>
              </w:rPr>
            </w:pPr>
            <w:ins w:id="200" w:author="Master Repository Process" w:date="2021-08-29T10:42:00Z">
              <w:r>
                <w:t>$112.00</w:t>
              </w:r>
            </w:ins>
          </w:p>
        </w:tc>
      </w:tr>
    </w:tbl>
    <w:p>
      <w:pPr>
        <w:pStyle w:val="BlankClose"/>
        <w:rPr>
          <w:ins w:id="201" w:author="Master Repository Process" w:date="2021-08-29T10:42: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84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DC4F5F-D25A-440A-BEFD-A56F9FC68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6F426-010C-40C0-A13B-33E00E62F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5933</Words>
  <Characters>27949</Characters>
  <Application>Microsoft Office Word</Application>
  <DocSecurity>0</DocSecurity>
  <Lines>846</Lines>
  <Paragraphs>537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03-k0-01 - 03-l0-00</dc:title>
  <dc:subject/>
  <dc:creator/>
  <cp:keywords/>
  <dc:description/>
  <cp:lastModifiedBy>Master Repository Process</cp:lastModifiedBy>
  <cp:revision>2</cp:revision>
  <cp:lastPrinted>2013-04-05T00:05:00Z</cp:lastPrinted>
  <dcterms:created xsi:type="dcterms:W3CDTF">2021-08-29T02:42:00Z</dcterms:created>
  <dcterms:modified xsi:type="dcterms:W3CDTF">2021-08-29T02:42:00Z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20190531</vt:lpwstr>
  </property>
  <property fmtid="{D5CDD505-2E9C-101B-9397-08002B2CF9AE}" pid="8" name="FromSuffix">
    <vt:lpwstr>03-k0-01</vt:lpwstr>
  </property>
  <property fmtid="{D5CDD505-2E9C-101B-9397-08002B2CF9AE}" pid="9" name="FromAsAtDate">
    <vt:lpwstr>01 Jul 2018</vt:lpwstr>
  </property>
  <property fmtid="{D5CDD505-2E9C-101B-9397-08002B2CF9AE}" pid="10" name="ToSuffix">
    <vt:lpwstr>03-l0-00</vt:lpwstr>
  </property>
  <property fmtid="{D5CDD505-2E9C-101B-9397-08002B2CF9AE}" pid="11" name="ToAsAtDate">
    <vt:lpwstr>31 May 2019</vt:lpwstr>
  </property>
</Properties>
</file>