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Police (Fees and Charges) Regulations 2018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Aug 2018</w:t>
      </w:r>
      <w:r>
        <w:fldChar w:fldCharType="end"/>
      </w:r>
      <w:r>
        <w:t xml:space="preserve">, </w:t>
      </w:r>
      <w:r>
        <w:fldChar w:fldCharType="begin"/>
      </w:r>
      <w:r>
        <w:instrText xml:space="preserve"> DocProperty FromSuffix </w:instrText>
      </w:r>
      <w:r>
        <w:fldChar w:fldCharType="separate"/>
      </w:r>
      <w:r>
        <w:t>00-c0-01</w:t>
      </w:r>
      <w:r>
        <w:fldChar w:fldCharType="end"/>
      </w:r>
      <w:r>
        <w:t>] and [</w:t>
      </w:r>
      <w:r>
        <w:fldChar w:fldCharType="begin"/>
      </w:r>
      <w:r>
        <w:instrText xml:space="preserve"> DocProperty ToAsAtDate</w:instrText>
      </w:r>
      <w:r>
        <w:fldChar w:fldCharType="separate"/>
      </w:r>
      <w:r>
        <w:t>21 Jun 2019</w:t>
      </w:r>
      <w:r>
        <w:fldChar w:fldCharType="end"/>
      </w:r>
      <w:r>
        <w:t xml:space="preserve">, </w:t>
      </w:r>
      <w:r>
        <w:fldChar w:fldCharType="begin"/>
      </w:r>
      <w:r>
        <w:instrText xml:space="preserve"> DocProperty ToSuffix</w:instrText>
      </w:r>
      <w:r>
        <w:fldChar w:fldCharType="separate"/>
      </w:r>
      <w:r>
        <w:t>00-d0-00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Police Act 1892</w:t>
      </w:r>
    </w:p>
    <w:p>
      <w:pPr>
        <w:pStyle w:val="NameofActReg"/>
      </w:pPr>
      <w:r>
        <w:t>Police (Fees and Charges) Regulations 2018</w:t>
      </w:r>
    </w:p>
    <w:p>
      <w:pPr>
        <w:pStyle w:val="Heading5"/>
      </w:pPr>
      <w:bookmarkStart w:id="1" w:name="_Toc499640151"/>
      <w:bookmarkStart w:id="2" w:name="_Toc499648461"/>
      <w:bookmarkStart w:id="3" w:name="_Toc11938349"/>
      <w:bookmarkStart w:id="4" w:name="_Toc522200181"/>
      <w:r>
        <w:rPr>
          <w:rStyle w:val="CharSectno"/>
        </w:rPr>
        <w:t>1</w:t>
      </w:r>
      <w:bookmarkStart w:id="5" w:name="_GoBack"/>
      <w:bookmarkEnd w:id="5"/>
      <w:r>
        <w:t>.</w:t>
      </w:r>
      <w:r>
        <w:tab/>
        <w:t>Citation</w:t>
      </w:r>
      <w:bookmarkEnd w:id="1"/>
      <w:bookmarkEnd w:id="2"/>
      <w:bookmarkEnd w:id="3"/>
      <w:bookmarkEnd w:id="4"/>
    </w:p>
    <w:p>
      <w:pPr>
        <w:pStyle w:val="Subsection"/>
      </w:pPr>
      <w:r>
        <w:tab/>
      </w:r>
      <w:r>
        <w:tab/>
      </w:r>
      <w:bookmarkStart w:id="6" w:name="Start_Cursor"/>
      <w:bookmarkEnd w:id="6"/>
      <w:r>
        <w:t xml:space="preserve">These </w:t>
      </w:r>
      <w:r>
        <w:rPr>
          <w:spacing w:val="-2"/>
        </w:rPr>
        <w:t>regulations</w:t>
      </w:r>
      <w:r>
        <w:t xml:space="preserve"> are the </w:t>
      </w:r>
      <w:r>
        <w:rPr>
          <w:i/>
        </w:rPr>
        <w:t>Police (Fees and Charges) Regulations 2018</w:t>
      </w:r>
      <w:r>
        <w:t>.</w:t>
      </w:r>
    </w:p>
    <w:p>
      <w:pPr>
        <w:pStyle w:val="Heading5"/>
        <w:rPr>
          <w:spacing w:val="-2"/>
        </w:rPr>
      </w:pPr>
      <w:bookmarkStart w:id="7" w:name="_Toc499640152"/>
      <w:bookmarkStart w:id="8" w:name="_Toc499648462"/>
      <w:bookmarkStart w:id="9" w:name="_Toc11938350"/>
      <w:bookmarkStart w:id="10" w:name="_Toc522200182"/>
      <w:r>
        <w:rPr>
          <w:rStyle w:val="CharSectno"/>
        </w:rPr>
        <w:t>2</w:t>
      </w:r>
      <w:r>
        <w:rPr>
          <w:spacing w:val="-2"/>
        </w:rPr>
        <w:t>.</w:t>
      </w:r>
      <w:r>
        <w:rPr>
          <w:spacing w:val="-2"/>
        </w:rPr>
        <w:tab/>
        <w:t>Commencement</w:t>
      </w:r>
      <w:bookmarkEnd w:id="7"/>
      <w:bookmarkEnd w:id="8"/>
      <w:bookmarkEnd w:id="9"/>
      <w:bookmarkEnd w:id="10"/>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 xml:space="preserve">Police Amendment Act 2011 </w:t>
      </w:r>
      <w:r>
        <w:t>section 4 comes into operation.</w:t>
      </w:r>
    </w:p>
    <w:p>
      <w:pPr>
        <w:pStyle w:val="Heading5"/>
      </w:pPr>
      <w:bookmarkStart w:id="11" w:name="_Toc499640153"/>
      <w:bookmarkStart w:id="12" w:name="_Toc499648463"/>
      <w:bookmarkStart w:id="13" w:name="_Toc11938351"/>
      <w:bookmarkStart w:id="14" w:name="_Toc522200183"/>
      <w:r>
        <w:rPr>
          <w:rStyle w:val="CharSectno"/>
        </w:rPr>
        <w:t>3</w:t>
      </w:r>
      <w:r>
        <w:t>.</w:t>
      </w:r>
      <w:r>
        <w:tab/>
        <w:t>Terms used</w:t>
      </w:r>
      <w:bookmarkEnd w:id="11"/>
      <w:bookmarkEnd w:id="12"/>
      <w:bookmarkEnd w:id="13"/>
      <w:bookmarkEnd w:id="14"/>
    </w:p>
    <w:p>
      <w:pPr>
        <w:pStyle w:val="Subsection"/>
      </w:pPr>
      <w:r>
        <w:tab/>
      </w:r>
      <w:r>
        <w:tab/>
        <w:t xml:space="preserve">In these regulations — </w:t>
      </w:r>
    </w:p>
    <w:p>
      <w:pPr>
        <w:pStyle w:val="Defstart"/>
      </w:pPr>
      <w:r>
        <w:tab/>
      </w:r>
      <w:r>
        <w:rPr>
          <w:rStyle w:val="CharDefText"/>
        </w:rPr>
        <w:t>attendance rate</w:t>
      </w:r>
      <w:r>
        <w:t xml:space="preserve"> means the total of — </w:t>
      </w:r>
    </w:p>
    <w:p>
      <w:pPr>
        <w:pStyle w:val="Defpara"/>
      </w:pPr>
      <w:r>
        <w:tab/>
        <w:t>(a)</w:t>
      </w:r>
      <w:r>
        <w:tab/>
        <w:t>the hourly attendance rate specified in Schedule 2; and</w:t>
      </w:r>
    </w:p>
    <w:p>
      <w:pPr>
        <w:pStyle w:val="Defpara"/>
      </w:pPr>
      <w:r>
        <w:tab/>
        <w:t>(b)</w:t>
      </w:r>
      <w:r>
        <w:tab/>
        <w:t>the hourly general overhead expenses rate specified in that Schedule;</w:t>
      </w:r>
    </w:p>
    <w:p>
      <w:pPr>
        <w:pStyle w:val="Defstart"/>
      </w:pPr>
      <w:r>
        <w:tab/>
      </w:r>
      <w:r>
        <w:rPr>
          <w:rStyle w:val="CharDefText"/>
        </w:rPr>
        <w:t>department</w:t>
      </w:r>
      <w:r>
        <w:t xml:space="preserve"> means the department of the Public Service principally assisting the Minister in the administration of the Act;</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Defstart"/>
      </w:pPr>
      <w:r>
        <w:tab/>
      </w:r>
      <w:r>
        <w:rPr>
          <w:rStyle w:val="CharDefText"/>
        </w:rPr>
        <w:t>planning rate</w:t>
      </w:r>
      <w:r>
        <w:t xml:space="preserve"> means the total of — </w:t>
      </w:r>
    </w:p>
    <w:p>
      <w:pPr>
        <w:pStyle w:val="Defpara"/>
      </w:pPr>
      <w:r>
        <w:tab/>
        <w:t>(a)</w:t>
      </w:r>
      <w:r>
        <w:tab/>
        <w:t>the hourly planning rate specified in Schedule 2; and</w:t>
      </w:r>
    </w:p>
    <w:p>
      <w:pPr>
        <w:pStyle w:val="Defpara"/>
      </w:pPr>
      <w:r>
        <w:tab/>
        <w:t>(b)</w:t>
      </w:r>
      <w:r>
        <w:tab/>
        <w:t>the hourly general overhead expenses rate specified in that Schedule;</w:t>
      </w:r>
    </w:p>
    <w:p>
      <w:pPr>
        <w:pStyle w:val="Defstart"/>
      </w:pPr>
      <w:r>
        <w:tab/>
      </w:r>
      <w:r>
        <w:rPr>
          <w:rStyle w:val="CharDefText"/>
        </w:rPr>
        <w:t>traffic infringement notice record</w:t>
      </w:r>
      <w:r>
        <w:t xml:space="preserve">, in respect of a person, means the record held in the department of infringement notices served on the person under the </w:t>
      </w:r>
      <w:r>
        <w:rPr>
          <w:i/>
        </w:rPr>
        <w:t xml:space="preserve">Road Traffic (Administration) Act 2008 </w:t>
      </w:r>
      <w:r>
        <w:t>section 79.</w:t>
      </w:r>
    </w:p>
    <w:p>
      <w:pPr>
        <w:pStyle w:val="Heading5"/>
      </w:pPr>
      <w:bookmarkStart w:id="15" w:name="_Toc499640154"/>
      <w:bookmarkStart w:id="16" w:name="_Toc499648464"/>
      <w:bookmarkStart w:id="17" w:name="_Toc11938352"/>
      <w:bookmarkStart w:id="18" w:name="_Toc522200184"/>
      <w:r>
        <w:rPr>
          <w:rStyle w:val="CharSectno"/>
        </w:rPr>
        <w:t>4</w:t>
      </w:r>
      <w:r>
        <w:t>.</w:t>
      </w:r>
      <w:r>
        <w:tab/>
        <w:t>Fees</w:t>
      </w:r>
      <w:bookmarkEnd w:id="15"/>
      <w:bookmarkEnd w:id="16"/>
      <w:bookmarkEnd w:id="17"/>
      <w:bookmarkEnd w:id="18"/>
    </w:p>
    <w:p>
      <w:pPr>
        <w:pStyle w:val="Subsection"/>
      </w:pPr>
      <w:r>
        <w:tab/>
        <w:t>(1)</w:t>
      </w:r>
      <w:r>
        <w:tab/>
        <w:t>A fee specified in Schedule 1 is the fee payable for the purpose set out opposite the fee in that Schedule.</w:t>
      </w:r>
    </w:p>
    <w:p>
      <w:pPr>
        <w:pStyle w:val="Subsection"/>
      </w:pPr>
      <w:r>
        <w:tab/>
        <w:t>(2)</w:t>
      </w:r>
      <w:r>
        <w:tab/>
        <w:t>The Commissioner of Police may reduce, waive or refund, in whole or in part, a fee payable under this regulation.</w:t>
      </w:r>
    </w:p>
    <w:p>
      <w:pPr>
        <w:pStyle w:val="Heading5"/>
      </w:pPr>
      <w:bookmarkStart w:id="19" w:name="_Toc499640155"/>
      <w:bookmarkStart w:id="20" w:name="_Toc499648465"/>
      <w:bookmarkStart w:id="21" w:name="_Toc11938353"/>
      <w:bookmarkStart w:id="22" w:name="_Toc522200185"/>
      <w:r>
        <w:rPr>
          <w:rStyle w:val="CharSectno"/>
        </w:rPr>
        <w:t>5</w:t>
      </w:r>
      <w:r>
        <w:t>.</w:t>
      </w:r>
      <w:r>
        <w:tab/>
        <w:t>Exempt events</w:t>
      </w:r>
      <w:bookmarkEnd w:id="19"/>
      <w:bookmarkEnd w:id="20"/>
      <w:bookmarkEnd w:id="21"/>
      <w:bookmarkEnd w:id="22"/>
    </w:p>
    <w:p>
      <w:pPr>
        <w:pStyle w:val="Subsection"/>
      </w:pPr>
      <w:r>
        <w:tab/>
      </w:r>
      <w:r>
        <w:tab/>
        <w:t xml:space="preserve">For the purposes of paragraph (b)(vi) of the definition of </w:t>
      </w:r>
      <w:r>
        <w:rPr>
          <w:b/>
          <w:i/>
        </w:rPr>
        <w:t>event</w:t>
      </w:r>
      <w:r>
        <w:t xml:space="preserve"> in section 39E of the Act, each of the following is exempted from Part IVB of the Act —</w:t>
      </w:r>
    </w:p>
    <w:p>
      <w:pPr>
        <w:pStyle w:val="Indenta"/>
      </w:pPr>
      <w:r>
        <w:tab/>
        <w:t>(a)</w:t>
      </w:r>
      <w:r>
        <w:tab/>
        <w:t>the Perth Royal Show;</w:t>
      </w:r>
    </w:p>
    <w:p>
      <w:pPr>
        <w:pStyle w:val="Indenta"/>
      </w:pPr>
      <w:r>
        <w:tab/>
        <w:t>(b)</w:t>
      </w:r>
      <w:r>
        <w:tab/>
        <w:t>the Perth Gay and Lesbian Pride Parade;</w:t>
      </w:r>
    </w:p>
    <w:p>
      <w:pPr>
        <w:pStyle w:val="Indenta"/>
      </w:pPr>
      <w:r>
        <w:tab/>
        <w:t>(c)</w:t>
      </w:r>
      <w:r>
        <w:tab/>
        <w:t>the Perth Pride Fair Day.</w:t>
      </w:r>
    </w:p>
    <w:p>
      <w:pPr>
        <w:pStyle w:val="Heading5"/>
      </w:pPr>
      <w:bookmarkStart w:id="23" w:name="_Toc499640156"/>
      <w:bookmarkStart w:id="24" w:name="_Toc499648466"/>
      <w:bookmarkStart w:id="25" w:name="_Toc11938354"/>
      <w:bookmarkStart w:id="26" w:name="_Toc522200186"/>
      <w:r>
        <w:rPr>
          <w:rStyle w:val="CharSectno"/>
        </w:rPr>
        <w:t>6</w:t>
      </w:r>
      <w:r>
        <w:t>.</w:t>
      </w:r>
      <w:r>
        <w:tab/>
        <w:t>Charges for police services at major event</w:t>
      </w:r>
      <w:bookmarkEnd w:id="23"/>
      <w:bookmarkEnd w:id="24"/>
      <w:bookmarkEnd w:id="25"/>
      <w:bookmarkEnd w:id="26"/>
    </w:p>
    <w:p>
      <w:pPr>
        <w:pStyle w:val="Subsection"/>
      </w:pPr>
      <w:r>
        <w:tab/>
        <w:t>(1)</w:t>
      </w:r>
      <w:r>
        <w:tab/>
        <w:t>The amount chargeable for personnel costs associated with the police officers who attend a major event to provide police services is the total of —</w:t>
      </w:r>
    </w:p>
    <w:p>
      <w:pPr>
        <w:pStyle w:val="Indenta"/>
      </w:pPr>
      <w:r>
        <w:tab/>
        <w:t>(a)</w:t>
      </w:r>
      <w:r>
        <w:tab/>
        <w:t>for each police officer who spends time in planning the deployment of police officers for the major event — one</w:t>
      </w:r>
      <w:r>
        <w:noBreakHyphen/>
        <w:t>tenth of the planning rate for each 6 minutes that the police officer spends; and</w:t>
      </w:r>
    </w:p>
    <w:p>
      <w:pPr>
        <w:pStyle w:val="Indenta"/>
      </w:pPr>
      <w:r>
        <w:tab/>
        <w:t>(b)</w:t>
      </w:r>
      <w:r>
        <w:tab/>
        <w:t>for each police officer who spends time in attending the major event to provide police services — one</w:t>
      </w:r>
      <w:r>
        <w:noBreakHyphen/>
        <w:t>tenth of the attendance rate for each 6 minutes that the police officer spends.</w:t>
      </w:r>
    </w:p>
    <w:p>
      <w:pPr>
        <w:pStyle w:val="Subsection"/>
      </w:pPr>
      <w:r>
        <w:tab/>
        <w:t>(2)</w:t>
      </w:r>
      <w:r>
        <w:tab/>
        <w:t xml:space="preserve">Subregulation (3) applies if — </w:t>
      </w:r>
    </w:p>
    <w:p>
      <w:pPr>
        <w:pStyle w:val="Indenta"/>
      </w:pPr>
      <w:r>
        <w:tab/>
        <w:t>(a)</w:t>
      </w:r>
      <w:r>
        <w:tab/>
        <w:t>the promoter or organiser of a major event requests the Commissioner of Police to provide police services in the air (</w:t>
      </w:r>
      <w:r>
        <w:rPr>
          <w:rStyle w:val="CharDefText"/>
        </w:rPr>
        <w:t>air support</w:t>
      </w:r>
      <w:r>
        <w:t>) at the major event; and</w:t>
      </w:r>
    </w:p>
    <w:p>
      <w:pPr>
        <w:pStyle w:val="Indenta"/>
      </w:pPr>
      <w:r>
        <w:tab/>
        <w:t>(b)</w:t>
      </w:r>
      <w:r>
        <w:tab/>
        <w:t>the Commissioner, having regard to the security requirements of the major event, agrees to provide the air support.</w:t>
      </w:r>
    </w:p>
    <w:p>
      <w:pPr>
        <w:pStyle w:val="Subsection"/>
      </w:pPr>
      <w:r>
        <w:tab/>
        <w:t>(3)</w:t>
      </w:r>
      <w:r>
        <w:tab/>
        <w:t>The amount chargeable for overhead expenses associated with the provision of air support for the major event is, for each 6 minutes that the air support is provided, one</w:t>
      </w:r>
      <w:r>
        <w:noBreakHyphen/>
        <w:t>tenth of the hourly overhead expenses rate for air support specified in Schedule 2 for the type of air support provided.</w:t>
      </w:r>
    </w:p>
    <w:p>
      <w:pPr>
        <w:pStyle w:val="Footnotesection"/>
      </w:pPr>
      <w:bookmarkStart w:id="27" w:name="_Toc499640157"/>
      <w:bookmarkStart w:id="28" w:name="_Toc499648467"/>
      <w:r>
        <w:tab/>
        <w:t>[Regulation 6 amended: Gazette 17 Aug 2018 p. 2897</w:t>
      </w:r>
      <w:r>
        <w:noBreakHyphen/>
        <w:t>8.]</w:t>
      </w:r>
    </w:p>
    <w:p>
      <w:pPr>
        <w:pStyle w:val="Heading5"/>
      </w:pPr>
      <w:bookmarkStart w:id="29" w:name="_Toc11938355"/>
      <w:bookmarkStart w:id="30" w:name="_Toc522200187"/>
      <w:r>
        <w:rPr>
          <w:rStyle w:val="CharSectno"/>
        </w:rPr>
        <w:t>7</w:t>
      </w:r>
      <w:r>
        <w:t>.</w:t>
      </w:r>
      <w:r>
        <w:tab/>
        <w:t>Charges for police services if major event cancelled</w:t>
      </w:r>
      <w:bookmarkEnd w:id="27"/>
      <w:bookmarkEnd w:id="28"/>
      <w:bookmarkEnd w:id="29"/>
      <w:bookmarkEnd w:id="30"/>
    </w:p>
    <w:p>
      <w:pPr>
        <w:pStyle w:val="Subsection"/>
      </w:pPr>
      <w:r>
        <w:tab/>
        <w:t>(1)</w:t>
      </w:r>
      <w:r>
        <w:tab/>
        <w:t xml:space="preserve">If, after the promoter or organiser of a major event has requested the Commissioner of Police to provide police services for the event, the major event is cancelled — </w:t>
      </w:r>
    </w:p>
    <w:p>
      <w:pPr>
        <w:pStyle w:val="Indenta"/>
      </w:pPr>
      <w:r>
        <w:tab/>
        <w:t>(a)</w:t>
      </w:r>
      <w:r>
        <w:tab/>
        <w:t>the promoter or organiser must, as soon as practicable, give the Commissioner written notice of the cancellation; and</w:t>
      </w:r>
    </w:p>
    <w:p>
      <w:pPr>
        <w:pStyle w:val="Indenta"/>
      </w:pPr>
      <w:r>
        <w:tab/>
        <w:t>(b)</w:t>
      </w:r>
      <w:r>
        <w:tab/>
        <w:t>the Commissioner may charge the promoter or organiser an amount calculated in accordance with subregulation (2) for the time spent in planning the deployment of police services for the major event before the Commissioner was given notice of the cancellation.</w:t>
      </w:r>
    </w:p>
    <w:p>
      <w:pPr>
        <w:pStyle w:val="Subsection"/>
      </w:pPr>
      <w:r>
        <w:tab/>
        <w:t>(2)</w:t>
      </w:r>
      <w:r>
        <w:tab/>
        <w:t>For the purposes of subregulation (1), the amount chargeable for the cancellation is one</w:t>
      </w:r>
      <w:r>
        <w:noBreakHyphen/>
        <w:t>tenth of the planning rate for each 6 minutes that each police officer has spent in planning the deployment of police services for the major event.</w:t>
      </w:r>
    </w:p>
    <w:p>
      <w:pPr>
        <w:pStyle w:val="Heading5"/>
      </w:pPr>
      <w:bookmarkStart w:id="31" w:name="_Toc499640158"/>
      <w:bookmarkStart w:id="32" w:name="_Toc499648468"/>
      <w:bookmarkStart w:id="33" w:name="_Toc11938356"/>
      <w:bookmarkStart w:id="34" w:name="_Toc522200188"/>
      <w:r>
        <w:rPr>
          <w:rStyle w:val="CharSectno"/>
        </w:rPr>
        <w:t>8</w:t>
      </w:r>
      <w:r>
        <w:t>.</w:t>
      </w:r>
      <w:r>
        <w:tab/>
        <w:t>Amounts inclusive of GST</w:t>
      </w:r>
      <w:bookmarkEnd w:id="31"/>
      <w:bookmarkEnd w:id="32"/>
      <w:bookmarkEnd w:id="33"/>
      <w:bookmarkEnd w:id="34"/>
    </w:p>
    <w:p>
      <w:pPr>
        <w:pStyle w:val="Subsection"/>
      </w:pPr>
      <w:r>
        <w:tab/>
      </w:r>
      <w:r>
        <w:tab/>
        <w:t>The amounts specified in Schedule 2 are inclusive of GST.</w:t>
      </w:r>
    </w:p>
    <w:p>
      <w:pPr>
        <w:pStyle w:val="Heading5"/>
      </w:pPr>
      <w:bookmarkStart w:id="35" w:name="_Toc499640159"/>
      <w:bookmarkStart w:id="36" w:name="_Toc499648469"/>
      <w:bookmarkStart w:id="37" w:name="_Toc11938357"/>
      <w:bookmarkStart w:id="38" w:name="_Toc522200189"/>
      <w:r>
        <w:rPr>
          <w:rStyle w:val="CharSectno"/>
        </w:rPr>
        <w:t>9</w:t>
      </w:r>
      <w:r>
        <w:t>.</w:t>
      </w:r>
      <w:r>
        <w:tab/>
      </w:r>
      <w:r>
        <w:rPr>
          <w:i/>
        </w:rPr>
        <w:t xml:space="preserve">Police (Fees) Regulations 1981 </w:t>
      </w:r>
      <w:r>
        <w:t>repealed</w:t>
      </w:r>
      <w:bookmarkEnd w:id="35"/>
      <w:bookmarkEnd w:id="36"/>
      <w:bookmarkEnd w:id="37"/>
      <w:bookmarkEnd w:id="38"/>
    </w:p>
    <w:p>
      <w:pPr>
        <w:pStyle w:val="Subsection"/>
      </w:pPr>
      <w:r>
        <w:tab/>
      </w:r>
      <w:r>
        <w:tab/>
        <w:t xml:space="preserve">The </w:t>
      </w:r>
      <w:r>
        <w:rPr>
          <w:i/>
        </w:rPr>
        <w:t xml:space="preserve">Police (Fees) Regulations 1981 </w:t>
      </w:r>
      <w:r>
        <w:t>are repealed.</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39" w:name="_Toc513812622"/>
      <w:bookmarkStart w:id="40" w:name="_Toc513812641"/>
      <w:bookmarkStart w:id="41" w:name="_Toc513812707"/>
      <w:bookmarkStart w:id="42" w:name="_Toc513813077"/>
      <w:bookmarkStart w:id="43" w:name="_Toc517941850"/>
      <w:bookmarkStart w:id="44" w:name="_Toc522200190"/>
      <w:bookmarkStart w:id="45" w:name="_Toc11938341"/>
      <w:bookmarkStart w:id="46" w:name="_Toc11938358"/>
      <w:bookmarkStart w:id="47" w:name="_Toc499638462"/>
      <w:bookmarkStart w:id="48" w:name="_Toc499638473"/>
      <w:bookmarkStart w:id="49" w:name="_Toc499638701"/>
      <w:bookmarkStart w:id="50" w:name="_Toc499639588"/>
      <w:bookmarkStart w:id="51" w:name="_Toc499640037"/>
      <w:bookmarkStart w:id="52" w:name="_Toc499640160"/>
      <w:bookmarkStart w:id="53" w:name="_Toc499640436"/>
      <w:bookmarkStart w:id="54" w:name="_Toc499648470"/>
      <w:bookmarkStart w:id="55" w:name="_Toc503423559"/>
      <w:bookmarkStart w:id="56" w:name="_Toc503423775"/>
      <w:bookmarkStart w:id="57" w:name="_Toc503426495"/>
      <w:r>
        <w:rPr>
          <w:rStyle w:val="CharSchNo"/>
        </w:rPr>
        <w:t>Schedule 1</w:t>
      </w:r>
      <w:r>
        <w:rPr>
          <w:rStyle w:val="CharSDivNo"/>
        </w:rPr>
        <w:t> </w:t>
      </w:r>
      <w:r>
        <w:t>—</w:t>
      </w:r>
      <w:r>
        <w:rPr>
          <w:rStyle w:val="CharSDivText"/>
        </w:rPr>
        <w:t> </w:t>
      </w:r>
      <w:r>
        <w:rPr>
          <w:rStyle w:val="CharSchText"/>
        </w:rPr>
        <w:t>Fees</w:t>
      </w:r>
      <w:bookmarkEnd w:id="39"/>
      <w:bookmarkEnd w:id="40"/>
      <w:bookmarkEnd w:id="41"/>
      <w:bookmarkEnd w:id="42"/>
      <w:bookmarkEnd w:id="43"/>
      <w:bookmarkEnd w:id="44"/>
      <w:bookmarkEnd w:id="45"/>
      <w:bookmarkEnd w:id="46"/>
    </w:p>
    <w:p>
      <w:pPr>
        <w:pStyle w:val="yShoulderClause"/>
      </w:pPr>
      <w:r>
        <w:t>[r. 4(1)]</w:t>
      </w:r>
    </w:p>
    <w:p>
      <w:pPr>
        <w:pStyle w:val="yFootnoteheading"/>
        <w:spacing w:after="120"/>
      </w:pPr>
      <w:r>
        <w:tab/>
        <w:t>[Heading inserted: Gazette 26 Jun 2018 p. 2398.]</w:t>
      </w:r>
    </w:p>
    <w:tbl>
      <w:tblPr>
        <w:tblW w:w="591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969"/>
        <w:gridCol w:w="1097"/>
      </w:tblGrid>
      <w:tr>
        <w:trPr>
          <w:cantSplit/>
          <w:tblHeader/>
        </w:trPr>
        <w:tc>
          <w:tcPr>
            <w:tcW w:w="851" w:type="dxa"/>
          </w:tcPr>
          <w:p>
            <w:pPr>
              <w:pStyle w:val="yTableNAm"/>
            </w:pPr>
          </w:p>
        </w:tc>
        <w:tc>
          <w:tcPr>
            <w:tcW w:w="3969" w:type="dxa"/>
          </w:tcPr>
          <w:p>
            <w:pPr>
              <w:pStyle w:val="yTableNAm"/>
              <w:rPr>
                <w:b/>
              </w:rPr>
            </w:pPr>
            <w:r>
              <w:rPr>
                <w:b/>
              </w:rPr>
              <w:t>Rate</w:t>
            </w:r>
          </w:p>
        </w:tc>
        <w:tc>
          <w:tcPr>
            <w:tcW w:w="1097" w:type="dxa"/>
          </w:tcPr>
          <w:p>
            <w:pPr>
              <w:pStyle w:val="yTableNAm"/>
            </w:pPr>
            <w:r>
              <w:rPr>
                <w:b/>
              </w:rPr>
              <w:t>Amount</w:t>
            </w:r>
          </w:p>
        </w:tc>
      </w:tr>
      <w:tr>
        <w:trPr>
          <w:cantSplit/>
        </w:trPr>
        <w:tc>
          <w:tcPr>
            <w:tcW w:w="851" w:type="dxa"/>
          </w:tcPr>
          <w:p>
            <w:pPr>
              <w:pStyle w:val="yTableNAm"/>
            </w:pPr>
            <w:r>
              <w:t>1.</w:t>
            </w:r>
          </w:p>
        </w:tc>
        <w:tc>
          <w:tcPr>
            <w:tcW w:w="3969" w:type="dxa"/>
          </w:tcPr>
          <w:p>
            <w:pPr>
              <w:pStyle w:val="yTableNAm"/>
            </w:pPr>
            <w:r>
              <w:t>Copy of traffic infringement notice record</w:t>
            </w:r>
          </w:p>
        </w:tc>
        <w:tc>
          <w:tcPr>
            <w:tcW w:w="1097" w:type="dxa"/>
          </w:tcPr>
          <w:p>
            <w:pPr>
              <w:pStyle w:val="yTableNAm"/>
            </w:pPr>
            <w:r>
              <w:t>$28.10</w:t>
            </w:r>
          </w:p>
        </w:tc>
      </w:tr>
      <w:tr>
        <w:trPr>
          <w:cantSplit/>
        </w:trPr>
        <w:tc>
          <w:tcPr>
            <w:tcW w:w="851" w:type="dxa"/>
            <w:tcBorders>
              <w:bottom w:val="single" w:sz="4" w:space="0" w:color="auto"/>
            </w:tcBorders>
          </w:tcPr>
          <w:p>
            <w:pPr>
              <w:pStyle w:val="yTableNAm"/>
            </w:pPr>
            <w:r>
              <w:t>2.</w:t>
            </w:r>
          </w:p>
        </w:tc>
        <w:tc>
          <w:tcPr>
            <w:tcW w:w="3969" w:type="dxa"/>
            <w:tcBorders>
              <w:bottom w:val="single" w:sz="4" w:space="0" w:color="auto"/>
            </w:tcBorders>
          </w:tcPr>
          <w:p>
            <w:pPr>
              <w:pStyle w:val="yTableNAm"/>
              <w:rPr>
                <w:rStyle w:val="DraftersNotes"/>
              </w:rPr>
            </w:pPr>
            <w:r>
              <w:t xml:space="preserve">Escorts and guards — each person provided per hour and part of an hour for high risk escorts carried out by TRG </w:t>
            </w:r>
          </w:p>
        </w:tc>
        <w:tc>
          <w:tcPr>
            <w:tcW w:w="1097" w:type="dxa"/>
            <w:tcBorders>
              <w:bottom w:val="single" w:sz="4" w:space="0" w:color="auto"/>
            </w:tcBorders>
          </w:tcPr>
          <w:p>
            <w:pPr>
              <w:pStyle w:val="yTableNAm"/>
            </w:pPr>
            <w:r>
              <w:br/>
            </w:r>
            <w:r>
              <w:br/>
              <w:t>$113.40</w:t>
            </w:r>
          </w:p>
        </w:tc>
      </w:tr>
      <w:tr>
        <w:trPr>
          <w:cantSplit/>
        </w:trPr>
        <w:tc>
          <w:tcPr>
            <w:tcW w:w="851" w:type="dxa"/>
            <w:tcBorders>
              <w:bottom w:val="single" w:sz="4" w:space="0" w:color="auto"/>
            </w:tcBorders>
          </w:tcPr>
          <w:p>
            <w:pPr>
              <w:pStyle w:val="yTableNAm"/>
            </w:pPr>
            <w:r>
              <w:t>3.</w:t>
            </w:r>
          </w:p>
        </w:tc>
        <w:tc>
          <w:tcPr>
            <w:tcW w:w="3969" w:type="dxa"/>
            <w:tcBorders>
              <w:bottom w:val="single" w:sz="4" w:space="0" w:color="auto"/>
            </w:tcBorders>
          </w:tcPr>
          <w:p>
            <w:pPr>
              <w:pStyle w:val="yTableNAm"/>
            </w:pPr>
            <w:r>
              <w:t>Authorised copy of a photograph</w:t>
            </w:r>
          </w:p>
        </w:tc>
        <w:tc>
          <w:tcPr>
            <w:tcW w:w="1097" w:type="dxa"/>
            <w:tcBorders>
              <w:bottom w:val="single" w:sz="4" w:space="0" w:color="auto"/>
            </w:tcBorders>
          </w:tcPr>
          <w:p>
            <w:pPr>
              <w:pStyle w:val="yTableNAm"/>
            </w:pPr>
            <w:r>
              <w:t>$10.90</w:t>
            </w:r>
          </w:p>
        </w:tc>
      </w:tr>
      <w:tr>
        <w:trPr>
          <w:cantSplit/>
        </w:trPr>
        <w:tc>
          <w:tcPr>
            <w:tcW w:w="851" w:type="dxa"/>
            <w:tcBorders>
              <w:bottom w:val="nil"/>
            </w:tcBorders>
          </w:tcPr>
          <w:p>
            <w:pPr>
              <w:pStyle w:val="yTableNAm"/>
            </w:pPr>
            <w:r>
              <w:t>4.</w:t>
            </w:r>
          </w:p>
        </w:tc>
        <w:tc>
          <w:tcPr>
            <w:tcW w:w="3969" w:type="dxa"/>
            <w:tcBorders>
              <w:bottom w:val="nil"/>
            </w:tcBorders>
          </w:tcPr>
          <w:p>
            <w:pPr>
              <w:pStyle w:val="yTableNAm"/>
            </w:pPr>
            <w:r>
              <w:t xml:space="preserve">National criminal history record check — </w:t>
            </w:r>
          </w:p>
        </w:tc>
        <w:tc>
          <w:tcPr>
            <w:tcW w:w="1097" w:type="dxa"/>
            <w:tcBorders>
              <w:bottom w:val="nil"/>
            </w:tcBorders>
          </w:tcPr>
          <w:p>
            <w:pPr>
              <w:pStyle w:val="yTableNAm"/>
            </w:pPr>
          </w:p>
        </w:tc>
      </w:tr>
      <w:tr>
        <w:trPr>
          <w:cantSplit/>
        </w:trPr>
        <w:tc>
          <w:tcPr>
            <w:tcW w:w="851" w:type="dxa"/>
            <w:tcBorders>
              <w:top w:val="nil"/>
              <w:bottom w:val="nil"/>
            </w:tcBorders>
          </w:tcPr>
          <w:p>
            <w:pPr>
              <w:pStyle w:val="yTableNAm"/>
            </w:pPr>
          </w:p>
        </w:tc>
        <w:tc>
          <w:tcPr>
            <w:tcW w:w="3969" w:type="dxa"/>
            <w:tcBorders>
              <w:top w:val="nil"/>
              <w:bottom w:val="nil"/>
            </w:tcBorders>
          </w:tcPr>
          <w:p>
            <w:pPr>
              <w:pStyle w:val="yTableNAm"/>
              <w:tabs>
                <w:tab w:val="clear" w:pos="567"/>
                <w:tab w:val="left" w:pos="459"/>
              </w:tabs>
              <w:ind w:left="884" w:hanging="884"/>
            </w:pPr>
            <w:r>
              <w:t>(a)</w:t>
            </w:r>
            <w:r>
              <w:tab/>
              <w:t>issued to a volunteer organisation</w:t>
            </w:r>
          </w:p>
        </w:tc>
        <w:tc>
          <w:tcPr>
            <w:tcW w:w="1097" w:type="dxa"/>
            <w:tcBorders>
              <w:top w:val="nil"/>
              <w:bottom w:val="nil"/>
            </w:tcBorders>
          </w:tcPr>
          <w:p>
            <w:pPr>
              <w:pStyle w:val="yTableNAm"/>
            </w:pPr>
            <w:r>
              <w:t>$15.90</w:t>
            </w:r>
          </w:p>
        </w:tc>
      </w:tr>
      <w:tr>
        <w:trPr>
          <w:cantSplit/>
        </w:trPr>
        <w:tc>
          <w:tcPr>
            <w:tcW w:w="851" w:type="dxa"/>
            <w:tcBorders>
              <w:top w:val="nil"/>
            </w:tcBorders>
          </w:tcPr>
          <w:p>
            <w:pPr>
              <w:pStyle w:val="yTableNAm"/>
            </w:pPr>
          </w:p>
        </w:tc>
        <w:tc>
          <w:tcPr>
            <w:tcW w:w="3969" w:type="dxa"/>
            <w:tcBorders>
              <w:top w:val="nil"/>
            </w:tcBorders>
          </w:tcPr>
          <w:p>
            <w:pPr>
              <w:pStyle w:val="yTableNAm"/>
              <w:tabs>
                <w:tab w:val="clear" w:pos="567"/>
                <w:tab w:val="left" w:pos="459"/>
              </w:tabs>
              <w:ind w:left="884" w:hanging="884"/>
            </w:pPr>
            <w:r>
              <w:t>(b)</w:t>
            </w:r>
            <w:r>
              <w:tab/>
              <w:t>issued to a public sector body</w:t>
            </w:r>
          </w:p>
        </w:tc>
        <w:tc>
          <w:tcPr>
            <w:tcW w:w="1097" w:type="dxa"/>
            <w:tcBorders>
              <w:top w:val="nil"/>
            </w:tcBorders>
          </w:tcPr>
          <w:p>
            <w:pPr>
              <w:pStyle w:val="yTableNAm"/>
            </w:pPr>
            <w:r>
              <w:t>$33.40</w:t>
            </w:r>
          </w:p>
        </w:tc>
      </w:tr>
      <w:tr>
        <w:trPr>
          <w:cantSplit/>
        </w:trPr>
        <w:tc>
          <w:tcPr>
            <w:tcW w:w="851" w:type="dxa"/>
            <w:tcBorders>
              <w:bottom w:val="single" w:sz="4" w:space="0" w:color="auto"/>
            </w:tcBorders>
          </w:tcPr>
          <w:p>
            <w:pPr>
              <w:pStyle w:val="yTableNAm"/>
            </w:pPr>
            <w:r>
              <w:t>5.</w:t>
            </w:r>
          </w:p>
        </w:tc>
        <w:tc>
          <w:tcPr>
            <w:tcW w:w="3969" w:type="dxa"/>
            <w:tcBorders>
              <w:bottom w:val="single" w:sz="4" w:space="0" w:color="auto"/>
            </w:tcBorders>
          </w:tcPr>
          <w:p>
            <w:pPr>
              <w:pStyle w:val="yTableNAm"/>
            </w:pPr>
            <w:r>
              <w:t>National police certificate</w:t>
            </w:r>
          </w:p>
        </w:tc>
        <w:tc>
          <w:tcPr>
            <w:tcW w:w="1097" w:type="dxa"/>
            <w:tcBorders>
              <w:bottom w:val="single" w:sz="4" w:space="0" w:color="auto"/>
            </w:tcBorders>
          </w:tcPr>
          <w:p>
            <w:pPr>
              <w:pStyle w:val="yTableNAm"/>
            </w:pPr>
            <w:r>
              <w:t>$54.30</w:t>
            </w:r>
          </w:p>
        </w:tc>
      </w:tr>
      <w:tr>
        <w:trPr>
          <w:cantSplit/>
        </w:trPr>
        <w:tc>
          <w:tcPr>
            <w:tcW w:w="851" w:type="dxa"/>
            <w:tcBorders>
              <w:bottom w:val="nil"/>
            </w:tcBorders>
          </w:tcPr>
          <w:p>
            <w:pPr>
              <w:pStyle w:val="yTableNAm"/>
              <w:keepNext/>
            </w:pPr>
            <w:r>
              <w:t>6.</w:t>
            </w:r>
          </w:p>
        </w:tc>
        <w:tc>
          <w:tcPr>
            <w:tcW w:w="3969" w:type="dxa"/>
            <w:tcBorders>
              <w:bottom w:val="nil"/>
            </w:tcBorders>
          </w:tcPr>
          <w:p>
            <w:pPr>
              <w:pStyle w:val="yTableNAm"/>
            </w:pPr>
            <w:r>
              <w:t xml:space="preserve">Provision of incident information as defined in the </w:t>
            </w:r>
            <w:r>
              <w:rPr>
                <w:i/>
              </w:rPr>
              <w:t xml:space="preserve">Road Traffic (Administration) Act 2008 </w:t>
            </w:r>
            <w:r>
              <w:t>section 12(1) —</w:t>
            </w:r>
          </w:p>
        </w:tc>
        <w:tc>
          <w:tcPr>
            <w:tcW w:w="1097" w:type="dxa"/>
            <w:tcBorders>
              <w:bottom w:val="nil"/>
            </w:tcBorders>
          </w:tcPr>
          <w:p>
            <w:pPr>
              <w:pStyle w:val="yTableNAm"/>
            </w:pPr>
          </w:p>
        </w:tc>
      </w:tr>
      <w:tr>
        <w:trPr>
          <w:cantSplit/>
        </w:trPr>
        <w:tc>
          <w:tcPr>
            <w:tcW w:w="851" w:type="dxa"/>
            <w:tcBorders>
              <w:top w:val="nil"/>
              <w:bottom w:val="nil"/>
            </w:tcBorders>
          </w:tcPr>
          <w:p>
            <w:pPr>
              <w:pStyle w:val="yTableNAm"/>
            </w:pPr>
          </w:p>
        </w:tc>
        <w:tc>
          <w:tcPr>
            <w:tcW w:w="3969" w:type="dxa"/>
            <w:tcBorders>
              <w:top w:val="nil"/>
              <w:bottom w:val="nil"/>
            </w:tcBorders>
          </w:tcPr>
          <w:p>
            <w:pPr>
              <w:pStyle w:val="yTableNAm"/>
              <w:tabs>
                <w:tab w:val="clear" w:pos="567"/>
                <w:tab w:val="left" w:pos="459"/>
              </w:tabs>
              <w:ind w:left="459" w:hanging="459"/>
            </w:pPr>
            <w:r>
              <w:t>(a)</w:t>
            </w:r>
            <w:r>
              <w:tab/>
              <w:t>to those involved or their representatives (outlining certain accident details)</w:t>
            </w:r>
          </w:p>
        </w:tc>
        <w:tc>
          <w:tcPr>
            <w:tcW w:w="1097" w:type="dxa"/>
            <w:tcBorders>
              <w:top w:val="nil"/>
              <w:bottom w:val="nil"/>
            </w:tcBorders>
          </w:tcPr>
          <w:p>
            <w:pPr>
              <w:pStyle w:val="yTableNAm"/>
            </w:pPr>
            <w:r>
              <w:br/>
            </w:r>
            <w:r>
              <w:br/>
              <w:t>$45.70</w:t>
            </w:r>
          </w:p>
        </w:tc>
      </w:tr>
      <w:tr>
        <w:trPr>
          <w:cantSplit/>
        </w:trPr>
        <w:tc>
          <w:tcPr>
            <w:tcW w:w="851" w:type="dxa"/>
            <w:tcBorders>
              <w:top w:val="nil"/>
              <w:bottom w:val="single" w:sz="4" w:space="0" w:color="auto"/>
            </w:tcBorders>
          </w:tcPr>
          <w:p>
            <w:pPr>
              <w:pStyle w:val="yTableNAm"/>
            </w:pPr>
          </w:p>
        </w:tc>
        <w:tc>
          <w:tcPr>
            <w:tcW w:w="3969" w:type="dxa"/>
            <w:tcBorders>
              <w:top w:val="nil"/>
              <w:bottom w:val="single" w:sz="4" w:space="0" w:color="auto"/>
            </w:tcBorders>
          </w:tcPr>
          <w:p>
            <w:pPr>
              <w:pStyle w:val="yTableNAm"/>
              <w:tabs>
                <w:tab w:val="clear" w:pos="567"/>
                <w:tab w:val="left" w:pos="459"/>
              </w:tabs>
              <w:ind w:left="459" w:hanging="459"/>
            </w:pPr>
            <w:r>
              <w:t>(b)</w:t>
            </w:r>
            <w:r>
              <w:tab/>
              <w:t>to the Insurance Commission of Western Australia for third party insurance purposes</w:t>
            </w:r>
          </w:p>
        </w:tc>
        <w:tc>
          <w:tcPr>
            <w:tcW w:w="1097" w:type="dxa"/>
            <w:tcBorders>
              <w:top w:val="nil"/>
              <w:bottom w:val="single" w:sz="4" w:space="0" w:color="auto"/>
            </w:tcBorders>
          </w:tcPr>
          <w:p>
            <w:pPr>
              <w:pStyle w:val="yTableNAm"/>
            </w:pPr>
            <w:r>
              <w:br/>
            </w:r>
            <w:r>
              <w:br/>
              <w:t>$45.70</w:t>
            </w:r>
          </w:p>
        </w:tc>
      </w:tr>
      <w:tr>
        <w:trPr>
          <w:cantSplit/>
        </w:trPr>
        <w:tc>
          <w:tcPr>
            <w:tcW w:w="851" w:type="dxa"/>
            <w:tcBorders>
              <w:top w:val="single" w:sz="4" w:space="0" w:color="auto"/>
              <w:bottom w:val="single" w:sz="4" w:space="0" w:color="auto"/>
            </w:tcBorders>
          </w:tcPr>
          <w:p>
            <w:pPr>
              <w:pStyle w:val="yTableNAm"/>
            </w:pPr>
            <w:r>
              <w:t>7.</w:t>
            </w:r>
          </w:p>
        </w:tc>
        <w:tc>
          <w:tcPr>
            <w:tcW w:w="3969" w:type="dxa"/>
            <w:tcBorders>
              <w:top w:val="single" w:sz="4" w:space="0" w:color="auto"/>
              <w:bottom w:val="single" w:sz="4" w:space="0" w:color="auto"/>
            </w:tcBorders>
          </w:tcPr>
          <w:p>
            <w:pPr>
              <w:pStyle w:val="yTableNAm"/>
              <w:tabs>
                <w:tab w:val="clear" w:pos="567"/>
              </w:tabs>
              <w:ind w:left="33" w:hanging="33"/>
            </w:pPr>
            <w:r>
              <w:t xml:space="preserve">Provision of information about a reported incident, other than incident information as defined in the </w:t>
            </w:r>
            <w:r>
              <w:rPr>
                <w:i/>
              </w:rPr>
              <w:t xml:space="preserve">Road Traffic (Administration) Act 2008 </w:t>
            </w:r>
            <w:r>
              <w:t>section 12(1), to those involved or their representatives (outlining certain incident details)</w:t>
            </w:r>
          </w:p>
        </w:tc>
        <w:tc>
          <w:tcPr>
            <w:tcW w:w="1097" w:type="dxa"/>
            <w:tcBorders>
              <w:top w:val="single" w:sz="4" w:space="0" w:color="auto"/>
              <w:bottom w:val="single" w:sz="4" w:space="0" w:color="auto"/>
            </w:tcBorders>
          </w:tcPr>
          <w:p>
            <w:pPr>
              <w:pStyle w:val="yTableNAm"/>
            </w:pPr>
            <w:r>
              <w:br/>
            </w:r>
            <w:r>
              <w:br/>
            </w:r>
            <w:r>
              <w:br/>
            </w:r>
            <w:r>
              <w:br/>
            </w:r>
            <w:r>
              <w:br/>
              <w:t>$45.80</w:t>
            </w:r>
          </w:p>
        </w:tc>
      </w:tr>
      <w:tr>
        <w:trPr>
          <w:cantSplit/>
        </w:trPr>
        <w:tc>
          <w:tcPr>
            <w:tcW w:w="851" w:type="dxa"/>
            <w:tcBorders>
              <w:top w:val="single" w:sz="4" w:space="0" w:color="auto"/>
              <w:bottom w:val="nil"/>
            </w:tcBorders>
          </w:tcPr>
          <w:p>
            <w:pPr>
              <w:pStyle w:val="yTableNAm"/>
            </w:pPr>
            <w:r>
              <w:t>8.</w:t>
            </w:r>
          </w:p>
        </w:tc>
        <w:tc>
          <w:tcPr>
            <w:tcW w:w="3969" w:type="dxa"/>
            <w:tcBorders>
              <w:top w:val="single" w:sz="4" w:space="0" w:color="auto"/>
              <w:bottom w:val="nil"/>
            </w:tcBorders>
          </w:tcPr>
          <w:p>
            <w:pPr>
              <w:pStyle w:val="yTableNAm"/>
              <w:tabs>
                <w:tab w:val="clear" w:pos="567"/>
              </w:tabs>
              <w:ind w:left="33" w:hanging="33"/>
            </w:pPr>
            <w:r>
              <w:t xml:space="preserve">Replacement of prosecution documents — </w:t>
            </w:r>
          </w:p>
        </w:tc>
        <w:tc>
          <w:tcPr>
            <w:tcW w:w="1097" w:type="dxa"/>
            <w:tcBorders>
              <w:top w:val="single" w:sz="4" w:space="0" w:color="auto"/>
              <w:bottom w:val="nil"/>
            </w:tcBorders>
          </w:tcPr>
          <w:p>
            <w:pPr>
              <w:pStyle w:val="yTableNAm"/>
            </w:pPr>
          </w:p>
        </w:tc>
      </w:tr>
      <w:tr>
        <w:trPr>
          <w:cantSplit/>
        </w:trPr>
        <w:tc>
          <w:tcPr>
            <w:tcW w:w="851" w:type="dxa"/>
            <w:tcBorders>
              <w:top w:val="nil"/>
              <w:bottom w:val="nil"/>
            </w:tcBorders>
          </w:tcPr>
          <w:p>
            <w:pPr>
              <w:pStyle w:val="yTableNAm"/>
            </w:pPr>
          </w:p>
        </w:tc>
        <w:tc>
          <w:tcPr>
            <w:tcW w:w="3969" w:type="dxa"/>
            <w:tcBorders>
              <w:top w:val="nil"/>
              <w:bottom w:val="nil"/>
            </w:tcBorders>
          </w:tcPr>
          <w:p>
            <w:pPr>
              <w:pStyle w:val="yTableNAm"/>
              <w:tabs>
                <w:tab w:val="clear" w:pos="567"/>
                <w:tab w:val="left" w:pos="459"/>
              </w:tabs>
              <w:ind w:left="459" w:hanging="459"/>
            </w:pPr>
            <w:r>
              <w:t>(a)</w:t>
            </w:r>
            <w:r>
              <w:tab/>
              <w:t>a statement of the material facts of a charge, which has already been served (per hour or part of an hour)</w:t>
            </w:r>
          </w:p>
        </w:tc>
        <w:tc>
          <w:tcPr>
            <w:tcW w:w="1097" w:type="dxa"/>
            <w:tcBorders>
              <w:top w:val="nil"/>
              <w:bottom w:val="nil"/>
            </w:tcBorders>
          </w:tcPr>
          <w:p>
            <w:pPr>
              <w:pStyle w:val="yTableNAm"/>
            </w:pPr>
            <w:r>
              <w:br/>
            </w:r>
            <w:r>
              <w:br/>
              <w:t>$98.00</w:t>
            </w:r>
          </w:p>
        </w:tc>
      </w:tr>
      <w:tr>
        <w:trPr>
          <w:cantSplit/>
        </w:trPr>
        <w:tc>
          <w:tcPr>
            <w:tcW w:w="851" w:type="dxa"/>
            <w:tcBorders>
              <w:top w:val="nil"/>
            </w:tcBorders>
          </w:tcPr>
          <w:p>
            <w:pPr>
              <w:pStyle w:val="yTableNAm"/>
            </w:pPr>
          </w:p>
        </w:tc>
        <w:tc>
          <w:tcPr>
            <w:tcW w:w="3969" w:type="dxa"/>
            <w:tcBorders>
              <w:top w:val="nil"/>
            </w:tcBorders>
          </w:tcPr>
          <w:p>
            <w:pPr>
              <w:pStyle w:val="yTableNAm"/>
              <w:tabs>
                <w:tab w:val="clear" w:pos="567"/>
                <w:tab w:val="left" w:pos="459"/>
              </w:tabs>
              <w:ind w:left="459" w:hanging="459"/>
            </w:pPr>
            <w:r>
              <w:t>(b)</w:t>
            </w:r>
            <w:r>
              <w:tab/>
              <w:t>additional copy of documents already disclosed (per hour or part of an hour)</w:t>
            </w:r>
          </w:p>
        </w:tc>
        <w:tc>
          <w:tcPr>
            <w:tcW w:w="1097" w:type="dxa"/>
            <w:tcBorders>
              <w:top w:val="nil"/>
            </w:tcBorders>
          </w:tcPr>
          <w:p>
            <w:pPr>
              <w:pStyle w:val="yTableNAm"/>
            </w:pPr>
            <w:r>
              <w:br/>
            </w:r>
            <w:r>
              <w:br/>
              <w:t>$98.00</w:t>
            </w:r>
          </w:p>
        </w:tc>
      </w:tr>
    </w:tbl>
    <w:p>
      <w:pPr>
        <w:pStyle w:val="yFootnotesection"/>
      </w:pPr>
      <w:r>
        <w:tab/>
        <w:t>[Schedule 1 inserted: Gazette 26 Jun 2018 p. 2398.]</w:t>
      </w:r>
    </w:p>
    <w:p>
      <w:pPr>
        <w:pStyle w:val="yScheduleHeading"/>
      </w:pPr>
      <w:bookmarkStart w:id="58" w:name="_Toc499638463"/>
      <w:bookmarkStart w:id="59" w:name="_Toc499638474"/>
      <w:bookmarkStart w:id="60" w:name="_Toc499638702"/>
      <w:bookmarkStart w:id="61" w:name="_Toc499639589"/>
      <w:bookmarkStart w:id="62" w:name="_Toc499640038"/>
      <w:bookmarkStart w:id="63" w:name="_Toc499640161"/>
      <w:bookmarkStart w:id="64" w:name="_Toc499640437"/>
      <w:bookmarkStart w:id="65" w:name="_Toc499648471"/>
      <w:bookmarkStart w:id="66" w:name="_Toc503423560"/>
      <w:bookmarkStart w:id="67" w:name="_Toc503423776"/>
      <w:bookmarkStart w:id="68" w:name="_Toc503426496"/>
      <w:bookmarkStart w:id="69" w:name="_Toc517941851"/>
      <w:bookmarkStart w:id="70" w:name="_Toc522200191"/>
      <w:bookmarkStart w:id="71" w:name="_Toc11938342"/>
      <w:bookmarkStart w:id="72" w:name="_Toc11938359"/>
      <w:bookmarkEnd w:id="47"/>
      <w:bookmarkEnd w:id="48"/>
      <w:bookmarkEnd w:id="49"/>
      <w:bookmarkEnd w:id="50"/>
      <w:bookmarkEnd w:id="51"/>
      <w:bookmarkEnd w:id="52"/>
      <w:bookmarkEnd w:id="53"/>
      <w:bookmarkEnd w:id="54"/>
      <w:bookmarkEnd w:id="55"/>
      <w:bookmarkEnd w:id="56"/>
      <w:bookmarkEnd w:id="57"/>
      <w:r>
        <w:rPr>
          <w:rStyle w:val="CharSchNo"/>
        </w:rPr>
        <w:t>Schedule 2</w:t>
      </w:r>
      <w:r>
        <w:rPr>
          <w:rStyle w:val="CharSDivNo"/>
        </w:rPr>
        <w:t> </w:t>
      </w:r>
      <w:r>
        <w:t>—</w:t>
      </w:r>
      <w:r>
        <w:rPr>
          <w:rStyle w:val="CharSDivText"/>
        </w:rPr>
        <w:t> </w:t>
      </w:r>
      <w:r>
        <w:rPr>
          <w:rStyle w:val="CharSchText"/>
        </w:rPr>
        <w:t>Charges for major events</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p>
    <w:p>
      <w:pPr>
        <w:pStyle w:val="yShoulderClause"/>
        <w:spacing w:after="60"/>
      </w:pPr>
      <w:r>
        <w:t>[r. 6 and 8]</w:t>
      </w:r>
    </w:p>
    <w:tbl>
      <w:tblPr>
        <w:tblW w:w="591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827"/>
        <w:gridCol w:w="1239"/>
      </w:tblGrid>
      <w:tr>
        <w:trPr>
          <w:tblHeader/>
        </w:trPr>
        <w:tc>
          <w:tcPr>
            <w:tcW w:w="851" w:type="dxa"/>
          </w:tcPr>
          <w:p>
            <w:pPr>
              <w:pStyle w:val="yTableNAm"/>
              <w:jc w:val="center"/>
            </w:pPr>
          </w:p>
        </w:tc>
        <w:tc>
          <w:tcPr>
            <w:tcW w:w="3827" w:type="dxa"/>
          </w:tcPr>
          <w:p>
            <w:pPr>
              <w:pStyle w:val="yTableNAm"/>
              <w:rPr>
                <w:b/>
              </w:rPr>
            </w:pPr>
            <w:r>
              <w:rPr>
                <w:b/>
              </w:rPr>
              <w:t>Rate/hour</w:t>
            </w:r>
          </w:p>
        </w:tc>
        <w:tc>
          <w:tcPr>
            <w:tcW w:w="1239" w:type="dxa"/>
          </w:tcPr>
          <w:p>
            <w:pPr>
              <w:pStyle w:val="yTableNAm"/>
              <w:rPr>
                <w:b/>
              </w:rPr>
            </w:pPr>
            <w:r>
              <w:rPr>
                <w:b/>
              </w:rPr>
              <w:t>Amount</w:t>
            </w:r>
          </w:p>
        </w:tc>
      </w:tr>
      <w:tr>
        <w:tc>
          <w:tcPr>
            <w:tcW w:w="851" w:type="dxa"/>
          </w:tcPr>
          <w:p>
            <w:pPr>
              <w:pStyle w:val="yTableNAm"/>
            </w:pPr>
            <w:r>
              <w:t>1.</w:t>
            </w:r>
          </w:p>
        </w:tc>
        <w:tc>
          <w:tcPr>
            <w:tcW w:w="3827" w:type="dxa"/>
          </w:tcPr>
          <w:p>
            <w:pPr>
              <w:pStyle w:val="yTableNAm"/>
            </w:pPr>
            <w:r>
              <w:t>Planning rate</w:t>
            </w:r>
          </w:p>
        </w:tc>
        <w:tc>
          <w:tcPr>
            <w:tcW w:w="1239" w:type="dxa"/>
          </w:tcPr>
          <w:p>
            <w:pPr>
              <w:pStyle w:val="yTableNAm"/>
            </w:pPr>
            <w:r>
              <w:t>$59.00</w:t>
            </w:r>
          </w:p>
        </w:tc>
      </w:tr>
      <w:tr>
        <w:tc>
          <w:tcPr>
            <w:tcW w:w="851" w:type="dxa"/>
          </w:tcPr>
          <w:p>
            <w:pPr>
              <w:pStyle w:val="yTableNAm"/>
            </w:pPr>
            <w:r>
              <w:t>2.</w:t>
            </w:r>
          </w:p>
        </w:tc>
        <w:tc>
          <w:tcPr>
            <w:tcW w:w="3827" w:type="dxa"/>
          </w:tcPr>
          <w:p>
            <w:pPr>
              <w:pStyle w:val="yTableNAm"/>
            </w:pPr>
            <w:r>
              <w:t>Attendance rate</w:t>
            </w:r>
          </w:p>
        </w:tc>
        <w:tc>
          <w:tcPr>
            <w:tcW w:w="1239" w:type="dxa"/>
          </w:tcPr>
          <w:p>
            <w:pPr>
              <w:pStyle w:val="yTableNAm"/>
            </w:pPr>
            <w:r>
              <w:t>$105.00</w:t>
            </w:r>
          </w:p>
        </w:tc>
      </w:tr>
      <w:tr>
        <w:tc>
          <w:tcPr>
            <w:tcW w:w="851" w:type="dxa"/>
          </w:tcPr>
          <w:p>
            <w:pPr>
              <w:pStyle w:val="yTableNAm"/>
            </w:pPr>
            <w:r>
              <w:t>3.</w:t>
            </w:r>
          </w:p>
        </w:tc>
        <w:tc>
          <w:tcPr>
            <w:tcW w:w="3827" w:type="dxa"/>
          </w:tcPr>
          <w:p>
            <w:pPr>
              <w:pStyle w:val="yTableNAm"/>
            </w:pPr>
            <w:r>
              <w:t>General overhead expenses rate</w:t>
            </w:r>
          </w:p>
        </w:tc>
        <w:tc>
          <w:tcPr>
            <w:tcW w:w="1239" w:type="dxa"/>
          </w:tcPr>
          <w:p>
            <w:pPr>
              <w:pStyle w:val="yTableNAm"/>
            </w:pPr>
            <w:r>
              <w:t>$15.00</w:t>
            </w:r>
          </w:p>
        </w:tc>
      </w:tr>
      <w:tr>
        <w:tc>
          <w:tcPr>
            <w:tcW w:w="851" w:type="dxa"/>
          </w:tcPr>
          <w:p>
            <w:pPr>
              <w:pStyle w:val="yTableNAm"/>
            </w:pPr>
            <w:r>
              <w:t>4.</w:t>
            </w:r>
          </w:p>
        </w:tc>
        <w:tc>
          <w:tcPr>
            <w:tcW w:w="3827" w:type="dxa"/>
          </w:tcPr>
          <w:p>
            <w:pPr>
              <w:pStyle w:val="yTableNAm"/>
            </w:pPr>
            <w:r>
              <w:t>Overhead expenses rate for air support — helicopter</w:t>
            </w:r>
          </w:p>
        </w:tc>
        <w:tc>
          <w:tcPr>
            <w:tcW w:w="1239" w:type="dxa"/>
          </w:tcPr>
          <w:p>
            <w:pPr>
              <w:pStyle w:val="yTableNAm"/>
            </w:pPr>
            <w:r>
              <w:br/>
              <w:t>$2 741.00</w:t>
            </w:r>
          </w:p>
        </w:tc>
      </w:tr>
      <w:tr>
        <w:tc>
          <w:tcPr>
            <w:tcW w:w="851" w:type="dxa"/>
          </w:tcPr>
          <w:p>
            <w:pPr>
              <w:pStyle w:val="yTableNAm"/>
            </w:pPr>
            <w:r>
              <w:t>5.</w:t>
            </w:r>
          </w:p>
        </w:tc>
        <w:tc>
          <w:tcPr>
            <w:tcW w:w="3827" w:type="dxa"/>
          </w:tcPr>
          <w:p>
            <w:pPr>
              <w:pStyle w:val="yTableNAm"/>
            </w:pPr>
            <w:r>
              <w:t>Overhead expenses rate for air support — fixed wing aircraft</w:t>
            </w:r>
          </w:p>
        </w:tc>
        <w:tc>
          <w:tcPr>
            <w:tcW w:w="1239" w:type="dxa"/>
          </w:tcPr>
          <w:p>
            <w:pPr>
              <w:pStyle w:val="yTableNAm"/>
            </w:pPr>
            <w:r>
              <w:br/>
              <w:t>$1 651.00</w:t>
            </w:r>
          </w:p>
        </w:tc>
      </w:tr>
    </w:tbl>
    <w:p>
      <w:pPr>
        <w:pStyle w:val="Subsection"/>
        <w:sectPr>
          <w:headerReference w:type="even" r:id="rId21"/>
          <w:headerReference w:type="default" r:id="rId22"/>
          <w:pgSz w:w="11907" w:h="16840" w:code="9"/>
          <w:pgMar w:top="2381" w:right="2410" w:bottom="3544" w:left="2410" w:header="720" w:footer="3544" w:gutter="0"/>
          <w:cols w:space="720"/>
        </w:sectPr>
      </w:pPr>
    </w:p>
    <w:p>
      <w:pPr>
        <w:pStyle w:val="nHeading2"/>
      </w:pPr>
      <w:bookmarkStart w:id="74" w:name="_Toc503423777"/>
      <w:bookmarkStart w:id="75" w:name="_Toc503426497"/>
      <w:bookmarkStart w:id="76" w:name="_Toc517941852"/>
      <w:bookmarkStart w:id="77" w:name="_Toc522200192"/>
      <w:bookmarkStart w:id="78" w:name="_Toc11938343"/>
      <w:bookmarkStart w:id="79" w:name="_Toc11938360"/>
      <w:bookmarkStart w:id="80" w:name="_Toc499639590"/>
      <w:bookmarkStart w:id="81" w:name="_Toc499640039"/>
      <w:bookmarkStart w:id="82" w:name="_Toc499640162"/>
      <w:bookmarkStart w:id="83" w:name="_Toc499640438"/>
      <w:bookmarkStart w:id="84" w:name="_Toc499648472"/>
      <w:bookmarkStart w:id="85" w:name="_Toc503423561"/>
      <w:r>
        <w:t>Notes</w:t>
      </w:r>
      <w:bookmarkEnd w:id="74"/>
      <w:bookmarkEnd w:id="75"/>
      <w:bookmarkEnd w:id="76"/>
      <w:bookmarkEnd w:id="77"/>
      <w:bookmarkEnd w:id="78"/>
      <w:bookmarkEnd w:id="79"/>
    </w:p>
    <w:p>
      <w:pPr>
        <w:pStyle w:val="nSubsection"/>
      </w:pPr>
      <w:r>
        <w:rPr>
          <w:vertAlign w:val="superscript"/>
        </w:rPr>
        <w:t>1</w:t>
      </w:r>
      <w:r>
        <w:tab/>
        <w:t xml:space="preserve">This is a compilation of the </w:t>
      </w:r>
      <w:r>
        <w:rPr>
          <w:i/>
          <w:noProof/>
        </w:rPr>
        <w:t xml:space="preserve">Police (Fees and Charges) Regulations 2018 </w:t>
      </w:r>
      <w:r>
        <w:t>and includes the amendments made by the other written laws referred to in the following table</w:t>
      </w:r>
      <w:ins w:id="86" w:author="Master Repository Process" w:date="2021-09-11T15:11:00Z">
        <w:r>
          <w:rPr>
            <w:vertAlign w:val="superscript"/>
          </w:rPr>
          <w:t> 1a</w:t>
        </w:r>
      </w:ins>
      <w:r>
        <w:t xml:space="preserve">. </w:t>
      </w:r>
    </w:p>
    <w:p>
      <w:pPr>
        <w:pStyle w:val="nHeading3"/>
      </w:pPr>
      <w:bookmarkStart w:id="87" w:name="_Toc11938361"/>
      <w:bookmarkStart w:id="88" w:name="_Toc522200193"/>
      <w:r>
        <w:t>Compilation table</w:t>
      </w:r>
      <w:bookmarkEnd w:id="87"/>
      <w:bookmarkEnd w:id="8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Police (Fees and Charges) Regulations 2018</w:t>
            </w:r>
          </w:p>
        </w:tc>
        <w:tc>
          <w:tcPr>
            <w:tcW w:w="1276" w:type="dxa"/>
            <w:tcBorders>
              <w:bottom w:val="nil"/>
            </w:tcBorders>
          </w:tcPr>
          <w:p>
            <w:pPr>
              <w:pStyle w:val="nTable"/>
              <w:spacing w:after="40"/>
            </w:pPr>
            <w:r>
              <w:t>12 Jan 2018 p. 137</w:t>
            </w:r>
            <w:r>
              <w:noBreakHyphen/>
              <w:t>146</w:t>
            </w:r>
          </w:p>
        </w:tc>
        <w:tc>
          <w:tcPr>
            <w:tcW w:w="2693" w:type="dxa"/>
            <w:tcBorders>
              <w:bottom w:val="nil"/>
            </w:tcBorders>
          </w:tcPr>
          <w:p>
            <w:pPr>
              <w:pStyle w:val="nTable"/>
              <w:spacing w:after="40"/>
            </w:pPr>
            <w:r>
              <w:t>r. 1 and 2: 12 Jan 2018 (see r. 2(a));</w:t>
            </w:r>
            <w:r>
              <w:br/>
              <w:t xml:space="preserve">Regulations other than r. 1 and 2: 13 Jan 2018 (see r 2(b) and </w:t>
            </w:r>
            <w:r>
              <w:rPr>
                <w:i/>
              </w:rPr>
              <w:t>Gazette</w:t>
            </w:r>
            <w:r>
              <w:t xml:space="preserve"> 12 Jan 2018 p. 115)</w:t>
            </w:r>
          </w:p>
        </w:tc>
      </w:tr>
      <w:tr>
        <w:tc>
          <w:tcPr>
            <w:tcW w:w="3118" w:type="dxa"/>
            <w:tcBorders>
              <w:top w:val="nil"/>
              <w:bottom w:val="nil"/>
            </w:tcBorders>
          </w:tcPr>
          <w:p>
            <w:pPr>
              <w:pStyle w:val="nTable"/>
              <w:spacing w:after="40"/>
              <w:rPr>
                <w:noProof/>
              </w:rPr>
            </w:pPr>
            <w:r>
              <w:rPr>
                <w:i/>
              </w:rPr>
              <w:t>Police Regulations Amendment (Fees and Charges) Regulations 2018</w:t>
            </w:r>
            <w:r>
              <w:t xml:space="preserve"> Pt. 4</w:t>
            </w:r>
          </w:p>
        </w:tc>
        <w:tc>
          <w:tcPr>
            <w:tcW w:w="1276" w:type="dxa"/>
            <w:tcBorders>
              <w:top w:val="nil"/>
              <w:bottom w:val="nil"/>
            </w:tcBorders>
          </w:tcPr>
          <w:p>
            <w:pPr>
              <w:pStyle w:val="nTable"/>
              <w:spacing w:after="40"/>
            </w:pPr>
            <w:r>
              <w:t>26 Jun 2018 p. 2392</w:t>
            </w:r>
            <w:r>
              <w:noBreakHyphen/>
              <w:t>400</w:t>
            </w:r>
          </w:p>
        </w:tc>
        <w:tc>
          <w:tcPr>
            <w:tcW w:w="2693" w:type="dxa"/>
            <w:tcBorders>
              <w:top w:val="nil"/>
              <w:bottom w:val="nil"/>
            </w:tcBorders>
          </w:tcPr>
          <w:p>
            <w:pPr>
              <w:pStyle w:val="nTable"/>
              <w:spacing w:after="40"/>
            </w:pPr>
            <w:r>
              <w:t>1 Jul 2018 (see r. 2(b))</w:t>
            </w:r>
          </w:p>
        </w:tc>
      </w:tr>
      <w:tr>
        <w:tc>
          <w:tcPr>
            <w:tcW w:w="3118" w:type="dxa"/>
            <w:tcBorders>
              <w:top w:val="nil"/>
              <w:bottom w:val="single" w:sz="4" w:space="0" w:color="auto"/>
            </w:tcBorders>
          </w:tcPr>
          <w:p>
            <w:pPr>
              <w:pStyle w:val="nTable"/>
              <w:spacing w:after="40"/>
              <w:rPr>
                <w:i/>
              </w:rPr>
            </w:pPr>
            <w:r>
              <w:rPr>
                <w:i/>
              </w:rPr>
              <w:t>Police (Fees and Charges) Amendment Regulations 2018</w:t>
            </w:r>
          </w:p>
        </w:tc>
        <w:tc>
          <w:tcPr>
            <w:tcW w:w="1276" w:type="dxa"/>
            <w:tcBorders>
              <w:top w:val="nil"/>
              <w:bottom w:val="single" w:sz="4" w:space="0" w:color="auto"/>
            </w:tcBorders>
          </w:tcPr>
          <w:p>
            <w:pPr>
              <w:pStyle w:val="nTable"/>
              <w:spacing w:after="40"/>
            </w:pPr>
            <w:r>
              <w:t>17 Aug 2018 p. 2897</w:t>
            </w:r>
            <w:r>
              <w:noBreakHyphen/>
              <w:t>8</w:t>
            </w:r>
          </w:p>
        </w:tc>
        <w:tc>
          <w:tcPr>
            <w:tcW w:w="2693" w:type="dxa"/>
            <w:tcBorders>
              <w:top w:val="nil"/>
              <w:bottom w:val="single" w:sz="4" w:space="0" w:color="auto"/>
            </w:tcBorders>
          </w:tcPr>
          <w:p>
            <w:pPr>
              <w:pStyle w:val="nTable"/>
              <w:spacing w:after="40"/>
            </w:pPr>
            <w:r>
              <w:t>r. 1 and 2: 17 Aug 2018 (see r. 2(a));</w:t>
            </w:r>
            <w:r>
              <w:br/>
              <w:t>Regulations other than r. 1 and 2: 18 Aug 2018 (see r 2(b))</w:t>
            </w:r>
          </w:p>
        </w:tc>
      </w:tr>
    </w:tbl>
    <w:p>
      <w:pPr>
        <w:pStyle w:val="nSubsection"/>
        <w:spacing w:before="360"/>
        <w:rPr>
          <w:ins w:id="89" w:author="Master Repository Process" w:date="2021-09-11T15:11:00Z"/>
        </w:rPr>
      </w:pPr>
      <w:ins w:id="90" w:author="Master Repository Process" w:date="2021-09-11T15:11: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91" w:author="Master Repository Process" w:date="2021-09-11T15:11:00Z"/>
        </w:rPr>
      </w:pPr>
      <w:bookmarkStart w:id="92" w:name="_Toc11938362"/>
      <w:ins w:id="93" w:author="Master Repository Process" w:date="2021-09-11T15:11:00Z">
        <w:r>
          <w:t>Provisions that have not come into operation</w:t>
        </w:r>
        <w:bookmarkEnd w:id="92"/>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94" w:author="Master Repository Process" w:date="2021-09-11T15:11:00Z"/>
        </w:trPr>
        <w:tc>
          <w:tcPr>
            <w:tcW w:w="3118" w:type="dxa"/>
          </w:tcPr>
          <w:p>
            <w:pPr>
              <w:pStyle w:val="nTable"/>
              <w:spacing w:after="40"/>
              <w:rPr>
                <w:ins w:id="95" w:author="Master Repository Process" w:date="2021-09-11T15:11:00Z"/>
                <w:b/>
              </w:rPr>
            </w:pPr>
            <w:ins w:id="96" w:author="Master Repository Process" w:date="2021-09-11T15:11:00Z">
              <w:r>
                <w:rPr>
                  <w:b/>
                </w:rPr>
                <w:t>Citation</w:t>
              </w:r>
            </w:ins>
          </w:p>
        </w:tc>
        <w:tc>
          <w:tcPr>
            <w:tcW w:w="1276" w:type="dxa"/>
          </w:tcPr>
          <w:p>
            <w:pPr>
              <w:pStyle w:val="nTable"/>
              <w:spacing w:after="40"/>
              <w:rPr>
                <w:ins w:id="97" w:author="Master Repository Process" w:date="2021-09-11T15:11:00Z"/>
                <w:b/>
              </w:rPr>
            </w:pPr>
            <w:ins w:id="98" w:author="Master Repository Process" w:date="2021-09-11T15:11:00Z">
              <w:r>
                <w:rPr>
                  <w:b/>
                </w:rPr>
                <w:t>Gazettal</w:t>
              </w:r>
            </w:ins>
          </w:p>
        </w:tc>
        <w:tc>
          <w:tcPr>
            <w:tcW w:w="2693" w:type="dxa"/>
          </w:tcPr>
          <w:p>
            <w:pPr>
              <w:pStyle w:val="nTable"/>
              <w:spacing w:after="40"/>
              <w:rPr>
                <w:ins w:id="99" w:author="Master Repository Process" w:date="2021-09-11T15:11:00Z"/>
                <w:b/>
              </w:rPr>
            </w:pPr>
            <w:ins w:id="100" w:author="Master Repository Process" w:date="2021-09-11T15:11:00Z">
              <w:r>
                <w:rPr>
                  <w:b/>
                </w:rPr>
                <w:t>Commencement</w:t>
              </w:r>
            </w:ins>
          </w:p>
        </w:tc>
      </w:tr>
      <w:tr>
        <w:trPr>
          <w:ins w:id="101" w:author="Master Repository Process" w:date="2021-09-11T15:11:00Z"/>
        </w:trPr>
        <w:tc>
          <w:tcPr>
            <w:tcW w:w="3118" w:type="dxa"/>
          </w:tcPr>
          <w:p>
            <w:pPr>
              <w:pStyle w:val="nTable"/>
              <w:spacing w:after="40"/>
              <w:rPr>
                <w:ins w:id="102" w:author="Master Repository Process" w:date="2021-09-11T15:11:00Z"/>
              </w:rPr>
            </w:pPr>
            <w:ins w:id="103" w:author="Master Repository Process" w:date="2021-09-11T15:11:00Z">
              <w:r>
                <w:rPr>
                  <w:i/>
                </w:rPr>
                <w:t>Police Regulations Amendment (Fees and Charges) Regulations 2019</w:t>
              </w:r>
              <w:r>
                <w:t xml:space="preserve"> Pt. 4</w:t>
              </w:r>
              <w:r>
                <w:rPr>
                  <w:vertAlign w:val="superscript"/>
                </w:rPr>
                <w:t> 2</w:t>
              </w:r>
            </w:ins>
          </w:p>
        </w:tc>
        <w:tc>
          <w:tcPr>
            <w:tcW w:w="1276" w:type="dxa"/>
          </w:tcPr>
          <w:p>
            <w:pPr>
              <w:pStyle w:val="nTable"/>
              <w:spacing w:after="40"/>
              <w:rPr>
                <w:ins w:id="104" w:author="Master Repository Process" w:date="2021-09-11T15:11:00Z"/>
              </w:rPr>
            </w:pPr>
            <w:ins w:id="105" w:author="Master Repository Process" w:date="2021-09-11T15:11:00Z">
              <w:r>
                <w:t>21 Jun 2019 p. 2141</w:t>
              </w:r>
              <w:r>
                <w:noBreakHyphen/>
                <w:t>50</w:t>
              </w:r>
            </w:ins>
          </w:p>
        </w:tc>
        <w:tc>
          <w:tcPr>
            <w:tcW w:w="2693" w:type="dxa"/>
          </w:tcPr>
          <w:p>
            <w:pPr>
              <w:pStyle w:val="nTable"/>
              <w:spacing w:after="40"/>
              <w:rPr>
                <w:ins w:id="106" w:author="Master Repository Process" w:date="2021-09-11T15:11:00Z"/>
              </w:rPr>
            </w:pPr>
            <w:ins w:id="107" w:author="Master Repository Process" w:date="2021-09-11T15:11:00Z">
              <w:r>
                <w:t>1 Jul 2019 (see r. 2(b))</w:t>
              </w:r>
            </w:ins>
          </w:p>
        </w:tc>
      </w:tr>
    </w:tbl>
    <w:p>
      <w:pPr>
        <w:pStyle w:val="nSubsection"/>
        <w:rPr>
          <w:ins w:id="108" w:author="Master Repository Process" w:date="2021-09-11T15:11:00Z"/>
        </w:rPr>
      </w:pPr>
      <w:ins w:id="109" w:author="Master Repository Process" w:date="2021-09-11T15:11:00Z">
        <w:r>
          <w:rPr>
            <w:vertAlign w:val="superscript"/>
          </w:rPr>
          <w:t>2</w:t>
        </w:r>
        <w:r>
          <w:tab/>
          <w:t xml:space="preserve">On the date as at which this compilation was prepared, the </w:t>
        </w:r>
        <w:r>
          <w:rPr>
            <w:i/>
          </w:rPr>
          <w:t>Police Regulations Amendment (Fees and Charges) Regulations 2019</w:t>
        </w:r>
        <w:r>
          <w:t xml:space="preserve"> Pt. 4 had not come into operation.  It reads as follows:</w:t>
        </w:r>
      </w:ins>
    </w:p>
    <w:p>
      <w:pPr>
        <w:pStyle w:val="BlankOpen"/>
        <w:rPr>
          <w:ins w:id="110" w:author="Master Repository Process" w:date="2021-09-11T15:11:00Z"/>
        </w:rPr>
      </w:pPr>
    </w:p>
    <w:p>
      <w:pPr>
        <w:pStyle w:val="nzHeading2"/>
        <w:rPr>
          <w:ins w:id="111" w:author="Master Repository Process" w:date="2021-09-11T15:11:00Z"/>
        </w:rPr>
      </w:pPr>
      <w:bookmarkStart w:id="112" w:name="_Toc8131059"/>
      <w:bookmarkStart w:id="113" w:name="_Toc8131080"/>
      <w:bookmarkStart w:id="114" w:name="_Toc8132409"/>
      <w:bookmarkStart w:id="115" w:name="_Toc8132552"/>
      <w:bookmarkStart w:id="116" w:name="_Toc8135337"/>
      <w:bookmarkStart w:id="117" w:name="_Toc8135441"/>
      <w:ins w:id="118" w:author="Master Repository Process" w:date="2021-09-11T15:11:00Z">
        <w:r>
          <w:rPr>
            <w:rStyle w:val="CharPartNo"/>
          </w:rPr>
          <w:t>Part 4</w:t>
        </w:r>
        <w:r>
          <w:rPr>
            <w:rStyle w:val="CharDivNo"/>
          </w:rPr>
          <w:t> </w:t>
        </w:r>
        <w:r>
          <w:t>—</w:t>
        </w:r>
        <w:r>
          <w:rPr>
            <w:rStyle w:val="CharDivText"/>
          </w:rPr>
          <w:t> </w:t>
        </w:r>
        <w:r>
          <w:rPr>
            <w:rStyle w:val="CharPartText"/>
            <w:i/>
          </w:rPr>
          <w:t>Police (Fees and Charges) Regulations 2018</w:t>
        </w:r>
        <w:r>
          <w:rPr>
            <w:rStyle w:val="CharPartText"/>
          </w:rPr>
          <w:t xml:space="preserve"> amended</w:t>
        </w:r>
        <w:bookmarkEnd w:id="112"/>
        <w:bookmarkEnd w:id="113"/>
        <w:bookmarkEnd w:id="114"/>
        <w:bookmarkEnd w:id="115"/>
        <w:bookmarkEnd w:id="116"/>
        <w:bookmarkEnd w:id="117"/>
      </w:ins>
    </w:p>
    <w:p>
      <w:pPr>
        <w:pStyle w:val="nzHeading5"/>
        <w:rPr>
          <w:ins w:id="119" w:author="Master Repository Process" w:date="2021-09-11T15:11:00Z"/>
        </w:rPr>
      </w:pPr>
      <w:bookmarkStart w:id="120" w:name="_Toc8135338"/>
      <w:bookmarkStart w:id="121" w:name="_Toc8135442"/>
      <w:ins w:id="122" w:author="Master Repository Process" w:date="2021-09-11T15:11:00Z">
        <w:r>
          <w:rPr>
            <w:rStyle w:val="CharSectno"/>
          </w:rPr>
          <w:t>8</w:t>
        </w:r>
        <w:r>
          <w:t>.</w:t>
        </w:r>
        <w:r>
          <w:tab/>
          <w:t>Regulations amended</w:t>
        </w:r>
        <w:bookmarkEnd w:id="120"/>
        <w:bookmarkEnd w:id="121"/>
      </w:ins>
    </w:p>
    <w:p>
      <w:pPr>
        <w:pStyle w:val="nzSubsection"/>
        <w:rPr>
          <w:ins w:id="123" w:author="Master Repository Process" w:date="2021-09-11T15:11:00Z"/>
        </w:rPr>
      </w:pPr>
      <w:ins w:id="124" w:author="Master Repository Process" w:date="2021-09-11T15:11:00Z">
        <w:r>
          <w:tab/>
        </w:r>
        <w:r>
          <w:tab/>
          <w:t xml:space="preserve">This Part amends the </w:t>
        </w:r>
        <w:r>
          <w:rPr>
            <w:i/>
          </w:rPr>
          <w:t>Police (Fees and Charges) Regulations 2018</w:t>
        </w:r>
        <w:r>
          <w:t>.</w:t>
        </w:r>
      </w:ins>
    </w:p>
    <w:p>
      <w:pPr>
        <w:pStyle w:val="nzHeading5"/>
        <w:rPr>
          <w:ins w:id="125" w:author="Master Repository Process" w:date="2021-09-11T15:11:00Z"/>
        </w:rPr>
      </w:pPr>
      <w:bookmarkStart w:id="126" w:name="_Toc8135339"/>
      <w:bookmarkStart w:id="127" w:name="_Toc8135443"/>
      <w:ins w:id="128" w:author="Master Repository Process" w:date="2021-09-11T15:11:00Z">
        <w:r>
          <w:rPr>
            <w:rStyle w:val="CharSectno"/>
          </w:rPr>
          <w:t>9</w:t>
        </w:r>
        <w:r>
          <w:t>.</w:t>
        </w:r>
        <w:r>
          <w:tab/>
          <w:t>Schedule 1 replaced</w:t>
        </w:r>
        <w:bookmarkEnd w:id="126"/>
        <w:bookmarkEnd w:id="127"/>
      </w:ins>
    </w:p>
    <w:p>
      <w:pPr>
        <w:pStyle w:val="nzSubsection"/>
        <w:rPr>
          <w:ins w:id="129" w:author="Master Repository Process" w:date="2021-09-11T15:11:00Z"/>
        </w:rPr>
      </w:pPr>
      <w:ins w:id="130" w:author="Master Repository Process" w:date="2021-09-11T15:11:00Z">
        <w:r>
          <w:tab/>
        </w:r>
        <w:r>
          <w:tab/>
          <w:t>Delete Schedule 1 and insert:</w:t>
        </w:r>
      </w:ins>
    </w:p>
    <w:p>
      <w:pPr>
        <w:pStyle w:val="BlankOpen"/>
        <w:rPr>
          <w:ins w:id="131" w:author="Master Repository Process" w:date="2021-09-11T15:11:00Z"/>
        </w:rPr>
      </w:pPr>
    </w:p>
    <w:p>
      <w:pPr>
        <w:pStyle w:val="nzHeading2"/>
        <w:rPr>
          <w:ins w:id="132" w:author="Master Repository Process" w:date="2021-09-11T15:11:00Z"/>
        </w:rPr>
      </w:pPr>
      <w:bookmarkStart w:id="133" w:name="_Toc8131062"/>
      <w:bookmarkStart w:id="134" w:name="_Toc8131083"/>
      <w:bookmarkStart w:id="135" w:name="_Toc8132412"/>
      <w:bookmarkStart w:id="136" w:name="_Toc8132555"/>
      <w:bookmarkStart w:id="137" w:name="_Toc8135340"/>
      <w:bookmarkStart w:id="138" w:name="_Toc8135444"/>
      <w:ins w:id="139" w:author="Master Repository Process" w:date="2021-09-11T15:11:00Z">
        <w:r>
          <w:t>Schedule 1 — Fees</w:t>
        </w:r>
        <w:bookmarkEnd w:id="133"/>
        <w:bookmarkEnd w:id="134"/>
        <w:bookmarkEnd w:id="135"/>
        <w:bookmarkEnd w:id="136"/>
        <w:bookmarkEnd w:id="137"/>
        <w:bookmarkEnd w:id="138"/>
      </w:ins>
    </w:p>
    <w:p>
      <w:pPr>
        <w:pStyle w:val="nzShoulderClause"/>
        <w:rPr>
          <w:ins w:id="140" w:author="Master Repository Process" w:date="2021-09-11T15:11:00Z"/>
        </w:rPr>
      </w:pPr>
      <w:ins w:id="141" w:author="Master Repository Process" w:date="2021-09-11T15:11:00Z">
        <w:r>
          <w:t>[r. 4(1)]</w:t>
        </w:r>
      </w:ins>
    </w:p>
    <w:tbl>
      <w:tblPr>
        <w:tblW w:w="591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969"/>
        <w:gridCol w:w="1097"/>
      </w:tblGrid>
      <w:tr>
        <w:trPr>
          <w:cantSplit/>
          <w:tblHeader/>
          <w:ins w:id="142" w:author="Master Repository Process" w:date="2021-09-11T15:11:00Z"/>
        </w:trPr>
        <w:tc>
          <w:tcPr>
            <w:tcW w:w="851" w:type="dxa"/>
          </w:tcPr>
          <w:p>
            <w:pPr>
              <w:pStyle w:val="nzTableAm"/>
              <w:rPr>
                <w:ins w:id="143" w:author="Master Repository Process" w:date="2021-09-11T15:11:00Z"/>
              </w:rPr>
            </w:pPr>
          </w:p>
        </w:tc>
        <w:tc>
          <w:tcPr>
            <w:tcW w:w="3969" w:type="dxa"/>
          </w:tcPr>
          <w:p>
            <w:pPr>
              <w:pStyle w:val="nzTableAm"/>
              <w:rPr>
                <w:ins w:id="144" w:author="Master Repository Process" w:date="2021-09-11T15:11:00Z"/>
              </w:rPr>
            </w:pPr>
            <w:ins w:id="145" w:author="Master Repository Process" w:date="2021-09-11T15:11:00Z">
              <w:r>
                <w:rPr>
                  <w:b/>
                </w:rPr>
                <w:t>Rate</w:t>
              </w:r>
            </w:ins>
          </w:p>
        </w:tc>
        <w:tc>
          <w:tcPr>
            <w:tcW w:w="1097" w:type="dxa"/>
          </w:tcPr>
          <w:p>
            <w:pPr>
              <w:pStyle w:val="nzTableAm"/>
              <w:rPr>
                <w:ins w:id="146" w:author="Master Repository Process" w:date="2021-09-11T15:11:00Z"/>
              </w:rPr>
            </w:pPr>
            <w:ins w:id="147" w:author="Master Repository Process" w:date="2021-09-11T15:11:00Z">
              <w:r>
                <w:rPr>
                  <w:b/>
                </w:rPr>
                <w:t>Amount</w:t>
              </w:r>
            </w:ins>
          </w:p>
        </w:tc>
      </w:tr>
      <w:tr>
        <w:trPr>
          <w:cantSplit/>
          <w:ins w:id="148" w:author="Master Repository Process" w:date="2021-09-11T15:11:00Z"/>
        </w:trPr>
        <w:tc>
          <w:tcPr>
            <w:tcW w:w="851" w:type="dxa"/>
          </w:tcPr>
          <w:p>
            <w:pPr>
              <w:pStyle w:val="nzTableAm"/>
              <w:rPr>
                <w:ins w:id="149" w:author="Master Repository Process" w:date="2021-09-11T15:11:00Z"/>
              </w:rPr>
            </w:pPr>
            <w:ins w:id="150" w:author="Master Repository Process" w:date="2021-09-11T15:11:00Z">
              <w:r>
                <w:t>1.</w:t>
              </w:r>
            </w:ins>
          </w:p>
        </w:tc>
        <w:tc>
          <w:tcPr>
            <w:tcW w:w="3969" w:type="dxa"/>
          </w:tcPr>
          <w:p>
            <w:pPr>
              <w:pStyle w:val="nzTableAm"/>
              <w:rPr>
                <w:ins w:id="151" w:author="Master Repository Process" w:date="2021-09-11T15:11:00Z"/>
              </w:rPr>
            </w:pPr>
            <w:ins w:id="152" w:author="Master Repository Process" w:date="2021-09-11T15:11:00Z">
              <w:r>
                <w:t>Copy of traffic infringement notice record</w:t>
              </w:r>
            </w:ins>
          </w:p>
        </w:tc>
        <w:tc>
          <w:tcPr>
            <w:tcW w:w="1097" w:type="dxa"/>
          </w:tcPr>
          <w:p>
            <w:pPr>
              <w:pStyle w:val="nzTableAm"/>
              <w:rPr>
                <w:ins w:id="153" w:author="Master Repository Process" w:date="2021-09-11T15:11:00Z"/>
              </w:rPr>
            </w:pPr>
            <w:ins w:id="154" w:author="Master Repository Process" w:date="2021-09-11T15:11:00Z">
              <w:r>
                <w:t>$30.90</w:t>
              </w:r>
            </w:ins>
          </w:p>
        </w:tc>
      </w:tr>
      <w:tr>
        <w:trPr>
          <w:cantSplit/>
          <w:ins w:id="155" w:author="Master Repository Process" w:date="2021-09-11T15:11:00Z"/>
        </w:trPr>
        <w:tc>
          <w:tcPr>
            <w:tcW w:w="851" w:type="dxa"/>
            <w:tcBorders>
              <w:bottom w:val="single" w:sz="4" w:space="0" w:color="auto"/>
            </w:tcBorders>
          </w:tcPr>
          <w:p>
            <w:pPr>
              <w:pStyle w:val="nzTableAm"/>
              <w:rPr>
                <w:ins w:id="156" w:author="Master Repository Process" w:date="2021-09-11T15:11:00Z"/>
              </w:rPr>
            </w:pPr>
            <w:ins w:id="157" w:author="Master Repository Process" w:date="2021-09-11T15:11:00Z">
              <w:r>
                <w:t>2.</w:t>
              </w:r>
            </w:ins>
          </w:p>
        </w:tc>
        <w:tc>
          <w:tcPr>
            <w:tcW w:w="3969" w:type="dxa"/>
            <w:tcBorders>
              <w:bottom w:val="single" w:sz="4" w:space="0" w:color="auto"/>
            </w:tcBorders>
          </w:tcPr>
          <w:p>
            <w:pPr>
              <w:pStyle w:val="nzTableAm"/>
              <w:rPr>
                <w:ins w:id="158" w:author="Master Repository Process" w:date="2021-09-11T15:11:00Z"/>
                <w:rStyle w:val="DraftersNotes"/>
              </w:rPr>
            </w:pPr>
            <w:ins w:id="159" w:author="Master Repository Process" w:date="2021-09-11T15:11:00Z">
              <w:r>
                <w:t xml:space="preserve">Escorts and guards — each person provided per hour and part of an hour for high risk escorts carried out by TRG </w:t>
              </w:r>
            </w:ins>
          </w:p>
        </w:tc>
        <w:tc>
          <w:tcPr>
            <w:tcW w:w="1097" w:type="dxa"/>
            <w:tcBorders>
              <w:bottom w:val="single" w:sz="4" w:space="0" w:color="auto"/>
            </w:tcBorders>
          </w:tcPr>
          <w:p>
            <w:pPr>
              <w:pStyle w:val="nzTableAm"/>
              <w:rPr>
                <w:ins w:id="160" w:author="Master Repository Process" w:date="2021-09-11T15:11:00Z"/>
              </w:rPr>
            </w:pPr>
            <w:ins w:id="161" w:author="Master Repository Process" w:date="2021-09-11T15:11:00Z">
              <w:r>
                <w:br/>
              </w:r>
              <w:r>
                <w:br/>
                <w:t>$124.70</w:t>
              </w:r>
            </w:ins>
          </w:p>
        </w:tc>
      </w:tr>
      <w:tr>
        <w:trPr>
          <w:cantSplit/>
          <w:ins w:id="162" w:author="Master Repository Process" w:date="2021-09-11T15:11:00Z"/>
        </w:trPr>
        <w:tc>
          <w:tcPr>
            <w:tcW w:w="851" w:type="dxa"/>
            <w:tcBorders>
              <w:bottom w:val="single" w:sz="4" w:space="0" w:color="auto"/>
            </w:tcBorders>
          </w:tcPr>
          <w:p>
            <w:pPr>
              <w:pStyle w:val="nzTableAm"/>
              <w:rPr>
                <w:ins w:id="163" w:author="Master Repository Process" w:date="2021-09-11T15:11:00Z"/>
              </w:rPr>
            </w:pPr>
            <w:ins w:id="164" w:author="Master Repository Process" w:date="2021-09-11T15:11:00Z">
              <w:r>
                <w:t>3.</w:t>
              </w:r>
            </w:ins>
          </w:p>
        </w:tc>
        <w:tc>
          <w:tcPr>
            <w:tcW w:w="3969" w:type="dxa"/>
            <w:tcBorders>
              <w:bottom w:val="single" w:sz="4" w:space="0" w:color="auto"/>
            </w:tcBorders>
          </w:tcPr>
          <w:p>
            <w:pPr>
              <w:pStyle w:val="nzTableAm"/>
              <w:rPr>
                <w:ins w:id="165" w:author="Master Repository Process" w:date="2021-09-11T15:11:00Z"/>
              </w:rPr>
            </w:pPr>
            <w:ins w:id="166" w:author="Master Repository Process" w:date="2021-09-11T15:11:00Z">
              <w:r>
                <w:t>Authorised copy of a photograph</w:t>
              </w:r>
            </w:ins>
          </w:p>
        </w:tc>
        <w:tc>
          <w:tcPr>
            <w:tcW w:w="1097" w:type="dxa"/>
            <w:tcBorders>
              <w:bottom w:val="single" w:sz="4" w:space="0" w:color="auto"/>
            </w:tcBorders>
          </w:tcPr>
          <w:p>
            <w:pPr>
              <w:pStyle w:val="nzTableAm"/>
              <w:rPr>
                <w:ins w:id="167" w:author="Master Repository Process" w:date="2021-09-11T15:11:00Z"/>
              </w:rPr>
            </w:pPr>
            <w:ins w:id="168" w:author="Master Repository Process" w:date="2021-09-11T15:11:00Z">
              <w:r>
                <w:t>$10.90</w:t>
              </w:r>
            </w:ins>
          </w:p>
        </w:tc>
      </w:tr>
      <w:tr>
        <w:trPr>
          <w:cantSplit/>
          <w:ins w:id="169" w:author="Master Repository Process" w:date="2021-09-11T15:11:00Z"/>
        </w:trPr>
        <w:tc>
          <w:tcPr>
            <w:tcW w:w="851" w:type="dxa"/>
            <w:tcBorders>
              <w:bottom w:val="nil"/>
            </w:tcBorders>
          </w:tcPr>
          <w:p>
            <w:pPr>
              <w:pStyle w:val="nzTableAm"/>
              <w:rPr>
                <w:ins w:id="170" w:author="Master Repository Process" w:date="2021-09-11T15:11:00Z"/>
              </w:rPr>
            </w:pPr>
            <w:ins w:id="171" w:author="Master Repository Process" w:date="2021-09-11T15:11:00Z">
              <w:r>
                <w:t>4.</w:t>
              </w:r>
            </w:ins>
          </w:p>
        </w:tc>
        <w:tc>
          <w:tcPr>
            <w:tcW w:w="3969" w:type="dxa"/>
            <w:tcBorders>
              <w:bottom w:val="nil"/>
            </w:tcBorders>
          </w:tcPr>
          <w:p>
            <w:pPr>
              <w:pStyle w:val="nzTableAm"/>
              <w:rPr>
                <w:ins w:id="172" w:author="Master Repository Process" w:date="2021-09-11T15:11:00Z"/>
              </w:rPr>
            </w:pPr>
            <w:ins w:id="173" w:author="Master Repository Process" w:date="2021-09-11T15:11:00Z">
              <w:r>
                <w:t xml:space="preserve">National criminal history record check — </w:t>
              </w:r>
            </w:ins>
          </w:p>
        </w:tc>
        <w:tc>
          <w:tcPr>
            <w:tcW w:w="1097" w:type="dxa"/>
            <w:tcBorders>
              <w:bottom w:val="nil"/>
            </w:tcBorders>
          </w:tcPr>
          <w:p>
            <w:pPr>
              <w:pStyle w:val="nzTableAm"/>
              <w:rPr>
                <w:ins w:id="174" w:author="Master Repository Process" w:date="2021-09-11T15:11:00Z"/>
              </w:rPr>
            </w:pPr>
          </w:p>
        </w:tc>
      </w:tr>
      <w:tr>
        <w:trPr>
          <w:cantSplit/>
          <w:ins w:id="175" w:author="Master Repository Process" w:date="2021-09-11T15:11:00Z"/>
        </w:trPr>
        <w:tc>
          <w:tcPr>
            <w:tcW w:w="851" w:type="dxa"/>
            <w:tcBorders>
              <w:top w:val="nil"/>
              <w:bottom w:val="nil"/>
            </w:tcBorders>
          </w:tcPr>
          <w:p>
            <w:pPr>
              <w:pStyle w:val="nzTableAm"/>
              <w:rPr>
                <w:ins w:id="176" w:author="Master Repository Process" w:date="2021-09-11T15:11:00Z"/>
              </w:rPr>
            </w:pPr>
          </w:p>
        </w:tc>
        <w:tc>
          <w:tcPr>
            <w:tcW w:w="3969" w:type="dxa"/>
            <w:tcBorders>
              <w:top w:val="nil"/>
              <w:bottom w:val="nil"/>
            </w:tcBorders>
          </w:tcPr>
          <w:p>
            <w:pPr>
              <w:pStyle w:val="nzTableAm"/>
              <w:tabs>
                <w:tab w:val="clear" w:pos="567"/>
                <w:tab w:val="left" w:pos="362"/>
              </w:tabs>
              <w:ind w:left="390" w:hanging="390"/>
              <w:rPr>
                <w:ins w:id="177" w:author="Master Repository Process" w:date="2021-09-11T15:11:00Z"/>
              </w:rPr>
            </w:pPr>
            <w:ins w:id="178" w:author="Master Repository Process" w:date="2021-09-11T15:11:00Z">
              <w:r>
                <w:t>(a)</w:t>
              </w:r>
              <w:r>
                <w:tab/>
                <w:t>issued to a volunteer organisation</w:t>
              </w:r>
            </w:ins>
          </w:p>
        </w:tc>
        <w:tc>
          <w:tcPr>
            <w:tcW w:w="1097" w:type="dxa"/>
            <w:tcBorders>
              <w:top w:val="nil"/>
              <w:bottom w:val="nil"/>
            </w:tcBorders>
          </w:tcPr>
          <w:p>
            <w:pPr>
              <w:pStyle w:val="nzTableAm"/>
              <w:rPr>
                <w:ins w:id="179" w:author="Master Repository Process" w:date="2021-09-11T15:11:00Z"/>
              </w:rPr>
            </w:pPr>
            <w:ins w:id="180" w:author="Master Repository Process" w:date="2021-09-11T15:11:00Z">
              <w:r>
                <w:t>$16.40</w:t>
              </w:r>
            </w:ins>
          </w:p>
        </w:tc>
      </w:tr>
      <w:tr>
        <w:trPr>
          <w:cantSplit/>
          <w:ins w:id="181" w:author="Master Repository Process" w:date="2021-09-11T15:11:00Z"/>
        </w:trPr>
        <w:tc>
          <w:tcPr>
            <w:tcW w:w="851" w:type="dxa"/>
            <w:tcBorders>
              <w:top w:val="nil"/>
            </w:tcBorders>
          </w:tcPr>
          <w:p>
            <w:pPr>
              <w:pStyle w:val="nzTableAm"/>
              <w:rPr>
                <w:ins w:id="182" w:author="Master Repository Process" w:date="2021-09-11T15:11:00Z"/>
              </w:rPr>
            </w:pPr>
          </w:p>
        </w:tc>
        <w:tc>
          <w:tcPr>
            <w:tcW w:w="3969" w:type="dxa"/>
            <w:tcBorders>
              <w:top w:val="nil"/>
            </w:tcBorders>
          </w:tcPr>
          <w:p>
            <w:pPr>
              <w:pStyle w:val="nzTableAm"/>
              <w:tabs>
                <w:tab w:val="clear" w:pos="567"/>
                <w:tab w:val="left" w:pos="362"/>
              </w:tabs>
              <w:ind w:left="390" w:hanging="390"/>
              <w:rPr>
                <w:ins w:id="183" w:author="Master Repository Process" w:date="2021-09-11T15:11:00Z"/>
              </w:rPr>
            </w:pPr>
            <w:ins w:id="184" w:author="Master Repository Process" w:date="2021-09-11T15:11:00Z">
              <w:r>
                <w:t>(b)</w:t>
              </w:r>
              <w:r>
                <w:tab/>
                <w:t>issued to a public sector body</w:t>
              </w:r>
            </w:ins>
          </w:p>
        </w:tc>
        <w:tc>
          <w:tcPr>
            <w:tcW w:w="1097" w:type="dxa"/>
            <w:tcBorders>
              <w:top w:val="nil"/>
            </w:tcBorders>
          </w:tcPr>
          <w:p>
            <w:pPr>
              <w:pStyle w:val="nzTableAm"/>
              <w:rPr>
                <w:ins w:id="185" w:author="Master Repository Process" w:date="2021-09-11T15:11:00Z"/>
              </w:rPr>
            </w:pPr>
            <w:ins w:id="186" w:author="Master Repository Process" w:date="2021-09-11T15:11:00Z">
              <w:r>
                <w:t>$33.40</w:t>
              </w:r>
            </w:ins>
          </w:p>
        </w:tc>
      </w:tr>
      <w:tr>
        <w:trPr>
          <w:cantSplit/>
          <w:ins w:id="187" w:author="Master Repository Process" w:date="2021-09-11T15:11:00Z"/>
        </w:trPr>
        <w:tc>
          <w:tcPr>
            <w:tcW w:w="851" w:type="dxa"/>
            <w:tcBorders>
              <w:bottom w:val="single" w:sz="4" w:space="0" w:color="auto"/>
            </w:tcBorders>
          </w:tcPr>
          <w:p>
            <w:pPr>
              <w:pStyle w:val="nzTableAm"/>
              <w:rPr>
                <w:ins w:id="188" w:author="Master Repository Process" w:date="2021-09-11T15:11:00Z"/>
              </w:rPr>
            </w:pPr>
            <w:ins w:id="189" w:author="Master Repository Process" w:date="2021-09-11T15:11:00Z">
              <w:r>
                <w:t>5.</w:t>
              </w:r>
            </w:ins>
          </w:p>
        </w:tc>
        <w:tc>
          <w:tcPr>
            <w:tcW w:w="3969" w:type="dxa"/>
            <w:tcBorders>
              <w:bottom w:val="single" w:sz="4" w:space="0" w:color="auto"/>
            </w:tcBorders>
          </w:tcPr>
          <w:p>
            <w:pPr>
              <w:pStyle w:val="nzTableAm"/>
              <w:rPr>
                <w:ins w:id="190" w:author="Master Repository Process" w:date="2021-09-11T15:11:00Z"/>
              </w:rPr>
            </w:pPr>
            <w:ins w:id="191" w:author="Master Repository Process" w:date="2021-09-11T15:11:00Z">
              <w:r>
                <w:t>National police certificate</w:t>
              </w:r>
            </w:ins>
          </w:p>
        </w:tc>
        <w:tc>
          <w:tcPr>
            <w:tcW w:w="1097" w:type="dxa"/>
            <w:tcBorders>
              <w:bottom w:val="single" w:sz="4" w:space="0" w:color="auto"/>
            </w:tcBorders>
          </w:tcPr>
          <w:p>
            <w:pPr>
              <w:pStyle w:val="nzTableAm"/>
              <w:rPr>
                <w:ins w:id="192" w:author="Master Repository Process" w:date="2021-09-11T15:11:00Z"/>
              </w:rPr>
            </w:pPr>
            <w:ins w:id="193" w:author="Master Repository Process" w:date="2021-09-11T15:11:00Z">
              <w:r>
                <w:t>$55.10</w:t>
              </w:r>
            </w:ins>
          </w:p>
        </w:tc>
      </w:tr>
      <w:tr>
        <w:trPr>
          <w:cantSplit/>
          <w:ins w:id="194" w:author="Master Repository Process" w:date="2021-09-11T15:11:00Z"/>
        </w:trPr>
        <w:tc>
          <w:tcPr>
            <w:tcW w:w="851" w:type="dxa"/>
            <w:tcBorders>
              <w:bottom w:val="nil"/>
            </w:tcBorders>
          </w:tcPr>
          <w:p>
            <w:pPr>
              <w:pStyle w:val="nzTableAm"/>
              <w:rPr>
                <w:ins w:id="195" w:author="Master Repository Process" w:date="2021-09-11T15:11:00Z"/>
              </w:rPr>
            </w:pPr>
            <w:ins w:id="196" w:author="Master Repository Process" w:date="2021-09-11T15:11:00Z">
              <w:r>
                <w:t>6.</w:t>
              </w:r>
            </w:ins>
          </w:p>
        </w:tc>
        <w:tc>
          <w:tcPr>
            <w:tcW w:w="3969" w:type="dxa"/>
            <w:tcBorders>
              <w:bottom w:val="nil"/>
            </w:tcBorders>
          </w:tcPr>
          <w:p>
            <w:pPr>
              <w:pStyle w:val="nzTableAm"/>
              <w:rPr>
                <w:ins w:id="197" w:author="Master Repository Process" w:date="2021-09-11T15:11:00Z"/>
              </w:rPr>
            </w:pPr>
            <w:ins w:id="198" w:author="Master Repository Process" w:date="2021-09-11T15:11:00Z">
              <w:r>
                <w:t xml:space="preserve">Provision of incident information as defined in the </w:t>
              </w:r>
              <w:r>
                <w:rPr>
                  <w:i/>
                </w:rPr>
                <w:t xml:space="preserve">Road Traffic (Administration) Act 2008 </w:t>
              </w:r>
              <w:r>
                <w:t>section 12(1) —</w:t>
              </w:r>
            </w:ins>
          </w:p>
        </w:tc>
        <w:tc>
          <w:tcPr>
            <w:tcW w:w="1097" w:type="dxa"/>
            <w:tcBorders>
              <w:bottom w:val="nil"/>
            </w:tcBorders>
          </w:tcPr>
          <w:p>
            <w:pPr>
              <w:pStyle w:val="nzTableAm"/>
              <w:rPr>
                <w:ins w:id="199" w:author="Master Repository Process" w:date="2021-09-11T15:11:00Z"/>
              </w:rPr>
            </w:pPr>
          </w:p>
        </w:tc>
      </w:tr>
      <w:tr>
        <w:trPr>
          <w:cantSplit/>
          <w:ins w:id="200" w:author="Master Repository Process" w:date="2021-09-11T15:11:00Z"/>
        </w:trPr>
        <w:tc>
          <w:tcPr>
            <w:tcW w:w="851" w:type="dxa"/>
            <w:tcBorders>
              <w:top w:val="nil"/>
              <w:bottom w:val="nil"/>
            </w:tcBorders>
          </w:tcPr>
          <w:p>
            <w:pPr>
              <w:pStyle w:val="nzTableAm"/>
              <w:rPr>
                <w:ins w:id="201" w:author="Master Repository Process" w:date="2021-09-11T15:11:00Z"/>
              </w:rPr>
            </w:pPr>
          </w:p>
        </w:tc>
        <w:tc>
          <w:tcPr>
            <w:tcW w:w="3969" w:type="dxa"/>
            <w:tcBorders>
              <w:top w:val="nil"/>
              <w:bottom w:val="nil"/>
            </w:tcBorders>
          </w:tcPr>
          <w:p>
            <w:pPr>
              <w:pStyle w:val="nzTableAm"/>
              <w:tabs>
                <w:tab w:val="clear" w:pos="567"/>
                <w:tab w:val="left" w:pos="362"/>
              </w:tabs>
              <w:ind w:left="390" w:hanging="390"/>
              <w:rPr>
                <w:ins w:id="202" w:author="Master Repository Process" w:date="2021-09-11T15:11:00Z"/>
              </w:rPr>
            </w:pPr>
            <w:ins w:id="203" w:author="Master Repository Process" w:date="2021-09-11T15:11:00Z">
              <w:r>
                <w:t>(a)</w:t>
              </w:r>
              <w:r>
                <w:tab/>
                <w:t>to those involved or their representatives (outlining certain accident details)</w:t>
              </w:r>
            </w:ins>
          </w:p>
        </w:tc>
        <w:tc>
          <w:tcPr>
            <w:tcW w:w="1097" w:type="dxa"/>
            <w:tcBorders>
              <w:top w:val="nil"/>
              <w:bottom w:val="nil"/>
            </w:tcBorders>
          </w:tcPr>
          <w:p>
            <w:pPr>
              <w:pStyle w:val="nzTableAm"/>
              <w:rPr>
                <w:ins w:id="204" w:author="Master Repository Process" w:date="2021-09-11T15:11:00Z"/>
              </w:rPr>
            </w:pPr>
            <w:ins w:id="205" w:author="Master Repository Process" w:date="2021-09-11T15:11:00Z">
              <w:r>
                <w:br/>
              </w:r>
              <w:r>
                <w:br/>
                <w:t>$45.90</w:t>
              </w:r>
            </w:ins>
          </w:p>
        </w:tc>
      </w:tr>
      <w:tr>
        <w:trPr>
          <w:cantSplit/>
          <w:ins w:id="206" w:author="Master Repository Process" w:date="2021-09-11T15:11:00Z"/>
        </w:trPr>
        <w:tc>
          <w:tcPr>
            <w:tcW w:w="851" w:type="dxa"/>
            <w:tcBorders>
              <w:top w:val="nil"/>
              <w:bottom w:val="single" w:sz="4" w:space="0" w:color="auto"/>
            </w:tcBorders>
          </w:tcPr>
          <w:p>
            <w:pPr>
              <w:pStyle w:val="nzTableAm"/>
              <w:rPr>
                <w:ins w:id="207" w:author="Master Repository Process" w:date="2021-09-11T15:11:00Z"/>
              </w:rPr>
            </w:pPr>
          </w:p>
        </w:tc>
        <w:tc>
          <w:tcPr>
            <w:tcW w:w="3969" w:type="dxa"/>
            <w:tcBorders>
              <w:top w:val="nil"/>
              <w:bottom w:val="single" w:sz="4" w:space="0" w:color="auto"/>
            </w:tcBorders>
          </w:tcPr>
          <w:p>
            <w:pPr>
              <w:pStyle w:val="nzTableAm"/>
              <w:tabs>
                <w:tab w:val="clear" w:pos="567"/>
                <w:tab w:val="left" w:pos="362"/>
              </w:tabs>
              <w:ind w:left="390" w:hanging="390"/>
              <w:rPr>
                <w:ins w:id="208" w:author="Master Repository Process" w:date="2021-09-11T15:11:00Z"/>
              </w:rPr>
            </w:pPr>
            <w:ins w:id="209" w:author="Master Repository Process" w:date="2021-09-11T15:11:00Z">
              <w:r>
                <w:t>(b)</w:t>
              </w:r>
              <w:r>
                <w:tab/>
                <w:t>to the Insurance Commission of Western Australia for third party insurance purposes</w:t>
              </w:r>
            </w:ins>
          </w:p>
        </w:tc>
        <w:tc>
          <w:tcPr>
            <w:tcW w:w="1097" w:type="dxa"/>
            <w:tcBorders>
              <w:top w:val="nil"/>
              <w:bottom w:val="single" w:sz="4" w:space="0" w:color="auto"/>
            </w:tcBorders>
          </w:tcPr>
          <w:p>
            <w:pPr>
              <w:pStyle w:val="nzTableAm"/>
              <w:rPr>
                <w:ins w:id="210" w:author="Master Repository Process" w:date="2021-09-11T15:11:00Z"/>
              </w:rPr>
            </w:pPr>
            <w:ins w:id="211" w:author="Master Repository Process" w:date="2021-09-11T15:11:00Z">
              <w:r>
                <w:br/>
              </w:r>
              <w:r>
                <w:br/>
                <w:t>$45.90</w:t>
              </w:r>
            </w:ins>
          </w:p>
        </w:tc>
      </w:tr>
      <w:tr>
        <w:trPr>
          <w:cantSplit/>
          <w:ins w:id="212" w:author="Master Repository Process" w:date="2021-09-11T15:11:00Z"/>
        </w:trPr>
        <w:tc>
          <w:tcPr>
            <w:tcW w:w="851" w:type="dxa"/>
            <w:tcBorders>
              <w:top w:val="single" w:sz="4" w:space="0" w:color="auto"/>
              <w:bottom w:val="single" w:sz="4" w:space="0" w:color="auto"/>
            </w:tcBorders>
          </w:tcPr>
          <w:p>
            <w:pPr>
              <w:pStyle w:val="nzTableAm"/>
              <w:rPr>
                <w:ins w:id="213" w:author="Master Repository Process" w:date="2021-09-11T15:11:00Z"/>
              </w:rPr>
            </w:pPr>
            <w:ins w:id="214" w:author="Master Repository Process" w:date="2021-09-11T15:11:00Z">
              <w:r>
                <w:t>7.</w:t>
              </w:r>
            </w:ins>
          </w:p>
        </w:tc>
        <w:tc>
          <w:tcPr>
            <w:tcW w:w="3969" w:type="dxa"/>
            <w:tcBorders>
              <w:top w:val="single" w:sz="4" w:space="0" w:color="auto"/>
              <w:bottom w:val="single" w:sz="4" w:space="0" w:color="auto"/>
            </w:tcBorders>
          </w:tcPr>
          <w:p>
            <w:pPr>
              <w:pStyle w:val="nzTableAm"/>
              <w:rPr>
                <w:ins w:id="215" w:author="Master Repository Process" w:date="2021-09-11T15:11:00Z"/>
              </w:rPr>
            </w:pPr>
            <w:ins w:id="216" w:author="Master Repository Process" w:date="2021-09-11T15:11:00Z">
              <w:r>
                <w:t xml:space="preserve">Provision of information about a reported incident, other than incident information as defined in the </w:t>
              </w:r>
              <w:r>
                <w:rPr>
                  <w:i/>
                </w:rPr>
                <w:t xml:space="preserve">Road Traffic (Administration) Act 2008 </w:t>
              </w:r>
              <w:r>
                <w:t>section 12(1), to those involved or their representatives (outlining certain incident details)</w:t>
              </w:r>
            </w:ins>
          </w:p>
        </w:tc>
        <w:tc>
          <w:tcPr>
            <w:tcW w:w="1097" w:type="dxa"/>
            <w:tcBorders>
              <w:top w:val="single" w:sz="4" w:space="0" w:color="auto"/>
              <w:bottom w:val="single" w:sz="4" w:space="0" w:color="auto"/>
            </w:tcBorders>
          </w:tcPr>
          <w:p>
            <w:pPr>
              <w:pStyle w:val="nzTableAm"/>
              <w:rPr>
                <w:ins w:id="217" w:author="Master Repository Process" w:date="2021-09-11T15:11:00Z"/>
              </w:rPr>
            </w:pPr>
            <w:ins w:id="218" w:author="Master Repository Process" w:date="2021-09-11T15:11:00Z">
              <w:r>
                <w:br/>
              </w:r>
              <w:r>
                <w:br/>
              </w:r>
              <w:r>
                <w:br/>
              </w:r>
              <w:r>
                <w:br/>
              </w:r>
              <w:r>
                <w:br/>
                <w:t>$46.40</w:t>
              </w:r>
            </w:ins>
          </w:p>
        </w:tc>
      </w:tr>
      <w:tr>
        <w:trPr>
          <w:cantSplit/>
          <w:ins w:id="219" w:author="Master Repository Process" w:date="2021-09-11T15:11:00Z"/>
        </w:trPr>
        <w:tc>
          <w:tcPr>
            <w:tcW w:w="851" w:type="dxa"/>
            <w:tcBorders>
              <w:top w:val="single" w:sz="4" w:space="0" w:color="auto"/>
              <w:bottom w:val="nil"/>
            </w:tcBorders>
          </w:tcPr>
          <w:p>
            <w:pPr>
              <w:pStyle w:val="nzTableAm"/>
              <w:rPr>
                <w:ins w:id="220" w:author="Master Repository Process" w:date="2021-09-11T15:11:00Z"/>
              </w:rPr>
            </w:pPr>
            <w:ins w:id="221" w:author="Master Repository Process" w:date="2021-09-11T15:11:00Z">
              <w:r>
                <w:t>8.</w:t>
              </w:r>
            </w:ins>
          </w:p>
        </w:tc>
        <w:tc>
          <w:tcPr>
            <w:tcW w:w="3969" w:type="dxa"/>
            <w:tcBorders>
              <w:top w:val="single" w:sz="4" w:space="0" w:color="auto"/>
              <w:bottom w:val="nil"/>
            </w:tcBorders>
          </w:tcPr>
          <w:p>
            <w:pPr>
              <w:pStyle w:val="nzTableAm"/>
              <w:rPr>
                <w:ins w:id="222" w:author="Master Repository Process" w:date="2021-09-11T15:11:00Z"/>
              </w:rPr>
            </w:pPr>
            <w:ins w:id="223" w:author="Master Repository Process" w:date="2021-09-11T15:11:00Z">
              <w:r>
                <w:t xml:space="preserve">Replacement of prosecution documents — </w:t>
              </w:r>
            </w:ins>
          </w:p>
        </w:tc>
        <w:tc>
          <w:tcPr>
            <w:tcW w:w="1097" w:type="dxa"/>
            <w:tcBorders>
              <w:top w:val="single" w:sz="4" w:space="0" w:color="auto"/>
              <w:bottom w:val="nil"/>
            </w:tcBorders>
          </w:tcPr>
          <w:p>
            <w:pPr>
              <w:pStyle w:val="nzTableAm"/>
              <w:rPr>
                <w:ins w:id="224" w:author="Master Repository Process" w:date="2021-09-11T15:11:00Z"/>
              </w:rPr>
            </w:pPr>
          </w:p>
        </w:tc>
      </w:tr>
      <w:tr>
        <w:trPr>
          <w:cantSplit/>
          <w:ins w:id="225" w:author="Master Repository Process" w:date="2021-09-11T15:11:00Z"/>
        </w:trPr>
        <w:tc>
          <w:tcPr>
            <w:tcW w:w="851" w:type="dxa"/>
            <w:tcBorders>
              <w:top w:val="nil"/>
              <w:bottom w:val="nil"/>
            </w:tcBorders>
          </w:tcPr>
          <w:p>
            <w:pPr>
              <w:pStyle w:val="nzTableAm"/>
              <w:rPr>
                <w:ins w:id="226" w:author="Master Repository Process" w:date="2021-09-11T15:11:00Z"/>
              </w:rPr>
            </w:pPr>
          </w:p>
        </w:tc>
        <w:tc>
          <w:tcPr>
            <w:tcW w:w="3969" w:type="dxa"/>
            <w:tcBorders>
              <w:top w:val="nil"/>
              <w:bottom w:val="nil"/>
            </w:tcBorders>
          </w:tcPr>
          <w:p>
            <w:pPr>
              <w:pStyle w:val="nzTableAm"/>
              <w:tabs>
                <w:tab w:val="clear" w:pos="567"/>
                <w:tab w:val="left" w:pos="362"/>
              </w:tabs>
              <w:ind w:left="390" w:hanging="390"/>
              <w:rPr>
                <w:ins w:id="227" w:author="Master Repository Process" w:date="2021-09-11T15:11:00Z"/>
              </w:rPr>
            </w:pPr>
            <w:ins w:id="228" w:author="Master Repository Process" w:date="2021-09-11T15:11:00Z">
              <w:r>
                <w:t>(a)</w:t>
              </w:r>
              <w:r>
                <w:tab/>
                <w:t>a statement of the material facts of a charge, which has already been served (per hour or part of an hour)</w:t>
              </w:r>
            </w:ins>
          </w:p>
        </w:tc>
        <w:tc>
          <w:tcPr>
            <w:tcW w:w="1097" w:type="dxa"/>
            <w:tcBorders>
              <w:top w:val="nil"/>
              <w:bottom w:val="nil"/>
            </w:tcBorders>
          </w:tcPr>
          <w:p>
            <w:pPr>
              <w:pStyle w:val="nzTableAm"/>
              <w:rPr>
                <w:ins w:id="229" w:author="Master Repository Process" w:date="2021-09-11T15:11:00Z"/>
              </w:rPr>
            </w:pPr>
            <w:ins w:id="230" w:author="Master Repository Process" w:date="2021-09-11T15:11:00Z">
              <w:r>
                <w:br/>
              </w:r>
              <w:r>
                <w:br/>
                <w:t>$98.00</w:t>
              </w:r>
            </w:ins>
          </w:p>
        </w:tc>
      </w:tr>
      <w:tr>
        <w:trPr>
          <w:cantSplit/>
          <w:ins w:id="231" w:author="Master Repository Process" w:date="2021-09-11T15:11:00Z"/>
        </w:trPr>
        <w:tc>
          <w:tcPr>
            <w:tcW w:w="851" w:type="dxa"/>
            <w:tcBorders>
              <w:top w:val="nil"/>
            </w:tcBorders>
          </w:tcPr>
          <w:p>
            <w:pPr>
              <w:pStyle w:val="nzTableAm"/>
              <w:rPr>
                <w:ins w:id="232" w:author="Master Repository Process" w:date="2021-09-11T15:11:00Z"/>
              </w:rPr>
            </w:pPr>
          </w:p>
        </w:tc>
        <w:tc>
          <w:tcPr>
            <w:tcW w:w="3969" w:type="dxa"/>
            <w:tcBorders>
              <w:top w:val="nil"/>
            </w:tcBorders>
          </w:tcPr>
          <w:p>
            <w:pPr>
              <w:pStyle w:val="nzTableAm"/>
              <w:tabs>
                <w:tab w:val="clear" w:pos="567"/>
                <w:tab w:val="left" w:pos="362"/>
              </w:tabs>
              <w:ind w:left="390" w:hanging="390"/>
              <w:rPr>
                <w:ins w:id="233" w:author="Master Repository Process" w:date="2021-09-11T15:11:00Z"/>
              </w:rPr>
            </w:pPr>
            <w:ins w:id="234" w:author="Master Repository Process" w:date="2021-09-11T15:11:00Z">
              <w:r>
                <w:t>(b)</w:t>
              </w:r>
              <w:r>
                <w:tab/>
                <w:t>additional copy of documents already disclosed (per hour or part of an hour)</w:t>
              </w:r>
            </w:ins>
          </w:p>
        </w:tc>
        <w:tc>
          <w:tcPr>
            <w:tcW w:w="1097" w:type="dxa"/>
            <w:tcBorders>
              <w:top w:val="nil"/>
            </w:tcBorders>
          </w:tcPr>
          <w:p>
            <w:pPr>
              <w:pStyle w:val="nzTableAm"/>
              <w:rPr>
                <w:ins w:id="235" w:author="Master Repository Process" w:date="2021-09-11T15:11:00Z"/>
              </w:rPr>
            </w:pPr>
            <w:ins w:id="236" w:author="Master Repository Process" w:date="2021-09-11T15:11:00Z">
              <w:r>
                <w:br/>
              </w:r>
              <w:r>
                <w:br/>
                <w:t>$98.00</w:t>
              </w:r>
            </w:ins>
          </w:p>
        </w:tc>
      </w:tr>
    </w:tbl>
    <w:p>
      <w:pPr>
        <w:pStyle w:val="BlankClose"/>
        <w:rPr>
          <w:ins w:id="237" w:author="Master Repository Process" w:date="2021-09-11T15:11:00Z"/>
        </w:rPr>
      </w:pPr>
    </w:p>
    <w:p>
      <w:pPr>
        <w:pStyle w:val="nzHeading5"/>
        <w:rPr>
          <w:ins w:id="238" w:author="Master Repository Process" w:date="2021-09-11T15:11:00Z"/>
        </w:rPr>
      </w:pPr>
      <w:bookmarkStart w:id="239" w:name="_Toc8135341"/>
      <w:bookmarkStart w:id="240" w:name="_Toc8135445"/>
      <w:ins w:id="241" w:author="Master Repository Process" w:date="2021-09-11T15:11:00Z">
        <w:r>
          <w:rPr>
            <w:rStyle w:val="CharSectno"/>
          </w:rPr>
          <w:t>10</w:t>
        </w:r>
        <w:r>
          <w:t>.</w:t>
        </w:r>
        <w:r>
          <w:tab/>
          <w:t>Schedule 2 replaced</w:t>
        </w:r>
        <w:bookmarkEnd w:id="239"/>
        <w:bookmarkEnd w:id="240"/>
      </w:ins>
    </w:p>
    <w:p>
      <w:pPr>
        <w:pStyle w:val="nzSubsection"/>
        <w:rPr>
          <w:ins w:id="242" w:author="Master Repository Process" w:date="2021-09-11T15:11:00Z"/>
        </w:rPr>
      </w:pPr>
      <w:ins w:id="243" w:author="Master Repository Process" w:date="2021-09-11T15:11:00Z">
        <w:r>
          <w:tab/>
        </w:r>
        <w:r>
          <w:tab/>
          <w:t>Delete Schedule 2 and insert:</w:t>
        </w:r>
      </w:ins>
    </w:p>
    <w:p>
      <w:pPr>
        <w:pStyle w:val="BlankOpen"/>
        <w:rPr>
          <w:ins w:id="244" w:author="Master Repository Process" w:date="2021-09-11T15:11:00Z"/>
        </w:rPr>
      </w:pPr>
    </w:p>
    <w:p>
      <w:pPr>
        <w:pStyle w:val="nzHeading2"/>
        <w:rPr>
          <w:ins w:id="245" w:author="Master Repository Process" w:date="2021-09-11T15:11:00Z"/>
        </w:rPr>
      </w:pPr>
      <w:bookmarkStart w:id="246" w:name="_Toc8131064"/>
      <w:bookmarkStart w:id="247" w:name="_Toc8131085"/>
      <w:bookmarkStart w:id="248" w:name="_Toc8132414"/>
      <w:bookmarkStart w:id="249" w:name="_Toc8132557"/>
      <w:bookmarkStart w:id="250" w:name="_Toc8135342"/>
      <w:bookmarkStart w:id="251" w:name="_Toc8135446"/>
      <w:ins w:id="252" w:author="Master Repository Process" w:date="2021-09-11T15:11:00Z">
        <w:r>
          <w:t>Schedule 2 — Charges for major events</w:t>
        </w:r>
        <w:bookmarkEnd w:id="246"/>
        <w:bookmarkEnd w:id="247"/>
        <w:bookmarkEnd w:id="248"/>
        <w:bookmarkEnd w:id="249"/>
        <w:bookmarkEnd w:id="250"/>
        <w:bookmarkEnd w:id="251"/>
      </w:ins>
    </w:p>
    <w:p>
      <w:pPr>
        <w:pStyle w:val="nzShoulderClause"/>
        <w:rPr>
          <w:ins w:id="253" w:author="Master Repository Process" w:date="2021-09-11T15:11:00Z"/>
        </w:rPr>
      </w:pPr>
      <w:ins w:id="254" w:author="Master Repository Process" w:date="2021-09-11T15:11:00Z">
        <w:r>
          <w:t>[r. 6 and 8]</w:t>
        </w:r>
      </w:ins>
    </w:p>
    <w:tbl>
      <w:tblPr>
        <w:tblW w:w="591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827"/>
        <w:gridCol w:w="1239"/>
      </w:tblGrid>
      <w:tr>
        <w:trPr>
          <w:tblHeader/>
          <w:ins w:id="255" w:author="Master Repository Process" w:date="2021-09-11T15:11:00Z"/>
        </w:trPr>
        <w:tc>
          <w:tcPr>
            <w:tcW w:w="851" w:type="dxa"/>
          </w:tcPr>
          <w:p>
            <w:pPr>
              <w:pStyle w:val="nzTableAm"/>
              <w:rPr>
                <w:ins w:id="256" w:author="Master Repository Process" w:date="2021-09-11T15:11:00Z"/>
              </w:rPr>
            </w:pPr>
          </w:p>
        </w:tc>
        <w:tc>
          <w:tcPr>
            <w:tcW w:w="3827" w:type="dxa"/>
          </w:tcPr>
          <w:p>
            <w:pPr>
              <w:pStyle w:val="nzTableAm"/>
              <w:rPr>
                <w:ins w:id="257" w:author="Master Repository Process" w:date="2021-09-11T15:11:00Z"/>
              </w:rPr>
            </w:pPr>
            <w:ins w:id="258" w:author="Master Repository Process" w:date="2021-09-11T15:11:00Z">
              <w:r>
                <w:rPr>
                  <w:b/>
                </w:rPr>
                <w:t>Rate/hour</w:t>
              </w:r>
            </w:ins>
          </w:p>
        </w:tc>
        <w:tc>
          <w:tcPr>
            <w:tcW w:w="1239" w:type="dxa"/>
          </w:tcPr>
          <w:p>
            <w:pPr>
              <w:pStyle w:val="nzTableAm"/>
              <w:rPr>
                <w:ins w:id="259" w:author="Master Repository Process" w:date="2021-09-11T15:11:00Z"/>
              </w:rPr>
            </w:pPr>
            <w:ins w:id="260" w:author="Master Repository Process" w:date="2021-09-11T15:11:00Z">
              <w:r>
                <w:rPr>
                  <w:b/>
                </w:rPr>
                <w:t>Amount</w:t>
              </w:r>
            </w:ins>
          </w:p>
        </w:tc>
      </w:tr>
      <w:tr>
        <w:trPr>
          <w:ins w:id="261" w:author="Master Repository Process" w:date="2021-09-11T15:11:00Z"/>
        </w:trPr>
        <w:tc>
          <w:tcPr>
            <w:tcW w:w="851" w:type="dxa"/>
          </w:tcPr>
          <w:p>
            <w:pPr>
              <w:pStyle w:val="nzTableAm"/>
              <w:rPr>
                <w:ins w:id="262" w:author="Master Repository Process" w:date="2021-09-11T15:11:00Z"/>
              </w:rPr>
            </w:pPr>
            <w:ins w:id="263" w:author="Master Repository Process" w:date="2021-09-11T15:11:00Z">
              <w:r>
                <w:t>1.</w:t>
              </w:r>
            </w:ins>
          </w:p>
        </w:tc>
        <w:tc>
          <w:tcPr>
            <w:tcW w:w="3827" w:type="dxa"/>
          </w:tcPr>
          <w:p>
            <w:pPr>
              <w:pStyle w:val="nzTableAm"/>
              <w:rPr>
                <w:ins w:id="264" w:author="Master Repository Process" w:date="2021-09-11T15:11:00Z"/>
              </w:rPr>
            </w:pPr>
            <w:ins w:id="265" w:author="Master Repository Process" w:date="2021-09-11T15:11:00Z">
              <w:r>
                <w:t>Planning rate</w:t>
              </w:r>
            </w:ins>
          </w:p>
        </w:tc>
        <w:tc>
          <w:tcPr>
            <w:tcW w:w="1239" w:type="dxa"/>
          </w:tcPr>
          <w:p>
            <w:pPr>
              <w:pStyle w:val="nzTableAm"/>
              <w:rPr>
                <w:ins w:id="266" w:author="Master Repository Process" w:date="2021-09-11T15:11:00Z"/>
              </w:rPr>
            </w:pPr>
            <w:ins w:id="267" w:author="Master Repository Process" w:date="2021-09-11T15:11:00Z">
              <w:r>
                <w:t>$60.00</w:t>
              </w:r>
            </w:ins>
          </w:p>
        </w:tc>
      </w:tr>
      <w:tr>
        <w:trPr>
          <w:ins w:id="268" w:author="Master Repository Process" w:date="2021-09-11T15:11:00Z"/>
        </w:trPr>
        <w:tc>
          <w:tcPr>
            <w:tcW w:w="851" w:type="dxa"/>
          </w:tcPr>
          <w:p>
            <w:pPr>
              <w:pStyle w:val="nzTableAm"/>
              <w:rPr>
                <w:ins w:id="269" w:author="Master Repository Process" w:date="2021-09-11T15:11:00Z"/>
              </w:rPr>
            </w:pPr>
            <w:ins w:id="270" w:author="Master Repository Process" w:date="2021-09-11T15:11:00Z">
              <w:r>
                <w:t>2.</w:t>
              </w:r>
            </w:ins>
          </w:p>
        </w:tc>
        <w:tc>
          <w:tcPr>
            <w:tcW w:w="3827" w:type="dxa"/>
          </w:tcPr>
          <w:p>
            <w:pPr>
              <w:pStyle w:val="nzTableAm"/>
              <w:rPr>
                <w:ins w:id="271" w:author="Master Repository Process" w:date="2021-09-11T15:11:00Z"/>
              </w:rPr>
            </w:pPr>
            <w:ins w:id="272" w:author="Master Repository Process" w:date="2021-09-11T15:11:00Z">
              <w:r>
                <w:t>Attendance rate</w:t>
              </w:r>
            </w:ins>
          </w:p>
        </w:tc>
        <w:tc>
          <w:tcPr>
            <w:tcW w:w="1239" w:type="dxa"/>
          </w:tcPr>
          <w:p>
            <w:pPr>
              <w:pStyle w:val="nzTableAm"/>
              <w:rPr>
                <w:ins w:id="273" w:author="Master Repository Process" w:date="2021-09-11T15:11:00Z"/>
              </w:rPr>
            </w:pPr>
            <w:ins w:id="274" w:author="Master Repository Process" w:date="2021-09-11T15:11:00Z">
              <w:r>
                <w:t>$107.00</w:t>
              </w:r>
            </w:ins>
          </w:p>
        </w:tc>
      </w:tr>
      <w:tr>
        <w:trPr>
          <w:ins w:id="275" w:author="Master Repository Process" w:date="2021-09-11T15:11:00Z"/>
        </w:trPr>
        <w:tc>
          <w:tcPr>
            <w:tcW w:w="851" w:type="dxa"/>
          </w:tcPr>
          <w:p>
            <w:pPr>
              <w:pStyle w:val="nzTableAm"/>
              <w:rPr>
                <w:ins w:id="276" w:author="Master Repository Process" w:date="2021-09-11T15:11:00Z"/>
              </w:rPr>
            </w:pPr>
            <w:ins w:id="277" w:author="Master Repository Process" w:date="2021-09-11T15:11:00Z">
              <w:r>
                <w:t>3.</w:t>
              </w:r>
            </w:ins>
          </w:p>
        </w:tc>
        <w:tc>
          <w:tcPr>
            <w:tcW w:w="3827" w:type="dxa"/>
          </w:tcPr>
          <w:p>
            <w:pPr>
              <w:pStyle w:val="nzTableAm"/>
              <w:rPr>
                <w:ins w:id="278" w:author="Master Repository Process" w:date="2021-09-11T15:11:00Z"/>
              </w:rPr>
            </w:pPr>
            <w:ins w:id="279" w:author="Master Repository Process" w:date="2021-09-11T15:11:00Z">
              <w:r>
                <w:t>General overhead expenses rate</w:t>
              </w:r>
            </w:ins>
          </w:p>
        </w:tc>
        <w:tc>
          <w:tcPr>
            <w:tcW w:w="1239" w:type="dxa"/>
          </w:tcPr>
          <w:p>
            <w:pPr>
              <w:pStyle w:val="nzTableAm"/>
              <w:rPr>
                <w:ins w:id="280" w:author="Master Repository Process" w:date="2021-09-11T15:11:00Z"/>
              </w:rPr>
            </w:pPr>
            <w:ins w:id="281" w:author="Master Repository Process" w:date="2021-09-11T15:11:00Z">
              <w:r>
                <w:t>$15.00</w:t>
              </w:r>
            </w:ins>
          </w:p>
        </w:tc>
      </w:tr>
      <w:tr>
        <w:trPr>
          <w:ins w:id="282" w:author="Master Repository Process" w:date="2021-09-11T15:11:00Z"/>
        </w:trPr>
        <w:tc>
          <w:tcPr>
            <w:tcW w:w="851" w:type="dxa"/>
          </w:tcPr>
          <w:p>
            <w:pPr>
              <w:pStyle w:val="nzTableAm"/>
              <w:rPr>
                <w:ins w:id="283" w:author="Master Repository Process" w:date="2021-09-11T15:11:00Z"/>
              </w:rPr>
            </w:pPr>
            <w:ins w:id="284" w:author="Master Repository Process" w:date="2021-09-11T15:11:00Z">
              <w:r>
                <w:t>4.</w:t>
              </w:r>
            </w:ins>
          </w:p>
        </w:tc>
        <w:tc>
          <w:tcPr>
            <w:tcW w:w="3827" w:type="dxa"/>
          </w:tcPr>
          <w:p>
            <w:pPr>
              <w:pStyle w:val="nzTableAm"/>
              <w:rPr>
                <w:ins w:id="285" w:author="Master Repository Process" w:date="2021-09-11T15:11:00Z"/>
              </w:rPr>
            </w:pPr>
            <w:ins w:id="286" w:author="Master Repository Process" w:date="2021-09-11T15:11:00Z">
              <w:r>
                <w:t>Overhead expenses rate for air support — helicopter</w:t>
              </w:r>
            </w:ins>
          </w:p>
        </w:tc>
        <w:tc>
          <w:tcPr>
            <w:tcW w:w="1239" w:type="dxa"/>
          </w:tcPr>
          <w:p>
            <w:pPr>
              <w:pStyle w:val="nzTableAm"/>
              <w:rPr>
                <w:ins w:id="287" w:author="Master Repository Process" w:date="2021-09-11T15:11:00Z"/>
              </w:rPr>
            </w:pPr>
            <w:ins w:id="288" w:author="Master Repository Process" w:date="2021-09-11T15:11:00Z">
              <w:r>
                <w:br/>
                <w:t>$2 795.00</w:t>
              </w:r>
            </w:ins>
          </w:p>
        </w:tc>
      </w:tr>
      <w:tr>
        <w:trPr>
          <w:ins w:id="289" w:author="Master Repository Process" w:date="2021-09-11T15:11:00Z"/>
        </w:trPr>
        <w:tc>
          <w:tcPr>
            <w:tcW w:w="851" w:type="dxa"/>
          </w:tcPr>
          <w:p>
            <w:pPr>
              <w:pStyle w:val="nzTableAm"/>
              <w:rPr>
                <w:ins w:id="290" w:author="Master Repository Process" w:date="2021-09-11T15:11:00Z"/>
              </w:rPr>
            </w:pPr>
            <w:ins w:id="291" w:author="Master Repository Process" w:date="2021-09-11T15:11:00Z">
              <w:r>
                <w:t>5.</w:t>
              </w:r>
            </w:ins>
          </w:p>
        </w:tc>
        <w:tc>
          <w:tcPr>
            <w:tcW w:w="3827" w:type="dxa"/>
          </w:tcPr>
          <w:p>
            <w:pPr>
              <w:pStyle w:val="nzTableAm"/>
              <w:rPr>
                <w:ins w:id="292" w:author="Master Repository Process" w:date="2021-09-11T15:11:00Z"/>
              </w:rPr>
            </w:pPr>
            <w:ins w:id="293" w:author="Master Repository Process" w:date="2021-09-11T15:11:00Z">
              <w:r>
                <w:t>Overhead expenses rate for air support — fixed wing aircraft</w:t>
              </w:r>
            </w:ins>
          </w:p>
        </w:tc>
        <w:tc>
          <w:tcPr>
            <w:tcW w:w="1239" w:type="dxa"/>
          </w:tcPr>
          <w:p>
            <w:pPr>
              <w:pStyle w:val="nzTableAm"/>
              <w:rPr>
                <w:ins w:id="294" w:author="Master Repository Process" w:date="2021-09-11T15:11:00Z"/>
              </w:rPr>
            </w:pPr>
            <w:ins w:id="295" w:author="Master Repository Process" w:date="2021-09-11T15:11:00Z">
              <w:r>
                <w:br/>
                <w:t>$1 684.00</w:t>
              </w:r>
            </w:ins>
          </w:p>
        </w:tc>
      </w:tr>
    </w:tbl>
    <w:p>
      <w:pPr>
        <w:pStyle w:val="BlankClose"/>
        <w:rPr>
          <w:ins w:id="296" w:author="Master Repository Process" w:date="2021-09-11T15:11:00Z"/>
        </w:rPr>
      </w:pPr>
    </w:p>
    <w:p/>
    <w:p>
      <w:pPr>
        <w:sectPr>
          <w:headerReference w:type="even" r:id="rId23"/>
          <w:headerReference w:type="default" r:id="rId24"/>
          <w:pgSz w:w="11907" w:h="16840" w:code="9"/>
          <w:pgMar w:top="2376" w:right="2404" w:bottom="3544" w:left="2404" w:header="720" w:footer="3380" w:gutter="0"/>
          <w:cols w:space="720"/>
          <w:noEndnote/>
          <w:docGrid w:linePitch="326"/>
        </w:sectPr>
      </w:pPr>
    </w:p>
    <w:bookmarkEnd w:id="80"/>
    <w:bookmarkEnd w:id="81"/>
    <w:bookmarkEnd w:id="82"/>
    <w:bookmarkEnd w:id="83"/>
    <w:bookmarkEnd w:id="84"/>
    <w:bookmarkEnd w:id="85"/>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Aug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Aug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Aug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73" w:name="Schedule"/>
    <w:bookmarkEnd w:id="7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97" w:name="Compilation"/>
    <w:bookmarkEnd w:id="297"/>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98" w:name="Coversheet"/>
    <w:bookmarkEnd w:id="29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5"/>
  </w:num>
  <w:num w:numId="4">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1128131807"/>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71127141210" w:val="RemoveTocBookmarks,RemoveUnusedBookmarks,RemoveLanguageTags,UsedStyles,ResetPageSize"/>
    <w:docVar w:name="WAFER_20171127141210_GUID" w:val="b1fc28a2-ca1d-4f25-a121-1f77c5d49843"/>
    <w:docVar w:name="WAFER_20171128131807" w:val="RemoveTocBookmarks,RemoveUnusedBookmarks,RemoveLanguageTags,UpdateStyles,UsedStyles,ResetPageSize"/>
    <w:docVar w:name="WAFER_20171128131807_GUID" w:val="53e54bdd-16c6-48a8-a657-1da02fa56f8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24C0965-B839-4108-A9B8-AEF12B1EB4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zTableAm">
    <w:name w:val="nzTableAm"/>
    <w:basedOn w:val="TableAm"/>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040B38-9654-4A8B-80BF-FBAD7DA2DB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1523</Words>
  <Characters>7697</Characters>
  <Application>Microsoft Office Word</Application>
  <DocSecurity>0</DocSecurity>
  <Lines>384</Lines>
  <Paragraphs>236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(Fees and Charges) Regulations 2018 00-c0-01 - 00-d0-00</dc:title>
  <dc:subject/>
  <dc:creator/>
  <cp:keywords/>
  <dc:description/>
  <cp:lastModifiedBy>Master Repository Process</cp:lastModifiedBy>
  <cp:revision>2</cp:revision>
  <cp:lastPrinted>2017-11-28T05:48:00Z</cp:lastPrinted>
  <dcterms:created xsi:type="dcterms:W3CDTF">2021-09-11T07:11:00Z</dcterms:created>
  <dcterms:modified xsi:type="dcterms:W3CDTF">2021-09-11T07:11:00Z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CommencementDate">
    <vt:lpwstr>20190621</vt:lpwstr>
  </property>
  <property fmtid="{D5CDD505-2E9C-101B-9397-08002B2CF9AE}" pid="4" name="FromSuffix">
    <vt:lpwstr>00-c0-01</vt:lpwstr>
  </property>
  <property fmtid="{D5CDD505-2E9C-101B-9397-08002B2CF9AE}" pid="5" name="FromAsAtDate">
    <vt:lpwstr>18 Aug 2018</vt:lpwstr>
  </property>
  <property fmtid="{D5CDD505-2E9C-101B-9397-08002B2CF9AE}" pid="6" name="ToSuffix">
    <vt:lpwstr>00-d0-00</vt:lpwstr>
  </property>
  <property fmtid="{D5CDD505-2E9C-101B-9397-08002B2CF9AE}" pid="7" name="ToAsAtDate">
    <vt:lpwstr>21 Jun 2019</vt:lpwstr>
  </property>
</Properties>
</file>