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26 Jun 2019</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12278943"/>
      <w:bookmarkStart w:id="2" w:name="_Toc1176075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2278944"/>
      <w:bookmarkStart w:id="5" w:name="_Toc11760752"/>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2278945"/>
      <w:bookmarkStart w:id="7" w:name="_Toc11760753"/>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8" w:name="_Toc12278946"/>
      <w:bookmarkStart w:id="9" w:name="_Toc11760754"/>
      <w:r>
        <w:rPr>
          <w:rStyle w:val="CharSectno"/>
        </w:rPr>
        <w:t>4</w:t>
      </w:r>
      <w:r>
        <w:t>.</w:t>
      </w:r>
      <w:r>
        <w:tab/>
        <w:t>Fees</w:t>
      </w:r>
      <w:bookmarkEnd w:id="8"/>
      <w:bookmarkEnd w:id="9"/>
    </w:p>
    <w:p>
      <w:pPr>
        <w:pStyle w:val="Subsection"/>
      </w:pPr>
      <w:r>
        <w:tab/>
      </w:r>
      <w:ins w:id="10" w:author="Master Repository Process" w:date="2021-08-01T05:29:00Z">
        <w:r>
          <w:t>(1)</w:t>
        </w:r>
      </w:ins>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635"/>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tcPr>
          <w:p>
            <w:pPr>
              <w:pStyle w:val="TableNAm"/>
            </w:pPr>
            <w:r>
              <w:rPr>
                <w:b/>
              </w:rPr>
              <w:t>Fee</w:t>
            </w:r>
          </w:p>
        </w:tc>
      </w:tr>
      <w:tr>
        <w:trPr>
          <w:cantSplit/>
          <w:tblHeader/>
          <w:jc w:val="center"/>
        </w:trPr>
        <w:tc>
          <w:tcPr>
            <w:tcW w:w="817" w:type="dxa"/>
          </w:tcPr>
          <w:p>
            <w:pPr>
              <w:pStyle w:val="TableNAm"/>
            </w:pPr>
            <w:r>
              <w:t>1.</w:t>
            </w:r>
          </w:p>
        </w:tc>
        <w:tc>
          <w:tcPr>
            <w:tcW w:w="3343" w:type="dxa"/>
          </w:tcPr>
          <w:p>
            <w:pPr>
              <w:pStyle w:val="TableNAm"/>
              <w:spacing w:before="0"/>
              <w:rPr>
                <w:del w:id="11" w:author="Master Repository Process" w:date="2021-08-01T05:29:00Z"/>
              </w:rPr>
            </w:pPr>
            <w:r>
              <w:t>Issue or renewal of licence</w:t>
            </w:r>
            <w:del w:id="12" w:author="Master Repository Process" w:date="2021-08-01T05:29:00Z">
              <w:r>
                <w:delText xml:space="preserve"> for a period of — </w:delText>
              </w:r>
            </w:del>
          </w:p>
          <w:p>
            <w:pPr>
              <w:pStyle w:val="TableNAm"/>
              <w:tabs>
                <w:tab w:val="clear" w:pos="567"/>
                <w:tab w:val="left" w:pos="421"/>
              </w:tabs>
              <w:spacing w:before="0"/>
              <w:rPr>
                <w:del w:id="13" w:author="Master Repository Process" w:date="2021-08-01T05:29:00Z"/>
              </w:rPr>
            </w:pPr>
            <w:del w:id="14" w:author="Master Repository Process" w:date="2021-08-01T05:29:00Z">
              <w:r>
                <w:rPr>
                  <w:sz w:val="18"/>
                  <w:szCs w:val="18"/>
                </w:rPr>
                <w:delText>●</w:delText>
              </w:r>
              <w:r>
                <w:tab/>
                <w:delText>1 year</w:delText>
              </w:r>
            </w:del>
          </w:p>
          <w:p>
            <w:pPr>
              <w:pStyle w:val="TableNAm"/>
              <w:tabs>
                <w:tab w:val="clear" w:pos="567"/>
                <w:tab w:val="left" w:pos="421"/>
              </w:tabs>
              <w:spacing w:before="0"/>
              <w:rPr>
                <w:del w:id="15" w:author="Master Repository Process" w:date="2021-08-01T05:29:00Z"/>
              </w:rPr>
            </w:pPr>
            <w:del w:id="16" w:author="Master Repository Process" w:date="2021-08-01T05:29:00Z">
              <w:r>
                <w:rPr>
                  <w:sz w:val="18"/>
                  <w:szCs w:val="18"/>
                </w:rPr>
                <w:delText>●</w:delText>
              </w:r>
              <w:r>
                <w:tab/>
                <w:delText>2 years</w:delText>
              </w:r>
            </w:del>
          </w:p>
          <w:p>
            <w:pPr>
              <w:pStyle w:val="TableNAm"/>
            </w:pPr>
            <w:del w:id="17" w:author="Master Repository Process" w:date="2021-08-01T05:29:00Z">
              <w:r>
                <w:rPr>
                  <w:sz w:val="18"/>
                  <w:szCs w:val="18"/>
                </w:rPr>
                <w:delText>●</w:delText>
              </w:r>
              <w:r>
                <w:tab/>
                <w:delText>3 years</w:delText>
              </w:r>
            </w:del>
          </w:p>
        </w:tc>
        <w:tc>
          <w:tcPr>
            <w:tcW w:w="1616" w:type="dxa"/>
          </w:tcPr>
          <w:p>
            <w:pPr>
              <w:pStyle w:val="TableNAm"/>
              <w:tabs>
                <w:tab w:val="clear" w:pos="567"/>
                <w:tab w:val="left" w:pos="232"/>
              </w:tabs>
              <w:spacing w:before="0"/>
              <w:rPr>
                <w:del w:id="18" w:author="Master Repository Process" w:date="2021-08-01T05:29:00Z"/>
              </w:rPr>
            </w:pPr>
            <w:del w:id="19" w:author="Master Repository Process" w:date="2021-08-01T05:29:00Z">
              <w:r>
                <w:br/>
              </w:r>
              <w:r>
                <w:br/>
              </w:r>
              <w:r>
                <w:rPr>
                  <w:sz w:val="18"/>
                  <w:szCs w:val="18"/>
                </w:rPr>
                <w:delText>●</w:delText>
              </w:r>
              <w:r>
                <w:tab/>
                <w:delText>$841.80</w:delText>
              </w:r>
            </w:del>
          </w:p>
          <w:p>
            <w:pPr>
              <w:pStyle w:val="TableNAm"/>
              <w:tabs>
                <w:tab w:val="clear" w:pos="567"/>
                <w:tab w:val="left" w:pos="232"/>
              </w:tabs>
              <w:spacing w:before="0"/>
              <w:rPr>
                <w:del w:id="20" w:author="Master Repository Process" w:date="2021-08-01T05:29:00Z"/>
              </w:rPr>
            </w:pPr>
            <w:del w:id="21" w:author="Master Repository Process" w:date="2021-08-01T05:29:00Z">
              <w:r>
                <w:rPr>
                  <w:sz w:val="18"/>
                  <w:szCs w:val="18"/>
                </w:rPr>
                <w:delText>●</w:delText>
              </w:r>
              <w:r>
                <w:tab/>
                <w:delText>$1 683.55</w:delText>
              </w:r>
            </w:del>
          </w:p>
          <w:p>
            <w:pPr>
              <w:pStyle w:val="TableNAm"/>
            </w:pPr>
            <w:del w:id="22" w:author="Master Repository Process" w:date="2021-08-01T05:29:00Z">
              <w:r>
                <w:rPr>
                  <w:sz w:val="18"/>
                  <w:szCs w:val="18"/>
                </w:rPr>
                <w:delText>●</w:delText>
              </w:r>
              <w:r>
                <w:tab/>
              </w:r>
            </w:del>
            <w:r>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tcPr>
          <w:p>
            <w:pPr>
              <w:pStyle w:val="TableNAm"/>
            </w:pPr>
            <w:r>
              <w:br/>
              <w:t>$11.25</w:t>
            </w:r>
          </w:p>
        </w:tc>
      </w:tr>
    </w:tbl>
    <w:p>
      <w:pPr>
        <w:pStyle w:val="Subsection"/>
        <w:rPr>
          <w:ins w:id="23" w:author="Master Repository Process" w:date="2021-08-01T05:29:00Z"/>
        </w:rPr>
      </w:pPr>
      <w:ins w:id="24" w:author="Master Repository Process" w:date="2021-08-01T05:29:00Z">
        <w:r>
          <w:tab/>
          <w:t>(2)</w:t>
        </w:r>
        <w:r>
          <w:tab/>
          <w:t>For the purposes of section 10A(4)(b) of the Act, the amount prescribed by way of penalty for a late renewal application is 25% of the renewal fee.</w:t>
        </w:r>
      </w:ins>
    </w:p>
    <w:p>
      <w:pPr>
        <w:pStyle w:val="Footnotesection"/>
        <w:spacing w:before="100"/>
        <w:ind w:left="890" w:hanging="890"/>
      </w:pPr>
      <w:r>
        <w:tab/>
        <w:t>[Regulation 4 inserted: Gazette 23 Jun 2015 p. 2171; amended: Gazette 3 Jun 2016 p. 1757; 23 Jun 2017 p. 3236; 27 Jun 2017 p. 3410; 25 Jun 2018 p. 2338</w:t>
      </w:r>
      <w:ins w:id="25" w:author="Master Repository Process" w:date="2021-08-01T05:29:00Z">
        <w:r>
          <w:t>; 25 Jun 2019 p. 2191</w:t>
        </w:r>
        <w:r>
          <w:noBreakHyphen/>
          <w:t>2</w:t>
        </w:r>
      </w:ins>
      <w:r>
        <w:t>.]</w:t>
      </w:r>
    </w:p>
    <w:p>
      <w:pPr>
        <w:pStyle w:val="Heading5"/>
        <w:rPr>
          <w:snapToGrid w:val="0"/>
        </w:rPr>
      </w:pPr>
      <w:bookmarkStart w:id="26" w:name="_Toc12278947"/>
      <w:bookmarkStart w:id="27" w:name="_Toc11760755"/>
      <w:r>
        <w:rPr>
          <w:rStyle w:val="CharSectno"/>
        </w:rPr>
        <w:t>5</w:t>
      </w:r>
      <w:r>
        <w:rPr>
          <w:snapToGrid w:val="0"/>
        </w:rPr>
        <w:t>.</w:t>
      </w:r>
      <w:r>
        <w:rPr>
          <w:snapToGrid w:val="0"/>
        </w:rPr>
        <w:tab/>
        <w:t>Transfer of licence</w:t>
      </w:r>
      <w:bookmarkEnd w:id="26"/>
      <w:bookmarkEnd w:id="2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28" w:name="_Toc12278948"/>
      <w:bookmarkStart w:id="29" w:name="_Toc11760756"/>
      <w:r>
        <w:rPr>
          <w:rStyle w:val="CharSectno"/>
        </w:rPr>
        <w:t>6</w:t>
      </w:r>
      <w:r>
        <w:t>.</w:t>
      </w:r>
      <w:r>
        <w:tab/>
        <w:t>Prescribed period for issue of licence</w:t>
      </w:r>
      <w:bookmarkEnd w:id="28"/>
      <w:bookmarkEnd w:id="29"/>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30" w:name="_Toc12278949"/>
      <w:bookmarkStart w:id="31" w:name="_Toc11760757"/>
      <w:r>
        <w:rPr>
          <w:rStyle w:val="CharSectno"/>
        </w:rPr>
        <w:t>6A</w:t>
      </w:r>
      <w:r>
        <w:t>.</w:t>
      </w:r>
      <w:r>
        <w:tab/>
        <w:t>Prescribed period for renewal of licence</w:t>
      </w:r>
      <w:bookmarkEnd w:id="30"/>
      <w:bookmarkEnd w:id="31"/>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32" w:name="_Toc12278950"/>
      <w:bookmarkStart w:id="33" w:name="_Toc11760758"/>
      <w:r>
        <w:rPr>
          <w:rStyle w:val="CharSectno"/>
        </w:rPr>
        <w:t>7</w:t>
      </w:r>
      <w:r>
        <w:rPr>
          <w:snapToGrid w:val="0"/>
        </w:rPr>
        <w:t>.</w:t>
      </w:r>
      <w:r>
        <w:rPr>
          <w:snapToGrid w:val="0"/>
        </w:rPr>
        <w:tab/>
        <w:t>Duplicate licence</w:t>
      </w:r>
      <w:bookmarkEnd w:id="32"/>
      <w:bookmarkEnd w:id="33"/>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34" w:name="_Toc12278951"/>
      <w:bookmarkStart w:id="35" w:name="_Toc11760759"/>
      <w:r>
        <w:rPr>
          <w:rStyle w:val="CharSectno"/>
        </w:rPr>
        <w:t>8</w:t>
      </w:r>
      <w:r>
        <w:rPr>
          <w:snapToGrid w:val="0"/>
        </w:rPr>
        <w:t>.</w:t>
      </w:r>
      <w:r>
        <w:rPr>
          <w:snapToGrid w:val="0"/>
        </w:rPr>
        <w:tab/>
        <w:t>Fidelity bond</w:t>
      </w:r>
      <w:bookmarkEnd w:id="34"/>
      <w:bookmarkEnd w:id="35"/>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36" w:name="_Toc12278952"/>
      <w:bookmarkStart w:id="37" w:name="_Toc11760760"/>
      <w:r>
        <w:rPr>
          <w:rStyle w:val="CharSectno"/>
        </w:rPr>
        <w:t>9</w:t>
      </w:r>
      <w:r>
        <w:rPr>
          <w:snapToGrid w:val="0"/>
        </w:rPr>
        <w:t>.</w:t>
      </w:r>
      <w:r>
        <w:rPr>
          <w:snapToGrid w:val="0"/>
        </w:rPr>
        <w:tab/>
        <w:t>Surrender of licence</w:t>
      </w:r>
      <w:bookmarkEnd w:id="36"/>
      <w:bookmarkEnd w:id="37"/>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38" w:name="_Toc12278953"/>
      <w:bookmarkStart w:id="39" w:name="_Toc11760761"/>
      <w:r>
        <w:rPr>
          <w:rStyle w:val="CharSectno"/>
        </w:rPr>
        <w:t>9A</w:t>
      </w:r>
      <w:r>
        <w:t>.</w:t>
      </w:r>
      <w:r>
        <w:tab/>
        <w:t>Refund of prescribed fee if licence surrendered</w:t>
      </w:r>
      <w:bookmarkEnd w:id="38"/>
      <w:bookmarkEnd w:id="39"/>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40" w:name="_Toc12278954"/>
      <w:bookmarkStart w:id="41" w:name="_Toc11760762"/>
      <w:r>
        <w:rPr>
          <w:rStyle w:val="CharSectno"/>
        </w:rPr>
        <w:t>10</w:t>
      </w:r>
      <w:r>
        <w:rPr>
          <w:snapToGrid w:val="0"/>
        </w:rPr>
        <w:t>.</w:t>
      </w:r>
      <w:r>
        <w:rPr>
          <w:snapToGrid w:val="0"/>
        </w:rPr>
        <w:tab/>
        <w:t>Non</w:t>
      </w:r>
      <w:r>
        <w:rPr>
          <w:snapToGrid w:val="0"/>
        </w:rPr>
        <w:noBreakHyphen/>
        <w:t>disclosure by auditor and person appointed by Minister</w:t>
      </w:r>
      <w:bookmarkEnd w:id="40"/>
      <w:bookmarkEnd w:id="41"/>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42" w:name="_Toc12278955"/>
      <w:bookmarkStart w:id="43" w:name="_Toc11760763"/>
      <w:r>
        <w:rPr>
          <w:rStyle w:val="CharSectno"/>
        </w:rPr>
        <w:t>11</w:t>
      </w:r>
      <w:r>
        <w:rPr>
          <w:snapToGrid w:val="0"/>
        </w:rPr>
        <w:t>.</w:t>
      </w:r>
      <w:r>
        <w:rPr>
          <w:snapToGrid w:val="0"/>
        </w:rPr>
        <w:tab/>
        <w:t>Offence</w:t>
      </w:r>
      <w:bookmarkEnd w:id="42"/>
      <w:bookmarkEnd w:id="4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44" w:name="_Toc12278956"/>
      <w:bookmarkStart w:id="45" w:name="_Toc11760764"/>
      <w:r>
        <w:rPr>
          <w:rStyle w:val="CharSectno"/>
        </w:rPr>
        <w:t>12</w:t>
      </w:r>
      <w:r>
        <w:t>.</w:t>
      </w:r>
      <w:r>
        <w:tab/>
        <w:t>Notification of changes in information relating to licensee</w:t>
      </w:r>
      <w:bookmarkEnd w:id="44"/>
      <w:bookmarkEnd w:id="45"/>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46" w:name="_Toc12278957"/>
      <w:bookmarkStart w:id="47" w:name="_Toc11760765"/>
      <w:r>
        <w:rPr>
          <w:rStyle w:val="CharSectno"/>
        </w:rPr>
        <w:t>13</w:t>
      </w:r>
      <w:r>
        <w:rPr>
          <w:snapToGrid w:val="0"/>
        </w:rPr>
        <w:t>.</w:t>
      </w:r>
      <w:r>
        <w:rPr>
          <w:snapToGrid w:val="0"/>
        </w:rPr>
        <w:tab/>
        <w:t>Charges by licensee</w:t>
      </w:r>
      <w:bookmarkEnd w:id="46"/>
      <w:bookmarkEnd w:id="4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8" w:name="_Toc12278958"/>
      <w:bookmarkStart w:id="49" w:name="_Toc11760766"/>
      <w:r>
        <w:rPr>
          <w:rStyle w:val="CharSectno"/>
        </w:rPr>
        <w:t>14</w:t>
      </w:r>
      <w:r>
        <w:rPr>
          <w:snapToGrid w:val="0"/>
        </w:rPr>
        <w:t>.</w:t>
      </w:r>
      <w:r>
        <w:rPr>
          <w:snapToGrid w:val="0"/>
        </w:rPr>
        <w:tab/>
        <w:t>Exemptions</w:t>
      </w:r>
      <w:bookmarkEnd w:id="48"/>
      <w:bookmarkEnd w:id="49"/>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50" w:name="_Toc12278959"/>
      <w:bookmarkStart w:id="51" w:name="_Toc11760767"/>
      <w:r>
        <w:rPr>
          <w:rStyle w:val="CharSectno"/>
        </w:rPr>
        <w:t>15</w:t>
      </w:r>
      <w:r>
        <w:rPr>
          <w:snapToGrid w:val="0"/>
        </w:rPr>
        <w:t>.</w:t>
      </w:r>
      <w:r>
        <w:rPr>
          <w:snapToGrid w:val="0"/>
        </w:rPr>
        <w:tab/>
        <w:t>Penalties</w:t>
      </w:r>
      <w:bookmarkEnd w:id="50"/>
      <w:bookmarkEnd w:id="51"/>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52" w:name="_Toc12278960"/>
      <w:bookmarkStart w:id="53" w:name="_Toc11760768"/>
      <w:r>
        <w:rPr>
          <w:rStyle w:val="CharSectno"/>
        </w:rPr>
        <w:t>16</w:t>
      </w:r>
      <w:r>
        <w:t>.</w:t>
      </w:r>
      <w:r>
        <w:tab/>
        <w:t>Infringement notices</w:t>
      </w:r>
      <w:bookmarkEnd w:id="52"/>
      <w:bookmarkEnd w:id="53"/>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4" w:name="_Toc11747405"/>
      <w:bookmarkStart w:id="55" w:name="_Toc11752931"/>
      <w:bookmarkStart w:id="56" w:name="_Toc11760769"/>
      <w:bookmarkStart w:id="57" w:name="_Toc12278961"/>
      <w:r>
        <w:rPr>
          <w:rStyle w:val="CharSchNo"/>
        </w:rPr>
        <w:t>First Schedule</w:t>
      </w:r>
      <w:bookmarkEnd w:id="54"/>
      <w:bookmarkEnd w:id="55"/>
      <w:bookmarkEnd w:id="56"/>
      <w:bookmarkEnd w:id="57"/>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59" w:name="_Toc11747406"/>
      <w:bookmarkStart w:id="60" w:name="_Toc11752932"/>
      <w:bookmarkStart w:id="61" w:name="_Toc11760770"/>
      <w:bookmarkStart w:id="62" w:name="_Toc12278962"/>
      <w:r>
        <w:rPr>
          <w:rStyle w:val="CharSchNo"/>
        </w:rPr>
        <w:t>Second Schedule</w:t>
      </w:r>
      <w:bookmarkEnd w:id="59"/>
      <w:bookmarkEnd w:id="60"/>
      <w:bookmarkEnd w:id="61"/>
      <w:bookmarkEnd w:id="62"/>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63" w:name="_Toc11747407"/>
      <w:bookmarkStart w:id="64" w:name="_Toc11752933"/>
      <w:bookmarkStart w:id="65" w:name="_Toc11760771"/>
      <w:bookmarkStart w:id="66" w:name="_Toc12278963"/>
      <w:r>
        <w:rPr>
          <w:rStyle w:val="CharSchNo"/>
        </w:rPr>
        <w:t>Third Schedule</w:t>
      </w:r>
      <w:r>
        <w:t> — </w:t>
      </w:r>
      <w:r>
        <w:rPr>
          <w:rStyle w:val="CharSchText"/>
        </w:rPr>
        <w:t>Prescribed offences and modified penalties</w:t>
      </w:r>
      <w:bookmarkEnd w:id="63"/>
      <w:bookmarkEnd w:id="64"/>
      <w:bookmarkEnd w:id="65"/>
      <w:bookmarkEnd w:id="66"/>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7" w:name="_Toc11747408"/>
      <w:bookmarkStart w:id="68" w:name="_Toc11752934"/>
      <w:bookmarkStart w:id="69" w:name="_Toc11760772"/>
      <w:bookmarkStart w:id="70" w:name="_Toc12278964"/>
      <w:r>
        <w:t>Notes</w:t>
      </w:r>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1" w:name="_Toc12278965"/>
      <w:bookmarkStart w:id="72" w:name="_Toc11760773"/>
      <w:r>
        <w:rPr>
          <w:snapToGrid w:val="0"/>
        </w:rPr>
        <w:t>Compilation table</w:t>
      </w:r>
      <w:bookmarkEnd w:id="71"/>
      <w:bookmarkEnd w:id="72"/>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6"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6"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6"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6"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6" w:type="dxa"/>
            <w:gridSpan w:val="3"/>
          </w:tcPr>
          <w:p>
            <w:pPr>
              <w:pStyle w:val="nTable"/>
              <w:spacing w:before="50" w:after="50"/>
            </w:pPr>
            <w:r>
              <w:t>1 Oct 1975</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6"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6"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6"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6"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6"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6"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6" w:type="dxa"/>
            <w:gridSpan w:val="3"/>
          </w:tcPr>
          <w:p>
            <w:pPr>
              <w:pStyle w:val="nTable"/>
              <w:spacing w:before="50" w:after="50"/>
            </w:pPr>
            <w:r>
              <w:t>14 Aug 1992</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6"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6"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6" w:type="dxa"/>
            <w:gridSpan w:val="3"/>
          </w:tcPr>
          <w:p>
            <w:pPr>
              <w:pStyle w:val="nTable"/>
              <w:spacing w:before="50" w:after="50"/>
            </w:pPr>
            <w:r>
              <w:t>22 Sep 2006 (see r. 2(a))</w:t>
            </w:r>
          </w:p>
        </w:tc>
      </w:tr>
      <w:tr>
        <w:trPr>
          <w:cantSplit/>
        </w:trPr>
        <w:tc>
          <w:tcPr>
            <w:tcW w:w="7159"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6"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6"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6"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6"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9"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6"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6"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6"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6"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6"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9"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6" w:type="dxa"/>
            <w:gridSpan w:val="3"/>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6" w:type="dxa"/>
            <w:gridSpan w:val="3"/>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6" w:type="dxa"/>
            <w:gridSpan w:val="3"/>
            <w:tcBorders>
              <w:top w:val="nil"/>
              <w:bottom w:val="nil"/>
            </w:tcBorders>
          </w:tcPr>
          <w:p>
            <w:pPr>
              <w:pStyle w:val="nTable"/>
              <w:spacing w:after="40"/>
            </w:pPr>
            <w:r>
              <w:t>1 Jul 2016 (see r. 2(b))</w:t>
            </w:r>
          </w:p>
        </w:tc>
      </w:tr>
      <w:tr>
        <w:trPr>
          <w:gridAfter w:val="1"/>
          <w:wAfter w:w="40"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40"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nil"/>
            </w:tcBorders>
          </w:tcPr>
          <w:p>
            <w:pPr>
              <w:pStyle w:val="nTable"/>
              <w:spacing w:after="40"/>
            </w:pPr>
            <w:r>
              <w:t>2 Oct 2018 p. 3794</w:t>
            </w:r>
            <w:r>
              <w:noBreakHyphen/>
              <w:t>6</w:t>
            </w:r>
          </w:p>
        </w:tc>
        <w:tc>
          <w:tcPr>
            <w:tcW w:w="2697" w:type="dxa"/>
            <w:tcBorders>
              <w:top w:val="nil"/>
              <w:bottom w:val="nil"/>
            </w:tcBorders>
          </w:tcPr>
          <w:p>
            <w:pPr>
              <w:pStyle w:val="nTable"/>
              <w:spacing w:after="40"/>
              <w:rPr>
                <w:bCs/>
                <w:snapToGrid w:val="0"/>
                <w:spacing w:val="-2"/>
              </w:rPr>
            </w:pPr>
            <w:r>
              <w:rPr>
                <w:bCs/>
                <w:snapToGrid w:val="0"/>
                <w:spacing w:val="-2"/>
              </w:rPr>
              <w:t>3 Oct 2018 (see r. 2(b))</w:t>
            </w:r>
          </w:p>
        </w:tc>
      </w:tr>
      <w:tr>
        <w:tblPrEx>
          <w:tblBorders>
            <w:top w:val="single" w:sz="8" w:space="0" w:color="auto"/>
            <w:bottom w:val="single" w:sz="4" w:space="0" w:color="auto"/>
            <w:insideH w:val="single" w:sz="8" w:space="0" w:color="auto"/>
          </w:tblBorders>
        </w:tblPrEx>
        <w:trPr>
          <w:gridAfter w:val="2"/>
          <w:wAfter w:w="59" w:type="dxa"/>
          <w:ins w:id="73" w:author="Master Repository Process" w:date="2021-08-01T05:29:00Z"/>
        </w:trPr>
        <w:tc>
          <w:tcPr>
            <w:tcW w:w="3123" w:type="dxa"/>
            <w:tcBorders>
              <w:top w:val="nil"/>
              <w:bottom w:val="single" w:sz="4" w:space="0" w:color="auto"/>
            </w:tcBorders>
          </w:tcPr>
          <w:p>
            <w:pPr>
              <w:pStyle w:val="nTable"/>
              <w:spacing w:after="40"/>
              <w:rPr>
                <w:ins w:id="74" w:author="Master Repository Process" w:date="2021-08-01T05:29:00Z"/>
                <w:i/>
              </w:rPr>
            </w:pPr>
            <w:ins w:id="75" w:author="Master Repository Process" w:date="2021-08-01T05:29:00Z">
              <w:r>
                <w:rPr>
                  <w:i/>
                </w:rPr>
                <w:t>Debt Collectors Licensing Amendment Regulations 2019</w:t>
              </w:r>
            </w:ins>
          </w:p>
        </w:tc>
        <w:tc>
          <w:tcPr>
            <w:tcW w:w="1280" w:type="dxa"/>
            <w:tcBorders>
              <w:top w:val="nil"/>
              <w:bottom w:val="single" w:sz="4" w:space="0" w:color="auto"/>
            </w:tcBorders>
          </w:tcPr>
          <w:p>
            <w:pPr>
              <w:pStyle w:val="nTable"/>
              <w:spacing w:after="40"/>
              <w:rPr>
                <w:ins w:id="76" w:author="Master Repository Process" w:date="2021-08-01T05:29:00Z"/>
              </w:rPr>
            </w:pPr>
            <w:ins w:id="77" w:author="Master Repository Process" w:date="2021-08-01T05:29:00Z">
              <w:r>
                <w:t>25 Jun 2019 p. 2191</w:t>
              </w:r>
              <w:r>
                <w:noBreakHyphen/>
                <w:t>2</w:t>
              </w:r>
            </w:ins>
          </w:p>
        </w:tc>
        <w:tc>
          <w:tcPr>
            <w:tcW w:w="2697" w:type="dxa"/>
            <w:tcBorders>
              <w:top w:val="nil"/>
              <w:bottom w:val="single" w:sz="4" w:space="0" w:color="auto"/>
            </w:tcBorders>
          </w:tcPr>
          <w:p>
            <w:pPr>
              <w:pStyle w:val="nTable"/>
              <w:spacing w:after="40"/>
              <w:rPr>
                <w:ins w:id="78" w:author="Master Repository Process" w:date="2021-08-01T05:29:00Z"/>
                <w:bCs/>
                <w:snapToGrid w:val="0"/>
                <w:spacing w:val="-2"/>
              </w:rPr>
            </w:pPr>
            <w:ins w:id="79" w:author="Master Repository Process" w:date="2021-08-01T05:29:00Z">
              <w:r>
                <w:rPr>
                  <w:bCs/>
                  <w:snapToGrid w:val="0"/>
                  <w:spacing w:val="-2"/>
                </w:rPr>
                <w:t>r. 1 and 2: 25 Jun 2019 (see r. 2(a));</w:t>
              </w:r>
              <w:r>
                <w:rPr>
                  <w:bCs/>
                  <w:snapToGrid w:val="0"/>
                  <w:spacing w:val="-2"/>
                </w:rPr>
                <w:br/>
                <w:t>Regulations other than r. 1 and 2:</w:t>
              </w:r>
            </w:ins>
          </w:p>
          <w:p>
            <w:pPr>
              <w:pStyle w:val="nTable"/>
              <w:spacing w:after="40"/>
              <w:rPr>
                <w:ins w:id="80" w:author="Master Repository Process" w:date="2021-08-01T05:29:00Z"/>
                <w:bCs/>
                <w:snapToGrid w:val="0"/>
                <w:spacing w:val="-2"/>
              </w:rPr>
            </w:pPr>
            <w:ins w:id="81" w:author="Master Repository Process" w:date="2021-08-01T05:29:00Z">
              <w:r>
                <w:rPr>
                  <w:bCs/>
                  <w:snapToGrid w:val="0"/>
                  <w:spacing w:val="-2"/>
                </w:rPr>
                <w:t>26</w:t>
              </w:r>
              <w:r>
                <w:rPr>
                  <w:bCs/>
                  <w:snapToGrid w:val="0"/>
                  <w:spacing w:val="-2"/>
                  <w:lang w:val="en-US"/>
                </w:rPr>
                <w:t> Jun 2019</w:t>
              </w:r>
              <w:r>
                <w:rPr>
                  <w:bCs/>
                  <w:snapToGrid w:val="0"/>
                  <w:spacing w:val="-2"/>
                </w:rPr>
                <w:t xml:space="preserve"> (see r. 2(b))</w:t>
              </w:r>
            </w:ins>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11750470"/>
      <w:bookmarkStart w:id="83" w:name="_Toc12278966"/>
      <w:bookmarkStart w:id="84" w:name="_Toc11760774"/>
      <w:r>
        <w:t>Provisions that have not come into operation</w:t>
      </w:r>
      <w:bookmarkEnd w:id="82"/>
      <w:bookmarkEnd w:id="83"/>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Commerce Regulations Amendment (Fees and Charges) Regulations 2019 </w:t>
            </w:r>
            <w:r>
              <w:t>Pt. 8</w:t>
            </w:r>
            <w:r>
              <w:rPr>
                <w:snapToGrid w:val="0"/>
                <w:vertAlign w:val="superscript"/>
              </w:rPr>
              <w:t> 3</w:t>
            </w:r>
          </w:p>
        </w:tc>
        <w:tc>
          <w:tcPr>
            <w:tcW w:w="1276" w:type="dxa"/>
          </w:tcPr>
          <w:p>
            <w:pPr>
              <w:pStyle w:val="nTable"/>
              <w:keepNext/>
              <w:spacing w:after="40"/>
            </w:pPr>
            <w:r>
              <w:t>18 Jun 2019 p. 2077</w:t>
            </w:r>
            <w:r>
              <w:noBreakHyphen/>
              <w:t>115</w:t>
            </w:r>
          </w:p>
        </w:tc>
        <w:tc>
          <w:tcPr>
            <w:tcW w:w="2693" w:type="dxa"/>
          </w:tcPr>
          <w:p>
            <w:pPr>
              <w:pStyle w:val="nTable"/>
              <w:keepNext/>
              <w:spacing w:after="40"/>
            </w:pPr>
            <w:r>
              <w:t>1 Jul 2019 (see r. 2(b))</w:t>
            </w:r>
          </w:p>
        </w:tc>
      </w:tr>
    </w:tbl>
    <w:p>
      <w:pPr>
        <w:pStyle w:val="nSubsection"/>
        <w:spacing w:before="120"/>
        <w:rPr>
          <w:del w:id="85" w:author="Master Repository Process" w:date="2021-08-01T05:29:00Z"/>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On the date as at which this compilation was prepared, the </w:t>
      </w:r>
      <w:r>
        <w:rPr>
          <w:i/>
        </w:rPr>
        <w:t xml:space="preserve">Commerce Regulations Amendment (Fees and Charges) Regulations 2019 </w:t>
      </w:r>
      <w:r>
        <w:t>Pt. 8 had not come into operation. It reads as follows:</w:t>
      </w:r>
    </w:p>
    <w:p>
      <w:pPr>
        <w:pStyle w:val="BlankOpen"/>
      </w:pPr>
    </w:p>
    <w:p>
      <w:pPr>
        <w:pStyle w:val="nzHeading2"/>
      </w:pPr>
      <w:r>
        <w:t>Part 8 —</w:t>
      </w:r>
      <w:r>
        <w:rPr>
          <w:rStyle w:val="CharDivText"/>
        </w:rPr>
        <w:t> </w:t>
      </w:r>
      <w:r>
        <w:t>Debt Collectors Licensing Regulations 1964 amended</w:t>
      </w:r>
    </w:p>
    <w:p>
      <w:pPr>
        <w:pStyle w:val="nzHeading5"/>
        <w:rPr>
          <w:snapToGrid w:val="0"/>
        </w:rPr>
      </w:pPr>
      <w:r>
        <w:t>15</w:t>
      </w:r>
      <w:r>
        <w:rPr>
          <w:snapToGrid w:val="0"/>
        </w:rPr>
        <w:t>.</w:t>
      </w:r>
      <w:r>
        <w:rPr>
          <w:snapToGrid w:val="0"/>
        </w:rPr>
        <w:tab/>
        <w:t>Regulations amended</w:t>
      </w:r>
    </w:p>
    <w:p>
      <w:pPr>
        <w:pStyle w:val="nzSubsection"/>
      </w:pPr>
      <w:r>
        <w:tab/>
      </w:r>
      <w:r>
        <w:tab/>
        <w:t xml:space="preserve">This Part amends the </w:t>
      </w:r>
      <w:r>
        <w:rPr>
          <w:i/>
        </w:rPr>
        <w:t>Debt Collectors Licensing Regulations 1964</w:t>
      </w:r>
      <w:r>
        <w:t>.</w:t>
      </w:r>
    </w:p>
    <w:p>
      <w:pPr>
        <w:pStyle w:val="nzHeading5"/>
      </w:pPr>
      <w:r>
        <w:t>16.</w:t>
      </w:r>
      <w:r>
        <w:tab/>
        <w:t>Regulation 4 amended</w:t>
      </w:r>
    </w:p>
    <w:p>
      <w:pPr>
        <w:pStyle w:val="nzSubsection"/>
      </w:pPr>
      <w:r>
        <w:tab/>
      </w:r>
      <w:r>
        <w:tab/>
        <w:t>In regulation 4 in the Table:</w:t>
      </w:r>
    </w:p>
    <w:p>
      <w:pPr>
        <w:pStyle w:val="nzIndenta"/>
      </w:pPr>
      <w:r>
        <w:tab/>
        <w:t>(a)</w:t>
      </w:r>
      <w:r>
        <w:tab/>
        <w:t>in item 2 delete “$343.50” and insert:</w:t>
      </w:r>
    </w:p>
    <w:p>
      <w:pPr>
        <w:pStyle w:val="BlankOpen"/>
      </w:pPr>
    </w:p>
    <w:p>
      <w:pPr>
        <w:pStyle w:val="nzIndenta"/>
      </w:pPr>
      <w:r>
        <w:tab/>
      </w:r>
      <w:r>
        <w:tab/>
        <w:t>$361.00</w:t>
      </w:r>
    </w:p>
    <w:p>
      <w:pPr>
        <w:pStyle w:val="BlankClose"/>
      </w:pPr>
    </w:p>
    <w:p>
      <w:pPr>
        <w:pStyle w:val="nzIndenta"/>
      </w:pPr>
      <w:r>
        <w:tab/>
        <w:t>(b)</w:t>
      </w:r>
      <w:r>
        <w:tab/>
        <w:t>in item 3 delete “$28.00” and insert:</w:t>
      </w:r>
    </w:p>
    <w:p>
      <w:pPr>
        <w:pStyle w:val="BlankOpen"/>
      </w:pPr>
    </w:p>
    <w:p>
      <w:pPr>
        <w:pStyle w:val="nzIndenta"/>
      </w:pPr>
      <w:r>
        <w:tab/>
      </w:r>
      <w:r>
        <w:tab/>
        <w:t>$29.50</w:t>
      </w:r>
    </w:p>
    <w:p>
      <w:pPr>
        <w:pStyle w:val="BlankClose"/>
      </w:pPr>
    </w:p>
    <w:p>
      <w:pPr>
        <w:pStyle w:val="nzIndenta"/>
      </w:pPr>
      <w:r>
        <w:tab/>
        <w:t>(c)</w:t>
      </w:r>
      <w:r>
        <w:tab/>
        <w:t>in item 4 delete “$11.25” and insert:</w:t>
      </w:r>
    </w:p>
    <w:p>
      <w:pPr>
        <w:pStyle w:val="BlankOpen"/>
      </w:pPr>
    </w:p>
    <w:p>
      <w:pPr>
        <w:pStyle w:val="nzIndenta"/>
      </w:pPr>
      <w:r>
        <w:tab/>
      </w:r>
      <w:r>
        <w:tab/>
        <w:t>$11.80</w:t>
      </w:r>
    </w:p>
    <w:p>
      <w:pPr>
        <w:pStyle w:val="BlankClose"/>
      </w:pPr>
    </w:p>
    <w:p>
      <w:pPr>
        <w:rPr>
          <w:sz w:val="2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4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B8FED607-2479-4A9E-B1E9-D2FC7954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4692</Words>
  <Characters>22901</Characters>
  <Application>Microsoft Office Word</Application>
  <DocSecurity>0</DocSecurity>
  <Lines>789</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05-i0-00 - 05-j0-00</dc:title>
  <dc:subject/>
  <dc:creator/>
  <cp:keywords/>
  <dc:description/>
  <cp:lastModifiedBy>Master Repository Process</cp:lastModifiedBy>
  <cp:revision>2</cp:revision>
  <cp:lastPrinted>2019-06-24T06:19:00Z</cp:lastPrinted>
  <dcterms:created xsi:type="dcterms:W3CDTF">2021-07-31T21:29:00Z</dcterms:created>
  <dcterms:modified xsi:type="dcterms:W3CDTF">2021-07-31T21:29:00Z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20190626</vt:lpwstr>
  </property>
  <property fmtid="{D5CDD505-2E9C-101B-9397-08002B2CF9AE}" pid="8" name="FromSuffix">
    <vt:lpwstr>05-i0-00</vt:lpwstr>
  </property>
  <property fmtid="{D5CDD505-2E9C-101B-9397-08002B2CF9AE}" pid="9" name="FromAsAtDate">
    <vt:lpwstr>18 Jun 2019</vt:lpwstr>
  </property>
  <property fmtid="{D5CDD505-2E9C-101B-9397-08002B2CF9AE}" pid="10" name="ToSuffix">
    <vt:lpwstr>05-j0-00</vt:lpwstr>
  </property>
  <property fmtid="{D5CDD505-2E9C-101B-9397-08002B2CF9AE}" pid="11" name="ToAsAtDate">
    <vt:lpwstr>26 Jun 2019</vt:lpwstr>
  </property>
</Properties>
</file>