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4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pStyle w:val="WA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27" name="Picture 27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r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>
      <w:pPr>
        <w:pStyle w:val="NameofActRegPage1"/>
        <w:spacing w:before="3760" w:after="1600"/>
        <w:outlineLvl w:val="0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spacing w:after="800"/>
        <w:jc w:val="center"/>
      </w:pPr>
      <w:r>
        <w:t>Compare between:</w:t>
      </w:r>
    </w:p>
    <w:p>
      <w:pPr>
        <w:jc w:val="center"/>
      </w:pPr>
      <w:r>
        <w:t>[</w:t>
      </w:r>
      <w:r>
        <w:fldChar w:fldCharType="begin"/>
      </w:r>
      <w:r>
        <w:instrText xml:space="preserve"> DocProperty FromAsAtDate</w:instrText>
      </w:r>
      <w:r>
        <w:fldChar w:fldCharType="separate"/>
      </w:r>
      <w:r>
        <w:t>01 Jul 2018</w:t>
      </w:r>
      <w:r>
        <w:fldChar w:fldCharType="end"/>
      </w:r>
      <w:r>
        <w:t xml:space="preserve">, </w:t>
      </w:r>
      <w:r>
        <w:fldChar w:fldCharType="begin"/>
      </w:r>
      <w:r>
        <w:instrText xml:space="preserve"> DocProperty FromSuffix </w:instrText>
      </w:r>
      <w:r>
        <w:fldChar w:fldCharType="separate"/>
      </w:r>
      <w:r>
        <w:t>03-c0-01</w:t>
      </w:r>
      <w:r>
        <w:fldChar w:fldCharType="end"/>
      </w:r>
      <w:r>
        <w:t>] and [</w:t>
      </w:r>
      <w:r>
        <w:fldChar w:fldCharType="begin"/>
      </w:r>
      <w:r>
        <w:instrText xml:space="preserve"> DocProperty ToAsAtDate</w:instrText>
      </w:r>
      <w:r>
        <w:fldChar w:fldCharType="separate"/>
      </w:r>
      <w:r>
        <w:t>01 Jul 2019</w:t>
      </w:r>
      <w:r>
        <w:fldChar w:fldCharType="end"/>
      </w:r>
      <w:r>
        <w:t xml:space="preserve">, </w:t>
      </w:r>
      <w:r>
        <w:fldChar w:fldCharType="begin"/>
      </w:r>
      <w:r>
        <w:instrText xml:space="preserve"> DocProperty ToSuffix</w:instrText>
      </w:r>
      <w:r>
        <w:fldChar w:fldCharType="separate"/>
      </w:r>
      <w:r>
        <w:t>03-d0-00</w:t>
      </w:r>
      <w:r>
        <w:fldChar w:fldCharType="end"/>
      </w:r>
      <w:r>
        <w:t>]</w:t>
      </w:r>
    </w:p>
    <w:p>
      <w:pPr>
        <w:jc w:val="center"/>
      </w:pP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  <w:r>
        <w:rPr>
          <w:rStyle w:val="CharSDivNo"/>
        </w:rPr>
        <w:t xml:space="preserve"> </w:t>
      </w:r>
      <w:r>
        <w:rPr>
          <w:rStyle w:val="CharSDivText"/>
        </w:rPr>
        <w:t xml:space="preserve"> </w:t>
      </w:r>
      <w:r>
        <w:t xml:space="preserve"> </w:t>
      </w:r>
    </w:p>
    <w:p/>
    <w:p>
      <w:pPr>
        <w:jc w:val="center"/>
        <w:sectPr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2376" w:right="2405" w:bottom="3542" w:left="2405" w:header="706" w:footer="3542" w:gutter="0"/>
          <w:pgNumType w:fmt="lowerRoman" w:start="1"/>
          <w:cols w:space="720"/>
          <w:noEndnote/>
          <w:titlePg/>
          <w:docGrid w:linePitch="326"/>
        </w:sectPr>
      </w:pPr>
    </w:p>
    <w:p>
      <w:pPr>
        <w:pStyle w:val="WA"/>
        <w:spacing w:before="12"/>
      </w:pPr>
      <w:r>
        <w:lastRenderedPageBreak/>
        <w:t>Western Australia</w:t>
      </w:r>
    </w:p>
    <w:p>
      <w:pPr>
        <w:pStyle w:val="PrincipalActReg"/>
      </w:pPr>
      <w:r>
        <w:t>Children and Community Services Act 2004</w:t>
      </w:r>
    </w:p>
    <w:p>
      <w:pPr>
        <w:pStyle w:val="NameofActReg"/>
      </w:pPr>
      <w:r>
        <w:t>Children and Community Services Regulations 2006</w:t>
      </w:r>
    </w:p>
    <w:p>
      <w:pPr>
        <w:pStyle w:val="Heading2"/>
        <w:pageBreakBefore w:val="0"/>
        <w:spacing w:before="480"/>
      </w:pPr>
      <w:bookmarkStart w:id="1" w:name="_Toc517792386"/>
      <w:bookmarkStart w:id="2" w:name="_Toc517792449"/>
      <w:bookmarkStart w:id="3" w:name="_Toc517945038"/>
      <w:bookmarkStart w:id="4" w:name="_Toc518053914"/>
      <w:bookmarkStart w:id="5" w:name="_Toc12609373"/>
      <w:r>
        <w:rPr>
          <w:rStyle w:val="CharPartNo"/>
        </w:rPr>
        <w:t>P</w:t>
      </w:r>
      <w:bookmarkStart w:id="6" w:name="_GoBack"/>
      <w:bookmarkEnd w:id="6"/>
      <w:r>
        <w:rPr>
          <w:rStyle w:val="CharPartNo"/>
        </w:rPr>
        <w:t>art 1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Preliminary</w:t>
      </w:r>
      <w:bookmarkEnd w:id="1"/>
      <w:bookmarkEnd w:id="2"/>
      <w:bookmarkEnd w:id="3"/>
      <w:bookmarkEnd w:id="4"/>
      <w:bookmarkEnd w:id="5"/>
    </w:p>
    <w:p>
      <w:pPr>
        <w:pStyle w:val="Heading5"/>
      </w:pPr>
      <w:bookmarkStart w:id="7" w:name="_Toc12609374"/>
      <w:bookmarkStart w:id="8" w:name="_Toc518053915"/>
      <w:r>
        <w:rPr>
          <w:rStyle w:val="CharSectno"/>
        </w:rPr>
        <w:t>1</w:t>
      </w:r>
      <w:r>
        <w:t>.</w:t>
      </w:r>
      <w:r>
        <w:tab/>
        <w:t>Citation</w:t>
      </w:r>
      <w:bookmarkEnd w:id="7"/>
      <w:bookmarkEnd w:id="8"/>
    </w:p>
    <w:p>
      <w:pPr>
        <w:pStyle w:val="Subsection"/>
      </w:pPr>
      <w:r>
        <w:tab/>
      </w:r>
      <w:r>
        <w:tab/>
      </w:r>
      <w:r>
        <w:rPr>
          <w:spacing w:val="-2"/>
        </w:rPr>
        <w:t>These</w:t>
      </w:r>
      <w:r>
        <w:t xml:space="preserve"> </w:t>
      </w:r>
      <w:r>
        <w:rPr>
          <w:spacing w:val="-2"/>
        </w:rPr>
        <w:t>regulations</w:t>
      </w:r>
      <w:r>
        <w:t xml:space="preserve"> are the </w:t>
      </w:r>
      <w:r>
        <w:rPr>
          <w:i/>
        </w:rPr>
        <w:t>Children and Community Services Regulations 2006</w:t>
      </w:r>
      <w:r>
        <w:rPr>
          <w:iCs/>
          <w:vertAlign w:val="superscript"/>
        </w:rPr>
        <w:t> 1</w:t>
      </w:r>
      <w:r>
        <w:t>.</w:t>
      </w:r>
    </w:p>
    <w:p>
      <w:pPr>
        <w:pStyle w:val="Heading5"/>
        <w:rPr>
          <w:spacing w:val="-2"/>
        </w:rPr>
      </w:pPr>
      <w:bookmarkStart w:id="9" w:name="_Toc12609375"/>
      <w:bookmarkStart w:id="10" w:name="_Toc518053916"/>
      <w:r>
        <w:rPr>
          <w:rStyle w:val="CharSectno"/>
        </w:rP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bookmarkEnd w:id="9"/>
      <w:bookmarkEnd w:id="10"/>
    </w:p>
    <w:p>
      <w:pPr>
        <w:pStyle w:val="Subsection"/>
        <w:rPr>
          <w:rFonts w:ascii="Times" w:hAnsi="Times"/>
        </w:rPr>
      </w:pPr>
      <w:r>
        <w:rPr>
          <w:spacing w:val="-2"/>
        </w:rPr>
        <w:tab/>
      </w:r>
      <w:r>
        <w:rPr>
          <w:spacing w:val="-2"/>
        </w:rPr>
        <w:tab/>
        <w:t>These regulations come into operation on the day on which section 250 comes into operation</w:t>
      </w:r>
      <w:r>
        <w:rPr>
          <w:iCs/>
          <w:vertAlign w:val="superscript"/>
        </w:rPr>
        <w:t> 1</w:t>
      </w:r>
      <w:r>
        <w:rPr>
          <w:rFonts w:ascii="Times" w:hAnsi="Times"/>
        </w:rPr>
        <w:t>.</w:t>
      </w:r>
    </w:p>
    <w:p>
      <w:pPr>
        <w:pStyle w:val="Heading5"/>
      </w:pPr>
      <w:bookmarkStart w:id="11" w:name="_Toc12609376"/>
      <w:bookmarkStart w:id="12" w:name="_Toc518053917"/>
      <w:r>
        <w:rPr>
          <w:rStyle w:val="CharSectno"/>
        </w:rPr>
        <w:t>3</w:t>
      </w:r>
      <w:r>
        <w:t>.</w:t>
      </w:r>
      <w:r>
        <w:tab/>
        <w:t>Terms used</w:t>
      </w:r>
      <w:bookmarkEnd w:id="11"/>
      <w:bookmarkEnd w:id="12"/>
    </w:p>
    <w:p>
      <w:pPr>
        <w:pStyle w:val="Subsection"/>
      </w:pPr>
      <w:r>
        <w:tab/>
      </w:r>
      <w:r>
        <w:tab/>
        <w:t xml:space="preserve">In these regulations, unless the contrary intention appears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President</w:t>
      </w:r>
      <w:r>
        <w:t xml:space="preserve"> means the President of the Children’s Court;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section</w:t>
      </w:r>
      <w:r>
        <w:t xml:space="preserve"> means a section of the Act.</w:t>
      </w:r>
    </w:p>
    <w:p>
      <w:pPr>
        <w:pStyle w:val="Heading2"/>
      </w:pPr>
      <w:bookmarkStart w:id="13" w:name="_Toc517792390"/>
      <w:bookmarkStart w:id="14" w:name="_Toc517792453"/>
      <w:bookmarkStart w:id="15" w:name="_Toc517945042"/>
      <w:bookmarkStart w:id="16" w:name="_Toc518053918"/>
      <w:bookmarkStart w:id="17" w:name="_Toc12609377"/>
      <w:r>
        <w:rPr>
          <w:rStyle w:val="CharPartNo"/>
        </w:rPr>
        <w:lastRenderedPageBreak/>
        <w:t>Part 2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Children in the CEO’s care</w:t>
      </w:r>
      <w:bookmarkEnd w:id="13"/>
      <w:bookmarkEnd w:id="14"/>
      <w:bookmarkEnd w:id="15"/>
      <w:bookmarkEnd w:id="16"/>
      <w:bookmarkEnd w:id="17"/>
    </w:p>
    <w:p>
      <w:pPr>
        <w:pStyle w:val="Heading5"/>
      </w:pPr>
      <w:bookmarkStart w:id="18" w:name="_Toc12609378"/>
      <w:bookmarkStart w:id="19" w:name="_Toc518053919"/>
      <w:r>
        <w:rPr>
          <w:rStyle w:val="CharSectno"/>
        </w:rPr>
        <w:t>4</w:t>
      </w:r>
      <w:r>
        <w:t>.</w:t>
      </w:r>
      <w:r>
        <w:tab/>
        <w:t>Approval of carers (Act s. 79(2)(a)(i))</w:t>
      </w:r>
      <w:bookmarkEnd w:id="18"/>
      <w:bookmarkEnd w:id="19"/>
    </w:p>
    <w:p>
      <w:pPr>
        <w:pStyle w:val="Subsection"/>
      </w:pPr>
      <w:r>
        <w:tab/>
        <w:t>(1)</w:t>
      </w:r>
      <w:r>
        <w:tab/>
        <w:t xml:space="preserve">The CEO may approve an individual for the purposes of section 79(2)(a)(i) if — </w:t>
      </w:r>
    </w:p>
    <w:p>
      <w:pPr>
        <w:pStyle w:val="Indenta"/>
      </w:pPr>
      <w:r>
        <w:tab/>
        <w:t>(a)</w:t>
      </w:r>
      <w:r>
        <w:tab/>
        <w:t xml:space="preserve">the CEO is satisfied that the individual — </w:t>
      </w:r>
    </w:p>
    <w:p>
      <w:pPr>
        <w:pStyle w:val="Indenti"/>
      </w:pPr>
      <w:r>
        <w:tab/>
        <w:t>(i)</w:t>
      </w:r>
      <w:r>
        <w:tab/>
        <w:t>is able to provide care for a child in a way that promotes the wellbeing of the child, promotes the child’s family and interpersonal relationships, and protects the child from harm; and</w:t>
      </w:r>
    </w:p>
    <w:p>
      <w:pPr>
        <w:pStyle w:val="Indenti"/>
      </w:pPr>
      <w:r>
        <w:tab/>
        <w:t>(ii)</w:t>
      </w:r>
      <w:r>
        <w:tab/>
        <w:t>is able to provide a safe living environment for a child; and</w:t>
      </w:r>
    </w:p>
    <w:p>
      <w:pPr>
        <w:pStyle w:val="Indenti"/>
      </w:pPr>
      <w:r>
        <w:tab/>
        <w:t>(iii)</w:t>
      </w:r>
      <w:r>
        <w:tab/>
        <w:t>is able to work cooperatively with officers, a child’s family and other people when providing care for a child; and</w:t>
      </w:r>
    </w:p>
    <w:p>
      <w:pPr>
        <w:pStyle w:val="Indenti"/>
      </w:pPr>
      <w:r>
        <w:tab/>
        <w:t>(iv)</w:t>
      </w:r>
      <w:r>
        <w:tab/>
        <w:t>is able to take responsibility for the development of his or her competency and skills as a carer; and</w:t>
      </w:r>
    </w:p>
    <w:p>
      <w:pPr>
        <w:pStyle w:val="Indenti"/>
      </w:pPr>
      <w:r>
        <w:tab/>
        <w:t>(v)</w:t>
      </w:r>
      <w:r>
        <w:tab/>
        <w:t>is a person of good character and repute;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not been issued to the individual under the </w:t>
      </w:r>
      <w:r>
        <w:rPr>
          <w:i/>
          <w:iCs/>
        </w:rPr>
        <w:t>Working with Children (Criminal Record Checking) Act 2004</w:t>
      </w:r>
      <w:r>
        <w:t>.</w:t>
      </w:r>
    </w:p>
    <w:p>
      <w:pPr>
        <w:pStyle w:val="Subsection"/>
      </w:pPr>
      <w:r>
        <w:tab/>
        <w:t>(2)</w:t>
      </w:r>
      <w:r>
        <w:tab/>
        <w:t xml:space="preserve">The CEO may, subject to subregulation (3), revoke an approval under subregulation (1) if — </w:t>
      </w:r>
    </w:p>
    <w:p>
      <w:pPr>
        <w:pStyle w:val="Indenta"/>
      </w:pPr>
      <w:r>
        <w:tab/>
        <w:t>(a)</w:t>
      </w:r>
      <w:r>
        <w:tab/>
        <w:t>the CEO can no longer be satisfied as to a matter referred to in subregulation (1)(a) in relation to the individual; or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been issued to the individual under the </w:t>
      </w:r>
      <w:r>
        <w:rPr>
          <w:i/>
          <w:iCs/>
        </w:rPr>
        <w:t>Working with Children (Criminal Record Checking) Act 2004</w:t>
      </w:r>
      <w:r>
        <w:t>; or</w:t>
      </w:r>
    </w:p>
    <w:p>
      <w:pPr>
        <w:pStyle w:val="Indenta"/>
      </w:pPr>
      <w:r>
        <w:tab/>
        <w:t>(c)</w:t>
      </w:r>
      <w:r>
        <w:tab/>
        <w:t>there are reasonable grounds for believing that the approval was obtained improperly.</w:t>
      </w:r>
    </w:p>
    <w:p>
      <w:pPr>
        <w:pStyle w:val="Subsection"/>
      </w:pPr>
      <w:r>
        <w:tab/>
        <w:t>(3)</w:t>
      </w:r>
      <w:r>
        <w:tab/>
        <w:t xml:space="preserve">Before revoking an approval the CEO must — </w:t>
      </w:r>
    </w:p>
    <w:p>
      <w:pPr>
        <w:pStyle w:val="Indenta"/>
      </w:pPr>
      <w:r>
        <w:tab/>
        <w:t>(a)</w:t>
      </w:r>
      <w:r>
        <w:tab/>
        <w:t xml:space="preserve">give a written notice to the individual — </w:t>
      </w:r>
    </w:p>
    <w:p>
      <w:pPr>
        <w:pStyle w:val="Indenti"/>
      </w:pPr>
      <w:r>
        <w:tab/>
        <w:t>(i)</w:t>
      </w:r>
      <w:r>
        <w:tab/>
        <w:t>stating the reasons for the proposed revocation; and</w:t>
      </w:r>
    </w:p>
    <w:p>
      <w:pPr>
        <w:pStyle w:val="Indenti"/>
      </w:pPr>
      <w:r>
        <w:tab/>
        <w:t>(ii)</w:t>
      </w:r>
      <w:r>
        <w:tab/>
        <w:t>informing the individual that the individual is entitled to make representations to the CEO in respect of the proposed revocation within 28 days after receipt of the notice;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have regard to any representations made within the period referred to in paragraph (a)(ii).</w:t>
      </w:r>
    </w:p>
    <w:p>
      <w:pPr>
        <w:pStyle w:val="Heading5"/>
      </w:pPr>
      <w:bookmarkStart w:id="20" w:name="_Toc12609379"/>
      <w:bookmarkStart w:id="21" w:name="_Toc518053920"/>
      <w:r>
        <w:rPr>
          <w:rStyle w:val="CharSectno"/>
        </w:rPr>
        <w:t>5</w:t>
      </w:r>
      <w:r>
        <w:t>.</w:t>
      </w:r>
      <w:r>
        <w:tab/>
        <w:t>Records, prescribed information for (Act s. 128)</w:t>
      </w:r>
      <w:bookmarkEnd w:id="20"/>
      <w:bookmarkEnd w:id="21"/>
    </w:p>
    <w:p>
      <w:pPr>
        <w:pStyle w:val="Subsection"/>
      </w:pPr>
      <w:r>
        <w:tab/>
        <w:t>(1)</w:t>
      </w:r>
      <w:r>
        <w:tab/>
        <w:t xml:space="preserve">The following information is prescribed for the purposes of section 128 — </w:t>
      </w:r>
    </w:p>
    <w:p>
      <w:pPr>
        <w:pStyle w:val="Indenta"/>
      </w:pPr>
      <w:r>
        <w:tab/>
        <w:t>(a)</w:t>
      </w:r>
      <w:r>
        <w:tab/>
        <w:t>the child’s name;</w:t>
      </w:r>
    </w:p>
    <w:p>
      <w:pPr>
        <w:pStyle w:val="Indenta"/>
      </w:pPr>
      <w:r>
        <w:tab/>
        <w:t>(b)</w:t>
      </w:r>
      <w:r>
        <w:tab/>
        <w:t>the child’s date of birth and place of birth to the extent that such information is available;</w:t>
      </w:r>
    </w:p>
    <w:p>
      <w:pPr>
        <w:pStyle w:val="Indenta"/>
      </w:pPr>
      <w:r>
        <w:tab/>
        <w:t>(c)</w:t>
      </w:r>
      <w:r>
        <w:tab/>
        <w:t>a copy of the child’s care plan or provisional care plan and any modifications to it;</w:t>
      </w:r>
    </w:p>
    <w:p>
      <w:pPr>
        <w:pStyle w:val="Indenta"/>
      </w:pPr>
      <w:r>
        <w:tab/>
        <w:t>(d)</w:t>
      </w:r>
      <w:r>
        <w:tab/>
        <w:t xml:space="preserve">information about the child’s health, including a copy of any medical records and immunisation records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(e)</w:t>
      </w:r>
      <w:r>
        <w:tab/>
        <w:t xml:space="preserve">information about the child’s education, including a copy of any school reports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(f)</w:t>
      </w:r>
      <w:r>
        <w:tab/>
        <w:t>information about the child’s cultural, ethnic, religious and family background to the extent that such information is available;</w:t>
      </w:r>
    </w:p>
    <w:p>
      <w:pPr>
        <w:pStyle w:val="Indenta"/>
      </w:pPr>
      <w:r>
        <w:tab/>
        <w:t>(g)</w:t>
      </w:r>
      <w:r>
        <w:tab/>
        <w:t>any other information considered by the CEO to be relevant to the child.</w:t>
      </w:r>
    </w:p>
    <w:p>
      <w:pPr>
        <w:pStyle w:val="Subsection"/>
      </w:pPr>
      <w:r>
        <w:tab/>
        <w:t>(2)</w:t>
      </w:r>
      <w:r>
        <w:tab/>
        <w:t xml:space="preserve">In subregulation (1)(c)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care plan</w:t>
      </w:r>
      <w:r>
        <w:t xml:space="preserve"> has the meaning given to that term in section 89(1);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provisional care plan</w:t>
      </w:r>
      <w:r>
        <w:t xml:space="preserve"> has the meaning given to that term in section 39(1).</w:t>
      </w:r>
    </w:p>
    <w:p>
      <w:pPr>
        <w:pStyle w:val="Heading2"/>
      </w:pPr>
      <w:bookmarkStart w:id="22" w:name="_Toc517792393"/>
      <w:bookmarkStart w:id="23" w:name="_Toc517792456"/>
      <w:bookmarkStart w:id="24" w:name="_Toc517945045"/>
      <w:bookmarkStart w:id="25" w:name="_Toc518053921"/>
      <w:bookmarkStart w:id="26" w:name="_Toc12609380"/>
      <w:r>
        <w:rPr>
          <w:rStyle w:val="CharPartNo"/>
        </w:rPr>
        <w:t>Part 3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Restraint, search and seizure</w:t>
      </w:r>
      <w:bookmarkEnd w:id="22"/>
      <w:bookmarkEnd w:id="23"/>
      <w:bookmarkEnd w:id="24"/>
      <w:bookmarkEnd w:id="25"/>
      <w:bookmarkEnd w:id="26"/>
    </w:p>
    <w:p>
      <w:pPr>
        <w:pStyle w:val="Heading5"/>
      </w:pPr>
      <w:bookmarkStart w:id="27" w:name="_Toc12609381"/>
      <w:bookmarkStart w:id="28" w:name="_Toc518053922"/>
      <w:r>
        <w:rPr>
          <w:rStyle w:val="CharSectno"/>
        </w:rPr>
        <w:t>6</w:t>
      </w:r>
      <w:r>
        <w:t>.</w:t>
      </w:r>
      <w:r>
        <w:tab/>
        <w:t>Prescribed amount (Act s. 112 “disposable article”)</w:t>
      </w:r>
      <w:bookmarkEnd w:id="27"/>
      <w:bookmarkEnd w:id="28"/>
    </w:p>
    <w:p>
      <w:pPr>
        <w:pStyle w:val="Subsection"/>
      </w:pPr>
      <w:r>
        <w:tab/>
      </w:r>
      <w:r>
        <w:tab/>
        <w:t xml:space="preserve">For the purposes of paragraph (c) of the definition of </w:t>
      </w:r>
      <w:r>
        <w:rPr>
          <w:b/>
          <w:i/>
        </w:rPr>
        <w:t>disposable article</w:t>
      </w:r>
      <w:r>
        <w:t xml:space="preserve"> in section 112 the amount of $30 is prescribed.</w:t>
      </w:r>
    </w:p>
    <w:p>
      <w:pPr>
        <w:pStyle w:val="Heading5"/>
      </w:pPr>
      <w:bookmarkStart w:id="29" w:name="_Toc12609382"/>
      <w:bookmarkStart w:id="30" w:name="_Toc518053923"/>
      <w:r>
        <w:rPr>
          <w:rStyle w:val="CharSectno"/>
        </w:rPr>
        <w:t>7</w:t>
      </w:r>
      <w:r>
        <w:t>.</w:t>
      </w:r>
      <w:r>
        <w:tab/>
        <w:t>Restraint of child under Act s. 114, officer’s duties after</w:t>
      </w:r>
      <w:bookmarkEnd w:id="29"/>
      <w:bookmarkEnd w:id="30"/>
    </w:p>
    <w:p>
      <w:pPr>
        <w:pStyle w:val="Subsection"/>
      </w:pPr>
      <w:r>
        <w:tab/>
      </w:r>
      <w:r>
        <w:tab/>
        <w:t xml:space="preserve">An authorised officer who restrains a child in the exercise of the power conferred by section 114 (the </w:t>
      </w:r>
      <w:r>
        <w:rPr>
          <w:rStyle w:val="CharDefText"/>
        </w:rPr>
        <w:t>incident</w:t>
      </w:r>
      <w:r>
        <w:t xml:space="preserve">) must — </w:t>
      </w:r>
    </w:p>
    <w:p>
      <w:pPr>
        <w:pStyle w:val="Indenta"/>
      </w:pPr>
      <w:r>
        <w:tab/>
        <w:t>(a)</w:t>
      </w:r>
      <w:r>
        <w:tab/>
        <w:t>record the date and time of the incident; and</w:t>
      </w:r>
    </w:p>
    <w:p>
      <w:pPr>
        <w:pStyle w:val="Indenta"/>
      </w:pPr>
      <w:r>
        <w:tab/>
        <w:t>(b)</w:t>
      </w:r>
      <w:r>
        <w:tab/>
        <w:t>give the CEO a written report on the incident as soon as practicable after it occurs.</w:t>
      </w:r>
    </w:p>
    <w:p>
      <w:pPr>
        <w:pStyle w:val="Heading5"/>
      </w:pPr>
      <w:bookmarkStart w:id="31" w:name="_Toc12609383"/>
      <w:bookmarkStart w:id="32" w:name="_Toc518053924"/>
      <w:r>
        <w:rPr>
          <w:rStyle w:val="CharSectno"/>
        </w:rPr>
        <w:t>8</w:t>
      </w:r>
      <w:r>
        <w:t>.</w:t>
      </w:r>
      <w:r>
        <w:tab/>
        <w:t>Articles seized under Act s. 116, dealing with</w:t>
      </w:r>
      <w:bookmarkEnd w:id="31"/>
      <w:bookmarkEnd w:id="32"/>
    </w:p>
    <w:p>
      <w:pPr>
        <w:pStyle w:val="Subsection"/>
      </w:pPr>
      <w:r>
        <w:tab/>
        <w:t>(1)</w:t>
      </w:r>
      <w:r>
        <w:tab/>
        <w:t xml:space="preserve">In this regulation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seized article</w:t>
      </w:r>
      <w:r>
        <w:t xml:space="preserve"> means a thing or substance seized under section 116.</w:t>
      </w:r>
    </w:p>
    <w:p>
      <w:pPr>
        <w:pStyle w:val="Subsection"/>
      </w:pPr>
      <w:r>
        <w:tab/>
        <w:t>(2)</w:t>
      </w:r>
      <w:r>
        <w:tab/>
        <w:t>This regulation applies if it is not reasonably practicable for an officer to return a seized article to a child.</w:t>
      </w:r>
    </w:p>
    <w:p>
      <w:pPr>
        <w:pStyle w:val="Subsection"/>
      </w:pPr>
      <w:r>
        <w:tab/>
        <w:t>(3)</w:t>
      </w:r>
      <w:r>
        <w:tab/>
        <w:t>The CEO may direct that the seized article be sold or destroyed or disposed of in some other way.</w:t>
      </w:r>
    </w:p>
    <w:p>
      <w:pPr>
        <w:pStyle w:val="Subsection"/>
      </w:pPr>
      <w:r>
        <w:tab/>
        <w:t>(4)</w:t>
      </w:r>
      <w:r>
        <w:tab/>
        <w:t>If the CEO issues a direction under subregulation (3), the officer must arrange for the sale, destruction or disposal of the seized article in accordance with the direction.</w:t>
      </w:r>
    </w:p>
    <w:p>
      <w:pPr>
        <w:pStyle w:val="Subsection"/>
      </w:pPr>
      <w:r>
        <w:tab/>
        <w:t>(5)</w:t>
      </w:r>
      <w:r>
        <w:tab/>
        <w:t>If the seized article is sold, the proceeds of the sale, after the deduction of the reasonable costs of the sale, must be credited to the Consolidated Account</w:t>
      </w:r>
      <w:r>
        <w:rPr>
          <w:iCs/>
          <w:vertAlign w:val="superscript"/>
        </w:rPr>
        <w:t> 2</w:t>
      </w:r>
      <w:r>
        <w:t>.</w:t>
      </w:r>
    </w:p>
    <w:p>
      <w:pPr>
        <w:pStyle w:val="Heading2"/>
      </w:pPr>
      <w:bookmarkStart w:id="33" w:name="_Toc517792397"/>
      <w:bookmarkStart w:id="34" w:name="_Toc517792460"/>
      <w:bookmarkStart w:id="35" w:name="_Toc517945049"/>
      <w:bookmarkStart w:id="36" w:name="_Toc518053925"/>
      <w:bookmarkStart w:id="37" w:name="_Toc12609384"/>
      <w:r>
        <w:rPr>
          <w:rStyle w:val="CharPartNo"/>
        </w:rP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Warrants</w:t>
      </w:r>
      <w:bookmarkEnd w:id="33"/>
      <w:bookmarkEnd w:id="34"/>
      <w:bookmarkEnd w:id="35"/>
      <w:bookmarkEnd w:id="36"/>
      <w:bookmarkEnd w:id="37"/>
    </w:p>
    <w:p>
      <w:pPr>
        <w:pStyle w:val="Footnoteheading"/>
      </w:pPr>
      <w:r>
        <w:tab/>
        <w:t>Heading inserted: Gazette 19 Jun 2009 p. 2226.]</w:t>
      </w:r>
    </w:p>
    <w:p>
      <w:pPr>
        <w:pStyle w:val="Heading5"/>
      </w:pPr>
      <w:bookmarkStart w:id="38" w:name="_Toc12609385"/>
      <w:bookmarkStart w:id="39" w:name="_Toc518053926"/>
      <w:r>
        <w:rPr>
          <w:rStyle w:val="CharSectno"/>
        </w:rPr>
        <w:t>9AA</w:t>
      </w:r>
      <w:r>
        <w:t>.</w:t>
      </w:r>
      <w:r>
        <w:tab/>
        <w:t>Form of warrant (access) (Act s. 121(1))</w:t>
      </w:r>
      <w:bookmarkEnd w:id="38"/>
      <w:bookmarkEnd w:id="39"/>
    </w:p>
    <w:p>
      <w:pPr>
        <w:pStyle w:val="Subsection"/>
      </w:pPr>
      <w:r>
        <w:tab/>
      </w:r>
      <w:r>
        <w:tab/>
        <w:t>A warrant (access) as defined in section 121(1) is to be in the form of Schedule 1 Form 1.</w:t>
      </w:r>
    </w:p>
    <w:p>
      <w:pPr>
        <w:pStyle w:val="Footnotesection"/>
      </w:pPr>
      <w:r>
        <w:tab/>
        <w:t>[Regulation 9AA inserted: Gazette 19 Jun 2009 p. 2226.]</w:t>
      </w:r>
    </w:p>
    <w:p>
      <w:pPr>
        <w:pStyle w:val="Heading5"/>
      </w:pPr>
      <w:bookmarkStart w:id="40" w:name="_Toc12609386"/>
      <w:bookmarkStart w:id="41" w:name="_Toc518053927"/>
      <w:r>
        <w:rPr>
          <w:rStyle w:val="CharSectno"/>
        </w:rPr>
        <w:t>9AB</w:t>
      </w:r>
      <w:r>
        <w:t>.</w:t>
      </w:r>
      <w:r>
        <w:tab/>
        <w:t>Form of warrant (apprehension) (Act s. 122(1))</w:t>
      </w:r>
      <w:bookmarkEnd w:id="40"/>
      <w:bookmarkEnd w:id="41"/>
    </w:p>
    <w:p>
      <w:pPr>
        <w:pStyle w:val="Subsection"/>
      </w:pPr>
      <w:r>
        <w:tab/>
      </w:r>
      <w:r>
        <w:tab/>
        <w:t>A warrant (apprehension) as defined in section 122(1) is to be in the form of Schedule 1 Form 2.</w:t>
      </w:r>
    </w:p>
    <w:p>
      <w:pPr>
        <w:pStyle w:val="Footnotesection"/>
      </w:pPr>
      <w:r>
        <w:tab/>
        <w:t>[Regulation 9AB inserted: Gazette 19 Jun 2009 p. 2226.]</w:t>
      </w:r>
    </w:p>
    <w:p>
      <w:pPr>
        <w:pStyle w:val="Heading5"/>
      </w:pPr>
      <w:bookmarkStart w:id="42" w:name="_Toc12609387"/>
      <w:bookmarkStart w:id="43" w:name="_Toc518053928"/>
      <w:r>
        <w:rPr>
          <w:rStyle w:val="CharSectno"/>
        </w:rPr>
        <w:t>9AC</w:t>
      </w:r>
      <w:r>
        <w:t>.</w:t>
      </w:r>
      <w:r>
        <w:tab/>
        <w:t>Form of warrant (provisional protection and care) (Act s. 123(1))</w:t>
      </w:r>
      <w:bookmarkEnd w:id="42"/>
      <w:bookmarkEnd w:id="43"/>
    </w:p>
    <w:p>
      <w:pPr>
        <w:pStyle w:val="Subsection"/>
      </w:pPr>
      <w:r>
        <w:tab/>
      </w:r>
      <w:r>
        <w:tab/>
        <w:t>A warrant (provisional protection and care) as defined in section 123(1) is to be in the form of Schedule 1 Form 3.</w:t>
      </w:r>
    </w:p>
    <w:p>
      <w:pPr>
        <w:pStyle w:val="Footnotesection"/>
      </w:pPr>
      <w:r>
        <w:tab/>
        <w:t>[Regulation 9AC inserted: Gazette 19 Jun 2009 p. 2226.]</w:t>
      </w:r>
    </w:p>
    <w:p>
      <w:pPr>
        <w:pStyle w:val="Ednotepart"/>
      </w:pPr>
      <w:r>
        <w:t>[Part 4A (r. 9A) deleted: Gazette 18 Jan 2011 p. 145.]</w:t>
      </w:r>
    </w:p>
    <w:p>
      <w:pPr>
        <w:pStyle w:val="Heading2"/>
      </w:pPr>
      <w:bookmarkStart w:id="44" w:name="_Toc517792401"/>
      <w:bookmarkStart w:id="45" w:name="_Toc517792464"/>
      <w:bookmarkStart w:id="46" w:name="_Toc517945053"/>
      <w:bookmarkStart w:id="47" w:name="_Toc518053929"/>
      <w:bookmarkStart w:id="48" w:name="_Toc12609388"/>
      <w:r>
        <w:rPr>
          <w:rStyle w:val="CharPartNo"/>
        </w:rPr>
        <w:t>Part 4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</w:t>
      </w:r>
      <w:r>
        <w:rPr>
          <w:rStyle w:val="CharPartText"/>
        </w:rPr>
        <w:noBreakHyphen/>
        <w:t>hearing conferences</w:t>
      </w:r>
      <w:bookmarkEnd w:id="44"/>
      <w:bookmarkEnd w:id="45"/>
      <w:bookmarkEnd w:id="46"/>
      <w:bookmarkEnd w:id="47"/>
      <w:bookmarkEnd w:id="48"/>
    </w:p>
    <w:p>
      <w:pPr>
        <w:pStyle w:val="Heading5"/>
      </w:pPr>
      <w:bookmarkStart w:id="49" w:name="_Toc12609389"/>
      <w:bookmarkStart w:id="50" w:name="_Toc518053930"/>
      <w:r>
        <w:rPr>
          <w:rStyle w:val="CharSectno"/>
        </w:rPr>
        <w:t>9</w:t>
      </w:r>
      <w:r>
        <w:t>.</w:t>
      </w:r>
      <w:r>
        <w:tab/>
        <w:t>Terms used</w:t>
      </w:r>
      <w:bookmarkEnd w:id="49"/>
      <w:bookmarkEnd w:id="50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audio link</w:t>
      </w:r>
      <w:r>
        <w:t xml:space="preserve"> means facilities, including telephones, that enable, at the same time, the convenor and other people present at a pre</w:t>
      </w:r>
      <w:r>
        <w:noBreakHyphen/>
        <w:t>hearing conference to hear a person at another place and vice versa;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video link</w:t>
      </w:r>
      <w:r>
        <w:t xml:space="preserve"> means facilities that enable, at the same time, the convenor and other people present at a pre</w:t>
      </w:r>
      <w:r>
        <w:noBreakHyphen/>
        <w:t>hearing conference to see and hear a person at another place and vice versa.</w:t>
      </w:r>
    </w:p>
    <w:p>
      <w:pPr>
        <w:pStyle w:val="Heading5"/>
      </w:pPr>
      <w:bookmarkStart w:id="51" w:name="_Toc12609390"/>
      <w:bookmarkStart w:id="52" w:name="_Toc518053931"/>
      <w:r>
        <w:rPr>
          <w:rStyle w:val="CharSectno"/>
        </w:rPr>
        <w:t>10</w:t>
      </w:r>
      <w:r>
        <w:t>.</w:t>
      </w:r>
      <w:r>
        <w:tab/>
        <w:t>Convenors, appointment of (Act s. 136)</w:t>
      </w:r>
      <w:bookmarkEnd w:id="51"/>
      <w:bookmarkEnd w:id="52"/>
    </w:p>
    <w:p>
      <w:pPr>
        <w:pStyle w:val="Subsection"/>
      </w:pPr>
      <w:r>
        <w:tab/>
      </w:r>
      <w:r>
        <w:tab/>
        <w:t xml:space="preserve">For the purposes of section 136 the President may appoint as a convenor — </w:t>
      </w:r>
    </w:p>
    <w:p>
      <w:pPr>
        <w:pStyle w:val="Indenta"/>
      </w:pPr>
      <w:r>
        <w:tab/>
        <w:t>(a)</w:t>
      </w:r>
      <w:r>
        <w:tab/>
        <w:t>a person by virtue of the office or position held by the person in the Court; or</w:t>
      </w:r>
    </w:p>
    <w:p>
      <w:pPr>
        <w:pStyle w:val="Indenta"/>
      </w:pPr>
      <w:r>
        <w:tab/>
        <w:t>(b)</w:t>
      </w:r>
      <w:r>
        <w:tab/>
        <w:t>a person who, in the opinion of the President, has appropriate qualifications and experience.</w:t>
      </w:r>
    </w:p>
    <w:p>
      <w:pPr>
        <w:pStyle w:val="Heading5"/>
      </w:pPr>
      <w:bookmarkStart w:id="53" w:name="_Toc12609391"/>
      <w:bookmarkStart w:id="54" w:name="_Toc518053932"/>
      <w:r>
        <w:rPr>
          <w:rStyle w:val="CharSectno"/>
        </w:rPr>
        <w:t>11</w:t>
      </w:r>
      <w:r>
        <w:t>.</w:t>
      </w:r>
      <w:r>
        <w:tab/>
        <w:t>Terms and conditions of convenors’ appointments</w:t>
      </w:r>
      <w:bookmarkEnd w:id="53"/>
      <w:bookmarkEnd w:id="54"/>
    </w:p>
    <w:p>
      <w:pPr>
        <w:pStyle w:val="Subsection"/>
      </w:pPr>
      <w:r>
        <w:tab/>
        <w:t>(1)</w:t>
      </w:r>
      <w:r>
        <w:tab/>
        <w:t>A convenor appointed under regulation 10(b) holds office for the period, not exceeding 3 years, specified in his or her instrument of appointment and is eligible for reappointment.</w:t>
      </w:r>
    </w:p>
    <w:p>
      <w:pPr>
        <w:pStyle w:val="Subsection"/>
      </w:pPr>
      <w:r>
        <w:tab/>
        <w:t>(2)</w:t>
      </w:r>
      <w:r>
        <w:tab/>
        <w:t>The remuneration, allowances, and other terms and conditions of appointment, of a convenor appointed under regulation 10(b) are as described in his or her instrument of appointment.</w:t>
      </w:r>
    </w:p>
    <w:p>
      <w:pPr>
        <w:pStyle w:val="Heading5"/>
      </w:pPr>
      <w:bookmarkStart w:id="55" w:name="_Toc12609392"/>
      <w:bookmarkStart w:id="56" w:name="_Toc518053933"/>
      <w:r>
        <w:rPr>
          <w:rStyle w:val="CharSectno"/>
        </w:rPr>
        <w:t>12</w:t>
      </w:r>
      <w:r>
        <w:t>.</w:t>
      </w:r>
      <w:r>
        <w:tab/>
        <w:t>Resignation by convenor</w:t>
      </w:r>
      <w:bookmarkEnd w:id="55"/>
      <w:bookmarkEnd w:id="56"/>
    </w:p>
    <w:p>
      <w:pPr>
        <w:pStyle w:val="Subsection"/>
      </w:pPr>
      <w:r>
        <w:tab/>
      </w:r>
      <w:r>
        <w:tab/>
        <w:t>A convenor appointed under regulation 10(b) may resign from office by giving the President a signed letter of resignation.</w:t>
      </w:r>
    </w:p>
    <w:p>
      <w:pPr>
        <w:pStyle w:val="Heading5"/>
      </w:pPr>
      <w:bookmarkStart w:id="57" w:name="_Toc12609393"/>
      <w:bookmarkStart w:id="58" w:name="_Toc518053934"/>
      <w:r>
        <w:rPr>
          <w:rStyle w:val="CharSectno"/>
        </w:rPr>
        <w:t>13</w:t>
      </w:r>
      <w:r>
        <w:t>.</w:t>
      </w:r>
      <w:r>
        <w:tab/>
        <w:t>Removing convenor from office</w:t>
      </w:r>
      <w:bookmarkEnd w:id="57"/>
      <w:bookmarkEnd w:id="58"/>
    </w:p>
    <w:p>
      <w:pPr>
        <w:pStyle w:val="Subsection"/>
      </w:pPr>
      <w:r>
        <w:tab/>
      </w:r>
      <w:r>
        <w:tab/>
        <w:t>The President may remove a convenor appointed under regulation 10(b) from office at any time.</w:t>
      </w:r>
    </w:p>
    <w:p>
      <w:pPr>
        <w:pStyle w:val="Heading5"/>
      </w:pPr>
      <w:bookmarkStart w:id="59" w:name="_Toc12609394"/>
      <w:bookmarkStart w:id="60" w:name="_Toc518053935"/>
      <w:r>
        <w:rPr>
          <w:rStyle w:val="CharSectno"/>
        </w:rPr>
        <w:t>14</w:t>
      </w:r>
      <w:r>
        <w:t>.</w:t>
      </w:r>
      <w:r>
        <w:tab/>
        <w:t>People who may attend pre</w:t>
      </w:r>
      <w:r>
        <w:noBreakHyphen/>
        <w:t>hearing conference</w:t>
      </w:r>
      <w:bookmarkEnd w:id="59"/>
      <w:bookmarkEnd w:id="60"/>
    </w:p>
    <w:p>
      <w:pPr>
        <w:pStyle w:val="Subsection"/>
      </w:pPr>
      <w:r>
        <w:tab/>
        <w:t>(1)</w:t>
      </w:r>
      <w:r>
        <w:tab/>
        <w:t>The following people may attend a pre</w:t>
      </w:r>
      <w:r>
        <w:noBreakHyphen/>
        <w:t xml:space="preserve">hearing conference — </w:t>
      </w:r>
    </w:p>
    <w:p>
      <w:pPr>
        <w:pStyle w:val="Indenta"/>
      </w:pPr>
      <w:r>
        <w:tab/>
        <w:t>(a)</w:t>
      </w:r>
      <w:r>
        <w:tab/>
        <w:t>the child unless the convenor of the conference otherwise directs;</w:t>
      </w:r>
    </w:p>
    <w:p>
      <w:pPr>
        <w:pStyle w:val="Indenta"/>
      </w:pPr>
      <w:r>
        <w:tab/>
        <w:t>(b)</w:t>
      </w:r>
      <w:r>
        <w:tab/>
        <w:t>any other party to the protection proceedings;</w:t>
      </w:r>
    </w:p>
    <w:p>
      <w:pPr>
        <w:pStyle w:val="Indenta"/>
      </w:pPr>
      <w:r>
        <w:tab/>
        <w:t>(c)</w:t>
      </w:r>
      <w:r>
        <w:tab/>
        <w:t>a legal representative of a party to the protection proceedings;</w:t>
      </w:r>
    </w:p>
    <w:p>
      <w:pPr>
        <w:pStyle w:val="Indenta"/>
      </w:pPr>
      <w:r>
        <w:tab/>
        <w:t>(d)</w:t>
      </w:r>
      <w:r>
        <w:tab/>
        <w:t>a person allowed to attend under subregulation (2).</w:t>
      </w:r>
    </w:p>
    <w:p>
      <w:pPr>
        <w:pStyle w:val="Subsection"/>
      </w:pPr>
      <w:r>
        <w:tab/>
        <w:t>(2)</w:t>
      </w:r>
      <w:r>
        <w:tab/>
        <w:t>The convenor of a pre</w:t>
      </w:r>
      <w:r>
        <w:noBreakHyphen/>
        <w:t>hearing conference may allow a person to attend the conference if the convenor considers that the person is significant in the child’s life.</w:t>
      </w:r>
    </w:p>
    <w:p>
      <w:pPr>
        <w:pStyle w:val="Heading5"/>
      </w:pPr>
      <w:bookmarkStart w:id="61" w:name="_Toc12609395"/>
      <w:bookmarkStart w:id="62" w:name="_Toc518053936"/>
      <w:r>
        <w:rPr>
          <w:rStyle w:val="CharSectno"/>
        </w:rPr>
        <w:t>15</w:t>
      </w:r>
      <w:r>
        <w:t>.</w:t>
      </w:r>
      <w:r>
        <w:tab/>
        <w:t>Participation using video link, audio link etc.</w:t>
      </w:r>
      <w:bookmarkEnd w:id="61"/>
      <w:bookmarkEnd w:id="62"/>
    </w:p>
    <w:p>
      <w:pPr>
        <w:pStyle w:val="Subsection"/>
      </w:pPr>
      <w:r>
        <w:tab/>
      </w:r>
      <w:r>
        <w:tab/>
        <w:t>The convenor of a pre</w:t>
      </w:r>
      <w:r>
        <w:noBreakHyphen/>
        <w:t>hearing conference must, if directed by the Court to do so, and may, in any other case, allow a person who is unable to attend the pre</w:t>
      </w:r>
      <w:r>
        <w:noBreakHyphen/>
        <w:t>hearing conference in person to participate in the conference by means of video link, audio link or other electronic means.</w:t>
      </w:r>
    </w:p>
    <w:p>
      <w:pPr>
        <w:pStyle w:val="Heading2"/>
      </w:pPr>
      <w:bookmarkStart w:id="63" w:name="_Toc517792409"/>
      <w:bookmarkStart w:id="64" w:name="_Toc517792472"/>
      <w:bookmarkStart w:id="65" w:name="_Toc517945061"/>
      <w:bookmarkStart w:id="66" w:name="_Toc518053937"/>
      <w:bookmarkStart w:id="67" w:name="_Toc12609396"/>
      <w:r>
        <w:rPr>
          <w:rStyle w:val="CharPartNo"/>
        </w:rP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Parentage testing procedures and reports</w:t>
      </w:r>
      <w:bookmarkEnd w:id="63"/>
      <w:bookmarkEnd w:id="64"/>
      <w:bookmarkEnd w:id="65"/>
      <w:bookmarkEnd w:id="66"/>
      <w:bookmarkEnd w:id="67"/>
    </w:p>
    <w:p>
      <w:pPr>
        <w:pStyle w:val="Footnoteheading"/>
      </w:pPr>
      <w:r>
        <w:tab/>
        <w:t>[Heading inserted: Gazette 28 Jan 2011 p. 243.]</w:t>
      </w:r>
    </w:p>
    <w:p>
      <w:pPr>
        <w:pStyle w:val="Heading3"/>
      </w:pPr>
      <w:bookmarkStart w:id="68" w:name="_Toc517792410"/>
      <w:bookmarkStart w:id="69" w:name="_Toc517792473"/>
      <w:bookmarkStart w:id="70" w:name="_Toc517945062"/>
      <w:bookmarkStart w:id="71" w:name="_Toc518053938"/>
      <w:bookmarkStart w:id="72" w:name="_Toc12609397"/>
      <w:r>
        <w:rPr>
          <w:rStyle w:val="CharDivNo"/>
        </w:rPr>
        <w:t>Division 1</w:t>
      </w:r>
      <w:r>
        <w:t> — </w:t>
      </w:r>
      <w:r>
        <w:rPr>
          <w:rStyle w:val="CharDivText"/>
        </w:rPr>
        <w:t>General</w:t>
      </w:r>
      <w:bookmarkEnd w:id="68"/>
      <w:bookmarkEnd w:id="69"/>
      <w:bookmarkEnd w:id="70"/>
      <w:bookmarkEnd w:id="71"/>
      <w:bookmarkEnd w:id="72"/>
    </w:p>
    <w:p>
      <w:pPr>
        <w:pStyle w:val="Footnoteheading"/>
      </w:pPr>
      <w:r>
        <w:tab/>
        <w:t>[Heading inserted: Gazette 28 Jan 2011 p. 243.]</w:t>
      </w:r>
    </w:p>
    <w:p>
      <w:pPr>
        <w:pStyle w:val="Heading5"/>
      </w:pPr>
      <w:bookmarkStart w:id="73" w:name="_Toc12609398"/>
      <w:bookmarkStart w:id="74" w:name="_Toc518053939"/>
      <w:r>
        <w:rPr>
          <w:rStyle w:val="CharSectno"/>
        </w:rPr>
        <w:t>16A</w:t>
      </w:r>
      <w:r>
        <w:t>.</w:t>
      </w:r>
      <w:r>
        <w:tab/>
        <w:t>Terms used</w:t>
      </w:r>
      <w:bookmarkEnd w:id="73"/>
      <w:bookmarkEnd w:id="74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tab/>
      </w:r>
      <w:r>
        <w:rPr>
          <w:rStyle w:val="CharDefText"/>
        </w:rPr>
        <w:t>bodily sample</w:t>
      </w:r>
      <w:r>
        <w:t xml:space="preserve"> is not limited to a sample of blood;</w:t>
      </w:r>
    </w:p>
    <w:p>
      <w:pPr>
        <w:pStyle w:val="Defstart"/>
      </w:pPr>
      <w:r>
        <w:tab/>
      </w:r>
      <w:r>
        <w:rPr>
          <w:rStyle w:val="CharDefText"/>
        </w:rPr>
        <w:t>donor</w:t>
      </w:r>
      <w:r>
        <w:t xml:space="preserve"> means a person required to provide a bodily sample for the purposes of a parentage testing procedure;</w:t>
      </w:r>
    </w:p>
    <w:p>
      <w:pPr>
        <w:pStyle w:val="Defstart"/>
        <w:rPr>
          <w:iCs/>
        </w:rPr>
      </w:pPr>
      <w:r>
        <w:tab/>
      </w:r>
      <w:r>
        <w:rPr>
          <w:rStyle w:val="CharDefText"/>
        </w:rPr>
        <w:t>guardian</w:t>
      </w:r>
      <w:r>
        <w:t xml:space="preserve">, in relation to a represented person, means a person appointed as a guardian of the person under the </w:t>
      </w:r>
      <w:r>
        <w:rPr>
          <w:i/>
        </w:rPr>
        <w:t xml:space="preserve">Guardianship and Administration Act 1990 </w:t>
      </w:r>
      <w:r>
        <w:rPr>
          <w:iCs/>
        </w:rPr>
        <w:t>section 43;</w:t>
      </w:r>
    </w:p>
    <w:p>
      <w:pPr>
        <w:pStyle w:val="Defstart"/>
      </w:pPr>
      <w:r>
        <w:tab/>
      </w:r>
      <w:r>
        <w:rPr>
          <w:rStyle w:val="CharDefText"/>
        </w:rPr>
        <w:t>HLA</w:t>
      </w:r>
      <w:r>
        <w:t xml:space="preserve"> means human leucocyte antigen;</w:t>
      </w:r>
    </w:p>
    <w:p>
      <w:pPr>
        <w:pStyle w:val="Defstart"/>
      </w:pPr>
      <w:r>
        <w:tab/>
      </w:r>
      <w:r>
        <w:rPr>
          <w:rStyle w:val="CharDefText"/>
        </w:rPr>
        <w:t>medical practitioner</w:t>
      </w:r>
      <w:r>
        <w:t xml:space="preserve"> means a person registered under the </w:t>
      </w:r>
      <w:r>
        <w:rPr>
          <w:i/>
          <w:iCs/>
        </w:rPr>
        <w:t>Health Practitioner Regulation National Law (</w:t>
      </w:r>
      <w:smartTag w:uri="urn:schemas-microsoft-com:office:smarttags" w:element="place">
        <w:smartTag w:uri="urn:schemas-microsoft-com:office:smarttags" w:element="State">
          <w:r>
            <w:rPr>
              <w:i/>
              <w:iCs/>
            </w:rPr>
            <w:t>Western Australia</w:t>
          </w:r>
        </w:smartTag>
      </w:smartTag>
      <w:r>
        <w:rPr>
          <w:i/>
          <w:iCs/>
        </w:rPr>
        <w:t>)</w:t>
      </w:r>
      <w:r>
        <w:t xml:space="preserve"> in the medical profession;</w:t>
      </w:r>
    </w:p>
    <w:p>
      <w:pPr>
        <w:pStyle w:val="Defstart"/>
      </w:pPr>
      <w:r>
        <w:tab/>
      </w:r>
      <w:r>
        <w:rPr>
          <w:rStyle w:val="CharDefText"/>
        </w:rPr>
        <w:t>NATA</w:t>
      </w:r>
      <w:r>
        <w:t xml:space="preserve"> means the National Association of Testing Authorities, </w:t>
      </w:r>
      <w:smartTag w:uri="urn:schemas-microsoft-com:office:smarttags" w:element="place">
        <w:smartTag w:uri="urn:schemas-microsoft-com:office:smarttags" w:element="country-region">
          <w:r>
            <w:t>Australia</w:t>
          </w:r>
        </w:smartTag>
      </w:smartTag>
      <w:r>
        <w:t>;</w:t>
      </w:r>
    </w:p>
    <w:p>
      <w:pPr>
        <w:pStyle w:val="Defstart"/>
      </w:pPr>
      <w:r>
        <w:tab/>
      </w:r>
      <w:r>
        <w:rPr>
          <w:rStyle w:val="CharDefText"/>
        </w:rPr>
        <w:t>nominated reporter</w:t>
      </w:r>
      <w:r>
        <w:t xml:space="preserve"> means the person nominated by a laboratory to prepare a report relating to the information obtained as a result of carrying out a parentage testing procedure at that laboratory;</w:t>
      </w:r>
    </w:p>
    <w:p>
      <w:pPr>
        <w:pStyle w:val="Defstart"/>
      </w:pPr>
      <w:r>
        <w:tab/>
      </w:r>
      <w:r>
        <w:rPr>
          <w:rStyle w:val="CharDefText"/>
        </w:rPr>
        <w:t>report</w:t>
      </w:r>
      <w:r>
        <w:t xml:space="preserve"> means a report in accordance with regulation 16L;</w:t>
      </w:r>
    </w:p>
    <w:p>
      <w:pPr>
        <w:pStyle w:val="Defstart"/>
      </w:pPr>
      <w:r>
        <w:tab/>
      </w:r>
      <w:r>
        <w:rPr>
          <w:rStyle w:val="CharDefText"/>
        </w:rPr>
        <w:t>represented person</w:t>
      </w:r>
      <w:r>
        <w:t xml:space="preserve"> means a person in respect of whom a guardianship order made under the </w:t>
      </w:r>
      <w:r>
        <w:rPr>
          <w:i/>
        </w:rPr>
        <w:t>Guardianship and Administration Act 1990</w:t>
      </w:r>
      <w:r>
        <w:t xml:space="preserve"> is in force;</w:t>
      </w:r>
    </w:p>
    <w:p>
      <w:pPr>
        <w:pStyle w:val="Defstart"/>
      </w:pPr>
      <w:r>
        <w:tab/>
      </w:r>
      <w:r>
        <w:rPr>
          <w:rStyle w:val="CharDefText"/>
        </w:rPr>
        <w:t>responsible person</w:t>
      </w:r>
      <w:r>
        <w:t xml:space="preserve">, for a child, means — </w:t>
      </w:r>
    </w:p>
    <w:p>
      <w:pPr>
        <w:pStyle w:val="Defpara"/>
      </w:pPr>
      <w:r>
        <w:tab/>
        <w:t>(a)</w:t>
      </w:r>
      <w:r>
        <w:tab/>
        <w:t>if the child is in provisional protection and care, or is the subject of a protection order (time limited) or protection order (until 18), the CEO or a person nominated by the CEO;</w:t>
      </w:r>
    </w:p>
    <w:p>
      <w:pPr>
        <w:pStyle w:val="Defpara"/>
      </w:pPr>
      <w:r>
        <w:tab/>
        <w:t>(b)</w:t>
      </w:r>
      <w:r>
        <w:tab/>
        <w:t xml:space="preserve">otherwise — </w:t>
      </w:r>
    </w:p>
    <w:p>
      <w:pPr>
        <w:pStyle w:val="Defsubpara"/>
      </w:pPr>
      <w:r>
        <w:tab/>
        <w:t>(i)</w:t>
      </w:r>
      <w:r>
        <w:tab/>
        <w:t>a person responsible for the long term care, welfare and development of the child; or</w:t>
      </w:r>
    </w:p>
    <w:p>
      <w:pPr>
        <w:pStyle w:val="Defsubpara"/>
      </w:pPr>
      <w:r>
        <w:tab/>
        <w:t>(ii)</w:t>
      </w:r>
      <w:r>
        <w:tab/>
        <w:t>a person nominated by the Court for the purposes of this Part;</w:t>
      </w:r>
    </w:p>
    <w:p>
      <w:pPr>
        <w:pStyle w:val="Defstart"/>
      </w:pPr>
      <w:r>
        <w:tab/>
      </w:r>
      <w:r>
        <w:rPr>
          <w:rStyle w:val="CharDefText"/>
        </w:rPr>
        <w:t>sample</w:t>
      </w:r>
      <w:r>
        <w:t xml:space="preserve"> means a sample taken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sampler</w:t>
      </w:r>
      <w:r>
        <w:t xml:space="preserve"> means a person who takes a bodily sample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testing</w:t>
      </w:r>
      <w:r>
        <w:t xml:space="preserve"> means the implementation, or any part of the implementation, of a parentage testing procedure.</w:t>
      </w:r>
    </w:p>
    <w:p>
      <w:pPr>
        <w:pStyle w:val="Footnotesection"/>
      </w:pPr>
      <w:r>
        <w:tab/>
        <w:t>[Regulation 16A inserted: Gazette 28 Jan 2011 p. 243-4.]</w:t>
      </w:r>
    </w:p>
    <w:p>
      <w:pPr>
        <w:pStyle w:val="Heading5"/>
      </w:pPr>
      <w:bookmarkStart w:id="75" w:name="_Toc12609399"/>
      <w:bookmarkStart w:id="76" w:name="_Toc518053940"/>
      <w:r>
        <w:rPr>
          <w:rStyle w:val="CharSectno"/>
        </w:rPr>
        <w:t>16B</w:t>
      </w:r>
      <w:r>
        <w:t>.</w:t>
      </w:r>
      <w:r>
        <w:tab/>
        <w:t>Parentage testing procedures (Act s. 136A)</w:t>
      </w:r>
      <w:bookmarkEnd w:id="75"/>
      <w:bookmarkEnd w:id="76"/>
    </w:p>
    <w:p>
      <w:pPr>
        <w:pStyle w:val="Subsection"/>
      </w:pPr>
      <w:r>
        <w:tab/>
      </w:r>
      <w:r>
        <w:tab/>
        <w:t xml:space="preserve">For the purposes of the definition of </w:t>
      </w:r>
      <w:r>
        <w:rPr>
          <w:b/>
          <w:bCs/>
          <w:i/>
          <w:iCs/>
        </w:rPr>
        <w:t>parentage testing procedure</w:t>
      </w:r>
      <w:r>
        <w:t xml:space="preserve"> in section 136A, the following medical procedures are prescribed — </w:t>
      </w:r>
    </w:p>
    <w:p>
      <w:pPr>
        <w:pStyle w:val="Indenta"/>
      </w:pPr>
      <w:r>
        <w:tab/>
        <w:t>(a)</w:t>
      </w:r>
      <w:r>
        <w:tab/>
        <w:t>red cell antigen blood grouping;</w:t>
      </w:r>
    </w:p>
    <w:p>
      <w:pPr>
        <w:pStyle w:val="Indenta"/>
      </w:pPr>
      <w:r>
        <w:tab/>
        <w:t>(b)</w:t>
      </w:r>
      <w:r>
        <w:tab/>
        <w:t>red cell enzyme blood grouping;</w:t>
      </w:r>
    </w:p>
    <w:p>
      <w:pPr>
        <w:pStyle w:val="Indenta"/>
      </w:pPr>
      <w:r>
        <w:tab/>
        <w:t>(c)</w:t>
      </w:r>
      <w:r>
        <w:tab/>
        <w:t>HLA tissue typing;</w:t>
      </w:r>
    </w:p>
    <w:p>
      <w:pPr>
        <w:pStyle w:val="Indenta"/>
      </w:pPr>
      <w:r>
        <w:tab/>
        <w:t>(d)</w:t>
      </w:r>
      <w:r>
        <w:tab/>
        <w:t>testing for serum markers;</w:t>
      </w:r>
    </w:p>
    <w:p>
      <w:pPr>
        <w:pStyle w:val="Indenta"/>
      </w:pPr>
      <w:r>
        <w:tab/>
        <w:t>(e)</w:t>
      </w:r>
      <w:r>
        <w:tab/>
        <w:t>DNA typing.</w:t>
      </w:r>
    </w:p>
    <w:p>
      <w:pPr>
        <w:pStyle w:val="Footnotesection"/>
      </w:pPr>
      <w:r>
        <w:tab/>
        <w:t>[Regulation 16B inserted: Gazette 28 Jan 2011 p. 244.]</w:t>
      </w:r>
    </w:p>
    <w:p>
      <w:pPr>
        <w:pStyle w:val="Heading5"/>
      </w:pPr>
      <w:bookmarkStart w:id="77" w:name="_Toc12609400"/>
      <w:bookmarkStart w:id="78" w:name="_Toc518053941"/>
      <w:r>
        <w:rPr>
          <w:rStyle w:val="CharSectno"/>
        </w:rPr>
        <w:t>16C</w:t>
      </w:r>
      <w:r>
        <w:t>.</w:t>
      </w:r>
      <w:r>
        <w:tab/>
        <w:t>Compliance with regulations</w:t>
      </w:r>
      <w:bookmarkEnd w:id="77"/>
      <w:bookmarkEnd w:id="78"/>
    </w:p>
    <w:p>
      <w:pPr>
        <w:pStyle w:val="Subsection"/>
      </w:pPr>
      <w:r>
        <w:tab/>
      </w:r>
      <w:r>
        <w:tab/>
        <w:t xml:space="preserve">A parentage testing procedure is taken to be carried out in accordance with these regulations if — </w:t>
      </w:r>
    </w:p>
    <w:p>
      <w:pPr>
        <w:pStyle w:val="Indenta"/>
      </w:pPr>
      <w:r>
        <w:tab/>
        <w:t>(a)</w:t>
      </w:r>
      <w:r>
        <w:tab/>
        <w:t xml:space="preserve">it is carried out — </w:t>
      </w:r>
    </w:p>
    <w:p>
      <w:pPr>
        <w:pStyle w:val="Indenti"/>
      </w:pPr>
      <w:r>
        <w:tab/>
        <w:t>(i)</w:t>
      </w:r>
      <w:r>
        <w:tab/>
        <w:t>in compliance with Division 2; and</w:t>
      </w:r>
    </w:p>
    <w:p>
      <w:pPr>
        <w:pStyle w:val="Indenti"/>
      </w:pPr>
      <w:r>
        <w:tab/>
        <w:t>(ii)</w:t>
      </w:r>
      <w:r>
        <w:tab/>
        <w:t>at a laboratory that is accredited by NATA for the purpose of carrying out parentage testing procedures; and</w:t>
      </w:r>
    </w:p>
    <w:p>
      <w:pPr>
        <w:pStyle w:val="Indenti"/>
      </w:pPr>
      <w:r>
        <w:tab/>
        <w:t>(iii)</w:t>
      </w:r>
      <w:r>
        <w:tab/>
        <w:t>in accordance with standards of practice that entitle the laboratory to be so accredited;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a report for the procedure is prepared.</w:t>
      </w:r>
    </w:p>
    <w:p>
      <w:pPr>
        <w:pStyle w:val="Footnotesection"/>
      </w:pPr>
      <w:r>
        <w:tab/>
        <w:t>[Regulation 16C inserted: Gazette 28 Jan 2011 p. 245.]</w:t>
      </w:r>
    </w:p>
    <w:p>
      <w:pPr>
        <w:pStyle w:val="Heading3"/>
      </w:pPr>
      <w:bookmarkStart w:id="79" w:name="_Toc517792414"/>
      <w:bookmarkStart w:id="80" w:name="_Toc517792477"/>
      <w:bookmarkStart w:id="81" w:name="_Toc517945066"/>
      <w:bookmarkStart w:id="82" w:name="_Toc518053942"/>
      <w:bookmarkStart w:id="83" w:name="_Toc12609401"/>
      <w:r>
        <w:rPr>
          <w:rStyle w:val="CharDivNo"/>
        </w:rPr>
        <w:t>Division 2</w:t>
      </w:r>
      <w:r>
        <w:t> — </w:t>
      </w:r>
      <w:r>
        <w:rPr>
          <w:rStyle w:val="CharDivText"/>
        </w:rPr>
        <w:t>Collection, storage and testing of samples</w:t>
      </w:r>
      <w:bookmarkEnd w:id="79"/>
      <w:bookmarkEnd w:id="80"/>
      <w:bookmarkEnd w:id="81"/>
      <w:bookmarkEnd w:id="82"/>
      <w:bookmarkEnd w:id="83"/>
    </w:p>
    <w:p>
      <w:pPr>
        <w:pStyle w:val="Footnoteheading"/>
      </w:pPr>
      <w:r>
        <w:tab/>
        <w:t>[Heading inserted: Gazette 28 Jan 2011 p. 245.]</w:t>
      </w:r>
    </w:p>
    <w:p>
      <w:pPr>
        <w:pStyle w:val="Heading5"/>
      </w:pPr>
      <w:bookmarkStart w:id="84" w:name="_Toc12609402"/>
      <w:bookmarkStart w:id="85" w:name="_Toc518053943"/>
      <w:r>
        <w:rPr>
          <w:rStyle w:val="CharSectno"/>
        </w:rPr>
        <w:t>16D</w:t>
      </w:r>
      <w:r>
        <w:t>.</w:t>
      </w:r>
      <w:r>
        <w:tab/>
        <w:t>Bodily samples, who may take</w:t>
      </w:r>
      <w:bookmarkEnd w:id="84"/>
      <w:bookmarkEnd w:id="85"/>
    </w:p>
    <w:p>
      <w:pPr>
        <w:pStyle w:val="Subsection"/>
      </w:pPr>
      <w:r>
        <w:tab/>
      </w:r>
      <w:r>
        <w:tab/>
        <w:t xml:space="preserve">A person must not take a bodily sample from a donor for the purposes of a parentage testing procedure unless — </w:t>
      </w:r>
    </w:p>
    <w:p>
      <w:pPr>
        <w:pStyle w:val="Indenta"/>
      </w:pPr>
      <w:r>
        <w:tab/>
        <w:t>(a)</w:t>
      </w:r>
      <w:r>
        <w:tab/>
        <w:t>the person is a medical practitioner; or</w:t>
      </w:r>
    </w:p>
    <w:p>
      <w:pPr>
        <w:pStyle w:val="Indenta"/>
      </w:pPr>
      <w:r>
        <w:tab/>
        <w:t>(b)</w:t>
      </w:r>
      <w:r>
        <w:tab/>
        <w:t>the person is employed by or in a health service provider, a hospital, a pathology practice, a parentage testing practice or a medical practitioner for the purpose of taking a bodily sample from a donor.</w:t>
      </w:r>
    </w:p>
    <w:p>
      <w:pPr>
        <w:pStyle w:val="Footnotesection"/>
      </w:pPr>
      <w:r>
        <w:tab/>
        <w:t>[Regulation 16D inserted: Gazette 28 Jan 2011 p. 245; amended: Gazette 24 Jun 2016 p. 2296.]</w:t>
      </w:r>
    </w:p>
    <w:p>
      <w:pPr>
        <w:pStyle w:val="Heading5"/>
      </w:pPr>
      <w:bookmarkStart w:id="86" w:name="_Toc12609403"/>
      <w:bookmarkStart w:id="87" w:name="_Toc518053944"/>
      <w:r>
        <w:rPr>
          <w:rStyle w:val="CharSectno"/>
        </w:rPr>
        <w:t>16E</w:t>
      </w:r>
      <w:r>
        <w:t>.</w:t>
      </w:r>
      <w:r>
        <w:tab/>
        <w:t>Information about donor to be given before bodily sample taken</w:t>
      </w:r>
      <w:bookmarkEnd w:id="86"/>
      <w:bookmarkEnd w:id="87"/>
    </w:p>
    <w:p>
      <w:pPr>
        <w:pStyle w:val="Subsection"/>
      </w:pPr>
      <w:r>
        <w:tab/>
        <w:t>(1)</w:t>
      </w:r>
      <w:r>
        <w:tab/>
        <w:t xml:space="preserve">A sampler must not take a bodily sample from a donor unless the donor or, if subregulation (3) applies, a person who, under subregulation (3) can complete an affidavit, has — </w:t>
      </w:r>
    </w:p>
    <w:p>
      <w:pPr>
        <w:pStyle w:val="Indenta"/>
      </w:pPr>
      <w:r>
        <w:tab/>
        <w:t>(a)</w:t>
      </w:r>
      <w:r>
        <w:tab/>
        <w:t>immediately before the sampler takes the bodily sample, completed an affidavit in the form of Schedule 1 Form 4, to which is attached a recent photograph of the donor named in the affidavit; and</w:t>
      </w:r>
    </w:p>
    <w:p>
      <w:pPr>
        <w:pStyle w:val="Indenta"/>
        <w:keepNext/>
      </w:pPr>
      <w:r>
        <w:tab/>
        <w:t>(b)</w:t>
      </w:r>
      <w:r>
        <w:tab/>
        <w:t xml:space="preserve">either — </w:t>
      </w:r>
    </w:p>
    <w:p>
      <w:pPr>
        <w:pStyle w:val="Indenti"/>
      </w:pPr>
      <w:r>
        <w:tab/>
        <w:t>(i)</w:t>
      </w:r>
      <w:r>
        <w:tab/>
        <w:t>provided to the sampler a recent photograph of the donor, measuring approximately 45 mm by 35 mm, that shows a full face view of the donor’s head and the donor’s shoulders against a plain background; or</w:t>
      </w:r>
    </w:p>
    <w:p>
      <w:pPr>
        <w:pStyle w:val="Indenti"/>
      </w:pPr>
      <w:r>
        <w:tab/>
        <w:t>(ii)</w:t>
      </w:r>
      <w:r>
        <w:tab/>
        <w:t>made a written arrangement with the sampler for a photograph of that kind to be taken.</w:t>
      </w:r>
    </w:p>
    <w:p>
      <w:pPr>
        <w:pStyle w:val="Subsection"/>
      </w:pPr>
      <w:r>
        <w:tab/>
        <w:t>(2)</w:t>
      </w:r>
      <w:r>
        <w:tab/>
        <w:t>The photograph required by subregulation (1)(b) is in addition to the photograph that is required to be attached to Form 4.</w:t>
      </w:r>
    </w:p>
    <w:p>
      <w:pPr>
        <w:pStyle w:val="Subsection"/>
      </w:pPr>
      <w:r>
        <w:tab/>
        <w:t>(3)</w:t>
      </w:r>
      <w:r>
        <w:tab/>
        <w:t xml:space="preserve">If the donor is a child or a represented person the affidavit referred to in subregulation (1)(a) may be completed only by — </w:t>
      </w:r>
    </w:p>
    <w:p>
      <w:pPr>
        <w:pStyle w:val="Indenta"/>
      </w:pPr>
      <w:r>
        <w:tab/>
        <w:t>(a)</w:t>
      </w:r>
      <w:r>
        <w:tab/>
        <w:t>in the case of a child, a person who is a responsible person for the child; or</w:t>
      </w:r>
    </w:p>
    <w:p>
      <w:pPr>
        <w:pStyle w:val="Indenta"/>
      </w:pPr>
      <w:r>
        <w:tab/>
        <w:t>(b)</w:t>
      </w:r>
      <w:r>
        <w:tab/>
        <w:t>in the case of a represented person, a person who is a guardian of the represented person.</w:t>
      </w:r>
    </w:p>
    <w:p>
      <w:pPr>
        <w:pStyle w:val="Footnotesection"/>
      </w:pPr>
      <w:r>
        <w:tab/>
        <w:t>[Regulation 16E inserted: Gazette 28 Jan 2011 p. 245-6.]</w:t>
      </w:r>
    </w:p>
    <w:p>
      <w:pPr>
        <w:pStyle w:val="Heading5"/>
      </w:pPr>
      <w:bookmarkStart w:id="88" w:name="_Toc12609404"/>
      <w:bookmarkStart w:id="89" w:name="_Toc518053945"/>
      <w:r>
        <w:rPr>
          <w:rStyle w:val="CharSectno"/>
        </w:rPr>
        <w:t>16F</w:t>
      </w:r>
      <w:r>
        <w:t>.</w:t>
      </w:r>
      <w:r>
        <w:tab/>
        <w:t>Blood samples, taking of</w:t>
      </w:r>
      <w:bookmarkEnd w:id="88"/>
      <w:bookmarkEnd w:id="89"/>
    </w:p>
    <w:p>
      <w:pPr>
        <w:pStyle w:val="Subsection"/>
      </w:pPr>
      <w:r>
        <w:tab/>
        <w:t>(1)</w:t>
      </w:r>
      <w:r>
        <w:tab/>
        <w:t xml:space="preserve">A sampler may take a sample of blood from a donor only with a needle or syringe that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sterilised; and</w:t>
      </w:r>
    </w:p>
    <w:p>
      <w:pPr>
        <w:pStyle w:val="Indenta"/>
      </w:pPr>
      <w:r>
        <w:tab/>
        <w:t>(c)</w:t>
      </w:r>
      <w:r>
        <w:tab/>
        <w:t>is disposable.</w:t>
      </w:r>
    </w:p>
    <w:p>
      <w:pPr>
        <w:pStyle w:val="Subsection"/>
      </w:pPr>
      <w:r>
        <w:tab/>
        <w:t>(2)</w:t>
      </w:r>
      <w:r>
        <w:tab/>
        <w:t>Before taking a sample of blood from a donor, the sampler must ensure that the area of the donor’s skin into which the needle is to be inserted to withdraw the blood has been cleaned with an antiseptic.</w:t>
      </w:r>
    </w:p>
    <w:p>
      <w:pPr>
        <w:pStyle w:val="Footnotesection"/>
      </w:pPr>
      <w:r>
        <w:tab/>
        <w:t>[Regulation 16F inserted: Gazette 28 Jan 2011 p. 246.]</w:t>
      </w:r>
    </w:p>
    <w:p>
      <w:pPr>
        <w:pStyle w:val="Heading5"/>
      </w:pPr>
      <w:bookmarkStart w:id="90" w:name="_Toc12609405"/>
      <w:bookmarkStart w:id="91" w:name="_Toc518053946"/>
      <w:r>
        <w:rPr>
          <w:rStyle w:val="CharSectno"/>
        </w:rPr>
        <w:t>16G</w:t>
      </w:r>
      <w:r>
        <w:t>.</w:t>
      </w:r>
      <w:r>
        <w:tab/>
        <w:t>Bodily samples for DNA typing, taking of</w:t>
      </w:r>
      <w:bookmarkEnd w:id="90"/>
      <w:bookmarkEnd w:id="91"/>
    </w:p>
    <w:p>
      <w:pPr>
        <w:pStyle w:val="Subsection"/>
      </w:pPr>
      <w:r>
        <w:tab/>
        <w:t>(1)</w:t>
      </w:r>
      <w:r>
        <w:tab/>
        <w:t>This regulation applies to the taking of a bodily sample other than a sample of blood from a donor for the purposes of a parentage testing procedure that is DNA typing.</w:t>
      </w:r>
    </w:p>
    <w:p>
      <w:pPr>
        <w:pStyle w:val="Subsection"/>
        <w:keepNext/>
      </w:pPr>
      <w:r>
        <w:tab/>
        <w:t>(2)</w:t>
      </w:r>
      <w:r>
        <w:tab/>
        <w:t xml:space="preserve">A sampler must not take a bodily sample from a donor with a swab unless the swab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sterilised.</w:t>
      </w:r>
    </w:p>
    <w:p>
      <w:pPr>
        <w:pStyle w:val="Subsection"/>
      </w:pPr>
      <w:r>
        <w:tab/>
        <w:t>(3)</w:t>
      </w:r>
      <w:r>
        <w:tab/>
        <w:t>If the bodily sample to be taken from a donor is a skin scraping or a hair root, the implement used by the sampler to take the sample must have been sterilised before use.</w:t>
      </w:r>
    </w:p>
    <w:p>
      <w:pPr>
        <w:pStyle w:val="Footnotesection"/>
      </w:pPr>
      <w:r>
        <w:tab/>
        <w:t>[Regulation 16G inserted: Gazette 28 Jan 2011 p. 246.]</w:t>
      </w:r>
    </w:p>
    <w:p>
      <w:pPr>
        <w:pStyle w:val="Heading5"/>
      </w:pPr>
      <w:bookmarkStart w:id="92" w:name="_Toc12609406"/>
      <w:bookmarkStart w:id="93" w:name="_Toc518053947"/>
      <w:r>
        <w:rPr>
          <w:rStyle w:val="CharSectno"/>
        </w:rPr>
        <w:t>16H</w:t>
      </w:r>
      <w:r>
        <w:t>.</w:t>
      </w:r>
      <w:r>
        <w:tab/>
        <w:t>Bodily samples, procedure for dealing with immediately after taking</w:t>
      </w:r>
      <w:bookmarkEnd w:id="92"/>
      <w:bookmarkEnd w:id="93"/>
    </w:p>
    <w:p>
      <w:pPr>
        <w:pStyle w:val="Subsection"/>
      </w:pPr>
      <w:r>
        <w:tab/>
        <w:t>(1)</w:t>
      </w:r>
      <w:r>
        <w:tab/>
        <w:t xml:space="preserve">If a bodily sample is taken from a donor the sampler must ensure that — </w:t>
      </w:r>
    </w:p>
    <w:p>
      <w:pPr>
        <w:pStyle w:val="Indenta"/>
      </w:pPr>
      <w:r>
        <w:tab/>
        <w:t>(a)</w:t>
      </w:r>
      <w:r>
        <w:tab/>
        <w:t xml:space="preserve">the sample is placed in a container — </w:t>
      </w:r>
    </w:p>
    <w:p>
      <w:pPr>
        <w:pStyle w:val="Indenti"/>
      </w:pPr>
      <w:r>
        <w:tab/>
        <w:t>(i)</w:t>
      </w:r>
      <w:r>
        <w:tab/>
        <w:t>immediately after it is taken; and</w:t>
      </w:r>
    </w:p>
    <w:p>
      <w:pPr>
        <w:pStyle w:val="Indenti"/>
      </w:pPr>
      <w:r>
        <w:tab/>
        <w:t>(ii)</w:t>
      </w:r>
      <w:r>
        <w:tab/>
        <w:t>in the presence of the donor;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the container has not previously been used for any purpose; and</w:t>
      </w:r>
    </w:p>
    <w:p>
      <w:pPr>
        <w:pStyle w:val="Indenta"/>
      </w:pPr>
      <w:r>
        <w:tab/>
        <w:t>(c)</w:t>
      </w:r>
      <w:r>
        <w:tab/>
        <w:t>the container is sealed in a way that, if it were opened after being sealed, that fact would be evident on inspection of the container; and</w:t>
      </w:r>
    </w:p>
    <w:p>
      <w:pPr>
        <w:pStyle w:val="Indenta"/>
      </w:pPr>
      <w:r>
        <w:tab/>
        <w:t>(d)</w:t>
      </w:r>
      <w:r>
        <w:tab/>
        <w:t xml:space="preserve">the container is labelled in a way that — </w:t>
      </w:r>
    </w:p>
    <w:p>
      <w:pPr>
        <w:pStyle w:val="Indenti"/>
      </w:pPr>
      <w:r>
        <w:tab/>
        <w:t>(i)</w:t>
      </w:r>
      <w:r>
        <w:tab/>
        <w:t>if the label, or any part of the label, were removed; or</w:t>
      </w:r>
    </w:p>
    <w:p>
      <w:pPr>
        <w:pStyle w:val="Indenti"/>
        <w:keepNext/>
      </w:pPr>
      <w:r>
        <w:tab/>
        <w:t>(ii)</w:t>
      </w:r>
      <w:r>
        <w:tab/>
        <w:t>if writing on the label were impaired by alteration or erasure,</w:t>
      </w:r>
    </w:p>
    <w:p>
      <w:pPr>
        <w:pStyle w:val="Indenta"/>
      </w:pPr>
      <w:r>
        <w:tab/>
      </w:r>
      <w:r>
        <w:tab/>
        <w:t>the removal of the label, or the impairment, would be evident on inspection of the container; and</w:t>
      </w:r>
    </w:p>
    <w:p>
      <w:pPr>
        <w:pStyle w:val="Indenta"/>
      </w:pPr>
      <w:r>
        <w:tab/>
        <w:t>(e)</w:t>
      </w:r>
      <w:r>
        <w:tab/>
        <w:t xml:space="preserve">the particulars on the label are inscribed in ink and include — </w:t>
      </w:r>
    </w:p>
    <w:p>
      <w:pPr>
        <w:pStyle w:val="Indenti"/>
      </w:pPr>
      <w:r>
        <w:tab/>
        <w:t>(i)</w:t>
      </w:r>
      <w:r>
        <w:tab/>
        <w:t>the full name of the donor; and</w:t>
      </w:r>
    </w:p>
    <w:p>
      <w:pPr>
        <w:pStyle w:val="Indenti"/>
      </w:pPr>
      <w:r>
        <w:tab/>
        <w:t>(ii)</w:t>
      </w:r>
      <w:r>
        <w:tab/>
        <w:t>the date of birth and the sex of the donor; and</w:t>
      </w:r>
    </w:p>
    <w:p>
      <w:pPr>
        <w:pStyle w:val="Indenti"/>
      </w:pPr>
      <w:r>
        <w:tab/>
        <w:t>(iii)</w:t>
      </w:r>
      <w:r>
        <w:tab/>
        <w:t>the date and time at which the sample was taken;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(f)</w:t>
      </w:r>
      <w:r>
        <w:tab/>
        <w:t>when paragraph (e) is complied with, the sampler and the donor sign the label, in ink.</w:t>
      </w:r>
    </w:p>
    <w:p>
      <w:pPr>
        <w:pStyle w:val="Subsection"/>
      </w:pPr>
      <w:r>
        <w:tab/>
        <w:t>(2)</w:t>
      </w:r>
      <w:r>
        <w:tab/>
        <w:t xml:space="preserve">If the donor is a child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responsible person for the child;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satisfied only if a person who is a responsible person for the child signs the label.</w:t>
      </w:r>
    </w:p>
    <w:p>
      <w:pPr>
        <w:pStyle w:val="Subsection"/>
      </w:pPr>
      <w:r>
        <w:tab/>
        <w:t>(3)</w:t>
      </w:r>
      <w:r>
        <w:tab/>
        <w:t xml:space="preserve">If the donor is a represented person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guardian of the represented person;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complied with only if the label is signed by a person who is a guardian of the represented person.</w:t>
      </w:r>
    </w:p>
    <w:p>
      <w:pPr>
        <w:pStyle w:val="Footnotesection"/>
      </w:pPr>
      <w:r>
        <w:tab/>
        <w:t>[Regulation 16H inserted: Gazette 28 Jan 2011 p. 246-7.]</w:t>
      </w:r>
    </w:p>
    <w:p>
      <w:pPr>
        <w:pStyle w:val="Heading5"/>
      </w:pPr>
      <w:bookmarkStart w:id="94" w:name="_Toc12609407"/>
      <w:bookmarkStart w:id="95" w:name="_Toc518053948"/>
      <w:r>
        <w:rPr>
          <w:rStyle w:val="CharSectno"/>
        </w:rPr>
        <w:t>16I</w:t>
      </w:r>
      <w:r>
        <w:t>.</w:t>
      </w:r>
      <w:r>
        <w:tab/>
        <w:t>Sampler’s duties after taking bodily sample</w:t>
      </w:r>
      <w:bookmarkEnd w:id="94"/>
      <w:bookmarkEnd w:id="95"/>
    </w:p>
    <w:p>
      <w:pPr>
        <w:pStyle w:val="Subsection"/>
      </w:pPr>
      <w:r>
        <w:tab/>
      </w:r>
      <w:r>
        <w:tab/>
        <w:t xml:space="preserve">After taking a bodily sample from a donor, the sampler must — </w:t>
      </w:r>
    </w:p>
    <w:p>
      <w:pPr>
        <w:pStyle w:val="Indenta"/>
      </w:pPr>
      <w:r>
        <w:tab/>
        <w:t>(a)</w:t>
      </w:r>
      <w:r>
        <w:tab/>
        <w:t>complete a statement in the form of Schedule 1 Form 5; and</w:t>
      </w:r>
    </w:p>
    <w:p>
      <w:pPr>
        <w:pStyle w:val="Indenta"/>
      </w:pPr>
      <w:r>
        <w:tab/>
        <w:t>(b)</w:t>
      </w:r>
      <w:r>
        <w:tab/>
        <w:t>affix the photograph of the donor referred to in regulation 16E(1)(b) to the statement; and</w:t>
      </w:r>
    </w:p>
    <w:p>
      <w:pPr>
        <w:pStyle w:val="Indenta"/>
      </w:pPr>
      <w:r>
        <w:tab/>
        <w:t>(c)</w:t>
      </w:r>
      <w:r>
        <w:tab/>
        <w:t>sign his or her name partly on the photograph and partly on the statement in a way that, if the photograph were later removed from the statement, the removal would be evident from inspection of the statement.</w:t>
      </w:r>
    </w:p>
    <w:p>
      <w:pPr>
        <w:pStyle w:val="Footnotesection"/>
      </w:pPr>
      <w:r>
        <w:tab/>
        <w:t>[Regulation 16I inserted: Gazette 28 Jan 2011 p. 247-8.]</w:t>
      </w:r>
    </w:p>
    <w:p>
      <w:pPr>
        <w:pStyle w:val="Heading5"/>
      </w:pPr>
      <w:bookmarkStart w:id="96" w:name="_Toc12609408"/>
      <w:bookmarkStart w:id="97" w:name="_Toc518053949"/>
      <w:r>
        <w:rPr>
          <w:rStyle w:val="CharSectno"/>
        </w:rPr>
        <w:t>16J</w:t>
      </w:r>
      <w:r>
        <w:t>.</w:t>
      </w:r>
      <w:r>
        <w:tab/>
        <w:t>Packing, storing and transporting bodily samples for testing</w:t>
      </w:r>
      <w:bookmarkEnd w:id="96"/>
      <w:bookmarkEnd w:id="97"/>
    </w:p>
    <w:p>
      <w:pPr>
        <w:pStyle w:val="Subsection"/>
      </w:pPr>
      <w:r>
        <w:tab/>
        <w:t>(1)</w:t>
      </w:r>
      <w:r>
        <w:tab/>
        <w:t xml:space="preserve">A bodily sample must be packed, stored and transported to a laboratory for testing in a manner that — </w:t>
      </w:r>
    </w:p>
    <w:p>
      <w:pPr>
        <w:pStyle w:val="Indenta"/>
      </w:pPr>
      <w:r>
        <w:tab/>
        <w:t>(a)</w:t>
      </w:r>
      <w:r>
        <w:tab/>
        <w:t>will preserve the integrity of the sample; and</w:t>
      </w:r>
    </w:p>
    <w:p>
      <w:pPr>
        <w:pStyle w:val="Indenta"/>
      </w:pPr>
      <w:r>
        <w:tab/>
        <w:t>(b)</w:t>
      </w:r>
      <w:r>
        <w:tab/>
        <w:t>ensures that the testing of the sample will produce the same results as would have been obtained if the sample had been tested immediately after collection.</w:t>
      </w:r>
    </w:p>
    <w:p>
      <w:pPr>
        <w:pStyle w:val="Subsection"/>
      </w:pPr>
      <w:r>
        <w:tab/>
        <w:t>(2)</w:t>
      </w:r>
      <w:r>
        <w:tab/>
        <w:t xml:space="preserve">The sampler must ensure that the following documents are sent to the laboratory with the sample — </w:t>
      </w:r>
    </w:p>
    <w:p>
      <w:pPr>
        <w:pStyle w:val="Indenta"/>
      </w:pPr>
      <w:r>
        <w:tab/>
        <w:t>(a)</w:t>
      </w:r>
      <w:r>
        <w:tab/>
        <w:t>the affidavit completed under regulation 16E(1)(a);</w:t>
      </w:r>
    </w:p>
    <w:p>
      <w:pPr>
        <w:pStyle w:val="Indenta"/>
      </w:pPr>
      <w:r>
        <w:tab/>
        <w:t>(b)</w:t>
      </w:r>
      <w:r>
        <w:tab/>
        <w:t>the statement completed under regulation 16I.</w:t>
      </w:r>
    </w:p>
    <w:p>
      <w:pPr>
        <w:pStyle w:val="Footnotesection"/>
      </w:pPr>
      <w:r>
        <w:tab/>
        <w:t>[Regulation 16J inserted: Gazette 28 Jan 2011 p. 248.]</w:t>
      </w:r>
    </w:p>
    <w:p>
      <w:pPr>
        <w:pStyle w:val="Heading5"/>
      </w:pPr>
      <w:bookmarkStart w:id="98" w:name="_Toc12609409"/>
      <w:bookmarkStart w:id="99" w:name="_Toc518053950"/>
      <w:r>
        <w:rPr>
          <w:rStyle w:val="CharSectno"/>
        </w:rPr>
        <w:t>16K</w:t>
      </w:r>
      <w:r>
        <w:t>.</w:t>
      </w:r>
      <w:r>
        <w:tab/>
        <w:t>Time for testing bodily samples</w:t>
      </w:r>
      <w:bookmarkEnd w:id="98"/>
      <w:bookmarkEnd w:id="99"/>
    </w:p>
    <w:p>
      <w:pPr>
        <w:pStyle w:val="Subsection"/>
      </w:pPr>
      <w:r>
        <w:tab/>
        <w:t>(1)</w:t>
      </w:r>
      <w:r>
        <w:tab/>
        <w:t xml:space="preserve">A laboratory to which a bodily sample has been sent for testing must ensure that the testing is completed — </w:t>
      </w:r>
    </w:p>
    <w:p>
      <w:pPr>
        <w:pStyle w:val="Indenta"/>
      </w:pPr>
      <w:r>
        <w:tab/>
        <w:t>(a)</w:t>
      </w:r>
      <w:r>
        <w:tab/>
        <w:t>if the proposed procedure is red cell antigen blood grouping, red cell enzyme blood grouping or testing for serum markers, within 6 days after the sample is taken; or</w:t>
      </w:r>
    </w:p>
    <w:p>
      <w:pPr>
        <w:pStyle w:val="Indenta"/>
      </w:pPr>
      <w:r>
        <w:tab/>
        <w:t>(b)</w:t>
      </w:r>
      <w:r>
        <w:tab/>
        <w:t>if the proposed procedure is HLA tissue typing, within 3 days after the sample is taken; or</w:t>
      </w:r>
    </w:p>
    <w:p>
      <w:pPr>
        <w:pStyle w:val="Indenta"/>
      </w:pPr>
      <w:r>
        <w:tab/>
        <w:t>(c)</w:t>
      </w:r>
      <w:r>
        <w:tab/>
        <w:t>if the proposed procedure is DNA typing, within a reasonable time after the sample is taken.</w:t>
      </w:r>
    </w:p>
    <w:p>
      <w:pPr>
        <w:pStyle w:val="Subsection"/>
      </w:pPr>
      <w:r>
        <w:tab/>
        <w:t>(2)</w:t>
      </w:r>
      <w:r>
        <w:tab/>
        <w:t>If the proposed procedure is red cell enzyme blood grouping or testing for serum markers, subregulation (1)(a) is complied with if a dried sample of the bodily sample to be tested is prepared within 6 days after the sample is taken from the donor.</w:t>
      </w:r>
    </w:p>
    <w:p>
      <w:pPr>
        <w:pStyle w:val="Footnotesection"/>
      </w:pPr>
      <w:r>
        <w:tab/>
        <w:t>[Regulation 16K inserted: Gazette 28 Jan 2011 p. 248.]</w:t>
      </w:r>
    </w:p>
    <w:p>
      <w:pPr>
        <w:pStyle w:val="Heading3"/>
      </w:pPr>
      <w:bookmarkStart w:id="100" w:name="_Toc517792423"/>
      <w:bookmarkStart w:id="101" w:name="_Toc517792486"/>
      <w:bookmarkStart w:id="102" w:name="_Toc517945075"/>
      <w:bookmarkStart w:id="103" w:name="_Toc518053951"/>
      <w:bookmarkStart w:id="104" w:name="_Toc12609410"/>
      <w:r>
        <w:rPr>
          <w:rStyle w:val="CharDivNo"/>
        </w:rPr>
        <w:t>Division 3</w:t>
      </w:r>
      <w:r>
        <w:t> — </w:t>
      </w:r>
      <w:r>
        <w:rPr>
          <w:rStyle w:val="CharDivText"/>
        </w:rPr>
        <w:t>Reports</w:t>
      </w:r>
      <w:bookmarkEnd w:id="100"/>
      <w:bookmarkEnd w:id="101"/>
      <w:bookmarkEnd w:id="102"/>
      <w:bookmarkEnd w:id="103"/>
      <w:bookmarkEnd w:id="104"/>
    </w:p>
    <w:p>
      <w:pPr>
        <w:pStyle w:val="Footnoteheading"/>
        <w:keepNext/>
      </w:pPr>
      <w:r>
        <w:tab/>
        <w:t>[Heading inserted: Gazette 28 Jan 2011 p. 248.]</w:t>
      </w:r>
    </w:p>
    <w:p>
      <w:pPr>
        <w:pStyle w:val="Heading5"/>
      </w:pPr>
      <w:bookmarkStart w:id="105" w:name="_Toc12609411"/>
      <w:bookmarkStart w:id="106" w:name="_Toc518053952"/>
      <w:r>
        <w:rPr>
          <w:rStyle w:val="CharSectno"/>
        </w:rPr>
        <w:t>16L</w:t>
      </w:r>
      <w:r>
        <w:t>.</w:t>
      </w:r>
      <w:r>
        <w:tab/>
        <w:t>Reports of testing (Act s. 136H(b))</w:t>
      </w:r>
      <w:bookmarkEnd w:id="105"/>
      <w:bookmarkEnd w:id="106"/>
    </w:p>
    <w:p>
      <w:pPr>
        <w:pStyle w:val="Subsection"/>
      </w:pPr>
      <w:r>
        <w:tab/>
        <w:t>(1)</w:t>
      </w:r>
      <w:r>
        <w:tab/>
        <w:t>For the purposes of section 136H(b) a report must be prepared, in accordance with this regulation, relating to the information obtained as a result of carrying out a parentage testing procedure.</w:t>
      </w:r>
    </w:p>
    <w:p>
      <w:pPr>
        <w:pStyle w:val="Subsection"/>
      </w:pPr>
      <w:r>
        <w:tab/>
        <w:t>(2)</w:t>
      </w:r>
      <w:r>
        <w:tab/>
        <w:t>The report must be in the form of Schedule 1 Form 6.</w:t>
      </w:r>
    </w:p>
    <w:p>
      <w:pPr>
        <w:pStyle w:val="Subsection"/>
      </w:pPr>
      <w:r>
        <w:tab/>
        <w:t>(3)</w:t>
      </w:r>
      <w:r>
        <w:tab/>
        <w:t>Part I of the report must be completed by the nominated reporter identified in the report.</w:t>
      </w:r>
    </w:p>
    <w:p>
      <w:pPr>
        <w:pStyle w:val="Subsection"/>
      </w:pPr>
      <w:r>
        <w:tab/>
        <w:t>(4)</w:t>
      </w:r>
      <w:r>
        <w:tab/>
        <w:t xml:space="preserve">Part II of the report must be completed by — </w:t>
      </w:r>
    </w:p>
    <w:p>
      <w:pPr>
        <w:pStyle w:val="Indenta"/>
      </w:pPr>
      <w:r>
        <w:tab/>
        <w:t>(a)</w:t>
      </w:r>
      <w:r>
        <w:tab/>
        <w:t>the person who carried out the parentage testing procedure; or</w:t>
      </w:r>
    </w:p>
    <w:p>
      <w:pPr>
        <w:pStyle w:val="Indenta"/>
      </w:pPr>
      <w:r>
        <w:tab/>
        <w:t>(b)</w:t>
      </w:r>
      <w:r>
        <w:tab/>
        <w:t>the person under whose supervision the parentage testing procedure was carried out.</w:t>
      </w:r>
    </w:p>
    <w:p>
      <w:pPr>
        <w:pStyle w:val="Subsection"/>
      </w:pPr>
      <w:r>
        <w:tab/>
        <w:t>(5)</w:t>
      </w:r>
      <w:r>
        <w:tab/>
        <w:t>A report completed otherwise than in accordance with this regulation is taken to be of no effect.</w:t>
      </w:r>
    </w:p>
    <w:p>
      <w:pPr>
        <w:pStyle w:val="Footnotesection"/>
      </w:pPr>
      <w:r>
        <w:tab/>
        <w:t>[Regulation 16L inserted: Gazette 28 Jan 2011 p. 248-9.]</w:t>
      </w:r>
    </w:p>
    <w:p>
      <w:pPr>
        <w:pStyle w:val="Heading2"/>
      </w:pPr>
      <w:bookmarkStart w:id="107" w:name="_Toc517792425"/>
      <w:bookmarkStart w:id="108" w:name="_Toc517792488"/>
      <w:bookmarkStart w:id="109" w:name="_Toc517945077"/>
      <w:bookmarkStart w:id="110" w:name="_Toc518053953"/>
      <w:bookmarkStart w:id="111" w:name="_Toc12609412"/>
      <w:r>
        <w:rPr>
          <w:rStyle w:val="CharPartNo"/>
        </w:rPr>
        <w:t>Part 5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Reports about child</w:t>
      </w:r>
      <w:bookmarkEnd w:id="107"/>
      <w:bookmarkEnd w:id="108"/>
      <w:bookmarkEnd w:id="109"/>
      <w:bookmarkEnd w:id="110"/>
      <w:bookmarkEnd w:id="111"/>
    </w:p>
    <w:p>
      <w:pPr>
        <w:pStyle w:val="Heading5"/>
      </w:pPr>
      <w:bookmarkStart w:id="112" w:name="_Toc12609413"/>
      <w:bookmarkStart w:id="113" w:name="_Toc518053954"/>
      <w:r>
        <w:rPr>
          <w:rStyle w:val="CharSectno"/>
        </w:rPr>
        <w:t>16</w:t>
      </w:r>
      <w:r>
        <w:t>.</w:t>
      </w:r>
      <w:r>
        <w:tab/>
        <w:t>Terms used</w:t>
      </w:r>
      <w:bookmarkEnd w:id="112"/>
      <w:bookmarkEnd w:id="113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panel</w:t>
      </w:r>
      <w:r>
        <w:t xml:space="preserve"> means the panel of names referred to in regulation 18(1);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report</w:t>
      </w:r>
      <w:r>
        <w:t xml:space="preserve"> has the meaning given to that term in section 138.</w:t>
      </w:r>
    </w:p>
    <w:p>
      <w:pPr>
        <w:pStyle w:val="Heading5"/>
      </w:pPr>
      <w:bookmarkStart w:id="114" w:name="_Toc12609414"/>
      <w:bookmarkStart w:id="115" w:name="_Toc518053955"/>
      <w:r>
        <w:rPr>
          <w:rStyle w:val="CharSectno"/>
        </w:rPr>
        <w:t>17</w:t>
      </w:r>
      <w:r>
        <w:t>.</w:t>
      </w:r>
      <w:r>
        <w:tab/>
        <w:t>Appointing people to provide reports (Act s. 139)</w:t>
      </w:r>
      <w:bookmarkEnd w:id="114"/>
      <w:bookmarkEnd w:id="115"/>
    </w:p>
    <w:p>
      <w:pPr>
        <w:pStyle w:val="Subsection"/>
      </w:pPr>
      <w:r>
        <w:tab/>
        <w:t>(1)</w:t>
      </w:r>
      <w:r>
        <w:tab/>
        <w:t>Unless subregulation (2) applies, a person referred to in section 139(1) is to be appointed from the panel.</w:t>
      </w:r>
    </w:p>
    <w:p>
      <w:pPr>
        <w:pStyle w:val="Subsection"/>
      </w:pPr>
      <w:r>
        <w:tab/>
        <w:t>(2)</w:t>
      </w:r>
      <w:r>
        <w:tab/>
        <w:t>If the Court considers that a report is required from a person with particular qualifications or experience and such a person is not on the panel, the Court may appoint for the purposes of section 139 a person who, in the opinion of the Court, has the necessary qualifications or experience.</w:t>
      </w:r>
    </w:p>
    <w:p>
      <w:pPr>
        <w:pStyle w:val="Heading5"/>
      </w:pPr>
      <w:bookmarkStart w:id="116" w:name="_Toc12609415"/>
      <w:bookmarkStart w:id="117" w:name="_Toc518053956"/>
      <w:r>
        <w:rPr>
          <w:rStyle w:val="CharSectno"/>
        </w:rPr>
        <w:t>18</w:t>
      </w:r>
      <w:r>
        <w:t>.</w:t>
      </w:r>
      <w:r>
        <w:tab/>
        <w:t>President to establish panel</w:t>
      </w:r>
      <w:bookmarkEnd w:id="116"/>
      <w:bookmarkEnd w:id="117"/>
    </w:p>
    <w:p>
      <w:pPr>
        <w:pStyle w:val="Subsection"/>
      </w:pPr>
      <w:r>
        <w:tab/>
        <w:t>(1)</w:t>
      </w:r>
      <w:r>
        <w:tab/>
        <w:t xml:space="preserve">The President must establish and maintain a panel of names of people who — </w:t>
      </w:r>
    </w:p>
    <w:p>
      <w:pPr>
        <w:pStyle w:val="Indenta"/>
      </w:pPr>
      <w:r>
        <w:tab/>
        <w:t>(a)</w:t>
      </w:r>
      <w:r>
        <w:tab/>
        <w:t>in the opinion of the President have appropriate qualifications and experience in one or more of the fields of medicine, psychology, psychiatry and social work; and</w:t>
      </w:r>
    </w:p>
    <w:p>
      <w:pPr>
        <w:pStyle w:val="Indenta"/>
      </w:pPr>
      <w:r>
        <w:tab/>
        <w:t>(b)</w:t>
      </w:r>
      <w:r>
        <w:tab/>
        <w:t>are willing to be appointed for the purposes of section 139.</w:t>
      </w:r>
    </w:p>
    <w:p>
      <w:pPr>
        <w:pStyle w:val="Subsection"/>
      </w:pPr>
      <w:r>
        <w:tab/>
        <w:t>(2)</w:t>
      </w:r>
      <w:r>
        <w:tab/>
        <w:t>The President may remove the name of a person from the panel at any time.</w:t>
      </w:r>
    </w:p>
    <w:p>
      <w:pPr>
        <w:pStyle w:val="Heading5"/>
      </w:pPr>
      <w:bookmarkStart w:id="118" w:name="_Toc12609416"/>
      <w:bookmarkStart w:id="119" w:name="_Toc518053957"/>
      <w:r>
        <w:rPr>
          <w:rStyle w:val="CharSectno"/>
        </w:rPr>
        <w:t>19</w:t>
      </w:r>
      <w:r>
        <w:t>.</w:t>
      </w:r>
      <w:r>
        <w:tab/>
        <w:t>Terms and conditions of appointment under Act s. 139</w:t>
      </w:r>
      <w:bookmarkEnd w:id="118"/>
      <w:bookmarkEnd w:id="119"/>
    </w:p>
    <w:p>
      <w:pPr>
        <w:pStyle w:val="Subsection"/>
      </w:pPr>
      <w:r>
        <w:tab/>
      </w:r>
      <w:r>
        <w:tab/>
        <w:t>The remuneration, allowances, and other terms and conditions of appointment, of a person appointed for the purposes of section 139 are as described in his or her instrument of appointment.</w:t>
      </w:r>
    </w:p>
    <w:p>
      <w:pPr>
        <w:pStyle w:val="Heading5"/>
      </w:pPr>
      <w:bookmarkStart w:id="120" w:name="_Toc12609417"/>
      <w:bookmarkStart w:id="121" w:name="_Toc518053958"/>
      <w:r>
        <w:rPr>
          <w:rStyle w:val="CharSectno"/>
        </w:rPr>
        <w:t>20</w:t>
      </w:r>
      <w:r>
        <w:t>.</w:t>
      </w:r>
      <w:r>
        <w:tab/>
        <w:t>Costs of report</w:t>
      </w:r>
      <w:bookmarkEnd w:id="120"/>
      <w:bookmarkEnd w:id="121"/>
    </w:p>
    <w:p>
      <w:pPr>
        <w:pStyle w:val="Subsection"/>
      </w:pPr>
      <w:r>
        <w:tab/>
        <w:t>(1)</w:t>
      </w:r>
      <w:r>
        <w:tab/>
        <w:t>A party to protection proceedings is to pay the costs of a report given in those proceedings if the Court so orders.</w:t>
      </w:r>
    </w:p>
    <w:p>
      <w:pPr>
        <w:pStyle w:val="Subsection"/>
      </w:pPr>
      <w:r>
        <w:tab/>
        <w:t>(2)</w:t>
      </w:r>
      <w:r>
        <w:tab/>
        <w:t>The Court must not make an order under subregulation (1) unless it is satisfied that there are exceptional reasons for doing so.</w:t>
      </w:r>
    </w:p>
    <w:p>
      <w:pPr>
        <w:pStyle w:val="Heading2"/>
      </w:pPr>
      <w:bookmarkStart w:id="122" w:name="_Toc517792431"/>
      <w:bookmarkStart w:id="123" w:name="_Toc517792494"/>
      <w:bookmarkStart w:id="124" w:name="_Toc517945083"/>
      <w:bookmarkStart w:id="125" w:name="_Toc518053959"/>
      <w:bookmarkStart w:id="126" w:name="_Toc12609418"/>
      <w:r>
        <w:rPr>
          <w:rStyle w:val="CharPartNo"/>
        </w:rPr>
        <w:t>Part 6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Miscellaneous</w:t>
      </w:r>
      <w:bookmarkEnd w:id="122"/>
      <w:bookmarkEnd w:id="123"/>
      <w:bookmarkEnd w:id="124"/>
      <w:bookmarkEnd w:id="125"/>
      <w:bookmarkEnd w:id="126"/>
    </w:p>
    <w:p>
      <w:pPr>
        <w:pStyle w:val="Heading5"/>
      </w:pPr>
      <w:bookmarkStart w:id="127" w:name="_Toc12609419"/>
      <w:bookmarkStart w:id="128" w:name="_Toc518053960"/>
      <w:r>
        <w:rPr>
          <w:rStyle w:val="CharSectno"/>
        </w:rPr>
        <w:t>20A</w:t>
      </w:r>
      <w:r>
        <w:t>.</w:t>
      </w:r>
      <w:r>
        <w:tab/>
        <w:t>Prescribed authorities (Act s. 28A)</w:t>
      </w:r>
      <w:bookmarkEnd w:id="127"/>
      <w:bookmarkEnd w:id="128"/>
    </w:p>
    <w:p>
      <w:pPr>
        <w:pStyle w:val="Subsection"/>
      </w:pPr>
      <w:r>
        <w:tab/>
      </w:r>
      <w:r>
        <w:tab/>
        <w:t xml:space="preserve">The following public authorities are prescribed for the purposes of the definition of </w:t>
      </w:r>
      <w:r>
        <w:rPr>
          <w:b/>
          <w:bCs/>
          <w:i/>
          <w:iCs/>
        </w:rPr>
        <w:t>prescribed authority</w:t>
      </w:r>
      <w:r>
        <w:t xml:space="preserve"> in section 28A —</w:t>
      </w:r>
    </w:p>
    <w:p>
      <w:pPr>
        <w:pStyle w:val="Indenta"/>
      </w:pPr>
      <w:r>
        <w:tab/>
        <w:t>(a)</w:t>
      </w:r>
      <w:r>
        <w:tab/>
        <w:t xml:space="preserve">the department of the Public Service principally assisting in the administration of the </w:t>
      </w:r>
      <w:r>
        <w:rPr>
          <w:i/>
        </w:rPr>
        <w:t>Aboriginal Heritage Act 1972</w:t>
      </w:r>
      <w:r>
        <w:t>;</w:t>
      </w:r>
    </w:p>
    <w:p>
      <w:pPr>
        <w:pStyle w:val="Indenta"/>
      </w:pPr>
      <w:r>
        <w:tab/>
        <w:t>(b)</w:t>
      </w:r>
      <w:r>
        <w:tab/>
        <w:t xml:space="preserve">the department of the Public Service principally assisting in the administration of the </w:t>
      </w:r>
      <w:r>
        <w:rPr>
          <w:i/>
        </w:rPr>
        <w:t>Births, Deaths and Marriages Registration Act 1998</w:t>
      </w:r>
      <w:r>
        <w:t>;</w:t>
      </w:r>
    </w:p>
    <w:p>
      <w:pPr>
        <w:pStyle w:val="Ednotepara"/>
      </w:pPr>
      <w:r>
        <w:tab/>
        <w:t>[(c)</w:t>
      </w:r>
      <w:r>
        <w:tab/>
        <w:t>deleted]</w:t>
      </w:r>
    </w:p>
    <w:p>
      <w:pPr>
        <w:pStyle w:val="Indenta"/>
        <w:rPr>
          <w:iCs/>
        </w:rPr>
      </w:pPr>
      <w:r>
        <w:tab/>
        <w:t>(d)</w:t>
      </w:r>
      <w:r>
        <w:tab/>
        <w:t xml:space="preserve">the department of the Public Service principally assisting in the administration of the </w:t>
      </w:r>
      <w:r>
        <w:rPr>
          <w:i/>
        </w:rPr>
        <w:t>Health Legislation Administration Act 1984</w:t>
      </w:r>
      <w:r>
        <w:rPr>
          <w:iCs/>
        </w:rPr>
        <w:t>;</w:t>
      </w:r>
    </w:p>
    <w:p>
      <w:pPr>
        <w:pStyle w:val="Ednotepara"/>
      </w:pPr>
      <w:r>
        <w:tab/>
        <w:t>[(e)</w:t>
      </w:r>
      <w:r>
        <w:tab/>
        <w:t>deleted]</w:t>
      </w:r>
    </w:p>
    <w:p>
      <w:pPr>
        <w:pStyle w:val="Indenta"/>
      </w:pPr>
      <w:r>
        <w:tab/>
        <w:t>(f)</w:t>
      </w:r>
      <w:r>
        <w:tab/>
        <w:t xml:space="preserve">the Housing Authority referred to in the </w:t>
      </w:r>
      <w:r>
        <w:rPr>
          <w:i/>
        </w:rPr>
        <w:t>Housing Act 1980</w:t>
      </w:r>
      <w:r>
        <w:t xml:space="preserve"> section 6(4);</w:t>
      </w:r>
    </w:p>
    <w:p>
      <w:pPr>
        <w:pStyle w:val="Ednotepara"/>
      </w:pPr>
      <w:r>
        <w:tab/>
        <w:t>[(g)</w:t>
      </w:r>
      <w:r>
        <w:tab/>
        <w:t>deleted]</w:t>
      </w:r>
    </w:p>
    <w:p>
      <w:pPr>
        <w:pStyle w:val="Indenta"/>
      </w:pPr>
      <w:r>
        <w:tab/>
        <w:t>(h)</w:t>
      </w:r>
      <w:r>
        <w:tab/>
        <w:t xml:space="preserve">the department of the Public Service principally assisting in the administration of the </w:t>
      </w:r>
      <w:r>
        <w:rPr>
          <w:i/>
        </w:rPr>
        <w:t>School Education Act </w:t>
      </w:r>
      <w:r>
        <w:rPr>
          <w:i/>
          <w:iCs/>
        </w:rPr>
        <w:t>1999</w:t>
      </w:r>
      <w:r>
        <w:t>;</w:t>
      </w:r>
    </w:p>
    <w:p>
      <w:pPr>
        <w:pStyle w:val="Indenta"/>
      </w:pPr>
      <w:r>
        <w:tab/>
        <w:t>(i)</w:t>
      </w:r>
      <w:r>
        <w:tab/>
        <w:t>the department of the Public Service designated as the Mental Health Commission;</w:t>
      </w:r>
    </w:p>
    <w:p>
      <w:pPr>
        <w:pStyle w:val="Indenta"/>
      </w:pPr>
      <w:r>
        <w:tab/>
        <w:t>(j)</w:t>
      </w:r>
      <w:r>
        <w:tab/>
        <w:t>the department of the Public Service designated as the Police Service;</w:t>
      </w:r>
    </w:p>
    <w:p>
      <w:pPr>
        <w:pStyle w:val="Indenta"/>
      </w:pPr>
      <w:r>
        <w:tab/>
        <w:t>(k)</w:t>
      </w:r>
      <w:r>
        <w:tab/>
        <w:t xml:space="preserve">the Disability Services Commission referred to in the </w:t>
      </w:r>
      <w:r>
        <w:rPr>
          <w:i/>
        </w:rPr>
        <w:t>Disability Services Act 1993</w:t>
      </w:r>
      <w:r>
        <w:t xml:space="preserve"> section 6;</w:t>
      </w:r>
    </w:p>
    <w:p>
      <w:pPr>
        <w:pStyle w:val="Indenta"/>
      </w:pPr>
      <w:r>
        <w:tab/>
        <w:t>(la)</w:t>
      </w:r>
      <w:r>
        <w:tab/>
        <w:t xml:space="preserve">the Police Force of </w:t>
      </w:r>
      <w:smartTag w:uri="urn:schemas-microsoft-com:office:smarttags" w:element="place">
        <w:smartTag w:uri="urn:schemas-microsoft-com:office:smarttags" w:element="State">
          <w:r>
            <w:t>Western Australia</w:t>
          </w:r>
        </w:smartTag>
      </w:smartTag>
      <w:r>
        <w:t>;</w:t>
      </w:r>
    </w:p>
    <w:p>
      <w:pPr>
        <w:pStyle w:val="Ednotepara"/>
      </w:pPr>
      <w:r>
        <w:tab/>
        <w:t>[(l)</w:t>
      </w:r>
      <w:r>
        <w:tab/>
        <w:t>deleted]</w:t>
      </w:r>
    </w:p>
    <w:p>
      <w:pPr>
        <w:pStyle w:val="Indenta"/>
      </w:pPr>
      <w:r>
        <w:tab/>
        <w:t>(m)</w:t>
      </w:r>
      <w:r>
        <w:tab/>
        <w:t xml:space="preserve">each health service provider established by an order made under the </w:t>
      </w:r>
      <w:r>
        <w:rPr>
          <w:i/>
        </w:rPr>
        <w:t xml:space="preserve">Health Services Act 2016 </w:t>
      </w:r>
      <w:r>
        <w:t>section 32(1);</w:t>
      </w:r>
    </w:p>
    <w:p>
      <w:pPr>
        <w:pStyle w:val="Indenta"/>
      </w:pPr>
      <w:r>
        <w:tab/>
        <w:t>(n)</w:t>
      </w:r>
      <w:r>
        <w:tab/>
        <w:t xml:space="preserve">the Teacher Registration Board of Western Australia established by the </w:t>
      </w:r>
      <w:r>
        <w:rPr>
          <w:i/>
        </w:rPr>
        <w:t>Teacher Registration Act 2012</w:t>
      </w:r>
      <w:r>
        <w:t xml:space="preserve"> section 86;</w:t>
      </w:r>
    </w:p>
    <w:p>
      <w:pPr>
        <w:pStyle w:val="Indenta"/>
      </w:pPr>
      <w:r>
        <w:tab/>
        <w:t>(o)</w:t>
      </w:r>
      <w:r>
        <w:tab/>
        <w:t xml:space="preserve">the Training Accreditation Council established by the </w:t>
      </w:r>
      <w:r>
        <w:rPr>
          <w:i/>
        </w:rPr>
        <w:t>Vocational Education and Training Act 1996</w:t>
      </w:r>
      <w:r>
        <w:t xml:space="preserve"> section 25;</w:t>
      </w:r>
    </w:p>
    <w:p>
      <w:pPr>
        <w:pStyle w:val="Indenta"/>
      </w:pPr>
      <w:r>
        <w:tab/>
        <w:t>(p)</w:t>
      </w:r>
      <w:r>
        <w:tab/>
        <w:t xml:space="preserve">each college established under the </w:t>
      </w:r>
      <w:r>
        <w:rPr>
          <w:i/>
        </w:rPr>
        <w:t>Vocational Education and Training Act 1996</w:t>
      </w:r>
      <w:r>
        <w:t xml:space="preserve"> section 35;</w:t>
      </w:r>
    </w:p>
    <w:p>
      <w:pPr>
        <w:pStyle w:val="Indenta"/>
      </w:pPr>
      <w:r>
        <w:tab/>
        <w:t>(q)</w:t>
      </w:r>
      <w:r>
        <w:tab/>
        <w:t>a judge of the Family Court of Western Australia;</w:t>
      </w:r>
    </w:p>
    <w:p>
      <w:pPr>
        <w:pStyle w:val="Indenta"/>
      </w:pPr>
      <w:r>
        <w:tab/>
        <w:t>(r)</w:t>
      </w:r>
      <w:r>
        <w:tab/>
        <w:t>the Principal Registrar, a deputy registrar or a registrar of the Family Court of Western Australia;</w:t>
      </w:r>
    </w:p>
    <w:p>
      <w:pPr>
        <w:pStyle w:val="Indenta"/>
      </w:pPr>
      <w:r>
        <w:tab/>
        <w:t>(s)</w:t>
      </w:r>
      <w:r>
        <w:tab/>
        <w:t xml:space="preserve">a family law magistrate as defined in the </w:t>
      </w:r>
      <w:r>
        <w:rPr>
          <w:i/>
        </w:rPr>
        <w:t>Family Court Act 1997</w:t>
      </w:r>
      <w:r>
        <w:t xml:space="preserve"> section 5(1);</w:t>
      </w:r>
    </w:p>
    <w:p>
      <w:pPr>
        <w:pStyle w:val="Indenta"/>
      </w:pPr>
      <w:r>
        <w:tab/>
        <w:t>(t)</w:t>
      </w:r>
      <w:r>
        <w:tab/>
        <w:t xml:space="preserve">a family consultant as defined in the </w:t>
      </w:r>
      <w:r>
        <w:rPr>
          <w:i/>
        </w:rPr>
        <w:t>Family Court Act 1997</w:t>
      </w:r>
      <w:r>
        <w:t xml:space="preserve"> section 61;</w:t>
      </w:r>
    </w:p>
    <w:p>
      <w:pPr>
        <w:pStyle w:val="Indenta"/>
      </w:pPr>
      <w:r>
        <w:tab/>
        <w:t>(u)</w:t>
      </w:r>
      <w:r>
        <w:tab/>
        <w:t>the department of the Public Service designated as the Department of the Premier and Cabinet;</w:t>
      </w:r>
    </w:p>
    <w:p>
      <w:pPr>
        <w:pStyle w:val="Indenta"/>
      </w:pPr>
      <w:r>
        <w:tab/>
        <w:t>(v)</w:t>
      </w:r>
      <w:r>
        <w:tab/>
        <w:t xml:space="preserve">the department of the Public Service principally assisting in the administration of the </w:t>
      </w:r>
      <w:r>
        <w:rPr>
          <w:i/>
        </w:rPr>
        <w:t>Financial Management Act 2006</w:t>
      </w:r>
      <w:r>
        <w:t>.</w:t>
      </w:r>
    </w:p>
    <w:p>
      <w:pPr>
        <w:pStyle w:val="Footnotesection"/>
      </w:pPr>
      <w:r>
        <w:tab/>
        <w:t>[Regulation 20A inserted: Gazette 28 Jan 2011 p. 249-50; amended: Gazette 27 Jan 2012 p. 567; 27 Jun 2014 p. 2311; 10 Apr 2015 p. 1251; 15 Dec 2015 p. 5028-9; 24 Jun 2016 p. 2296; 22 Jun 2018 p. 2179.]</w:t>
      </w:r>
    </w:p>
    <w:p>
      <w:pPr>
        <w:pStyle w:val="Heading5"/>
      </w:pPr>
      <w:bookmarkStart w:id="129" w:name="_Toc12609420"/>
      <w:bookmarkStart w:id="130" w:name="_Toc518053961"/>
      <w:r>
        <w:rPr>
          <w:rStyle w:val="CharSectno"/>
        </w:rPr>
        <w:t>21</w:t>
      </w:r>
      <w:r>
        <w:t>.</w:t>
      </w:r>
      <w:r>
        <w:tab/>
        <w:t>Special guardians, payments to (Act s. 65)</w:t>
      </w:r>
      <w:bookmarkEnd w:id="129"/>
      <w:bookmarkEnd w:id="130"/>
    </w:p>
    <w:p>
      <w:pPr>
        <w:pStyle w:val="Subsection"/>
      </w:pPr>
      <w:r>
        <w:tab/>
        <w:t>(1)</w:t>
      </w:r>
      <w:r>
        <w:tab/>
        <w:t>For the purposes of section 65 the scale of amounts set out in the Table is prescribed.</w:t>
      </w:r>
    </w:p>
    <w:p>
      <w:pPr>
        <w:pStyle w:val="THeadingNAm"/>
      </w:pPr>
      <w:r>
        <w:t>Table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113" w:type="dxa"/>
        </w:tblCellMar>
        <w:tblLook w:val="0000" w:firstRow="0" w:lastRow="0" w:firstColumn="0" w:lastColumn="0" w:noHBand="0" w:noVBand="0"/>
      </w:tblPr>
      <w:tblGrid>
        <w:gridCol w:w="4536"/>
        <w:gridCol w:w="1559"/>
      </w:tblGrid>
      <w:tr>
        <w:trPr>
          <w:tblHeader/>
        </w:trPr>
        <w:tc>
          <w:tcPr>
            <w:tcW w:w="4536" w:type="dxa"/>
          </w:tcPr>
          <w:p>
            <w:pPr>
              <w:pStyle w:val="TableNAm"/>
              <w:jc w:val="center"/>
              <w:rPr>
                <w:b/>
              </w:rPr>
            </w:pPr>
            <w:r>
              <w:rPr>
                <w:b/>
              </w:rPr>
              <w:t>Class of children</w:t>
            </w:r>
          </w:p>
        </w:tc>
        <w:tc>
          <w:tcPr>
            <w:tcW w:w="1559" w:type="dxa"/>
          </w:tcPr>
          <w:p>
            <w:pPr>
              <w:pStyle w:val="TableNAm"/>
              <w:jc w:val="center"/>
              <w:rPr>
                <w:b/>
              </w:rPr>
            </w:pPr>
            <w:r>
              <w:rPr>
                <w:b/>
              </w:rPr>
              <w:t>Amount</w:t>
            </w:r>
            <w:del w:id="131" w:author="Master Repository Process" w:date="2021-07-31T20:24:00Z">
              <w:r>
                <w:rPr>
                  <w:b/>
                  <w:bCs/>
                </w:rPr>
                <w:delText xml:space="preserve"> ($)</w:delText>
              </w:r>
            </w:del>
          </w:p>
        </w:tc>
      </w:tr>
      <w:tr>
        <w:tc>
          <w:tcPr>
            <w:tcW w:w="4536" w:type="dxa"/>
          </w:tcPr>
          <w:p>
            <w:pPr>
              <w:pStyle w:val="TableNAm"/>
            </w:pPr>
            <w:r>
              <w:t>Children who are under 7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t>$</w:t>
            </w:r>
            <w:del w:id="132" w:author="Master Repository Process" w:date="2021-07-31T20:24:00Z">
              <w:r>
                <w:delText>411</w:delText>
              </w:r>
            </w:del>
            <w:ins w:id="133" w:author="Master Repository Process" w:date="2021-07-31T20:24:00Z">
              <w:r>
                <w:t>419</w:t>
              </w:r>
            </w:ins>
          </w:p>
        </w:tc>
      </w:tr>
      <w:tr>
        <w:tc>
          <w:tcPr>
            <w:tcW w:w="4536" w:type="dxa"/>
          </w:tcPr>
          <w:p>
            <w:pPr>
              <w:pStyle w:val="TableNAm"/>
              <w:keepNext/>
            </w:pPr>
            <w:r>
              <w:t>Children who have reached 7 years of age but are under 13 years of age</w:t>
            </w:r>
          </w:p>
        </w:tc>
        <w:tc>
          <w:tcPr>
            <w:tcW w:w="1559" w:type="dxa"/>
            <w:vAlign w:val="bottom"/>
          </w:tcPr>
          <w:p>
            <w:pPr>
              <w:pStyle w:val="TableNAm"/>
            </w:pPr>
            <w:del w:id="134" w:author="Master Repository Process" w:date="2021-07-31T20:24:00Z">
              <w:r>
                <w:br/>
                <w:delText>$486</w:delText>
              </w:r>
            </w:del>
            <w:ins w:id="135" w:author="Master Repository Process" w:date="2021-07-31T20:24:00Z">
              <w:r>
                <w:t>$496</w:t>
              </w:r>
            </w:ins>
          </w:p>
        </w:tc>
      </w:tr>
      <w:tr>
        <w:tc>
          <w:tcPr>
            <w:tcW w:w="4536" w:type="dxa"/>
          </w:tcPr>
          <w:p>
            <w:pPr>
              <w:pStyle w:val="TableNAm"/>
            </w:pPr>
            <w:r>
              <w:t>Children who have reached 13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t>$</w:t>
            </w:r>
            <w:del w:id="136" w:author="Master Repository Process" w:date="2021-07-31T20:24:00Z">
              <w:r>
                <w:delText>588</w:delText>
              </w:r>
            </w:del>
            <w:ins w:id="137" w:author="Master Repository Process" w:date="2021-07-31T20:24:00Z">
              <w:r>
                <w:t>600</w:t>
              </w:r>
            </w:ins>
          </w:p>
        </w:tc>
      </w:tr>
    </w:tbl>
    <w:p>
      <w:pPr>
        <w:pStyle w:val="Subsection"/>
        <w:keepNext/>
      </w:pPr>
      <w:r>
        <w:tab/>
        <w:t>(2)</w:t>
      </w:r>
      <w:r>
        <w:tab/>
        <w:t>Payments of amounts prescribed under subregulation (1) are to be made at fortnightly intervals.</w:t>
      </w:r>
    </w:p>
    <w:p>
      <w:pPr>
        <w:pStyle w:val="Footnotesection"/>
      </w:pPr>
      <w:r>
        <w:tab/>
        <w:t>[Regulation 21 amended: Gazette 7 Aug 2007 p. 4029; 18 Jan 2011 p. 146; 21 Sep 2012 p. 4422; 27 Jun 2014 p. 2311; 26 Jun 2015 p. 2238</w:t>
      </w:r>
      <w:r>
        <w:noBreakHyphen/>
        <w:t>9; 24 Jun 2016 p. 2293; 23 Jun 2017 p. 3175; 22 Jun 2018 p. 2179</w:t>
      </w:r>
      <w:ins w:id="138" w:author="Master Repository Process" w:date="2021-07-31T20:24:00Z">
        <w:r>
          <w:t>; 28 Jun 2019 p. 2478</w:t>
        </w:r>
      </w:ins>
      <w:r>
        <w:t>.]</w:t>
      </w:r>
    </w:p>
    <w:p>
      <w:pPr>
        <w:pStyle w:val="Heading5"/>
      </w:pPr>
      <w:bookmarkStart w:id="139" w:name="_Toc12609421"/>
      <w:bookmarkStart w:id="140" w:name="_Toc518053962"/>
      <w:r>
        <w:rPr>
          <w:rStyle w:val="CharSectno"/>
        </w:rPr>
        <w:t>21A</w:t>
      </w:r>
      <w:r>
        <w:t>.</w:t>
      </w:r>
      <w:r>
        <w:tab/>
        <w:t>Work prescribed (Act s. 191(4))</w:t>
      </w:r>
      <w:bookmarkEnd w:id="139"/>
      <w:bookmarkEnd w:id="140"/>
    </w:p>
    <w:p>
      <w:pPr>
        <w:pStyle w:val="Subsection"/>
      </w:pPr>
      <w:r>
        <w:tab/>
      </w:r>
      <w:r>
        <w:tab/>
        <w:t>Work that involves the collection of shopping trolleys at or in the vicinity of a shop or other retail outlet is prescribed for the purposes of section 191(4).</w:t>
      </w:r>
    </w:p>
    <w:p>
      <w:pPr>
        <w:pStyle w:val="Footnotesection"/>
      </w:pPr>
      <w:r>
        <w:tab/>
        <w:t>[Regulation 21A inserted: Gazette 18 Aug 2006 p. 3367.]</w:t>
      </w:r>
    </w:p>
    <w:p>
      <w:pPr>
        <w:pStyle w:val="Heading5"/>
      </w:pPr>
      <w:bookmarkStart w:id="141" w:name="_Toc12609422"/>
      <w:bookmarkStart w:id="142" w:name="_Toc518053963"/>
      <w:r>
        <w:rPr>
          <w:rStyle w:val="CharSectno"/>
        </w:rPr>
        <w:t>21B</w:t>
      </w:r>
      <w:r>
        <w:t>.</w:t>
      </w:r>
      <w:r>
        <w:tab/>
        <w:t>Prescribed personal material (Act s. 97(1))</w:t>
      </w:r>
      <w:bookmarkEnd w:id="141"/>
      <w:bookmarkEnd w:id="142"/>
    </w:p>
    <w:p>
      <w:pPr>
        <w:pStyle w:val="Subsection"/>
      </w:pPr>
      <w:r>
        <w:tab/>
      </w:r>
      <w:r>
        <w:tab/>
        <w:t xml:space="preserve">For the purposes of paragraph (e) of the definition of </w:t>
      </w:r>
      <w:r>
        <w:rPr>
          <w:rStyle w:val="CharDefText"/>
        </w:rPr>
        <w:t>personal material</w:t>
      </w:r>
      <w:r>
        <w:t xml:space="preserve"> in section 97(1), the following documents and materials are prescribed —</w:t>
      </w:r>
    </w:p>
    <w:p>
      <w:pPr>
        <w:pStyle w:val="Indenta"/>
      </w:pPr>
      <w:r>
        <w:tab/>
        <w:t>(a)</w:t>
      </w:r>
      <w:r>
        <w:tab/>
        <w:t>school test results and other material relating to the child’s education (such as awards, certificates, yearbooks, portfolios and artwork);</w:t>
      </w:r>
    </w:p>
    <w:p>
      <w:pPr>
        <w:pStyle w:val="Indenta"/>
      </w:pPr>
      <w:r>
        <w:tab/>
        <w:t>(b)</w:t>
      </w:r>
      <w:r>
        <w:tab/>
        <w:t>records and personal effects relating to the child’s participation in recreational or extra-curricular activities (such as awards, medals, trophies and certificates);</w:t>
      </w:r>
    </w:p>
    <w:p>
      <w:pPr>
        <w:pStyle w:val="Indenta"/>
      </w:pPr>
      <w:r>
        <w:tab/>
        <w:t>(c)</w:t>
      </w:r>
      <w:r>
        <w:tab/>
        <w:t>the child’s Medicare card and health care card;</w:t>
      </w:r>
    </w:p>
    <w:p>
      <w:pPr>
        <w:pStyle w:val="Indenta"/>
      </w:pPr>
      <w:r>
        <w:tab/>
        <w:t>(d)</w:t>
      </w:r>
      <w:r>
        <w:tab/>
        <w:t>the child’s dental records;</w:t>
      </w:r>
    </w:p>
    <w:p>
      <w:pPr>
        <w:pStyle w:val="Indenta"/>
      </w:pPr>
      <w:r>
        <w:tab/>
        <w:t>(e)</w:t>
      </w:r>
      <w:r>
        <w:tab/>
        <w:t>the child’s immunisation records;</w:t>
      </w:r>
    </w:p>
    <w:p>
      <w:pPr>
        <w:pStyle w:val="Indenta"/>
      </w:pPr>
      <w:r>
        <w:tab/>
        <w:t>(f)</w:t>
      </w:r>
      <w:r>
        <w:tab/>
        <w:t>the child’s Tax File Number;</w:t>
      </w:r>
    </w:p>
    <w:p>
      <w:pPr>
        <w:pStyle w:val="Indenta"/>
      </w:pPr>
      <w:r>
        <w:tab/>
        <w:t>(g)</w:t>
      </w:r>
      <w:r>
        <w:tab/>
        <w:t>documents relating to the child’s financial assets (such as bank account and trust account information and any cards linked to such accounts);</w:t>
      </w:r>
    </w:p>
    <w:p>
      <w:pPr>
        <w:pStyle w:val="Indenta"/>
      </w:pPr>
      <w:r>
        <w:tab/>
        <w:t>(h)</w:t>
      </w:r>
      <w:r>
        <w:tab/>
        <w:t>the child’s learner’s permit, driver’s licence and any other identification documents;</w:t>
      </w:r>
    </w:p>
    <w:p>
      <w:pPr>
        <w:pStyle w:val="Indenta"/>
      </w:pPr>
      <w:r>
        <w:tab/>
        <w:t>(i)</w:t>
      </w:r>
      <w:r>
        <w:tab/>
        <w:t>the child’s family tree or genogram;</w:t>
      </w:r>
    </w:p>
    <w:p>
      <w:pPr>
        <w:pStyle w:val="Indenta"/>
      </w:pPr>
      <w:r>
        <w:tab/>
        <w:t>(j)</w:t>
      </w:r>
      <w:r>
        <w:tab/>
        <w:t>gifts, letters and photographs received from the child’s relatives, friends and carers;</w:t>
      </w:r>
    </w:p>
    <w:p>
      <w:pPr>
        <w:pStyle w:val="Indenta"/>
      </w:pPr>
      <w:r>
        <w:tab/>
        <w:t>(k)</w:t>
      </w:r>
      <w:r>
        <w:tab/>
        <w:t>the child’s placement history;</w:t>
      </w:r>
    </w:p>
    <w:p>
      <w:pPr>
        <w:pStyle w:val="Indenta"/>
      </w:pPr>
      <w:r>
        <w:tab/>
        <w:t>(l)</w:t>
      </w:r>
      <w:r>
        <w:tab/>
        <w:t>documents or material relating to the child’s religious identity (such as a baptism or confirmation certificate).</w:t>
      </w:r>
    </w:p>
    <w:p>
      <w:pPr>
        <w:pStyle w:val="Footnotesection"/>
      </w:pPr>
      <w:r>
        <w:tab/>
        <w:t>[Regulation 21B inserted: Gazette 22 Jun 2018 p. 2179</w:t>
      </w:r>
      <w:r>
        <w:noBreakHyphen/>
        <w:t>80.]</w:t>
      </w:r>
    </w:p>
    <w:p>
      <w:pPr>
        <w:pStyle w:val="Ednotesection"/>
        <w:tabs>
          <w:tab w:val="clear" w:pos="893"/>
          <w:tab w:val="left" w:pos="1080"/>
        </w:tabs>
        <w:ind w:left="960" w:hanging="960"/>
      </w:pPr>
      <w:r>
        <w:t xml:space="preserve"> [</w:t>
      </w:r>
      <w:r>
        <w:rPr>
          <w:b/>
          <w:bCs/>
        </w:rPr>
        <w:t>22</w:t>
      </w:r>
      <w:r>
        <w:rPr>
          <w:b/>
          <w:bCs/>
        </w:rPr>
        <w:noBreakHyphen/>
        <w:t>23A.</w:t>
      </w:r>
      <w:r>
        <w:rPr>
          <w:b/>
          <w:bCs/>
        </w:rPr>
        <w:tab/>
      </w:r>
      <w:r>
        <w:t>Deleted: Gazette 7 Aug 2007 p. 4030.]</w:t>
      </w:r>
    </w:p>
    <w:p>
      <w:pPr>
        <w:pStyle w:val="Heading2"/>
      </w:pPr>
      <w:bookmarkStart w:id="143" w:name="_Toc517792436"/>
      <w:bookmarkStart w:id="144" w:name="_Toc517792499"/>
      <w:bookmarkStart w:id="145" w:name="_Toc517945088"/>
      <w:bookmarkStart w:id="146" w:name="_Toc518053964"/>
      <w:bookmarkStart w:id="147" w:name="_Toc12609423"/>
      <w:r>
        <w:rPr>
          <w:rStyle w:val="CharPartNo"/>
        </w:rPr>
        <w:t>Part 7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Transitional arrangements</w:t>
      </w:r>
      <w:bookmarkEnd w:id="143"/>
      <w:bookmarkEnd w:id="144"/>
      <w:bookmarkEnd w:id="145"/>
      <w:bookmarkEnd w:id="146"/>
      <w:bookmarkEnd w:id="147"/>
    </w:p>
    <w:p>
      <w:pPr>
        <w:pStyle w:val="Heading5"/>
      </w:pPr>
      <w:bookmarkStart w:id="148" w:name="_Toc12609424"/>
      <w:bookmarkStart w:id="149" w:name="_Toc518053965"/>
      <w:r>
        <w:rPr>
          <w:rStyle w:val="CharSectno"/>
        </w:rPr>
        <w:t>24</w:t>
      </w:r>
      <w:r>
        <w:t>.</w:t>
      </w:r>
      <w:r>
        <w:tab/>
        <w:t>Term used: commencement day</w:t>
      </w:r>
      <w:bookmarkEnd w:id="148"/>
      <w:bookmarkEnd w:id="149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commencement day</w:t>
      </w:r>
      <w:r>
        <w:t xml:space="preserve"> means the day on which these regulations come into operation.</w:t>
      </w:r>
    </w:p>
    <w:p>
      <w:pPr>
        <w:pStyle w:val="Footnotesection"/>
      </w:pPr>
      <w:r>
        <w:tab/>
        <w:t>[Regulation 24 amended: Gazette 7 Aug 2007 p. 4030.]</w:t>
      </w:r>
    </w:p>
    <w:p>
      <w:pPr>
        <w:pStyle w:val="Ednotesection"/>
      </w:pPr>
      <w:r>
        <w:t>[</w:t>
      </w:r>
      <w:r>
        <w:rPr>
          <w:b/>
          <w:bCs/>
        </w:rPr>
        <w:t>25</w:t>
      </w:r>
      <w:r>
        <w:rPr>
          <w:b/>
          <w:bCs/>
        </w:rPr>
        <w:noBreakHyphen/>
        <w:t>28.</w:t>
      </w:r>
      <w:r>
        <w:rPr>
          <w:b/>
          <w:bCs/>
        </w:rPr>
        <w:tab/>
      </w:r>
      <w:r>
        <w:t>Deleted: Gazette 7 Aug 2007 p. 4030.]</w:t>
      </w:r>
    </w:p>
    <w:p>
      <w:pPr>
        <w:pStyle w:val="Heading5"/>
      </w:pPr>
      <w:bookmarkStart w:id="150" w:name="_Toc12609425"/>
      <w:bookmarkStart w:id="151" w:name="_Toc518053966"/>
      <w:r>
        <w:rPr>
          <w:rStyle w:val="CharSectno"/>
        </w:rPr>
        <w:t>29</w:t>
      </w:r>
      <w:r>
        <w:t>.</w:t>
      </w:r>
      <w:r>
        <w:tab/>
        <w:t>Certain children in care as at 1 Mar 2006</w:t>
      </w:r>
      <w:bookmarkEnd w:id="150"/>
      <w:bookmarkEnd w:id="151"/>
    </w:p>
    <w:p>
      <w:pPr>
        <w:pStyle w:val="Subsection"/>
      </w:pPr>
      <w:r>
        <w:tab/>
        <w:t>(1)</w:t>
      </w:r>
      <w:r>
        <w:tab/>
        <w:t xml:space="preserve">This regulation applies to a child if immediately before commencement day the child — </w:t>
      </w:r>
    </w:p>
    <w:p>
      <w:pPr>
        <w:pStyle w:val="Indenta"/>
      </w:pPr>
      <w:r>
        <w:tab/>
        <w:t>(a)</w:t>
      </w:r>
      <w:r>
        <w:tab/>
        <w:t xml:space="preserve">was being cared for by a person pursuant to an arrangement made — </w:t>
      </w:r>
    </w:p>
    <w:p>
      <w:pPr>
        <w:pStyle w:val="Indenti"/>
      </w:pPr>
      <w:r>
        <w:tab/>
        <w:t>(i)</w:t>
      </w:r>
      <w:r>
        <w:tab/>
        <w:t>by the Director</w:t>
      </w:r>
      <w:r>
        <w:noBreakHyphen/>
        <w:t xml:space="preserve">General as defined in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rPr>
          <w:iCs/>
        </w:rPr>
        <w:t xml:space="preserve"> </w:t>
      </w:r>
      <w:r>
        <w:t>section 4(1); and</w:t>
      </w:r>
    </w:p>
    <w:p>
      <w:pPr>
        <w:pStyle w:val="Indenti"/>
      </w:pPr>
      <w:r>
        <w:tab/>
        <w:t>(ii)</w:t>
      </w:r>
      <w:r>
        <w:tab/>
        <w:t>with the consent of a parent of the child;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was not the subject of an order or proceedings under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t>.</w:t>
      </w:r>
    </w:p>
    <w:p>
      <w:pPr>
        <w:pStyle w:val="Subsection"/>
      </w:pPr>
      <w:r>
        <w:tab/>
        <w:t>(2)</w:t>
      </w:r>
      <w:r>
        <w:tab/>
        <w:t>A child to whom this regulation applies is to be taken to be a child —</w:t>
      </w:r>
    </w:p>
    <w:p>
      <w:pPr>
        <w:pStyle w:val="Indenta"/>
      </w:pPr>
      <w:r>
        <w:tab/>
        <w:t>(a)</w:t>
      </w:r>
      <w:r>
        <w:tab/>
        <w:t>who is in the CEO’s care for the purposes of the Act Part 4; and</w:t>
      </w:r>
    </w:p>
    <w:p>
      <w:pPr>
        <w:pStyle w:val="Indenta"/>
      </w:pPr>
      <w:r>
        <w:tab/>
        <w:t>(b)</w:t>
      </w:r>
      <w:r>
        <w:tab/>
        <w:t>to whom care is provided under a placement arrangement as defined in section 3.</w:t>
      </w:r>
    </w:p>
    <w:p>
      <w:pPr>
        <w:pStyle w:val="Indenta"/>
        <w:sectPr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endnotePr>
            <w:numFmt w:val="decimal"/>
          </w:endnotePr>
          <w:pgSz w:w="11907" w:h="16840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</w:p>
    <w:p>
      <w:pPr>
        <w:pStyle w:val="yScheduleHeading"/>
      </w:pPr>
      <w:bookmarkStart w:id="152" w:name="_Toc517792439"/>
      <w:bookmarkStart w:id="153" w:name="_Toc517792502"/>
      <w:bookmarkStart w:id="154" w:name="_Toc517945091"/>
      <w:bookmarkStart w:id="155" w:name="_Toc518053967"/>
      <w:bookmarkStart w:id="156" w:name="_Toc12609426"/>
      <w:r>
        <w:rPr>
          <w:rStyle w:val="CharSchNo"/>
        </w:rPr>
        <w:t>Schedule 1</w:t>
      </w:r>
      <w:r>
        <w:rPr>
          <w:rStyle w:val="CharSDivNo"/>
        </w:rPr>
        <w:t> </w:t>
      </w:r>
      <w:r>
        <w:t>—</w:t>
      </w:r>
      <w:r>
        <w:rPr>
          <w:rStyle w:val="CharSDivText"/>
        </w:rPr>
        <w:t> </w:t>
      </w:r>
      <w:r>
        <w:rPr>
          <w:rStyle w:val="CharSchText"/>
        </w:rPr>
        <w:t>Forms</w:t>
      </w:r>
      <w:bookmarkEnd w:id="152"/>
      <w:bookmarkEnd w:id="153"/>
      <w:bookmarkEnd w:id="154"/>
      <w:bookmarkEnd w:id="155"/>
      <w:bookmarkEnd w:id="156"/>
    </w:p>
    <w:p>
      <w:pPr>
        <w:pStyle w:val="yShoulderClause"/>
      </w:pPr>
      <w:r>
        <w:t>[r. 9AA, 9AB, 9AC, 16E, 16I and 16L]</w:t>
      </w:r>
    </w:p>
    <w:p>
      <w:pPr>
        <w:pStyle w:val="yFootnoteheading"/>
      </w:pPr>
      <w:r>
        <w:tab/>
        <w:t>[Heading inserted: Gazette 28 Jan 2011 p. 250.]</w:t>
      </w:r>
    </w:p>
    <w:p>
      <w:pPr>
        <w:pStyle w:val="yHeading5"/>
        <w:spacing w:after="80"/>
      </w:pPr>
      <w:bookmarkStart w:id="157" w:name="_Toc12609427"/>
      <w:bookmarkStart w:id="158" w:name="_Toc518053968"/>
      <w:r>
        <w:rPr>
          <w:rStyle w:val="CharSClsNo"/>
        </w:rPr>
        <w:t>1</w:t>
      </w:r>
      <w:r>
        <w:t>.</w:t>
      </w:r>
      <w:r>
        <w:tab/>
        <w:t>Warrant (access)</w:t>
      </w:r>
      <w:bookmarkEnd w:id="157"/>
      <w:bookmarkEnd w:id="158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080"/>
        <w:gridCol w:w="184"/>
        <w:gridCol w:w="416"/>
        <w:gridCol w:w="718"/>
        <w:gridCol w:w="142"/>
        <w:gridCol w:w="220"/>
        <w:gridCol w:w="480"/>
        <w:gridCol w:w="9"/>
        <w:gridCol w:w="231"/>
        <w:gridCol w:w="27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(access)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33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34(3)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52(4)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135(5)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remain at the place and have access to the child for as long as the officer considers reasonably necessary.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9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7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access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1 inserted: Gazette 19 Jun 2009 p. 2226-7.]</w:t>
      </w:r>
    </w:p>
    <w:p>
      <w:pPr>
        <w:pStyle w:val="yHeading5"/>
        <w:pageBreakBefore/>
        <w:spacing w:after="80"/>
      </w:pPr>
      <w:bookmarkStart w:id="159" w:name="_Toc12609428"/>
      <w:bookmarkStart w:id="160" w:name="_Toc518053969"/>
      <w:r>
        <w:rPr>
          <w:rStyle w:val="CharSClsNo"/>
        </w:rPr>
        <w:t>2</w:t>
      </w:r>
      <w:r>
        <w:t>.</w:t>
      </w:r>
      <w:r>
        <w:tab/>
        <w:t>Warrant (apprehension)</w:t>
      </w:r>
      <w:bookmarkEnd w:id="159"/>
      <w:bookmarkEnd w:id="16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200"/>
        <w:gridCol w:w="64"/>
        <w:gridCol w:w="536"/>
        <w:gridCol w:w="598"/>
        <w:gridCol w:w="142"/>
        <w:gridCol w:w="340"/>
        <w:gridCol w:w="369"/>
        <w:gridCol w:w="240"/>
        <w:gridCol w:w="111"/>
        <w:gridCol w:w="15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(apprehension)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86(3)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 xml:space="preserve">if the child is found, to apprehend the child and 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sz w:val="20"/>
              </w:rPr>
            </w:pPr>
            <w:r>
              <w:rPr>
                <w:b/>
                <w:bCs/>
                <w:sz w:val="20"/>
              </w:rPr>
              <w:tab/>
              <w:t>(i)</w:t>
            </w:r>
            <w:r>
              <w:rPr>
                <w:b/>
                <w:bCs/>
                <w:sz w:val="20"/>
              </w:rPr>
              <w:tab/>
              <w:t xml:space="preserve">in the case of a warrant issued under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85, to take the child to such place as the CEO directs; or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ab/>
              <w:t>(ii)</w:t>
            </w:r>
            <w:r>
              <w:rPr>
                <w:b/>
                <w:bCs/>
                <w:sz w:val="20"/>
              </w:rPr>
              <w:tab/>
              <w:t>in the case of a warrant issued under section 86 of that Act, to take the child to the place referred to in section 86(1) or such other place as the CEO directs.</w:t>
            </w: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  <w:tcBorders>
              <w:top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apprehension of the child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2 inserted: Gazette 19 Jun 2009 p. 2227-8.]</w:t>
      </w:r>
    </w:p>
    <w:p>
      <w:pPr>
        <w:pStyle w:val="yHeading5"/>
        <w:pageBreakBefore/>
        <w:spacing w:after="80"/>
      </w:pPr>
      <w:bookmarkStart w:id="161" w:name="_Toc12609429"/>
      <w:bookmarkStart w:id="162" w:name="_Toc518053970"/>
      <w:r>
        <w:rPr>
          <w:rStyle w:val="CharSClsNo"/>
        </w:rPr>
        <w:t>3</w:t>
      </w:r>
      <w:r>
        <w:t>.</w:t>
      </w:r>
      <w:r>
        <w:tab/>
        <w:t>Warrant (provisional protection and care)</w:t>
      </w:r>
      <w:bookmarkEnd w:id="161"/>
      <w:bookmarkEnd w:id="162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840"/>
        <w:gridCol w:w="360"/>
        <w:gridCol w:w="600"/>
        <w:gridCol w:w="598"/>
        <w:gridCol w:w="143"/>
        <w:gridCol w:w="339"/>
        <w:gridCol w:w="370"/>
        <w:gridCol w:w="240"/>
        <w:gridCol w:w="110"/>
        <w:gridCol w:w="153"/>
        <w:gridCol w:w="1062"/>
      </w:tblGrid>
      <w:tr>
        <w:tc>
          <w:tcPr>
            <w:tcW w:w="31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975" w:type="dxa"/>
            <w:gridSpan w:val="10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(provisional protection and care)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5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133(3)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take the child into provisional protection and care and to such place as the CEO directs.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5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30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taking the child into provisional protection care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3 inserted: Gazette 19 Jun 2009 p. 2228-9.]</w:t>
      </w:r>
    </w:p>
    <w:p>
      <w:pPr>
        <w:pStyle w:val="yHeading5"/>
        <w:pageBreakBefore/>
      </w:pPr>
      <w:bookmarkStart w:id="163" w:name="_Toc12609430"/>
      <w:bookmarkStart w:id="164" w:name="_Toc518053971"/>
      <w:r>
        <w:rPr>
          <w:rStyle w:val="CharSClsNo"/>
        </w:rPr>
        <w:t>4</w:t>
      </w:r>
      <w:r>
        <w:t>.</w:t>
      </w:r>
      <w:r>
        <w:rPr>
          <w:b w:val="0"/>
        </w:rPr>
        <w:tab/>
      </w:r>
      <w:r>
        <w:t>Parentage testing procedure</w:t>
      </w:r>
      <w:bookmarkEnd w:id="163"/>
      <w:bookmarkEnd w:id="164"/>
    </w:p>
    <w:p>
      <w:pPr>
        <w:pStyle w:val="yMiscellaneousHeading"/>
        <w:ind w:left="840"/>
        <w:jc w:val="left"/>
        <w:rPr>
          <w:b/>
          <w:bCs/>
        </w:rPr>
      </w:pPr>
      <w:r>
        <w:rPr>
          <w:b/>
          <w:bCs/>
        </w:rPr>
        <w:t>AFFIDAVIT BY/IN RELATION TO DONOR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</w:pPr>
      <w:r>
        <w:t>NAME OF DONOR: (insert donor’s name)</w:t>
      </w:r>
    </w:p>
    <w:p>
      <w:pPr>
        <w:pStyle w:val="yMiscellaneousBody"/>
      </w:pPr>
      <w:r>
        <w:t>DATE OF BIRTH OF DONOR: (insert donor’s date of birth)</w:t>
      </w:r>
    </w:p>
    <w:p>
      <w:pPr>
        <w:pStyle w:val="yMiscellaneousBody"/>
      </w:pPr>
      <w:r>
        <w:t>*RELATIONSHIP/*PUTATIVE RELATIONSHIP OF DONOR TO CHILD WHOSE PARENTAGE IS IN ISSUE: (if donor is not the child whose parentage is in issue, insert relationship of donor to child)</w:t>
      </w:r>
    </w:p>
    <w:p>
      <w:pPr>
        <w:pStyle w:val="yMiscellaneousBody"/>
      </w:pPr>
      <w:r>
        <w:t>DATE OF TAKING SAMPLE FROM DONOR: (insert date sample is to be taken)</w:t>
      </w:r>
    </w:p>
    <w:p>
      <w:pPr>
        <w:pStyle w:val="yMiscellaneousBody"/>
      </w:pPr>
      <w:r>
        <w:t>I, (insert name), of (insert address), (insert occupation), *make oath and say/*affirm:</w:t>
      </w:r>
    </w:p>
    <w:p>
      <w:pPr>
        <w:pStyle w:val="zyMiscellaneousBody"/>
        <w:ind w:left="0"/>
      </w:pPr>
    </w:p>
    <w:p>
      <w:pPr>
        <w:pStyle w:val="yMiscellaneousBody"/>
      </w:pPr>
      <w:r>
        <w:rPr>
          <w:b/>
          <w:bCs/>
        </w:rPr>
        <w:t>IMPORTANT</w:t>
      </w:r>
      <w:r>
        <w:t xml:space="preserve"> Either Part 1 or 2 of this form must be completed and sworn or affirmed by the person making the affidavit in the presence of an authorised witness, on the day the donor’s sample is taken.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1</w:t>
      </w:r>
    </w:p>
    <w:p>
      <w:pPr>
        <w:pStyle w:val="yMiscellaneousBody"/>
      </w:pPr>
      <w:r>
        <w:t>Part 1 must be completed if the person making the affidavit is the donor.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My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I *have/*have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I *have/*have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I *have/*have not received a transfusion of blood or a blood product within the last 6 months.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>The particulars of the transfusion of blood or blood product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7.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me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2</w:t>
      </w:r>
    </w:p>
    <w:p>
      <w:pPr>
        <w:pStyle w:val="yMiscellaneousBody"/>
      </w:pPr>
      <w:r>
        <w:t>Part 2 must be completed on behalf of a child or a represented person.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(state relationship or other status in relation to the donor) of (insert name of donor) who was born on (insert date of birth of donor).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(insert name of donor) is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(insert name of donor) is a person whose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donor *has/*has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donor *has/*has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*5.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6.</w:t>
      </w:r>
      <w:r>
        <w:tab/>
        <w:t>The donor *has/*has not received a transfusion of blood or a blood product within the last 6 months.</w:t>
      </w:r>
    </w:p>
    <w:p>
      <w:pPr>
        <w:pStyle w:val="yMiscellaneousBody"/>
        <w:keepNext/>
        <w:tabs>
          <w:tab w:val="left" w:pos="600"/>
        </w:tabs>
        <w:ind w:left="600" w:hanging="600"/>
      </w:pPr>
      <w:r>
        <w:t>*7.</w:t>
      </w:r>
      <w:r>
        <w:tab/>
        <w:t xml:space="preserve">The particulars of the transfusion of blood or blood product are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8.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the donor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zyMiscellaneousBody"/>
        <w:ind w:left="0"/>
      </w:pPr>
    </w:p>
    <w:p>
      <w:pPr>
        <w:pStyle w:val="yMiscellaneousBody"/>
        <w:tabs>
          <w:tab w:val="left" w:pos="600"/>
        </w:tabs>
      </w:pPr>
      <w:r>
        <w:t xml:space="preserve">*SWORN/*AFFIRMED by </w:t>
      </w:r>
    </w:p>
    <w:p>
      <w:pPr>
        <w:pStyle w:val="yMiscellaneousBody"/>
        <w:tabs>
          <w:tab w:val="left" w:pos="600"/>
        </w:tabs>
      </w:pPr>
      <w:r>
        <w:t>at</w:t>
      </w:r>
    </w:p>
    <w:p>
      <w:pPr>
        <w:pStyle w:val="yMiscellaneousBody"/>
        <w:tabs>
          <w:tab w:val="left" w:pos="600"/>
          <w:tab w:val="left" w:pos="1440"/>
        </w:tabs>
      </w:pPr>
      <w:r>
        <w:t>on</w:t>
      </w:r>
      <w:r>
        <w:tab/>
      </w:r>
      <w:r>
        <w:tab/>
        <w:t>20</w:t>
      </w:r>
    </w:p>
    <w:p>
      <w:pPr>
        <w:pStyle w:val="yMiscellaneousBody"/>
        <w:tabs>
          <w:tab w:val="left" w:pos="600"/>
        </w:tabs>
      </w:pPr>
      <w:r>
        <w:t>(Signature of person making affidavit)</w:t>
      </w:r>
    </w:p>
    <w:p>
      <w:pPr>
        <w:pStyle w:val="yMiscellaneousBody"/>
      </w:pPr>
      <w:r>
        <w:t xml:space="preserve">BEFORE ME: </w:t>
      </w:r>
      <w:r>
        <w:br/>
        <w:t xml:space="preserve">(insert name of person </w:t>
      </w:r>
      <w:r>
        <w:br/>
        <w:t xml:space="preserve">before whom the affidavit </w:t>
      </w:r>
      <w:r>
        <w:br/>
        <w:t>is made)</w:t>
      </w:r>
    </w:p>
    <w:p>
      <w:pPr>
        <w:pStyle w:val="yMiscellaneousBody"/>
      </w:pPr>
      <w:r>
        <w:t xml:space="preserve">(Signature of person </w:t>
      </w:r>
      <w:r>
        <w:br/>
        <w:t xml:space="preserve">before whom affidavit is </w:t>
      </w:r>
      <w:r>
        <w:br/>
        <w:t>made)</w:t>
      </w:r>
    </w:p>
    <w:p>
      <w:pPr>
        <w:pStyle w:val="yMiscellaneousBody"/>
      </w:pPr>
      <w:r>
        <w:t>Attach a recent photograph of the donor named in the affidavit, measuring approximately 45 mm by 35 mm, that shows a full face view of the donor’s head and the donor’s shoulders against a plain background. The photograph must be marked ‘A’, and must bear a statement, signed by both the person before whom the affidavit is made and the person making the affidavit, identifying it as the photograph mentioned in the affidavit.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4 inserted: Gazette 28 Jan 2011 p. 250-2.]</w:t>
      </w:r>
    </w:p>
    <w:p>
      <w:pPr>
        <w:pStyle w:val="yHeading5"/>
        <w:pageBreakBefore/>
      </w:pPr>
      <w:bookmarkStart w:id="165" w:name="_Toc12609431"/>
      <w:bookmarkStart w:id="166" w:name="_Toc518053972"/>
      <w:r>
        <w:rPr>
          <w:rStyle w:val="CharSClsNo"/>
        </w:rPr>
        <w:t>5</w:t>
      </w:r>
      <w:r>
        <w:t>.</w:t>
      </w:r>
      <w:r>
        <w:rPr>
          <w:b w:val="0"/>
        </w:rPr>
        <w:tab/>
      </w:r>
      <w:r>
        <w:t>Parentage testing procedure</w:t>
      </w:r>
      <w:bookmarkEnd w:id="165"/>
      <w:bookmarkEnd w:id="166"/>
    </w:p>
    <w:p>
      <w:pPr>
        <w:pStyle w:val="zyMiscellaneousBody"/>
        <w:ind w:left="840"/>
        <w:rPr>
          <w:b/>
          <w:bCs/>
        </w:rPr>
      </w:pPr>
      <w:r>
        <w:rPr>
          <w:b/>
          <w:bCs/>
        </w:rPr>
        <w:t>COLLECTION OF BODILY SAMPLES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I, (insert name of sampler), of (insert professional address), (insert occupation), took the *bodily sample/*bodily samples specified below at (insert time) *a.m./*p.m. on (insert date) at (insert place of collection) from the following *person/*persons: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person, type of bodily sample and person’s photograph).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 xml:space="preserve">When I took the *bodily sample/*bodily samples specified above, I complied with the </w:t>
      </w:r>
      <w:r>
        <w:rPr>
          <w:i/>
        </w:rPr>
        <w:t xml:space="preserve">Children and Community Services Regulations 2006 </w:t>
      </w:r>
      <w:r>
        <w:rPr>
          <w:iCs/>
        </w:rPr>
        <w:t>Part 5A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I placed the *bodily sample/*each of the bodily samples specified above in a container that was immediately sealed and then labelled in accordance with the </w:t>
      </w:r>
      <w:r>
        <w:rPr>
          <w:i/>
        </w:rPr>
        <w:t>Children and Community Services Regulations 2006</w:t>
      </w:r>
      <w:r>
        <w:t xml:space="preserve"> regulation 16H.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>(Signature of sampler)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5 inserted: Gazette 28 Jan 2011 p. 252-3.]</w:t>
      </w:r>
    </w:p>
    <w:p>
      <w:pPr>
        <w:pStyle w:val="yHeading5"/>
        <w:pageBreakBefore/>
      </w:pPr>
      <w:bookmarkStart w:id="167" w:name="_Toc12609432"/>
      <w:bookmarkStart w:id="168" w:name="_Toc518053973"/>
      <w:r>
        <w:rPr>
          <w:rStyle w:val="CharSClsNo"/>
        </w:rPr>
        <w:t>6</w:t>
      </w:r>
      <w:r>
        <w:t>.</w:t>
      </w:r>
      <w:r>
        <w:rPr>
          <w:b w:val="0"/>
        </w:rPr>
        <w:tab/>
      </w:r>
      <w:r>
        <w:t>Parentage testing procedure report</w:t>
      </w:r>
      <w:bookmarkEnd w:id="167"/>
      <w:bookmarkEnd w:id="168"/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 xml:space="preserve">I, (insert name of nominated reporter), of (insert street address of laboratory where testing was performed), (insert occupation), am a person nominated by the laboratory specified below to prepare a report for the purposes of the </w:t>
      </w:r>
      <w:r>
        <w:rPr>
          <w:i/>
        </w:rPr>
        <w:t>Children and Community Services Act 2004</w:t>
      </w:r>
      <w:r>
        <w:t xml:space="preserve"> section 136H(b).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I report that *a parentage testing procedure/*parentage testing procedures being: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*(a)</w:t>
      </w:r>
      <w:r>
        <w:tab/>
        <w:t>red cell antigen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red cell enzyme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testing for serum markers;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HLA tissue typing;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DNA typing;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*has/*have been carried out on the bodily *sample/*samples contained in the sealed *container/*containers bearing the *name/*names of the following *donor/*donors: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donor’s name, date of birth and relationship to child whose parentage is in issue).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Each bodily sample referred to in item 2 is the same bodily sample as the bodily sample specified in the statement completed on (insert date) by (insert name of sampler) in the </w:t>
      </w:r>
      <w:r>
        <w:rPr>
          <w:i/>
        </w:rPr>
        <w:t xml:space="preserve">Children and Community Services Regulations 2006 </w:t>
      </w:r>
      <w:r>
        <w:rPr>
          <w:iCs/>
        </w:rPr>
        <w:t>Schedule 1 Form 5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The parentage testing *procedure was/*procedures were carried out at (insert name and street address of *laboratory/*laboratories where testing was performed) on (insert date/s).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The results of the parentage testing *procedure/*procedures are set out in Part II of this report.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not excluded from identification as the *father/*mother of (insert name of child whose parentage is in issue).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excluded from identification as the *father/*mother of (insert name of child whose parentage is in issue). 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probability that (insert name of putative parent) is the genetic *father/*mother of (insert name of child whose parentage is in issue) has been calculated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Putative *father/*mother is (insert figure) times more likely to produce a child with the required alleles than a *man/*woman drawn randomly from the general population.  This equates to a Relative Chance of *Paternity/*Maternity of (insert figure).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exclusion is based on contradictions of the laws of genetic inheritance in (insert amount) of the (insert amount) genetic markers: (insert the names of the genetic markers and whether the contradictions are of the first or second order). </w:t>
      </w:r>
    </w:p>
    <w:p>
      <w:pPr>
        <w:pStyle w:val="yMiscellaneousBody"/>
        <w:tabs>
          <w:tab w:val="left" w:pos="600"/>
        </w:tabs>
        <w:ind w:left="600" w:hanging="600"/>
      </w:pPr>
      <w:r>
        <w:t>*8.</w:t>
      </w:r>
      <w:r>
        <w:tab/>
        <w:t>I further report (if necessary, provide further explanation of results detailed in item 6 or 7, or both).</w:t>
      </w:r>
    </w:p>
    <w:p>
      <w:pPr>
        <w:pStyle w:val="yMiscellaneousBody"/>
        <w:tabs>
          <w:tab w:val="left" w:pos="3360"/>
          <w:tab w:val="left" w:pos="4440"/>
        </w:tabs>
      </w:pPr>
      <w:r>
        <w:t>DATED:</w:t>
      </w:r>
      <w:r>
        <w:tab/>
        <w:t>20</w:t>
      </w:r>
      <w:r>
        <w:tab/>
        <w:t>.</w:t>
      </w:r>
    </w:p>
    <w:p>
      <w:pPr>
        <w:pStyle w:val="yMiscellaneousBody"/>
        <w:tabs>
          <w:tab w:val="left" w:pos="3360"/>
          <w:tab w:val="left" w:pos="4440"/>
        </w:tabs>
      </w:pPr>
      <w:r>
        <w:t>(Signature of nominated reporter)</w:t>
      </w:r>
    </w:p>
    <w:p>
      <w:pPr>
        <w:pStyle w:val="yMiscellaneousBody"/>
        <w:keepNext/>
        <w:rPr>
          <w:b/>
          <w:bCs/>
        </w:rPr>
      </w:pPr>
      <w:r>
        <w:rPr>
          <w:b/>
          <w:bCs/>
        </w:rPr>
        <w:t>PART II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The bodily *sample/*samples referred to in Part I of this report were received at (insert name and street address of laboratory at which parentage testing *procedure was/*procedures were carried out) on the following date/s: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(specify sample) — (insert date)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The following identification *number was/*numbers were allocated respectively to the bodily *sample/*samples in the *container/*containers in respect of which the parentage testing *procedure was/*procedures were carried out: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donor and identification number).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The results obtained from the parentage testing *procedure/*procedures are: (set out the results).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the parentage testing procedure carried out was red cell antigen blood grouping, red cell enzyme blood grouping, HLA tissue typing or testing for serum markers.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 xml:space="preserve">The results set out above in item 3 refer to the parentage testing *procedure/*procedures carried out *by me/*under my supervision on (insert date/s).  The bodily *sample was/*samples were tested with the same reagents and in parallel with appropriate known controls. Results from controls show that all reagents were of correct specificity and normal potency.  I am satisfied that the results obtained are true and that they have been correctly transcribed from the laboratory records.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parentage testing procedure carried out was DNA typing.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results set out above in item 3 refer to the parentage testing *procedure/*procedures carried out *by me/*under my supervision on (insert date/s).  The bodily *sample was/*samples were tested with the same probes/primers and in parallel with appropriate known controls.  Fragment length and/or hybridisation patterns were in accordance with scientifically accepted standards.  I am satisfied that the results obtained have been correctly coded from the fragment and/or hybridisation pattern and that they have been correctly transcribed from the laboratory records.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 xml:space="preserve">(Signature of person who carried </w:t>
      </w:r>
      <w:r>
        <w:br/>
        <w:t xml:space="preserve">out parentage testing procedure </w:t>
      </w:r>
      <w:r>
        <w:br/>
        <w:t xml:space="preserve">or person under whose </w:t>
      </w:r>
      <w:r>
        <w:br/>
        <w:t xml:space="preserve">supervision parentage testing </w:t>
      </w:r>
      <w:r>
        <w:br/>
        <w:t>procedure was carried out)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6 inserted: Gazette 28 Jan 2011 p. 253-6.]</w:t>
      </w:r>
    </w:p>
    <w:p>
      <w:pPr>
        <w:pStyle w:val="CentredBaseLine"/>
        <w:jc w:val="center"/>
      </w:pPr>
      <w:r>
        <w:rPr>
          <w:noProof/>
        </w:rPr>
        <w:drawing>
          <wp:inline distT="0" distB="0" distL="0" distR="0">
            <wp:extent cx="933450" cy="171450"/>
            <wp:effectExtent l="0" t="0" r="0" b="0"/>
            <wp:docPr id="2" name="Picture 2" descr="d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line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ectPr>
          <w:headerReference w:type="even" r:id="rId22"/>
          <w:headerReference w:type="default" r:id="rId23"/>
          <w:pgSz w:w="11907" w:h="16840" w:code="9"/>
          <w:pgMar w:top="2381" w:right="2410" w:bottom="3544" w:left="2410" w:header="720" w:footer="3544" w:gutter="0"/>
          <w:cols w:space="720"/>
        </w:sectPr>
      </w:pPr>
    </w:p>
    <w:p>
      <w:pPr>
        <w:pStyle w:val="nHeading2"/>
      </w:pPr>
      <w:bookmarkStart w:id="170" w:name="_Toc517792446"/>
      <w:bookmarkStart w:id="171" w:name="_Toc517792509"/>
      <w:bookmarkStart w:id="172" w:name="_Toc517945098"/>
      <w:bookmarkStart w:id="173" w:name="_Toc518053974"/>
      <w:bookmarkStart w:id="174" w:name="_Toc12609433"/>
      <w:r>
        <w:t>Notes</w:t>
      </w:r>
      <w:bookmarkEnd w:id="170"/>
      <w:bookmarkEnd w:id="171"/>
      <w:bookmarkEnd w:id="172"/>
      <w:bookmarkEnd w:id="173"/>
      <w:bookmarkEnd w:id="174"/>
    </w:p>
    <w:p>
      <w:pPr>
        <w:pStyle w:val="nSubsection"/>
      </w:pPr>
      <w:r>
        <w:rPr>
          <w:vertAlign w:val="superscript"/>
        </w:rPr>
        <w:t>1</w:t>
      </w:r>
      <w:r>
        <w:tab/>
        <w:t xml:space="preserve">This is a compilation of the </w:t>
      </w:r>
      <w:r>
        <w:rPr>
          <w:i/>
          <w:noProof/>
        </w:rPr>
        <w:t>Children and Community Services Regulations 2006</w:t>
      </w:r>
      <w:r>
        <w:t xml:space="preserve"> and includes the amendments made by the other written laws referred to in the following table.  The table also contains information about any reprint.</w:t>
      </w:r>
    </w:p>
    <w:p>
      <w:pPr>
        <w:pStyle w:val="nHeading3"/>
      </w:pPr>
      <w:bookmarkStart w:id="175" w:name="_Toc12609434"/>
      <w:bookmarkStart w:id="176" w:name="_Toc518053975"/>
      <w:r>
        <w:t>Compilation table</w:t>
      </w:r>
      <w:bookmarkEnd w:id="175"/>
      <w:bookmarkEnd w:id="176"/>
    </w:p>
    <w:tbl>
      <w:tblPr>
        <w:tblW w:w="0" w:type="auto"/>
        <w:tblInd w:w="28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tblHeader/>
        </w:trPr>
        <w:tc>
          <w:tcPr>
            <w:tcW w:w="311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Citation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Gazettal</w:t>
            </w:r>
          </w:p>
        </w:tc>
        <w:tc>
          <w:tcPr>
            <w:tcW w:w="269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Commencement</w:t>
            </w:r>
          </w:p>
        </w:tc>
      </w:tr>
      <w:tr>
        <w:tc>
          <w:tcPr>
            <w:tcW w:w="3118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iCs/>
              </w:rPr>
            </w:pPr>
            <w:r>
              <w:rPr>
                <w:i/>
                <w:noProof/>
                <w:snapToGrid w:val="0"/>
              </w:rPr>
              <w:t>Children and Community Services Regulations 2006</w:t>
            </w:r>
          </w:p>
        </w:tc>
        <w:tc>
          <w:tcPr>
            <w:tcW w:w="1276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>18 Jan 2006 p. 353-72</w:t>
            </w:r>
          </w:p>
        </w:tc>
        <w:tc>
          <w:tcPr>
            <w:tcW w:w="2693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 xml:space="preserve">1 Mar 2006 (see r. 2 and </w:t>
            </w:r>
            <w:r>
              <w:rPr>
                <w:i/>
                <w:iCs/>
              </w:rPr>
              <w:t>Gazette</w:t>
            </w:r>
            <w:r>
              <w:t xml:space="preserve"> 14 Feb 2006 p. 695)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 Mar 2006 p. 927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 Mar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2)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 Aug 2006 p. 3367-8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18 Aug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3) 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8 Dec 2006 p. 5369-70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8 Dec 2006</w:t>
            </w:r>
          </w:p>
        </w:tc>
      </w:tr>
      <w:tr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</w:pPr>
            <w:r>
              <w:rPr>
                <w:b/>
                <w:bCs/>
              </w:rPr>
              <w:t xml:space="preserve">Reprint 1: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2 Feb 2007</w:t>
            </w:r>
            <w: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2007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7 Aug 2007 p. 4029</w:t>
            </w:r>
            <w:r>
              <w:noBreakHyphen/>
              <w:t>30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rPr>
                <w:snapToGrid w:val="0"/>
              </w:rPr>
              <w:t>r. 1 and 2: 7 Aug 2007 (see r. 2(a));</w:t>
            </w:r>
            <w:r>
              <w:rPr>
                <w:snapToGrid w:val="0"/>
              </w:rPr>
              <w:br/>
              <w:t xml:space="preserve">Regulations other than r. 1 and 2: 10 Aug 2007 (see r. 2(b) </w:t>
            </w:r>
            <w:r>
              <w:t xml:space="preserve">and </w:t>
            </w:r>
            <w:r>
              <w:rPr>
                <w:i/>
                <w:iCs/>
              </w:rPr>
              <w:t>Gazette</w:t>
            </w:r>
            <w:r>
              <w:t xml:space="preserve"> 9 Aug 2007 p. 4071)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2008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9 Dec 2008 p. 5107</w:t>
            </w:r>
            <w:r>
              <w:noBreakHyphen/>
              <w:t>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9 Dec 2008 (see r. 2(a));</w:t>
            </w:r>
            <w:r>
              <w:rPr>
                <w:snapToGrid w:val="0"/>
              </w:rPr>
              <w:br/>
              <w:t xml:space="preserve">Regulations other than r. 1 and 2: 1 Jan 2009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9 Dec 2008 p. 5107)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2009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19 Jun 2009 p. 2225-9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19 Jun 2009 (see r. 2(a));</w:t>
            </w:r>
            <w:r>
              <w:rPr>
                <w:snapToGrid w:val="0"/>
              </w:rPr>
              <w:br/>
              <w:t>Regulations other than r. 1 and 2: 20 Jun 2009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Cs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2010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 Jan 2011 p. 145-6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18 Jan 2011 (see r. 2(a));</w:t>
            </w:r>
            <w:r>
              <w:rPr>
                <w:snapToGrid w:val="0"/>
              </w:rPr>
              <w:br/>
              <w:t>Regulations other than r. 1, 2 and 4: 19 Jan 2011 (see r. 2(c));</w:t>
            </w:r>
            <w:r>
              <w:rPr>
                <w:snapToGrid w:val="0"/>
              </w:rPr>
              <w:br/>
              <w:t xml:space="preserve">r. 4: 31 Jan 2011 (see r. 2(b) and </w:t>
            </w:r>
            <w:r>
              <w:rPr>
                <w:i/>
                <w:iCs/>
                <w:snapToGrid w:val="0"/>
              </w:rPr>
              <w:t>Gazette</w:t>
            </w:r>
            <w:r>
              <w:rPr>
                <w:snapToGrid w:val="0"/>
              </w:rPr>
              <w:t xml:space="preserve"> 28 Jan 2011 p. 241)</w:t>
            </w:r>
          </w:p>
        </w:tc>
      </w:tr>
      <w:tr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2011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28 Jan 2011 p. 243-56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28 Jan 2011 (see r. 2(a));</w:t>
            </w:r>
            <w:r>
              <w:rPr>
                <w:snapToGrid w:val="0"/>
              </w:rPr>
              <w:br/>
              <w:t xml:space="preserve">r. 5: 31 Jan 2011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241);</w:t>
            </w:r>
            <w:r>
              <w:rPr>
                <w:snapToGrid w:val="0"/>
              </w:rPr>
              <w:br/>
              <w:t xml:space="preserve">Regulations other than r. 1, 2 and 5: 31 Jan 2011 (see r. 2(c)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</w:t>
            </w:r>
          </w:p>
        </w:tc>
      </w:tr>
      <w:tr>
        <w:tc>
          <w:tcPr>
            <w:tcW w:w="7087" w:type="dxa"/>
            <w:gridSpan w:val="3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b/>
                <w:bCs/>
              </w:rPr>
              <w:t xml:space="preserve">Reprint 2: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8 Apr 2011</w:t>
            </w:r>
            <w: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2012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27 Jan 2012 p. 567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Jan 2012 (see r. 2(a));</w:t>
            </w:r>
            <w:r>
              <w:rPr>
                <w:snapToGrid w:val="0"/>
              </w:rPr>
              <w:br/>
              <w:t>Regulations other than r. 1 and 2: 28 Jan 2012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 2) 2012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21 Sep 2012 p. 4422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21 Sep 2012 (see r. 2(a));</w:t>
            </w:r>
            <w:r>
              <w:rPr>
                <w:snapToGrid w:val="0"/>
              </w:rPr>
              <w:br/>
              <w:t>Regulations other than r. 1 and 2: 22 Sep 2012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2014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27 Jun 2014 p. 2310-11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Jun 2014 (see r. 2(a));</w:t>
            </w:r>
            <w:r>
              <w:rPr>
                <w:snapToGrid w:val="0"/>
              </w:rPr>
              <w:br/>
              <w:t>Regulations other than r. 1 and 2: 1 Jul 2014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</w:rPr>
              <w:t>Children and Community Services Amendment Regulations 2015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10 Apr 2015 p. 1251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10 Apr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2015 (see r. 2(b)(ii) and </w:t>
            </w:r>
            <w:r>
              <w:rPr>
                <w:i/>
              </w:rPr>
              <w:t>Gazette</w:t>
            </w:r>
            <w:r>
              <w:t xml:space="preserve"> 10 Apr 2015 p. 1249)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20"/>
              <w:rPr>
                <w:i/>
              </w:rPr>
            </w:pPr>
            <w:r>
              <w:rPr>
                <w:i/>
              </w:rPr>
              <w:t>Children and Community Services Amendment Regulations (No. 2) 2015</w:t>
            </w:r>
          </w:p>
        </w:tc>
        <w:tc>
          <w:tcPr>
            <w:tcW w:w="1276" w:type="dxa"/>
          </w:tcPr>
          <w:p>
            <w:pPr>
              <w:pStyle w:val="nTable"/>
              <w:spacing w:after="20"/>
            </w:pPr>
            <w:r>
              <w:t>26 Jun 2015 p. 2238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snapToGrid w:val="0"/>
              </w:rPr>
              <w:t>r. 1 and 2: 26 Jun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>1 Jul 2015 (see r. 2(b))</w:t>
            </w:r>
          </w:p>
        </w:tc>
      </w:tr>
      <w:tr>
        <w:tc>
          <w:tcPr>
            <w:tcW w:w="3118" w:type="dxa"/>
            <w:shd w:val="clear" w:color="auto" w:fill="auto"/>
          </w:tcPr>
          <w:p>
            <w:pPr>
              <w:pStyle w:val="nTable"/>
              <w:spacing w:after="20"/>
              <w:rPr>
                <w:i/>
              </w:rPr>
            </w:pPr>
            <w:r>
              <w:rPr>
                <w:i/>
              </w:rPr>
              <w:t xml:space="preserve">Children and Community Services Amendment Regulations (No. 3) 2015 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spacing w:after="20"/>
            </w:pPr>
            <w:r>
              <w:t>15 Dec 2015 p. 5028-9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snapToGrid w:val="0"/>
              </w:rPr>
              <w:t>r. 1 and 2: 15 Dec 2015 (see r. 2(a));</w:t>
            </w:r>
            <w:r>
              <w:rPr>
                <w:snapToGrid w:val="0"/>
              </w:rPr>
              <w:br/>
              <w:t xml:space="preserve">Regulations other than r. 1 and 2: 1 Jan 2016 (see r. 2(b) and </w:t>
            </w:r>
            <w:r>
              <w:rPr>
                <w:i/>
                <w:snapToGrid w:val="0"/>
              </w:rPr>
              <w:t>Gazette</w:t>
            </w:r>
            <w:r>
              <w:rPr>
                <w:snapToGrid w:val="0"/>
              </w:rPr>
              <w:t xml:space="preserve"> 15 Dec 2015 p. 5027)</w:t>
            </w:r>
          </w:p>
        </w:tc>
      </w:tr>
      <w:tr>
        <w:tc>
          <w:tcPr>
            <w:tcW w:w="3118" w:type="dxa"/>
            <w:shd w:val="clear" w:color="auto" w:fill="auto"/>
          </w:tcPr>
          <w:p>
            <w:pPr>
              <w:pStyle w:val="nTable"/>
              <w:keepLines/>
              <w:spacing w:after="40"/>
            </w:pPr>
            <w:r>
              <w:rPr>
                <w:i/>
              </w:rPr>
              <w:t>Child Protection Regulations Amendment Regulations 2016</w:t>
            </w:r>
            <w:r>
              <w:t xml:space="preserve"> Pt. 3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keepNext/>
              <w:keepLines/>
              <w:spacing w:after="40"/>
              <w:rPr>
                <w:caps/>
              </w:rPr>
            </w:pPr>
            <w:r>
              <w:t>24 Jun 2016 p. 2292-4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1 Jul 2016 (see r. 2(b))</w:t>
            </w:r>
          </w:p>
        </w:tc>
      </w:tr>
      <w:tr>
        <w:tc>
          <w:tcPr>
            <w:tcW w:w="3118" w:type="dxa"/>
            <w:shd w:val="clear" w:color="auto" w:fill="auto"/>
          </w:tcPr>
          <w:p>
            <w:pPr>
              <w:pStyle w:val="nTable"/>
              <w:keepLines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 2016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keepNext/>
              <w:keepLines/>
              <w:spacing w:after="40"/>
            </w:pPr>
            <w:r>
              <w:t>24 Jun 2016 p. 2295-6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24 Jun 2016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2016 (see r. 2(b) and </w:t>
            </w:r>
            <w:r>
              <w:rPr>
                <w:i/>
              </w:rPr>
              <w:t>Gazette</w:t>
            </w:r>
            <w:r>
              <w:t xml:space="preserve"> 24 Jun 2016 p. 2291)</w:t>
            </w:r>
          </w:p>
        </w:tc>
      </w:tr>
      <w:tr>
        <w:tc>
          <w:tcPr>
            <w:tcW w:w="7087" w:type="dxa"/>
            <w:gridSpan w:val="3"/>
            <w:shd w:val="clear" w:color="auto" w:fill="auto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b/>
                <w:snapToGrid w:val="0"/>
              </w:rPr>
              <w:t xml:space="preserve">Reprint 3: The </w:t>
            </w:r>
            <w:r>
              <w:rPr>
                <w:b/>
                <w:i/>
                <w:noProof/>
                <w:snapToGrid w:val="0"/>
              </w:rPr>
              <w:t>Children and Community Services Regulations 2006</w:t>
            </w:r>
            <w:r>
              <w:rPr>
                <w:b/>
                <w:snapToGrid w:val="0"/>
              </w:rPr>
              <w:t xml:space="preserve"> as at 2 Sep 2016</w:t>
            </w:r>
            <w:r>
              <w:rPr>
                <w:snapToGrid w:val="0"/>
              </w:rP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 Protection Regulations Amendment (Fees and Payments) Regulations 2017</w:t>
            </w:r>
            <w:r>
              <w:t xml:space="preserve"> Pt. 3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spacing w:after="40"/>
            </w:pPr>
            <w:r>
              <w:t>23 Jun 2017 p. 3174</w:t>
            </w:r>
            <w:r>
              <w:noBreakHyphen/>
              <w:t>5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spacing w:after="40"/>
            </w:pPr>
            <w:r>
              <w:t>1 Jul 2017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 2018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spacing w:after="40"/>
            </w:pPr>
            <w:r>
              <w:t>22 Jun 2018 p. 2178</w:t>
            </w:r>
            <w:r>
              <w:noBreakHyphen/>
              <w:t>80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spacing w:after="40"/>
            </w:pPr>
            <w:r>
              <w:rPr>
                <w:snapToGrid w:val="0"/>
              </w:rPr>
              <w:t>r. 1 and 2: 22 Jun 2018 (see r. 2(a));</w:t>
            </w:r>
            <w:r>
              <w:rPr>
                <w:snapToGrid w:val="0"/>
              </w:rPr>
              <w:br/>
              <w:t xml:space="preserve">Regulations other than r. 1 and 2: </w:t>
            </w:r>
            <w:r>
              <w:t>1 Jul 2018 (see r. 2(b))</w:t>
            </w:r>
          </w:p>
        </w:tc>
      </w:tr>
      <w:tr>
        <w:trPr>
          <w:ins w:id="177" w:author="Master Repository Process" w:date="2021-07-31T20:24:00Z"/>
        </w:trPr>
        <w:tc>
          <w:tcPr>
            <w:tcW w:w="3118" w:type="dxa"/>
            <w:tcBorders>
              <w:bottom w:val="single" w:sz="4" w:space="0" w:color="auto"/>
            </w:tcBorders>
          </w:tcPr>
          <w:p>
            <w:pPr>
              <w:pStyle w:val="nTable"/>
              <w:spacing w:after="40"/>
              <w:rPr>
                <w:ins w:id="178" w:author="Master Repository Process" w:date="2021-07-31T20:24:00Z"/>
              </w:rPr>
            </w:pPr>
            <w:ins w:id="179" w:author="Master Repository Process" w:date="2021-07-31T20:24:00Z">
              <w:r>
                <w:rPr>
                  <w:i/>
                </w:rPr>
                <w:t>Child Protection Regulations Amendment (Fees and Payments) Regulations 2019</w:t>
              </w:r>
              <w:r>
                <w:t xml:space="preserve"> Pt. 3</w:t>
              </w:r>
            </w:ins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spacing w:after="40"/>
              <w:rPr>
                <w:ins w:id="180" w:author="Master Repository Process" w:date="2021-07-31T20:24:00Z"/>
              </w:rPr>
            </w:pPr>
            <w:ins w:id="181" w:author="Master Repository Process" w:date="2021-07-31T20:24:00Z">
              <w:r>
                <w:t>28 Jun 2019 p. 2477</w:t>
              </w:r>
              <w:r>
                <w:noBreakHyphen/>
                <w:t>9</w:t>
              </w:r>
            </w:ins>
          </w:p>
        </w:tc>
        <w:tc>
          <w:tcPr>
            <w:tcW w:w="2693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spacing w:after="40"/>
              <w:rPr>
                <w:ins w:id="182" w:author="Master Repository Process" w:date="2021-07-31T20:24:00Z"/>
                <w:snapToGrid w:val="0"/>
              </w:rPr>
            </w:pPr>
            <w:ins w:id="183" w:author="Master Repository Process" w:date="2021-07-31T20:24:00Z">
              <w:r>
                <w:rPr>
                  <w:snapToGrid w:val="0"/>
                </w:rPr>
                <w:t>1 Jul 2019 (see r. 2(b))</w:t>
              </w:r>
            </w:ins>
          </w:p>
        </w:tc>
      </w:tr>
    </w:tbl>
    <w:p>
      <w:pPr>
        <w:pStyle w:val="nSubsection"/>
        <w:spacing w:before="60"/>
      </w:pPr>
      <w:r>
        <w:rPr>
          <w:vertAlign w:val="superscript"/>
        </w:rPr>
        <w:t>2</w:t>
      </w:r>
      <w:r>
        <w:rPr>
          <w:vertAlign w:val="superscript"/>
        </w:rPr>
        <w:tab/>
      </w:r>
      <w:r>
        <w:t xml:space="preserve">Under the </w:t>
      </w:r>
      <w:r>
        <w:rPr>
          <w:i/>
          <w:iCs/>
        </w:rPr>
        <w:t>Financial Legislation Amendment and Repeal Act 2006</w:t>
      </w:r>
      <w:r>
        <w:t xml:space="preserve"> Sch. 2 cl. 13 a reference to the Consolidated Fund may, where the context so requires, be read as if it had been amended to be a reference to the Consolidated Account. This reference was changed under the </w:t>
      </w:r>
      <w:r>
        <w:rPr>
          <w:i/>
          <w:iCs/>
        </w:rPr>
        <w:t>Reprints Act 1984</w:t>
      </w:r>
      <w:r>
        <w:t xml:space="preserve"> s. 7(5)(a).</w:t>
      </w:r>
    </w:p>
    <w:p>
      <w:pPr>
        <w:pStyle w:val="nSubsection"/>
        <w:spacing w:before="60"/>
      </w:pPr>
      <w:r>
        <w:rPr>
          <w:vertAlign w:val="superscript"/>
        </w:rPr>
        <w:t>3</w:t>
      </w:r>
      <w:r>
        <w:rPr>
          <w:vertAlign w:val="superscript"/>
        </w:rPr>
        <w:tab/>
      </w:r>
      <w:r>
        <w:t xml:space="preserve">Repealed by the </w:t>
      </w:r>
      <w:r>
        <w:rPr>
          <w:i/>
          <w:spacing w:val="-2"/>
        </w:rPr>
        <w:t>Children and Community Services Act 2004</w:t>
      </w:r>
      <w:r>
        <w:rPr>
          <w:iCs/>
          <w:spacing w:val="-2"/>
        </w:rPr>
        <w:t xml:space="preserve"> s. 250</w:t>
      </w:r>
      <w:r>
        <w:t>.</w:t>
      </w:r>
    </w:p>
    <w:p>
      <w:pPr>
        <w:sectPr>
          <w:headerReference w:type="even" r:id="rId24"/>
          <w:headerReference w:type="default" r:id="rId25"/>
          <w:headerReference w:type="first" r:id="rId26"/>
          <w:endnotePr>
            <w:numFmt w:val="decimal"/>
          </w:endnotePr>
          <w:pgSz w:w="11907" w:h="16840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/>
    <w:sectPr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endnotePr>
        <w:numFmt w:val="decimal"/>
      </w:endnotePr>
      <w:type w:val="continuous"/>
      <w:pgSz w:w="11907" w:h="16840" w:code="9"/>
      <w:pgMar w:top="2376" w:right="2404" w:bottom="3544" w:left="2404" w:header="720" w:footer="338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rPr>
          <w:b/>
          <w:sz w:val="28"/>
        </w:rPr>
      </w:pPr>
      <w:r>
        <w:rPr>
          <w:b/>
          <w:sz w:val="28"/>
        </w:rPr>
        <w:t>Endnotes</w:t>
      </w:r>
    </w:p>
    <w:p>
      <w:pPr>
        <w:spacing w:after="240"/>
        <w:rPr>
          <w:rFonts w:ascii="Times" w:hAnsi="Times"/>
          <w:sz w:val="18"/>
        </w:rPr>
      </w:pPr>
      <w:r>
        <w:rPr>
          <w:sz w:val="20"/>
        </w:rPr>
        <w:t>[For ease of reference detach these notes and read them alongside the draft.]</w:t>
      </w:r>
    </w:p>
    <w:p/>
  </w:endnote>
  <w:endnote w:type="continuationSeparator" w:id="0">
    <w:p>
      <w:pPr>
        <w:pStyle w:val="Footer"/>
      </w:pPr>
    </w:p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ab/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01 Jul 2018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03-c0-01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01 Jul 2019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03-d0-00</w:t>
    </w:r>
    <w:r>
      <w:rPr>
        <w:sz w:val="20"/>
      </w:rPr>
      <w:fldChar w:fldCharType="end"/>
    </w:r>
    <w:r>
      <w:rPr>
        <w:sz w:val="20"/>
      </w:rPr>
      <w:t>]</w:t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01 Jul 2018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03-c0-01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01 Jul 2019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03-d0-00</w:t>
    </w:r>
    <w:r>
      <w:rPr>
        <w:sz w:val="20"/>
      </w:rPr>
      <w:fldChar w:fldCharType="end"/>
    </w:r>
    <w:r>
      <w:rPr>
        <w:sz w:val="20"/>
      </w:rPr>
      <w:t>]</w:t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01 Jul 2018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03-c0-01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01 Jul 2019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03-d0-00</w:t>
    </w:r>
    <w:r>
      <w:rPr>
        <w:sz w:val="20"/>
      </w:rPr>
      <w:fldChar w:fldCharType="end"/>
    </w:r>
    <w:r>
      <w:rPr>
        <w:sz w:val="20"/>
      </w:rPr>
      <w:t>]</w:t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bookmarkStart w:id="0" w:name="TitlePage"/>
    <w:bookmarkEnd w:id="0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separate"/>
          </w:r>
          <w:r>
            <w:rPr>
              <w:b/>
            </w:rPr>
            <w:t>Part 2</w:t>
          </w:r>
          <w:r>
            <w:rPr>
              <w:b/>
            </w:rPr>
            <w:fldChar w:fldCharType="end"/>
          </w:r>
        </w:p>
      </w:tc>
      <w:tc>
        <w:tcPr>
          <w:tcW w:w="5715" w:type="dxa"/>
          <w:vAlign w:val="bottom"/>
        </w:tcPr>
        <w:p>
          <w:pPr>
            <w:pStyle w:val="Header"/>
            <w:spacing w:before="40"/>
          </w:pPr>
          <w:r>
            <w:fldChar w:fldCharType="begin"/>
          </w:r>
          <w:r>
            <w:instrText>styleref CharPartText</w:instrText>
          </w:r>
          <w:r>
            <w:fldChar w:fldCharType="separate"/>
          </w:r>
          <w:r>
            <w:t>Children in the CEO’s care</w: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4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>styleref CharPartText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Schedule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CharSDivText </w:instrText>
          </w:r>
          <w:r>
            <w:fldChar w:fldCharType="end"/>
          </w:r>
        </w:p>
      </w:tc>
    </w:tr>
    <w:t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Form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7263" w:type="dxa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97"/>
      <w:gridCol w:w="1466"/>
    </w:tblGrid>
    <w:tr>
      <w:tc>
        <w:tcPr>
          <w:tcW w:w="7160" w:type="dxa"/>
          <w:gridSpan w:val="2"/>
        </w:tcPr>
        <w:p>
          <w:pPr>
            <w:pStyle w:val="Header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  <w:tc>
        <w:tcPr>
          <w:tcW w:w="1445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Schedule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CharSDivText </w:instrText>
          </w:r>
          <w:r>
            <w:fldChar w:fldCharType="end"/>
          </w:r>
        </w:p>
      </w:tc>
      <w:tc>
        <w:tcPr>
          <w:tcW w:w="1445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</w:tr>
    <w:tr>
      <w:tc>
        <w:tcPr>
          <w:tcW w:w="7160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Form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  <w:bookmarkStart w:id="169" w:name="Schedule"/>
    <w:bookmarkEnd w:id="169"/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</w:p>
      </w:tc>
    </w:tr>
  </w:tbl>
  <w:p>
    <w:pPr>
      <w:pStyle w:val="Header"/>
      <w:pBdr>
        <w:top w:val="single" w:sz="4" w:space="1" w:color="auto"/>
      </w:pBdr>
    </w:pPr>
    <w:bookmarkStart w:id="184" w:name="Compilation"/>
    <w:bookmarkEnd w:id="184"/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bookmarkStart w:id="185" w:name="Coversheet"/>
    <w:bookmarkEnd w:id="18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A15AA3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188B4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E78DF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0AADA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14C91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808CB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78663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1563A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DCE66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5DC02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1C0EBC"/>
    <w:multiLevelType w:val="singleLevel"/>
    <w:tmpl w:val="1B68A73E"/>
    <w:lvl w:ilvl="0">
      <w:numFmt w:val="bullet"/>
      <w:lvlText w:val="•"/>
      <w:lvlJc w:val="left"/>
      <w:pPr>
        <w:tabs>
          <w:tab w:val="num" w:pos="360"/>
        </w:tabs>
        <w:ind w:left="284" w:hanging="284"/>
      </w:pPr>
      <w:rPr>
        <w:rFonts w:ascii="Times New Roman" w:hAnsi="Times New Roman" w:hint="default"/>
        <w:sz w:val="24"/>
      </w:rPr>
    </w:lvl>
  </w:abstractNum>
  <w:abstractNum w:abstractNumId="11" w15:restartNumberingAfterBreak="0">
    <w:nsid w:val="10D0232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138B63E2"/>
    <w:multiLevelType w:val="multilevel"/>
    <w:tmpl w:val="3550C8FC"/>
    <w:name w:val="Section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(%2)"/>
      <w:lvlJc w:val="righ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3" w15:restartNumberingAfterBreak="0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decimal"/>
      <w:suff w:val="nothing"/>
      <w:lvlText w:val="%4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4" w15:restartNumberingAfterBreak="0">
    <w:nsid w:val="22FF52EA"/>
    <w:multiLevelType w:val="multilevel"/>
    <w:tmpl w:val="85E88ED1"/>
    <w:name w:val="PermanentNotesNumbering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5" w15:restartNumberingAfterBreak="0">
    <w:nsid w:val="22FF52EB"/>
    <w:multiLevelType w:val="multilevel"/>
    <w:tmpl w:val="85E88ED0"/>
    <w:name w:val="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6" w15:restartNumberingAfterBreak="0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7" w15:restartNumberingAfterBreak="0">
    <w:nsid w:val="3C2808C0"/>
    <w:multiLevelType w:val="singleLevel"/>
    <w:tmpl w:val="6FFA42DE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18" w15:restartNumberingAfterBreak="0">
    <w:nsid w:val="42C41A54"/>
    <w:multiLevelType w:val="multilevel"/>
    <w:tmpl w:val="3C54BBA6"/>
    <w:name w:val="ScheduleNumberedItems"/>
    <w:lvl w:ilvl="0">
      <w:start w:val="1"/>
      <w:numFmt w:val="decimal"/>
      <w:suff w:val="nothing"/>
      <w:lvlText w:val="%1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9" w15:restartNumberingAfterBreak="0">
    <w:nsid w:val="55CD6C5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5E761E26"/>
    <w:multiLevelType w:val="multilevel"/>
    <w:tmpl w:val="9B2EA622"/>
    <w:name w:val="ScheduleSection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(%2)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1" w15:restartNumberingAfterBreak="0">
    <w:nsid w:val="6FDE73CC"/>
    <w:multiLevelType w:val="multilevel"/>
    <w:tmpl w:val="F23471B8"/>
    <w:name w:val="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2" w15:restartNumberingAfterBreak="0">
    <w:nsid w:val="7AB12928"/>
    <w:multiLevelType w:val="multilevel"/>
    <w:tmpl w:val="4B987CFA"/>
    <w:name w:val="Schedule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3" w15:restartNumberingAfterBreak="0">
    <w:nsid w:val="7E512DEB"/>
    <w:multiLevelType w:val="multilevel"/>
    <w:tmpl w:val="9D2ACE92"/>
    <w:name w:val="Schedule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1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ster Repository Process">
    <w15:presenceInfo w15:providerId="AD" w15:userId="S-1-5-21-446834752-3266806679-4089291514-131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114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WAFER" w:val="20180626153936"/>
    <w:docVar w:name="WAFER_20140121133117" w:val="RemoveTocBookmarks,RemoveUnusedBookmarks,RemoveLanguageTags,UsedStyles,ResetPageSize,UpdateArrangement"/>
    <w:docVar w:name="WAFER_20140121133117_GUID" w:val="59c53881-6f93-4db4-9c2b-30bf43e1754e"/>
    <w:docVar w:name="WAFER_20140121134956" w:val="RemoveTocBookmarks,RunningHeaders"/>
    <w:docVar w:name="WAFER_20140121134956_GUID" w:val="1bec880c-e586-49ab-92d8-853a671149b3"/>
    <w:docVar w:name="WAFER_20150331161310" w:val="ResetPageSize,UpdateArrangement,UpdateNTable"/>
    <w:docVar w:name="WAFER_20150331161310_GUID" w:val="8ff62947-dfd2-4d01-a4a7-32848698c515"/>
    <w:docVar w:name="WAFER_20151102151040" w:val="UpdateStyles,UsedStyles"/>
    <w:docVar w:name="WAFER_20151102151040_GUID" w:val="eff5211b-1a27-4fa7-8e5c-eace84833522"/>
    <w:docVar w:name="WAFER_20151201084055" w:val="RemoveTrackChanges"/>
    <w:docVar w:name="WAFER_20151201084055_GUID" w:val="78d9ac1d-9a90-4f89-bb84-a26bc43ff623"/>
    <w:docVar w:name="WAFER_20160803153535" w:val="RemoveTocBookmarks,RemoveUnusedBookmarks,RemoveLanguageTags,UsedStyles,RemoveTrackChanges"/>
    <w:docVar w:name="WAFER_20160803153535_GUID" w:val="b37ddead-4c9b-4f96-adac-aa5f25735000"/>
    <w:docVar w:name="WAFER_20160803153553" w:val="RemoveTocBookmarks,RemoveLanguageTags,RemoveTrackChanges,RunningHeaders"/>
    <w:docVar w:name="WAFER_20160803153553_GUID" w:val="8f03d3b9-f463-4b84-ac8a-8c77893a8552"/>
    <w:docVar w:name="WAFER_20180626153936" w:val="RemoveTocBookmarks,RemoveUnusedBookmarks,RemoveLanguageTags,UsedStyles,ResetPageSize"/>
    <w:docVar w:name="WAFER_20180626153936_GUID" w:val="0f077cb6-0db5-4dac-829a-1844d36bc1e6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State"/>
  <w:shapeDefaults>
    <o:shapedefaults v:ext="edit" spidmax="4097"/>
    <o:shapelayout v:ext="edit">
      <o:idmap v:ext="edit" data="1"/>
    </o:shapelayout>
  </w:shapeDefaults>
  <w:decimalSymbol w:val="."/>
  <w:listSeparator w:val=","/>
  <w15:docId w15:val="{AE721C05-FA29-43C9-AE92-6DE822372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iPriority="39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tem">
    <w:name w:val="Defitem"/>
    <w:pPr>
      <w:tabs>
        <w:tab w:val="right" w:pos="2892"/>
      </w:tabs>
      <w:spacing w:before="80" w:line="260" w:lineRule="atLeast"/>
      <w:ind w:left="3204" w:hanging="3204"/>
    </w:pPr>
    <w:rPr>
      <w:snapToGrid w:val="0"/>
      <w:sz w:val="24"/>
    </w:rPr>
  </w:style>
  <w:style w:type="paragraph" w:customStyle="1" w:styleId="Defpara">
    <w:name w:val="Defpara"/>
    <w:pPr>
      <w:tabs>
        <w:tab w:val="right" w:pos="1332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</w:tabs>
      <w:spacing w:before="80" w:line="260" w:lineRule="atLeast"/>
      <w:ind w:left="2325" w:hanging="2325"/>
    </w:pPr>
    <w:rPr>
      <w:snapToGrid w:val="0"/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Defitem"/>
    <w:rPr>
      <w:i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Defpara"/>
    <w:rPr>
      <w:i/>
    </w:r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Defsubpara"/>
    <w:rPr>
      <w:i/>
    </w:r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link w:val="FooterChar"/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Graphics">
    <w:name w:val="Graphics"/>
    <w:basedOn w:val="Equation"/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tabs>
        <w:tab w:val="num" w:pos="360"/>
      </w:tabs>
    </w:pPr>
  </w:style>
  <w:style w:type="paragraph" w:styleId="ListBullet2">
    <w:name w:val="List Bullet 2"/>
    <w:basedOn w:val="Normal"/>
    <w:autoRedefine/>
    <w:pPr>
      <w:tabs>
        <w:tab w:val="num" w:pos="360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tabs>
        <w:tab w:val="num" w:pos="360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tabs>
        <w:tab w:val="num" w:pos="360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tabs>
        <w:tab w:val="num" w:pos="360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tabs>
        <w:tab w:val="num" w:pos="360"/>
      </w:tabs>
    </w:pPr>
  </w:style>
  <w:style w:type="paragraph" w:styleId="ListNumber2">
    <w:name w:val="List Number 2"/>
    <w:basedOn w:val="Normal"/>
    <w:pPr>
      <w:tabs>
        <w:tab w:val="num" w:pos="360"/>
        <w:tab w:val="num" w:pos="720"/>
      </w:tabs>
      <w:ind w:left="720"/>
    </w:pPr>
  </w:style>
  <w:style w:type="paragraph" w:styleId="ListNumber3">
    <w:name w:val="List Number 3"/>
    <w:basedOn w:val="Normal"/>
    <w:pPr>
      <w:tabs>
        <w:tab w:val="num" w:pos="360"/>
        <w:tab w:val="num" w:pos="1080"/>
      </w:tabs>
      <w:ind w:left="1080"/>
    </w:pPr>
  </w:style>
  <w:style w:type="paragraph" w:styleId="ListNumber4">
    <w:name w:val="List Number 4"/>
    <w:basedOn w:val="Normal"/>
    <w:pPr>
      <w:tabs>
        <w:tab w:val="num" w:pos="360"/>
        <w:tab w:val="num" w:pos="1440"/>
      </w:tabs>
      <w:ind w:left="1440"/>
    </w:pPr>
  </w:style>
  <w:style w:type="paragraph" w:styleId="ListNumber5">
    <w:name w:val="List Number 5"/>
    <w:basedOn w:val="Normal"/>
    <w:pPr>
      <w:tabs>
        <w:tab w:val="num" w:pos="360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pPr>
      <w:spacing w:before="40"/>
    </w:pPr>
    <w:rPr>
      <w:sz w:val="19"/>
    </w:rPr>
  </w:style>
  <w:style w:type="paragraph" w:customStyle="1" w:styleId="zDefpara">
    <w:name w:val="zDefpara"/>
    <w:pPr>
      <w:tabs>
        <w:tab w:val="right" w:pos="1899"/>
      </w:tabs>
      <w:spacing w:before="80" w:line="260" w:lineRule="atLeast"/>
      <w:ind w:left="2183" w:right="284" w:hanging="1616"/>
    </w:pPr>
    <w:rPr>
      <w:snapToGrid w:val="0"/>
      <w:sz w:val="24"/>
    </w:rPr>
  </w:style>
  <w:style w:type="paragraph" w:customStyle="1" w:styleId="nzDefpara">
    <w:name w:val="nzDefpara"/>
    <w:pPr>
      <w:tabs>
        <w:tab w:val="right" w:pos="1899"/>
      </w:tabs>
      <w:spacing w:before="40"/>
      <w:ind w:left="2183" w:right="284" w:hanging="1616"/>
    </w:pPr>
    <w:rPr>
      <w:snapToGrid w:val="0"/>
    </w:rPr>
  </w:style>
  <w:style w:type="paragraph" w:customStyle="1" w:styleId="zDefstart">
    <w:name w:val="zDefstart"/>
    <w:pPr>
      <w:spacing w:before="80" w:line="260" w:lineRule="atLeast"/>
      <w:ind w:left="1446" w:right="284" w:hanging="879"/>
    </w:pPr>
    <w:rPr>
      <w:snapToGrid w:val="0"/>
      <w:sz w:val="24"/>
    </w:rPr>
  </w:style>
  <w:style w:type="paragraph" w:customStyle="1" w:styleId="nzDefstart">
    <w:name w:val="nzDefstart"/>
    <w:pPr>
      <w:spacing w:before="40"/>
      <w:ind w:left="1446" w:right="284" w:hanging="879"/>
    </w:pPr>
    <w:rPr>
      <w:snapToGrid w:val="0"/>
    </w:rPr>
  </w:style>
  <w:style w:type="paragraph" w:customStyle="1" w:styleId="zDefsubpara">
    <w:name w:val="zDefsubpara"/>
    <w:pPr>
      <w:keepLines/>
      <w:tabs>
        <w:tab w:val="right" w:pos="2608"/>
      </w:tabs>
      <w:spacing w:before="80" w:line="260" w:lineRule="atLeast"/>
      <w:ind w:left="2892" w:right="284" w:hanging="2325"/>
    </w:pPr>
    <w:rPr>
      <w:snapToGrid w:val="0"/>
      <w:sz w:val="24"/>
    </w:rPr>
  </w:style>
  <w:style w:type="paragraph" w:customStyle="1" w:styleId="nzDefsubpara">
    <w:name w:val="nzDefsubpara"/>
    <w:pPr>
      <w:keepLines/>
      <w:tabs>
        <w:tab w:val="right" w:pos="2608"/>
      </w:tabs>
      <w:spacing w:before="40"/>
      <w:ind w:left="2892" w:right="284" w:hanging="2325"/>
    </w:pPr>
    <w:rPr>
      <w:snapToGrid w:val="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nzTable">
    <w:name w:val="nzTable"/>
    <w:basedOn w:val="Normal"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uiPriority w:val="39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pPr>
      <w:tabs>
        <w:tab w:val="right" w:pos="2892"/>
      </w:tabs>
      <w:spacing w:before="80"/>
      <w:ind w:left="3204" w:hanging="3204"/>
    </w:pPr>
    <w:rPr>
      <w:snapToGrid w:val="0"/>
      <w:sz w:val="22"/>
    </w:rPr>
  </w:style>
  <w:style w:type="paragraph" w:customStyle="1" w:styleId="yDefpara">
    <w:name w:val="yDefpara"/>
    <w:pPr>
      <w:tabs>
        <w:tab w:val="right" w:pos="1332"/>
      </w:tabs>
      <w:spacing w:before="80"/>
      <w:ind w:left="1616" w:hanging="1616"/>
    </w:pPr>
    <w:rPr>
      <w:snapToGrid w:val="0"/>
      <w:sz w:val="22"/>
    </w:rPr>
  </w:style>
  <w:style w:type="paragraph" w:customStyle="1" w:styleId="yDefstart">
    <w:name w:val="yDefstart"/>
    <w:pPr>
      <w:spacing w:before="80"/>
      <w:ind w:left="879" w:hanging="879"/>
    </w:pPr>
    <w:rPr>
      <w:snapToGrid w:val="0"/>
      <w:sz w:val="22"/>
    </w:rPr>
  </w:style>
  <w:style w:type="paragraph" w:customStyle="1" w:styleId="yDefsubpara">
    <w:name w:val="yDefsubpara"/>
    <w:pPr>
      <w:keepLines/>
      <w:tabs>
        <w:tab w:val="right" w:pos="2041"/>
      </w:tabs>
      <w:spacing w:before="80"/>
      <w:ind w:left="2325" w:hanging="2325"/>
    </w:pPr>
    <w:rPr>
      <w:snapToGrid w:val="0"/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pPr>
      <w:tabs>
        <w:tab w:val="right" w:pos="3459"/>
      </w:tabs>
      <w:spacing w:before="80" w:line="260" w:lineRule="atLeast"/>
      <w:ind w:left="3686" w:right="284" w:hanging="3119"/>
    </w:pPr>
    <w:rPr>
      <w:snapToGrid w:val="0"/>
      <w:sz w:val="24"/>
    </w:r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pPr>
      <w:tabs>
        <w:tab w:val="right" w:pos="3459"/>
      </w:tabs>
      <w:spacing w:before="80"/>
      <w:ind w:left="3686" w:right="284" w:hanging="3119"/>
    </w:pPr>
    <w:rPr>
      <w:snapToGrid w:val="0"/>
      <w:sz w:val="22"/>
    </w:rPr>
  </w:style>
  <w:style w:type="paragraph" w:customStyle="1" w:styleId="zyDefpara">
    <w:name w:val="zyDefpara"/>
    <w:pPr>
      <w:tabs>
        <w:tab w:val="right" w:pos="1899"/>
      </w:tabs>
      <w:spacing w:before="80"/>
      <w:ind w:left="2183" w:right="284" w:hanging="1616"/>
    </w:pPr>
    <w:rPr>
      <w:snapToGrid w:val="0"/>
      <w:sz w:val="22"/>
    </w:rPr>
  </w:style>
  <w:style w:type="paragraph" w:customStyle="1" w:styleId="zyDefstart">
    <w:name w:val="zyDefstart"/>
    <w:pPr>
      <w:spacing w:before="80"/>
      <w:ind w:left="1446" w:right="284" w:hanging="879"/>
    </w:pPr>
    <w:rPr>
      <w:snapToGrid w:val="0"/>
      <w:sz w:val="22"/>
    </w:rPr>
  </w:style>
  <w:style w:type="paragraph" w:customStyle="1" w:styleId="zyDefsubpara">
    <w:name w:val="zyDefsubpara"/>
    <w:pPr>
      <w:keepLines/>
      <w:tabs>
        <w:tab w:val="right" w:pos="2608"/>
      </w:tabs>
      <w:spacing w:before="80"/>
      <w:ind w:left="2892" w:right="284" w:hanging="2325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rPr>
      <w:rFonts w:ascii="Arial" w:hAnsi="Arial"/>
      <w:noProof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pPr>
      <w:spacing w:before="120"/>
      <w:ind w:left="879" w:hanging="879"/>
    </w:pPr>
    <w:rPr>
      <w:sz w:val="22"/>
    </w:rPr>
  </w:style>
  <w:style w:type="paragraph" w:customStyle="1" w:styleId="zyNumberedItem">
    <w:name w:val="zyNumberedItem"/>
    <w:pPr>
      <w:spacing w:before="120"/>
      <w:ind w:left="1446" w:right="284" w:hanging="879"/>
    </w:pPr>
    <w:rPr>
      <w:sz w:val="22"/>
    </w:r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umberedItem">
    <w:name w:val="nzNumberedItem"/>
    <w:pPr>
      <w:spacing w:before="40"/>
      <w:ind w:left="1446" w:right="284" w:hanging="879"/>
    </w:p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"/>
    <w:rPr>
      <w:b/>
      <w:noProof/>
      <w:sz w:val="28"/>
    </w:rPr>
  </w:style>
  <w:style w:type="paragraph" w:customStyle="1" w:styleId="yEdnotedefitem">
    <w:name w:val="yEdnote(defitem)"/>
    <w:basedOn w:val="yDefitem"/>
    <w:rPr>
      <w:i/>
    </w:rPr>
  </w:style>
  <w:style w:type="paragraph" w:customStyle="1" w:styleId="yEdnotedefpara">
    <w:name w:val="yEdnote(defpara)"/>
    <w:basedOn w:val="yDefpara"/>
    <w:rPr>
      <w:i/>
    </w:rPr>
  </w:style>
  <w:style w:type="paragraph" w:customStyle="1" w:styleId="yEdnotedefsubpara">
    <w:name w:val="yEdnote(defsubpara)"/>
    <w:basedOn w:val="yDefsubpara"/>
    <w:rPr>
      <w:i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pPr>
      <w:spacing w:before="6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  <w:qFormat/>
    <w:pPr>
      <w:tabs>
        <w:tab w:val="left" w:pos="567"/>
      </w:tabs>
    </w:p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pPr>
      <w:tabs>
        <w:tab w:val="left" w:pos="567"/>
      </w:tabs>
    </w:pPr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  <w:pPr>
      <w:tabs>
        <w:tab w:val="left" w:pos="567"/>
      </w:tabs>
    </w:pPr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pPr>
      <w:tabs>
        <w:tab w:val="left" w:pos="567"/>
      </w:tabs>
    </w:pPr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customStyle="1" w:styleId="nzDefitem">
    <w:name w:val="nzDefitem"/>
    <w:pPr>
      <w:tabs>
        <w:tab w:val="right" w:pos="3459"/>
      </w:tabs>
      <w:spacing w:before="40"/>
      <w:ind w:left="3686" w:right="284" w:hanging="3119"/>
    </w:pPr>
    <w:rPr>
      <w:snapToGrid w:val="0"/>
    </w:rPr>
  </w:style>
  <w:style w:type="paragraph" w:customStyle="1" w:styleId="Defsubitem">
    <w:name w:val="Defsubitem"/>
    <w:qFormat/>
    <w:pPr>
      <w:tabs>
        <w:tab w:val="right" w:pos="3686"/>
      </w:tabs>
      <w:spacing w:before="80" w:line="260" w:lineRule="atLeast"/>
      <w:ind w:left="3969" w:hanging="3969"/>
    </w:pPr>
    <w:rPr>
      <w:snapToGrid w:val="0"/>
      <w:sz w:val="24"/>
    </w:rPr>
  </w:style>
  <w:style w:type="paragraph" w:customStyle="1" w:styleId="Ednotedefsubitem">
    <w:name w:val="Ednote(defsubitem)"/>
    <w:basedOn w:val="Defsubitem"/>
    <w:rPr>
      <w:i/>
    </w:rPr>
  </w:style>
  <w:style w:type="paragraph" w:customStyle="1" w:styleId="yDefsubitem">
    <w:name w:val="yDefsubitem"/>
    <w:qFormat/>
    <w:pPr>
      <w:tabs>
        <w:tab w:val="right" w:pos="3686"/>
      </w:tabs>
      <w:spacing w:before="80"/>
      <w:ind w:left="3969" w:hanging="3969"/>
    </w:pPr>
    <w:rPr>
      <w:snapToGrid w:val="0"/>
      <w:sz w:val="22"/>
    </w:rPr>
  </w:style>
  <w:style w:type="paragraph" w:customStyle="1" w:styleId="yEdnotedefsubitem">
    <w:name w:val="yEdnote(defsubitem)"/>
    <w:basedOn w:val="yDefsubitem"/>
    <w:rPr>
      <w:i/>
    </w:rPr>
  </w:style>
  <w:style w:type="paragraph" w:customStyle="1" w:styleId="zDefsubitem">
    <w:name w:val="zDefsubitem"/>
    <w:qFormat/>
    <w:pPr>
      <w:tabs>
        <w:tab w:val="right" w:pos="4167"/>
      </w:tabs>
      <w:spacing w:before="80" w:line="260" w:lineRule="atLeast"/>
      <w:ind w:left="4451" w:right="284" w:hanging="3884"/>
    </w:pPr>
    <w:rPr>
      <w:snapToGrid w:val="0"/>
      <w:sz w:val="24"/>
    </w:rPr>
  </w:style>
  <w:style w:type="paragraph" w:customStyle="1" w:styleId="nzDefsubitem">
    <w:name w:val="nzDefsubitem"/>
    <w:qFormat/>
    <w:pPr>
      <w:tabs>
        <w:tab w:val="right" w:pos="4167"/>
      </w:tabs>
      <w:spacing w:before="40"/>
      <w:ind w:left="4451" w:right="284" w:hanging="3884"/>
    </w:pPr>
    <w:rPr>
      <w:snapToGrid w:val="0"/>
    </w:rPr>
  </w:style>
  <w:style w:type="paragraph" w:customStyle="1" w:styleId="zyDefsubitem">
    <w:name w:val="zyDefsubitem"/>
    <w:qFormat/>
    <w:pPr>
      <w:tabs>
        <w:tab w:val="right" w:pos="4167"/>
      </w:tabs>
      <w:spacing w:before="80"/>
      <w:ind w:left="4451" w:right="284" w:hanging="3884"/>
    </w:pPr>
    <w:rPr>
      <w:snapToGrid w:val="0"/>
      <w:sz w:val="22"/>
    </w:rPr>
  </w:style>
  <w:style w:type="paragraph" w:customStyle="1" w:styleId="nzPensubpara">
    <w:name w:val="nzPensubpara"/>
    <w:basedOn w:val="zPensubpara"/>
    <w:pPr>
      <w:spacing w:before="40" w:line="240" w:lineRule="auto"/>
    </w:pPr>
    <w:rPr>
      <w:sz w:val="20"/>
    </w:rPr>
  </w:style>
  <w:style w:type="paragraph" w:customStyle="1" w:styleId="nzPenitem">
    <w:name w:val="nzPenitem"/>
    <w:basedOn w:val="zPenitem"/>
    <w:pPr>
      <w:spacing w:before="40" w:line="240" w:lineRule="auto"/>
    </w:pPr>
    <w:rPr>
      <w:sz w:val="20"/>
    </w:rPr>
  </w:style>
  <w:style w:type="paragraph" w:customStyle="1" w:styleId="yEdnotenumbereditem">
    <w:name w:val="yEdnote(numbereditem)"/>
    <w:basedOn w:val="yNumberedItem"/>
    <w:rPr>
      <w:i/>
    </w:rPr>
  </w:style>
  <w:style w:type="paragraph" w:customStyle="1" w:styleId="yNumberedItemPara">
    <w:name w:val="yNumberedItemPara"/>
    <w:qFormat/>
    <w:pPr>
      <w:tabs>
        <w:tab w:val="right" w:pos="1332"/>
      </w:tabs>
      <w:spacing w:before="80"/>
      <w:ind w:left="1616" w:hanging="1616"/>
    </w:pPr>
    <w:rPr>
      <w:sz w:val="22"/>
    </w:rPr>
  </w:style>
  <w:style w:type="paragraph" w:customStyle="1" w:styleId="yEdnotenumbereditempara">
    <w:name w:val="yEdnote(numbereditempara)"/>
    <w:basedOn w:val="yNumberedItemPara"/>
    <w:rPr>
      <w:i/>
    </w:rPr>
  </w:style>
  <w:style w:type="paragraph" w:customStyle="1" w:styleId="zyNumberedItemPara">
    <w:name w:val="zyNumberedItemPara"/>
    <w:qFormat/>
    <w:pPr>
      <w:tabs>
        <w:tab w:val="right" w:pos="1899"/>
      </w:tabs>
      <w:spacing w:before="80"/>
      <w:ind w:left="2183" w:right="284" w:hanging="1616"/>
    </w:pPr>
    <w:rPr>
      <w:sz w:val="22"/>
    </w:rPr>
  </w:style>
  <w:style w:type="paragraph" w:customStyle="1" w:styleId="nzNumberedItemPara">
    <w:name w:val="nzNumberedItemPara"/>
    <w:pPr>
      <w:tabs>
        <w:tab w:val="right" w:pos="1899"/>
      </w:tabs>
      <w:spacing w:before="40"/>
      <w:ind w:left="2183" w:right="284" w:hanging="1616"/>
    </w:pPr>
  </w:style>
  <w:style w:type="paragraph" w:customStyle="1" w:styleId="yNumberedItemSubPara">
    <w:name w:val="yNumberedItemSubPara"/>
    <w:qFormat/>
    <w:pPr>
      <w:tabs>
        <w:tab w:val="right" w:pos="2041"/>
      </w:tabs>
      <w:spacing w:before="80"/>
      <w:ind w:left="2325" w:hanging="2325"/>
    </w:pPr>
    <w:rPr>
      <w:sz w:val="22"/>
    </w:rPr>
  </w:style>
  <w:style w:type="paragraph" w:customStyle="1" w:styleId="yEdnotenumbereditemsubpara">
    <w:name w:val="yEdnote(numbereditemsubpara)"/>
    <w:basedOn w:val="yNumberedItemSubPara"/>
    <w:rPr>
      <w:i/>
    </w:rPr>
  </w:style>
  <w:style w:type="paragraph" w:customStyle="1" w:styleId="zyNumberedItemSubPara">
    <w:name w:val="zyNumberedItemSubPara"/>
    <w:qFormat/>
    <w:pPr>
      <w:tabs>
        <w:tab w:val="right" w:pos="2608"/>
      </w:tabs>
      <w:spacing w:before="80"/>
      <w:ind w:left="2892" w:right="284" w:hanging="2325"/>
    </w:pPr>
    <w:rPr>
      <w:sz w:val="22"/>
    </w:rPr>
  </w:style>
  <w:style w:type="paragraph" w:customStyle="1" w:styleId="nzNumberedItemSubPara">
    <w:name w:val="nzNumberedItemSubPara"/>
    <w:pPr>
      <w:tabs>
        <w:tab w:val="right" w:pos="2608"/>
      </w:tabs>
      <w:spacing w:before="40"/>
      <w:ind w:left="2892" w:right="284" w:hanging="2325"/>
    </w:pPr>
  </w:style>
  <w:style w:type="paragraph" w:customStyle="1" w:styleId="PermNoteHeading">
    <w:name w:val="PermNoteHeading"/>
    <w:qFormat/>
    <w:pPr>
      <w:keepNext/>
      <w:spacing w:before="160"/>
      <w:ind w:left="879" w:hanging="879"/>
    </w:pPr>
    <w:rPr>
      <w:rFonts w:ascii="Arial" w:hAnsi="Arial"/>
      <w:sz w:val="18"/>
    </w:rPr>
  </w:style>
  <w:style w:type="paragraph" w:customStyle="1" w:styleId="Ednotepermnoteheading">
    <w:name w:val="Ednote(permnoteheading)"/>
    <w:basedOn w:val="PermNoteHeading"/>
    <w:rPr>
      <w:i/>
    </w:rPr>
  </w:style>
  <w:style w:type="paragraph" w:customStyle="1" w:styleId="zPermNoteHeading">
    <w:name w:val="zPermNoteHeading"/>
    <w:qFormat/>
    <w:pPr>
      <w:spacing w:before="160"/>
      <w:ind w:left="1446" w:right="284" w:hanging="879"/>
    </w:pPr>
    <w:rPr>
      <w:rFonts w:ascii="Arial" w:hAnsi="Arial"/>
      <w:sz w:val="18"/>
    </w:rPr>
  </w:style>
  <w:style w:type="paragraph" w:customStyle="1" w:styleId="nzPermNoteHeading">
    <w:name w:val="nzPermNoteHeading"/>
    <w:pPr>
      <w:spacing w:before="40"/>
      <w:ind w:left="1446" w:right="284" w:hanging="879"/>
    </w:pPr>
    <w:rPr>
      <w:rFonts w:ascii="Arial" w:hAnsi="Arial"/>
      <w:sz w:val="14"/>
    </w:rPr>
  </w:style>
  <w:style w:type="paragraph" w:customStyle="1" w:styleId="PermNoteText">
    <w:name w:val="PermNoteText"/>
    <w:qFormat/>
    <w:pPr>
      <w:tabs>
        <w:tab w:val="left" w:pos="879"/>
      </w:tabs>
      <w:spacing w:before="80"/>
      <w:ind w:left="1418" w:hanging="1418"/>
    </w:pPr>
    <w:rPr>
      <w:rFonts w:ascii="Arial" w:hAnsi="Arial"/>
      <w:sz w:val="18"/>
    </w:rPr>
  </w:style>
  <w:style w:type="paragraph" w:customStyle="1" w:styleId="Ednotepermnotetext">
    <w:name w:val="Ednote(permnotetext)"/>
    <w:basedOn w:val="PermNoteText"/>
    <w:rPr>
      <w:i/>
    </w:rPr>
  </w:style>
  <w:style w:type="paragraph" w:customStyle="1" w:styleId="zPermNoteText">
    <w:name w:val="zPermNoteText"/>
    <w:qFormat/>
    <w:pPr>
      <w:tabs>
        <w:tab w:val="left" w:pos="1446"/>
      </w:tabs>
      <w:spacing w:before="80"/>
      <w:ind w:left="2013" w:right="284" w:hanging="1446"/>
    </w:pPr>
    <w:rPr>
      <w:rFonts w:ascii="Arial" w:hAnsi="Arial"/>
      <w:sz w:val="18"/>
    </w:rPr>
  </w:style>
  <w:style w:type="paragraph" w:customStyle="1" w:styleId="nzPermNoteText">
    <w:name w:val="nzPermNoteText"/>
    <w:pPr>
      <w:tabs>
        <w:tab w:val="left" w:pos="1446"/>
      </w:tabs>
      <w:spacing w:before="40"/>
      <w:ind w:left="2013" w:right="284" w:hanging="1446"/>
    </w:pPr>
    <w:rPr>
      <w:rFonts w:ascii="Arial" w:hAnsi="Arial"/>
      <w:sz w:val="14"/>
    </w:rPr>
  </w:style>
  <w:style w:type="paragraph" w:customStyle="1" w:styleId="PermNotePara">
    <w:name w:val="PermNotePara"/>
    <w:qFormat/>
    <w:pPr>
      <w:tabs>
        <w:tab w:val="right" w:pos="1843"/>
      </w:tabs>
      <w:spacing w:before="80"/>
      <w:ind w:left="2013" w:hanging="2013"/>
    </w:pPr>
    <w:rPr>
      <w:rFonts w:ascii="Arial" w:hAnsi="Arial"/>
      <w:sz w:val="18"/>
    </w:rPr>
  </w:style>
  <w:style w:type="paragraph" w:customStyle="1" w:styleId="Ednotepermnotepara">
    <w:name w:val="Ednote(permnotepara)"/>
    <w:basedOn w:val="PermNotePara"/>
    <w:rPr>
      <w:i/>
    </w:rPr>
  </w:style>
  <w:style w:type="paragraph" w:customStyle="1" w:styleId="zPermNotePara">
    <w:name w:val="zPermNotePara"/>
    <w:qFormat/>
    <w:pPr>
      <w:tabs>
        <w:tab w:val="right" w:pos="2410"/>
      </w:tabs>
      <w:spacing w:before="80"/>
      <w:ind w:left="2580" w:right="284" w:hanging="2013"/>
    </w:pPr>
    <w:rPr>
      <w:rFonts w:ascii="Arial" w:hAnsi="Arial"/>
      <w:sz w:val="18"/>
    </w:rPr>
  </w:style>
  <w:style w:type="paragraph" w:customStyle="1" w:styleId="nzPermNotePara">
    <w:name w:val="nzPermNotePara"/>
    <w:pPr>
      <w:tabs>
        <w:tab w:val="right" w:pos="2410"/>
      </w:tabs>
      <w:spacing w:before="40"/>
      <w:ind w:left="2580" w:right="284" w:hanging="2013"/>
    </w:pPr>
    <w:rPr>
      <w:rFonts w:ascii="Arial" w:hAnsi="Arial"/>
      <w:sz w:val="14"/>
    </w:rPr>
  </w:style>
  <w:style w:type="paragraph" w:customStyle="1" w:styleId="PermNoteSubPara">
    <w:name w:val="PermNoteSubPara"/>
    <w:qFormat/>
    <w:pPr>
      <w:tabs>
        <w:tab w:val="right" w:pos="2296"/>
      </w:tabs>
      <w:spacing w:before="80"/>
      <w:ind w:left="2580" w:hanging="2580"/>
    </w:pPr>
    <w:rPr>
      <w:rFonts w:ascii="Arial" w:hAnsi="Arial"/>
      <w:sz w:val="18"/>
    </w:rPr>
  </w:style>
  <w:style w:type="paragraph" w:customStyle="1" w:styleId="Ednotepermnotesubpara">
    <w:name w:val="Ednote(permnotesubpara)"/>
    <w:basedOn w:val="PermNoteSubPara"/>
    <w:rPr>
      <w:i/>
    </w:rPr>
  </w:style>
  <w:style w:type="paragraph" w:customStyle="1" w:styleId="zPermNoteSubPara">
    <w:name w:val="zPermNoteSubPara"/>
    <w:qFormat/>
    <w:pPr>
      <w:tabs>
        <w:tab w:val="right" w:pos="2863"/>
      </w:tabs>
      <w:spacing w:before="80"/>
      <w:ind w:left="3147" w:right="284" w:hanging="2580"/>
    </w:pPr>
    <w:rPr>
      <w:rFonts w:ascii="Arial" w:hAnsi="Arial"/>
      <w:sz w:val="18"/>
    </w:rPr>
  </w:style>
  <w:style w:type="paragraph" w:customStyle="1" w:styleId="nzPermNoteSubPara">
    <w:name w:val="nzPermNoteSubPara"/>
    <w:pPr>
      <w:tabs>
        <w:tab w:val="right" w:pos="2863"/>
      </w:tabs>
      <w:spacing w:before="40"/>
      <w:ind w:left="3147" w:right="284" w:hanging="2580"/>
    </w:pPr>
    <w:rPr>
      <w:rFonts w:ascii="Arial" w:hAnsi="Arial"/>
      <w:sz w:val="14"/>
    </w:rPr>
  </w:style>
  <w:style w:type="paragraph" w:customStyle="1" w:styleId="SectAltNote">
    <w:name w:val="SectAltNote"/>
    <w:qFormat/>
    <w:pPr>
      <w:keepNext/>
      <w:tabs>
        <w:tab w:val="left" w:pos="879"/>
      </w:tabs>
      <w:spacing w:before="160"/>
      <w:ind w:left="1418" w:hanging="1418"/>
    </w:pPr>
    <w:rPr>
      <w:rFonts w:ascii="Arial" w:hAnsi="Arial"/>
      <w:sz w:val="18"/>
    </w:rPr>
  </w:style>
  <w:style w:type="paragraph" w:customStyle="1" w:styleId="nzSectAltNote">
    <w:name w:val="nzSectAltNote"/>
    <w:qFormat/>
    <w:pPr>
      <w:tabs>
        <w:tab w:val="left" w:pos="1446"/>
      </w:tabs>
      <w:spacing w:before="40"/>
      <w:ind w:left="1990" w:hanging="1423"/>
    </w:pPr>
    <w:rPr>
      <w:rFonts w:ascii="Arial" w:hAnsi="Arial"/>
      <w:sz w:val="14"/>
    </w:rPr>
  </w:style>
  <w:style w:type="paragraph" w:customStyle="1" w:styleId="SectAltHeading">
    <w:name w:val="SectAltHeading"/>
    <w:qFormat/>
    <w:pPr>
      <w:tabs>
        <w:tab w:val="left" w:pos="879"/>
      </w:tabs>
      <w:spacing w:before="80"/>
      <w:ind w:left="1418" w:hanging="1418"/>
    </w:pPr>
    <w:rPr>
      <w:rFonts w:ascii="Arial" w:hAnsi="Arial"/>
      <w:b/>
      <w:sz w:val="18"/>
    </w:rPr>
  </w:style>
  <w:style w:type="paragraph" w:customStyle="1" w:styleId="nzSectAltHeading">
    <w:name w:val="nzSectAltHeading"/>
    <w:qFormat/>
    <w:pPr>
      <w:tabs>
        <w:tab w:val="left" w:pos="1446"/>
      </w:tabs>
      <w:spacing w:before="40"/>
      <w:ind w:left="1990" w:hanging="1423"/>
    </w:pPr>
    <w:rPr>
      <w:rFonts w:ascii="Arial" w:hAnsi="Arial"/>
      <w:b/>
      <w:sz w:val="14"/>
    </w:rPr>
  </w:style>
  <w:style w:type="paragraph" w:customStyle="1" w:styleId="nzShoulderClause">
    <w:name w:val="nzShoulderClause"/>
    <w:next w:val="ySubsection"/>
    <w:pPr>
      <w:spacing w:before="80"/>
      <w:jc w:val="right"/>
    </w:pPr>
  </w:style>
  <w:style w:type="paragraph" w:customStyle="1" w:styleId="nzDeleteListSub">
    <w:name w:val="nzDeleteListSub"/>
    <w:pPr>
      <w:spacing w:before="80"/>
      <w:ind w:left="1446"/>
    </w:pPr>
  </w:style>
  <w:style w:type="paragraph" w:customStyle="1" w:styleId="nzDeleteListPara">
    <w:name w:val="nzDeleteListPara"/>
    <w:pPr>
      <w:spacing w:before="80"/>
      <w:ind w:left="2183"/>
    </w:pPr>
  </w:style>
  <w:style w:type="paragraph" w:customStyle="1" w:styleId="nzEdnotepart">
    <w:name w:val="nzEdnote(part)"/>
    <w:basedOn w:val="nzHeading2"/>
    <w:rPr>
      <w:b w:val="0"/>
      <w:i/>
    </w:rPr>
  </w:style>
  <w:style w:type="paragraph" w:customStyle="1" w:styleId="nzEdnotedivision">
    <w:name w:val="nzEdnote(division)"/>
    <w:basedOn w:val="nzHeading3"/>
    <w:rPr>
      <w:b w:val="0"/>
      <w:i/>
    </w:rPr>
  </w:style>
  <w:style w:type="paragraph" w:customStyle="1" w:styleId="nzEdnotesubdivision">
    <w:name w:val="nzEdnote(subdivision)"/>
    <w:basedOn w:val="nzHeading4"/>
    <w:rPr>
      <w:i/>
    </w:rPr>
  </w:style>
  <w:style w:type="paragraph" w:customStyle="1" w:styleId="nzEdnotesection">
    <w:name w:val="nzEdnote(section)"/>
    <w:basedOn w:val="nzHeading5"/>
    <w:rPr>
      <w:b w:val="0"/>
      <w:i/>
    </w:rPr>
  </w:style>
  <w:style w:type="paragraph" w:customStyle="1" w:styleId="nzEdnotesubsection">
    <w:name w:val="nzEdnote(subsection)"/>
    <w:basedOn w:val="nzSubsection"/>
    <w:rPr>
      <w:i/>
    </w:rPr>
  </w:style>
  <w:style w:type="paragraph" w:customStyle="1" w:styleId="nzEdnotepara">
    <w:name w:val="nzEdnote(para)"/>
    <w:basedOn w:val="nzIndenta"/>
    <w:rPr>
      <w:i/>
    </w:rPr>
  </w:style>
  <w:style w:type="paragraph" w:customStyle="1" w:styleId="nzEdnotesubpara">
    <w:name w:val="nzEdnote(subpara)"/>
    <w:basedOn w:val="nzIndenti"/>
    <w:rPr>
      <w:i/>
    </w:rPr>
  </w:style>
  <w:style w:type="paragraph" w:customStyle="1" w:styleId="nzEdnoteitem">
    <w:name w:val="nzEdnote(item)"/>
    <w:basedOn w:val="nzIndentI0"/>
    <w:rPr>
      <w:i/>
    </w:rPr>
  </w:style>
  <w:style w:type="paragraph" w:customStyle="1" w:styleId="nzEdnotesubitem">
    <w:name w:val="nzEdnote(subitem)"/>
    <w:basedOn w:val="nzIndentA0"/>
    <w:rPr>
      <w:i/>
    </w:rPr>
  </w:style>
  <w:style w:type="paragraph" w:customStyle="1" w:styleId="nzEdnotedefpara">
    <w:name w:val="nzEdnote(defpara)"/>
    <w:basedOn w:val="nzDefpara"/>
    <w:rPr>
      <w:i/>
    </w:rPr>
  </w:style>
  <w:style w:type="paragraph" w:customStyle="1" w:styleId="nzEdnotedefsubpara">
    <w:name w:val="nzEdnote(defsubpara)"/>
    <w:basedOn w:val="nzDefsubpara"/>
    <w:rPr>
      <w:i/>
    </w:rPr>
  </w:style>
  <w:style w:type="paragraph" w:customStyle="1" w:styleId="nzEdnotedefitem">
    <w:name w:val="nzEdnote(defitem)"/>
    <w:basedOn w:val="nzDefitem"/>
    <w:rPr>
      <w:i/>
    </w:rPr>
  </w:style>
  <w:style w:type="paragraph" w:customStyle="1" w:styleId="nzEdnotedefsubitem">
    <w:name w:val="nzEdnote(defsubitem)"/>
    <w:basedOn w:val="nzDefsubitem"/>
    <w:rPr>
      <w:i/>
    </w:rPr>
  </w:style>
  <w:style w:type="paragraph" w:customStyle="1" w:styleId="nzEdnotepenpara">
    <w:name w:val="nzEdnote(penpara)"/>
    <w:basedOn w:val="nzPenpara"/>
    <w:rPr>
      <w:i/>
    </w:rPr>
  </w:style>
  <w:style w:type="paragraph" w:customStyle="1" w:styleId="nzEdnotepensubpara">
    <w:name w:val="nzEdnote(pensubpara)"/>
    <w:basedOn w:val="nzPensubpara"/>
    <w:rPr>
      <w:i/>
    </w:rPr>
  </w:style>
  <w:style w:type="paragraph" w:customStyle="1" w:styleId="nzEdnotepenitem">
    <w:name w:val="nzEdnote(penitem)"/>
    <w:basedOn w:val="nzPenitem"/>
    <w:rPr>
      <w:i/>
    </w:rPr>
  </w:style>
  <w:style w:type="paragraph" w:customStyle="1" w:styleId="nzFootnoteheading">
    <w:name w:val="nzFootnote(heading)"/>
    <w:pPr>
      <w:tabs>
        <w:tab w:val="left" w:pos="879"/>
      </w:tabs>
      <w:spacing w:before="40"/>
      <w:ind w:left="879" w:hanging="879"/>
    </w:pPr>
    <w:rPr>
      <w:i/>
      <w:snapToGrid w:val="0"/>
    </w:rPr>
  </w:style>
  <w:style w:type="paragraph" w:customStyle="1" w:styleId="nzFootnotesection">
    <w:name w:val="nzFootnote(section)"/>
    <w:pPr>
      <w:keepLines/>
      <w:tabs>
        <w:tab w:val="left" w:pos="893"/>
      </w:tabs>
      <w:spacing w:before="40"/>
      <w:ind w:left="893" w:hanging="893"/>
    </w:pPr>
    <w:rPr>
      <w:i/>
      <w:snapToGrid w:val="0"/>
    </w:rPr>
  </w:style>
  <w:style w:type="paragraph" w:customStyle="1" w:styleId="nzFootnotelongtitle">
    <w:name w:val="nzFootnote(longtitle)"/>
    <w:basedOn w:val="nzFootnotesection"/>
  </w:style>
  <w:style w:type="paragraph" w:customStyle="1" w:styleId="nzFootnotepreamble">
    <w:name w:val="nzFootnote(preamble)"/>
    <w:basedOn w:val="nzFootnotesection"/>
  </w:style>
  <w:style w:type="paragraph" w:customStyle="1" w:styleId="nzOmitFootnote">
    <w:name w:val="nzOmitFootnote"/>
    <w:basedOn w:val="nzEdnotesection"/>
  </w:style>
  <w:style w:type="paragraph" w:styleId="Revision">
    <w:name w:val="Revision"/>
    <w:hidden/>
    <w:uiPriority w:val="99"/>
    <w:semiHidden/>
    <w:rPr>
      <w:sz w:val="24"/>
    </w:rPr>
  </w:style>
  <w:style w:type="character" w:customStyle="1" w:styleId="FooterChar">
    <w:name w:val="Footer Char"/>
    <w:basedOn w:val="DefaultParagraphFont"/>
    <w:link w:val="Footer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header" Target="header11.xml"/><Relationship Id="rId3" Type="http://schemas.openxmlformats.org/officeDocument/2006/relationships/styles" Target="styles.xml"/><Relationship Id="rId21" Type="http://schemas.openxmlformats.org/officeDocument/2006/relationships/image" Target="media/image2.png"/><Relationship Id="rId34" Type="http://schemas.microsoft.com/office/2011/relationships/people" Target="peop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header" Target="header10.xm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29" Type="http://schemas.openxmlformats.org/officeDocument/2006/relationships/footer" Target="foot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eader" Target="header9.xml"/><Relationship Id="rId32" Type="http://schemas.openxmlformats.org/officeDocument/2006/relationships/footer" Target="footer9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header" Target="header8.xml"/><Relationship Id="rId28" Type="http://schemas.openxmlformats.org/officeDocument/2006/relationships/header" Target="header13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31" Type="http://schemas.openxmlformats.org/officeDocument/2006/relationships/header" Target="header14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7.xml"/><Relationship Id="rId27" Type="http://schemas.openxmlformats.org/officeDocument/2006/relationships/header" Target="header12.xml"/><Relationship Id="rId30" Type="http://schemas.openxmlformats.org/officeDocument/2006/relationships/footer" Target="footer8.xml"/><Relationship Id="rId35" Type="http://schemas.openxmlformats.org/officeDocument/2006/relationships/theme" Target="theme/theme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EC221F-58D8-4B25-820C-CEE6A4FC3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7688</Words>
  <Characters>37830</Characters>
  <Application>Microsoft Office Word</Application>
  <DocSecurity>0</DocSecurity>
  <Lines>1351</Lines>
  <Paragraphs>798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 and Community Services Regulations 2006</vt:lpstr>
    </vt:vector>
  </TitlesOfParts>
  <Manager/>
  <Company/>
  <LinksUpToDate>false</LinksUpToDate>
  <CharactersWithSpaces>44720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 and Community Services Regulations 2006 03-c0-01 - 03-d0-00</dc:title>
  <dc:subject/>
  <dc:creator/>
  <cp:keywords/>
  <dc:description/>
  <cp:lastModifiedBy>Master Repository Process</cp:lastModifiedBy>
  <cp:revision>2</cp:revision>
  <cp:lastPrinted>2016-08-22T01:27:00Z</cp:lastPrinted>
  <dcterms:created xsi:type="dcterms:W3CDTF">2021-07-31T12:24:00Z</dcterms:created>
  <dcterms:modified xsi:type="dcterms:W3CDTF">2021-07-31T12:24:00Z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18 Jan 2006 p 353-72</vt:lpwstr>
  </property>
  <property fmtid="{D5CDD505-2E9C-101B-9397-08002B2CF9AE}" pid="3" name="OWLSUId">
    <vt:i4>9243</vt:i4>
  </property>
  <property fmtid="{D5CDD505-2E9C-101B-9397-08002B2CF9AE}" pid="4" name="DocumentType">
    <vt:lpwstr>Reg</vt:lpwstr>
  </property>
  <property fmtid="{D5CDD505-2E9C-101B-9397-08002B2CF9AE}" pid="5" name="ReprintedAsAt">
    <vt:filetime>2016-09-01T16:00:00Z</vt:filetime>
  </property>
  <property fmtid="{D5CDD505-2E9C-101B-9397-08002B2CF9AE}" pid="6" name="ReprintNo">
    <vt:lpwstr>3</vt:lpwstr>
  </property>
  <property fmtid="{D5CDD505-2E9C-101B-9397-08002B2CF9AE}" pid="7" name="CommencementDate">
    <vt:lpwstr>20190701</vt:lpwstr>
  </property>
  <property fmtid="{D5CDD505-2E9C-101B-9397-08002B2CF9AE}" pid="8" name="FromSuffix">
    <vt:lpwstr>03-c0-01</vt:lpwstr>
  </property>
  <property fmtid="{D5CDD505-2E9C-101B-9397-08002B2CF9AE}" pid="9" name="FromAsAtDate">
    <vt:lpwstr>01 Jul 2018</vt:lpwstr>
  </property>
  <property fmtid="{D5CDD505-2E9C-101B-9397-08002B2CF9AE}" pid="10" name="ToSuffix">
    <vt:lpwstr>03-d0-00</vt:lpwstr>
  </property>
  <property fmtid="{D5CDD505-2E9C-101B-9397-08002B2CF9AE}" pid="11" name="ToAsAtDate">
    <vt:lpwstr>01 Jul 2019</vt:lpwstr>
  </property>
</Properties>
</file>