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Jun 2019</w:t>
      </w:r>
      <w:r>
        <w:fldChar w:fldCharType="end"/>
      </w:r>
      <w:r>
        <w:t xml:space="preserve">, </w:t>
      </w:r>
      <w:r>
        <w:fldChar w:fldCharType="begin"/>
      </w:r>
      <w:r>
        <w:instrText xml:space="preserve"> DocProperty FromSuffix </w:instrText>
      </w:r>
      <w:r>
        <w:fldChar w:fldCharType="separate"/>
      </w:r>
      <w:r>
        <w:t>05-h0-00</w:t>
      </w:r>
      <w:r>
        <w:fldChar w:fldCharType="end"/>
      </w:r>
      <w:r>
        <w:t>] and [</w:t>
      </w:r>
      <w:r>
        <w:fldChar w:fldCharType="begin"/>
      </w:r>
      <w:r>
        <w:instrText xml:space="preserve"> DocProperty ToAsAtDate</w:instrText>
      </w:r>
      <w:r>
        <w:fldChar w:fldCharType="separate"/>
      </w:r>
      <w:r>
        <w:t>01 Jul 2019</w:t>
      </w:r>
      <w:r>
        <w:fldChar w:fldCharType="end"/>
      </w:r>
      <w:r>
        <w:t xml:space="preserve">, </w:t>
      </w:r>
      <w:r>
        <w:fldChar w:fldCharType="begin"/>
      </w:r>
      <w:r>
        <w:instrText xml:space="preserve"> DocProperty ToSuffix</w:instrText>
      </w:r>
      <w:r>
        <w:fldChar w:fldCharType="separate"/>
      </w:r>
      <w:r>
        <w:t>05-i0-00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spacing w:after="720"/>
      </w:pPr>
      <w:r>
        <w:t>Gas Standards Act 1972</w:t>
      </w:r>
    </w:p>
    <w:p>
      <w:pPr>
        <w:pStyle w:val="NameofActReg"/>
        <w:spacing w:before="0" w:after="720"/>
        <w:ind w:right="10"/>
      </w:pPr>
      <w:r>
        <w:t>Gas Standards (Gasfitting and Consumer Gas Installations) Regulations 1999</w:t>
      </w:r>
    </w:p>
    <w:p>
      <w:pPr>
        <w:pStyle w:val="Heading2"/>
        <w:pageBreakBefore w:val="0"/>
        <w:spacing w:before="300"/>
      </w:pPr>
      <w:bookmarkStart w:id="1" w:name="_Toc11925496"/>
      <w:bookmarkStart w:id="2" w:name="_Toc11925937"/>
      <w:bookmarkStart w:id="3" w:name="_Toc11926055"/>
      <w:bookmarkStart w:id="4" w:name="_Toc12010782"/>
      <w:bookmarkStart w:id="5" w:name="_Toc11747593"/>
      <w:bookmarkStart w:id="6" w:name="_Toc11755387"/>
      <w:bookmarkStart w:id="7" w:name="_Toc11761351"/>
      <w:r>
        <w:rPr>
          <w:rStyle w:val="CharPartNo"/>
        </w:rPr>
        <w:t>P</w:t>
      </w:r>
      <w:bookmarkStart w:id="8" w:name="_GoBack"/>
      <w:bookmarkEnd w:id="8"/>
      <w:r>
        <w:rPr>
          <w:rStyle w:val="CharPartNo"/>
        </w:rPr>
        <w:t>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p>
    <w:p>
      <w:pPr>
        <w:pStyle w:val="Heading5"/>
      </w:pPr>
      <w:bookmarkStart w:id="9" w:name="_Toc12010783"/>
      <w:bookmarkStart w:id="10" w:name="_Toc11761352"/>
      <w:r>
        <w:rPr>
          <w:rStyle w:val="CharSectno"/>
        </w:rPr>
        <w:t>1</w:t>
      </w:r>
      <w:r>
        <w:t>.</w:t>
      </w:r>
      <w:r>
        <w:tab/>
        <w:t>Citation</w:t>
      </w:r>
      <w:bookmarkEnd w:id="9"/>
      <w:bookmarkEnd w:id="10"/>
    </w:p>
    <w:p>
      <w:pPr>
        <w:pStyle w:val="Subsection"/>
      </w:pPr>
      <w:r>
        <w:tab/>
      </w:r>
      <w:r>
        <w:tab/>
        <w:t xml:space="preserve">These regulations may be cited as the </w:t>
      </w:r>
      <w:r>
        <w:rPr>
          <w:i/>
        </w:rPr>
        <w:t>Gas Standards (Gasfitting and Consumer Gas Installations) Regulations 1999</w:t>
      </w:r>
      <w:r>
        <w:rPr>
          <w:vertAlign w:val="superscript"/>
        </w:rPr>
        <w:t xml:space="preserve"> 1</w:t>
      </w:r>
      <w:r>
        <w:rPr>
          <w:iCs/>
        </w:rPr>
        <w:t>.</w:t>
      </w:r>
    </w:p>
    <w:p>
      <w:pPr>
        <w:pStyle w:val="Heading5"/>
      </w:pPr>
      <w:bookmarkStart w:id="11" w:name="_Toc12010784"/>
      <w:bookmarkStart w:id="12" w:name="_Toc11761353"/>
      <w:r>
        <w:rPr>
          <w:rStyle w:val="CharSectno"/>
        </w:rPr>
        <w:t>2</w:t>
      </w:r>
      <w:r>
        <w:t>.</w:t>
      </w:r>
      <w:r>
        <w:tab/>
        <w:t>Commencement</w:t>
      </w:r>
      <w:bookmarkEnd w:id="11"/>
      <w:bookmarkEnd w:id="12"/>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13" w:name="_Toc12010785"/>
      <w:bookmarkStart w:id="14" w:name="_Toc11761354"/>
      <w:r>
        <w:rPr>
          <w:rStyle w:val="CharSectno"/>
        </w:rPr>
        <w:t>3</w:t>
      </w:r>
      <w:r>
        <w:t>.</w:t>
      </w:r>
      <w:r>
        <w:tab/>
        <w:t>Terms used</w:t>
      </w:r>
      <w:bookmarkEnd w:id="13"/>
      <w:bookmarkEnd w:id="14"/>
    </w:p>
    <w:p>
      <w:pPr>
        <w:pStyle w:val="Subsection"/>
      </w:pPr>
      <w:r>
        <w:tab/>
        <w:t>(1)</w:t>
      </w:r>
      <w:r>
        <w:tab/>
        <w:t>In these regulations, unless the contrary intention appears —</w:t>
      </w:r>
    </w:p>
    <w:p>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pPr>
        <w:pStyle w:val="Defstart"/>
      </w:pPr>
      <w:r>
        <w:tab/>
      </w:r>
      <w:r>
        <w:rPr>
          <w:rStyle w:val="CharDefText"/>
        </w:rPr>
        <w:t>appliance</w:t>
      </w:r>
      <w:r>
        <w:t xml:space="preserve"> means an appliance that consumes gas for any purpose;</w:t>
      </w:r>
    </w:p>
    <w:p>
      <w:pPr>
        <w:pStyle w:val="Defstart"/>
      </w:pPr>
      <w:r>
        <w:tab/>
      </w:r>
      <w:r>
        <w:rPr>
          <w:rStyle w:val="CharDefText"/>
        </w:rPr>
        <w:t>approved</w:t>
      </w:r>
      <w:r>
        <w:t xml:space="preserve"> means approved by the Director;</w:t>
      </w:r>
    </w:p>
    <w:p>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refers to the text, as from time to time amended and for the time being in force, of the document so designated, jointly published by Standards Australia and Standards New Zealand;</w:t>
      </w:r>
    </w:p>
    <w:p>
      <w:pPr>
        <w:pStyle w:val="Defstart"/>
      </w:pPr>
      <w:r>
        <w:tab/>
      </w:r>
      <w:r>
        <w:rPr>
          <w:rStyle w:val="CharDefText"/>
        </w:rPr>
        <w:t>authorisation</w:t>
      </w:r>
      <w:r>
        <w:t xml:space="preserve"> means an authorisation issued under regulation 12 or continued in force under regulation 43;</w:t>
      </w:r>
    </w:p>
    <w:p>
      <w:pPr>
        <w:pStyle w:val="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pPr>
        <w:pStyle w:val="Defpara"/>
      </w:pPr>
      <w:r>
        <w:tab/>
        <w:t>(a)</w:t>
      </w:r>
      <w:r>
        <w:tab/>
        <w:t>a self</w:t>
      </w:r>
      <w:r>
        <w:noBreakHyphen/>
        <w:t>propelled recreational vehicle or mobile home;</w:t>
      </w:r>
    </w:p>
    <w:p>
      <w:pPr>
        <w:pStyle w:val="Defpara"/>
      </w:pPr>
      <w:r>
        <w:tab/>
        <w:t>(b)</w:t>
      </w:r>
      <w:r>
        <w:tab/>
        <w:t>an associated annex or similar structure whether permanently or temporarily attached to or adjoining the main part of the structure;</w:t>
      </w:r>
    </w:p>
    <w:p>
      <w:pPr>
        <w:pStyle w:val="Defstart"/>
      </w:pPr>
      <w:r>
        <w:tab/>
      </w:r>
      <w:r>
        <w:rPr>
          <w:rStyle w:val="CharDefText"/>
        </w:rPr>
        <w:t>certificate of competency</w:t>
      </w:r>
      <w:r>
        <w:t xml:space="preserve"> means a certificate of competency continued in force under regulation 43;</w:t>
      </w:r>
    </w:p>
    <w:p>
      <w:pPr>
        <w:pStyle w:val="Defstart"/>
        <w:rPr>
          <w:snapToGrid/>
        </w:rPr>
      </w:pPr>
      <w:r>
        <w:tab/>
      </w:r>
      <w:r>
        <w:rPr>
          <w:rStyle w:val="CharDefText"/>
        </w:rPr>
        <w:t xml:space="preserve">Class I permit </w:t>
      </w:r>
      <w:r>
        <w:t>means a permit that is designated to be a Class I permit under regulation 13;</w:t>
      </w:r>
    </w:p>
    <w:p>
      <w:pPr>
        <w:pStyle w:val="Defstart"/>
      </w:pPr>
      <w:r>
        <w:tab/>
      </w:r>
      <w:r>
        <w:rPr>
          <w:rStyle w:val="CharDefText"/>
        </w:rPr>
        <w:t>fitting</w:t>
      </w:r>
      <w:r>
        <w:t xml:space="preserve"> means a device used —</w:t>
      </w:r>
    </w:p>
    <w:p>
      <w:pPr>
        <w:pStyle w:val="Defpara"/>
      </w:pPr>
      <w:r>
        <w:tab/>
        <w:t>(a)</w:t>
      </w:r>
      <w:r>
        <w:tab/>
        <w:t>to join pipes or flues; or</w:t>
      </w:r>
    </w:p>
    <w:p>
      <w:pPr>
        <w:pStyle w:val="Defpara"/>
      </w:pPr>
      <w:r>
        <w:tab/>
        <w:t>(b)</w:t>
      </w:r>
      <w:r>
        <w:tab/>
        <w:t>to change the direction or diameter of a pipe or flue; or</w:t>
      </w:r>
    </w:p>
    <w:p>
      <w:pPr>
        <w:pStyle w:val="Defpara"/>
      </w:pPr>
      <w:r>
        <w:tab/>
        <w:t>(c)</w:t>
      </w:r>
      <w:r>
        <w:tab/>
        <w:t>to provide a branch in a pipe or flue; or</w:t>
      </w:r>
    </w:p>
    <w:p>
      <w:pPr>
        <w:pStyle w:val="Defpara"/>
      </w:pPr>
      <w:r>
        <w:tab/>
        <w:t>(d)</w:t>
      </w:r>
      <w:r>
        <w:tab/>
        <w:t>to terminate a pipe or flue;</w:t>
      </w:r>
    </w:p>
    <w:p>
      <w:pPr>
        <w:pStyle w:val="Defstart"/>
      </w:pPr>
      <w:r>
        <w:tab/>
      </w:r>
      <w:r>
        <w:rPr>
          <w:rStyle w:val="CharDefText"/>
        </w:rPr>
        <w:t>fitting line</w:t>
      </w:r>
      <w:r>
        <w:t xml:space="preserve"> means —</w:t>
      </w:r>
    </w:p>
    <w:p>
      <w:pPr>
        <w:pStyle w:val="Defpara"/>
      </w:pPr>
      <w:r>
        <w:tab/>
        <w:t>(a)</w:t>
      </w:r>
      <w: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rStyle w:val="CharDefText"/>
        </w:rPr>
        <w:t>flue</w:t>
      </w:r>
      <w:r>
        <w:t xml:space="preserve"> means the duct, conduit or passage through which products of combustion are or are intended to be conveyed to a flue terminal;</w:t>
      </w:r>
    </w:p>
    <w:p>
      <w:pPr>
        <w:pStyle w:val="Defstart"/>
      </w:pPr>
      <w:r>
        <w:tab/>
      </w:r>
      <w:r>
        <w:rPr>
          <w:rStyle w:val="CharDefText"/>
        </w:rPr>
        <w:t>flue gas</w:t>
      </w:r>
      <w:r>
        <w:t xml:space="preserve"> means the products of combustion produced by an appliance that is designed to discharge products of combustion through a flue;</w:t>
      </w:r>
    </w:p>
    <w:p>
      <w:pPr>
        <w:pStyle w:val="Defstart"/>
      </w:pPr>
      <w:r>
        <w:tab/>
      </w:r>
      <w:r>
        <w:rPr>
          <w:rStyle w:val="CharDefText"/>
        </w:rPr>
        <w:t>flue terminal</w:t>
      </w:r>
      <w:r>
        <w:t xml:space="preserve"> means the point at which flue gas discharges from the flue;</w:t>
      </w:r>
    </w:p>
    <w:p>
      <w:pPr>
        <w:pStyle w:val="Defstart"/>
      </w:pPr>
      <w:r>
        <w:tab/>
      </w:r>
      <w:r>
        <w:rPr>
          <w:rStyle w:val="CharDefText"/>
        </w:rPr>
        <w:t>gas fitter</w:t>
      </w:r>
      <w:r>
        <w:t xml:space="preserve"> means —</w:t>
      </w:r>
    </w:p>
    <w:p>
      <w:pPr>
        <w:pStyle w:val="Defpara"/>
        <w:spacing w:before="60"/>
      </w:pPr>
      <w:r>
        <w:tab/>
        <w:t>(a)</w:t>
      </w:r>
      <w:r>
        <w:tab/>
        <w:t>a registered gas fitter; or</w:t>
      </w:r>
    </w:p>
    <w:p>
      <w:pPr>
        <w:pStyle w:val="Defpara"/>
        <w:spacing w:before="60"/>
      </w:pPr>
      <w:r>
        <w:tab/>
        <w:t>(b)</w:t>
      </w:r>
      <w:r>
        <w:tab/>
        <w:t>a supervised gas fitter;</w:t>
      </w:r>
    </w:p>
    <w:p>
      <w:pPr>
        <w:pStyle w:val="Defstart"/>
      </w:pPr>
      <w:r>
        <w:tab/>
      </w:r>
      <w:r>
        <w:rPr>
          <w:rStyle w:val="CharDefText"/>
        </w:rPr>
        <w:t>gas supplier</w:t>
      </w:r>
      <w:r>
        <w:t xml:space="preserve"> means —</w:t>
      </w:r>
    </w:p>
    <w:p>
      <w:pPr>
        <w:pStyle w:val="Defpara"/>
        <w:spacing w:before="60"/>
      </w:pPr>
      <w:r>
        <w:tab/>
        <w:t>(a)</w:t>
      </w:r>
      <w:r>
        <w:tab/>
        <w:t>an undertaker; or</w:t>
      </w:r>
    </w:p>
    <w:p>
      <w:pPr>
        <w:pStyle w:val="Defpara"/>
        <w:spacing w:before="60"/>
      </w:pPr>
      <w:r>
        <w:tab/>
        <w:t>(b)</w:t>
      </w:r>
      <w:r>
        <w:tab/>
        <w:t>a pipeline licensee; or</w:t>
      </w:r>
    </w:p>
    <w:p>
      <w:pPr>
        <w:pStyle w:val="Defpara"/>
        <w:spacing w:before="60"/>
      </w:pPr>
      <w:r>
        <w:tab/>
        <w:t>(c)</w:t>
      </w:r>
      <w:r>
        <w:tab/>
        <w:t>an operator of a reticulated gas supply system; or</w:t>
      </w:r>
    </w:p>
    <w:p>
      <w:pPr>
        <w:pStyle w:val="Defpara"/>
        <w:spacing w:before="60"/>
      </w:pPr>
      <w:r>
        <w:tab/>
        <w:t>(d)</w:t>
      </w:r>
      <w:r>
        <w:tab/>
        <w:t>a person who supplies gas through a pressurized container;</w:t>
      </w:r>
    </w:p>
    <w:p>
      <w:pPr>
        <w:pStyle w:val="Defstart"/>
      </w:pPr>
      <w:r>
        <w:tab/>
      </w:r>
      <w:r>
        <w:rPr>
          <w:rStyle w:val="CharDefText"/>
        </w:rPr>
        <w:t>LPG</w:t>
      </w:r>
      <w:r>
        <w:t xml:space="preserve"> means a mixture of hydrocarbons in liquid or vapour form, consisting mainly of butane, butene, propane, or propene, or any mixture of those substances;</w:t>
      </w:r>
    </w:p>
    <w:p>
      <w:pPr>
        <w:pStyle w:val="Defstart"/>
      </w:pPr>
      <w:r>
        <w:tab/>
      </w:r>
      <w:r>
        <w:rPr>
          <w:rStyle w:val="CharDefText"/>
        </w:rPr>
        <w:t>master meter</w:t>
      </w:r>
      <w:r>
        <w:t xml:space="preserve"> means a meter used to measure the amount of gas supplied to the point at which delivery of the gas is made to the consumer;</w:t>
      </w:r>
    </w:p>
    <w:p>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pPr>
        <w:pStyle w:val="Defstart"/>
      </w:pPr>
      <w:r>
        <w:tab/>
      </w:r>
      <w:r>
        <w:rPr>
          <w:rStyle w:val="CharDefText"/>
        </w:rPr>
        <w:t>meter</w:t>
      </w:r>
      <w:r>
        <w:t xml:space="preserve"> means a device used to measure the amount of gas passing through the device;</w:t>
      </w:r>
    </w:p>
    <w:p>
      <w:pPr>
        <w:pStyle w:val="Defstart"/>
        <w:keepNext/>
      </w:pPr>
      <w:r>
        <w:tab/>
      </w:r>
      <w:r>
        <w:rPr>
          <w:rStyle w:val="CharDefText"/>
        </w:rPr>
        <w:t>mobile engine</w:t>
      </w:r>
      <w:r>
        <w:t xml:space="preserve"> means a gas</w:t>
      </w:r>
      <w:r>
        <w:noBreakHyphen/>
        <w:t>fuelled engine that —</w:t>
      </w:r>
    </w:p>
    <w:p>
      <w:pPr>
        <w:pStyle w:val="Defpara"/>
        <w:spacing w:before="60"/>
      </w:pPr>
      <w:r>
        <w:tab/>
        <w:t>(a)</w:t>
      </w:r>
      <w:r>
        <w:tab/>
        <w:t>is mounted in or on any vehicle, craft or portable appliance; and</w:t>
      </w:r>
    </w:p>
    <w:p>
      <w:pPr>
        <w:pStyle w:val="Defpara"/>
        <w:spacing w:before="60"/>
      </w:pPr>
      <w:r>
        <w:tab/>
        <w:t>(b)</w:t>
      </w:r>
      <w:r>
        <w:tab/>
        <w:t>is supplied by fuel from a cylinder or tank mounted on or in the vehicle, craft or portable appliance;</w:t>
      </w:r>
    </w:p>
    <w:p>
      <w:pPr>
        <w:pStyle w:val="Defstart"/>
      </w:pPr>
      <w:r>
        <w:tab/>
      </w:r>
      <w:r>
        <w:rPr>
          <w:rStyle w:val="CharDefText"/>
        </w:rPr>
        <w:t>natural gas</w:t>
      </w:r>
      <w:r>
        <w:t xml:space="preserve"> means a hydrocarbon gas, in liquefied or vapour form, consisting mainly of methane;</w:t>
      </w:r>
    </w:p>
    <w:p>
      <w:pPr>
        <w:pStyle w:val="Defstart"/>
      </w:pPr>
      <w:r>
        <w:tab/>
      </w:r>
      <w:r>
        <w:rPr>
          <w:rStyle w:val="CharDefText"/>
        </w:rPr>
        <w:t>notice of completion</w:t>
      </w:r>
      <w:r>
        <w:t xml:space="preserve"> means a notice of completion under regulation 28(3);</w:t>
      </w:r>
    </w:p>
    <w:p>
      <w:pPr>
        <w:pStyle w:val="Defstart"/>
      </w:pPr>
      <w:r>
        <w:tab/>
      </w:r>
      <w:r>
        <w:rPr>
          <w:rStyle w:val="CharDefText"/>
        </w:rPr>
        <w:t>permit</w:t>
      </w:r>
      <w:r>
        <w:t xml:space="preserve"> means a permit issued under regulation 12 or continued in force under regulation 43;</w:t>
      </w:r>
    </w:p>
    <w:p>
      <w:pPr>
        <w:pStyle w:val="Defstart"/>
      </w:pPr>
      <w:r>
        <w:tab/>
      </w:r>
      <w:r>
        <w:rPr>
          <w:rStyle w:val="CharDefText"/>
        </w:rPr>
        <w:t>pressure raising device</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pPr>
        <w:pStyle w:val="Defstart"/>
      </w:pPr>
      <w:r>
        <w:tab/>
      </w:r>
      <w:r>
        <w:rPr>
          <w:rStyle w:val="CharDefText"/>
        </w:rPr>
        <w:t>regulator</w:t>
      </w:r>
      <w:r>
        <w:t xml:space="preserve"> means a device that automatically controls the pressure or volume of gas available beyond the point at which the device is installed;</w:t>
      </w:r>
    </w:p>
    <w:p>
      <w:pPr>
        <w:pStyle w:val="Defstart"/>
        <w:keepNext/>
        <w:keepLines/>
      </w:pPr>
      <w:r>
        <w:tab/>
      </w:r>
      <w:r>
        <w:rPr>
          <w:rStyle w:val="CharDefText"/>
        </w:rPr>
        <w:t>servicing</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rStyle w:val="CharDefText"/>
        </w:rPr>
        <w:t>supervised gas fitter</w:t>
      </w:r>
      <w:r>
        <w:t>, in relation to gasfitting work, means a person who does the work in a prescribed capacity under regulation 6;</w:t>
      </w:r>
    </w:p>
    <w:p>
      <w:pPr>
        <w:pStyle w:val="Defstart"/>
        <w:keepNext/>
      </w:pPr>
      <w:r>
        <w:tab/>
      </w:r>
      <w:r>
        <w:rPr>
          <w:rStyle w:val="CharDefText"/>
        </w:rPr>
        <w:t>supervising gas fitter</w:t>
      </w:r>
      <w:r>
        <w:t>, in relation to —</w:t>
      </w:r>
    </w:p>
    <w:p>
      <w:pPr>
        <w:pStyle w:val="Defpara"/>
      </w:pPr>
      <w:r>
        <w:tab/>
        <w:t>(a)</w:t>
      </w:r>
      <w:r>
        <w:tab/>
        <w:t>a supervised gas fitter; and</w:t>
      </w:r>
    </w:p>
    <w:p>
      <w:pPr>
        <w:pStyle w:val="Defpara"/>
      </w:pPr>
      <w:r>
        <w:tab/>
        <w:t>(b)</w:t>
      </w:r>
      <w:r>
        <w:tab/>
        <w:t>gasfitting work,</w:t>
      </w:r>
    </w:p>
    <w:p>
      <w:pPr>
        <w:pStyle w:val="Defstart"/>
      </w:pPr>
      <w:r>
        <w:tab/>
        <w:t>means a person who is authorised under these regulations to supervise that gas fitter while the gas fitter is doing that work;</w:t>
      </w:r>
    </w:p>
    <w:p>
      <w:pPr>
        <w:pStyle w:val="Defstart"/>
      </w:pPr>
      <w:r>
        <w:tab/>
      </w:r>
      <w:r>
        <w:rPr>
          <w:rStyle w:val="CharDefText"/>
        </w:rPr>
        <w:t>Type B appliance</w:t>
      </w:r>
      <w:r>
        <w:t xml:space="preserve"> means an appliance that has a maximum hourly input rate exceeding 10 MJ but is neither a Type A gas appliance nor a mobile engine;</w:t>
      </w:r>
    </w:p>
    <w:p>
      <w:pPr>
        <w:pStyle w:val="Defstart"/>
      </w:pPr>
      <w:r>
        <w:tab/>
      </w:r>
      <w:r>
        <w:rPr>
          <w:rStyle w:val="CharDefText"/>
        </w:rPr>
        <w:t>valve</w:t>
      </w:r>
      <w:r>
        <w:t xml:space="preserve"> means a device for controlling or shutting off the flow of gas.</w:t>
      </w:r>
    </w:p>
    <w:p>
      <w:pPr>
        <w:pStyle w:val="Subsection"/>
        <w:spacing w:before="100"/>
      </w:pPr>
      <w:r>
        <w:tab/>
        <w:t>(2)</w:t>
      </w:r>
      <w:r>
        <w:tab/>
        <w:t>In these regulations, unless the contrary intention appears, the numerical values prescribed are subject to tolerances according to normal trade practice.</w:t>
      </w:r>
    </w:p>
    <w:p>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Gazette 19 Dec 2000 p. 7275; 21 Apr 2006 p. 1575; 30 Nov 2007 p. 5934; 26 Nov 2010 p. 5929; 8 Jan 2015 p. 99</w:t>
      </w:r>
      <w:r>
        <w:noBreakHyphen/>
        <w:t>100.]</w:t>
      </w:r>
    </w:p>
    <w:p>
      <w:pPr>
        <w:pStyle w:val="Heading5"/>
      </w:pPr>
      <w:bookmarkStart w:id="15" w:name="_Toc12010786"/>
      <w:bookmarkStart w:id="16" w:name="_Toc11761355"/>
      <w:r>
        <w:rPr>
          <w:rStyle w:val="CharSectno"/>
        </w:rPr>
        <w:t>4</w:t>
      </w:r>
      <w:r>
        <w:t>.</w:t>
      </w:r>
      <w:r>
        <w:tab/>
        <w:t>Gasfitting work, defined</w:t>
      </w:r>
      <w:bookmarkEnd w:id="15"/>
      <w:bookmarkEnd w:id="16"/>
    </w:p>
    <w:p>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 compressed natural gas cylinders or liquefied natural gas cylinders; or</w:t>
      </w:r>
    </w:p>
    <w:p>
      <w:pPr>
        <w:pStyle w:val="Indenta"/>
      </w:pPr>
      <w:r>
        <w:tab/>
        <w:t>(b)</w:t>
      </w:r>
      <w:r>
        <w:tab/>
        <w:t>any operation, work or process in relation to a mobile engine that does not involve or affect any fitting line or apparatus; or</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pPr>
      <w:r>
        <w:tab/>
        <w:t>[Regulation 4 amended: Gazette 21 Apr 2006 p. 1575.]</w:t>
      </w:r>
    </w:p>
    <w:p>
      <w:pPr>
        <w:pStyle w:val="Heading5"/>
      </w:pPr>
      <w:bookmarkStart w:id="17" w:name="_Toc12010787"/>
      <w:bookmarkStart w:id="18" w:name="_Toc11761356"/>
      <w:r>
        <w:rPr>
          <w:rStyle w:val="CharSectno"/>
        </w:rPr>
        <w:t>5</w:t>
      </w:r>
      <w:r>
        <w:t>.</w:t>
      </w:r>
      <w:r>
        <w:tab/>
        <w:t>Work etc. in nature of gasfitting prescribed (Act s. 13A(2))</w:t>
      </w:r>
      <w:bookmarkEnd w:id="17"/>
      <w:bookmarkEnd w:id="18"/>
    </w:p>
    <w:p>
      <w:pPr>
        <w:pStyle w:val="Subsection"/>
      </w:pPr>
      <w:r>
        <w:tab/>
      </w:r>
      <w:r>
        <w:tab/>
        <w:t>For the purposes of section 13A(2) of the Act, doing or supervising any gasfitting work is of the nature of gasfitting.</w:t>
      </w:r>
    </w:p>
    <w:p>
      <w:pPr>
        <w:pStyle w:val="Heading5"/>
      </w:pPr>
      <w:bookmarkStart w:id="19" w:name="_Toc12010788"/>
      <w:bookmarkStart w:id="20" w:name="_Toc11761357"/>
      <w:r>
        <w:rPr>
          <w:rStyle w:val="CharSectno"/>
        </w:rPr>
        <w:t>6</w:t>
      </w:r>
      <w:r>
        <w:t>.</w:t>
      </w:r>
      <w:r>
        <w:tab/>
        <w:t>Capacity prescribed (Act s. 13A(2))</w:t>
      </w:r>
      <w:bookmarkEnd w:id="19"/>
      <w:bookmarkEnd w:id="20"/>
    </w:p>
    <w:p>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pPr>
        <w:pStyle w:val="Indenta"/>
      </w:pPr>
      <w:r>
        <w:tab/>
        <w:t>(a)</w:t>
      </w:r>
      <w:r>
        <w:tab/>
        <w:t>the person does the work under the supervision of a supervising gas fitter; and</w:t>
      </w:r>
    </w:p>
    <w:p>
      <w:pPr>
        <w:pStyle w:val="Indenta"/>
      </w:pPr>
      <w:r>
        <w:tab/>
        <w:t>(b)</w:t>
      </w:r>
      <w:r>
        <w:tab/>
        <w:t>the supervising gas fitter is authorised to supervise the work under these regulations.</w:t>
      </w:r>
    </w:p>
    <w:p>
      <w:pPr>
        <w:pStyle w:val="Footnotesection"/>
      </w:pPr>
      <w:r>
        <w:tab/>
        <w:t>[Regulation 6 amended: Gazette 26 Nov 2010 p. 5929.]</w:t>
      </w:r>
    </w:p>
    <w:p>
      <w:pPr>
        <w:pStyle w:val="Heading2"/>
      </w:pPr>
      <w:bookmarkStart w:id="21" w:name="_Toc11925503"/>
      <w:bookmarkStart w:id="22" w:name="_Toc11925944"/>
      <w:bookmarkStart w:id="23" w:name="_Toc11926062"/>
      <w:bookmarkStart w:id="24" w:name="_Toc12010789"/>
      <w:bookmarkStart w:id="25" w:name="_Toc11747600"/>
      <w:bookmarkStart w:id="26" w:name="_Toc11755394"/>
      <w:bookmarkStart w:id="27" w:name="_Toc11761358"/>
      <w:r>
        <w:rPr>
          <w:rStyle w:val="CharPartNo"/>
        </w:rPr>
        <w:t>Part 2</w:t>
      </w:r>
      <w:r>
        <w:rPr>
          <w:rStyle w:val="CharDivNo"/>
        </w:rPr>
        <w:t xml:space="preserve"> </w:t>
      </w:r>
      <w:r>
        <w:t>—</w:t>
      </w:r>
      <w:r>
        <w:rPr>
          <w:rStyle w:val="CharDivText"/>
        </w:rPr>
        <w:t xml:space="preserve"> </w:t>
      </w:r>
      <w:r>
        <w:rPr>
          <w:rStyle w:val="CharPartText"/>
        </w:rPr>
        <w:t>Administration</w:t>
      </w:r>
      <w:bookmarkEnd w:id="21"/>
      <w:bookmarkEnd w:id="22"/>
      <w:bookmarkEnd w:id="23"/>
      <w:bookmarkEnd w:id="24"/>
      <w:bookmarkEnd w:id="25"/>
      <w:bookmarkEnd w:id="26"/>
      <w:bookmarkEnd w:id="27"/>
    </w:p>
    <w:p>
      <w:pPr>
        <w:pStyle w:val="Heading5"/>
      </w:pPr>
      <w:bookmarkStart w:id="28" w:name="_Toc12010790"/>
      <w:bookmarkStart w:id="29" w:name="_Toc11761359"/>
      <w:r>
        <w:rPr>
          <w:rStyle w:val="CharSectno"/>
        </w:rPr>
        <w:t>7</w:t>
      </w:r>
      <w:r>
        <w:t>.</w:t>
      </w:r>
      <w:r>
        <w:tab/>
        <w:t>Particulars for register prescribed (Act s. 13A(4))</w:t>
      </w:r>
      <w:bookmarkEnd w:id="28"/>
      <w:bookmarkEnd w:id="29"/>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30" w:name="_Toc12010791"/>
      <w:bookmarkStart w:id="31" w:name="_Toc11761360"/>
      <w:r>
        <w:rPr>
          <w:rStyle w:val="CharSectno"/>
        </w:rPr>
        <w:t>8</w:t>
      </w:r>
      <w:r>
        <w:t>.</w:t>
      </w:r>
      <w:r>
        <w:tab/>
        <w:t>Change of address, notice of to be given</w:t>
      </w:r>
      <w:bookmarkEnd w:id="30"/>
      <w:bookmarkEnd w:id="31"/>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32" w:name="_Toc12010792"/>
      <w:bookmarkStart w:id="33" w:name="_Toc11761361"/>
      <w:r>
        <w:rPr>
          <w:rStyle w:val="CharSectno"/>
        </w:rPr>
        <w:t>9</w:t>
      </w:r>
      <w:r>
        <w:t>.</w:t>
      </w:r>
      <w:r>
        <w:tab/>
        <w:t>Inquiries etc., matters prescribed for (Act s. 13A)</w:t>
      </w:r>
      <w:bookmarkEnd w:id="32"/>
      <w:bookmarkEnd w:id="33"/>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Gazette 30 Dec 2004 p. 6988</w:t>
      </w:r>
      <w:r>
        <w:noBreakHyphen/>
        <w:t>9.]</w:t>
      </w:r>
    </w:p>
    <w:p>
      <w:pPr>
        <w:pStyle w:val="Ednotesection"/>
      </w:pPr>
      <w:r>
        <w:t>[</w:t>
      </w:r>
      <w:r>
        <w:rPr>
          <w:b/>
        </w:rPr>
        <w:t>10.</w:t>
      </w:r>
      <w:r>
        <w:tab/>
        <w:t>Deleted: Gazette 30 Dec 2004 p. 6989.]</w:t>
      </w:r>
    </w:p>
    <w:p>
      <w:pPr>
        <w:pStyle w:val="Heading2"/>
      </w:pPr>
      <w:bookmarkStart w:id="34" w:name="_Toc11925507"/>
      <w:bookmarkStart w:id="35" w:name="_Toc11925948"/>
      <w:bookmarkStart w:id="36" w:name="_Toc11926066"/>
      <w:bookmarkStart w:id="37" w:name="_Toc12010793"/>
      <w:bookmarkStart w:id="38" w:name="_Toc11747604"/>
      <w:bookmarkStart w:id="39" w:name="_Toc11755398"/>
      <w:bookmarkStart w:id="40" w:name="_Toc11761362"/>
      <w:r>
        <w:rPr>
          <w:rStyle w:val="CharPartNo"/>
        </w:rPr>
        <w:t>Part 3</w:t>
      </w:r>
      <w:r>
        <w:rPr>
          <w:rStyle w:val="CharDivNo"/>
        </w:rPr>
        <w:t xml:space="preserve"> </w:t>
      </w:r>
      <w:r>
        <w:t>—</w:t>
      </w:r>
      <w:r>
        <w:rPr>
          <w:rStyle w:val="CharDivText"/>
        </w:rPr>
        <w:t xml:space="preserve"> </w:t>
      </w:r>
      <w:r>
        <w:rPr>
          <w:rStyle w:val="CharPartText"/>
        </w:rPr>
        <w:t>Permits and authorisations</w:t>
      </w:r>
      <w:bookmarkEnd w:id="34"/>
      <w:bookmarkEnd w:id="35"/>
      <w:bookmarkEnd w:id="36"/>
      <w:bookmarkEnd w:id="37"/>
      <w:bookmarkEnd w:id="38"/>
      <w:bookmarkEnd w:id="39"/>
      <w:bookmarkEnd w:id="40"/>
    </w:p>
    <w:p>
      <w:pPr>
        <w:pStyle w:val="Heading5"/>
      </w:pPr>
      <w:bookmarkStart w:id="41" w:name="_Toc12010794"/>
      <w:bookmarkStart w:id="42" w:name="_Toc11761363"/>
      <w:r>
        <w:rPr>
          <w:rStyle w:val="CharSectno"/>
        </w:rPr>
        <w:t>11</w:t>
      </w:r>
      <w:r>
        <w:t>.</w:t>
      </w:r>
      <w:r>
        <w:tab/>
        <w:t>Applications for permits and authorisations (Act s. 13A(6))</w:t>
      </w:r>
      <w:bookmarkEnd w:id="41"/>
      <w:bookmarkEnd w:id="42"/>
    </w:p>
    <w:p>
      <w:pPr>
        <w:pStyle w:val="Subsection"/>
      </w:pPr>
      <w:r>
        <w:tab/>
      </w:r>
      <w:r>
        <w:tab/>
        <w:t>For the purposes of section 13A(6) of the Act, a person may apply for a permit or an authorisation to carry out gasfitting by sending to the Director an application in an approved form, accompanied by the appropriate fee set out in Schedule 4.</w:t>
      </w:r>
    </w:p>
    <w:p>
      <w:pPr>
        <w:pStyle w:val="Footnotesection"/>
      </w:pPr>
      <w:r>
        <w:tab/>
        <w:t>[Regulation 11 amended: Gazette 22 Dec 2017 p. 5987.]</w:t>
      </w:r>
    </w:p>
    <w:p>
      <w:pPr>
        <w:pStyle w:val="Heading5"/>
      </w:pPr>
      <w:bookmarkStart w:id="43" w:name="_Toc12010795"/>
      <w:bookmarkStart w:id="44" w:name="_Toc11761364"/>
      <w:r>
        <w:rPr>
          <w:rStyle w:val="CharSectno"/>
        </w:rPr>
        <w:t>12</w:t>
      </w:r>
      <w:r>
        <w:t>.</w:t>
      </w:r>
      <w:r>
        <w:tab/>
        <w:t>Issue of permits and authorisation</w:t>
      </w:r>
      <w:bookmarkEnd w:id="43"/>
      <w:bookmarkEnd w:id="44"/>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 and</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45" w:name="_Toc12010796"/>
      <w:bookmarkStart w:id="46" w:name="_Toc11761365"/>
      <w:r>
        <w:rPr>
          <w:rStyle w:val="CharSectno"/>
        </w:rPr>
        <w:t>13A</w:t>
      </w:r>
      <w:r>
        <w:t>.</w:t>
      </w:r>
      <w:r>
        <w:tab/>
        <w:t>Replacing lost etc. permits and authorisations</w:t>
      </w:r>
      <w:bookmarkEnd w:id="45"/>
      <w:bookmarkEnd w:id="46"/>
    </w:p>
    <w:p>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pPr>
        <w:pStyle w:val="Footnotesection"/>
      </w:pPr>
      <w:r>
        <w:tab/>
        <w:t>[Regulation 13A inserted: Gazette 26 Nov 2010 p. 5929-30.]</w:t>
      </w:r>
    </w:p>
    <w:p>
      <w:pPr>
        <w:pStyle w:val="Heading5"/>
      </w:pPr>
      <w:bookmarkStart w:id="47" w:name="_Toc12010797"/>
      <w:bookmarkStart w:id="48" w:name="_Toc11761366"/>
      <w:r>
        <w:rPr>
          <w:rStyle w:val="CharSectno"/>
        </w:rPr>
        <w:t>13</w:t>
      </w:r>
      <w:r>
        <w:t>.</w:t>
      </w:r>
      <w:r>
        <w:tab/>
        <w:t>Grades of permit or authorisation</w:t>
      </w:r>
      <w:bookmarkEnd w:id="47"/>
      <w:bookmarkEnd w:id="48"/>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49" w:name="_Toc12010798"/>
      <w:bookmarkStart w:id="50" w:name="_Toc11761367"/>
      <w:r>
        <w:rPr>
          <w:rStyle w:val="CharSectno"/>
        </w:rPr>
        <w:t>14</w:t>
      </w:r>
      <w:r>
        <w:t>.</w:t>
      </w:r>
      <w:r>
        <w:tab/>
        <w:t>Restrictions etc. on permits or authorisations</w:t>
      </w:r>
      <w:bookmarkEnd w:id="49"/>
      <w:bookmarkEnd w:id="50"/>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51" w:name="_Toc12010799"/>
      <w:bookmarkStart w:id="52" w:name="_Toc11761368"/>
      <w:r>
        <w:rPr>
          <w:rStyle w:val="CharSectno"/>
        </w:rPr>
        <w:t>15</w:t>
      </w:r>
      <w:r>
        <w:t>.</w:t>
      </w:r>
      <w:r>
        <w:tab/>
        <w:t>Permits, effect of</w:t>
      </w:r>
      <w:bookmarkEnd w:id="51"/>
      <w:bookmarkEnd w:id="52"/>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specified in the permit if it is being done by a person who —</w:t>
      </w:r>
    </w:p>
    <w:p>
      <w:pPr>
        <w:pStyle w:val="Indenta"/>
      </w:pPr>
      <w:r>
        <w:tab/>
        <w:t>(a)</w:t>
      </w:r>
      <w:r>
        <w:tab/>
        <w:t>has a permit to do the work; or</w:t>
      </w:r>
    </w:p>
    <w:p>
      <w:pPr>
        <w:pStyle w:val="Indenta"/>
      </w:pPr>
      <w:r>
        <w:tab/>
        <w:t>(b)</w:t>
      </w:r>
      <w:r>
        <w:tab/>
        <w:t>is a supervised gas fitter.</w:t>
      </w:r>
    </w:p>
    <w:p>
      <w:pPr>
        <w:pStyle w:val="Subsection"/>
      </w:pPr>
      <w:r>
        <w:tab/>
        <w:t>(3)</w:t>
      </w:r>
      <w:r>
        <w:tab/>
        <w:t>A Class I permit also authorises the holder to supervise the gasfitting work specified in the permit if it is being done by a gas fitter.</w:t>
      </w:r>
    </w:p>
    <w:p>
      <w:pPr>
        <w:pStyle w:val="Subsection"/>
      </w:pPr>
      <w:r>
        <w:tab/>
        <w:t>(4)</w:t>
      </w:r>
      <w:r>
        <w:tab/>
        <w:t>A permit continues to have effect on and from the day on which it was issued or renewed for the period, not exceeding 5 years, specified in the permit.</w:t>
      </w:r>
    </w:p>
    <w:p>
      <w:pPr>
        <w:pStyle w:val="Footnotesection"/>
      </w:pPr>
      <w:r>
        <w:tab/>
        <w:t>[Regulation 15 amended: Gazette 26 Nov 2010 p. 5930; 22 Dec 2017 p. 5987; 2 Oct 2018 p. 3784.]</w:t>
      </w:r>
    </w:p>
    <w:p>
      <w:pPr>
        <w:pStyle w:val="Heading5"/>
      </w:pPr>
      <w:bookmarkStart w:id="53" w:name="_Toc12010800"/>
      <w:bookmarkStart w:id="54" w:name="_Toc11761369"/>
      <w:r>
        <w:rPr>
          <w:rStyle w:val="CharSectno"/>
        </w:rPr>
        <w:t>15A</w:t>
      </w:r>
      <w:r>
        <w:t>.</w:t>
      </w:r>
      <w:r>
        <w:tab/>
        <w:t>Renewal of permits</w:t>
      </w:r>
      <w:bookmarkEnd w:id="53"/>
      <w:bookmarkEnd w:id="54"/>
    </w:p>
    <w:p>
      <w:pPr>
        <w:pStyle w:val="Subsection"/>
      </w:pPr>
      <w:r>
        <w:tab/>
        <w:t>(1)</w:t>
      </w:r>
      <w:r>
        <w:tab/>
        <w:t>The Director may renew a permit on an application made not earlier than 90 days before, and not later than 30 days after, the date of the expiry of the permit.</w:t>
      </w:r>
    </w:p>
    <w:p>
      <w:pPr>
        <w:pStyle w:val="Subsection"/>
      </w:pPr>
      <w:r>
        <w:tab/>
        <w:t>(2)</w:t>
      </w:r>
      <w:r>
        <w:tab/>
        <w:t>An application is made under subregulation (1) by submitting to the Director, together with the appropriate fee set out in Schedule 4, the form, duly completed, made available by the Director.</w:t>
      </w:r>
    </w:p>
    <w:p>
      <w:pPr>
        <w:pStyle w:val="Subsection"/>
      </w:pPr>
      <w:r>
        <w:tab/>
        <w:t>(3)</w:t>
      </w:r>
      <w:r>
        <w:tab/>
        <w:t>If, at least 12 months before the date of the expiry of the permit, the Director gives to the holder written notice that the holder is required to complete successfully a course specified in the notice relating to the safe performance of gasfitting work, the Director may refuse to renew the permit if the holder fails to comply with that requirement before that date.</w:t>
      </w:r>
    </w:p>
    <w:p>
      <w:pPr>
        <w:pStyle w:val="Subsection"/>
      </w:pPr>
      <w:r>
        <w:tab/>
        <w:t>(4)</w:t>
      </w:r>
      <w:r>
        <w:tab/>
        <w:t>Subject to subregulation (5), if a permit is renewed under subregulation (1), the renewal has effect from the time when, but for the renewal, the permit would have expired.</w:t>
      </w:r>
    </w:p>
    <w:p>
      <w:pPr>
        <w:pStyle w:val="Subsection"/>
      </w:pPr>
      <w:r>
        <w:tab/>
        <w:t>(5)</w:t>
      </w:r>
      <w:r>
        <w:tab/>
        <w:t xml:space="preserve">Where a permit is renewed under subregulation (1) on an application made within 30 days after the permit expires, the renewal — </w:t>
      </w:r>
    </w:p>
    <w:p>
      <w:pPr>
        <w:pStyle w:val="Indenta"/>
      </w:pPr>
      <w:r>
        <w:tab/>
        <w:t>(a)</w:t>
      </w:r>
      <w:r>
        <w:tab/>
        <w:t xml:space="preserve">has effect only for the balance of the period specified in the permit remaining after the registration is renewed; and </w:t>
      </w:r>
    </w:p>
    <w:p>
      <w:pPr>
        <w:pStyle w:val="Indenta"/>
      </w:pPr>
      <w:r>
        <w:tab/>
        <w:t>(b)</w:t>
      </w:r>
      <w:r>
        <w:tab/>
        <w:t>does not affect the illegality of anything done after the registration expired and before the renewal took effect.</w:t>
      </w:r>
    </w:p>
    <w:p>
      <w:pPr>
        <w:pStyle w:val="Subsection"/>
      </w:pPr>
      <w:r>
        <w:tab/>
        <w:t>(6)</w:t>
      </w:r>
      <w:r>
        <w:tab/>
        <w:t xml:space="preserve">In subregulation (5), the reference to the period specified in the permit includes that part of the period in effect immediately before the </w:t>
      </w:r>
      <w:r>
        <w:rPr>
          <w:i/>
        </w:rPr>
        <w:t>Gas Standards (Gasfitting and Consumer Gas Installations) Amendment Regulations (No. 2) 2017</w:t>
      </w:r>
      <w:r>
        <w:t xml:space="preserve"> regulation 6 came into operation.</w:t>
      </w:r>
    </w:p>
    <w:p>
      <w:pPr>
        <w:pStyle w:val="Footnotesection"/>
      </w:pPr>
      <w:r>
        <w:tab/>
        <w:t>[Regulation 15A inserted: Gazette 22 Dec 2017 p. 5988.]</w:t>
      </w:r>
    </w:p>
    <w:p>
      <w:pPr>
        <w:pStyle w:val="Heading5"/>
      </w:pPr>
      <w:bookmarkStart w:id="55" w:name="_Toc12010801"/>
      <w:bookmarkStart w:id="56" w:name="_Toc11761370"/>
      <w:r>
        <w:rPr>
          <w:rStyle w:val="CharSectno"/>
        </w:rPr>
        <w:t>16</w:t>
      </w:r>
      <w:r>
        <w:t>.</w:t>
      </w:r>
      <w:r>
        <w:tab/>
        <w:t>Authorisations, effect of</w:t>
      </w:r>
      <w:bookmarkEnd w:id="55"/>
      <w:bookmarkEnd w:id="56"/>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rStyle w:val="CharDefText"/>
        </w:rPr>
        <w:t>employer</w:t>
      </w:r>
      <w:r>
        <w:t>, in relation to the holder of an authorisation, includes a person who has engaged the holder under a contract for services;</w:t>
      </w:r>
    </w:p>
    <w:p>
      <w:pPr>
        <w:pStyle w:val="Defstart"/>
      </w:pPr>
      <w:r>
        <w:tab/>
      </w:r>
      <w:r>
        <w:rPr>
          <w:rStyle w:val="CharDefText"/>
        </w:rPr>
        <w:t>specified</w:t>
      </w:r>
      <w:r>
        <w:t xml:space="preserve"> means specified in the authorisation.</w:t>
      </w:r>
    </w:p>
    <w:p>
      <w:pPr>
        <w:pStyle w:val="Heading2"/>
      </w:pPr>
      <w:bookmarkStart w:id="57" w:name="_Toc11925516"/>
      <w:bookmarkStart w:id="58" w:name="_Toc11925957"/>
      <w:bookmarkStart w:id="59" w:name="_Toc11926075"/>
      <w:bookmarkStart w:id="60" w:name="_Toc12010802"/>
      <w:bookmarkStart w:id="61" w:name="_Toc11747613"/>
      <w:bookmarkStart w:id="62" w:name="_Toc11755407"/>
      <w:bookmarkStart w:id="63" w:name="_Toc11761371"/>
      <w:r>
        <w:rPr>
          <w:rStyle w:val="CharPartNo"/>
        </w:rPr>
        <w:t>Part 4</w:t>
      </w:r>
      <w:r>
        <w:t xml:space="preserve"> — </w:t>
      </w:r>
      <w:r>
        <w:rPr>
          <w:rStyle w:val="CharPartText"/>
        </w:rPr>
        <w:t>Performance of gasfitting</w:t>
      </w:r>
      <w:bookmarkEnd w:id="57"/>
      <w:bookmarkEnd w:id="58"/>
      <w:bookmarkEnd w:id="59"/>
      <w:bookmarkEnd w:id="60"/>
      <w:bookmarkEnd w:id="61"/>
      <w:bookmarkEnd w:id="62"/>
      <w:bookmarkEnd w:id="63"/>
    </w:p>
    <w:p>
      <w:pPr>
        <w:pStyle w:val="Heading5"/>
      </w:pPr>
      <w:bookmarkStart w:id="64" w:name="_Toc12010803"/>
      <w:bookmarkStart w:id="65" w:name="_Toc11761372"/>
      <w:r>
        <w:rPr>
          <w:rStyle w:val="CharSectno"/>
        </w:rPr>
        <w:t>17</w:t>
      </w:r>
      <w:r>
        <w:t>.</w:t>
      </w:r>
      <w:r>
        <w:tab/>
        <w:t>Terms used</w:t>
      </w:r>
      <w:bookmarkEnd w:id="64"/>
      <w:bookmarkEnd w:id="65"/>
    </w:p>
    <w:p>
      <w:pPr>
        <w:pStyle w:val="Subsection"/>
      </w:pPr>
      <w:r>
        <w:tab/>
      </w:r>
      <w:r>
        <w:tab/>
        <w:t>In this Part —</w:t>
      </w:r>
    </w:p>
    <w:p>
      <w:pPr>
        <w:pStyle w:val="Defstart"/>
      </w:pPr>
      <w:r>
        <w:tab/>
      </w:r>
      <w:r>
        <w:rPr>
          <w:rStyle w:val="CharDefText"/>
        </w:rPr>
        <w:t>commission</w:t>
      </w:r>
      <w:r>
        <w:t>, in relation to a gas installation, means connect the installation so that it is available for use;</w:t>
      </w:r>
    </w:p>
    <w:p>
      <w:pPr>
        <w:pStyle w:val="Defstart"/>
      </w:pPr>
      <w:r>
        <w:tab/>
      </w:r>
      <w:r>
        <w:rPr>
          <w:rStyle w:val="CharDefText"/>
          <w:spacing w:val="-4"/>
        </w:rPr>
        <w:t>notice of defects</w:t>
      </w:r>
      <w:r>
        <w:t xml:space="preserve"> means a notice of defects under regulation 29.</w:t>
      </w:r>
    </w:p>
    <w:p>
      <w:pPr>
        <w:pStyle w:val="Heading5"/>
      </w:pPr>
      <w:bookmarkStart w:id="66" w:name="_Toc12010804"/>
      <w:bookmarkStart w:id="67" w:name="_Toc11761373"/>
      <w:r>
        <w:rPr>
          <w:rStyle w:val="CharSectno"/>
        </w:rPr>
        <w:t>18</w:t>
      </w:r>
      <w:r>
        <w:t>.</w:t>
      </w:r>
      <w:r>
        <w:tab/>
        <w:t>Gas fitters, duties of as to gasfitting work</w:t>
      </w:r>
      <w:bookmarkEnd w:id="66"/>
      <w:bookmarkEnd w:id="67"/>
    </w:p>
    <w:p>
      <w:pPr>
        <w:pStyle w:val="Subsection"/>
      </w:pPr>
      <w:r>
        <w:tab/>
        <w:t>(1)</w:t>
      </w:r>
      <w:r>
        <w:tab/>
        <w:t>A gas fitter who does gasfitting work on a gas installation must ensure that the work is done in a safe manner.</w:t>
      </w:r>
    </w:p>
    <w:p>
      <w:pPr>
        <w:pStyle w:val="Subsection"/>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Gazette 19 Dec 2000 p. 7275</w:t>
      </w:r>
      <w:r>
        <w:noBreakHyphen/>
        <w:t>6.]</w:t>
      </w:r>
    </w:p>
    <w:p>
      <w:pPr>
        <w:pStyle w:val="Heading5"/>
      </w:pPr>
      <w:bookmarkStart w:id="68" w:name="_Toc12010805"/>
      <w:bookmarkStart w:id="69" w:name="_Toc11761374"/>
      <w:r>
        <w:rPr>
          <w:rStyle w:val="CharSectno"/>
        </w:rPr>
        <w:t>19</w:t>
      </w:r>
      <w:r>
        <w:t>.</w:t>
      </w:r>
      <w:r>
        <w:tab/>
        <w:t>Supervising gas fitter, duties of</w:t>
      </w:r>
      <w:bookmarkEnd w:id="68"/>
      <w:bookmarkEnd w:id="69"/>
    </w:p>
    <w:p>
      <w:pPr>
        <w:pStyle w:val="Subsection"/>
      </w:pPr>
      <w:r>
        <w:tab/>
      </w:r>
      <w:r>
        <w:tab/>
        <w:t>A supervising gas fitter must ensure that —</w:t>
      </w:r>
    </w:p>
    <w:p>
      <w:pPr>
        <w:pStyle w:val="Indenta"/>
      </w:pPr>
      <w:r>
        <w:tab/>
        <w:t>(a)</w:t>
      </w:r>
      <w:r>
        <w:tab/>
        <w:t>the supervised gas fitter complies with these regulations; and</w:t>
      </w:r>
    </w:p>
    <w:p>
      <w:pPr>
        <w:pStyle w:val="Indenta"/>
      </w:pPr>
      <w:r>
        <w:tab/>
        <w:t>(b)</w:t>
      </w:r>
      <w:r>
        <w:tab/>
        <w:t>the work done by the supervised gas fitter is work that the supervising gas fitter is authorised to supervise under these regulations.</w:t>
      </w:r>
    </w:p>
    <w:p>
      <w:pPr>
        <w:pStyle w:val="Footnotesection"/>
      </w:pPr>
      <w:r>
        <w:tab/>
        <w:t>[Regulation 19 amended: Gazette 26 Nov 2010 p. 5930.]</w:t>
      </w:r>
    </w:p>
    <w:p>
      <w:pPr>
        <w:pStyle w:val="Heading5"/>
      </w:pPr>
      <w:bookmarkStart w:id="70" w:name="_Toc12010806"/>
      <w:bookmarkStart w:id="71" w:name="_Toc11761375"/>
      <w:r>
        <w:rPr>
          <w:rStyle w:val="CharSectno"/>
        </w:rPr>
        <w:t>20</w:t>
      </w:r>
      <w:r>
        <w:t>.</w:t>
      </w:r>
      <w:r>
        <w:tab/>
        <w:t>Installing etc. appliances etc., gas fitters’ duties as to</w:t>
      </w:r>
      <w:bookmarkEnd w:id="70"/>
      <w:bookmarkEnd w:id="71"/>
    </w:p>
    <w:p>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pPr>
        <w:pStyle w:val="Indenta"/>
        <w:spacing w:before="60"/>
      </w:pPr>
      <w:r>
        <w:tab/>
        <w:t>(a)</w:t>
      </w:r>
      <w:r>
        <w:tab/>
        <w:t>in a suitable place; and</w:t>
      </w:r>
    </w:p>
    <w:p>
      <w:pPr>
        <w:pStyle w:val="Indenta"/>
        <w:spacing w:before="60"/>
      </w:pPr>
      <w:r>
        <w:tab/>
        <w:t>(b)</w:t>
      </w:r>
      <w:r>
        <w:tab/>
        <w:t>in accordance with any instructions or recommendations of the manufacturer or designer relating to the installation of that appliance, apparatus or part.</w:t>
      </w:r>
    </w:p>
    <w:p>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spacing w:before="120"/>
      </w:pPr>
      <w:r>
        <w:tab/>
        <w:t>(3)</w:t>
      </w:r>
      <w:r>
        <w:tab/>
        <w:t>When a gas fitter installs a used appliance the gas fitter must endorse on the notice of completion a note to the effect that the gas fitter ascertained that it was operating safely.</w:t>
      </w:r>
    </w:p>
    <w:p>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pPr>
        <w:pStyle w:val="Subsection"/>
        <w:spacing w:before="120"/>
      </w:pPr>
      <w:r>
        <w:tab/>
        <w:t>(5)</w:t>
      </w:r>
      <w:r>
        <w:tab/>
        <w:t>A gas fitter must not install in a consumer’s gas installation an appliance that uses, in addition to the gas supplied from a reticulated system, any gas that is under pressure unless —</w:t>
      </w:r>
    </w:p>
    <w:p>
      <w:pPr>
        <w:pStyle w:val="Indenta"/>
        <w:spacing w:before="60"/>
      </w:pPr>
      <w:r>
        <w:tab/>
        <w:t>(a)</w:t>
      </w:r>
      <w:r>
        <w:tab/>
        <w:t>the gas supplier has approved the installation of the appliance; and</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 and</w:t>
      </w:r>
    </w:p>
    <w:p>
      <w:pPr>
        <w:pStyle w:val="Indenta"/>
      </w:pPr>
      <w:r>
        <w:tab/>
        <w:t>(b)</w:t>
      </w:r>
      <w:r>
        <w:tab/>
        <w:t>any safety device required by the gas supplier is fitted to the satisfaction of the gas supplier; and</w:t>
      </w:r>
    </w:p>
    <w:p>
      <w:pPr>
        <w:pStyle w:val="Indenta"/>
      </w:pPr>
      <w:r>
        <w:tab/>
        <w:t>(c)</w:t>
      </w:r>
      <w:r>
        <w:tab/>
        <w:t>the gas fitter has notified the consumer of the consumer’s obligation under regulation 36(5) to permit the gas supplier to inspect and test the pressure raising device and any safety device required under paragraph (b).</w:t>
      </w:r>
    </w:p>
    <w:p>
      <w:pPr>
        <w:pStyle w:val="Footnotesection"/>
      </w:pPr>
      <w:r>
        <w:tab/>
        <w:t>[Regulation 20 amended: Gazette 19 Dec 2000 p. 7276.]</w:t>
      </w:r>
    </w:p>
    <w:p>
      <w:pPr>
        <w:pStyle w:val="Heading5"/>
      </w:pPr>
      <w:bookmarkStart w:id="72" w:name="_Toc12010807"/>
      <w:bookmarkStart w:id="73" w:name="_Toc11761376"/>
      <w:r>
        <w:rPr>
          <w:rStyle w:val="CharSectno"/>
        </w:rPr>
        <w:t>21</w:t>
      </w:r>
      <w:r>
        <w:t>.</w:t>
      </w:r>
      <w:r>
        <w:tab/>
        <w:t>Commissioning appliances, gas fitters’ duties as to</w:t>
      </w:r>
      <w:bookmarkEnd w:id="72"/>
      <w:bookmarkEnd w:id="73"/>
    </w:p>
    <w:p>
      <w:pPr>
        <w:pStyle w:val="Subsection"/>
      </w:pPr>
      <w:r>
        <w:tab/>
      </w:r>
      <w:r>
        <w:tab/>
        <w:t>When a gas fitter commissions an appliance the gas fitter must —</w:t>
      </w:r>
    </w:p>
    <w:p>
      <w:pPr>
        <w:pStyle w:val="Indenta"/>
      </w:pPr>
      <w:r>
        <w:tab/>
        <w:t>(a)</w:t>
      </w:r>
      <w:r>
        <w:tab/>
        <w:t>adjust it for safe and correct operation; and</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74" w:name="_Toc12010808"/>
      <w:bookmarkStart w:id="75" w:name="_Toc11761377"/>
      <w:r>
        <w:rPr>
          <w:rStyle w:val="CharSectno"/>
        </w:rPr>
        <w:t>22</w:t>
      </w:r>
      <w:r>
        <w:t>.</w:t>
      </w:r>
      <w:r>
        <w:tab/>
        <w:t>Type B appliances, permanent connection of</w:t>
      </w:r>
      <w:bookmarkEnd w:id="74"/>
      <w:bookmarkEnd w:id="75"/>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Gazette 19 Dec 2000 p. 7276</w:t>
      </w:r>
      <w:r>
        <w:noBreakHyphen/>
        <w:t>7.]</w:t>
      </w:r>
    </w:p>
    <w:p>
      <w:pPr>
        <w:pStyle w:val="Heading5"/>
      </w:pPr>
      <w:bookmarkStart w:id="76" w:name="_Toc12010809"/>
      <w:bookmarkStart w:id="77" w:name="_Toc11761378"/>
      <w:r>
        <w:rPr>
          <w:rStyle w:val="CharSectno"/>
        </w:rPr>
        <w:t>22A</w:t>
      </w:r>
      <w:r>
        <w:t>.</w:t>
      </w:r>
      <w:r>
        <w:tab/>
        <w:t>Type B appliances, inspection and certification of</w:t>
      </w:r>
      <w:bookmarkEnd w:id="76"/>
      <w:bookmarkEnd w:id="77"/>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 and</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Subsection"/>
      </w:pPr>
      <w:r>
        <w:tab/>
        <w:t>(5)</w:t>
      </w:r>
      <w:r>
        <w:tab/>
        <w:t>If the inspection is carried out at any other place under subregulation (3)(b), 3 copies of the certificate of compliance are to be given to the manufacturer.</w:t>
      </w:r>
    </w:p>
    <w:p>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spacing w:before="60"/>
      </w:pPr>
      <w:r>
        <w:tab/>
        <w:t>(a)</w:t>
      </w:r>
      <w:r>
        <w:tab/>
        <w:t>the gas fitter who commissioned the appliance;</w:t>
      </w:r>
    </w:p>
    <w:p>
      <w:pPr>
        <w:pStyle w:val="Indenta"/>
        <w:spacing w:before="60"/>
      </w:pPr>
      <w:r>
        <w:tab/>
        <w:t>(b)</w:t>
      </w:r>
      <w:r>
        <w:tab/>
        <w:t>the consumer for whom the appliance was installed and commissioned;</w:t>
      </w:r>
    </w:p>
    <w:p>
      <w:pPr>
        <w:pStyle w:val="Indenta"/>
        <w:spacing w:before="60"/>
      </w:pPr>
      <w:r>
        <w:tab/>
        <w:t>(c)</w:t>
      </w:r>
      <w:r>
        <w:tab/>
        <w:t>the gas supplier.</w:t>
      </w:r>
    </w:p>
    <w:p>
      <w:pPr>
        <w:pStyle w:val="Footnotesection"/>
        <w:spacing w:before="100"/>
      </w:pPr>
      <w:r>
        <w:tab/>
        <w:t>[Regulation 22A inserted: Gazette 19 Dec 2000 p. 7277.]</w:t>
      </w:r>
    </w:p>
    <w:p>
      <w:pPr>
        <w:pStyle w:val="Heading5"/>
      </w:pPr>
      <w:bookmarkStart w:id="78" w:name="_Toc12010810"/>
      <w:bookmarkStart w:id="79" w:name="_Toc11761379"/>
      <w:r>
        <w:rPr>
          <w:rStyle w:val="CharSectno"/>
        </w:rPr>
        <w:t>23</w:t>
      </w:r>
      <w:r>
        <w:t>.</w:t>
      </w:r>
      <w:r>
        <w:tab/>
        <w:t>Servicing gas installations, gas fitters’ duties as to</w:t>
      </w:r>
      <w:bookmarkEnd w:id="78"/>
      <w:bookmarkEnd w:id="79"/>
    </w:p>
    <w:p>
      <w:pPr>
        <w:pStyle w:val="Subsection"/>
        <w:spacing w:before="150"/>
      </w:pPr>
      <w:r>
        <w:tab/>
        <w:t>(1)</w:t>
      </w:r>
      <w:r>
        <w:tab/>
        <w:t>When a gas fitter services a consumer’s gas installation the gas fitter must record the service information.</w:t>
      </w:r>
    </w:p>
    <w:p>
      <w:pPr>
        <w:pStyle w:val="Subsection"/>
        <w:spacing w:before="150"/>
      </w:pPr>
      <w:r>
        <w:tab/>
        <w:t>(2)</w:t>
      </w:r>
      <w:r>
        <w:tab/>
        <w:t>The service information must be —</w:t>
      </w:r>
    </w:p>
    <w:p>
      <w:pPr>
        <w:pStyle w:val="Indenta"/>
        <w:spacing w:before="60"/>
      </w:pPr>
      <w:r>
        <w:tab/>
        <w:t>(a)</w:t>
      </w:r>
      <w:r>
        <w:tab/>
        <w:t>clearly and legibly displayed in permanent form on a badge or label attached to the consumer’s gas installation; or</w:t>
      </w:r>
    </w:p>
    <w:p>
      <w:pPr>
        <w:pStyle w:val="Indenta"/>
        <w:spacing w:before="60"/>
      </w:pPr>
      <w:r>
        <w:tab/>
        <w:t>(b)</w:t>
      </w:r>
      <w:r>
        <w:tab/>
        <w:t>recorded in accordance with an approval under subregulation (3).</w:t>
      </w:r>
    </w:p>
    <w:p>
      <w:pPr>
        <w:pStyle w:val="Subsection"/>
        <w:spacing w:before="150"/>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rStyle w:val="CharDefText"/>
        </w:rPr>
        <w:t>service information</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80" w:name="_Toc12010811"/>
      <w:bookmarkStart w:id="81" w:name="_Toc11761380"/>
      <w:r>
        <w:rPr>
          <w:rStyle w:val="CharSectno"/>
        </w:rPr>
        <w:t>24</w:t>
      </w:r>
      <w:r>
        <w:t>.</w:t>
      </w:r>
      <w:r>
        <w:tab/>
        <w:t>Inaccessible fitting lines, gas fitters’ duties as to</w:t>
      </w:r>
      <w:bookmarkEnd w:id="80"/>
      <w:bookmarkEnd w:id="81"/>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82" w:name="_Toc12010812"/>
      <w:bookmarkStart w:id="83" w:name="_Toc11761381"/>
      <w:r>
        <w:rPr>
          <w:rStyle w:val="CharSectno"/>
        </w:rPr>
        <w:t>25</w:t>
      </w:r>
      <w:r>
        <w:t>.</w:t>
      </w:r>
      <w:r>
        <w:tab/>
        <w:t>Fitting lines to be clean</w:t>
      </w:r>
      <w:bookmarkEnd w:id="82"/>
      <w:bookmarkEnd w:id="83"/>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84" w:name="_Toc12010813"/>
      <w:bookmarkStart w:id="85" w:name="_Toc11761382"/>
      <w:r>
        <w:rPr>
          <w:rStyle w:val="CharSectno"/>
        </w:rPr>
        <w:t>26</w:t>
      </w:r>
      <w:r>
        <w:t>.</w:t>
      </w:r>
      <w:r>
        <w:tab/>
        <w:t>Pressure testing gas installations</w:t>
      </w:r>
      <w:bookmarkEnd w:id="84"/>
      <w:bookmarkEnd w:id="85"/>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Ednotesection"/>
      </w:pPr>
      <w:r>
        <w:t>[</w:t>
      </w:r>
      <w:r>
        <w:rPr>
          <w:b/>
        </w:rPr>
        <w:t>27.</w:t>
      </w:r>
      <w:r>
        <w:tab/>
        <w:t>Deleted: Gazette 21 Apr 2006 p. 1576.]</w:t>
      </w:r>
    </w:p>
    <w:p>
      <w:pPr>
        <w:pStyle w:val="Heading5"/>
      </w:pPr>
      <w:bookmarkStart w:id="86" w:name="_Toc12010814"/>
      <w:bookmarkStart w:id="87" w:name="_Toc11761383"/>
      <w:r>
        <w:rPr>
          <w:rStyle w:val="CharSectno"/>
        </w:rPr>
        <w:t>28</w:t>
      </w:r>
      <w:r>
        <w:t>.</w:t>
      </w:r>
      <w:r>
        <w:tab/>
        <w:t>Completion of gasfitting work, gas fitters’ duties on</w:t>
      </w:r>
      <w:bookmarkEnd w:id="86"/>
      <w:bookmarkEnd w:id="87"/>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Gazette 19 Dec 2000 p. 7278.]</w:t>
      </w:r>
    </w:p>
    <w:p>
      <w:pPr>
        <w:pStyle w:val="Heading5"/>
      </w:pPr>
      <w:bookmarkStart w:id="88" w:name="_Toc12010815"/>
      <w:bookmarkStart w:id="89" w:name="_Toc11761384"/>
      <w:r>
        <w:rPr>
          <w:rStyle w:val="CharSectno"/>
        </w:rPr>
        <w:t>29</w:t>
      </w:r>
      <w:r>
        <w:t>.</w:t>
      </w:r>
      <w:r>
        <w:tab/>
        <w:t>Defective gasfitting work, notice of defects to gas fitter</w:t>
      </w:r>
      <w:bookmarkEnd w:id="88"/>
      <w:bookmarkEnd w:id="89"/>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keepNext w:val="0"/>
        <w:keepLines w:val="0"/>
      </w:pPr>
      <w:bookmarkStart w:id="90" w:name="_Toc12010816"/>
      <w:bookmarkStart w:id="91" w:name="_Toc11761385"/>
      <w:r>
        <w:rPr>
          <w:rStyle w:val="CharSectno"/>
        </w:rPr>
        <w:t>30</w:t>
      </w:r>
      <w:r>
        <w:t>.</w:t>
      </w:r>
      <w:r>
        <w:tab/>
        <w:t>Notice of defects, gas fitter’s duties as to</w:t>
      </w:r>
      <w:bookmarkEnd w:id="90"/>
      <w:bookmarkEnd w:id="91"/>
    </w:p>
    <w:p>
      <w:pPr>
        <w:pStyle w:val="Subsection"/>
        <w:rPr>
          <w:snapToGrid w:val="0"/>
        </w:rPr>
      </w:pPr>
      <w:r>
        <w:tab/>
        <w:t>(1)</w:t>
      </w:r>
      <w:r>
        <w:tab/>
      </w:r>
      <w:r>
        <w:rPr>
          <w:snapToGrid w:val="0"/>
        </w:rPr>
        <w:t>Unless the registered gas fitter appeals under regulation 31 against a notice of defects, the registered gas fitter must within 7 days —</w:t>
      </w:r>
    </w:p>
    <w:p>
      <w:pPr>
        <w:pStyle w:val="Indenta"/>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92" w:name="_Toc12010817"/>
      <w:bookmarkStart w:id="93" w:name="_Toc11761386"/>
      <w:r>
        <w:rPr>
          <w:rStyle w:val="CharSectno"/>
        </w:rPr>
        <w:t>31</w:t>
      </w:r>
      <w:r>
        <w:rPr>
          <w:snapToGrid w:val="0"/>
        </w:rPr>
        <w:t>.</w:t>
      </w:r>
      <w:r>
        <w:rPr>
          <w:snapToGrid w:val="0"/>
        </w:rPr>
        <w:tab/>
        <w:t>Appeal against notice of defects</w:t>
      </w:r>
      <w:bookmarkEnd w:id="92"/>
      <w:bookmarkEnd w:id="93"/>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pPr>
      <w:bookmarkStart w:id="94" w:name="_Toc11925532"/>
      <w:bookmarkStart w:id="95" w:name="_Toc11925973"/>
      <w:bookmarkStart w:id="96" w:name="_Toc11926091"/>
      <w:bookmarkStart w:id="97" w:name="_Toc12010818"/>
      <w:bookmarkStart w:id="98" w:name="_Toc11747629"/>
      <w:bookmarkStart w:id="99" w:name="_Toc11755423"/>
      <w:bookmarkStart w:id="100" w:name="_Toc11761387"/>
      <w:r>
        <w:rPr>
          <w:rStyle w:val="CharPartNo"/>
        </w:rPr>
        <w:t>Part 4A</w:t>
      </w:r>
      <w:r>
        <w:t> — </w:t>
      </w:r>
      <w:r>
        <w:rPr>
          <w:rStyle w:val="CharPartText"/>
        </w:rPr>
        <w:t>Appeals under section 13N(1)(b) of the Act</w:t>
      </w:r>
      <w:bookmarkEnd w:id="94"/>
      <w:bookmarkEnd w:id="95"/>
      <w:bookmarkEnd w:id="96"/>
      <w:bookmarkEnd w:id="97"/>
      <w:bookmarkEnd w:id="98"/>
      <w:bookmarkEnd w:id="99"/>
      <w:bookmarkEnd w:id="100"/>
    </w:p>
    <w:p>
      <w:pPr>
        <w:pStyle w:val="Footnoteheading"/>
      </w:pPr>
      <w:r>
        <w:tab/>
        <w:t>[Heading inserted: Gazette 30 Nov 2007 p. 5934.]</w:t>
      </w:r>
    </w:p>
    <w:p>
      <w:pPr>
        <w:pStyle w:val="Heading5"/>
      </w:pPr>
      <w:bookmarkStart w:id="101" w:name="_Toc12010819"/>
      <w:bookmarkStart w:id="102" w:name="_Toc11761388"/>
      <w:r>
        <w:rPr>
          <w:rStyle w:val="CharSectno"/>
        </w:rPr>
        <w:t>31A</w:t>
      </w:r>
      <w:r>
        <w:t>.</w:t>
      </w:r>
      <w:r>
        <w:tab/>
        <w:t>Terms used</w:t>
      </w:r>
      <w:bookmarkEnd w:id="101"/>
      <w:bookmarkEnd w:id="102"/>
    </w:p>
    <w:p>
      <w:pPr>
        <w:pStyle w:val="Subsection"/>
      </w:pPr>
      <w:r>
        <w:tab/>
      </w:r>
      <w:r>
        <w:tab/>
        <w:t xml:space="preserve">In this Part — </w:t>
      </w:r>
    </w:p>
    <w:p>
      <w:pPr>
        <w:pStyle w:val="Defstart"/>
      </w:pPr>
      <w:r>
        <w:tab/>
      </w:r>
      <w:r>
        <w:rPr>
          <w:rStyle w:val="CharDefText"/>
        </w:rPr>
        <w:t>appeal</w:t>
      </w:r>
      <w:r>
        <w:t xml:space="preserve"> means an appeal under section 13N(1)(b) of the Act;</w:t>
      </w:r>
    </w:p>
    <w:p>
      <w:pPr>
        <w:pStyle w:val="Defstart"/>
      </w:pPr>
      <w:r>
        <w:tab/>
      </w:r>
      <w:r>
        <w:rPr>
          <w:rStyle w:val="CharDefText"/>
        </w:rPr>
        <w:t>appellant</w:t>
      </w:r>
      <w:r>
        <w:t xml:space="preserve"> means a person aggrieved who commences an appeal;</w:t>
      </w:r>
    </w:p>
    <w:p>
      <w:pPr>
        <w:pStyle w:val="Defstart"/>
      </w:pPr>
      <w:r>
        <w:tab/>
      </w:r>
      <w:r>
        <w:rPr>
          <w:rStyle w:val="CharDefText"/>
        </w:rPr>
        <w:t>technical review panel</w:t>
      </w:r>
      <w:r>
        <w:t xml:space="preserve"> means a panel mentioned in section 13N(1)(b) of the Act.</w:t>
      </w:r>
    </w:p>
    <w:p>
      <w:pPr>
        <w:pStyle w:val="Footnotesection"/>
      </w:pPr>
      <w:r>
        <w:tab/>
        <w:t>[Regulation 31A inserted: Gazette 30 Nov 2007 p. 5934.]</w:t>
      </w:r>
    </w:p>
    <w:p>
      <w:pPr>
        <w:pStyle w:val="Heading5"/>
      </w:pPr>
      <w:bookmarkStart w:id="103" w:name="_Toc12010820"/>
      <w:bookmarkStart w:id="104" w:name="_Toc11761389"/>
      <w:r>
        <w:rPr>
          <w:rStyle w:val="CharSectno"/>
        </w:rPr>
        <w:t>31B</w:t>
      </w:r>
      <w:r>
        <w:t>.</w:t>
      </w:r>
      <w:r>
        <w:tab/>
        <w:t>Technical review panel, convening of etc.</w:t>
      </w:r>
      <w:bookmarkEnd w:id="103"/>
      <w:bookmarkEnd w:id="104"/>
    </w:p>
    <w:p>
      <w:pPr>
        <w:pStyle w:val="Subsection"/>
      </w:pPr>
      <w:r>
        <w:tab/>
        <w:t>(1)</w:t>
      </w:r>
      <w:r>
        <w:tab/>
        <w:t>If an appeal is made under section 13N(1)(b) of the Act, the chief executive officer must convene a technical review panel.</w:t>
      </w:r>
    </w:p>
    <w:p>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pPr>
        <w:pStyle w:val="Subsection"/>
      </w:pPr>
      <w:r>
        <w:tab/>
        <w:t>(3)</w:t>
      </w:r>
      <w:r>
        <w:tab/>
        <w:t>The chief executive officer must appoint one of the members of the technical review panel to be the chairperson.</w:t>
      </w:r>
    </w:p>
    <w:p>
      <w:pPr>
        <w:pStyle w:val="Subsection"/>
      </w:pPr>
      <w:r>
        <w:tab/>
        <w:t>(4)</w:t>
      </w:r>
      <w:r>
        <w:tab/>
        <w:t xml:space="preserve">The chief executive officer may — </w:t>
      </w:r>
    </w:p>
    <w:p>
      <w:pPr>
        <w:pStyle w:val="Indenta"/>
      </w:pPr>
      <w:r>
        <w:tab/>
        <w:t>(a)</w:t>
      </w:r>
      <w:r>
        <w:tab/>
        <w:t>direct that the members of the technical review panel are to be paid remuneration; and</w:t>
      </w:r>
    </w:p>
    <w:p>
      <w:pPr>
        <w:pStyle w:val="Indenta"/>
      </w:pPr>
      <w:r>
        <w:tab/>
        <w:t>(b)</w:t>
      </w:r>
      <w:r>
        <w:tab/>
        <w:t>determine the amount of any such payments on the recommendation of the Public Sector Commissioner.</w:t>
      </w:r>
    </w:p>
    <w:p>
      <w:pPr>
        <w:pStyle w:val="Subsection"/>
      </w:pPr>
      <w:r>
        <w:tab/>
        <w:t>(5)</w:t>
      </w:r>
      <w:r>
        <w:tab/>
        <w:t>The chief executive officer must provide the technical review panel with such support services as it may reasonably require.</w:t>
      </w:r>
    </w:p>
    <w:p>
      <w:pPr>
        <w:pStyle w:val="Footnotesection"/>
      </w:pPr>
      <w:r>
        <w:tab/>
        <w:t>[Regulation 31B inserted: Gazette 30 Nov 2007 p. 5934</w:t>
      </w:r>
      <w:r>
        <w:noBreakHyphen/>
        <w:t xml:space="preserve">5; amended: Gazette </w:t>
      </w:r>
      <w:r>
        <w:rPr>
          <w:szCs w:val="24"/>
        </w:rPr>
        <w:t>11 Feb 2011 p. 506</w:t>
      </w:r>
      <w:r>
        <w:rPr>
          <w:szCs w:val="24"/>
        </w:rPr>
        <w:noBreakHyphen/>
        <w:t>7</w:t>
      </w:r>
      <w:r>
        <w:t>.]</w:t>
      </w:r>
    </w:p>
    <w:p>
      <w:pPr>
        <w:pStyle w:val="Heading5"/>
      </w:pPr>
      <w:bookmarkStart w:id="105" w:name="_Toc12010821"/>
      <w:bookmarkStart w:id="106" w:name="_Toc11761390"/>
      <w:r>
        <w:rPr>
          <w:rStyle w:val="CharSectno"/>
        </w:rPr>
        <w:t>31C</w:t>
      </w:r>
      <w:r>
        <w:t>.</w:t>
      </w:r>
      <w:r>
        <w:tab/>
        <w:t>Procedure for appeals</w:t>
      </w:r>
      <w:bookmarkEnd w:id="105"/>
      <w:bookmarkEnd w:id="106"/>
    </w:p>
    <w:p>
      <w:pPr>
        <w:pStyle w:val="Subsection"/>
      </w:pPr>
      <w:r>
        <w:tab/>
        <w:t>(1)</w:t>
      </w:r>
      <w:r>
        <w:tab/>
        <w:t>An appeal must be commenced by the appellant giving the chief executive officer a notice of appeal.</w:t>
      </w:r>
    </w:p>
    <w:p>
      <w:pPr>
        <w:pStyle w:val="Subsection"/>
      </w:pPr>
      <w:r>
        <w:tab/>
        <w:t>(2)</w:t>
      </w:r>
      <w:r>
        <w:tab/>
        <w:t xml:space="preserve">The notice of appeal must — </w:t>
      </w:r>
    </w:p>
    <w:p>
      <w:pPr>
        <w:pStyle w:val="Indenta"/>
      </w:pPr>
      <w:r>
        <w:tab/>
        <w:t>(a)</w:t>
      </w:r>
      <w:r>
        <w:tab/>
        <w:t>be in writing; and</w:t>
      </w:r>
    </w:p>
    <w:p>
      <w:pPr>
        <w:pStyle w:val="Indenta"/>
      </w:pPr>
      <w:r>
        <w:tab/>
        <w:t>(b)</w:t>
      </w:r>
      <w:r>
        <w:tab/>
        <w:t>set out the grounds of appeal; and</w:t>
      </w:r>
    </w:p>
    <w:p>
      <w:pPr>
        <w:pStyle w:val="Indenta"/>
      </w:pPr>
      <w:r>
        <w:tab/>
        <w:t>(c)</w:t>
      </w:r>
      <w:r>
        <w:tab/>
        <w:t>set out any representations that the appellant wishes to make in support of the appeal.</w:t>
      </w:r>
    </w:p>
    <w:p>
      <w:pPr>
        <w:pStyle w:val="Subsection"/>
      </w:pPr>
      <w:r>
        <w:tab/>
        <w:t>(3)</w:t>
      </w:r>
      <w:r>
        <w:tab/>
        <w:t>The notice of appeal must be given to the chief executive officer within 30 days after the day on which the appellant received written notice of the Director’s determination under section 13M(4) of the Act.</w:t>
      </w:r>
    </w:p>
    <w:p>
      <w:pPr>
        <w:pStyle w:val="Subsection"/>
      </w:pPr>
      <w:r>
        <w:tab/>
        <w:t>(4)</w:t>
      </w:r>
      <w:r>
        <w:tab/>
        <w:t>The chief executive officer must give the technical review panel the notice of appeal as soon as practicable after the technical review panel is convened.</w:t>
      </w:r>
    </w:p>
    <w:p>
      <w:pPr>
        <w:pStyle w:val="Subsection"/>
      </w:pPr>
      <w:r>
        <w:tab/>
        <w:t>(5)</w:t>
      </w:r>
      <w:r>
        <w:tab/>
        <w:t>Subject to subregulation (6), the technical review panel may determine its own procedure.</w:t>
      </w:r>
    </w:p>
    <w:p>
      <w:pPr>
        <w:pStyle w:val="Subsection"/>
      </w:pPr>
      <w:r>
        <w:tab/>
        <w:t>(6)</w:t>
      </w:r>
      <w:r>
        <w:tab/>
        <w:t xml:space="preserve">The technical review panel must give the Director — </w:t>
      </w:r>
    </w:p>
    <w:p>
      <w:pPr>
        <w:pStyle w:val="Indenta"/>
      </w:pPr>
      <w:r>
        <w:tab/>
        <w:t>(a)</w:t>
      </w:r>
      <w:r>
        <w:tab/>
        <w:t>a copy of the notice of appeal; and</w:t>
      </w:r>
    </w:p>
    <w:p>
      <w:pPr>
        <w:pStyle w:val="Indenta"/>
      </w:pPr>
      <w:r>
        <w:tab/>
        <w:t>(b)</w:t>
      </w:r>
      <w:r>
        <w:tab/>
        <w:t>a reasonable opportunity to make submissions in relation to the appeal.</w:t>
      </w:r>
    </w:p>
    <w:p>
      <w:pPr>
        <w:pStyle w:val="Subsection"/>
      </w:pPr>
      <w:r>
        <w:tab/>
        <w:t>(7)</w:t>
      </w:r>
      <w:r>
        <w:tab/>
        <w:t>The technical review panel must complete the review by making a decision under section 13N(3) of the Act within the period specified by the chief executive officer in writing.</w:t>
      </w:r>
    </w:p>
    <w:p>
      <w:pPr>
        <w:pStyle w:val="Subsection"/>
      </w:pPr>
      <w:r>
        <w:tab/>
        <w:t>(8)</w:t>
      </w:r>
      <w:r>
        <w:tab/>
        <w:t>The technical review panel must give the appellant and the Director written notice of its decision made under section 13N(3) of the Act.</w:t>
      </w:r>
    </w:p>
    <w:p>
      <w:pPr>
        <w:pStyle w:val="Footnotesection"/>
      </w:pPr>
      <w:r>
        <w:tab/>
        <w:t>[Regulation 31C inserted: Gazette 30 Nov 2007 p. 5935.]</w:t>
      </w:r>
    </w:p>
    <w:p>
      <w:pPr>
        <w:pStyle w:val="Heading2"/>
      </w:pPr>
      <w:bookmarkStart w:id="107" w:name="_Toc11925536"/>
      <w:bookmarkStart w:id="108" w:name="_Toc11925977"/>
      <w:bookmarkStart w:id="109" w:name="_Toc11926095"/>
      <w:bookmarkStart w:id="110" w:name="_Toc12010822"/>
      <w:bookmarkStart w:id="111" w:name="_Toc11747633"/>
      <w:bookmarkStart w:id="112" w:name="_Toc11755427"/>
      <w:bookmarkStart w:id="113" w:name="_Toc11761391"/>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107"/>
      <w:bookmarkEnd w:id="108"/>
      <w:bookmarkEnd w:id="109"/>
      <w:bookmarkEnd w:id="110"/>
      <w:bookmarkEnd w:id="111"/>
      <w:bookmarkEnd w:id="112"/>
      <w:bookmarkEnd w:id="113"/>
    </w:p>
    <w:p>
      <w:pPr>
        <w:pStyle w:val="Heading5"/>
        <w:spacing w:before="180"/>
      </w:pPr>
      <w:bookmarkStart w:id="114" w:name="_Toc12010823"/>
      <w:bookmarkStart w:id="115" w:name="_Toc11761392"/>
      <w:r>
        <w:rPr>
          <w:rStyle w:val="CharSectno"/>
        </w:rPr>
        <w:t>32</w:t>
      </w:r>
      <w:r>
        <w:t>.</w:t>
      </w:r>
      <w:r>
        <w:tab/>
        <w:t>Consumer’s gas installations, requirements for prescribed (Act s. 13)</w:t>
      </w:r>
      <w:bookmarkEnd w:id="114"/>
      <w:bookmarkEnd w:id="115"/>
    </w:p>
    <w:p>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pPr>
        <w:pStyle w:val="Indenta"/>
        <w:spacing w:before="60"/>
      </w:pPr>
      <w:r>
        <w:tab/>
        <w:t>(a)</w:t>
      </w:r>
      <w:r>
        <w:tab/>
        <w:t>Schedule 6; and</w:t>
      </w:r>
    </w:p>
    <w:p>
      <w:pPr>
        <w:pStyle w:val="Indenta"/>
        <w:spacing w:before="60"/>
        <w:rPr>
          <w:snapToGrid w:val="0"/>
        </w:rPr>
      </w:pPr>
      <w:r>
        <w:tab/>
        <w:t>(b)</w:t>
      </w:r>
      <w:r>
        <w:tab/>
      </w:r>
      <w:r>
        <w:rPr>
          <w:snapToGrid w:val="0"/>
        </w:rPr>
        <w:t>a code or standard set out in Schedule 7 relating to that installation.</w:t>
      </w:r>
    </w:p>
    <w:p>
      <w:pPr>
        <w:pStyle w:val="Subsection"/>
        <w:spacing w:before="120"/>
        <w:rPr>
          <w:snapToGrid w:val="0"/>
        </w:rPr>
      </w:pPr>
      <w:r>
        <w:tab/>
        <w:t>(2)</w:t>
      </w:r>
      <w:r>
        <w:tab/>
      </w:r>
      <w:r>
        <w:rPr>
          <w:snapToGrid w:val="0"/>
        </w:rPr>
        <w:t>To the extent that Schedule 6 modifies, replaces or is inconsistent with the code or standard, Schedule 6 prevails.</w:t>
      </w:r>
    </w:p>
    <w:p>
      <w:pPr>
        <w:pStyle w:val="Subsection"/>
        <w:spacing w:before="120"/>
        <w:rPr>
          <w:snapToGrid w:val="0"/>
        </w:rPr>
      </w:pPr>
      <w:r>
        <w:tab/>
        <w:t>(3)</w:t>
      </w:r>
      <w:r>
        <w:tab/>
      </w:r>
      <w:r>
        <w:rPr>
          <w:snapToGrid w:val="0"/>
        </w:rPr>
        <w:t>The Director may, in relation to a consumer’s gas installation or type of consumer’s gas installation —</w:t>
      </w:r>
    </w:p>
    <w:p>
      <w:pPr>
        <w:pStyle w:val="Indenta"/>
        <w:spacing w:before="50"/>
        <w:rPr>
          <w:snapToGrid w:val="0"/>
        </w:rPr>
      </w:pPr>
      <w:r>
        <w:tab/>
        <w:t>(a)</w:t>
      </w:r>
      <w:r>
        <w:tab/>
      </w:r>
      <w:r>
        <w:rPr>
          <w:snapToGrid w:val="0"/>
        </w:rPr>
        <w:t>vary a requirement prescribed under subregulation (1); or</w:t>
      </w:r>
    </w:p>
    <w:p>
      <w:pPr>
        <w:pStyle w:val="Indenta"/>
        <w:spacing w:before="50"/>
      </w:pPr>
      <w:r>
        <w:tab/>
        <w:t>(b)</w:t>
      </w:r>
      <w:r>
        <w:tab/>
      </w:r>
      <w:r>
        <w:rPr>
          <w:snapToGrid w:val="0"/>
        </w:rPr>
        <w:t>specify that a requirement prescribed under subregulation (1) does not apply; or</w:t>
      </w:r>
    </w:p>
    <w:p>
      <w:pPr>
        <w:pStyle w:val="Indenta"/>
        <w:spacing w:before="50"/>
        <w:rPr>
          <w:snapToGrid w:val="0"/>
        </w:rPr>
      </w:pPr>
      <w:r>
        <w:tab/>
        <w:t>(c)</w:t>
      </w:r>
      <w:r>
        <w:tab/>
      </w:r>
      <w:r>
        <w:rPr>
          <w:snapToGrid w:val="0"/>
        </w:rPr>
        <w:t>specify a requirement in addition to the requirements prescribed under subregulation (1).</w:t>
      </w:r>
    </w:p>
    <w:p>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pPr>
        <w:pStyle w:val="Subsection"/>
        <w:spacing w:before="120"/>
      </w:pPr>
      <w:r>
        <w:tab/>
        <w:t>(5)</w:t>
      </w:r>
      <w:r>
        <w:tab/>
        <w:t>In subregulation (4), the reference to an amendment to Schedule 7 includes a reference to any amendments to these regulations consequential upon the amendment.</w:t>
      </w:r>
    </w:p>
    <w:p>
      <w:pPr>
        <w:pStyle w:val="Footnotesection"/>
        <w:spacing w:before="80"/>
        <w:ind w:left="890" w:hanging="890"/>
      </w:pPr>
      <w:r>
        <w:tab/>
        <w:t>[Regulation 32 amended: Gazette 21 Apr 2006 p. 1576; 26 Nov 2010 p. 5930-1.]</w:t>
      </w:r>
    </w:p>
    <w:p>
      <w:pPr>
        <w:pStyle w:val="Heading5"/>
      </w:pPr>
      <w:bookmarkStart w:id="116" w:name="_Toc12010824"/>
      <w:bookmarkStart w:id="117" w:name="_Toc11761393"/>
      <w:r>
        <w:rPr>
          <w:rStyle w:val="CharSectno"/>
        </w:rPr>
        <w:t>32A</w:t>
      </w:r>
      <w:r>
        <w:t>.</w:t>
      </w:r>
      <w:r>
        <w:tab/>
        <w:t>Gas installations outside consumer’s land, plan required for</w:t>
      </w:r>
      <w:bookmarkEnd w:id="116"/>
      <w:bookmarkEnd w:id="117"/>
    </w:p>
    <w:p>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pPr>
        <w:pStyle w:val="Subsection"/>
      </w:pPr>
      <w:r>
        <w:tab/>
        <w:t>(2)</w:t>
      </w:r>
      <w:r>
        <w:tab/>
        <w:t>The Director may approve a plan or, if the Director considers that a plan submitted to the Director for approval is inadequate, the Director may direct that the plan be amended before it is implemented.</w:t>
      </w:r>
    </w:p>
    <w:p>
      <w:pPr>
        <w:pStyle w:val="Subsection"/>
      </w:pPr>
      <w:r>
        <w:tab/>
        <w:t>(3)</w:t>
      </w:r>
      <w:r>
        <w:tab/>
        <w:t>If the Director directs that a plan be amended, the plan is to be amended and resubmitted for approval before work on that part of the installation commences.</w:t>
      </w:r>
    </w:p>
    <w:p>
      <w:pPr>
        <w:pStyle w:val="Subsection"/>
      </w:pPr>
      <w:r>
        <w:tab/>
        <w:t>(4)</w:t>
      </w:r>
      <w:r>
        <w:tab/>
        <w:t>The part of the consumer’s gas installation that is subject to a plan must be constructed, operated and maintained in accordance with the plan approved by the Director.</w:t>
      </w:r>
    </w:p>
    <w:p>
      <w:pPr>
        <w:pStyle w:val="Footnotesection"/>
      </w:pPr>
      <w:r>
        <w:tab/>
        <w:t>[Regulation 32A inserted: Gazette 21 Apr 2006 p. 1576.]</w:t>
      </w:r>
    </w:p>
    <w:p>
      <w:pPr>
        <w:pStyle w:val="Heading5"/>
      </w:pPr>
      <w:bookmarkStart w:id="118" w:name="_Toc12010825"/>
      <w:bookmarkStart w:id="119" w:name="_Toc11761394"/>
      <w:r>
        <w:rPr>
          <w:rStyle w:val="CharSectno"/>
        </w:rPr>
        <w:t>33</w:t>
      </w:r>
      <w:r>
        <w:rPr>
          <w:snapToGrid w:val="0"/>
        </w:rPr>
        <w:t>.</w:t>
      </w:r>
      <w:r>
        <w:rPr>
          <w:snapToGrid w:val="0"/>
        </w:rPr>
        <w:tab/>
        <w:t>Terms used in codes and standards</w:t>
      </w:r>
      <w:bookmarkEnd w:id="118"/>
      <w:bookmarkEnd w:id="119"/>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 xml:space="preserve">In </w:t>
      </w:r>
      <w:r>
        <w:t>AS/NZS 5601</w:t>
      </w:r>
      <w:r>
        <w:rPr>
          <w:snapToGrid w:val="0"/>
        </w:rPr>
        <w:t> —</w:t>
      </w:r>
    </w:p>
    <w:p>
      <w:pPr>
        <w:pStyle w:val="Indenta"/>
      </w:pPr>
      <w:r>
        <w:tab/>
        <w:t>(a)</w:t>
      </w:r>
      <w:r>
        <w:tab/>
      </w:r>
      <w:r>
        <w:rPr>
          <w:snapToGrid w:val="0"/>
        </w:rPr>
        <w:t>a reference to a “consumer billing meter” is to be read as a reference to a master meter; and</w:t>
      </w:r>
    </w:p>
    <w:p>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Gazette 19 Dec 2000 p. 7278; 31 Jan 2003 p. 280; 21 Apr 2006 p. 1576; 18 Jan 2011 p. 147.]</w:t>
      </w:r>
    </w:p>
    <w:p>
      <w:pPr>
        <w:pStyle w:val="Heading2"/>
      </w:pPr>
      <w:bookmarkStart w:id="120" w:name="_Toc11925540"/>
      <w:bookmarkStart w:id="121" w:name="_Toc11925981"/>
      <w:bookmarkStart w:id="122" w:name="_Toc11926099"/>
      <w:bookmarkStart w:id="123" w:name="_Toc12010826"/>
      <w:bookmarkStart w:id="124" w:name="_Toc11747637"/>
      <w:bookmarkStart w:id="125" w:name="_Toc11755431"/>
      <w:bookmarkStart w:id="126" w:name="_Toc11761395"/>
      <w:r>
        <w:rPr>
          <w:rStyle w:val="CharPartNo"/>
        </w:rPr>
        <w:t>Part 6</w:t>
      </w:r>
      <w:r>
        <w:rPr>
          <w:rStyle w:val="CharDivNo"/>
        </w:rPr>
        <w:t xml:space="preserve"> </w:t>
      </w:r>
      <w:r>
        <w:t>—</w:t>
      </w:r>
      <w:r>
        <w:rPr>
          <w:rStyle w:val="CharDivText"/>
        </w:rPr>
        <w:t xml:space="preserve"> </w:t>
      </w:r>
      <w:r>
        <w:rPr>
          <w:rStyle w:val="CharPartText"/>
        </w:rPr>
        <w:t>Miscellaneous</w:t>
      </w:r>
      <w:bookmarkEnd w:id="120"/>
      <w:bookmarkEnd w:id="121"/>
      <w:bookmarkEnd w:id="122"/>
      <w:bookmarkEnd w:id="123"/>
      <w:bookmarkEnd w:id="124"/>
      <w:bookmarkEnd w:id="125"/>
      <w:bookmarkEnd w:id="126"/>
    </w:p>
    <w:p>
      <w:pPr>
        <w:pStyle w:val="Heading5"/>
      </w:pPr>
      <w:bookmarkStart w:id="127" w:name="_Toc12010827"/>
      <w:bookmarkStart w:id="128" w:name="_Toc11761396"/>
      <w:r>
        <w:rPr>
          <w:rStyle w:val="CharSectno"/>
        </w:rPr>
        <w:t>34</w:t>
      </w:r>
      <w:r>
        <w:t>.</w:t>
      </w:r>
      <w:r>
        <w:tab/>
        <w:t>Records about gas fitters, employers to keep</w:t>
      </w:r>
      <w:bookmarkEnd w:id="127"/>
      <w:bookmarkEnd w:id="128"/>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129" w:name="_Toc12010828"/>
      <w:bookmarkStart w:id="130" w:name="_Toc11761397"/>
      <w:r>
        <w:rPr>
          <w:rStyle w:val="CharSectno"/>
        </w:rPr>
        <w:t>35</w:t>
      </w:r>
      <w:r>
        <w:t>.</w:t>
      </w:r>
      <w:r>
        <w:tab/>
        <w:t>Gas suppliers’ duties after gasfitting work on installation that only has Type A gas appliance</w:t>
      </w:r>
      <w:bookmarkEnd w:id="129"/>
      <w:bookmarkEnd w:id="130"/>
    </w:p>
    <w:p>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Gazette 19 Dec 2000 p. 7278; 30 Nov 2007 p. 5936.]</w:t>
      </w:r>
    </w:p>
    <w:p>
      <w:pPr>
        <w:pStyle w:val="Heading5"/>
      </w:pPr>
      <w:bookmarkStart w:id="131" w:name="_Toc12010829"/>
      <w:bookmarkStart w:id="132" w:name="_Toc11761398"/>
      <w:r>
        <w:rPr>
          <w:rStyle w:val="CharSectno"/>
        </w:rPr>
        <w:t>35A</w:t>
      </w:r>
      <w:r>
        <w:t>.</w:t>
      </w:r>
      <w:r>
        <w:tab/>
        <w:t>Gas suppliers’ duties after gasfitting work on installation that includes Type B appliance</w:t>
      </w:r>
      <w:bookmarkEnd w:id="131"/>
      <w:bookmarkEnd w:id="132"/>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Gazette 19 Dec 2000 p. 7278</w:t>
      </w:r>
      <w:r>
        <w:noBreakHyphen/>
        <w:t>9.]</w:t>
      </w:r>
    </w:p>
    <w:p>
      <w:pPr>
        <w:pStyle w:val="Heading5"/>
      </w:pPr>
      <w:bookmarkStart w:id="133" w:name="_Toc12010830"/>
      <w:bookmarkStart w:id="134" w:name="_Toc11761399"/>
      <w:r>
        <w:rPr>
          <w:rStyle w:val="CharSectno"/>
        </w:rPr>
        <w:t>35B</w:t>
      </w:r>
      <w:r>
        <w:t>.</w:t>
      </w:r>
      <w:r>
        <w:tab/>
        <w:t>Gas suppliers’ duties as to Type B appliance in existing gas installation</w:t>
      </w:r>
      <w:bookmarkEnd w:id="133"/>
      <w:bookmarkEnd w:id="134"/>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 and</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pPr>
      <w:r>
        <w:tab/>
        <w:t>(3)</w:t>
      </w:r>
      <w:r>
        <w:tab/>
        <w:t>To avoid doubt, the gas supplier is not prevented by this regulation from imposing other requirements consistent with the Act and these regulations before it permits the supply of gas.</w:t>
      </w:r>
    </w:p>
    <w:p>
      <w:pPr>
        <w:pStyle w:val="Footnotesection"/>
      </w:pPr>
      <w:r>
        <w:tab/>
        <w:t>[Regulation 35B inserted: Gazette 19 Dec 2000 p. 7279.]</w:t>
      </w:r>
    </w:p>
    <w:p>
      <w:pPr>
        <w:pStyle w:val="Heading5"/>
      </w:pPr>
      <w:bookmarkStart w:id="135" w:name="_Toc12010831"/>
      <w:bookmarkStart w:id="136" w:name="_Toc11761400"/>
      <w:r>
        <w:rPr>
          <w:rStyle w:val="CharSectno"/>
        </w:rPr>
        <w:t>36</w:t>
      </w:r>
      <w:r>
        <w:t>.</w:t>
      </w:r>
      <w:r>
        <w:tab/>
        <w:t>Consumers’ duties as to gas installations</w:t>
      </w:r>
      <w:bookmarkEnd w:id="135"/>
      <w:bookmarkEnd w:id="136"/>
    </w:p>
    <w:p>
      <w:pPr>
        <w:pStyle w:val="Subsection"/>
      </w:pPr>
      <w:r>
        <w:tab/>
        <w:t>(1)</w:t>
      </w:r>
      <w:r>
        <w:tab/>
        <w:t>The consumer for whom a Type B appliance is installed must ensure that the appliance is not used until an inspector has issued a certificate of compliance in relation to the appliance under regulation 22A.</w:t>
      </w:r>
    </w:p>
    <w:p>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this subregulation.</w:t>
      </w:r>
    </w:p>
    <w:p>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in the case of a vehicle mobile engine that uses LPG, AS/NZS 1425; or</w:t>
      </w:r>
    </w:p>
    <w:p>
      <w:pPr>
        <w:pStyle w:val="Indenta"/>
      </w:pPr>
      <w:r>
        <w:tab/>
        <w:t>(b)</w:t>
      </w:r>
      <w:r>
        <w:tab/>
        <w:t>in the case of a vehicle mobile engine that uses compressed natural gas, AS 2739; or</w:t>
      </w:r>
    </w:p>
    <w:p>
      <w:pPr>
        <w:pStyle w:val="Indenta"/>
      </w:pPr>
      <w:r>
        <w:tab/>
        <w:t>(c)</w:t>
      </w:r>
      <w:r>
        <w:tab/>
        <w:t>in the case of a marine mobile engine that uses LPG, AS 4732; or</w:t>
      </w:r>
    </w:p>
    <w:p>
      <w:pPr>
        <w:pStyle w:val="Indenta"/>
      </w:pPr>
      <w:r>
        <w:tab/>
        <w:t>(d)</w:t>
      </w:r>
      <w:r>
        <w:tab/>
        <w:t>in the case of a forklift mobile engine that uses compressed natural gas or LPG, AS 4983.</w:t>
      </w:r>
    </w:p>
    <w:p>
      <w:pPr>
        <w:pStyle w:val="Subsection"/>
      </w:pPr>
      <w:r>
        <w:tab/>
        <w:t>(4A)</w:t>
      </w:r>
      <w:r>
        <w:tab/>
        <w:t>If a consumer’s gas installation includes a Type B appliance, the consumer must ensure that the appliance is maintained and serviced by a registered gas fitter in accordance with AS 3814.</w:t>
      </w:r>
    </w:p>
    <w:p>
      <w:pPr>
        <w:pStyle w:val="Subsection"/>
      </w:pPr>
      <w:r>
        <w:tab/>
        <w:t>(4B)</w:t>
      </w:r>
      <w:r>
        <w:tab/>
        <w:t>Subregulation (4A) does not apply to a gas installation to which subregulation (3) applies.</w:t>
      </w:r>
    </w:p>
    <w:p>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spacing w:before="100"/>
      </w:pPr>
      <w:r>
        <w:tab/>
        <w:t>(6)</w:t>
      </w:r>
      <w:r>
        <w:tab/>
        <w:t>A consumer required by subregulation (2), (3) or (4A)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spacing w:before="120"/>
      </w:pPr>
      <w:r>
        <w:tab/>
        <w:t>(8)</w:t>
      </w:r>
      <w:r>
        <w:tab/>
        <w:t>A record is not required by subregulation (6) to be kept of a service carried out more than 2 years previously.</w:t>
      </w:r>
    </w:p>
    <w:p>
      <w:pPr>
        <w:pStyle w:val="Footnotesection"/>
      </w:pPr>
      <w:r>
        <w:tab/>
        <w:t>[Regulation 36 amended: Gazette 19 Dec 2000 p. 7279</w:t>
      </w:r>
      <w:r>
        <w:noBreakHyphen/>
        <w:t>80; 21 Apr 2006 p. 1576</w:t>
      </w:r>
      <w:r>
        <w:noBreakHyphen/>
        <w:t>7; 26 Nov 2010 p. 5931.]</w:t>
      </w:r>
    </w:p>
    <w:p>
      <w:pPr>
        <w:pStyle w:val="Heading5"/>
      </w:pPr>
      <w:bookmarkStart w:id="137" w:name="_Toc12010832"/>
      <w:bookmarkStart w:id="138" w:name="_Toc11761401"/>
      <w:r>
        <w:rPr>
          <w:rStyle w:val="CharSectno"/>
        </w:rPr>
        <w:t>37</w:t>
      </w:r>
      <w:r>
        <w:t>.</w:t>
      </w:r>
      <w:r>
        <w:tab/>
        <w:t>Service apparatus not to be installed etc. without owner’s authority</w:t>
      </w:r>
      <w:bookmarkEnd w:id="137"/>
      <w:bookmarkEnd w:id="138"/>
    </w:p>
    <w:p>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spacing w:before="120"/>
      </w:pPr>
      <w:r>
        <w:tab/>
        <w:t>(2)</w:t>
      </w:r>
      <w:r>
        <w:tab/>
        <w:t>In subregulation (1) —</w:t>
      </w:r>
    </w:p>
    <w:p>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139" w:name="_Toc12010833"/>
      <w:bookmarkStart w:id="140" w:name="_Toc11761402"/>
      <w:r>
        <w:rPr>
          <w:rStyle w:val="CharSectno"/>
        </w:rPr>
        <w:t>38</w:t>
      </w:r>
      <w:r>
        <w:t>.</w:t>
      </w:r>
      <w:r>
        <w:tab/>
        <w:t>Misleading statements etc. by gas fitters etc.</w:t>
      </w:r>
      <w:bookmarkEnd w:id="139"/>
      <w:bookmarkEnd w:id="140"/>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spacing w:before="60"/>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spacing w:before="190"/>
      </w:pPr>
      <w:bookmarkStart w:id="141" w:name="_Toc12010834"/>
      <w:bookmarkStart w:id="142" w:name="_Toc11761403"/>
      <w:r>
        <w:rPr>
          <w:rStyle w:val="CharSectno"/>
        </w:rPr>
        <w:t>39</w:t>
      </w:r>
      <w:r>
        <w:t>.</w:t>
      </w:r>
      <w:r>
        <w:tab/>
        <w:t>Improper use of marks signifying Director’s approval</w:t>
      </w:r>
      <w:bookmarkEnd w:id="141"/>
      <w:bookmarkEnd w:id="142"/>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spacing w:before="190"/>
      </w:pPr>
      <w:bookmarkStart w:id="143" w:name="_Toc12010835"/>
      <w:bookmarkStart w:id="144" w:name="_Toc11761404"/>
      <w:r>
        <w:rPr>
          <w:rStyle w:val="CharSectno"/>
        </w:rPr>
        <w:t>40</w:t>
      </w:r>
      <w:r>
        <w:t>.</w:t>
      </w:r>
      <w:r>
        <w:tab/>
        <w:t>Operators of appliances etc., duties of</w:t>
      </w:r>
      <w:bookmarkEnd w:id="143"/>
      <w:bookmarkEnd w:id="144"/>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spacing w:before="190"/>
      </w:pPr>
      <w:bookmarkStart w:id="145" w:name="_Toc12010836"/>
      <w:bookmarkStart w:id="146" w:name="_Toc11761405"/>
      <w:r>
        <w:rPr>
          <w:rStyle w:val="CharSectno"/>
        </w:rPr>
        <w:t>41</w:t>
      </w:r>
      <w:r>
        <w:t>.</w:t>
      </w:r>
      <w:r>
        <w:tab/>
        <w:t>Boats left unattended, duties of master etc.</w:t>
      </w:r>
      <w:bookmarkEnd w:id="145"/>
      <w:bookmarkEnd w:id="146"/>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spacing w:before="190"/>
      </w:pPr>
      <w:bookmarkStart w:id="147" w:name="_Toc12010837"/>
      <w:bookmarkStart w:id="148" w:name="_Toc11761406"/>
      <w:r>
        <w:rPr>
          <w:rStyle w:val="CharSectno"/>
        </w:rPr>
        <w:t>42</w:t>
      </w:r>
      <w:r>
        <w:t>.</w:t>
      </w:r>
      <w:r>
        <w:tab/>
        <w:t>Certain incidents, duty to report</w:t>
      </w:r>
      <w:bookmarkEnd w:id="147"/>
      <w:bookmarkEnd w:id="148"/>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spacing w:before="60"/>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keepNext/>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rStyle w:val="CharDefText"/>
        </w:rPr>
        <w:t>incident</w:t>
      </w:r>
      <w:r>
        <w:t xml:space="preserve"> means an incident that involves the sudden discharge of gas or that otherwise relates to gas.</w:t>
      </w:r>
    </w:p>
    <w:p>
      <w:pPr>
        <w:pStyle w:val="Heading5"/>
      </w:pPr>
      <w:bookmarkStart w:id="149" w:name="_Toc12010838"/>
      <w:bookmarkStart w:id="150" w:name="_Toc11761407"/>
      <w:r>
        <w:rPr>
          <w:rStyle w:val="CharSectno"/>
        </w:rPr>
        <w:t>42A</w:t>
      </w:r>
      <w:r>
        <w:t>.</w:t>
      </w:r>
      <w:r>
        <w:tab/>
        <w:t>Unsafe gas installations, gas fitters to report</w:t>
      </w:r>
      <w:bookmarkEnd w:id="149"/>
      <w:bookmarkEnd w:id="150"/>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Gazette 19 Dec 2000 p. 7280.]</w:t>
      </w:r>
    </w:p>
    <w:p>
      <w:pPr>
        <w:pStyle w:val="Heading5"/>
      </w:pPr>
      <w:bookmarkStart w:id="151" w:name="_Toc12010839"/>
      <w:bookmarkStart w:id="152" w:name="_Toc11761408"/>
      <w:r>
        <w:rPr>
          <w:rStyle w:val="CharSectno"/>
        </w:rPr>
        <w:t>42B</w:t>
      </w:r>
      <w:r>
        <w:t>.</w:t>
      </w:r>
      <w:r>
        <w:tab/>
        <w:t>Type A gas appliances prescribed (Act s. 4)</w:t>
      </w:r>
      <w:bookmarkEnd w:id="151"/>
      <w:bookmarkEnd w:id="152"/>
    </w:p>
    <w:p>
      <w:pPr>
        <w:pStyle w:val="Subsection"/>
      </w:pPr>
      <w:r>
        <w:tab/>
        <w:t>(1)</w:t>
      </w:r>
      <w:r>
        <w:tab/>
        <w:t xml:space="preserve">In this regulation — </w:t>
      </w:r>
    </w:p>
    <w:p>
      <w:pPr>
        <w:pStyle w:val="Defstart"/>
      </w:pPr>
      <w:r>
        <w:tab/>
      </w:r>
      <w:r>
        <w:rPr>
          <w:rStyle w:val="CharDefText"/>
        </w:rPr>
        <w:t>commercial</w:t>
      </w:r>
      <w:r>
        <w:t xml:space="preserve"> means designed and manufactured for commercial use, whether or not so used;</w:t>
      </w:r>
    </w:p>
    <w:p>
      <w:pPr>
        <w:pStyle w:val="Defstart"/>
      </w:pPr>
      <w:r>
        <w:tab/>
      </w:r>
      <w:r>
        <w:rPr>
          <w:rStyle w:val="CharDefText"/>
        </w:rPr>
        <w:t>domestic</w:t>
      </w:r>
      <w:r>
        <w:t xml:space="preserve"> means designed and manufactured for domestic use, whether or not so used.</w:t>
      </w:r>
    </w:p>
    <w:p>
      <w:pPr>
        <w:pStyle w:val="Subsection"/>
      </w:pPr>
      <w:r>
        <w:tab/>
        <w:t>(2)</w:t>
      </w:r>
      <w:r>
        <w:tab/>
        <w:t xml:space="preserve">For the purposes of the definition of </w:t>
      </w:r>
      <w:r>
        <w:rPr>
          <w:b/>
          <w:bCs/>
          <w:i/>
          <w:iCs/>
        </w:rPr>
        <w:t>Type A gas appliance</w:t>
      </w:r>
      <w:r>
        <w:t xml:space="preserve"> in section 4 of the Act, gas appliances of the class or type specified in the Table to this regulation are prescribed.</w:t>
      </w:r>
    </w:p>
    <w:p>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tc>
          <w:tcPr>
            <w:tcW w:w="5986" w:type="dxa"/>
          </w:tcPr>
          <w:p>
            <w:pPr>
              <w:pStyle w:val="TableNAm"/>
              <w:spacing w:before="60" w:after="60"/>
              <w:ind w:left="612" w:hanging="612"/>
            </w:pPr>
            <w:r>
              <w:t>1.</w:t>
            </w:r>
            <w:r>
              <w:tab/>
              <w:t>Domestic cooking appliances</w:t>
            </w:r>
          </w:p>
        </w:tc>
      </w:tr>
      <w:tr>
        <w:tc>
          <w:tcPr>
            <w:tcW w:w="5986" w:type="dxa"/>
          </w:tcPr>
          <w:p>
            <w:pPr>
              <w:pStyle w:val="TableNAm"/>
              <w:spacing w:before="60" w:after="60"/>
              <w:ind w:left="612" w:hanging="612"/>
            </w:pPr>
            <w:r>
              <w:t>2.</w:t>
            </w:r>
            <w:r>
              <w:tab/>
              <w:t>Domestic space heating appliances having a maximum hourly input rate of 150 MJ</w:t>
            </w:r>
          </w:p>
        </w:tc>
      </w:tr>
      <w:tr>
        <w:tc>
          <w:tcPr>
            <w:tcW w:w="5986" w:type="dxa"/>
          </w:tcPr>
          <w:p>
            <w:pPr>
              <w:pStyle w:val="TableNAm"/>
              <w:spacing w:before="60" w:after="60"/>
              <w:ind w:left="612" w:hanging="612"/>
            </w:pPr>
            <w:r>
              <w:t>3.</w:t>
            </w:r>
            <w:r>
              <w:tab/>
              <w:t>Domestic refrigerators</w:t>
            </w:r>
          </w:p>
        </w:tc>
      </w:tr>
      <w:tr>
        <w:tc>
          <w:tcPr>
            <w:tcW w:w="5986" w:type="dxa"/>
          </w:tcPr>
          <w:p>
            <w:pPr>
              <w:pStyle w:val="TableNAm"/>
              <w:spacing w:before="60" w:after="60"/>
              <w:ind w:left="612" w:hanging="612"/>
            </w:pPr>
            <w:r>
              <w:t>4.</w:t>
            </w:r>
            <w:r>
              <w:tab/>
              <w:t>Domestic outdoor barbecue grillers</w:t>
            </w:r>
          </w:p>
        </w:tc>
      </w:tr>
      <w:tr>
        <w:tc>
          <w:tcPr>
            <w:tcW w:w="5986" w:type="dxa"/>
          </w:tcPr>
          <w:p>
            <w:pPr>
              <w:pStyle w:val="TableNAm"/>
              <w:spacing w:before="60" w:after="60"/>
              <w:ind w:left="612" w:hanging="612"/>
            </w:pPr>
            <w:r>
              <w:t>5.</w:t>
            </w:r>
            <w:r>
              <w:tab/>
              <w:t>Water heaters</w:t>
            </w:r>
          </w:p>
        </w:tc>
      </w:tr>
      <w:tr>
        <w:tc>
          <w:tcPr>
            <w:tcW w:w="5986" w:type="dxa"/>
          </w:tcPr>
          <w:p>
            <w:pPr>
              <w:pStyle w:val="TableNAm"/>
              <w:spacing w:before="60" w:after="60"/>
              <w:ind w:left="612" w:hanging="612"/>
            </w:pPr>
            <w:r>
              <w:t>6.</w:t>
            </w:r>
            <w:r>
              <w:tab/>
              <w:t>Swimming pool heaters</w:t>
            </w:r>
          </w:p>
        </w:tc>
      </w:tr>
      <w:tr>
        <w:tc>
          <w:tcPr>
            <w:tcW w:w="5986" w:type="dxa"/>
          </w:tcPr>
          <w:p>
            <w:pPr>
              <w:pStyle w:val="TableNAm"/>
              <w:spacing w:before="60" w:after="60"/>
              <w:ind w:left="612" w:hanging="612"/>
            </w:pPr>
            <w:r>
              <w:t>7.</w:t>
            </w:r>
            <w:r>
              <w:tab/>
              <w:t>Commercial catering equipment — boiling tables, open and closed top</w:t>
            </w:r>
          </w:p>
        </w:tc>
      </w:tr>
      <w:tr>
        <w:tc>
          <w:tcPr>
            <w:tcW w:w="5986" w:type="dxa"/>
          </w:tcPr>
          <w:p>
            <w:pPr>
              <w:pStyle w:val="TableNAm"/>
              <w:spacing w:before="60" w:after="60"/>
              <w:ind w:left="612" w:hanging="612"/>
            </w:pPr>
            <w:r>
              <w:t>8.</w:t>
            </w:r>
            <w:r>
              <w:tab/>
              <w:t>Catalytic spaceheaters having a maximum hourly input rate of 20 MJ</w:t>
            </w:r>
          </w:p>
        </w:tc>
      </w:tr>
      <w:tr>
        <w:tc>
          <w:tcPr>
            <w:tcW w:w="5986" w:type="dxa"/>
          </w:tcPr>
          <w:p>
            <w:pPr>
              <w:pStyle w:val="TableNAm"/>
              <w:spacing w:before="60" w:after="60"/>
              <w:ind w:left="612" w:hanging="612"/>
            </w:pPr>
            <w:r>
              <w:t>9.</w:t>
            </w:r>
            <w:r>
              <w:tab/>
              <w:t>Domestic decorative gas log fires having a maximum hourly input rate of 72 MJ</w:t>
            </w:r>
          </w:p>
        </w:tc>
      </w:tr>
      <w:tr>
        <w:tc>
          <w:tcPr>
            <w:tcW w:w="5986" w:type="dxa"/>
          </w:tcPr>
          <w:p>
            <w:pPr>
              <w:pStyle w:val="TableNAm"/>
              <w:spacing w:before="60" w:after="60"/>
              <w:ind w:left="612" w:hanging="612"/>
            </w:pPr>
            <w:r>
              <w:t>10.</w:t>
            </w:r>
            <w:r>
              <w:tab/>
              <w:t>Incinerating toilets</w:t>
            </w:r>
          </w:p>
        </w:tc>
      </w:tr>
      <w:tr>
        <w:tc>
          <w:tcPr>
            <w:tcW w:w="5986" w:type="dxa"/>
          </w:tcPr>
          <w:p>
            <w:pPr>
              <w:pStyle w:val="TableNAm"/>
              <w:keepNext/>
              <w:spacing w:before="60" w:after="60"/>
              <w:ind w:left="612" w:hanging="612"/>
            </w:pPr>
            <w:r>
              <w:t>11.</w:t>
            </w:r>
            <w:r>
              <w:tab/>
              <w:t>Cooking, lighting or heating appliances that use LPG and are designed for outdoor use</w:t>
            </w:r>
          </w:p>
        </w:tc>
      </w:tr>
      <w:tr>
        <w:tc>
          <w:tcPr>
            <w:tcW w:w="5986" w:type="dxa"/>
          </w:tcPr>
          <w:p>
            <w:pPr>
              <w:pStyle w:val="TableNAm"/>
              <w:spacing w:before="60" w:after="60"/>
              <w:ind w:left="612" w:hanging="612"/>
            </w:pPr>
            <w:r>
              <w:t>12.</w:t>
            </w:r>
            <w:r>
              <w:tab/>
              <w:t>Commercial catering equipment — salamanders and grillers</w:t>
            </w:r>
          </w:p>
        </w:tc>
      </w:tr>
      <w:tr>
        <w:tc>
          <w:tcPr>
            <w:tcW w:w="5986" w:type="dxa"/>
          </w:tcPr>
          <w:p>
            <w:pPr>
              <w:pStyle w:val="TableNAm"/>
              <w:spacing w:before="60" w:after="60"/>
              <w:ind w:left="612" w:hanging="612"/>
            </w:pPr>
            <w:r>
              <w:t>13.</w:t>
            </w:r>
            <w:r>
              <w:tab/>
              <w:t>Commercial catering equipment — solid griller plates, griddles</w:t>
            </w:r>
          </w:p>
        </w:tc>
      </w:tr>
      <w:tr>
        <w:tc>
          <w:tcPr>
            <w:tcW w:w="5986" w:type="dxa"/>
          </w:tcPr>
          <w:p>
            <w:pPr>
              <w:pStyle w:val="TableNAm"/>
              <w:spacing w:before="60" w:after="60"/>
            </w:pPr>
            <w:r>
              <w:t>14.</w:t>
            </w:r>
            <w:r>
              <w:tab/>
              <w:t>Commercial catering equipment — barbecue grillers</w:t>
            </w:r>
          </w:p>
        </w:tc>
      </w:tr>
      <w:tr>
        <w:tc>
          <w:tcPr>
            <w:tcW w:w="5986" w:type="dxa"/>
          </w:tcPr>
          <w:p>
            <w:pPr>
              <w:pStyle w:val="TableNAm"/>
              <w:spacing w:before="60" w:after="60"/>
              <w:ind w:left="612" w:hanging="612"/>
            </w:pPr>
            <w:r>
              <w:t>15.</w:t>
            </w:r>
            <w:r>
              <w:tab/>
              <w:t>Commercial catering equipment — ovens</w:t>
            </w:r>
          </w:p>
        </w:tc>
      </w:tr>
      <w:tr>
        <w:tc>
          <w:tcPr>
            <w:tcW w:w="5986" w:type="dxa"/>
          </w:tcPr>
          <w:p>
            <w:pPr>
              <w:pStyle w:val="TableNAm"/>
              <w:keepNext/>
              <w:keepLines/>
              <w:spacing w:before="60" w:after="60"/>
              <w:ind w:left="612" w:hanging="612"/>
            </w:pPr>
            <w:r>
              <w:t>16.</w:t>
            </w:r>
            <w:r>
              <w:tab/>
              <w:t>Commercial catering equipment — boiling water units</w:t>
            </w:r>
          </w:p>
        </w:tc>
      </w:tr>
      <w:tr>
        <w:tc>
          <w:tcPr>
            <w:tcW w:w="5986" w:type="dxa"/>
          </w:tcPr>
          <w:p>
            <w:pPr>
              <w:pStyle w:val="TableNAm"/>
              <w:spacing w:before="60" w:after="60"/>
              <w:ind w:left="612" w:hanging="612"/>
            </w:pPr>
            <w:r>
              <w:t>17.</w:t>
            </w:r>
            <w:r>
              <w:tab/>
              <w:t>Commercial catering equipment — stock pots</w:t>
            </w:r>
          </w:p>
        </w:tc>
      </w:tr>
      <w:tr>
        <w:tc>
          <w:tcPr>
            <w:tcW w:w="5986" w:type="dxa"/>
          </w:tcPr>
          <w:p>
            <w:pPr>
              <w:pStyle w:val="TableNAm"/>
              <w:spacing w:before="60" w:after="60"/>
              <w:ind w:left="612" w:hanging="612"/>
            </w:pPr>
            <w:r>
              <w:t>18.</w:t>
            </w:r>
            <w:r>
              <w:tab/>
              <w:t>Commercial catering equipment — atmospheric steamers</w:t>
            </w:r>
          </w:p>
        </w:tc>
      </w:tr>
      <w:tr>
        <w:tc>
          <w:tcPr>
            <w:tcW w:w="5986" w:type="dxa"/>
          </w:tcPr>
          <w:p>
            <w:pPr>
              <w:pStyle w:val="TableNAm"/>
              <w:spacing w:before="60" w:after="60"/>
              <w:ind w:left="612" w:hanging="612"/>
            </w:pPr>
            <w:r>
              <w:t>19.</w:t>
            </w:r>
            <w:r>
              <w:tab/>
              <w:t>Commercial catering equipment — fryers</w:t>
            </w:r>
          </w:p>
        </w:tc>
      </w:tr>
      <w:tr>
        <w:tc>
          <w:tcPr>
            <w:tcW w:w="5986" w:type="dxa"/>
          </w:tcPr>
          <w:p>
            <w:pPr>
              <w:pStyle w:val="TableNAm"/>
              <w:spacing w:before="60" w:after="60"/>
              <w:ind w:left="612" w:hanging="612"/>
            </w:pPr>
            <w:r>
              <w:t>20.</w:t>
            </w:r>
            <w:r>
              <w:tab/>
              <w:t>Commercial catering equipment — food warmers, Bain</w:t>
            </w:r>
            <w:r>
              <w:noBreakHyphen/>
              <w:t>Marie</w:t>
            </w:r>
          </w:p>
        </w:tc>
      </w:tr>
      <w:tr>
        <w:tc>
          <w:tcPr>
            <w:tcW w:w="5986" w:type="dxa"/>
          </w:tcPr>
          <w:p>
            <w:pPr>
              <w:pStyle w:val="TableNAm"/>
              <w:spacing w:before="60" w:after="60"/>
            </w:pPr>
            <w:r>
              <w:t>21.</w:t>
            </w:r>
            <w:r>
              <w:tab/>
              <w:t>Commercial catering equipment — convection ovens</w:t>
            </w:r>
          </w:p>
        </w:tc>
      </w:tr>
      <w:tr>
        <w:tc>
          <w:tcPr>
            <w:tcW w:w="5986" w:type="dxa"/>
          </w:tcPr>
          <w:p>
            <w:pPr>
              <w:pStyle w:val="TableNAm"/>
              <w:spacing w:before="60" w:after="60"/>
              <w:ind w:left="612" w:hanging="612"/>
            </w:pPr>
            <w:r>
              <w:t>22.</w:t>
            </w:r>
            <w:r>
              <w:tab/>
              <w:t>Laundry dryers</w:t>
            </w:r>
          </w:p>
        </w:tc>
      </w:tr>
      <w:tr>
        <w:tc>
          <w:tcPr>
            <w:tcW w:w="5986" w:type="dxa"/>
          </w:tcPr>
          <w:p>
            <w:pPr>
              <w:pStyle w:val="TableNAm"/>
              <w:spacing w:before="60" w:after="60"/>
              <w:ind w:left="612" w:hanging="612"/>
            </w:pPr>
            <w:r>
              <w:t>23.</w:t>
            </w:r>
            <w:r>
              <w:tab/>
              <w:t>Overhead heaters</w:t>
            </w:r>
          </w:p>
        </w:tc>
      </w:tr>
      <w:tr>
        <w:tc>
          <w:tcPr>
            <w:tcW w:w="5986" w:type="dxa"/>
          </w:tcPr>
          <w:p>
            <w:pPr>
              <w:pStyle w:val="TableNAm"/>
              <w:spacing w:before="60" w:after="60"/>
              <w:ind w:left="612" w:hanging="612"/>
            </w:pPr>
            <w:r>
              <w:t>24.</w:t>
            </w:r>
            <w:r>
              <w:tab/>
              <w:t>Industrial mobile air heaters</w:t>
            </w:r>
          </w:p>
        </w:tc>
      </w:tr>
      <w:tr>
        <w:tc>
          <w:tcPr>
            <w:tcW w:w="5986" w:type="dxa"/>
          </w:tcPr>
          <w:p>
            <w:pPr>
              <w:pStyle w:val="TableNAm"/>
              <w:spacing w:before="60" w:after="60"/>
              <w:ind w:left="612" w:hanging="612"/>
            </w:pPr>
            <w:r>
              <w:t>25.</w:t>
            </w:r>
            <w:r>
              <w:tab/>
              <w:t>Indirect fired air heaters</w:t>
            </w:r>
          </w:p>
        </w:tc>
      </w:tr>
      <w:tr>
        <w:tc>
          <w:tcPr>
            <w:tcW w:w="5986" w:type="dxa"/>
          </w:tcPr>
          <w:p>
            <w:pPr>
              <w:pStyle w:val="TableNAm"/>
              <w:spacing w:before="60" w:after="60"/>
              <w:ind w:left="612" w:hanging="612"/>
            </w:pPr>
            <w:r>
              <w:t>26.</w:t>
            </w:r>
            <w:r>
              <w:tab/>
              <w:t>Air conditioning units</w:t>
            </w:r>
          </w:p>
        </w:tc>
      </w:tr>
    </w:tbl>
    <w:p>
      <w:pPr>
        <w:pStyle w:val="Subsection"/>
      </w:pPr>
      <w:r>
        <w:tab/>
        <w:t>(3)</w:t>
      </w:r>
      <w:r>
        <w:tab/>
        <w:t>Unless otherwise specified, a reference to an appliance in the Table to subregulation (2) is a reference to an appliance having a maximum hourly input rate of 1 000 MJ.</w:t>
      </w:r>
    </w:p>
    <w:p>
      <w:pPr>
        <w:pStyle w:val="Footnotesection"/>
      </w:pPr>
      <w:r>
        <w:tab/>
        <w:t>[Regulation 42B inserted: Gazette 30 Nov 2007 p. 5936</w:t>
      </w:r>
      <w:r>
        <w:noBreakHyphen/>
        <w:t>7; amended: Gazette 25 Nov 2010 p. 5931.]</w:t>
      </w:r>
    </w:p>
    <w:p>
      <w:pPr>
        <w:pStyle w:val="Heading2"/>
      </w:pPr>
      <w:bookmarkStart w:id="153" w:name="_Toc11925554"/>
      <w:bookmarkStart w:id="154" w:name="_Toc11925995"/>
      <w:bookmarkStart w:id="155" w:name="_Toc11926113"/>
      <w:bookmarkStart w:id="156" w:name="_Toc12010840"/>
      <w:bookmarkStart w:id="157" w:name="_Toc11747651"/>
      <w:bookmarkStart w:id="158" w:name="_Toc11755445"/>
      <w:bookmarkStart w:id="159" w:name="_Toc11761409"/>
      <w:r>
        <w:rPr>
          <w:rStyle w:val="CharPartNo"/>
        </w:rPr>
        <w:t>Part 7</w:t>
      </w:r>
      <w:r>
        <w:rPr>
          <w:rStyle w:val="CharDivNo"/>
        </w:rPr>
        <w:t xml:space="preserve"> </w:t>
      </w:r>
      <w:r>
        <w:t>—</w:t>
      </w:r>
      <w:r>
        <w:rPr>
          <w:rStyle w:val="CharDivText"/>
        </w:rPr>
        <w:t xml:space="preserve"> </w:t>
      </w:r>
      <w:r>
        <w:rPr>
          <w:rStyle w:val="CharPartText"/>
        </w:rPr>
        <w:t>Saving and repeal</w:t>
      </w:r>
      <w:bookmarkEnd w:id="153"/>
      <w:bookmarkEnd w:id="154"/>
      <w:bookmarkEnd w:id="155"/>
      <w:bookmarkEnd w:id="156"/>
      <w:bookmarkEnd w:id="157"/>
      <w:bookmarkEnd w:id="158"/>
      <w:bookmarkEnd w:id="159"/>
    </w:p>
    <w:p>
      <w:pPr>
        <w:pStyle w:val="Heading5"/>
        <w:rPr>
          <w:snapToGrid w:val="0"/>
        </w:rPr>
      </w:pPr>
      <w:bookmarkStart w:id="160" w:name="_Toc12010841"/>
      <w:bookmarkStart w:id="161" w:name="_Toc11761410"/>
      <w:r>
        <w:rPr>
          <w:rStyle w:val="CharSectno"/>
        </w:rPr>
        <w:t>43</w:t>
      </w:r>
      <w:r>
        <w:rPr>
          <w:snapToGrid w:val="0"/>
        </w:rPr>
        <w:t>.</w:t>
      </w:r>
      <w:r>
        <w:rPr>
          <w:snapToGrid w:val="0"/>
        </w:rPr>
        <w:tab/>
        <w:t>Savings for repealed regulations</w:t>
      </w:r>
      <w:bookmarkEnd w:id="160"/>
      <w:bookmarkEnd w:id="161"/>
    </w:p>
    <w:p>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pPr>
        <w:pStyle w:val="Subsection"/>
      </w:pPr>
      <w:r>
        <w:rPr>
          <w:snapToGrid w:val="0"/>
        </w:rPr>
        <w:tab/>
        <w:t>(2)</w:t>
      </w:r>
      <w:r>
        <w:rPr>
          <w:snapToGrid w:val="0"/>
        </w:rPr>
        <w:tab/>
      </w:r>
      <w:r>
        <w:t>In subregulation (1) —</w:t>
      </w:r>
    </w:p>
    <w:p>
      <w:pPr>
        <w:pStyle w:val="Defstart"/>
      </w:pPr>
      <w:r>
        <w:tab/>
      </w:r>
      <w:r>
        <w:rPr>
          <w:rStyle w:val="CharDefText"/>
        </w:rPr>
        <w:t>repealed regulations</w:t>
      </w:r>
      <w:r>
        <w:t xml:space="preserve"> means the regulations repealed by regulation 44.</w:t>
      </w:r>
    </w:p>
    <w:p>
      <w:pPr>
        <w:pStyle w:val="Heading5"/>
      </w:pPr>
      <w:bookmarkStart w:id="162" w:name="_Toc12010842"/>
      <w:bookmarkStart w:id="163" w:name="_Toc11761411"/>
      <w:r>
        <w:rPr>
          <w:rStyle w:val="CharSectno"/>
        </w:rPr>
        <w:t>44</w:t>
      </w:r>
      <w:r>
        <w:t>.</w:t>
      </w:r>
      <w:r>
        <w:tab/>
        <w:t>Repeal</w:t>
      </w:r>
      <w:bookmarkEnd w:id="162"/>
      <w:bookmarkEnd w:id="163"/>
    </w:p>
    <w:p>
      <w:pPr>
        <w:pStyle w:val="Subsection"/>
      </w:pPr>
      <w:r>
        <w:tab/>
      </w:r>
      <w:r>
        <w:tab/>
        <w:t xml:space="preserve">The </w:t>
      </w:r>
      <w:r>
        <w:rPr>
          <w:i/>
        </w:rPr>
        <w:t>Gas Standards (Gasfitting and Consumers’ Gas Installations Regulations) 1999</w:t>
      </w:r>
      <w:r>
        <w:t xml:space="preserve"> are repealed.</w:t>
      </w:r>
    </w:p>
    <w:p>
      <w:pPr>
        <w:pStyle w:val="yEdnoteschedule"/>
      </w:pPr>
      <w:r>
        <w:t>[Schedule 1 deleted: Gazette 30 Nov 2007 p. 5937.]</w:t>
      </w:r>
    </w:p>
    <w:p>
      <w:pPr>
        <w:ind w:left="612" w:hanging="612"/>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164" w:name="_Toc11925557"/>
      <w:bookmarkStart w:id="165" w:name="_Toc11925998"/>
      <w:bookmarkStart w:id="166" w:name="_Toc11926116"/>
      <w:bookmarkStart w:id="167" w:name="_Toc12010843"/>
      <w:bookmarkStart w:id="168" w:name="_Toc11747654"/>
      <w:bookmarkStart w:id="169" w:name="_Toc11755448"/>
      <w:bookmarkStart w:id="170" w:name="_Toc11761412"/>
      <w:r>
        <w:rPr>
          <w:rStyle w:val="CharSchNo"/>
        </w:rPr>
        <w:t>Schedule 2</w:t>
      </w:r>
      <w:r>
        <w:rPr>
          <w:rStyle w:val="CharSDivNo"/>
        </w:rPr>
        <w:t xml:space="preserve"> </w:t>
      </w:r>
      <w:r>
        <w:t>—</w:t>
      </w:r>
      <w:r>
        <w:rPr>
          <w:rStyle w:val="CharSDivText"/>
        </w:rPr>
        <w:t xml:space="preserve"> </w:t>
      </w:r>
      <w:r>
        <w:rPr>
          <w:rStyle w:val="CharSchText"/>
        </w:rPr>
        <w:t>Forms</w:t>
      </w:r>
      <w:bookmarkEnd w:id="164"/>
      <w:bookmarkEnd w:id="165"/>
      <w:bookmarkEnd w:id="166"/>
      <w:bookmarkEnd w:id="167"/>
      <w:bookmarkEnd w:id="168"/>
      <w:bookmarkEnd w:id="169"/>
      <w:bookmarkEnd w:id="170"/>
    </w:p>
    <w:p>
      <w:pPr>
        <w:pStyle w:val="yShoulderClause"/>
      </w:pPr>
      <w:r>
        <w:t>[r. 9(2) and 9(3)]</w:t>
      </w:r>
    </w:p>
    <w:p>
      <w:pPr>
        <w:pStyle w:val="yFootnoteheading"/>
        <w:spacing w:after="120"/>
      </w:pPr>
      <w:r>
        <w:tab/>
        <w:t>[Heading inserted: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NAm"/>
            </w:pPr>
            <w:r>
              <w:rPr>
                <w:i/>
                <w:iCs/>
              </w:rPr>
              <w:t>Gas Standards (Gasfitting and Consumer Gas Installations) Regulations 1999</w:t>
            </w:r>
            <w:r>
              <w:t>, reg. 9(2)</w:t>
            </w:r>
          </w:p>
          <w:p>
            <w:pPr>
              <w:pStyle w:val="yTableNAm"/>
              <w:rPr>
                <w:b/>
                <w:sz w:val="28"/>
                <w:szCs w:val="28"/>
              </w:rPr>
            </w:pPr>
            <w:r>
              <w:rPr>
                <w:b/>
                <w:sz w:val="28"/>
                <w:szCs w:val="28"/>
              </w:rPr>
              <w:t>Summons to attend before the Director</w:t>
            </w:r>
          </w:p>
        </w:tc>
        <w:tc>
          <w:tcPr>
            <w:tcW w:w="1455" w:type="dxa"/>
            <w:tcBorders>
              <w:top w:val="nil"/>
              <w:bottom w:val="nil"/>
              <w:right w:val="nil"/>
            </w:tcBorders>
          </w:tcPr>
          <w:p>
            <w:pPr>
              <w:pStyle w:val="yTableNAm"/>
            </w:pPr>
          </w:p>
          <w:p>
            <w:pPr>
              <w:pStyle w:val="yTableNAm"/>
            </w:pPr>
            <w:r>
              <w:t>Form 1</w:t>
            </w:r>
          </w:p>
        </w:tc>
      </w:tr>
      <w:tr>
        <w:trPr>
          <w:cantSplit/>
        </w:trPr>
        <w:tc>
          <w:tcPr>
            <w:tcW w:w="1390" w:type="dxa"/>
            <w:tcBorders>
              <w:top w:val="nil"/>
              <w:left w:val="nil"/>
              <w:bottom w:val="nil"/>
              <w:right w:val="nil"/>
            </w:tcBorders>
          </w:tcPr>
          <w:p>
            <w:pPr>
              <w:pStyle w:val="yTableNAm"/>
              <w:rPr>
                <w:b/>
              </w:rPr>
            </w:pPr>
          </w:p>
        </w:tc>
        <w:tc>
          <w:tcPr>
            <w:tcW w:w="5707" w:type="dxa"/>
            <w:gridSpan w:val="2"/>
            <w:tcBorders>
              <w:top w:val="nil"/>
              <w:left w:val="nil"/>
              <w:bottom w:val="nil"/>
              <w:right w:val="nil"/>
            </w:tcBorders>
          </w:tcPr>
          <w:p>
            <w:pPr>
              <w:pStyle w:val="yTableNAm"/>
            </w:pPr>
          </w:p>
        </w:tc>
      </w:tr>
      <w:tr>
        <w:trPr>
          <w:cantSplit/>
        </w:trPr>
        <w:tc>
          <w:tcPr>
            <w:tcW w:w="1390" w:type="dxa"/>
            <w:vMerge w:val="restart"/>
            <w:tcBorders>
              <w:top w:val="single" w:sz="4" w:space="0" w:color="auto"/>
            </w:tcBorders>
            <w:shd w:val="pct20" w:color="C0C0C0" w:fill="FFFFFF"/>
          </w:tcPr>
          <w:p>
            <w:pPr>
              <w:pStyle w:val="yTableNAm"/>
              <w:rPr>
                <w:b/>
              </w:rPr>
            </w:pPr>
            <w:r>
              <w:rPr>
                <w:b/>
              </w:rPr>
              <w:t>Person summonsed</w:t>
            </w:r>
          </w:p>
        </w:tc>
        <w:tc>
          <w:tcPr>
            <w:tcW w:w="5707" w:type="dxa"/>
            <w:gridSpan w:val="2"/>
            <w:tcBorders>
              <w:top w:val="single" w:sz="4" w:space="0" w:color="auto"/>
            </w:tcBorders>
          </w:tcPr>
          <w:p>
            <w:pPr>
              <w:pStyle w:val="yTableNAm"/>
            </w:pPr>
            <w:r>
              <w:t>Name: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shd w:val="pct20" w:color="C0C0C0" w:fill="FFFFFF"/>
          </w:tcPr>
          <w:p>
            <w:pPr>
              <w:pStyle w:val="yTableNAm"/>
            </w:pPr>
          </w:p>
        </w:tc>
        <w:tc>
          <w:tcPr>
            <w:tcW w:w="5707" w:type="dxa"/>
            <w:gridSpan w:val="2"/>
            <w:tcBorders>
              <w:bottom w:val="nil"/>
            </w:tcBorders>
          </w:tcPr>
          <w:p>
            <w:pPr>
              <w:pStyle w:val="yTableNAm"/>
              <w:tabs>
                <w:tab w:val="clear" w:pos="567"/>
                <w:tab w:val="left" w:pos="3719"/>
              </w:tabs>
            </w:pPr>
            <w:r>
              <w:tab/>
              <w:t>Postcode:</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left" w:pos="3152"/>
              </w:tabs>
            </w:pPr>
            <w:r>
              <w:t>Phone No. (h):</w:t>
            </w:r>
            <w:r>
              <w:tab/>
              <w:t>(w):</w:t>
            </w:r>
          </w:p>
        </w:tc>
      </w:tr>
      <w:tr>
        <w:tc>
          <w:tcPr>
            <w:tcW w:w="1390" w:type="dxa"/>
            <w:tcBorders>
              <w:top w:val="nil"/>
              <w:left w:val="nil"/>
              <w:bottom w:val="nil"/>
              <w:right w:val="nil"/>
            </w:tcBorders>
          </w:tcPr>
          <w:p>
            <w:pPr>
              <w:pStyle w:val="yTableNAm"/>
            </w:pPr>
          </w:p>
        </w:tc>
        <w:tc>
          <w:tcPr>
            <w:tcW w:w="5707" w:type="dxa"/>
            <w:gridSpan w:val="2"/>
            <w:tcBorders>
              <w:top w:val="nil"/>
              <w:left w:val="nil"/>
              <w:bottom w:val="nil"/>
              <w:right w:val="nil"/>
            </w:tcBorders>
          </w:tcPr>
          <w:p>
            <w:pPr>
              <w:pStyle w:val="yTableNAm"/>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your certificate of competency, permit or authorisation.</w:t>
            </w:r>
          </w:p>
          <w:p>
            <w:pPr>
              <w:pStyle w:val="yTableNAm"/>
              <w:rPr>
                <w:b/>
                <w:szCs w:val="22"/>
              </w:rPr>
            </w:pPr>
            <w:r>
              <w:rPr>
                <w:b/>
                <w:szCs w:val="22"/>
              </w:rPr>
              <w:t>You are required to attend the proceedings.</w:t>
            </w:r>
          </w:p>
        </w:tc>
      </w:tr>
      <w:tr>
        <w:tc>
          <w:tcPr>
            <w:tcW w:w="1390" w:type="dxa"/>
            <w:tcBorders>
              <w:top w:val="nil"/>
              <w:left w:val="nil"/>
              <w:bottom w:val="nil"/>
              <w:right w:val="nil"/>
            </w:tcBorders>
          </w:tcPr>
          <w:p>
            <w:pPr>
              <w:pStyle w:val="yTableNAm"/>
            </w:pPr>
          </w:p>
        </w:tc>
        <w:tc>
          <w:tcPr>
            <w:tcW w:w="5707" w:type="dxa"/>
            <w:gridSpan w:val="2"/>
            <w:tcBorders>
              <w:top w:val="nil"/>
              <w:left w:val="nil"/>
              <w:right w:val="nil"/>
            </w:tcBorders>
          </w:tcPr>
          <w:p>
            <w:pPr>
              <w:pStyle w:val="yTableNAm"/>
            </w:pPr>
          </w:p>
        </w:tc>
      </w:tr>
      <w:tr>
        <w:trPr>
          <w:cantSplit/>
        </w:trPr>
        <w:tc>
          <w:tcPr>
            <w:tcW w:w="1390" w:type="dxa"/>
            <w:vMerge w:val="restart"/>
            <w:shd w:val="pct20" w:color="C0C0C0" w:fill="FFFFFF"/>
          </w:tcPr>
          <w:p>
            <w:pPr>
              <w:pStyle w:val="yTableNAm"/>
              <w:rPr>
                <w:rFonts w:ascii="Times" w:hAnsi="Times"/>
                <w:b/>
                <w:spacing w:val="-4"/>
              </w:rPr>
            </w:pPr>
            <w:r>
              <w:rPr>
                <w:b/>
              </w:rPr>
              <w:t>Proceedings</w:t>
            </w:r>
          </w:p>
        </w:tc>
        <w:tc>
          <w:tcPr>
            <w:tcW w:w="5707" w:type="dxa"/>
            <w:gridSpan w:val="2"/>
          </w:tcPr>
          <w:p>
            <w:pPr>
              <w:pStyle w:val="yTableNAm"/>
            </w:pPr>
            <w:r>
              <w:t>Place:</w:t>
            </w:r>
          </w:p>
        </w:tc>
      </w:tr>
      <w:tr>
        <w:trPr>
          <w:cantSplit/>
        </w:trPr>
        <w:tc>
          <w:tcPr>
            <w:tcW w:w="1390" w:type="dxa"/>
            <w:vMerge/>
            <w:shd w:val="pct20" w:color="C0C0C0" w:fill="FFFFFF"/>
          </w:tcPr>
          <w:p>
            <w:pPr>
              <w:pStyle w:val="yTableNAm"/>
            </w:pPr>
          </w:p>
        </w:tc>
        <w:tc>
          <w:tcPr>
            <w:tcW w:w="5707" w:type="dxa"/>
            <w:gridSpan w:val="2"/>
          </w:tcPr>
          <w:p>
            <w:pPr>
              <w:pStyle w:val="yTableNAm"/>
            </w:pPr>
            <w:r>
              <w:t>Address:</w:t>
            </w:r>
          </w:p>
        </w:tc>
      </w:tr>
      <w:tr>
        <w:trPr>
          <w:cantSplit/>
        </w:trPr>
        <w:tc>
          <w:tcPr>
            <w:tcW w:w="1390" w:type="dxa"/>
            <w:vMerge/>
            <w:tcBorders>
              <w:bottom w:val="single" w:sz="4" w:space="0" w:color="auto"/>
            </w:tcBorders>
            <w:shd w:val="pct20" w:color="C0C0C0" w:fill="FFFFFF"/>
          </w:tcPr>
          <w:p>
            <w:pPr>
              <w:pStyle w:val="yTableNAm"/>
            </w:pPr>
          </w:p>
        </w:tc>
        <w:tc>
          <w:tcPr>
            <w:tcW w:w="5707" w:type="dxa"/>
            <w:gridSpan w:val="2"/>
            <w:tcBorders>
              <w:bottom w:val="single" w:sz="4" w:space="0" w:color="auto"/>
            </w:tcBorders>
          </w:tcPr>
          <w:p>
            <w:pPr>
              <w:pStyle w:val="yTableNAm"/>
              <w:tabs>
                <w:tab w:val="clear" w:pos="567"/>
                <w:tab w:val="left" w:pos="2554"/>
              </w:tabs>
            </w:pPr>
            <w:r>
              <w:t>Date:</w:t>
            </w:r>
            <w:r>
              <w:tab/>
              <w:t>Time:</w:t>
            </w:r>
          </w:p>
        </w:tc>
      </w:tr>
      <w:tr>
        <w:trPr>
          <w:cantSplit/>
        </w:trPr>
        <w:tc>
          <w:tcPr>
            <w:tcW w:w="1390" w:type="dxa"/>
            <w:tcBorders>
              <w:left w:val="nil"/>
              <w:bottom w:val="single" w:sz="4" w:space="0" w:color="auto"/>
              <w:right w:val="nil"/>
            </w:tcBorders>
            <w:shd w:val="clear" w:color="C0C0C0" w:fill="FFFFFF"/>
          </w:tcPr>
          <w:p>
            <w:pPr>
              <w:pStyle w:val="yTableNAm"/>
              <w:rPr>
                <w:b/>
              </w:rPr>
            </w:pPr>
          </w:p>
        </w:tc>
        <w:tc>
          <w:tcPr>
            <w:tcW w:w="5707" w:type="dxa"/>
            <w:gridSpan w:val="2"/>
            <w:tcBorders>
              <w:top w:val="single" w:sz="4" w:space="0" w:color="auto"/>
              <w:left w:val="nil"/>
              <w:bottom w:val="single" w:sz="4" w:space="0" w:color="auto"/>
              <w:right w:val="nil"/>
            </w:tcBorders>
          </w:tcPr>
          <w:p>
            <w:pPr>
              <w:pStyle w:val="yTableNAm"/>
            </w:pPr>
          </w:p>
        </w:tc>
      </w:tr>
      <w:tr>
        <w:trPr>
          <w:cantSplit/>
          <w:trHeight w:val="817"/>
        </w:trPr>
        <w:tc>
          <w:tcPr>
            <w:tcW w:w="1390" w:type="dxa"/>
            <w:tcBorders>
              <w:bottom w:val="single" w:sz="4" w:space="0" w:color="auto"/>
            </w:tcBorders>
            <w:shd w:val="pct20" w:color="C0C0C0" w:fill="FFFFFF"/>
          </w:tcPr>
          <w:p>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pPr>
              <w:pStyle w:val="yTableNAm"/>
            </w:pPr>
            <w:r>
              <w:t xml:space="preserve">The proceedings are being held because: </w:t>
            </w:r>
          </w:p>
          <w:p>
            <w:pPr>
              <w:pStyle w:val="yTableNAm"/>
            </w:pPr>
          </w:p>
          <w:p>
            <w:pPr>
              <w:pStyle w:val="yTableNAm"/>
            </w:pPr>
          </w:p>
          <w:p>
            <w:pPr>
              <w:pStyle w:val="yTableNAm"/>
            </w:pPr>
          </w:p>
          <w:p>
            <w:pPr>
              <w:pStyle w:val="yTableNAm"/>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NAm"/>
              <w:keepNext/>
              <w:keepLines/>
              <w:rPr>
                <w:b/>
              </w:rPr>
            </w:pPr>
            <w:r>
              <w:rPr>
                <w:b/>
              </w:rPr>
              <w:t>Person issuing summons</w:t>
            </w:r>
          </w:p>
        </w:tc>
        <w:tc>
          <w:tcPr>
            <w:tcW w:w="5707" w:type="dxa"/>
            <w:gridSpan w:val="2"/>
            <w:tcBorders>
              <w:top w:val="single" w:sz="4" w:space="0" w:color="auto"/>
              <w:bottom w:val="nil"/>
            </w:tcBorders>
          </w:tcPr>
          <w:p>
            <w:pPr>
              <w:pStyle w:val="yTableNAm"/>
              <w:keepNext/>
              <w:keepLines/>
            </w:pPr>
            <w:r>
              <w:t>Name:</w:t>
            </w:r>
          </w:p>
        </w:tc>
      </w:tr>
      <w:tr>
        <w:trPr>
          <w:cantSplit/>
          <w:trHeight w:val="265"/>
        </w:trPr>
        <w:tc>
          <w:tcPr>
            <w:tcW w:w="1390" w:type="dxa"/>
            <w:vMerge/>
            <w:tcBorders>
              <w:bottom w:val="single" w:sz="4" w:space="0" w:color="auto"/>
            </w:tcBorders>
            <w:shd w:val="pct20" w:color="C0C0C0" w:fill="FFFFFF"/>
          </w:tcPr>
          <w:p>
            <w:pPr>
              <w:pStyle w:val="yTableNAm"/>
              <w:keepNext/>
              <w:keepLines/>
            </w:pPr>
          </w:p>
        </w:tc>
        <w:tc>
          <w:tcPr>
            <w:tcW w:w="5707" w:type="dxa"/>
            <w:gridSpan w:val="2"/>
            <w:tcBorders>
              <w:bottom w:val="nil"/>
            </w:tcBorders>
          </w:tcPr>
          <w:p>
            <w:pPr>
              <w:pStyle w:val="yTableNAm"/>
              <w:keepNext/>
              <w:keepLines/>
            </w:pPr>
            <w:r>
              <w:t>Office:</w:t>
            </w:r>
          </w:p>
        </w:tc>
      </w:tr>
      <w:tr>
        <w:trPr>
          <w:cantSplit/>
          <w:trHeight w:val="265"/>
        </w:trPr>
        <w:tc>
          <w:tcPr>
            <w:tcW w:w="1390" w:type="dxa"/>
            <w:vMerge/>
            <w:tcBorders>
              <w:bottom w:val="single" w:sz="4" w:space="0" w:color="auto"/>
            </w:tcBorders>
            <w:shd w:val="pct20" w:color="C0C0C0" w:fill="FFFFFF"/>
          </w:tcPr>
          <w:p>
            <w:pPr>
              <w:pStyle w:val="yTableNAm"/>
              <w:keepNext/>
            </w:pPr>
          </w:p>
        </w:tc>
        <w:tc>
          <w:tcPr>
            <w:tcW w:w="5707" w:type="dxa"/>
            <w:gridSpan w:val="2"/>
            <w:tcBorders>
              <w:bottom w:val="single" w:sz="4" w:space="0" w:color="auto"/>
            </w:tcBorders>
          </w:tcPr>
          <w:p>
            <w:pPr>
              <w:pStyle w:val="yTableNAm"/>
              <w:keepNext/>
              <w:tabs>
                <w:tab w:val="clear" w:pos="567"/>
                <w:tab w:val="left" w:pos="2554"/>
              </w:tabs>
            </w:pPr>
            <w:r>
              <w:t>Signature:</w:t>
            </w:r>
            <w:r>
              <w:tab/>
            </w:r>
            <w:r>
              <w:tab/>
              <w:t>Date:</w:t>
            </w:r>
          </w:p>
        </w:tc>
      </w:tr>
    </w:tbl>
    <w:p>
      <w:pPr>
        <w:pStyle w:val="yFootnotesection"/>
      </w:pPr>
      <w:r>
        <w:tab/>
        <w:t>[Form 1 inserted: Gazette 21 Apr 2006 p. 1577.]</w:t>
      </w:r>
    </w:p>
    <w:p>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cantSplit/>
        </w:trPr>
        <w:tc>
          <w:tcPr>
            <w:tcW w:w="5642" w:type="dxa"/>
            <w:gridSpan w:val="3"/>
            <w:tcBorders>
              <w:bottom w:val="single" w:sz="4" w:space="0" w:color="auto"/>
            </w:tcBorders>
            <w:shd w:val="pct20" w:color="C0C0C0" w:fill="FFFFFF"/>
          </w:tcPr>
          <w:p>
            <w:pPr>
              <w:pStyle w:val="yTableNAm"/>
            </w:pPr>
            <w:r>
              <w:rPr>
                <w:i/>
                <w:iCs/>
              </w:rPr>
              <w:t>Gas Standards (Gasfitting and Consumer Gas Installations) Regulations 1999</w:t>
            </w:r>
            <w:r>
              <w:t>, reg. 9(3)</w:t>
            </w:r>
          </w:p>
          <w:p>
            <w:pPr>
              <w:pStyle w:val="yTableNAm"/>
              <w:rPr>
                <w:b/>
                <w:sz w:val="28"/>
                <w:szCs w:val="28"/>
              </w:rPr>
            </w:pPr>
            <w:r>
              <w:rPr>
                <w:b/>
                <w:sz w:val="28"/>
                <w:szCs w:val="28"/>
              </w:rPr>
              <w:t>Summons to give evidence at proceedings</w:t>
            </w:r>
          </w:p>
        </w:tc>
        <w:tc>
          <w:tcPr>
            <w:tcW w:w="1418" w:type="dxa"/>
            <w:tcBorders>
              <w:top w:val="nil"/>
              <w:bottom w:val="nil"/>
              <w:right w:val="nil"/>
            </w:tcBorders>
          </w:tcPr>
          <w:p>
            <w:pPr>
              <w:pStyle w:val="yTableNAm"/>
            </w:pPr>
          </w:p>
          <w:p>
            <w:pPr>
              <w:pStyle w:val="yTableNAm"/>
            </w:pPr>
            <w:r>
              <w:t>Form 2</w:t>
            </w:r>
          </w:p>
        </w:tc>
      </w:tr>
      <w:tr>
        <w:trPr>
          <w:gridBefore w:val="1"/>
          <w:wBefore w:w="14" w:type="dxa"/>
          <w:cantSplit/>
        </w:trPr>
        <w:tc>
          <w:tcPr>
            <w:tcW w:w="1344" w:type="dxa"/>
            <w:tcBorders>
              <w:top w:val="nil"/>
              <w:left w:val="nil"/>
              <w:bottom w:val="nil"/>
              <w:right w:val="nil"/>
            </w:tcBorders>
          </w:tcPr>
          <w:p>
            <w:pPr>
              <w:pStyle w:val="yTableNAm"/>
              <w:spacing w:before="80"/>
              <w:rPr>
                <w:b/>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1344" w:type="dxa"/>
            <w:vMerge w:val="restart"/>
            <w:tcBorders>
              <w:top w:val="single" w:sz="4" w:space="0" w:color="auto"/>
            </w:tcBorders>
            <w:shd w:val="pct20" w:color="C0C0C0" w:fill="FFFFFF"/>
          </w:tcPr>
          <w:p>
            <w:pPr>
              <w:pStyle w:val="yTableNAm"/>
              <w:rPr>
                <w:b/>
              </w:rPr>
            </w:pPr>
            <w:r>
              <w:rPr>
                <w:b/>
              </w:rPr>
              <w:t>Person summonsed</w:t>
            </w:r>
          </w:p>
        </w:tc>
        <w:tc>
          <w:tcPr>
            <w:tcW w:w="5716" w:type="dxa"/>
            <w:gridSpan w:val="3"/>
            <w:tcBorders>
              <w:top w:val="single" w:sz="4" w:space="0" w:color="auto"/>
            </w:tcBorders>
          </w:tcPr>
          <w:p>
            <w:pPr>
              <w:pStyle w:val="yTableNAm"/>
            </w:pPr>
            <w:r>
              <w:t>Name:</w:t>
            </w:r>
          </w:p>
        </w:tc>
      </w:tr>
      <w:tr>
        <w:trPr>
          <w:gridBefore w:val="1"/>
          <w:wBefore w:w="14" w:type="dxa"/>
          <w:cantSplit/>
        </w:trPr>
        <w:tc>
          <w:tcPr>
            <w:tcW w:w="1344" w:type="dxa"/>
            <w:vMerge/>
            <w:shd w:val="pct20" w:color="C0C0C0" w:fill="FFFFFF"/>
          </w:tcPr>
          <w:p>
            <w:pPr>
              <w:pStyle w:val="yTableNAm"/>
            </w:pPr>
          </w:p>
        </w:tc>
        <w:tc>
          <w:tcPr>
            <w:tcW w:w="5716" w:type="dxa"/>
            <w:gridSpan w:val="3"/>
          </w:tcPr>
          <w:p>
            <w:pPr>
              <w:pStyle w:val="yTableNAm"/>
            </w:pPr>
            <w:r>
              <w:t>Address:</w:t>
            </w:r>
          </w:p>
        </w:tc>
      </w:tr>
      <w:tr>
        <w:trPr>
          <w:gridBefore w:val="1"/>
          <w:wBefore w:w="14" w:type="dxa"/>
          <w:cantSplit/>
        </w:trPr>
        <w:tc>
          <w:tcPr>
            <w:tcW w:w="1344" w:type="dxa"/>
            <w:vMerge/>
            <w:shd w:val="pct20" w:color="C0C0C0" w:fill="FFFFFF"/>
          </w:tcPr>
          <w:p>
            <w:pPr>
              <w:pStyle w:val="yTableNAm"/>
            </w:pPr>
          </w:p>
        </w:tc>
        <w:tc>
          <w:tcPr>
            <w:tcW w:w="5716" w:type="dxa"/>
            <w:gridSpan w:val="3"/>
            <w:tcBorders>
              <w:bottom w:val="nil"/>
            </w:tcBorders>
          </w:tcPr>
          <w:p>
            <w:pPr>
              <w:pStyle w:val="yTableNAm"/>
              <w:tabs>
                <w:tab w:val="clear" w:pos="567"/>
                <w:tab w:val="left" w:pos="3765"/>
              </w:tabs>
            </w:pPr>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NAm"/>
            </w:pPr>
          </w:p>
        </w:tc>
        <w:tc>
          <w:tcPr>
            <w:tcW w:w="5716" w:type="dxa"/>
            <w:gridSpan w:val="3"/>
            <w:tcBorders>
              <w:bottom w:val="single" w:sz="4" w:space="0" w:color="auto"/>
            </w:tcBorders>
          </w:tcPr>
          <w:p>
            <w:pPr>
              <w:pStyle w:val="yTableNAm"/>
              <w:tabs>
                <w:tab w:val="left" w:pos="3198"/>
              </w:tabs>
            </w:pPr>
            <w:r>
              <w:t>Phone No. (h):</w:t>
            </w:r>
            <w:r>
              <w:tab/>
              <w:t>(w):</w:t>
            </w:r>
          </w:p>
        </w:tc>
      </w:tr>
      <w:tr>
        <w:trPr>
          <w:gridBefore w:val="1"/>
          <w:wBefore w:w="14" w:type="dxa"/>
        </w:trPr>
        <w:tc>
          <w:tcPr>
            <w:tcW w:w="1344" w:type="dxa"/>
            <w:tcBorders>
              <w:top w:val="nil"/>
              <w:left w:val="nil"/>
              <w:bottom w:val="nil"/>
              <w:right w:val="nil"/>
            </w:tcBorders>
          </w:tcPr>
          <w:p>
            <w:pPr>
              <w:pStyle w:val="yTableNAm"/>
              <w:spacing w:before="80"/>
              <w:rPr>
                <w:sz w:val="18"/>
                <w:szCs w:val="18"/>
              </w:rPr>
            </w:pPr>
          </w:p>
        </w:tc>
        <w:tc>
          <w:tcPr>
            <w:tcW w:w="5716" w:type="dxa"/>
            <w:gridSpan w:val="3"/>
            <w:tcBorders>
              <w:top w:val="nil"/>
              <w:left w:val="nil"/>
              <w:bottom w:val="nil"/>
              <w:right w:val="nil"/>
            </w:tcBorders>
          </w:tcPr>
          <w:p>
            <w:pPr>
              <w:pStyle w:val="yTableNAm"/>
              <w:spacing w:before="80"/>
              <w:rPr>
                <w:sz w:val="18"/>
                <w:szCs w:val="18"/>
              </w:rPr>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a person’s certificate of competency, permit or authorisation.</w:t>
            </w:r>
          </w:p>
          <w:p>
            <w:pPr>
              <w:pStyle w:val="yTableNAm"/>
              <w:rPr>
                <w:szCs w:val="22"/>
              </w:rPr>
            </w:pPr>
            <w:r>
              <w:rPr>
                <w:b/>
                <w:szCs w:val="22"/>
              </w:rPr>
              <w:t>You are required to attend the proceedings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top w:val="nil"/>
              <w:left w:val="nil"/>
              <w:right w:val="nil"/>
            </w:tcBorders>
          </w:tcPr>
          <w:p>
            <w:pPr>
              <w:pStyle w:val="yTableNAm"/>
              <w:spacing w:before="80"/>
              <w:rPr>
                <w:sz w:val="18"/>
                <w:szCs w:val="18"/>
              </w:rPr>
            </w:pPr>
          </w:p>
        </w:tc>
      </w:tr>
      <w:tr>
        <w:trPr>
          <w:gridBefore w:val="1"/>
          <w:wBefore w:w="14" w:type="dxa"/>
          <w:cantSplit/>
        </w:trPr>
        <w:tc>
          <w:tcPr>
            <w:tcW w:w="1358" w:type="dxa"/>
            <w:gridSpan w:val="2"/>
            <w:vMerge w:val="restart"/>
            <w:shd w:val="pct20" w:color="C0C0C0" w:fill="FFFFFF"/>
          </w:tcPr>
          <w:p>
            <w:pPr>
              <w:pStyle w:val="yTableNAm"/>
              <w:rPr>
                <w:rFonts w:ascii="Times" w:hAnsi="Times"/>
                <w:b/>
                <w:spacing w:val="-4"/>
              </w:rPr>
            </w:pPr>
            <w:r>
              <w:rPr>
                <w:b/>
              </w:rPr>
              <w:t>Proceedings</w:t>
            </w:r>
          </w:p>
        </w:tc>
        <w:tc>
          <w:tcPr>
            <w:tcW w:w="5702" w:type="dxa"/>
            <w:gridSpan w:val="2"/>
          </w:tcPr>
          <w:p>
            <w:pPr>
              <w:pStyle w:val="yTableNAm"/>
            </w:pPr>
            <w:r>
              <w:t>Place:</w:t>
            </w:r>
          </w:p>
        </w:tc>
      </w:tr>
      <w:tr>
        <w:trPr>
          <w:gridBefore w:val="1"/>
          <w:wBefore w:w="14" w:type="dxa"/>
          <w:cantSplit/>
        </w:trPr>
        <w:tc>
          <w:tcPr>
            <w:tcW w:w="1358" w:type="dxa"/>
            <w:gridSpan w:val="2"/>
            <w:vMerge/>
            <w:shd w:val="pct20" w:color="C0C0C0" w:fill="FFFFFF"/>
          </w:tcPr>
          <w:p>
            <w:pPr>
              <w:pStyle w:val="yTableNAm"/>
            </w:pPr>
          </w:p>
        </w:tc>
        <w:tc>
          <w:tcPr>
            <w:tcW w:w="5702" w:type="dxa"/>
            <w:gridSpan w:val="2"/>
          </w:tcPr>
          <w:p>
            <w:pPr>
              <w:pStyle w:val="yTableNAm"/>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NAm"/>
            </w:pPr>
          </w:p>
        </w:tc>
        <w:tc>
          <w:tcPr>
            <w:tcW w:w="5702" w:type="dxa"/>
            <w:gridSpan w:val="2"/>
            <w:tcBorders>
              <w:bottom w:val="single" w:sz="4" w:space="0" w:color="auto"/>
            </w:tcBorders>
          </w:tcPr>
          <w:p>
            <w:pPr>
              <w:pStyle w:val="yTableNAm"/>
              <w:tabs>
                <w:tab w:val="clear" w:pos="567"/>
                <w:tab w:val="left" w:pos="2586"/>
              </w:tabs>
            </w:pPr>
            <w:r>
              <w:t>Date:</w:t>
            </w:r>
            <w:r>
              <w:tab/>
              <w:t>Time:</w:t>
            </w:r>
          </w:p>
        </w:tc>
      </w:tr>
      <w:tr>
        <w:trPr>
          <w:gridBefore w:val="1"/>
          <w:wBefore w:w="14" w:type="dxa"/>
        </w:trPr>
        <w:tc>
          <w:tcPr>
            <w:tcW w:w="1358" w:type="dxa"/>
            <w:gridSpan w:val="2"/>
            <w:tcBorders>
              <w:top w:val="nil"/>
              <w:left w:val="nil"/>
              <w:bottom w:val="nil"/>
              <w:right w:val="nil"/>
            </w:tcBorders>
          </w:tcPr>
          <w:p>
            <w:pPr>
              <w:pStyle w:val="yTableNAm"/>
              <w:spacing w:before="80"/>
              <w:rPr>
                <w:sz w:val="18"/>
                <w:szCs w:val="18"/>
              </w:rPr>
            </w:pPr>
          </w:p>
        </w:tc>
        <w:tc>
          <w:tcPr>
            <w:tcW w:w="5702" w:type="dxa"/>
            <w:gridSpan w:val="2"/>
            <w:tcBorders>
              <w:left w:val="nil"/>
              <w:bottom w:val="nil"/>
              <w:right w:val="nil"/>
            </w:tcBorders>
          </w:tcPr>
          <w:p>
            <w:pPr>
              <w:pStyle w:val="yTableNAm"/>
              <w:spacing w:before="80"/>
              <w:rPr>
                <w:sz w:val="18"/>
                <w:szCs w:val="18"/>
              </w:rPr>
            </w:pPr>
          </w:p>
        </w:tc>
      </w:tr>
      <w:tr>
        <w:trPr>
          <w:cantSplit/>
        </w:trPr>
        <w:tc>
          <w:tcPr>
            <w:tcW w:w="1372" w:type="dxa"/>
            <w:gridSpan w:val="3"/>
            <w:shd w:val="pct20" w:color="C0C0C0" w:fill="FFFFFF"/>
          </w:tcPr>
          <w:p>
            <w:pPr>
              <w:pStyle w:val="yTableNAm"/>
              <w:rPr>
                <w:b/>
              </w:rPr>
            </w:pPr>
            <w:r>
              <w:rPr>
                <w:b/>
              </w:rPr>
              <w:t>Reason for proceedings</w:t>
            </w:r>
          </w:p>
        </w:tc>
        <w:tc>
          <w:tcPr>
            <w:tcW w:w="5702" w:type="dxa"/>
            <w:gridSpan w:val="2"/>
            <w:tcBorders>
              <w:bottom w:val="nil"/>
            </w:tcBorders>
          </w:tcPr>
          <w:p>
            <w:pPr>
              <w:pStyle w:val="yTableNAm"/>
              <w:keepNext/>
              <w:keepLines/>
            </w:pPr>
            <w:r>
              <w:t>The person who is the subject of the proceedings is:</w:t>
            </w:r>
          </w:p>
          <w:p>
            <w:pPr>
              <w:pStyle w:val="yTableNAm"/>
              <w:keepNext/>
              <w:keepLines/>
            </w:pPr>
          </w:p>
        </w:tc>
      </w:tr>
      <w:tr>
        <w:trPr>
          <w:cantSplit/>
        </w:trPr>
        <w:tc>
          <w:tcPr>
            <w:tcW w:w="1372" w:type="dxa"/>
            <w:gridSpan w:val="3"/>
            <w:shd w:val="pct20" w:color="C0C0C0" w:fill="FFFFFF"/>
          </w:tcPr>
          <w:p>
            <w:pPr>
              <w:pStyle w:val="yTableNAm"/>
              <w:rPr>
                <w:b/>
              </w:rPr>
            </w:pPr>
          </w:p>
        </w:tc>
        <w:tc>
          <w:tcPr>
            <w:tcW w:w="5702" w:type="dxa"/>
            <w:gridSpan w:val="2"/>
            <w:tcBorders>
              <w:bottom w:val="nil"/>
            </w:tcBorders>
          </w:tcPr>
          <w:p>
            <w:pPr>
              <w:pStyle w:val="yTableNAm"/>
            </w:pPr>
            <w:r>
              <w:t xml:space="preserve">The proceedings are being held because: </w:t>
            </w:r>
          </w:p>
          <w:p>
            <w:pPr>
              <w:pStyle w:val="yTableNAm"/>
              <w:spacing w:before="40"/>
            </w:pPr>
          </w:p>
          <w:p>
            <w:pPr>
              <w:pStyle w:val="yTableNAm"/>
              <w:spacing w:before="40"/>
            </w:pPr>
          </w:p>
          <w:p>
            <w:pPr>
              <w:pStyle w:val="yTableNAm"/>
              <w:spacing w:before="40"/>
            </w:pPr>
          </w:p>
          <w:p>
            <w:pPr>
              <w:pStyle w:val="yTableNAm"/>
            </w:pPr>
          </w:p>
        </w:tc>
      </w:tr>
      <w:tr>
        <w:tc>
          <w:tcPr>
            <w:tcW w:w="1372" w:type="dxa"/>
            <w:gridSpan w:val="3"/>
            <w:tcBorders>
              <w:left w:val="nil"/>
              <w:bottom w:val="nil"/>
              <w:right w:val="nil"/>
            </w:tcBorders>
          </w:tcPr>
          <w:p>
            <w:pPr>
              <w:pStyle w:val="yTableNAm"/>
              <w:spacing w:before="80"/>
            </w:pPr>
          </w:p>
        </w:tc>
        <w:tc>
          <w:tcPr>
            <w:tcW w:w="5702" w:type="dxa"/>
            <w:gridSpan w:val="2"/>
            <w:tcBorders>
              <w:left w:val="nil"/>
              <w:bottom w:val="nil"/>
              <w:right w:val="nil"/>
            </w:tcBorders>
          </w:tcPr>
          <w:p>
            <w:pPr>
              <w:pStyle w:val="yTableNAm"/>
              <w:spacing w:before="80"/>
            </w:pPr>
          </w:p>
        </w:tc>
      </w:tr>
      <w:tr>
        <w:trPr>
          <w:cantSplit/>
        </w:trPr>
        <w:tc>
          <w:tcPr>
            <w:tcW w:w="1372" w:type="dxa"/>
            <w:gridSpan w:val="3"/>
            <w:tcBorders>
              <w:left w:val="single" w:sz="4" w:space="0" w:color="auto"/>
              <w:bottom w:val="single" w:sz="4" w:space="0" w:color="auto"/>
              <w:right w:val="single" w:sz="4" w:space="0" w:color="auto"/>
            </w:tcBorders>
            <w:shd w:val="pct20" w:color="C0C0C0" w:fill="FFFFFF"/>
          </w:tcPr>
          <w:p>
            <w:pPr>
              <w:pStyle w:val="yTableNAm"/>
              <w:rPr>
                <w:b/>
              </w:rPr>
            </w:pPr>
            <w:r>
              <w:rPr>
                <w:b/>
              </w:rPr>
              <w:t>Documents to be produced (if any)</w:t>
            </w:r>
          </w:p>
        </w:tc>
        <w:tc>
          <w:tcPr>
            <w:tcW w:w="5702" w:type="dxa"/>
            <w:gridSpan w:val="2"/>
            <w:tcBorders>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
            </w:pPr>
          </w:p>
        </w:tc>
      </w:tr>
      <w:tr>
        <w:tc>
          <w:tcPr>
            <w:tcW w:w="1372" w:type="dxa"/>
            <w:gridSpan w:val="3"/>
            <w:tcBorders>
              <w:top w:val="nil"/>
              <w:left w:val="nil"/>
              <w:bottom w:val="nil"/>
              <w:right w:val="nil"/>
            </w:tcBorders>
          </w:tcPr>
          <w:p>
            <w:pPr>
              <w:pStyle w:val="yTable"/>
            </w:pPr>
          </w:p>
        </w:tc>
        <w:tc>
          <w:tcPr>
            <w:tcW w:w="5702" w:type="dxa"/>
            <w:gridSpan w:val="2"/>
            <w:tcBorders>
              <w:top w:val="nil"/>
              <w:left w:val="nil"/>
              <w:bottom w:val="single" w:sz="4" w:space="0" w:color="auto"/>
              <w:right w:val="nil"/>
            </w:tcBorders>
          </w:tcPr>
          <w:p>
            <w:pPr>
              <w:pStyle w:val="yTable"/>
            </w:pPr>
          </w:p>
        </w:tc>
      </w:tr>
      <w:tr>
        <w:trPr>
          <w:cantSplit/>
          <w:trHeight w:val="267"/>
        </w:trPr>
        <w:tc>
          <w:tcPr>
            <w:tcW w:w="1372" w:type="dxa"/>
            <w:gridSpan w:val="3"/>
            <w:vMerge w:val="restart"/>
            <w:tcBorders>
              <w:bottom w:val="single" w:sz="4" w:space="0" w:color="auto"/>
            </w:tcBorders>
            <w:shd w:val="pct20" w:color="C0C0C0" w:fill="FFFFFF"/>
          </w:tcPr>
          <w:p>
            <w:pPr>
              <w:pStyle w:val="yTableNAm"/>
              <w:rPr>
                <w:b/>
              </w:rPr>
            </w:pPr>
            <w:r>
              <w:rPr>
                <w:b/>
              </w:rPr>
              <w:t>Person issuing summons</w:t>
            </w:r>
          </w:p>
        </w:tc>
        <w:tc>
          <w:tcPr>
            <w:tcW w:w="5702" w:type="dxa"/>
            <w:gridSpan w:val="2"/>
            <w:tcBorders>
              <w:bottom w:val="nil"/>
            </w:tcBorders>
          </w:tcPr>
          <w:p>
            <w:pPr>
              <w:pStyle w:val="yTableNAm"/>
            </w:pPr>
            <w:r>
              <w:t>Name: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nil"/>
            </w:tcBorders>
          </w:tcPr>
          <w:p>
            <w:pPr>
              <w:pStyle w:val="yTableNAm"/>
            </w:pPr>
            <w:r>
              <w:t>Office:</w:t>
            </w:r>
          </w:p>
        </w:tc>
      </w:tr>
      <w:tr>
        <w:trPr>
          <w:cantSplit/>
          <w:trHeight w:val="265"/>
        </w:trPr>
        <w:tc>
          <w:tcPr>
            <w:tcW w:w="1372" w:type="dxa"/>
            <w:gridSpan w:val="3"/>
            <w:vMerge/>
            <w:tcBorders>
              <w:bottom w:val="single" w:sz="4" w:space="0" w:color="auto"/>
            </w:tcBorders>
            <w:shd w:val="pct20" w:color="C0C0C0" w:fill="FFFFFF"/>
          </w:tcPr>
          <w:p>
            <w:pPr>
              <w:pStyle w:val="yTable"/>
              <w:rPr>
                <w:b/>
              </w:rPr>
            </w:pPr>
          </w:p>
        </w:tc>
        <w:tc>
          <w:tcPr>
            <w:tcW w:w="5702" w:type="dxa"/>
            <w:gridSpan w:val="2"/>
            <w:tcBorders>
              <w:bottom w:val="single" w:sz="4" w:space="0" w:color="auto"/>
            </w:tcBorders>
          </w:tcPr>
          <w:p>
            <w:pPr>
              <w:pStyle w:val="yTableNAm"/>
              <w:tabs>
                <w:tab w:val="left" w:pos="3326"/>
              </w:tabs>
            </w:pPr>
            <w:r>
              <w:t>Signature:</w:t>
            </w:r>
            <w:r>
              <w:tab/>
              <w:t>Date:</w:t>
            </w:r>
          </w:p>
        </w:tc>
      </w:tr>
    </w:tbl>
    <w:p>
      <w:pPr>
        <w:pStyle w:val="yFootnotesection"/>
      </w:pPr>
      <w:r>
        <w:tab/>
        <w:t>[Form 2 inserted: Gazette 21 Apr 2006 p. 1578.]</w:t>
      </w:r>
    </w:p>
    <w:p>
      <w:pPr>
        <w:sectPr>
          <w:headerReference w:type="even" r:id="rId21"/>
          <w:headerReference w:type="default" r:id="rId22"/>
          <w:pgSz w:w="11907" w:h="16840" w:code="9"/>
          <w:pgMar w:top="2376" w:right="2405" w:bottom="3542" w:left="2405" w:header="706" w:footer="3380" w:gutter="0"/>
          <w:cols w:space="720"/>
          <w:noEndnote/>
          <w:docGrid w:linePitch="326"/>
        </w:sectPr>
      </w:pPr>
    </w:p>
    <w:p>
      <w:pPr>
        <w:pStyle w:val="yScheduleHeading"/>
      </w:pPr>
      <w:bookmarkStart w:id="172" w:name="_Toc11925558"/>
      <w:bookmarkStart w:id="173" w:name="_Toc11925999"/>
      <w:bookmarkStart w:id="174" w:name="_Toc11926117"/>
      <w:bookmarkStart w:id="175" w:name="_Toc12010844"/>
      <w:bookmarkStart w:id="176" w:name="_Toc11747655"/>
      <w:bookmarkStart w:id="177" w:name="_Toc11755449"/>
      <w:bookmarkStart w:id="178" w:name="_Toc11761413"/>
      <w:r>
        <w:rPr>
          <w:rStyle w:val="CharSchNo"/>
        </w:rPr>
        <w:t>Schedule 3</w:t>
      </w:r>
      <w:r>
        <w:t xml:space="preserve"> — </w:t>
      </w:r>
      <w:r>
        <w:rPr>
          <w:rStyle w:val="CharSchText"/>
        </w:rPr>
        <w:t>Witness fees and allowances</w:t>
      </w:r>
      <w:bookmarkEnd w:id="172"/>
      <w:bookmarkEnd w:id="173"/>
      <w:bookmarkEnd w:id="174"/>
      <w:bookmarkEnd w:id="175"/>
      <w:bookmarkEnd w:id="176"/>
      <w:bookmarkEnd w:id="177"/>
      <w:bookmarkEnd w:id="178"/>
    </w:p>
    <w:p>
      <w:pPr>
        <w:pStyle w:val="yShoulderClause"/>
      </w:pPr>
      <w:r>
        <w:t>[r. 9(4)]</w:t>
      </w:r>
    </w:p>
    <w:p>
      <w:pPr>
        <w:pStyle w:val="yHeading5"/>
      </w:pPr>
      <w:bookmarkStart w:id="179" w:name="_Toc12010845"/>
      <w:bookmarkStart w:id="180" w:name="_Toc11761414"/>
      <w:r>
        <w:rPr>
          <w:rStyle w:val="CharSClsNo"/>
        </w:rPr>
        <w:t>1</w:t>
      </w:r>
      <w:r>
        <w:t>.</w:t>
      </w:r>
      <w:r>
        <w:tab/>
        <w:t>Daily allowance</w:t>
      </w:r>
      <w:bookmarkEnd w:id="179"/>
      <w:bookmarkEnd w:id="180"/>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pPr>
      <w:bookmarkStart w:id="181" w:name="_Toc12010846"/>
      <w:bookmarkStart w:id="182" w:name="_Toc11761415"/>
      <w:r>
        <w:rPr>
          <w:rStyle w:val="CharSClsNo"/>
        </w:rPr>
        <w:t>2</w:t>
      </w:r>
      <w:r>
        <w:t>.</w:t>
      </w:r>
      <w:r>
        <w:tab/>
        <w:t>Expenses</w:t>
      </w:r>
      <w:bookmarkEnd w:id="181"/>
      <w:bookmarkEnd w:id="182"/>
    </w:p>
    <w:p>
      <w:pPr>
        <w:pStyle w:val="ySubsection"/>
      </w:pPr>
      <w:r>
        <w:tab/>
      </w:r>
      <w:r>
        <w:tab/>
        <w:t>A witness residing at a distance from the place of hearing is entitled to reasonable travelling expenses actually paid, and a reasonable amount for maintenance or sustenance.</w:t>
      </w:r>
    </w:p>
    <w:p>
      <w:pPr>
        <w:pStyle w:val="yHeading5"/>
      </w:pPr>
      <w:bookmarkStart w:id="183" w:name="_Toc12010847"/>
      <w:bookmarkStart w:id="184" w:name="_Toc11761416"/>
      <w:r>
        <w:rPr>
          <w:rStyle w:val="CharSClsNo"/>
        </w:rPr>
        <w:t>3</w:t>
      </w:r>
      <w:r>
        <w:t>.</w:t>
      </w:r>
      <w:r>
        <w:tab/>
        <w:t>Expert evidence</w:t>
      </w:r>
      <w:bookmarkEnd w:id="183"/>
      <w:bookmarkEnd w:id="184"/>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sectPr>
          <w:headerReference w:type="even" r:id="rId23"/>
          <w:headerReference w:type="default" r:id="rId24"/>
          <w:pgSz w:w="11907" w:h="16840" w:code="9"/>
          <w:pgMar w:top="2376" w:right="2405" w:bottom="3542" w:left="2405" w:header="706" w:footer="3380" w:gutter="0"/>
          <w:cols w:space="720"/>
          <w:noEndnote/>
          <w:docGrid w:linePitch="326"/>
        </w:sectPr>
      </w:pPr>
    </w:p>
    <w:p>
      <w:pPr>
        <w:pStyle w:val="yScheduleHeading"/>
      </w:pPr>
      <w:bookmarkStart w:id="185" w:name="_Toc11926003"/>
      <w:bookmarkStart w:id="186" w:name="_Toc11926121"/>
      <w:bookmarkStart w:id="187" w:name="_Toc12010848"/>
      <w:bookmarkStart w:id="188" w:name="_Toc11747659"/>
      <w:bookmarkStart w:id="189" w:name="_Toc11755453"/>
      <w:bookmarkStart w:id="190" w:name="_Toc11761417"/>
      <w:bookmarkStart w:id="191" w:name="_Toc11925562"/>
      <w:r>
        <w:rPr>
          <w:rStyle w:val="CharSchNo"/>
        </w:rPr>
        <w:t>Schedule</w:t>
      </w:r>
      <w:del w:id="192" w:author="Master Repository Process" w:date="2021-08-28T10:58:00Z">
        <w:r>
          <w:rPr>
            <w:rStyle w:val="CharSchNo"/>
          </w:rPr>
          <w:delText> </w:delText>
        </w:r>
      </w:del>
      <w:ins w:id="193" w:author="Master Repository Process" w:date="2021-08-28T10:58:00Z">
        <w:r>
          <w:rPr>
            <w:rStyle w:val="CharSchNo"/>
          </w:rPr>
          <w:t xml:space="preserve"> </w:t>
        </w:r>
      </w:ins>
      <w:r>
        <w:rPr>
          <w:rStyle w:val="CharSchNo"/>
        </w:rPr>
        <w:t>4</w:t>
      </w:r>
      <w:r>
        <w:t> — </w:t>
      </w:r>
      <w:r>
        <w:rPr>
          <w:rStyle w:val="CharSchText"/>
        </w:rPr>
        <w:t>Fees for permits and</w:t>
      </w:r>
      <w:del w:id="194" w:author="Master Repository Process" w:date="2021-08-28T10:58:00Z">
        <w:r>
          <w:rPr>
            <w:rStyle w:val="CharSchText"/>
          </w:rPr>
          <w:delText> </w:delText>
        </w:r>
      </w:del>
      <w:ins w:id="195" w:author="Master Repository Process" w:date="2021-08-28T10:58:00Z">
        <w:r>
          <w:rPr>
            <w:rStyle w:val="CharSchText"/>
          </w:rPr>
          <w:t xml:space="preserve"> </w:t>
        </w:r>
      </w:ins>
      <w:r>
        <w:rPr>
          <w:rStyle w:val="CharSchText"/>
        </w:rPr>
        <w:t>authorisations</w:t>
      </w:r>
      <w:bookmarkEnd w:id="185"/>
      <w:bookmarkEnd w:id="186"/>
      <w:bookmarkEnd w:id="187"/>
      <w:bookmarkEnd w:id="188"/>
      <w:bookmarkEnd w:id="189"/>
      <w:bookmarkEnd w:id="190"/>
    </w:p>
    <w:p>
      <w:pPr>
        <w:pStyle w:val="yShoulderClause"/>
      </w:pPr>
      <w:r>
        <w:t>[r. 11, 13A and 15A]</w:t>
      </w:r>
    </w:p>
    <w:p>
      <w:pPr>
        <w:pStyle w:val="yFootnoteheading"/>
        <w:spacing w:after="60"/>
      </w:pPr>
      <w:r>
        <w:tab/>
        <w:t xml:space="preserve">[Heading inserted: Gazette </w:t>
      </w:r>
      <w:del w:id="196" w:author="Master Repository Process" w:date="2021-08-28T10:58:00Z">
        <w:r>
          <w:delText>22 Dec 2017</w:delText>
        </w:r>
      </w:del>
      <w:ins w:id="197" w:author="Master Repository Process" w:date="2021-08-28T10:58:00Z">
        <w:r>
          <w:t>18 Jun 2019</w:t>
        </w:r>
      </w:ins>
      <w:r>
        <w:t xml:space="preserve"> p. </w:t>
      </w:r>
      <w:del w:id="198" w:author="Master Repository Process" w:date="2021-08-28T10:58:00Z">
        <w:r>
          <w:delText>5989</w:delText>
        </w:r>
      </w:del>
      <w:ins w:id="199" w:author="Master Repository Process" w:date="2021-08-28T10:58:00Z">
        <w:r>
          <w:t>2100</w:t>
        </w:r>
      </w:ins>
      <w:r>
        <w:t>.]</w:t>
      </w:r>
    </w:p>
    <w:p>
      <w:pPr>
        <w:pStyle w:val="ySubsection"/>
        <w:rPr>
          <w:del w:id="200" w:author="Master Repository Process" w:date="2021-08-28T10:58:00Z"/>
        </w:rPr>
      </w:pPr>
    </w:p>
    <w:tbl>
      <w:tblPr>
        <w:tblW w:w="0" w:type="auto"/>
        <w:tblInd w:w="283" w:type="dxa"/>
        <w:tblLayout w:type="fixed"/>
        <w:tblCellMar>
          <w:left w:w="141" w:type="dxa"/>
          <w:right w:w="141" w:type="dxa"/>
        </w:tblCellMar>
        <w:tblLook w:val="0000" w:firstRow="0" w:lastRow="0" w:firstColumn="0" w:lastColumn="0" w:noHBand="0" w:noVBand="0"/>
      </w:tblPr>
      <w:tblGrid>
        <w:gridCol w:w="5528"/>
        <w:gridCol w:w="1276"/>
      </w:tblGrid>
      <w:tr>
        <w:tc>
          <w:tcPr>
            <w:tcW w:w="5528" w:type="dxa"/>
            <w:tcBorders>
              <w:top w:val="single" w:sz="4" w:space="0" w:color="auto"/>
              <w:bottom w:val="single" w:sz="4" w:space="0" w:color="auto"/>
            </w:tcBorders>
          </w:tcPr>
          <w:p>
            <w:pPr>
              <w:pStyle w:val="yTableNAm"/>
              <w:rPr>
                <w:b/>
              </w:rPr>
            </w:pPr>
            <w:r>
              <w:rPr>
                <w:b/>
              </w:rPr>
              <w:t>Service</w:t>
            </w:r>
          </w:p>
        </w:tc>
        <w:tc>
          <w:tcPr>
            <w:tcW w:w="1276" w:type="dxa"/>
            <w:tcBorders>
              <w:top w:val="single" w:sz="4" w:space="0" w:color="auto"/>
              <w:bottom w:val="single" w:sz="4" w:space="0" w:color="auto"/>
            </w:tcBorders>
          </w:tcPr>
          <w:p>
            <w:pPr>
              <w:pStyle w:val="yTableNAm"/>
              <w:jc w:val="center"/>
              <w:rPr>
                <w:b/>
              </w:rPr>
            </w:pPr>
            <w:r>
              <w:rPr>
                <w:b/>
              </w:rPr>
              <w:t>Fee</w:t>
            </w:r>
          </w:p>
        </w:tc>
      </w:tr>
      <w:tr>
        <w:tc>
          <w:tcPr>
            <w:tcW w:w="5528" w:type="dxa"/>
            <w:tcBorders>
              <w:top w:val="single" w:sz="4" w:space="0" w:color="auto"/>
            </w:tcBorders>
          </w:tcPr>
          <w:p>
            <w:pPr>
              <w:pStyle w:val="yTableNAm"/>
            </w:pPr>
            <w:r>
              <w:t>Application for permit</w:t>
            </w:r>
          </w:p>
        </w:tc>
        <w:tc>
          <w:tcPr>
            <w:tcW w:w="1276" w:type="dxa"/>
            <w:tcBorders>
              <w:top w:val="single" w:sz="4" w:space="0" w:color="auto"/>
            </w:tcBorders>
          </w:tcPr>
          <w:p>
            <w:pPr>
              <w:pStyle w:val="yTableNAm"/>
              <w:jc w:val="right"/>
            </w:pPr>
            <w:r>
              <w:rPr>
                <w:szCs w:val="22"/>
              </w:rPr>
              <w:t>$</w:t>
            </w:r>
            <w:del w:id="201" w:author="Master Repository Process" w:date="2021-08-28T10:58:00Z">
              <w:r>
                <w:rPr>
                  <w:szCs w:val="22"/>
                </w:rPr>
                <w:delText>51.45</w:delText>
              </w:r>
            </w:del>
            <w:ins w:id="202" w:author="Master Repository Process" w:date="2021-08-28T10:58:00Z">
              <w:r>
                <w:rPr>
                  <w:szCs w:val="22"/>
                </w:rPr>
                <w:t>54.00</w:t>
              </w:r>
            </w:ins>
          </w:p>
        </w:tc>
      </w:tr>
      <w:tr>
        <w:tc>
          <w:tcPr>
            <w:tcW w:w="5528" w:type="dxa"/>
          </w:tcPr>
          <w:p>
            <w:pPr>
              <w:pStyle w:val="yTableNAm"/>
              <w:rPr>
                <w:rStyle w:val="DraftersNotes"/>
                <w:b w:val="0"/>
                <w:i w:val="0"/>
                <w:sz w:val="22"/>
              </w:rPr>
            </w:pPr>
            <w:r>
              <w:t>Issue or renewal of permit (for each year)</w:t>
            </w:r>
          </w:p>
        </w:tc>
        <w:tc>
          <w:tcPr>
            <w:tcW w:w="1276" w:type="dxa"/>
          </w:tcPr>
          <w:p>
            <w:pPr>
              <w:pStyle w:val="yTableNAm"/>
              <w:jc w:val="right"/>
              <w:rPr>
                <w:rStyle w:val="DraftersNotes"/>
                <w:b w:val="0"/>
                <w:i w:val="0"/>
                <w:sz w:val="22"/>
                <w:szCs w:val="22"/>
              </w:rPr>
            </w:pPr>
            <w:r>
              <w:rPr>
                <w:szCs w:val="22"/>
              </w:rPr>
              <w:t>$</w:t>
            </w:r>
            <w:del w:id="203" w:author="Master Repository Process" w:date="2021-08-28T10:58:00Z">
              <w:r>
                <w:rPr>
                  <w:szCs w:val="22"/>
                </w:rPr>
                <w:delText>54</w:delText>
              </w:r>
            </w:del>
            <w:ins w:id="204" w:author="Master Repository Process" w:date="2021-08-28T10:58:00Z">
              <w:r>
                <w:rPr>
                  <w:szCs w:val="22"/>
                </w:rPr>
                <w:t>57.00</w:t>
              </w:r>
            </w:ins>
          </w:p>
        </w:tc>
      </w:tr>
      <w:tr>
        <w:tc>
          <w:tcPr>
            <w:tcW w:w="5528" w:type="dxa"/>
          </w:tcPr>
          <w:p>
            <w:pPr>
              <w:pStyle w:val="yTableNAm"/>
            </w:pPr>
            <w:r>
              <w:t>Application for authorisation</w:t>
            </w:r>
          </w:p>
        </w:tc>
        <w:tc>
          <w:tcPr>
            <w:tcW w:w="1276" w:type="dxa"/>
          </w:tcPr>
          <w:p>
            <w:pPr>
              <w:pStyle w:val="yTableNAm"/>
              <w:jc w:val="right"/>
            </w:pPr>
            <w:r>
              <w:rPr>
                <w:szCs w:val="22"/>
              </w:rPr>
              <w:t>$</w:t>
            </w:r>
            <w:del w:id="205" w:author="Master Repository Process" w:date="2021-08-28T10:58:00Z">
              <w:r>
                <w:rPr>
                  <w:szCs w:val="22"/>
                </w:rPr>
                <w:delText>632.10</w:delText>
              </w:r>
            </w:del>
            <w:ins w:id="206" w:author="Master Repository Process" w:date="2021-08-28T10:58:00Z">
              <w:r>
                <w:rPr>
                  <w:szCs w:val="22"/>
                </w:rPr>
                <w:t>664.00</w:t>
              </w:r>
            </w:ins>
          </w:p>
        </w:tc>
      </w:tr>
      <w:tr>
        <w:tc>
          <w:tcPr>
            <w:tcW w:w="5528" w:type="dxa"/>
            <w:tcBorders>
              <w:bottom w:val="single" w:sz="4" w:space="0" w:color="auto"/>
            </w:tcBorders>
          </w:tcPr>
          <w:p>
            <w:pPr>
              <w:pStyle w:val="yTableNAm"/>
              <w:spacing w:after="120"/>
            </w:pPr>
            <w:r>
              <w:t>Replacement permit or authorisation</w:t>
            </w:r>
          </w:p>
        </w:tc>
        <w:tc>
          <w:tcPr>
            <w:tcW w:w="1276" w:type="dxa"/>
            <w:tcBorders>
              <w:bottom w:val="single" w:sz="4" w:space="0" w:color="auto"/>
            </w:tcBorders>
          </w:tcPr>
          <w:p>
            <w:pPr>
              <w:pStyle w:val="yTableNAm"/>
              <w:jc w:val="right"/>
            </w:pPr>
            <w:r>
              <w:rPr>
                <w:szCs w:val="22"/>
              </w:rPr>
              <w:t>$</w:t>
            </w:r>
            <w:del w:id="207" w:author="Master Repository Process" w:date="2021-08-28T10:58:00Z">
              <w:r>
                <w:rPr>
                  <w:szCs w:val="22"/>
                </w:rPr>
                <w:delText>110.25</w:delText>
              </w:r>
            </w:del>
            <w:ins w:id="208" w:author="Master Repository Process" w:date="2021-08-28T10:58:00Z">
              <w:r>
                <w:rPr>
                  <w:szCs w:val="22"/>
                </w:rPr>
                <w:t>116.00</w:t>
              </w:r>
            </w:ins>
          </w:p>
        </w:tc>
      </w:tr>
    </w:tbl>
    <w:p>
      <w:pPr>
        <w:pStyle w:val="yFootnotesection"/>
      </w:pPr>
      <w:r>
        <w:tab/>
        <w:t xml:space="preserve">[Schedule 4 inserted: Gazette </w:t>
      </w:r>
      <w:del w:id="209" w:author="Master Repository Process" w:date="2021-08-28T10:58:00Z">
        <w:r>
          <w:delText>22 Dec 2017 p. 5989; amended: Gazette 25</w:delText>
        </w:r>
      </w:del>
      <w:ins w:id="210" w:author="Master Repository Process" w:date="2021-08-28T10:58:00Z">
        <w:r>
          <w:t>18</w:t>
        </w:r>
      </w:ins>
      <w:r>
        <w:t> Jun </w:t>
      </w:r>
      <w:del w:id="211" w:author="Master Repository Process" w:date="2021-08-28T10:58:00Z">
        <w:r>
          <w:delText>2018</w:delText>
        </w:r>
      </w:del>
      <w:ins w:id="212" w:author="Master Repository Process" w:date="2021-08-28T10:58:00Z">
        <w:r>
          <w:t>2019</w:t>
        </w:r>
      </w:ins>
      <w:r>
        <w:t xml:space="preserve"> p. </w:t>
      </w:r>
      <w:del w:id="213" w:author="Master Repository Process" w:date="2021-08-28T10:58:00Z">
        <w:r>
          <w:delText>2342</w:delText>
        </w:r>
      </w:del>
      <w:ins w:id="214" w:author="Master Repository Process" w:date="2021-08-28T10:58:00Z">
        <w:r>
          <w:t>2100</w:t>
        </w:r>
      </w:ins>
      <w:r>
        <w:t>.]</w:t>
      </w:r>
    </w:p>
    <w:p>
      <w:pPr>
        <w:pStyle w:val="yScheduleHeading"/>
      </w:pPr>
      <w:bookmarkStart w:id="215" w:name="_Toc11925563"/>
      <w:bookmarkStart w:id="216" w:name="_Toc11926004"/>
      <w:bookmarkStart w:id="217" w:name="_Toc11926122"/>
      <w:bookmarkStart w:id="218" w:name="_Toc12010849"/>
      <w:bookmarkStart w:id="219" w:name="_Toc11747660"/>
      <w:bookmarkStart w:id="220" w:name="_Toc11755454"/>
      <w:bookmarkStart w:id="221" w:name="_Toc11761418"/>
      <w:bookmarkEnd w:id="191"/>
      <w:r>
        <w:rPr>
          <w:rStyle w:val="CharSchNo"/>
        </w:rPr>
        <w:t>Schedule 5</w:t>
      </w:r>
      <w:r>
        <w:t xml:space="preserve"> — </w:t>
      </w:r>
      <w:r>
        <w:rPr>
          <w:rStyle w:val="CharSchText"/>
        </w:rPr>
        <w:t>Classes of gasfitting work</w:t>
      </w:r>
      <w:bookmarkEnd w:id="215"/>
      <w:bookmarkEnd w:id="216"/>
      <w:bookmarkEnd w:id="217"/>
      <w:bookmarkEnd w:id="218"/>
      <w:bookmarkEnd w:id="219"/>
      <w:bookmarkEnd w:id="220"/>
      <w:bookmarkEnd w:id="221"/>
    </w:p>
    <w:p>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NAm"/>
              <w:rPr>
                <w:b/>
                <w:bCs/>
                <w:iCs/>
              </w:rPr>
            </w:pPr>
            <w:r>
              <w:rPr>
                <w:b/>
                <w:bCs/>
                <w:iCs/>
              </w:rPr>
              <w:t>Class</w:t>
            </w:r>
          </w:p>
        </w:tc>
        <w:tc>
          <w:tcPr>
            <w:tcW w:w="6065" w:type="dxa"/>
          </w:tcPr>
          <w:p>
            <w:pPr>
              <w:pStyle w:val="yTableNAm"/>
              <w:rPr>
                <w:b/>
                <w:bCs/>
                <w:iCs/>
              </w:rPr>
            </w:pPr>
            <w:r>
              <w:rPr>
                <w:b/>
                <w:bCs/>
                <w:iCs/>
              </w:rPr>
              <w:t>Description</w:t>
            </w:r>
          </w:p>
        </w:tc>
      </w:tr>
      <w:tr>
        <w:tc>
          <w:tcPr>
            <w:tcW w:w="1275" w:type="dxa"/>
          </w:tcPr>
          <w:p>
            <w:pPr>
              <w:pStyle w:val="yTableNAm"/>
            </w:pPr>
            <w:r>
              <w:t>Class G</w:t>
            </w:r>
          </w:p>
        </w:tc>
        <w:tc>
          <w:tcPr>
            <w:tcW w:w="6065" w:type="dxa"/>
          </w:tcPr>
          <w:p>
            <w:pPr>
              <w:pStyle w:val="yTableNAm"/>
            </w:pPr>
            <w:r>
              <w:t>All gasfitting work except gasfitting work classed as Class I, E or P.</w:t>
            </w:r>
          </w:p>
        </w:tc>
      </w:tr>
      <w:tr>
        <w:tc>
          <w:tcPr>
            <w:tcW w:w="1275" w:type="dxa"/>
          </w:tcPr>
          <w:p>
            <w:pPr>
              <w:pStyle w:val="yTableNAm"/>
            </w:pPr>
            <w:r>
              <w:t>Class I</w:t>
            </w:r>
          </w:p>
        </w:tc>
        <w:tc>
          <w:tcPr>
            <w:tcW w:w="6065" w:type="dxa"/>
          </w:tcPr>
          <w:p>
            <w:pPr>
              <w:pStyle w:val="yTableNAm"/>
            </w:pPr>
            <w:r>
              <w:t>Gasfitting work —</w:t>
            </w:r>
          </w:p>
          <w:p>
            <w:pPr>
              <w:pStyle w:val="yTableNAm"/>
              <w:tabs>
                <w:tab w:val="clear" w:pos="567"/>
                <w:tab w:val="left" w:pos="406"/>
              </w:tabs>
              <w:ind w:left="406" w:hanging="406"/>
            </w:pPr>
            <w:r>
              <w:t>(a)</w:t>
            </w:r>
            <w:r>
              <w:tab/>
              <w:t>on a consumer’s gas installation associated with a Type B appliance; or</w:t>
            </w:r>
          </w:p>
          <w:p>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tc>
          <w:tcPr>
            <w:tcW w:w="1275" w:type="dxa"/>
          </w:tcPr>
          <w:p>
            <w:pPr>
              <w:pStyle w:val="yTableNAm"/>
            </w:pPr>
            <w:r>
              <w:t>Class E</w:t>
            </w:r>
          </w:p>
        </w:tc>
        <w:tc>
          <w:tcPr>
            <w:tcW w:w="6065" w:type="dxa"/>
          </w:tcPr>
          <w:p>
            <w:pPr>
              <w:pStyle w:val="yTableNAm"/>
            </w:pPr>
            <w:r>
              <w:t>Gasfitting work associated with a mobile engine.</w:t>
            </w:r>
          </w:p>
        </w:tc>
      </w:tr>
      <w:tr>
        <w:tc>
          <w:tcPr>
            <w:tcW w:w="1275" w:type="dxa"/>
          </w:tcPr>
          <w:p>
            <w:pPr>
              <w:pStyle w:val="yTableNAm"/>
            </w:pPr>
            <w:r>
              <w:t>Class P</w:t>
            </w:r>
          </w:p>
        </w:tc>
        <w:tc>
          <w:tcPr>
            <w:tcW w:w="6065" w:type="dxa"/>
          </w:tcPr>
          <w:p>
            <w:pPr>
              <w:pStyle w:val="yTableNAm"/>
            </w:pPr>
            <w:r>
              <w:t>Gasfitting work on a gas installation associated with the storage and dispensing of gas for the refuelling of a motor vehicle as defined in</w:t>
            </w:r>
            <w:r>
              <w:rPr>
                <w:szCs w:val="22"/>
              </w:rPr>
              <w:t xml:space="preserve"> the </w:t>
            </w:r>
            <w:r>
              <w:rPr>
                <w:i/>
                <w:szCs w:val="22"/>
              </w:rPr>
              <w:t>Road Traffic (Administration) Act 2008</w:t>
            </w:r>
            <w:r>
              <w:rPr>
                <w:szCs w:val="22"/>
              </w:rPr>
              <w:t xml:space="preserve"> section 4.</w:t>
            </w:r>
          </w:p>
        </w:tc>
      </w:tr>
    </w:tbl>
    <w:p>
      <w:pPr>
        <w:pStyle w:val="yFootnotesection"/>
      </w:pPr>
      <w:r>
        <w:tab/>
        <w:t>[Schedule 5 amended: Gazette 8 Jan 2015 p. 100.]</w:t>
      </w:r>
    </w:p>
    <w:p>
      <w:pPr>
        <w:sectPr>
          <w:headerReference w:type="even" r:id="rId25"/>
          <w:headerReference w:type="default" r:id="rId26"/>
          <w:pgSz w:w="11907" w:h="16840" w:code="9"/>
          <w:pgMar w:top="2376" w:right="2405" w:bottom="3542" w:left="2405" w:header="706" w:footer="3380" w:gutter="0"/>
          <w:cols w:space="720"/>
          <w:noEndnote/>
          <w:docGrid w:linePitch="326"/>
        </w:sectPr>
      </w:pPr>
    </w:p>
    <w:p>
      <w:pPr>
        <w:pStyle w:val="yScheduleHeading"/>
      </w:pPr>
      <w:bookmarkStart w:id="222" w:name="_Toc11925564"/>
      <w:bookmarkStart w:id="223" w:name="_Toc11926005"/>
      <w:bookmarkStart w:id="224" w:name="_Toc11926123"/>
      <w:bookmarkStart w:id="225" w:name="_Toc12010850"/>
      <w:bookmarkStart w:id="226" w:name="_Toc11747661"/>
      <w:bookmarkStart w:id="227" w:name="_Toc11755455"/>
      <w:bookmarkStart w:id="228" w:name="_Toc11761419"/>
      <w:r>
        <w:rPr>
          <w:rStyle w:val="CharSchNo"/>
        </w:rPr>
        <w:t>Schedule 6</w:t>
      </w:r>
      <w:r>
        <w:t xml:space="preserve"> — </w:t>
      </w:r>
      <w:r>
        <w:rPr>
          <w:rStyle w:val="CharSchText"/>
        </w:rPr>
        <w:t>Certain requirements as to consumers’ gas installations</w:t>
      </w:r>
      <w:bookmarkEnd w:id="222"/>
      <w:bookmarkEnd w:id="223"/>
      <w:bookmarkEnd w:id="224"/>
      <w:bookmarkEnd w:id="225"/>
      <w:bookmarkEnd w:id="226"/>
      <w:bookmarkEnd w:id="227"/>
      <w:bookmarkEnd w:id="228"/>
    </w:p>
    <w:p>
      <w:pPr>
        <w:pStyle w:val="yShoulderClause"/>
      </w:pPr>
      <w:r>
        <w:t>[r. 32(1)(a)]</w:t>
      </w:r>
    </w:p>
    <w:p>
      <w:pPr>
        <w:pStyle w:val="yHeading3"/>
      </w:pPr>
      <w:bookmarkStart w:id="229" w:name="_Toc11925565"/>
      <w:bookmarkStart w:id="230" w:name="_Toc11926006"/>
      <w:bookmarkStart w:id="231" w:name="_Toc11926124"/>
      <w:bookmarkStart w:id="232" w:name="_Toc12010851"/>
      <w:bookmarkStart w:id="233" w:name="_Toc11747662"/>
      <w:bookmarkStart w:id="234" w:name="_Toc11755456"/>
      <w:bookmarkStart w:id="235" w:name="_Toc11761420"/>
      <w:r>
        <w:rPr>
          <w:rStyle w:val="CharSDivNo"/>
        </w:rPr>
        <w:t>Division 1</w:t>
      </w:r>
      <w:r>
        <w:t xml:space="preserve"> — </w:t>
      </w:r>
      <w:r>
        <w:rPr>
          <w:rStyle w:val="CharSDivText"/>
        </w:rPr>
        <w:t>Interpretation</w:t>
      </w:r>
      <w:bookmarkEnd w:id="229"/>
      <w:bookmarkEnd w:id="230"/>
      <w:bookmarkEnd w:id="231"/>
      <w:bookmarkEnd w:id="232"/>
      <w:bookmarkEnd w:id="233"/>
      <w:bookmarkEnd w:id="234"/>
      <w:bookmarkEnd w:id="235"/>
    </w:p>
    <w:p>
      <w:pPr>
        <w:pStyle w:val="yHeading5"/>
      </w:pPr>
      <w:bookmarkStart w:id="236" w:name="_Toc12010852"/>
      <w:bookmarkStart w:id="237" w:name="_Toc11761421"/>
      <w:r>
        <w:rPr>
          <w:rStyle w:val="CharSClsNo"/>
        </w:rPr>
        <w:t>101</w:t>
      </w:r>
      <w:r>
        <w:t>.</w:t>
      </w:r>
      <w:r>
        <w:tab/>
        <w:t>Terms used</w:t>
      </w:r>
      <w:bookmarkEnd w:id="236"/>
      <w:bookmarkEnd w:id="237"/>
    </w:p>
    <w:p>
      <w:pPr>
        <w:pStyle w:val="ySubsection"/>
      </w:pPr>
      <w:r>
        <w:tab/>
      </w:r>
      <w:r>
        <w:tab/>
        <w:t>In this Schedule, unless the contrary intention appears —</w:t>
      </w:r>
    </w:p>
    <w:p>
      <w:pPr>
        <w:pStyle w:val="yDefstart"/>
      </w:pPr>
      <w:r>
        <w:tab/>
      </w:r>
      <w:r>
        <w:rPr>
          <w:rStyle w:val="CharDefText"/>
        </w:rPr>
        <w:t>approved</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rStyle w:val="CharDefText"/>
        </w:rPr>
        <w:t>bedroom</w:t>
      </w:r>
      <w:r>
        <w:t xml:space="preserve"> means any room used or intended to be used as sleeping quarters;</w:t>
      </w:r>
    </w:p>
    <w:p>
      <w:pPr>
        <w:pStyle w:val="yDefstart"/>
      </w:pPr>
      <w:r>
        <w:tab/>
      </w:r>
      <w:r>
        <w:rPr>
          <w:rStyle w:val="CharDefText"/>
        </w:rPr>
        <w:t>flame safeguard system</w:t>
      </w:r>
      <w:r>
        <w:t xml:space="preserve"> means a system designed to detect flame failure and shut off the flow of gas when flame failure is detected;</w:t>
      </w:r>
    </w:p>
    <w:p>
      <w:pPr>
        <w:pStyle w:val="yDefstart"/>
      </w:pPr>
      <w:r>
        <w:tab/>
      </w:r>
      <w:r>
        <w:rPr>
          <w:rStyle w:val="CharDefText"/>
        </w:rPr>
        <w:t>prescribed pressure</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Ednotedivision"/>
        <w:tabs>
          <w:tab w:val="left" w:pos="2410"/>
        </w:tabs>
        <w:ind w:left="1134" w:hanging="1134"/>
      </w:pPr>
      <w:r>
        <w:tab/>
        <w:t xml:space="preserve">[Division 2:  </w:t>
      </w:r>
      <w:r>
        <w:tab/>
        <w:t>r.  201 deleted: Gazette 21 Apr 2006 p. 1578;.</w:t>
      </w:r>
      <w:r>
        <w:br/>
      </w:r>
      <w:r>
        <w:tab/>
        <w:t>r. 202-208 deleted: Gazette 2 Oct 2018 p. 3784.]</w:t>
      </w:r>
    </w:p>
    <w:p>
      <w:pPr>
        <w:pStyle w:val="yHeading3"/>
      </w:pPr>
      <w:bookmarkStart w:id="238" w:name="_Toc11925567"/>
      <w:bookmarkStart w:id="239" w:name="_Toc11926008"/>
      <w:bookmarkStart w:id="240" w:name="_Toc11926126"/>
      <w:bookmarkStart w:id="241" w:name="_Toc12010853"/>
      <w:bookmarkStart w:id="242" w:name="_Toc11747664"/>
      <w:bookmarkStart w:id="243" w:name="_Toc11755458"/>
      <w:bookmarkStart w:id="244" w:name="_Toc11761422"/>
      <w:r>
        <w:rPr>
          <w:rStyle w:val="CharSDivNo"/>
        </w:rPr>
        <w:t>Division 3</w:t>
      </w:r>
      <w:r>
        <w:rPr>
          <w:rStyle w:val="CharDivNo"/>
        </w:rPr>
        <w:t xml:space="preserve"> — </w:t>
      </w:r>
      <w:r>
        <w:rPr>
          <w:rStyle w:val="CharSDivText"/>
        </w:rPr>
        <w:t>LPG cylinders and tanks</w:t>
      </w:r>
      <w:bookmarkEnd w:id="238"/>
      <w:bookmarkEnd w:id="239"/>
      <w:bookmarkEnd w:id="240"/>
      <w:bookmarkEnd w:id="241"/>
      <w:bookmarkEnd w:id="242"/>
      <w:bookmarkEnd w:id="243"/>
      <w:bookmarkEnd w:id="244"/>
    </w:p>
    <w:p>
      <w:pPr>
        <w:pStyle w:val="yHeading5"/>
      </w:pPr>
      <w:bookmarkStart w:id="245" w:name="_Toc12010854"/>
      <w:bookmarkStart w:id="246" w:name="_Toc11761423"/>
      <w:r>
        <w:rPr>
          <w:rStyle w:val="CharSClsNo"/>
        </w:rPr>
        <w:t>301</w:t>
      </w:r>
      <w:r>
        <w:t>.</w:t>
      </w:r>
      <w:r>
        <w:tab/>
        <w:t>Location of cylinders, tanks and regulators</w:t>
      </w:r>
      <w:bookmarkEnd w:id="245"/>
      <w:bookmarkEnd w:id="246"/>
    </w:p>
    <w:p>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pPr>
        <w:pStyle w:val="ySubsection"/>
        <w:rPr>
          <w:snapToGrid w:val="0"/>
        </w:rPr>
      </w:pPr>
      <w:r>
        <w:tab/>
        <w:t>(2)</w:t>
      </w:r>
      <w:r>
        <w:tab/>
      </w:r>
      <w:r>
        <w:rPr>
          <w:snapToGrid w:val="0"/>
        </w:rPr>
        <w:t>This clause applies in addition to</w:t>
      </w:r>
      <w:r>
        <w:t xml:space="preserve"> any relevant requirements in AS/NZS 5601.</w:t>
      </w:r>
    </w:p>
    <w:p>
      <w:pPr>
        <w:pStyle w:val="yFootnotesection"/>
      </w:pPr>
      <w:r>
        <w:tab/>
        <w:t>[Clause 301 amended: Gazette 19 Dec 2000 p. 7281; 31 Jan 2003 p. 280; 21 Apr 2006 p. 1578; 18 Jan 2011 p. 147.]</w:t>
      </w:r>
    </w:p>
    <w:p>
      <w:pPr>
        <w:pStyle w:val="yHeading5"/>
        <w:spacing w:before="240"/>
      </w:pPr>
      <w:bookmarkStart w:id="247" w:name="_Toc12010855"/>
      <w:bookmarkStart w:id="248" w:name="_Toc11761424"/>
      <w:r>
        <w:rPr>
          <w:rStyle w:val="CharSClsNo"/>
        </w:rPr>
        <w:t>302</w:t>
      </w:r>
      <w:r>
        <w:t>.</w:t>
      </w:r>
      <w:r>
        <w:tab/>
        <w:t>Housings for cylinders</w:t>
      </w:r>
      <w:bookmarkEnd w:id="247"/>
      <w:bookmarkEnd w:id="248"/>
    </w:p>
    <w:p>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pPr>
      <w:r>
        <w:tab/>
        <w:t>(2)</w:t>
      </w:r>
      <w:r>
        <w:tab/>
      </w:r>
      <w:r>
        <w:rPr>
          <w:snapToGrid w:val="0"/>
        </w:rPr>
        <w:t>This clause applies in addition to</w:t>
      </w:r>
      <w:r>
        <w:t xml:space="preserve"> any relevant requirements in AS/NZS 5601.</w:t>
      </w:r>
    </w:p>
    <w:p>
      <w:pPr>
        <w:pStyle w:val="yFootnotesection"/>
      </w:pPr>
      <w:r>
        <w:tab/>
        <w:t>[Clause 302 amended: Gazette 31 Jan 2003 p. 280; 21 Apr 2006 p. 1579; 18 Jan 2011 p. 147.]</w:t>
      </w:r>
    </w:p>
    <w:p>
      <w:pPr>
        <w:pStyle w:val="yHeading5"/>
        <w:keepNext w:val="0"/>
        <w:keepLines w:val="0"/>
      </w:pPr>
      <w:bookmarkStart w:id="249" w:name="_Toc12010856"/>
      <w:bookmarkStart w:id="250" w:name="_Toc11761425"/>
      <w:r>
        <w:rPr>
          <w:rStyle w:val="CharSClsNo"/>
        </w:rPr>
        <w:t>303</w:t>
      </w:r>
      <w:r>
        <w:t>.</w:t>
      </w:r>
      <w:r>
        <w:tab/>
        <w:t>Pressure relief valve outlets, position of</w:t>
      </w:r>
      <w:bookmarkEnd w:id="249"/>
      <w:bookmarkEnd w:id="250"/>
    </w:p>
    <w:p>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pPr>
      <w:r>
        <w:tab/>
        <w:t>(3)</w:t>
      </w:r>
      <w:r>
        <w:tab/>
      </w:r>
      <w:r>
        <w:rPr>
          <w:snapToGrid w:val="0"/>
        </w:rPr>
        <w:t>This clause applies</w:t>
      </w:r>
      <w:r>
        <w:t xml:space="preserve"> in addition to any relevant requirements in AS/NZS 5601.</w:t>
      </w:r>
    </w:p>
    <w:p>
      <w:pPr>
        <w:pStyle w:val="yFootnotesection"/>
      </w:pPr>
      <w:r>
        <w:tab/>
        <w:t>[Clause 303 amended: Gazette 19 Dec 2000 p. 7281; 31 Jan 2003 p. 281; 21 Apr 2006 p. 1579; 18 Jan 2011 p. 147.]</w:t>
      </w:r>
    </w:p>
    <w:p>
      <w:pPr>
        <w:pStyle w:val="yHeading5"/>
      </w:pPr>
      <w:bookmarkStart w:id="251" w:name="_Toc12010857"/>
      <w:bookmarkStart w:id="252" w:name="_Toc11761426"/>
      <w:r>
        <w:rPr>
          <w:rStyle w:val="CharSClsNo"/>
        </w:rPr>
        <w:t>304</w:t>
      </w:r>
      <w:r>
        <w:t>.</w:t>
      </w:r>
      <w:r>
        <w:tab/>
        <w:t>Appliances not to be connected to gas supply for mobile engines</w:t>
      </w:r>
      <w:bookmarkEnd w:id="251"/>
      <w:bookmarkEnd w:id="252"/>
    </w:p>
    <w:p>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pPr>
      <w:bookmarkStart w:id="253" w:name="_Toc11925572"/>
      <w:bookmarkStart w:id="254" w:name="_Toc11926013"/>
      <w:bookmarkStart w:id="255" w:name="_Toc11926131"/>
      <w:bookmarkStart w:id="256" w:name="_Toc12010858"/>
      <w:bookmarkStart w:id="257" w:name="_Toc11747669"/>
      <w:bookmarkStart w:id="258" w:name="_Toc11755463"/>
      <w:bookmarkStart w:id="259" w:name="_Toc11761427"/>
      <w:r>
        <w:rPr>
          <w:rStyle w:val="CharSDivNo"/>
        </w:rPr>
        <w:t>Division 4</w:t>
      </w:r>
      <w:r>
        <w:rPr>
          <w:rStyle w:val="CharDivNo"/>
        </w:rPr>
        <w:t xml:space="preserve"> — </w:t>
      </w:r>
      <w:r>
        <w:rPr>
          <w:rStyle w:val="CharSDivText"/>
        </w:rPr>
        <w:t>Fitting lines and fittings</w:t>
      </w:r>
      <w:bookmarkEnd w:id="253"/>
      <w:bookmarkEnd w:id="254"/>
      <w:bookmarkEnd w:id="255"/>
      <w:bookmarkEnd w:id="256"/>
      <w:bookmarkEnd w:id="257"/>
      <w:bookmarkEnd w:id="258"/>
      <w:bookmarkEnd w:id="259"/>
    </w:p>
    <w:p>
      <w:pPr>
        <w:pStyle w:val="yHeading5"/>
        <w:spacing w:before="180"/>
      </w:pPr>
      <w:bookmarkStart w:id="260" w:name="_Toc12010859"/>
      <w:bookmarkStart w:id="261" w:name="_Toc11761428"/>
      <w:r>
        <w:rPr>
          <w:rStyle w:val="CharSClsNo"/>
        </w:rPr>
        <w:t>401</w:t>
      </w:r>
      <w:r>
        <w:t>.</w:t>
      </w:r>
      <w:r>
        <w:tab/>
        <w:t>Fitting lines and fittings</w:t>
      </w:r>
      <w:bookmarkEnd w:id="260"/>
      <w:bookmarkEnd w:id="261"/>
    </w:p>
    <w:p>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pPr>
        <w:pStyle w:val="ySubsection"/>
        <w:spacing w:before="140"/>
      </w:pPr>
      <w:r>
        <w:tab/>
        <w:t>(2)</w:t>
      </w:r>
      <w:r>
        <w:tab/>
        <w:t xml:space="preserve">A fitting line or fitting on a consumer’s gas installation that is to operate at a pressure exceeding 200 kPa must comply with the following standards — </w:t>
      </w:r>
    </w:p>
    <w:p>
      <w:pPr>
        <w:pStyle w:val="yIndenta"/>
        <w:spacing w:before="60"/>
      </w:pPr>
      <w:r>
        <w:tab/>
        <w:t>(a)</w:t>
      </w:r>
      <w:r>
        <w:tab/>
        <w:t>AS 4041 — for above ground steel piping;</w:t>
      </w:r>
    </w:p>
    <w:p>
      <w:pPr>
        <w:pStyle w:val="yIndenta"/>
        <w:spacing w:before="60"/>
      </w:pPr>
      <w:r>
        <w:tab/>
        <w:t>(b)</w:t>
      </w:r>
      <w:r>
        <w:tab/>
        <w:t>AS 4645.2 — for below ground steel piping, operating at a pressure not exceeding 1050 kPa;</w:t>
      </w:r>
    </w:p>
    <w:p>
      <w:pPr>
        <w:pStyle w:val="yIndenta"/>
        <w:spacing w:before="60"/>
      </w:pPr>
      <w:r>
        <w:tab/>
        <w:t>(c)</w:t>
      </w:r>
      <w:r>
        <w:tab/>
        <w:t>AS 2885 — for below ground steel piping, operating at a pressure of or exceeding 1050 kPa;</w:t>
      </w:r>
    </w:p>
    <w:p>
      <w:pPr>
        <w:pStyle w:val="yIndenta"/>
        <w:spacing w:before="60"/>
      </w:pPr>
      <w:r>
        <w:tab/>
        <w:t>(d)</w:t>
      </w:r>
      <w:r>
        <w:tab/>
        <w:t>AS 4645.3 — for below ground plastic piping.</w:t>
      </w:r>
    </w:p>
    <w:p>
      <w:pPr>
        <w:pStyle w:val="yFootnotesection"/>
      </w:pPr>
      <w:r>
        <w:tab/>
        <w:t>[Clause 401 amended: Gazette 19 Dec 2000 p. 7281; 31 Jan 2003 p. 281; 21 Apr 2006 p. 1579; 26 Nov 2010 p. 5932; 18 Jan 2011 p. 147.]</w:t>
      </w:r>
    </w:p>
    <w:p>
      <w:pPr>
        <w:pStyle w:val="yHeading5"/>
        <w:keepNext w:val="0"/>
        <w:keepLines w:val="0"/>
        <w:spacing w:before="160"/>
      </w:pPr>
      <w:bookmarkStart w:id="262" w:name="_Toc12010860"/>
      <w:bookmarkStart w:id="263" w:name="_Toc11761429"/>
      <w:r>
        <w:rPr>
          <w:rStyle w:val="CharSClsNo"/>
        </w:rPr>
        <w:t>402</w:t>
      </w:r>
      <w:r>
        <w:t>.</w:t>
      </w:r>
      <w:r>
        <w:tab/>
        <w:t>PVC or PE fitting lines</w:t>
      </w:r>
      <w:bookmarkEnd w:id="262"/>
      <w:bookmarkEnd w:id="263"/>
    </w:p>
    <w:p>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20"/>
      </w:pPr>
      <w:r>
        <w:tab/>
        <w:t>(2)</w:t>
      </w:r>
      <w:r>
        <w:tab/>
      </w:r>
      <w:r>
        <w:rPr>
          <w:snapToGrid w:val="0"/>
        </w:rPr>
        <w:t xml:space="preserve">This clause applies in addition to </w:t>
      </w:r>
      <w:r>
        <w:t>the Table on consumer piping and materials and duty limits in AS/NZS 5601.</w:t>
      </w:r>
    </w:p>
    <w:p>
      <w:pPr>
        <w:pStyle w:val="yFootnotesection"/>
        <w:spacing w:before="80"/>
      </w:pPr>
      <w:r>
        <w:tab/>
        <w:t>[Clause 402 amended: Gazette 19 Dec 2000 p. 7281; 31 Jan 2003 p. 281; 21 Apr 2006 p. 1579; 18 Jan 2011 p. 147.]</w:t>
      </w:r>
    </w:p>
    <w:p>
      <w:pPr>
        <w:pStyle w:val="yEdnotesection"/>
        <w:spacing w:before="200"/>
      </w:pPr>
      <w:r>
        <w:t>[</w:t>
      </w:r>
      <w:r>
        <w:rPr>
          <w:b/>
        </w:rPr>
        <w:t>403.</w:t>
      </w:r>
      <w:r>
        <w:tab/>
        <w:t>Deleted: Gazette 19 Dec 2000 p. 7281.]</w:t>
      </w:r>
    </w:p>
    <w:p>
      <w:pPr>
        <w:pStyle w:val="yEdnotesection"/>
        <w:spacing w:before="200"/>
      </w:pPr>
      <w:r>
        <w:t>[</w:t>
      </w:r>
      <w:r>
        <w:rPr>
          <w:b/>
          <w:bCs/>
        </w:rPr>
        <w:t>404.</w:t>
      </w:r>
      <w:r>
        <w:tab/>
        <w:t>Deleted: Gazette 21 Apr 2006 p. 1579.]</w:t>
      </w:r>
    </w:p>
    <w:p>
      <w:pPr>
        <w:pStyle w:val="yHeading5"/>
        <w:spacing w:before="200"/>
      </w:pPr>
      <w:bookmarkStart w:id="264" w:name="_Toc12010861"/>
      <w:bookmarkStart w:id="265" w:name="_Toc11761430"/>
      <w:r>
        <w:rPr>
          <w:rStyle w:val="CharSClsNo"/>
        </w:rPr>
        <w:t>405</w:t>
      </w:r>
      <w:r>
        <w:t>.</w:t>
      </w:r>
      <w:r>
        <w:tab/>
        <w:t>Pressure holding capability of consumer’s gas installations</w:t>
      </w:r>
      <w:bookmarkEnd w:id="264"/>
      <w:bookmarkEnd w:id="265"/>
    </w:p>
    <w:p>
      <w:pPr>
        <w:pStyle w:val="ySubsection"/>
        <w:spacing w:before="120"/>
        <w:rPr>
          <w:snapToGrid w:val="0"/>
        </w:rPr>
      </w:pPr>
      <w:r>
        <w:tab/>
      </w:r>
      <w:r>
        <w:tab/>
      </w:r>
      <w:r>
        <w:rPr>
          <w:snapToGrid w:val="0"/>
        </w:rPr>
        <w:t>A consumer’s gas installation must not leak when subjected to an approved test.</w:t>
      </w:r>
    </w:p>
    <w:p>
      <w:pPr>
        <w:pStyle w:val="yHeading5"/>
        <w:spacing w:before="200"/>
      </w:pPr>
      <w:bookmarkStart w:id="266" w:name="_Toc12010862"/>
      <w:bookmarkStart w:id="267" w:name="_Toc11761431"/>
      <w:r>
        <w:rPr>
          <w:rStyle w:val="CharSClsNo"/>
        </w:rPr>
        <w:t>406</w:t>
      </w:r>
      <w:r>
        <w:t>.</w:t>
      </w:r>
      <w:r>
        <w:tab/>
        <w:t>Protection from excessive pressure</w:t>
      </w:r>
      <w:bookmarkEnd w:id="266"/>
      <w:bookmarkEnd w:id="267"/>
    </w:p>
    <w:p>
      <w:pPr>
        <w:pStyle w:val="ySubsection"/>
        <w:spacing w:before="12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spacing w:before="120"/>
      </w:pPr>
      <w:r>
        <w:tab/>
        <w:t>(2)</w:t>
      </w:r>
      <w:r>
        <w:tab/>
        <w:t>In subclause (1) —</w:t>
      </w:r>
    </w:p>
    <w:p>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pPr>
        <w:pStyle w:val="yFootnotesection"/>
        <w:spacing w:before="80"/>
      </w:pPr>
      <w:r>
        <w:tab/>
        <w:t>[Clause 406 amended: Gazette 19 Dec 2000 p. 7281; 31 Jan 2003 p. 281; 21 Apr 2006 p. 1579.]</w:t>
      </w:r>
    </w:p>
    <w:p>
      <w:pPr>
        <w:pStyle w:val="yHeading3"/>
      </w:pPr>
      <w:bookmarkStart w:id="268" w:name="_Toc11925577"/>
      <w:bookmarkStart w:id="269" w:name="_Toc11926018"/>
      <w:bookmarkStart w:id="270" w:name="_Toc11926136"/>
      <w:bookmarkStart w:id="271" w:name="_Toc12010863"/>
      <w:bookmarkStart w:id="272" w:name="_Toc11747674"/>
      <w:bookmarkStart w:id="273" w:name="_Toc11755468"/>
      <w:bookmarkStart w:id="274" w:name="_Toc11761432"/>
      <w:r>
        <w:rPr>
          <w:rStyle w:val="CharSDivNo"/>
        </w:rPr>
        <w:t>Division 5</w:t>
      </w:r>
      <w:r>
        <w:rPr>
          <w:rStyle w:val="CharDivNo"/>
        </w:rPr>
        <w:t xml:space="preserve"> — </w:t>
      </w:r>
      <w:r>
        <w:rPr>
          <w:rStyle w:val="CharSDivText"/>
        </w:rPr>
        <w:t>Appliances generally</w:t>
      </w:r>
      <w:bookmarkEnd w:id="268"/>
      <w:bookmarkEnd w:id="269"/>
      <w:bookmarkEnd w:id="270"/>
      <w:bookmarkEnd w:id="271"/>
      <w:bookmarkEnd w:id="272"/>
      <w:bookmarkEnd w:id="273"/>
      <w:bookmarkEnd w:id="274"/>
    </w:p>
    <w:p>
      <w:pPr>
        <w:pStyle w:val="yHeading5"/>
        <w:keepLines w:val="0"/>
        <w:spacing w:before="180"/>
      </w:pPr>
      <w:bookmarkStart w:id="275" w:name="_Toc12010864"/>
      <w:bookmarkStart w:id="276" w:name="_Toc11761433"/>
      <w:r>
        <w:rPr>
          <w:rStyle w:val="CharSClsNo"/>
        </w:rPr>
        <w:t>501</w:t>
      </w:r>
      <w:r>
        <w:t>.</w:t>
      </w:r>
      <w:r>
        <w:tab/>
        <w:t>Appliances to be approved</w:t>
      </w:r>
      <w:bookmarkEnd w:id="275"/>
      <w:bookmarkEnd w:id="276"/>
    </w:p>
    <w:p>
      <w:pPr>
        <w:pStyle w:val="ySubsection"/>
        <w:keepNext/>
        <w:spacing w:before="120"/>
        <w:rPr>
          <w:snapToGrid w:val="0"/>
        </w:rPr>
      </w:pPr>
      <w:r>
        <w:tab/>
        <w:t>(1)</w:t>
      </w:r>
      <w:r>
        <w:tab/>
        <w:t>A Type A gas appliance 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Footnotesection"/>
      </w:pPr>
      <w:r>
        <w:tab/>
        <w:t>[Clause 501 amended: Gazette 30 Nov 2007 p. 5937.]</w:t>
      </w:r>
    </w:p>
    <w:p>
      <w:pPr>
        <w:pStyle w:val="yHeading5"/>
      </w:pPr>
      <w:bookmarkStart w:id="277" w:name="_Toc12010865"/>
      <w:bookmarkStart w:id="278" w:name="_Toc11761434"/>
      <w:r>
        <w:rPr>
          <w:rStyle w:val="CharSClsNo"/>
        </w:rPr>
        <w:t>502</w:t>
      </w:r>
      <w:r>
        <w:t>.</w:t>
      </w:r>
      <w:r>
        <w:tab/>
        <w:t>Appliances not to be connected to wrong type of gas</w:t>
      </w:r>
      <w:bookmarkEnd w:id="277"/>
      <w:bookmarkEnd w:id="278"/>
    </w:p>
    <w:p>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pPr>
      <w:bookmarkStart w:id="279" w:name="_Toc12010866"/>
      <w:bookmarkStart w:id="280" w:name="_Toc11761435"/>
      <w:r>
        <w:rPr>
          <w:rStyle w:val="CharSClsNo"/>
        </w:rPr>
        <w:t>503</w:t>
      </w:r>
      <w:r>
        <w:t>.</w:t>
      </w:r>
      <w:r>
        <w:tab/>
        <w:t>Avoidance of hazards</w:t>
      </w:r>
      <w:bookmarkEnd w:id="279"/>
      <w:bookmarkEnd w:id="280"/>
    </w:p>
    <w:p>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rPr>
          <w:snapToGrid w:val="0"/>
        </w:rPr>
      </w:pPr>
      <w:r>
        <w:tab/>
        <w:t>(2)</w:t>
      </w:r>
      <w:r>
        <w:tab/>
      </w:r>
      <w:r>
        <w:rPr>
          <w:snapToGrid w:val="0"/>
        </w:rPr>
        <w:t>Nothing in this Schedule limits the generality of subclause (1).</w:t>
      </w:r>
    </w:p>
    <w:p>
      <w:pPr>
        <w:pStyle w:val="yFootnotesection"/>
      </w:pPr>
      <w:r>
        <w:tab/>
        <w:t>[Clause 501 inserted: Gazette 19 Dec 2000 p. 7280.]</w:t>
      </w:r>
    </w:p>
    <w:p>
      <w:pPr>
        <w:pStyle w:val="yHeading5"/>
      </w:pPr>
      <w:bookmarkStart w:id="281" w:name="_Toc12010867"/>
      <w:bookmarkStart w:id="282" w:name="_Toc11761436"/>
      <w:r>
        <w:rPr>
          <w:rStyle w:val="CharSClsNo"/>
        </w:rPr>
        <w:t>504</w:t>
      </w:r>
      <w:r>
        <w:t>.</w:t>
      </w:r>
      <w:r>
        <w:tab/>
        <w:t>Certain appliances not to be installed in certain rooms</w:t>
      </w:r>
      <w:bookmarkEnd w:id="281"/>
      <w:bookmarkEnd w:id="282"/>
    </w:p>
    <w:p>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keepNext/>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pPr>
        <w:pStyle w:val="yIndenti0"/>
      </w:pPr>
      <w:r>
        <w:tab/>
        <w:t>(i)</w:t>
      </w:r>
      <w:r>
        <w:tab/>
      </w:r>
      <w:r>
        <w:rPr>
          <w:snapToGrid w:val="0"/>
        </w:rPr>
        <w:t>one of which is situated near the top of the room and the other near the bottom of the room; and</w:t>
      </w:r>
    </w:p>
    <w:p>
      <w:pPr>
        <w:pStyle w:val="yIndenti0"/>
        <w:rPr>
          <w:snapToGrid w:val="0"/>
        </w:rPr>
      </w:pPr>
      <w:r>
        <w:tab/>
        <w:t>(ii)</w:t>
      </w:r>
      <w:r>
        <w:tab/>
        <w:t>that</w:t>
      </w:r>
      <w:r>
        <w:rPr>
          <w:snapToGrid w:val="0"/>
        </w:rPr>
        <w:t xml:space="preserve"> are separated by a distance of not less than 1.5 m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pPr>
        <w:pStyle w:val="yHeading5"/>
      </w:pPr>
      <w:bookmarkStart w:id="283" w:name="_Toc12010868"/>
      <w:bookmarkStart w:id="284" w:name="_Toc11761437"/>
      <w:r>
        <w:rPr>
          <w:rStyle w:val="CharSClsNo"/>
        </w:rPr>
        <w:t>505</w:t>
      </w:r>
      <w:r>
        <w:t>.</w:t>
      </w:r>
      <w:r>
        <w:tab/>
        <w:t>Safety devices required for certain appliances</w:t>
      </w:r>
      <w:bookmarkEnd w:id="283"/>
      <w:bookmarkEnd w:id="284"/>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pPr>
      <w:bookmarkStart w:id="285" w:name="_Toc12010869"/>
      <w:bookmarkStart w:id="286" w:name="_Toc11761438"/>
      <w:r>
        <w:rPr>
          <w:rStyle w:val="CharSClsNo"/>
        </w:rPr>
        <w:t>506</w:t>
      </w:r>
      <w:r>
        <w:t>.</w:t>
      </w:r>
      <w:r>
        <w:tab/>
        <w:t>Flues</w:t>
      </w:r>
      <w:bookmarkEnd w:id="285"/>
      <w:bookmarkEnd w:id="286"/>
    </w:p>
    <w:p>
      <w:pPr>
        <w:pStyle w:val="yEdnotesubsection"/>
      </w:pPr>
      <w:r>
        <w:tab/>
        <w:t>[(1), (2)</w:t>
      </w:r>
      <w:r>
        <w:tab/>
        <w:t>deleted]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w:t>
      </w:r>
      <w:r>
        <w:noBreakHyphen/>
        <w:t>(7)</w:t>
      </w:r>
      <w:r>
        <w:tab/>
        <w:t>deleted]</w:t>
      </w:r>
    </w:p>
    <w:p>
      <w:pPr>
        <w:pStyle w:val="ySubsection"/>
      </w:pPr>
      <w:r>
        <w:rPr>
          <w:snapToGrid w:val="0"/>
        </w:rPr>
        <w:tab/>
        <w:t>(8)</w:t>
      </w:r>
      <w:r>
        <w:rPr>
          <w:snapToGrid w:val="0"/>
        </w:rPr>
        <w:tab/>
        <w:t>This clause applies in addition to</w:t>
      </w:r>
      <w:r>
        <w:t xml:space="preserve"> any relevant requirements in AS/NZS 5601.</w:t>
      </w:r>
    </w:p>
    <w:p>
      <w:pPr>
        <w:pStyle w:val="yFootnotesection"/>
      </w:pPr>
      <w:r>
        <w:tab/>
        <w:t>[Clause 506 amended: Gazette 19 Dec 2000 p. 7281; 31 Jan 2003 p. 281; 21 Apr 2006 p. 1579; 18 Jan 2011 p. 147.]</w:t>
      </w:r>
    </w:p>
    <w:p>
      <w:pPr>
        <w:pStyle w:val="yHeading5"/>
        <w:rPr>
          <w:snapToGrid w:val="0"/>
        </w:rPr>
      </w:pPr>
      <w:bookmarkStart w:id="287" w:name="_Toc12010870"/>
      <w:bookmarkStart w:id="288" w:name="_Toc11761439"/>
      <w:r>
        <w:rPr>
          <w:rStyle w:val="CharSClsNo"/>
        </w:rPr>
        <w:t>507</w:t>
      </w:r>
      <w:r>
        <w:rPr>
          <w:snapToGrid w:val="0"/>
        </w:rPr>
        <w:t>.</w:t>
      </w:r>
      <w:r>
        <w:rPr>
          <w:snapToGrid w:val="0"/>
        </w:rPr>
        <w:tab/>
      </w:r>
      <w:r>
        <w:t>Hoods or canopies</w:t>
      </w:r>
      <w:bookmarkEnd w:id="287"/>
      <w:bookmarkEnd w:id="288"/>
    </w:p>
    <w:p>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507 amended: Gazette 19 Dec 2000 p. 7281; 31 Jan 2003 p. 281; 21 Apr 2006 p. 1579; 18 Jan 2011 p. 147.]</w:t>
      </w:r>
    </w:p>
    <w:p>
      <w:pPr>
        <w:pStyle w:val="yHeading5"/>
        <w:rPr>
          <w:snapToGrid w:val="0"/>
        </w:rPr>
      </w:pPr>
      <w:bookmarkStart w:id="289" w:name="_Toc12010871"/>
      <w:bookmarkStart w:id="290" w:name="_Toc11761440"/>
      <w:r>
        <w:rPr>
          <w:rStyle w:val="CharSClsNo"/>
        </w:rPr>
        <w:t>508</w:t>
      </w:r>
      <w:r>
        <w:rPr>
          <w:snapToGrid w:val="0"/>
        </w:rPr>
        <w:t>.</w:t>
      </w:r>
      <w:r>
        <w:rPr>
          <w:snapToGrid w:val="0"/>
        </w:rPr>
        <w:tab/>
      </w:r>
      <w:r>
        <w:t>Electrical apparatus in appliances</w:t>
      </w:r>
      <w:bookmarkEnd w:id="289"/>
      <w:bookmarkEnd w:id="290"/>
    </w:p>
    <w:p>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pPr>
      <w:r>
        <w:tab/>
        <w:t>[Clause 508 amended: Gazette 31 Jan 2003 p. 281; 21 Apr 2006 p. 1579.]</w:t>
      </w:r>
    </w:p>
    <w:p>
      <w:pPr>
        <w:pStyle w:val="yHeading3"/>
      </w:pPr>
      <w:bookmarkStart w:id="291" w:name="_Toc11925586"/>
      <w:bookmarkStart w:id="292" w:name="_Toc11926027"/>
      <w:bookmarkStart w:id="293" w:name="_Toc11926145"/>
      <w:bookmarkStart w:id="294" w:name="_Toc12010872"/>
      <w:bookmarkStart w:id="295" w:name="_Toc11747683"/>
      <w:bookmarkStart w:id="296" w:name="_Toc11755477"/>
      <w:bookmarkStart w:id="297" w:name="_Toc11761441"/>
      <w:r>
        <w:rPr>
          <w:rStyle w:val="CharSDivNo"/>
        </w:rPr>
        <w:t>Division 6</w:t>
      </w:r>
      <w:r>
        <w:rPr>
          <w:rStyle w:val="CharDivNo"/>
        </w:rPr>
        <w:t xml:space="preserve"> — </w:t>
      </w:r>
      <w:r>
        <w:rPr>
          <w:rStyle w:val="CharSDivText"/>
        </w:rPr>
        <w:t>Additional requirements for particular appliances</w:t>
      </w:r>
      <w:bookmarkEnd w:id="291"/>
      <w:bookmarkEnd w:id="292"/>
      <w:bookmarkEnd w:id="293"/>
      <w:bookmarkEnd w:id="294"/>
      <w:bookmarkEnd w:id="295"/>
      <w:bookmarkEnd w:id="296"/>
      <w:bookmarkEnd w:id="297"/>
    </w:p>
    <w:p>
      <w:pPr>
        <w:pStyle w:val="yHeading5"/>
        <w:rPr>
          <w:snapToGrid w:val="0"/>
        </w:rPr>
      </w:pPr>
      <w:bookmarkStart w:id="298" w:name="_Toc12010873"/>
      <w:bookmarkStart w:id="299" w:name="_Toc11761442"/>
      <w:r>
        <w:rPr>
          <w:rStyle w:val="CharSClsNo"/>
        </w:rPr>
        <w:t>601</w:t>
      </w:r>
      <w:r>
        <w:rPr>
          <w:snapToGrid w:val="0"/>
        </w:rPr>
        <w:t>.</w:t>
      </w:r>
      <w:r>
        <w:rPr>
          <w:snapToGrid w:val="0"/>
        </w:rPr>
        <w:tab/>
        <w:t>Cooking appliances, fryers etc.</w:t>
      </w:r>
      <w:bookmarkEnd w:id="298"/>
      <w:bookmarkEnd w:id="299"/>
    </w:p>
    <w:p>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r>
        <w:t>any relevant requirements in AS/NZS 5601.</w:t>
      </w:r>
    </w:p>
    <w:p>
      <w:pPr>
        <w:pStyle w:val="yFootnotesection"/>
      </w:pPr>
      <w:r>
        <w:tab/>
        <w:t>[Clause 601 amended: Gazette 19 Dec 2000 p. 7281; 31 Jan 2003 p. 281; 21 Apr 2006 p. 1580; 18 Jan 2011 p. 147.]</w:t>
      </w:r>
    </w:p>
    <w:p>
      <w:pPr>
        <w:pStyle w:val="yHeading5"/>
        <w:rPr>
          <w:snapToGrid w:val="0"/>
        </w:rPr>
      </w:pPr>
      <w:bookmarkStart w:id="300" w:name="_Toc12010874"/>
      <w:bookmarkStart w:id="301" w:name="_Toc11761443"/>
      <w:r>
        <w:rPr>
          <w:rStyle w:val="CharSClsNo"/>
        </w:rPr>
        <w:t>602</w:t>
      </w:r>
      <w:r>
        <w:rPr>
          <w:snapToGrid w:val="0"/>
        </w:rPr>
        <w:t>.</w:t>
      </w:r>
      <w:r>
        <w:rPr>
          <w:snapToGrid w:val="0"/>
        </w:rPr>
        <w:tab/>
        <w:t>Water heaters</w:t>
      </w:r>
      <w:bookmarkEnd w:id="300"/>
      <w:bookmarkEnd w:id="301"/>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602 amended: Gazette 19 Dec 2000 p. 7281; 31 Jan 2003 p. 281; 21 Apr 2006 p. 1580; 18 Jan 2011 p. 147.]</w:t>
      </w:r>
    </w:p>
    <w:p>
      <w:pPr>
        <w:pStyle w:val="yHeading5"/>
        <w:spacing w:before="180"/>
        <w:rPr>
          <w:snapToGrid w:val="0"/>
        </w:rPr>
      </w:pPr>
      <w:bookmarkStart w:id="302" w:name="_Toc12010875"/>
      <w:bookmarkStart w:id="303" w:name="_Toc11761444"/>
      <w:r>
        <w:rPr>
          <w:rStyle w:val="CharSClsNo"/>
        </w:rPr>
        <w:t>603</w:t>
      </w:r>
      <w:r>
        <w:rPr>
          <w:snapToGrid w:val="0"/>
        </w:rPr>
        <w:t>.</w:t>
      </w:r>
      <w:r>
        <w:rPr>
          <w:snapToGrid w:val="0"/>
        </w:rPr>
        <w:tab/>
        <w:t>Space heating appliances</w:t>
      </w:r>
      <w:bookmarkEnd w:id="302"/>
      <w:bookmarkEnd w:id="303"/>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keepNext/>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r>
        <w:t>any relevant requirements in AS/NZS 5601.</w:t>
      </w:r>
    </w:p>
    <w:p>
      <w:pPr>
        <w:pStyle w:val="yFootnotesection"/>
      </w:pPr>
      <w:r>
        <w:tab/>
        <w:t>[Clause 603 amended: Gazette 19 Dec 2000 p. 7281; 31 Jan 2003 p. 281; 21 Apr 2006 p. 1580; 18 Jan 2011 p. 147.]</w:t>
      </w:r>
    </w:p>
    <w:p>
      <w:pPr>
        <w:pStyle w:val="yHeading5"/>
      </w:pPr>
      <w:bookmarkStart w:id="304" w:name="_Toc12010876"/>
      <w:bookmarkStart w:id="305" w:name="_Toc11761445"/>
      <w:r>
        <w:rPr>
          <w:rStyle w:val="CharSClsNo"/>
        </w:rPr>
        <w:t>604A</w:t>
      </w:r>
      <w:r>
        <w:t>.</w:t>
      </w:r>
      <w:r>
        <w:rPr>
          <w:b w:val="0"/>
        </w:rPr>
        <w:tab/>
      </w:r>
      <w:r>
        <w:t>Flueless gas space heaters in schools and child care centres</w:t>
      </w:r>
      <w:bookmarkEnd w:id="304"/>
      <w:bookmarkEnd w:id="305"/>
    </w:p>
    <w:p>
      <w:pPr>
        <w:pStyle w:val="ySubsection"/>
      </w:pPr>
      <w:r>
        <w:tab/>
        <w:t>(1)</w:t>
      </w:r>
      <w:r>
        <w:tab/>
        <w:t xml:space="preserve">In this clause — </w:t>
      </w:r>
    </w:p>
    <w:p>
      <w:pPr>
        <w:pStyle w:val="yDefstart"/>
      </w:pPr>
      <w:r>
        <w:tab/>
      </w:r>
      <w:r>
        <w:rPr>
          <w:rStyle w:val="CharDefText"/>
        </w:rPr>
        <w:t>child care centre</w:t>
      </w:r>
      <w:r>
        <w:t xml:space="preserve"> </w:t>
      </w:r>
      <w:r>
        <w:rPr>
          <w:szCs w:val="22"/>
        </w:rPr>
        <w:t xml:space="preserve">means a place where — </w:t>
      </w:r>
    </w:p>
    <w:p>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pPr>
        <w:pStyle w:val="yDefpara"/>
      </w:pPr>
      <w:r>
        <w:tab/>
        <w:t>(b)</w:t>
      </w:r>
      <w:r>
        <w:tab/>
        <w:t xml:space="preserve">a child care service, as defined in the </w:t>
      </w:r>
      <w:r>
        <w:rPr>
          <w:i/>
        </w:rPr>
        <w:t>Child Care Services Act 2007</w:t>
      </w:r>
      <w:r>
        <w:t xml:space="preserve"> section 4, is provided;</w:t>
      </w:r>
    </w:p>
    <w:p>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pPr>
        <w:pStyle w:val="ySubsection"/>
      </w:pPr>
      <w:r>
        <w:tab/>
        <w:t>(2)</w:t>
      </w:r>
      <w:r>
        <w:tab/>
        <w:t xml:space="preserve">A gas space heating appliance that is not fitted with a flue must not be installed in a child care centre or school except in an area — </w:t>
      </w:r>
    </w:p>
    <w:p>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pPr>
        <w:pStyle w:val="yIndenta"/>
      </w:pPr>
      <w:r>
        <w:tab/>
        <w:t>(b)</w:t>
      </w:r>
      <w:r>
        <w:tab/>
        <w:t>that is large and well ventilated, for example, a gymnasium or semi</w:t>
      </w:r>
      <w:r>
        <w:noBreakHyphen/>
        <w:t>enclosed recreation area.</w:t>
      </w:r>
    </w:p>
    <w:p>
      <w:pPr>
        <w:pStyle w:val="yFootnotesection"/>
      </w:pPr>
      <w:r>
        <w:tab/>
        <w:t>[Clause 604A inserted: Gazette 26 Nov 2010 p. 5932; amended: Gazette 12 Dec 2014 p. 4711-12.]</w:t>
      </w:r>
    </w:p>
    <w:p>
      <w:pPr>
        <w:pStyle w:val="yHeading5"/>
        <w:rPr>
          <w:snapToGrid w:val="0"/>
        </w:rPr>
      </w:pPr>
      <w:bookmarkStart w:id="306" w:name="_Toc12010877"/>
      <w:bookmarkStart w:id="307" w:name="_Toc11761446"/>
      <w:r>
        <w:rPr>
          <w:rStyle w:val="CharSClsNo"/>
        </w:rPr>
        <w:t>604</w:t>
      </w:r>
      <w:r>
        <w:rPr>
          <w:snapToGrid w:val="0"/>
        </w:rPr>
        <w:t>.</w:t>
      </w:r>
      <w:r>
        <w:rPr>
          <w:snapToGrid w:val="0"/>
        </w:rPr>
        <w:tab/>
        <w:t>Swimming pool heaters</w:t>
      </w:r>
      <w:bookmarkEnd w:id="306"/>
      <w:bookmarkEnd w:id="307"/>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r>
        <w:t>any relevant requirements in AS/NZS 5601.</w:t>
      </w:r>
    </w:p>
    <w:p>
      <w:pPr>
        <w:pStyle w:val="yFootnotesection"/>
      </w:pPr>
      <w:r>
        <w:tab/>
        <w:t>[Clause 604 amended: Gazette 19 Dec 2000 p. 7281; 31 Jan 2003 p. 281; 21 Apr 2006 p. 1580; 18 Jan 2011 p. 147.]</w:t>
      </w:r>
    </w:p>
    <w:p>
      <w:pPr>
        <w:pStyle w:val="yHeading3"/>
        <w:rPr>
          <w:snapToGrid w:val="0"/>
        </w:rPr>
      </w:pPr>
      <w:bookmarkStart w:id="308" w:name="_Toc11925592"/>
      <w:bookmarkStart w:id="309" w:name="_Toc11926033"/>
      <w:bookmarkStart w:id="310" w:name="_Toc11926151"/>
      <w:bookmarkStart w:id="311" w:name="_Toc12010878"/>
      <w:bookmarkStart w:id="312" w:name="_Toc11747689"/>
      <w:bookmarkStart w:id="313" w:name="_Toc11755483"/>
      <w:bookmarkStart w:id="314" w:name="_Toc11761447"/>
      <w:r>
        <w:rPr>
          <w:rStyle w:val="CharSDivNo"/>
        </w:rPr>
        <w:t>Division 7</w:t>
      </w:r>
      <w:r>
        <w:rPr>
          <w:snapToGrid w:val="0"/>
        </w:rPr>
        <w:t xml:space="preserve"> — </w:t>
      </w:r>
      <w:r>
        <w:rPr>
          <w:rStyle w:val="CharSDivText"/>
        </w:rPr>
        <w:t>Caravans</w:t>
      </w:r>
      <w:bookmarkEnd w:id="308"/>
      <w:bookmarkEnd w:id="309"/>
      <w:bookmarkEnd w:id="310"/>
      <w:bookmarkEnd w:id="311"/>
      <w:bookmarkEnd w:id="312"/>
      <w:bookmarkEnd w:id="313"/>
      <w:bookmarkEnd w:id="314"/>
    </w:p>
    <w:p>
      <w:pPr>
        <w:pStyle w:val="yHeading5"/>
        <w:rPr>
          <w:snapToGrid w:val="0"/>
        </w:rPr>
      </w:pPr>
      <w:bookmarkStart w:id="315" w:name="_Toc12010879"/>
      <w:bookmarkStart w:id="316" w:name="_Toc11761448"/>
      <w:r>
        <w:rPr>
          <w:rStyle w:val="CharSClsNo"/>
        </w:rPr>
        <w:t>701</w:t>
      </w:r>
      <w:r>
        <w:rPr>
          <w:snapToGrid w:val="0"/>
        </w:rPr>
        <w:t>.</w:t>
      </w:r>
      <w:r>
        <w:rPr>
          <w:snapToGrid w:val="0"/>
        </w:rPr>
        <w:tab/>
        <w:t>Application of this Division</w:t>
      </w:r>
      <w:bookmarkEnd w:id="315"/>
      <w:bookmarkEnd w:id="316"/>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701 amended: Gazette 19 Dec 2000 p. 7281; 31 Jan 2003 p. 281; 21 Apr 2006 p. 1580; 18 Jan 2011 p. 147.]</w:t>
      </w:r>
    </w:p>
    <w:p>
      <w:pPr>
        <w:pStyle w:val="yEdnotesection"/>
      </w:pPr>
      <w:r>
        <w:t>[</w:t>
      </w:r>
      <w:r>
        <w:rPr>
          <w:b/>
        </w:rPr>
        <w:t>702.</w:t>
      </w:r>
      <w:r>
        <w:tab/>
        <w:t>Deleted: Gazette 26 Nov 2010 p. 5933.]</w:t>
      </w:r>
    </w:p>
    <w:p>
      <w:pPr>
        <w:pStyle w:val="yHeading5"/>
        <w:rPr>
          <w:snapToGrid w:val="0"/>
        </w:rPr>
      </w:pPr>
      <w:bookmarkStart w:id="317" w:name="_Toc12010880"/>
      <w:bookmarkStart w:id="318" w:name="_Toc11761449"/>
      <w:r>
        <w:rPr>
          <w:rStyle w:val="CharSClsNo"/>
        </w:rPr>
        <w:t>703</w:t>
      </w:r>
      <w:r>
        <w:rPr>
          <w:snapToGrid w:val="0"/>
        </w:rPr>
        <w:t>.</w:t>
      </w:r>
      <w:r>
        <w:rPr>
          <w:snapToGrid w:val="0"/>
        </w:rPr>
        <w:tab/>
        <w:t>Location of appliances</w:t>
      </w:r>
      <w:bookmarkEnd w:id="317"/>
      <w:bookmarkEnd w:id="318"/>
    </w:p>
    <w:p>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rPr>
          <w:snapToGrid w:val="0"/>
        </w:rPr>
      </w:pPr>
      <w:bookmarkStart w:id="319" w:name="_Toc12010881"/>
      <w:bookmarkStart w:id="320" w:name="_Toc11761450"/>
      <w:r>
        <w:rPr>
          <w:rStyle w:val="CharSClsNo"/>
        </w:rPr>
        <w:t>704</w:t>
      </w:r>
      <w:r>
        <w:rPr>
          <w:snapToGrid w:val="0"/>
        </w:rPr>
        <w:t>.</w:t>
      </w:r>
      <w:r>
        <w:rPr>
          <w:snapToGrid w:val="0"/>
        </w:rPr>
        <w:tab/>
        <w:t>Pressure</w:t>
      </w:r>
      <w:bookmarkEnd w:id="319"/>
      <w:bookmarkEnd w:id="320"/>
    </w:p>
    <w:p>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Ednotepara"/>
        <w:rPr>
          <w:snapToGrid w:val="0"/>
        </w:rPr>
      </w:pPr>
      <w:r>
        <w:rPr>
          <w:snapToGrid w:val="0"/>
        </w:rPr>
        <w:tab/>
        <w:t>[(a)</w:t>
      </w:r>
      <w:r>
        <w:rPr>
          <w:snapToGrid w:val="0"/>
        </w:rPr>
        <w:tab/>
        <w:t>deleted]</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Footnotesection"/>
      </w:pPr>
      <w:r>
        <w:tab/>
        <w:t>[Clause 704 amended: Gazette 26 Nov 2010 p. 5933.]</w:t>
      </w:r>
    </w:p>
    <w:p>
      <w:pPr>
        <w:pStyle w:val="yHeading5"/>
        <w:rPr>
          <w:snapToGrid w:val="0"/>
        </w:rPr>
      </w:pPr>
      <w:bookmarkStart w:id="321" w:name="_Toc12010882"/>
      <w:bookmarkStart w:id="322" w:name="_Toc11761451"/>
      <w:r>
        <w:rPr>
          <w:rStyle w:val="CharSClsNo"/>
        </w:rPr>
        <w:t>705</w:t>
      </w:r>
      <w:r>
        <w:rPr>
          <w:snapToGrid w:val="0"/>
        </w:rPr>
        <w:t>.</w:t>
      </w:r>
      <w:r>
        <w:rPr>
          <w:snapToGrid w:val="0"/>
        </w:rPr>
        <w:tab/>
        <w:t>Warnings</w:t>
      </w:r>
      <w:bookmarkEnd w:id="321"/>
      <w:bookmarkEnd w:id="322"/>
    </w:p>
    <w:p>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pPr>
        <w:pStyle w:val="yIndenta"/>
      </w:pPr>
      <w:r>
        <w:rPr>
          <w:snapToGrid w:val="0"/>
        </w:rPr>
        <w:tab/>
        <w:t>(a)</w:t>
      </w:r>
      <w:r>
        <w:rPr>
          <w:snapToGrid w:val="0"/>
        </w:rPr>
        <w:tab/>
      </w:r>
      <w:r>
        <w:t>legible and clear; and</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tabs>
                <w:tab w:val="clear" w:pos="567"/>
              </w:tabs>
              <w:spacing w:before="60"/>
              <w:jc w:val="center"/>
              <w:rPr>
                <w:b/>
                <w:bCs/>
                <w:snapToGrid w:val="0"/>
              </w:rPr>
            </w:pPr>
            <w:r>
              <w:rPr>
                <w:b/>
                <w:bCs/>
                <w:snapToGrid w:val="0"/>
              </w:rPr>
              <w:t>DANGER</w:t>
            </w:r>
          </w:p>
          <w:p>
            <w:pPr>
              <w:pStyle w:val="yTableNAm"/>
              <w:spacing w:before="0" w:after="60"/>
              <w:jc w:val="center"/>
            </w:pPr>
            <w:r>
              <w:rPr>
                <w:b/>
                <w:bCs/>
                <w:snapToGrid w:val="0"/>
              </w:rPr>
              <w:t>Ensure all gas appliances are turned off before refuelling.</w:t>
            </w:r>
          </w:p>
        </w:tc>
      </w:tr>
    </w:tbl>
    <w:p>
      <w:pPr>
        <w:pStyle w:val="yFootnotesection"/>
      </w:pPr>
      <w:r>
        <w:tab/>
        <w:t>[Clause 705 amended: Gazette 19 Dec 2000 p. 7281; 31 Jan 2003 p. 281; 21 Apr 2006 p. 1580; 18 Jan 2011 p. 147.]</w:t>
      </w:r>
    </w:p>
    <w:p>
      <w:pPr>
        <w:pStyle w:val="yHeading3"/>
      </w:pPr>
      <w:bookmarkStart w:id="323" w:name="_Toc11925597"/>
      <w:bookmarkStart w:id="324" w:name="_Toc11926038"/>
      <w:bookmarkStart w:id="325" w:name="_Toc11926156"/>
      <w:bookmarkStart w:id="326" w:name="_Toc12010883"/>
      <w:bookmarkStart w:id="327" w:name="_Toc11747694"/>
      <w:bookmarkStart w:id="328" w:name="_Toc11755488"/>
      <w:bookmarkStart w:id="329" w:name="_Toc11761452"/>
      <w:r>
        <w:rPr>
          <w:rStyle w:val="CharSDivNo"/>
        </w:rPr>
        <w:t>Division 8</w:t>
      </w:r>
      <w:r>
        <w:rPr>
          <w:rStyle w:val="CharDivNo"/>
        </w:rPr>
        <w:t xml:space="preserve"> — </w:t>
      </w:r>
      <w:r>
        <w:rPr>
          <w:rStyle w:val="CharSDivText"/>
        </w:rPr>
        <w:t>Marine craft</w:t>
      </w:r>
      <w:bookmarkEnd w:id="323"/>
      <w:bookmarkEnd w:id="324"/>
      <w:bookmarkEnd w:id="325"/>
      <w:bookmarkEnd w:id="326"/>
      <w:bookmarkEnd w:id="327"/>
      <w:bookmarkEnd w:id="328"/>
      <w:bookmarkEnd w:id="329"/>
    </w:p>
    <w:p>
      <w:pPr>
        <w:pStyle w:val="yHeading5"/>
        <w:rPr>
          <w:snapToGrid w:val="0"/>
        </w:rPr>
      </w:pPr>
      <w:bookmarkStart w:id="330" w:name="_Toc12010884"/>
      <w:bookmarkStart w:id="331" w:name="_Toc11761453"/>
      <w:r>
        <w:rPr>
          <w:rStyle w:val="CharSClsNo"/>
        </w:rPr>
        <w:t>801</w:t>
      </w:r>
      <w:r>
        <w:rPr>
          <w:snapToGrid w:val="0"/>
        </w:rPr>
        <w:t>.</w:t>
      </w:r>
      <w:r>
        <w:rPr>
          <w:snapToGrid w:val="0"/>
        </w:rPr>
        <w:tab/>
        <w:t>Application of this Division</w:t>
      </w:r>
      <w:bookmarkEnd w:id="330"/>
      <w:bookmarkEnd w:id="331"/>
    </w:p>
    <w:p>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pPr>
      <w:r>
        <w:rPr>
          <w:snapToGrid w:val="0"/>
        </w:rPr>
        <w:tab/>
        <w:t>(2)</w:t>
      </w:r>
      <w:r>
        <w:rPr>
          <w:snapToGrid w:val="0"/>
        </w:rPr>
        <w:tab/>
        <w:t>This Division applies in addition to</w:t>
      </w:r>
      <w:r>
        <w:t xml:space="preserve"> any relevant requirements in AS/NZS 5601.</w:t>
      </w:r>
    </w:p>
    <w:p>
      <w:pPr>
        <w:pStyle w:val="yFootnotesection"/>
      </w:pPr>
      <w:r>
        <w:tab/>
        <w:t>[Clause 801 amended: Gazette 19 Dec 2000 p. 7281; 31 Jan 2003 p. 281; 21 Apr 2006 p. 1580; 18 Jan 2011 p. 147.]</w:t>
      </w:r>
    </w:p>
    <w:p>
      <w:pPr>
        <w:pStyle w:val="yHeading5"/>
        <w:rPr>
          <w:snapToGrid w:val="0"/>
        </w:rPr>
      </w:pPr>
      <w:bookmarkStart w:id="332" w:name="_Toc12010885"/>
      <w:bookmarkStart w:id="333" w:name="_Toc11761454"/>
      <w:r>
        <w:rPr>
          <w:rStyle w:val="CharSClsNo"/>
        </w:rPr>
        <w:t>802</w:t>
      </w:r>
      <w:r>
        <w:rPr>
          <w:snapToGrid w:val="0"/>
        </w:rPr>
        <w:t>.</w:t>
      </w:r>
      <w:r>
        <w:rPr>
          <w:snapToGrid w:val="0"/>
        </w:rPr>
        <w:tab/>
        <w:t>Cylinders and their valves to be accessible</w:t>
      </w:r>
      <w:bookmarkEnd w:id="332"/>
      <w:bookmarkEnd w:id="333"/>
    </w:p>
    <w:p>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rPr>
          <w:snapToGrid w:val="0"/>
        </w:rPr>
      </w:pPr>
      <w:bookmarkStart w:id="334" w:name="_Toc12010886"/>
      <w:bookmarkStart w:id="335" w:name="_Toc11761455"/>
      <w:r>
        <w:rPr>
          <w:rStyle w:val="CharSClsNo"/>
        </w:rPr>
        <w:t>803</w:t>
      </w:r>
      <w:r>
        <w:rPr>
          <w:snapToGrid w:val="0"/>
        </w:rPr>
        <w:t>.</w:t>
      </w:r>
      <w:r>
        <w:rPr>
          <w:snapToGrid w:val="0"/>
        </w:rPr>
        <w:tab/>
        <w:t>Cylinders and their compartments</w:t>
      </w:r>
      <w:bookmarkEnd w:id="334"/>
      <w:bookmarkEnd w:id="335"/>
    </w:p>
    <w:p>
      <w:pPr>
        <w:pStyle w:val="ySubsection"/>
        <w:rPr>
          <w:snapToGrid w:val="0"/>
        </w:rPr>
      </w:pPr>
      <w:r>
        <w:rPr>
          <w:snapToGrid w:val="0"/>
        </w:rPr>
        <w:tab/>
        <w:t>(1)</w:t>
      </w:r>
      <w:r>
        <w:rPr>
          <w:snapToGrid w:val="0"/>
        </w:rPr>
        <w:tab/>
      </w:r>
      <w:r>
        <w:t>A cylinder compartment drain must be connected directly to the outside of the marine craft.</w:t>
      </w:r>
    </w:p>
    <w:p>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pPr>
      <w:r>
        <w:tab/>
        <w:t>[Clause 803 amended: Gazette 19 Dec 2000 p. 7281; 31 Jan 2003 p. 281; 21 Apr 2006 p. 1580.]</w:t>
      </w:r>
    </w:p>
    <w:p>
      <w:pPr>
        <w:pStyle w:val="yHeading5"/>
        <w:rPr>
          <w:snapToGrid w:val="0"/>
        </w:rPr>
      </w:pPr>
      <w:bookmarkStart w:id="336" w:name="_Toc12010887"/>
      <w:bookmarkStart w:id="337" w:name="_Toc11761456"/>
      <w:r>
        <w:rPr>
          <w:rStyle w:val="CharSClsNo"/>
        </w:rPr>
        <w:t>804</w:t>
      </w:r>
      <w:r>
        <w:rPr>
          <w:snapToGrid w:val="0"/>
        </w:rPr>
        <w:t>.</w:t>
      </w:r>
      <w:r>
        <w:rPr>
          <w:snapToGrid w:val="0"/>
        </w:rPr>
        <w:tab/>
        <w:t>Appliances etc. not be installed in some places</w:t>
      </w:r>
      <w:bookmarkEnd w:id="336"/>
      <w:bookmarkEnd w:id="337"/>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rPr>
          <w:snapToGrid w:val="0"/>
        </w:rPr>
      </w:pPr>
      <w:bookmarkStart w:id="338" w:name="_Toc12010888"/>
      <w:bookmarkStart w:id="339" w:name="_Toc11761457"/>
      <w:r>
        <w:rPr>
          <w:rStyle w:val="CharSClsNo"/>
        </w:rPr>
        <w:t>805</w:t>
      </w:r>
      <w:r>
        <w:rPr>
          <w:snapToGrid w:val="0"/>
        </w:rPr>
        <w:t>.</w:t>
      </w:r>
      <w:r>
        <w:rPr>
          <w:snapToGrid w:val="0"/>
        </w:rPr>
        <w:tab/>
        <w:t>Fitting lines, location of</w:t>
      </w:r>
      <w:bookmarkEnd w:id="338"/>
      <w:bookmarkEnd w:id="339"/>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rPr>
          <w:snapToGrid w:val="0"/>
        </w:rPr>
      </w:pPr>
      <w:bookmarkStart w:id="340" w:name="_Toc12010889"/>
      <w:bookmarkStart w:id="341" w:name="_Toc11761458"/>
      <w:r>
        <w:rPr>
          <w:rStyle w:val="CharSClsNo"/>
        </w:rPr>
        <w:t>806</w:t>
      </w:r>
      <w:r>
        <w:rPr>
          <w:snapToGrid w:val="0"/>
        </w:rPr>
        <w:t>.</w:t>
      </w:r>
      <w:r>
        <w:rPr>
          <w:snapToGrid w:val="0"/>
        </w:rPr>
        <w:tab/>
        <w:t>Appliances, location of</w:t>
      </w:r>
      <w:bookmarkEnd w:id="340"/>
      <w:bookmarkEnd w:id="341"/>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rPr>
          <w:snapToGrid w:val="0"/>
        </w:rPr>
      </w:pPr>
      <w:r>
        <w:rPr>
          <w:snapToGrid w:val="0"/>
        </w:rPr>
        <w:tab/>
        <w:t>(4)</w:t>
      </w:r>
      <w:r>
        <w:rPr>
          <w:snapToGrid w:val="0"/>
        </w:rPr>
        <w:tab/>
        <w:t>An appliance must be so located that it is not likely to be exposed to air turbulence that would extinguish the flame.</w:t>
      </w:r>
    </w:p>
    <w:p>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keepNext/>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 and</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rPr>
          <w:snapToGrid w:val="0"/>
        </w:rPr>
      </w:pPr>
      <w:bookmarkStart w:id="342" w:name="_Toc12010890"/>
      <w:bookmarkStart w:id="343" w:name="_Toc11761459"/>
      <w:r>
        <w:rPr>
          <w:rStyle w:val="CharSClsNo"/>
        </w:rPr>
        <w:t>807</w:t>
      </w:r>
      <w:r>
        <w:rPr>
          <w:snapToGrid w:val="0"/>
        </w:rPr>
        <w:t>.</w:t>
      </w:r>
      <w:r>
        <w:rPr>
          <w:snapToGrid w:val="0"/>
        </w:rPr>
        <w:tab/>
        <w:t>Pressure</w:t>
      </w:r>
      <w:bookmarkEnd w:id="342"/>
      <w:bookmarkEnd w:id="343"/>
    </w:p>
    <w:p>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pPr>
        <w:pStyle w:val="ySubsection"/>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keepNext/>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Lines w:val="0"/>
        <w:rPr>
          <w:snapToGrid w:val="0"/>
        </w:rPr>
      </w:pPr>
      <w:bookmarkStart w:id="344" w:name="_Toc12010891"/>
      <w:bookmarkStart w:id="345" w:name="_Toc11761460"/>
      <w:r>
        <w:rPr>
          <w:rStyle w:val="CharSClsNo"/>
        </w:rPr>
        <w:t>808</w:t>
      </w:r>
      <w:r>
        <w:rPr>
          <w:snapToGrid w:val="0"/>
        </w:rPr>
        <w:t>.</w:t>
      </w:r>
      <w:r>
        <w:rPr>
          <w:snapToGrid w:val="0"/>
        </w:rPr>
        <w:tab/>
        <w:t>Ventilation</w:t>
      </w:r>
      <w:bookmarkEnd w:id="344"/>
      <w:bookmarkEnd w:id="345"/>
    </w:p>
    <w:p>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rPr>
          <w:snapToGrid w:val="0"/>
        </w:rPr>
      </w:pPr>
      <w:r>
        <w:rPr>
          <w:snapToGrid w:val="0"/>
        </w:rPr>
        <w:tab/>
        <w:t>(2)</w:t>
      </w:r>
      <w:r>
        <w:rPr>
          <w:snapToGrid w:val="0"/>
        </w:rPr>
        <w:tab/>
        <w:t>If mechanical ventilation is provided in a space of which any cylinder or appliance is installed —</w:t>
      </w:r>
    </w:p>
    <w:p>
      <w:pPr>
        <w:pStyle w:val="yIndenta"/>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pPr>
        <w:pStyle w:val="yIndenta"/>
        <w:rPr>
          <w:snapToGrid w:val="0"/>
        </w:rPr>
      </w:pPr>
      <w:r>
        <w:rPr>
          <w:snapToGrid w:val="0"/>
        </w:rPr>
        <w:tab/>
        <w:t>(b)</w:t>
      </w:r>
      <w:r>
        <w:rPr>
          <w:snapToGrid w:val="0"/>
        </w:rPr>
        <w:tab/>
        <w:t>any electric motor driving a fan must be located —</w:t>
      </w:r>
    </w:p>
    <w:p>
      <w:pPr>
        <w:pStyle w:val="yIndenti0"/>
        <w:spacing w:before="90"/>
        <w:rPr>
          <w:snapToGrid w:val="0"/>
        </w:rPr>
      </w:pPr>
      <w:r>
        <w:rPr>
          <w:snapToGrid w:val="0"/>
        </w:rPr>
        <w:tab/>
        <w:t>(i)</w:t>
      </w:r>
      <w:r>
        <w:rPr>
          <w:snapToGrid w:val="0"/>
        </w:rPr>
        <w:tab/>
        <w:t>outside the space ventilated; or</w:t>
      </w:r>
    </w:p>
    <w:p>
      <w:pPr>
        <w:pStyle w:val="yIndenti0"/>
        <w:spacing w:before="90"/>
        <w:rPr>
          <w:snapToGrid w:val="0"/>
        </w:rPr>
      </w:pPr>
      <w:r>
        <w:rPr>
          <w:snapToGrid w:val="0"/>
        </w:rPr>
        <w:tab/>
        <w:t>(ii)</w:t>
      </w:r>
      <w:r>
        <w:rPr>
          <w:snapToGrid w:val="0"/>
        </w:rPr>
        <w:tab/>
        <w:t>within the space ventilated but clear of the ventilation trunking and outlets; or</w:t>
      </w:r>
    </w:p>
    <w:p>
      <w:pPr>
        <w:pStyle w:val="yIndenti0"/>
        <w:spacing w:before="90"/>
        <w:rPr>
          <w:snapToGrid w:val="0"/>
        </w:rPr>
      </w:pPr>
      <w:r>
        <w:rPr>
          <w:snapToGrid w:val="0"/>
        </w:rPr>
        <w:tab/>
        <w:t>(iii)</w:t>
      </w:r>
      <w:r>
        <w:rPr>
          <w:snapToGrid w:val="0"/>
        </w:rPr>
        <w:tab/>
        <w:t>in such other position as is approved in each case by an inspector;</w:t>
      </w:r>
    </w:p>
    <w:p>
      <w:pPr>
        <w:pStyle w:val="yIndenta"/>
        <w:spacing w:before="90"/>
        <w:rPr>
          <w:snapToGrid w:val="0"/>
        </w:rPr>
      </w:pPr>
      <w:r>
        <w:rPr>
          <w:snapToGrid w:val="0"/>
        </w:rPr>
        <w:tab/>
      </w:r>
      <w:r>
        <w:rPr>
          <w:snapToGrid w:val="0"/>
        </w:rPr>
        <w:tab/>
        <w:t>and</w:t>
      </w:r>
    </w:p>
    <w:p>
      <w:pPr>
        <w:pStyle w:val="yIndenta"/>
        <w:spacing w:before="90"/>
        <w:rPr>
          <w:snapToGrid w:val="0"/>
        </w:rPr>
      </w:pPr>
      <w:r>
        <w:rPr>
          <w:snapToGrid w:val="0"/>
        </w:rPr>
        <w:tab/>
        <w:t>(c)</w:t>
      </w:r>
      <w:r>
        <w:rPr>
          <w:snapToGrid w:val="0"/>
        </w:rPr>
        <w:tab/>
        <w:t>ventilation outlets are to be so located as to discharge into a place that is free from any source of ignition; and</w:t>
      </w:r>
    </w:p>
    <w:p>
      <w:pPr>
        <w:pStyle w:val="yIndenta"/>
        <w:spacing w:before="90"/>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spacing w:before="240"/>
        <w:rPr>
          <w:snapToGrid w:val="0"/>
        </w:rPr>
      </w:pPr>
      <w:bookmarkStart w:id="346" w:name="_Toc12010892"/>
      <w:bookmarkStart w:id="347" w:name="_Toc11761461"/>
      <w:r>
        <w:rPr>
          <w:rStyle w:val="CharSClsNo"/>
        </w:rPr>
        <w:t>809</w:t>
      </w:r>
      <w:r>
        <w:rPr>
          <w:snapToGrid w:val="0"/>
        </w:rPr>
        <w:t>.</w:t>
      </w:r>
      <w:r>
        <w:rPr>
          <w:snapToGrid w:val="0"/>
        </w:rPr>
        <w:tab/>
        <w:t>Flues</w:t>
      </w:r>
      <w:bookmarkEnd w:id="346"/>
      <w:bookmarkEnd w:id="347"/>
    </w:p>
    <w:p>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spacing w:before="90"/>
        <w:rPr>
          <w:snapToGrid w:val="0"/>
        </w:rPr>
      </w:pPr>
      <w:r>
        <w:rPr>
          <w:snapToGrid w:val="0"/>
        </w:rPr>
        <w:tab/>
        <w:t>(a)</w:t>
      </w:r>
      <w:r>
        <w:rPr>
          <w:snapToGrid w:val="0"/>
        </w:rPr>
        <w:tab/>
        <w:t>in the case of copper, not less than 0.6 mm; or</w:t>
      </w:r>
    </w:p>
    <w:p>
      <w:pPr>
        <w:pStyle w:val="yIndenta"/>
        <w:spacing w:before="90"/>
        <w:rPr>
          <w:snapToGrid w:val="0"/>
        </w:rPr>
      </w:pPr>
      <w:r>
        <w:rPr>
          <w:snapToGrid w:val="0"/>
        </w:rPr>
        <w:tab/>
        <w:t>(b)</w:t>
      </w:r>
      <w:r>
        <w:rPr>
          <w:snapToGrid w:val="0"/>
        </w:rPr>
        <w:tab/>
        <w:t>in the case of stainless steel, not less than 0.45 mm.</w:t>
      </w:r>
    </w:p>
    <w:p>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rPr>
          <w:snapToGrid w:val="0"/>
        </w:rPr>
      </w:pPr>
      <w:r>
        <w:rPr>
          <w:snapToGrid w:val="0"/>
        </w:rPr>
        <w:tab/>
        <w:t>(3)</w:t>
      </w:r>
      <w:r>
        <w:rPr>
          <w:snapToGrid w:val="0"/>
        </w:rPr>
        <w:tab/>
        <w:t>A flue fitted to an appliance —</w:t>
      </w:r>
    </w:p>
    <w:p>
      <w:pPr>
        <w:pStyle w:val="yIndenta"/>
        <w:spacing w:before="90"/>
        <w:rPr>
          <w:snapToGrid w:val="0"/>
        </w:rPr>
      </w:pPr>
      <w:r>
        <w:rPr>
          <w:snapToGrid w:val="0"/>
        </w:rPr>
        <w:tab/>
        <w:t>(a)</w:t>
      </w:r>
      <w:r>
        <w:rPr>
          <w:snapToGrid w:val="0"/>
        </w:rPr>
        <w:tab/>
        <w:t>must not be fitted with a damper; and</w:t>
      </w:r>
    </w:p>
    <w:p>
      <w:pPr>
        <w:pStyle w:val="yIndenta"/>
        <w:spacing w:before="90"/>
        <w:rPr>
          <w:snapToGrid w:val="0"/>
        </w:rPr>
      </w:pPr>
      <w:r>
        <w:rPr>
          <w:snapToGrid w:val="0"/>
        </w:rPr>
        <w:tab/>
        <w:t>(b)</w:t>
      </w:r>
      <w:r>
        <w:rPr>
          <w:snapToGrid w:val="0"/>
        </w:rPr>
        <w:tab/>
        <w:t>must have an approved flue terminal located not less than 50 mm away from the outside surface of the marine craft.</w:t>
      </w:r>
    </w:p>
    <w:p>
      <w:pPr>
        <w:pStyle w:val="yHeading5"/>
        <w:spacing w:before="240"/>
        <w:rPr>
          <w:snapToGrid w:val="0"/>
        </w:rPr>
      </w:pPr>
      <w:bookmarkStart w:id="348" w:name="_Toc12010893"/>
      <w:bookmarkStart w:id="349" w:name="_Toc11761462"/>
      <w:r>
        <w:rPr>
          <w:rStyle w:val="CharSClsNo"/>
        </w:rPr>
        <w:t>810</w:t>
      </w:r>
      <w:r>
        <w:rPr>
          <w:snapToGrid w:val="0"/>
        </w:rPr>
        <w:t>.</w:t>
      </w:r>
      <w:r>
        <w:rPr>
          <w:snapToGrid w:val="0"/>
        </w:rPr>
        <w:tab/>
        <w:t>Water or room heaters</w:t>
      </w:r>
      <w:bookmarkEnd w:id="348"/>
      <w:bookmarkEnd w:id="349"/>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keepNext/>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rPr>
          <w:snapToGrid w:val="0"/>
        </w:rPr>
      </w:pPr>
      <w:bookmarkStart w:id="350" w:name="_Toc12010894"/>
      <w:bookmarkStart w:id="351" w:name="_Toc11761463"/>
      <w:r>
        <w:rPr>
          <w:rStyle w:val="CharSClsNo"/>
        </w:rPr>
        <w:t>811</w:t>
      </w:r>
      <w:r>
        <w:rPr>
          <w:snapToGrid w:val="0"/>
        </w:rPr>
        <w:t>.</w:t>
      </w:r>
      <w:r>
        <w:rPr>
          <w:snapToGrid w:val="0"/>
        </w:rPr>
        <w:tab/>
        <w:t>Cooking appliances</w:t>
      </w:r>
      <w:bookmarkEnd w:id="350"/>
      <w:bookmarkEnd w:id="351"/>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rPr>
          <w:snapToGrid w:val="0"/>
        </w:rPr>
      </w:pPr>
      <w:bookmarkStart w:id="352" w:name="_Toc12010895"/>
      <w:bookmarkStart w:id="353" w:name="_Toc11761464"/>
      <w:r>
        <w:rPr>
          <w:rStyle w:val="CharSClsNo"/>
        </w:rPr>
        <w:t>812</w:t>
      </w:r>
      <w:r>
        <w:rPr>
          <w:snapToGrid w:val="0"/>
        </w:rPr>
        <w:t>.</w:t>
      </w:r>
      <w:r>
        <w:rPr>
          <w:snapToGrid w:val="0"/>
        </w:rPr>
        <w:tab/>
        <w:t>Warnings</w:t>
      </w:r>
      <w:bookmarkEnd w:id="352"/>
      <w:bookmarkEnd w:id="353"/>
    </w:p>
    <w:p>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trPr>
          <w:trHeight w:val="532"/>
        </w:trPr>
        <w:tc>
          <w:tcPr>
            <w:tcW w:w="6237" w:type="dxa"/>
          </w:tcPr>
          <w:p>
            <w:pPr>
              <w:pStyle w:val="yTableNAm"/>
              <w:spacing w:before="60" w:after="60"/>
              <w:jc w:val="center"/>
              <w:rPr>
                <w:b/>
                <w:bCs/>
              </w:rPr>
            </w:pPr>
            <w:r>
              <w:rPr>
                <w:b/>
                <w:bCs/>
                <w:snapToGrid w:val="0"/>
              </w:rPr>
              <w:t>Approval of an inspector is required before appliances may be altered.</w:t>
            </w:r>
          </w:p>
        </w:tc>
      </w:tr>
    </w:tbl>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yScheduleHeading"/>
      </w:pPr>
      <w:bookmarkStart w:id="354" w:name="_Toc11925610"/>
      <w:bookmarkStart w:id="355" w:name="_Toc11926051"/>
      <w:bookmarkStart w:id="356" w:name="_Toc11926169"/>
      <w:bookmarkStart w:id="357" w:name="_Toc12010896"/>
      <w:bookmarkStart w:id="358" w:name="_Toc11747707"/>
      <w:bookmarkStart w:id="359" w:name="_Toc11755501"/>
      <w:bookmarkStart w:id="360" w:name="_Toc11761465"/>
      <w:r>
        <w:rPr>
          <w:rStyle w:val="CharSchNo"/>
        </w:rPr>
        <w:t>Schedule 7</w:t>
      </w:r>
      <w:r>
        <w:rPr>
          <w:rStyle w:val="CharSDivNo"/>
        </w:rPr>
        <w:t> </w:t>
      </w:r>
      <w:r>
        <w:t>—</w:t>
      </w:r>
      <w:r>
        <w:rPr>
          <w:rStyle w:val="CharSDivText"/>
        </w:rPr>
        <w:t> </w:t>
      </w:r>
      <w:r>
        <w:rPr>
          <w:rStyle w:val="CharSchText"/>
        </w:rPr>
        <w:t>Standards containing requirements for consumers’ gas installations</w:t>
      </w:r>
      <w:bookmarkEnd w:id="354"/>
      <w:bookmarkEnd w:id="355"/>
      <w:bookmarkEnd w:id="356"/>
      <w:bookmarkEnd w:id="357"/>
      <w:bookmarkEnd w:id="358"/>
      <w:bookmarkEnd w:id="359"/>
      <w:bookmarkEnd w:id="360"/>
    </w:p>
    <w:p>
      <w:pPr>
        <w:pStyle w:val="yShoulderClause"/>
        <w:spacing w:after="120"/>
      </w:pPr>
      <w:r>
        <w:t>[r. 32(1)(b)]</w:t>
      </w:r>
    </w:p>
    <w:p>
      <w:pPr>
        <w:pStyle w:val="yFootnotesection"/>
        <w:spacing w:after="120"/>
      </w:pPr>
      <w:r>
        <w:tab/>
        <w:t>[Heading inserted: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trPr>
          <w:tblHeader/>
        </w:trPr>
        <w:tc>
          <w:tcPr>
            <w:tcW w:w="720" w:type="dxa"/>
            <w:tcBorders>
              <w:top w:val="single" w:sz="4" w:space="0" w:color="auto"/>
              <w:bottom w:val="single" w:sz="4" w:space="0" w:color="auto"/>
            </w:tcBorders>
          </w:tcPr>
          <w:p>
            <w:pPr>
              <w:pStyle w:val="yTableNAm"/>
              <w:rPr>
                <w:b/>
                <w:bCs/>
              </w:rPr>
            </w:pPr>
            <w:r>
              <w:rPr>
                <w:b/>
                <w:bCs/>
              </w:rPr>
              <w:t>Item</w:t>
            </w:r>
          </w:p>
        </w:tc>
        <w:tc>
          <w:tcPr>
            <w:tcW w:w="4667" w:type="dxa"/>
            <w:tcBorders>
              <w:top w:val="single" w:sz="4" w:space="0" w:color="auto"/>
              <w:bottom w:val="single" w:sz="4" w:space="0" w:color="auto"/>
            </w:tcBorders>
          </w:tcPr>
          <w:p>
            <w:pPr>
              <w:pStyle w:val="yTableNAm"/>
              <w:rPr>
                <w:b/>
                <w:bCs/>
              </w:rPr>
            </w:pPr>
            <w:r>
              <w:rPr>
                <w:b/>
                <w:bCs/>
              </w:rPr>
              <w:t>Title</w:t>
            </w:r>
          </w:p>
        </w:tc>
        <w:tc>
          <w:tcPr>
            <w:tcW w:w="1693" w:type="dxa"/>
            <w:tcBorders>
              <w:top w:val="single" w:sz="4" w:space="0" w:color="auto"/>
              <w:bottom w:val="single" w:sz="4" w:space="0" w:color="auto"/>
            </w:tcBorders>
          </w:tcPr>
          <w:p>
            <w:pPr>
              <w:pStyle w:val="yTableNAm"/>
              <w:rPr>
                <w:b/>
                <w:bCs/>
              </w:rPr>
            </w:pPr>
            <w:r>
              <w:rPr>
                <w:b/>
                <w:bCs/>
              </w:rPr>
              <w:t>Standard</w:t>
            </w:r>
          </w:p>
        </w:tc>
      </w:tr>
      <w:tr>
        <w:tc>
          <w:tcPr>
            <w:tcW w:w="720" w:type="dxa"/>
            <w:tcBorders>
              <w:top w:val="single" w:sz="4" w:space="0" w:color="auto"/>
            </w:tcBorders>
          </w:tcPr>
          <w:p>
            <w:pPr>
              <w:pStyle w:val="yTableNAm"/>
            </w:pPr>
            <w:r>
              <w:t>1.</w:t>
            </w:r>
          </w:p>
        </w:tc>
        <w:tc>
          <w:tcPr>
            <w:tcW w:w="4667" w:type="dxa"/>
            <w:tcBorders>
              <w:top w:val="single" w:sz="4" w:space="0" w:color="auto"/>
            </w:tcBorders>
          </w:tcPr>
          <w:p>
            <w:pPr>
              <w:pStyle w:val="yTableNAm"/>
            </w:pPr>
            <w:r>
              <w:t>Gas installations</w:t>
            </w:r>
          </w:p>
        </w:tc>
        <w:tc>
          <w:tcPr>
            <w:tcW w:w="1693" w:type="dxa"/>
            <w:tcBorders>
              <w:top w:val="single" w:sz="4" w:space="0" w:color="auto"/>
            </w:tcBorders>
          </w:tcPr>
          <w:p>
            <w:pPr>
              <w:pStyle w:val="yTableNAm"/>
            </w:pPr>
            <w:r>
              <w:t>AS/NZS 5601</w:t>
            </w:r>
          </w:p>
        </w:tc>
      </w:tr>
      <w:tr>
        <w:tc>
          <w:tcPr>
            <w:tcW w:w="720" w:type="dxa"/>
          </w:tcPr>
          <w:p>
            <w:pPr>
              <w:pStyle w:val="yTableNAm"/>
            </w:pPr>
            <w:r>
              <w:t>2.</w:t>
            </w:r>
          </w:p>
        </w:tc>
        <w:tc>
          <w:tcPr>
            <w:tcW w:w="4667" w:type="dxa"/>
          </w:tcPr>
          <w:p>
            <w:pPr>
              <w:pStyle w:val="yTableNAm"/>
            </w:pPr>
            <w:r>
              <w:t>Industrial and commercial gas</w:t>
            </w:r>
            <w:r>
              <w:noBreakHyphen/>
              <w:t>fired appliances</w:t>
            </w:r>
          </w:p>
        </w:tc>
        <w:tc>
          <w:tcPr>
            <w:tcW w:w="1693" w:type="dxa"/>
          </w:tcPr>
          <w:p>
            <w:pPr>
              <w:pStyle w:val="yTableNAm"/>
            </w:pPr>
            <w:r>
              <w:t>AS 3814</w:t>
            </w:r>
          </w:p>
        </w:tc>
      </w:tr>
      <w:tr>
        <w:tc>
          <w:tcPr>
            <w:tcW w:w="720" w:type="dxa"/>
          </w:tcPr>
          <w:p>
            <w:pPr>
              <w:pStyle w:val="yTableNAm"/>
            </w:pPr>
            <w:r>
              <w:t>3.</w:t>
            </w:r>
          </w:p>
        </w:tc>
        <w:tc>
          <w:tcPr>
            <w:tcW w:w="4667" w:type="dxa"/>
          </w:tcPr>
          <w:p>
            <w:pPr>
              <w:pStyle w:val="yTableNAm"/>
            </w:pPr>
            <w:r>
              <w:t>Storage and handling of LP Gas</w:t>
            </w:r>
          </w:p>
        </w:tc>
        <w:tc>
          <w:tcPr>
            <w:tcW w:w="1693" w:type="dxa"/>
          </w:tcPr>
          <w:p>
            <w:pPr>
              <w:pStyle w:val="yTableNAm"/>
            </w:pPr>
            <w:r>
              <w:t>AS/NZS 1596</w:t>
            </w:r>
          </w:p>
        </w:tc>
      </w:tr>
      <w:tr>
        <w:tc>
          <w:tcPr>
            <w:tcW w:w="720" w:type="dxa"/>
          </w:tcPr>
          <w:p>
            <w:pPr>
              <w:pStyle w:val="yTableNAm"/>
            </w:pPr>
            <w:r>
              <w:t>4.</w:t>
            </w:r>
          </w:p>
        </w:tc>
        <w:tc>
          <w:tcPr>
            <w:tcW w:w="4667" w:type="dxa"/>
          </w:tcPr>
          <w:p>
            <w:pPr>
              <w:pStyle w:val="yTableNAm"/>
            </w:pPr>
            <w:r>
              <w:t>LP Gas fuel systems for marine engines</w:t>
            </w:r>
          </w:p>
        </w:tc>
        <w:tc>
          <w:tcPr>
            <w:tcW w:w="1693" w:type="dxa"/>
          </w:tcPr>
          <w:p>
            <w:pPr>
              <w:pStyle w:val="yTableNAm"/>
            </w:pPr>
            <w:r>
              <w:t>AS 4732</w:t>
            </w:r>
          </w:p>
        </w:tc>
      </w:tr>
      <w:tr>
        <w:tc>
          <w:tcPr>
            <w:tcW w:w="720" w:type="dxa"/>
          </w:tcPr>
          <w:p>
            <w:pPr>
              <w:pStyle w:val="yTableNAm"/>
            </w:pPr>
            <w:r>
              <w:t>5.</w:t>
            </w:r>
          </w:p>
        </w:tc>
        <w:tc>
          <w:tcPr>
            <w:tcW w:w="4667" w:type="dxa"/>
          </w:tcPr>
          <w:p>
            <w:pPr>
              <w:pStyle w:val="yTableNAm"/>
            </w:pPr>
            <w:r>
              <w:t>LP Gas for fuel systems for vehicle engines</w:t>
            </w:r>
          </w:p>
        </w:tc>
        <w:tc>
          <w:tcPr>
            <w:tcW w:w="1693" w:type="dxa"/>
          </w:tcPr>
          <w:p>
            <w:pPr>
              <w:pStyle w:val="yTableNAm"/>
            </w:pPr>
            <w:r>
              <w:t>AS/NZS 1425</w:t>
            </w:r>
          </w:p>
        </w:tc>
      </w:tr>
      <w:tr>
        <w:tc>
          <w:tcPr>
            <w:tcW w:w="720" w:type="dxa"/>
          </w:tcPr>
          <w:p>
            <w:pPr>
              <w:pStyle w:val="yTableNAm"/>
            </w:pPr>
            <w:r>
              <w:t>6.</w:t>
            </w:r>
          </w:p>
        </w:tc>
        <w:tc>
          <w:tcPr>
            <w:tcW w:w="4667" w:type="dxa"/>
          </w:tcPr>
          <w:p>
            <w:pPr>
              <w:pStyle w:val="yTableNAm"/>
            </w:pPr>
            <w:r>
              <w:t>Natural gas (NG) fuel systems for vehicle engines</w:t>
            </w:r>
          </w:p>
        </w:tc>
        <w:tc>
          <w:tcPr>
            <w:tcW w:w="1693" w:type="dxa"/>
          </w:tcPr>
          <w:p>
            <w:pPr>
              <w:pStyle w:val="yTableNAm"/>
            </w:pPr>
            <w:r>
              <w:t>AS 2739</w:t>
            </w:r>
          </w:p>
        </w:tc>
      </w:tr>
      <w:tr>
        <w:tc>
          <w:tcPr>
            <w:tcW w:w="720" w:type="dxa"/>
          </w:tcPr>
          <w:p>
            <w:pPr>
              <w:pStyle w:val="yTableNAm"/>
            </w:pPr>
            <w:r>
              <w:t>7.</w:t>
            </w:r>
          </w:p>
        </w:tc>
        <w:tc>
          <w:tcPr>
            <w:tcW w:w="4667" w:type="dxa"/>
          </w:tcPr>
          <w:p>
            <w:pPr>
              <w:pStyle w:val="yTableNAm"/>
            </w:pPr>
            <w:r>
              <w:t>Gas fuel systems for forklifts and industrial engines</w:t>
            </w:r>
          </w:p>
        </w:tc>
        <w:tc>
          <w:tcPr>
            <w:tcW w:w="1693" w:type="dxa"/>
          </w:tcPr>
          <w:p>
            <w:pPr>
              <w:pStyle w:val="yTableNAm"/>
            </w:pPr>
            <w:r>
              <w:br/>
              <w:t>AS 4983</w:t>
            </w:r>
          </w:p>
        </w:tc>
      </w:tr>
      <w:tr>
        <w:tc>
          <w:tcPr>
            <w:tcW w:w="720" w:type="dxa"/>
          </w:tcPr>
          <w:p>
            <w:pPr>
              <w:pStyle w:val="yTableNAm"/>
            </w:pPr>
            <w:r>
              <w:t>8.</w:t>
            </w:r>
          </w:p>
        </w:tc>
        <w:tc>
          <w:tcPr>
            <w:tcW w:w="4667" w:type="dxa"/>
          </w:tcPr>
          <w:p>
            <w:pPr>
              <w:pStyle w:val="yTableNAm"/>
            </w:pPr>
            <w:r>
              <w:t>CNG refuelling stations</w:t>
            </w:r>
          </w:p>
        </w:tc>
        <w:tc>
          <w:tcPr>
            <w:tcW w:w="1693" w:type="dxa"/>
          </w:tcPr>
          <w:p>
            <w:pPr>
              <w:pStyle w:val="yTableNAm"/>
            </w:pPr>
            <w:r>
              <w:t>AS 5092</w:t>
            </w:r>
          </w:p>
        </w:tc>
      </w:tr>
      <w:tr>
        <w:tc>
          <w:tcPr>
            <w:tcW w:w="720" w:type="dxa"/>
          </w:tcPr>
          <w:p>
            <w:pPr>
              <w:pStyle w:val="yTableNAm"/>
            </w:pPr>
            <w:r>
              <w:t>9.</w:t>
            </w:r>
          </w:p>
        </w:tc>
        <w:tc>
          <w:tcPr>
            <w:tcW w:w="4667" w:type="dxa"/>
          </w:tcPr>
          <w:p>
            <w:pPr>
              <w:pStyle w:val="yTableNAm"/>
            </w:pPr>
            <w:r>
              <w:t>The storage and handling of liquefied natural gas</w:t>
            </w:r>
          </w:p>
        </w:tc>
        <w:tc>
          <w:tcPr>
            <w:tcW w:w="1693" w:type="dxa"/>
          </w:tcPr>
          <w:p>
            <w:pPr>
              <w:pStyle w:val="yTableNAm"/>
            </w:pPr>
            <w:r>
              <w:t>AS 3961</w:t>
            </w:r>
          </w:p>
        </w:tc>
      </w:tr>
      <w:tr>
        <w:tc>
          <w:tcPr>
            <w:tcW w:w="720" w:type="dxa"/>
          </w:tcPr>
          <w:p>
            <w:pPr>
              <w:pStyle w:val="yTableNAm"/>
            </w:pPr>
            <w:r>
              <w:t>10.</w:t>
            </w:r>
          </w:p>
        </w:tc>
        <w:tc>
          <w:tcPr>
            <w:tcW w:w="4667" w:type="dxa"/>
          </w:tcPr>
          <w:p>
            <w:pPr>
              <w:pStyle w:val="yTableNAm"/>
            </w:pPr>
            <w:r>
              <w:t>Gas distribution networks — Plastic pipe systems</w:t>
            </w:r>
          </w:p>
        </w:tc>
        <w:tc>
          <w:tcPr>
            <w:tcW w:w="1693" w:type="dxa"/>
          </w:tcPr>
          <w:p>
            <w:pPr>
              <w:pStyle w:val="yTableNAm"/>
            </w:pPr>
            <w:r>
              <w:t>AS 4645.3</w:t>
            </w:r>
          </w:p>
        </w:tc>
      </w:tr>
      <w:tr>
        <w:tc>
          <w:tcPr>
            <w:tcW w:w="720" w:type="dxa"/>
          </w:tcPr>
          <w:p>
            <w:pPr>
              <w:pStyle w:val="yTableNAm"/>
            </w:pPr>
            <w:r>
              <w:t>11.</w:t>
            </w:r>
          </w:p>
        </w:tc>
        <w:tc>
          <w:tcPr>
            <w:tcW w:w="4667" w:type="dxa"/>
          </w:tcPr>
          <w:p>
            <w:pPr>
              <w:pStyle w:val="yTableNAm"/>
            </w:pPr>
            <w:r>
              <w:t>Gas distribution networks — Steel pipe systems</w:t>
            </w:r>
          </w:p>
        </w:tc>
        <w:tc>
          <w:tcPr>
            <w:tcW w:w="1693" w:type="dxa"/>
          </w:tcPr>
          <w:p>
            <w:pPr>
              <w:pStyle w:val="yTableNAm"/>
            </w:pPr>
            <w:r>
              <w:t>AS 4645.2</w:t>
            </w:r>
          </w:p>
        </w:tc>
      </w:tr>
      <w:tr>
        <w:tc>
          <w:tcPr>
            <w:tcW w:w="720" w:type="dxa"/>
          </w:tcPr>
          <w:p>
            <w:pPr>
              <w:pStyle w:val="yTableNAm"/>
            </w:pPr>
            <w:r>
              <w:t>12.</w:t>
            </w:r>
          </w:p>
        </w:tc>
        <w:tc>
          <w:tcPr>
            <w:tcW w:w="4667" w:type="dxa"/>
          </w:tcPr>
          <w:p>
            <w:pPr>
              <w:pStyle w:val="yTableNAm"/>
            </w:pPr>
            <w:r>
              <w:t>Pipelines — Gas and liquid petroleum — Design and construction</w:t>
            </w:r>
          </w:p>
        </w:tc>
        <w:tc>
          <w:tcPr>
            <w:tcW w:w="1693" w:type="dxa"/>
          </w:tcPr>
          <w:p>
            <w:pPr>
              <w:pStyle w:val="yTableNAm"/>
            </w:pPr>
            <w:r>
              <w:br/>
              <w:t>AS 2885.1</w:t>
            </w:r>
          </w:p>
        </w:tc>
      </w:tr>
      <w:tr>
        <w:tc>
          <w:tcPr>
            <w:tcW w:w="720" w:type="dxa"/>
          </w:tcPr>
          <w:p>
            <w:pPr>
              <w:pStyle w:val="yTableNAm"/>
            </w:pPr>
            <w:r>
              <w:t>13.</w:t>
            </w:r>
          </w:p>
        </w:tc>
        <w:tc>
          <w:tcPr>
            <w:tcW w:w="4667" w:type="dxa"/>
          </w:tcPr>
          <w:p>
            <w:pPr>
              <w:pStyle w:val="yTableNAm"/>
            </w:pPr>
            <w:r>
              <w:t>Pipelines — Gas and liquid petroleum — Welding</w:t>
            </w:r>
          </w:p>
        </w:tc>
        <w:tc>
          <w:tcPr>
            <w:tcW w:w="1693" w:type="dxa"/>
          </w:tcPr>
          <w:p>
            <w:pPr>
              <w:pStyle w:val="yTableNAm"/>
            </w:pPr>
            <w:r>
              <w:br/>
              <w:t>AS 2885.2</w:t>
            </w:r>
          </w:p>
        </w:tc>
      </w:tr>
      <w:tr>
        <w:tc>
          <w:tcPr>
            <w:tcW w:w="720" w:type="dxa"/>
          </w:tcPr>
          <w:p>
            <w:pPr>
              <w:pStyle w:val="yTableNAm"/>
            </w:pPr>
            <w:r>
              <w:t>14.</w:t>
            </w:r>
          </w:p>
        </w:tc>
        <w:tc>
          <w:tcPr>
            <w:tcW w:w="4667" w:type="dxa"/>
          </w:tcPr>
          <w:p>
            <w:pPr>
              <w:pStyle w:val="yTableNAm"/>
            </w:pPr>
            <w:r>
              <w:t>Pipelines — Gas and liquid petroleum — Field pressure testing</w:t>
            </w:r>
          </w:p>
        </w:tc>
        <w:tc>
          <w:tcPr>
            <w:tcW w:w="1693" w:type="dxa"/>
          </w:tcPr>
          <w:p>
            <w:pPr>
              <w:pStyle w:val="yTableNAm"/>
            </w:pPr>
            <w:r>
              <w:br/>
              <w:t>AS/NZS 2885.5</w:t>
            </w:r>
          </w:p>
        </w:tc>
      </w:tr>
      <w:tr>
        <w:tc>
          <w:tcPr>
            <w:tcW w:w="720" w:type="dxa"/>
          </w:tcPr>
          <w:p>
            <w:pPr>
              <w:pStyle w:val="yTableNAm"/>
            </w:pPr>
            <w:r>
              <w:t>15.</w:t>
            </w:r>
          </w:p>
        </w:tc>
        <w:tc>
          <w:tcPr>
            <w:tcW w:w="4667" w:type="dxa"/>
          </w:tcPr>
          <w:p>
            <w:pPr>
              <w:pStyle w:val="yTableNAm"/>
            </w:pPr>
            <w:r>
              <w:t>Pressure piping</w:t>
            </w:r>
          </w:p>
        </w:tc>
        <w:tc>
          <w:tcPr>
            <w:tcW w:w="1693" w:type="dxa"/>
          </w:tcPr>
          <w:p>
            <w:pPr>
              <w:pStyle w:val="yTableNAm"/>
            </w:pPr>
            <w:r>
              <w:t>AS 4041</w:t>
            </w:r>
          </w:p>
        </w:tc>
      </w:tr>
      <w:tr>
        <w:tc>
          <w:tcPr>
            <w:tcW w:w="720" w:type="dxa"/>
          </w:tcPr>
          <w:p>
            <w:pPr>
              <w:pStyle w:val="yTableNAm"/>
            </w:pPr>
            <w:r>
              <w:t>16.</w:t>
            </w:r>
          </w:p>
        </w:tc>
        <w:tc>
          <w:tcPr>
            <w:tcW w:w="4667" w:type="dxa"/>
          </w:tcPr>
          <w:p>
            <w:pPr>
              <w:pStyle w:val="yTableNAm"/>
            </w:pPr>
            <w:r>
              <w:t>Approval and test specification — General requirements for electrical equipment</w:t>
            </w:r>
          </w:p>
        </w:tc>
        <w:tc>
          <w:tcPr>
            <w:tcW w:w="1693" w:type="dxa"/>
          </w:tcPr>
          <w:p>
            <w:pPr>
              <w:pStyle w:val="yTableNAm"/>
            </w:pPr>
            <w:r>
              <w:br/>
              <w:t>AS/NZS 3100</w:t>
            </w:r>
          </w:p>
        </w:tc>
      </w:tr>
      <w:tr>
        <w:tc>
          <w:tcPr>
            <w:tcW w:w="720" w:type="dxa"/>
            <w:tcBorders>
              <w:bottom w:val="single" w:sz="4" w:space="0" w:color="auto"/>
            </w:tcBorders>
          </w:tcPr>
          <w:p>
            <w:pPr>
              <w:pStyle w:val="yTableNAm"/>
            </w:pPr>
            <w:r>
              <w:t>17.</w:t>
            </w:r>
          </w:p>
        </w:tc>
        <w:tc>
          <w:tcPr>
            <w:tcW w:w="4667" w:type="dxa"/>
            <w:tcBorders>
              <w:bottom w:val="single" w:sz="4" w:space="0" w:color="auto"/>
            </w:tcBorders>
          </w:tcPr>
          <w:p>
            <w:pPr>
              <w:pStyle w:val="yTableNAm"/>
            </w:pPr>
            <w:r>
              <w:t>Household and similar electrical appliances — Safety</w:t>
            </w:r>
          </w:p>
          <w:p>
            <w:pPr>
              <w:pStyle w:val="yTableNAm"/>
            </w:pPr>
            <w:r>
              <w:t>Part 2.102: Particular requirements for gas, oil and solid fuel burning appliances having electrical connections</w:t>
            </w:r>
          </w:p>
        </w:tc>
        <w:tc>
          <w:tcPr>
            <w:tcW w:w="1693" w:type="dxa"/>
            <w:tcBorders>
              <w:bottom w:val="single" w:sz="4" w:space="0" w:color="auto"/>
            </w:tcBorders>
          </w:tcPr>
          <w:p>
            <w:pPr>
              <w:pStyle w:val="yTableNAm"/>
            </w:pPr>
            <w:r>
              <w:br/>
            </w:r>
          </w:p>
          <w:p>
            <w:pPr>
              <w:pStyle w:val="yTableNAm"/>
            </w:pPr>
            <w:r>
              <w:br/>
              <w:t>AS/NZS 60335</w:t>
            </w:r>
            <w:r>
              <w:noBreakHyphen/>
              <w:t>2</w:t>
            </w:r>
            <w:r>
              <w:noBreakHyphen/>
              <w:t>102</w:t>
            </w:r>
          </w:p>
        </w:tc>
      </w:tr>
    </w:tbl>
    <w:p>
      <w:pPr>
        <w:pStyle w:val="yFootnotesection"/>
      </w:pPr>
      <w:r>
        <w:tab/>
        <w:t>[Schedule 7 inserted: Gazette 26 Nov 2010 p. 5933-4; amended: Gazette 18 Jan 2011 p. 147.]</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s>
        <w:ind w:left="567" w:hanging="567"/>
      </w:pPr>
    </w:p>
    <w:p>
      <w:pPr>
        <w:tabs>
          <w:tab w:val="left" w:pos="567"/>
        </w:tabs>
        <w:ind w:left="567" w:hanging="567"/>
        <w:sectPr>
          <w:headerReference w:type="even" r:id="rId30"/>
          <w:headerReference w:type="default" r:id="rId31"/>
          <w:pgSz w:w="11907" w:h="16840" w:code="9"/>
          <w:pgMar w:top="2376" w:right="2405" w:bottom="3542" w:left="2405" w:header="706" w:footer="3380" w:gutter="0"/>
          <w:cols w:space="720"/>
          <w:noEndnote/>
          <w:docGrid w:linePitch="326"/>
        </w:sectPr>
      </w:pPr>
    </w:p>
    <w:p>
      <w:pPr>
        <w:pStyle w:val="nHeading2"/>
      </w:pPr>
      <w:bookmarkStart w:id="361" w:name="_Toc11925611"/>
      <w:bookmarkStart w:id="362" w:name="_Toc11926052"/>
      <w:bookmarkStart w:id="363" w:name="_Toc11926170"/>
      <w:bookmarkStart w:id="364" w:name="_Toc12010897"/>
      <w:bookmarkStart w:id="365" w:name="_Toc11747708"/>
      <w:bookmarkStart w:id="366" w:name="_Toc11755502"/>
      <w:bookmarkStart w:id="367" w:name="_Toc11761466"/>
      <w:r>
        <w:t>Notes</w:t>
      </w:r>
      <w:bookmarkEnd w:id="361"/>
      <w:bookmarkEnd w:id="362"/>
      <w:bookmarkEnd w:id="363"/>
      <w:bookmarkEnd w:id="364"/>
      <w:bookmarkEnd w:id="365"/>
      <w:bookmarkEnd w:id="366"/>
      <w:bookmarkEnd w:id="367"/>
    </w:p>
    <w:p>
      <w:pPr>
        <w:pStyle w:val="nSubsection"/>
      </w:pPr>
      <w:r>
        <w:rPr>
          <w:vertAlign w:val="superscript"/>
        </w:rPr>
        <w:t>1</w:t>
      </w:r>
      <w:r>
        <w:tab/>
        <w:t xml:space="preserve">This is a compilation of the </w:t>
      </w:r>
      <w:r>
        <w:rPr>
          <w:i/>
          <w:noProof/>
        </w:rPr>
        <w:t>Gas Standards (Gasfitting and Consumer Gas Installations) Regulations 1999</w:t>
      </w:r>
      <w:r>
        <w:t xml:space="preserve"> and includes the amendments made by the other written laws referred to in the following table.  The table also contains information about any reprint</w:t>
      </w:r>
      <w:del w:id="368" w:author="Master Repository Process" w:date="2021-08-28T10:58:00Z">
        <w:r>
          <w:rPr>
            <w:snapToGrid w:val="0"/>
            <w:vertAlign w:val="superscript"/>
          </w:rPr>
          <w:delText> 1a</w:delText>
        </w:r>
      </w:del>
      <w:r>
        <w:t>.</w:t>
      </w:r>
    </w:p>
    <w:p>
      <w:pPr>
        <w:pStyle w:val="nHeading3"/>
        <w:rPr>
          <w:snapToGrid w:val="0"/>
        </w:rPr>
      </w:pPr>
      <w:bookmarkStart w:id="369" w:name="_Toc12010898"/>
      <w:bookmarkStart w:id="370" w:name="_Toc11761467"/>
      <w:r>
        <w:rPr>
          <w:snapToGrid w:val="0"/>
        </w:rPr>
        <w:t>Compilation table</w:t>
      </w:r>
      <w:bookmarkEnd w:id="369"/>
      <w:bookmarkEnd w:id="370"/>
    </w:p>
    <w:tbl>
      <w:tblPr>
        <w:tblW w:w="0" w:type="auto"/>
        <w:tblInd w:w="56" w:type="dxa"/>
        <w:tblLayout w:type="fixed"/>
        <w:tblCellMar>
          <w:left w:w="56" w:type="dxa"/>
          <w:right w:w="56" w:type="dxa"/>
        </w:tblCellMar>
        <w:tblLook w:val="0000" w:firstRow="0" w:lastRow="0" w:firstColumn="0" w:lastColumn="0" w:noHBand="0" w:noVBand="0"/>
      </w:tblPr>
      <w:tblGrid>
        <w:gridCol w:w="3123"/>
        <w:gridCol w:w="1276"/>
        <w:gridCol w:w="29"/>
        <w:gridCol w:w="2664"/>
        <w:gridCol w:w="63"/>
      </w:tblGrid>
      <w:tr>
        <w:trPr>
          <w:cantSplit/>
          <w:tblHeader/>
        </w:trPr>
        <w:tc>
          <w:tcPr>
            <w:tcW w:w="3123" w:type="dxa"/>
            <w:tcBorders>
              <w:top w:val="single" w:sz="8" w:space="0" w:color="auto"/>
              <w:bottom w:val="single" w:sz="8" w:space="0" w:color="auto"/>
            </w:tcBorders>
            <w:shd w:val="clear" w:color="auto" w:fill="auto"/>
          </w:tcPr>
          <w:p>
            <w:pPr>
              <w:pStyle w:val="nTable"/>
              <w:spacing w:after="40"/>
              <w:rPr>
                <w:b/>
              </w:rPr>
            </w:pPr>
            <w:r>
              <w:rPr>
                <w:b/>
              </w:rPr>
              <w:t>Citation</w:t>
            </w:r>
          </w:p>
        </w:tc>
        <w:tc>
          <w:tcPr>
            <w:tcW w:w="1305" w:type="dxa"/>
            <w:gridSpan w:val="2"/>
            <w:tcBorders>
              <w:top w:val="single" w:sz="8" w:space="0" w:color="auto"/>
              <w:bottom w:val="single" w:sz="8" w:space="0" w:color="auto"/>
            </w:tcBorders>
            <w:shd w:val="clear" w:color="auto" w:fill="auto"/>
          </w:tcPr>
          <w:p>
            <w:pPr>
              <w:pStyle w:val="nTable"/>
              <w:spacing w:after="40"/>
              <w:rPr>
                <w:b/>
              </w:rPr>
            </w:pPr>
            <w:r>
              <w:rPr>
                <w:b/>
              </w:rPr>
              <w:t>Gazettal</w:t>
            </w:r>
          </w:p>
        </w:tc>
        <w:tc>
          <w:tcPr>
            <w:tcW w:w="2727"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23" w:type="dxa"/>
          </w:tcPr>
          <w:p>
            <w:pPr>
              <w:pStyle w:val="nTable"/>
              <w:spacing w:after="40"/>
            </w:pPr>
            <w:r>
              <w:rPr>
                <w:i/>
                <w:snapToGrid w:val="0"/>
              </w:rPr>
              <w:t>Gas Standards (Gasfitting and Consumer Gas Installations) Regulations 1999</w:t>
            </w:r>
          </w:p>
        </w:tc>
        <w:tc>
          <w:tcPr>
            <w:tcW w:w="1305" w:type="dxa"/>
            <w:gridSpan w:val="2"/>
          </w:tcPr>
          <w:p>
            <w:pPr>
              <w:pStyle w:val="nTable"/>
              <w:spacing w:after="40"/>
            </w:pPr>
            <w:r>
              <w:t>30 Jul 1999 p. 3499</w:t>
            </w:r>
            <w:r>
              <w:noBreakHyphen/>
              <w:t>539</w:t>
            </w:r>
          </w:p>
        </w:tc>
        <w:tc>
          <w:tcPr>
            <w:tcW w:w="2727" w:type="dxa"/>
            <w:gridSpan w:val="2"/>
          </w:tcPr>
          <w:p>
            <w:pPr>
              <w:pStyle w:val="nTable"/>
              <w:spacing w:after="40"/>
            </w:pPr>
            <w:r>
              <w:t>30 Jul 1999 (see r. 2)</w:t>
            </w:r>
          </w:p>
        </w:tc>
      </w:tr>
      <w:tr>
        <w:trPr>
          <w:cantSplit/>
        </w:trPr>
        <w:tc>
          <w:tcPr>
            <w:tcW w:w="3123" w:type="dxa"/>
          </w:tcPr>
          <w:p>
            <w:pPr>
              <w:pStyle w:val="nTable"/>
              <w:spacing w:after="40"/>
              <w:rPr>
                <w:i/>
                <w:snapToGrid w:val="0"/>
              </w:rPr>
            </w:pPr>
            <w:r>
              <w:rPr>
                <w:i/>
                <w:snapToGrid w:val="0"/>
              </w:rPr>
              <w:t xml:space="preserve">Gas Standards (Gasfitting and Consumer Gas Installations) Amendment Regulations 2000 </w:t>
            </w:r>
          </w:p>
        </w:tc>
        <w:tc>
          <w:tcPr>
            <w:tcW w:w="1305" w:type="dxa"/>
            <w:gridSpan w:val="2"/>
          </w:tcPr>
          <w:p>
            <w:pPr>
              <w:pStyle w:val="nTable"/>
              <w:spacing w:after="40"/>
            </w:pPr>
            <w:r>
              <w:t>2 May 2000 p. 2114</w:t>
            </w:r>
          </w:p>
        </w:tc>
        <w:tc>
          <w:tcPr>
            <w:tcW w:w="2727" w:type="dxa"/>
            <w:gridSpan w:val="2"/>
          </w:tcPr>
          <w:p>
            <w:pPr>
              <w:pStyle w:val="nTable"/>
              <w:spacing w:after="40"/>
            </w:pPr>
            <w:r>
              <w:t>2 May 2000</w:t>
            </w:r>
          </w:p>
        </w:tc>
      </w:tr>
      <w:tr>
        <w:trPr>
          <w:cantSplit/>
        </w:trPr>
        <w:tc>
          <w:tcPr>
            <w:tcW w:w="3123" w:type="dxa"/>
          </w:tcPr>
          <w:p>
            <w:pPr>
              <w:pStyle w:val="nTable"/>
              <w:spacing w:after="40"/>
              <w:rPr>
                <w:i/>
                <w:snapToGrid w:val="0"/>
              </w:rPr>
            </w:pPr>
            <w:r>
              <w:rPr>
                <w:i/>
                <w:snapToGrid w:val="0"/>
              </w:rPr>
              <w:t>Gas Standards (Gasfitting and Consumer Gas Installations) Amendment Regulations (No. 2) 2000 </w:t>
            </w:r>
            <w:r>
              <w:rPr>
                <w:iCs/>
                <w:snapToGrid w:val="0"/>
                <w:vertAlign w:val="superscript"/>
              </w:rPr>
              <w:t>2</w:t>
            </w:r>
          </w:p>
        </w:tc>
        <w:tc>
          <w:tcPr>
            <w:tcW w:w="1305" w:type="dxa"/>
            <w:gridSpan w:val="2"/>
          </w:tcPr>
          <w:p>
            <w:pPr>
              <w:pStyle w:val="nTable"/>
              <w:spacing w:after="40"/>
            </w:pPr>
            <w:r>
              <w:t>19 Dec 2000 p. 7275</w:t>
            </w:r>
            <w:r>
              <w:noBreakHyphen/>
              <w:t>82</w:t>
            </w:r>
          </w:p>
        </w:tc>
        <w:tc>
          <w:tcPr>
            <w:tcW w:w="2727" w:type="dxa"/>
            <w:gridSpan w:val="2"/>
          </w:tcPr>
          <w:p>
            <w:pPr>
              <w:pStyle w:val="nTable"/>
              <w:spacing w:after="40"/>
            </w:pPr>
            <w:r>
              <w:t>19 Dec 2000 (see r. 2)</w:t>
            </w:r>
          </w:p>
        </w:tc>
      </w:tr>
      <w:tr>
        <w:trPr>
          <w:cantSplit/>
        </w:trPr>
        <w:tc>
          <w:tcPr>
            <w:tcW w:w="3123" w:type="dxa"/>
          </w:tcPr>
          <w:p>
            <w:pPr>
              <w:pStyle w:val="nTable"/>
              <w:spacing w:after="40"/>
              <w:rPr>
                <w:i/>
                <w:snapToGrid w:val="0"/>
              </w:rPr>
            </w:pPr>
            <w:r>
              <w:rPr>
                <w:i/>
                <w:snapToGrid w:val="0"/>
              </w:rPr>
              <w:t>Gas Standards (Gasfitting and Consumer Gas Installations) Amendment Regulations 2001</w:t>
            </w:r>
          </w:p>
        </w:tc>
        <w:tc>
          <w:tcPr>
            <w:tcW w:w="1305" w:type="dxa"/>
            <w:gridSpan w:val="2"/>
          </w:tcPr>
          <w:p>
            <w:pPr>
              <w:pStyle w:val="nTable"/>
              <w:spacing w:after="40"/>
            </w:pPr>
            <w:r>
              <w:t>23 Nov 2001 p. 6029</w:t>
            </w:r>
          </w:p>
        </w:tc>
        <w:tc>
          <w:tcPr>
            <w:tcW w:w="2727" w:type="dxa"/>
            <w:gridSpan w:val="2"/>
          </w:tcPr>
          <w:p>
            <w:pPr>
              <w:pStyle w:val="nTable"/>
              <w:spacing w:after="40"/>
            </w:pPr>
            <w:r>
              <w:t>23 Nov 2001</w:t>
            </w:r>
          </w:p>
        </w:tc>
      </w:tr>
      <w:tr>
        <w:trPr>
          <w:cantSplit/>
        </w:trPr>
        <w:tc>
          <w:tcPr>
            <w:tcW w:w="7155" w:type="dxa"/>
            <w:gridSpan w:val="5"/>
          </w:tcPr>
          <w:p>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trPr>
          <w:cantSplit/>
        </w:trPr>
        <w:tc>
          <w:tcPr>
            <w:tcW w:w="3123" w:type="dxa"/>
          </w:tcPr>
          <w:p>
            <w:pPr>
              <w:pStyle w:val="nTable"/>
              <w:spacing w:after="40"/>
              <w:rPr>
                <w:i/>
                <w:snapToGrid w:val="0"/>
              </w:rPr>
            </w:pPr>
            <w:r>
              <w:rPr>
                <w:i/>
                <w:snapToGrid w:val="0"/>
              </w:rPr>
              <w:t>Gas Standards (Gasfitting and Consumer Gas Installations) Amendment Regulations 2003</w:t>
            </w:r>
          </w:p>
        </w:tc>
        <w:tc>
          <w:tcPr>
            <w:tcW w:w="1305" w:type="dxa"/>
            <w:gridSpan w:val="2"/>
          </w:tcPr>
          <w:p>
            <w:pPr>
              <w:pStyle w:val="nTable"/>
              <w:spacing w:after="40"/>
            </w:pPr>
            <w:r>
              <w:t>31 Jan 2003 p. 280</w:t>
            </w:r>
            <w:r>
              <w:noBreakHyphen/>
              <w:t>2</w:t>
            </w:r>
          </w:p>
        </w:tc>
        <w:tc>
          <w:tcPr>
            <w:tcW w:w="2727" w:type="dxa"/>
            <w:gridSpan w:val="2"/>
          </w:tcPr>
          <w:p>
            <w:pPr>
              <w:pStyle w:val="nTable"/>
              <w:spacing w:after="40"/>
            </w:pPr>
            <w:r>
              <w:t>31 Jan 2003</w:t>
            </w:r>
          </w:p>
        </w:tc>
      </w:tr>
      <w:tr>
        <w:trPr>
          <w:cantSplit/>
        </w:trPr>
        <w:tc>
          <w:tcPr>
            <w:tcW w:w="3123" w:type="dxa"/>
          </w:tcPr>
          <w:p>
            <w:pPr>
              <w:pStyle w:val="nTable"/>
              <w:spacing w:after="40"/>
              <w:rPr>
                <w:i/>
                <w:snapToGrid w:val="0"/>
              </w:rPr>
            </w:pPr>
            <w:r>
              <w:rPr>
                <w:i/>
                <w:snapToGrid w:val="0"/>
              </w:rPr>
              <w:t>Gas Standards (Gasfitting and Consumer Gas Installations) Amendment Regulations 2004</w:t>
            </w:r>
          </w:p>
        </w:tc>
        <w:tc>
          <w:tcPr>
            <w:tcW w:w="1305" w:type="dxa"/>
            <w:gridSpan w:val="2"/>
          </w:tcPr>
          <w:p>
            <w:pPr>
              <w:pStyle w:val="nTable"/>
              <w:spacing w:after="40"/>
            </w:pPr>
            <w:r>
              <w:t>13 Jul 2004 p. 2822</w:t>
            </w:r>
            <w:r>
              <w:noBreakHyphen/>
              <w:t>3</w:t>
            </w:r>
          </w:p>
        </w:tc>
        <w:tc>
          <w:tcPr>
            <w:tcW w:w="2727" w:type="dxa"/>
            <w:gridSpan w:val="2"/>
          </w:tcPr>
          <w:p>
            <w:pPr>
              <w:pStyle w:val="nTable"/>
              <w:spacing w:after="40"/>
            </w:pPr>
            <w:r>
              <w:t>13 Jul 2004</w:t>
            </w:r>
          </w:p>
        </w:tc>
      </w:tr>
      <w:tr>
        <w:trPr>
          <w:cantSplit/>
        </w:trPr>
        <w:tc>
          <w:tcPr>
            <w:tcW w:w="3123" w:type="dxa"/>
          </w:tcPr>
          <w:p>
            <w:pPr>
              <w:pStyle w:val="nTable"/>
              <w:spacing w:after="40"/>
              <w:rPr>
                <w:i/>
                <w:snapToGrid w:val="0"/>
              </w:rPr>
            </w:pPr>
            <w:r>
              <w:rPr>
                <w:i/>
                <w:snapToGrid w:val="0"/>
              </w:rPr>
              <w:t>Gas Standards (Gasfitting and Consumer Gas Installations) Amendment Regulations (No. 2) 2004</w:t>
            </w:r>
          </w:p>
        </w:tc>
        <w:tc>
          <w:tcPr>
            <w:tcW w:w="1305" w:type="dxa"/>
            <w:gridSpan w:val="2"/>
          </w:tcPr>
          <w:p>
            <w:pPr>
              <w:pStyle w:val="nTable"/>
              <w:spacing w:after="40"/>
            </w:pPr>
            <w:r>
              <w:t>30 Dec 2004 p. 6988</w:t>
            </w:r>
            <w:r>
              <w:noBreakHyphen/>
              <w:t>9</w:t>
            </w:r>
          </w:p>
        </w:tc>
        <w:tc>
          <w:tcPr>
            <w:tcW w:w="2727" w:type="dxa"/>
            <w:gridSpan w:val="2"/>
          </w:tcPr>
          <w:p>
            <w:pPr>
              <w:pStyle w:val="nTable"/>
              <w:spacing w:after="40"/>
            </w:pPr>
            <w:r>
              <w:t xml:space="preserve">1 Jan 2005 (see r. 2 and </w:t>
            </w:r>
            <w:r>
              <w:rPr>
                <w:i/>
              </w:rPr>
              <w:t>Gazette</w:t>
            </w:r>
            <w:r>
              <w:t xml:space="preserve"> 31 Dec 2004 p. 7130)</w:t>
            </w:r>
          </w:p>
        </w:tc>
      </w:tr>
      <w:tr>
        <w:trPr>
          <w:cantSplit/>
        </w:trPr>
        <w:tc>
          <w:tcPr>
            <w:tcW w:w="3123" w:type="dxa"/>
          </w:tcPr>
          <w:p>
            <w:pPr>
              <w:pStyle w:val="nTable"/>
              <w:spacing w:after="40"/>
              <w:rPr>
                <w:i/>
                <w:snapToGrid w:val="0"/>
              </w:rPr>
            </w:pPr>
            <w:r>
              <w:rPr>
                <w:i/>
                <w:snapToGrid w:val="0"/>
              </w:rPr>
              <w:t>Gas Standards (Gasfitting and Consumer Gas Installations) Amendment Regulations (No. 2) 2005</w:t>
            </w:r>
          </w:p>
        </w:tc>
        <w:tc>
          <w:tcPr>
            <w:tcW w:w="1305" w:type="dxa"/>
            <w:gridSpan w:val="2"/>
          </w:tcPr>
          <w:p>
            <w:pPr>
              <w:pStyle w:val="nTable"/>
              <w:spacing w:after="40"/>
            </w:pPr>
            <w:r>
              <w:t>19 Aug 2005 p. 3867</w:t>
            </w:r>
          </w:p>
        </w:tc>
        <w:tc>
          <w:tcPr>
            <w:tcW w:w="2727" w:type="dxa"/>
            <w:gridSpan w:val="2"/>
          </w:tcPr>
          <w:p>
            <w:pPr>
              <w:pStyle w:val="nTable"/>
              <w:spacing w:after="40"/>
            </w:pPr>
            <w:r>
              <w:t>19 Aug 2005</w:t>
            </w:r>
          </w:p>
        </w:tc>
      </w:tr>
      <w:tr>
        <w:trPr>
          <w:cantSplit/>
        </w:trPr>
        <w:tc>
          <w:tcPr>
            <w:tcW w:w="3123" w:type="dxa"/>
          </w:tcPr>
          <w:p>
            <w:pPr>
              <w:pStyle w:val="nTable"/>
              <w:spacing w:after="40"/>
              <w:rPr>
                <w:i/>
                <w:snapToGrid w:val="0"/>
              </w:rPr>
            </w:pPr>
            <w:r>
              <w:rPr>
                <w:i/>
                <w:snapToGrid w:val="0"/>
              </w:rPr>
              <w:t>Gas Standards (Gasfitting and Consumer Gas Installations) Amendment Regulations 2006</w:t>
            </w:r>
          </w:p>
        </w:tc>
        <w:tc>
          <w:tcPr>
            <w:tcW w:w="1305" w:type="dxa"/>
            <w:gridSpan w:val="2"/>
          </w:tcPr>
          <w:p>
            <w:pPr>
              <w:pStyle w:val="nTable"/>
              <w:spacing w:after="40"/>
            </w:pPr>
            <w:r>
              <w:t>21 Apr 2006 p. 1575</w:t>
            </w:r>
            <w:r>
              <w:noBreakHyphen/>
              <w:t>81</w:t>
            </w:r>
          </w:p>
        </w:tc>
        <w:tc>
          <w:tcPr>
            <w:tcW w:w="2727" w:type="dxa"/>
            <w:gridSpan w:val="2"/>
          </w:tcPr>
          <w:p>
            <w:pPr>
              <w:pStyle w:val="nTable"/>
              <w:spacing w:after="40"/>
            </w:pPr>
            <w:r>
              <w:t>21 Apr 2006</w:t>
            </w:r>
          </w:p>
        </w:tc>
      </w:tr>
      <w:tr>
        <w:trPr>
          <w:cantSplit/>
        </w:trPr>
        <w:tc>
          <w:tcPr>
            <w:tcW w:w="3123" w:type="dxa"/>
          </w:tcPr>
          <w:p>
            <w:pPr>
              <w:pStyle w:val="nTable"/>
              <w:spacing w:after="40"/>
              <w:rPr>
                <w:i/>
                <w:snapToGrid w:val="0"/>
              </w:rPr>
            </w:pPr>
            <w:r>
              <w:rPr>
                <w:i/>
                <w:snapToGrid w:val="0"/>
              </w:rPr>
              <w:t>Gas Standards (Gasfitting and Consumer Gas Installations) Amendment Regulations (No. 2) 2006</w:t>
            </w:r>
          </w:p>
        </w:tc>
        <w:tc>
          <w:tcPr>
            <w:tcW w:w="1305" w:type="dxa"/>
            <w:gridSpan w:val="2"/>
          </w:tcPr>
          <w:p>
            <w:pPr>
              <w:pStyle w:val="nTable"/>
              <w:spacing w:after="40"/>
            </w:pPr>
            <w:r>
              <w:t>27 Jun 2006 p. 2284</w:t>
            </w:r>
            <w:r>
              <w:noBreakHyphen/>
              <w:t>5</w:t>
            </w:r>
          </w:p>
        </w:tc>
        <w:tc>
          <w:tcPr>
            <w:tcW w:w="2727" w:type="dxa"/>
            <w:gridSpan w:val="2"/>
          </w:tcPr>
          <w:p>
            <w:pPr>
              <w:pStyle w:val="nTable"/>
              <w:spacing w:after="40"/>
            </w:pPr>
            <w:r>
              <w:t>1 Jul 2006 (see r. 2)</w:t>
            </w:r>
          </w:p>
        </w:tc>
      </w:tr>
      <w:tr>
        <w:trPr>
          <w:cantSplit/>
        </w:trPr>
        <w:tc>
          <w:tcPr>
            <w:tcW w:w="7155" w:type="dxa"/>
            <w:gridSpan w:val="5"/>
          </w:tcPr>
          <w:p>
            <w:pPr>
              <w:pStyle w:val="nTable"/>
              <w:spacing w:after="40"/>
            </w:pPr>
            <w:r>
              <w:rPr>
                <w:b/>
              </w:rPr>
              <w:t xml:space="preserve">Reprint 2:  The </w:t>
            </w:r>
            <w:r>
              <w:rPr>
                <w:b/>
                <w:i/>
              </w:rPr>
              <w:t xml:space="preserve">Gas Standards (Gasfitting and Consumer Gas Installations) Regulations 1999 </w:t>
            </w:r>
            <w:r>
              <w:rPr>
                <w:b/>
              </w:rPr>
              <w:t xml:space="preserve">as at 14 Jul 2006 </w:t>
            </w:r>
            <w:r>
              <w:t>(includes amendments listed above)</w:t>
            </w:r>
          </w:p>
        </w:tc>
      </w:tr>
      <w:tr>
        <w:trPr>
          <w:cantSplit/>
        </w:trPr>
        <w:tc>
          <w:tcPr>
            <w:tcW w:w="3123" w:type="dxa"/>
          </w:tcPr>
          <w:p>
            <w:pPr>
              <w:pStyle w:val="nTable"/>
              <w:spacing w:after="40"/>
              <w:rPr>
                <w:i/>
                <w:snapToGrid w:val="0"/>
              </w:rPr>
            </w:pPr>
            <w:r>
              <w:rPr>
                <w:i/>
                <w:snapToGrid w:val="0"/>
              </w:rPr>
              <w:t>Gas Standards (Gasfitting and Consumer Gas Installations) Amendment Regulations 2007</w:t>
            </w:r>
          </w:p>
        </w:tc>
        <w:tc>
          <w:tcPr>
            <w:tcW w:w="1305" w:type="dxa"/>
            <w:gridSpan w:val="2"/>
          </w:tcPr>
          <w:p>
            <w:pPr>
              <w:pStyle w:val="nTable"/>
              <w:spacing w:after="40"/>
            </w:pPr>
            <w:r>
              <w:t>15 Jun 2007 p. 2784</w:t>
            </w:r>
            <w:r>
              <w:noBreakHyphen/>
              <w:t>5</w:t>
            </w:r>
          </w:p>
        </w:tc>
        <w:tc>
          <w:tcPr>
            <w:tcW w:w="2727" w:type="dxa"/>
            <w:gridSpan w:val="2"/>
          </w:tcPr>
          <w:p>
            <w:pPr>
              <w:pStyle w:val="nTable"/>
              <w:spacing w:after="40"/>
            </w:pPr>
            <w:r>
              <w:t>r. 1 and 2: 15 Jun 2007 (see r. 2(a));</w:t>
            </w:r>
            <w:r>
              <w:br/>
              <w:t>Regulations other than r. 1 and 2: 1 Jul 2007 (see r. 2(b))</w:t>
            </w:r>
          </w:p>
        </w:tc>
      </w:tr>
      <w:tr>
        <w:trPr>
          <w:cantSplit/>
        </w:trPr>
        <w:tc>
          <w:tcPr>
            <w:tcW w:w="3123" w:type="dxa"/>
          </w:tcPr>
          <w:p>
            <w:pPr>
              <w:pStyle w:val="nTable"/>
              <w:spacing w:after="40"/>
              <w:rPr>
                <w:i/>
                <w:snapToGrid w:val="0"/>
              </w:rPr>
            </w:pPr>
            <w:r>
              <w:rPr>
                <w:i/>
                <w:snapToGrid w:val="0"/>
              </w:rPr>
              <w:t>Gas Standards (Gasfitting and Consumer Gas Installations) Amendment Regulations (No. 2) 2007</w:t>
            </w:r>
          </w:p>
        </w:tc>
        <w:tc>
          <w:tcPr>
            <w:tcW w:w="1305" w:type="dxa"/>
            <w:gridSpan w:val="2"/>
          </w:tcPr>
          <w:p>
            <w:pPr>
              <w:pStyle w:val="nTable"/>
              <w:spacing w:after="40"/>
            </w:pPr>
            <w:r>
              <w:t>30 Nov 2007 p. 5933</w:t>
            </w:r>
            <w:r>
              <w:noBreakHyphen/>
              <w:t>7</w:t>
            </w:r>
          </w:p>
        </w:tc>
        <w:tc>
          <w:tcPr>
            <w:tcW w:w="2727" w:type="dxa"/>
            <w:gridSpan w:val="2"/>
          </w:tcPr>
          <w:p>
            <w:pPr>
              <w:pStyle w:val="nTable"/>
              <w:spacing w:after="40"/>
            </w:pPr>
            <w:r>
              <w:t>r. 1 and 2: 30 Nov 2007 (see r. 2(a));</w:t>
            </w:r>
            <w:r>
              <w:br/>
              <w:t xml:space="preserve">Regulations other than r. 1 and 2: 1 Dec 2007 (see r. 2(b) and </w:t>
            </w:r>
            <w:r>
              <w:rPr>
                <w:i/>
                <w:iCs/>
              </w:rPr>
              <w:t>Gazette</w:t>
            </w:r>
            <w:r>
              <w:t xml:space="preserve"> 30 Nov 2007 p. 5927)</w:t>
            </w:r>
          </w:p>
        </w:tc>
      </w:tr>
      <w:tr>
        <w:trPr>
          <w:cantSplit/>
        </w:trPr>
        <w:tc>
          <w:tcPr>
            <w:tcW w:w="3123" w:type="dxa"/>
          </w:tcPr>
          <w:p>
            <w:pPr>
              <w:pStyle w:val="nTable"/>
              <w:spacing w:after="40"/>
              <w:rPr>
                <w:i/>
                <w:snapToGrid w:val="0"/>
              </w:rPr>
            </w:pPr>
            <w:r>
              <w:rPr>
                <w:i/>
                <w:snapToGrid w:val="0"/>
              </w:rPr>
              <w:t>Gas Standards (Gasfitting and Consumer Gas Installations) Amendment Regulations 2008</w:t>
            </w:r>
          </w:p>
        </w:tc>
        <w:tc>
          <w:tcPr>
            <w:tcW w:w="1305" w:type="dxa"/>
            <w:gridSpan w:val="2"/>
          </w:tcPr>
          <w:p>
            <w:pPr>
              <w:pStyle w:val="nTable"/>
              <w:spacing w:after="40"/>
            </w:pPr>
            <w:r>
              <w:t>17 Jun 2008 p. 2565</w:t>
            </w:r>
            <w:r>
              <w:noBreakHyphen/>
              <w:t>6</w:t>
            </w:r>
          </w:p>
        </w:tc>
        <w:tc>
          <w:tcPr>
            <w:tcW w:w="2727" w:type="dxa"/>
            <w:gridSpan w:val="2"/>
          </w:tcPr>
          <w:p>
            <w:pPr>
              <w:pStyle w:val="nTable"/>
              <w:spacing w:after="40"/>
            </w:pPr>
            <w:r>
              <w:t>r. 1 and 2: 17 Jun 2008 (see r. 2(a));</w:t>
            </w:r>
            <w:r>
              <w:br/>
              <w:t>Regulations other than r. 1 and 2: 1 Jul 2008 (see r. 2(b))</w:t>
            </w:r>
          </w:p>
        </w:tc>
      </w:tr>
      <w:tr>
        <w:trPr>
          <w:cantSplit/>
        </w:trPr>
        <w:tc>
          <w:tcPr>
            <w:tcW w:w="3123" w:type="dxa"/>
          </w:tcPr>
          <w:p>
            <w:pPr>
              <w:pStyle w:val="nTable"/>
              <w:spacing w:after="40"/>
              <w:rPr>
                <w:i/>
                <w:snapToGrid w:val="0"/>
              </w:rPr>
            </w:pPr>
            <w:r>
              <w:rPr>
                <w:i/>
                <w:snapToGrid w:val="0"/>
              </w:rPr>
              <w:t>Gas Standards (Gasfitting and Consumer Gas Installations) Amendment Regulations 2009</w:t>
            </w:r>
          </w:p>
        </w:tc>
        <w:tc>
          <w:tcPr>
            <w:tcW w:w="1305" w:type="dxa"/>
            <w:gridSpan w:val="2"/>
          </w:tcPr>
          <w:p>
            <w:pPr>
              <w:pStyle w:val="nTable"/>
              <w:spacing w:after="40"/>
            </w:pPr>
            <w:r>
              <w:t>23 Jun 2009 p. 2441</w:t>
            </w:r>
            <w:r>
              <w:noBreakHyphen/>
              <w:t>2</w:t>
            </w:r>
          </w:p>
        </w:tc>
        <w:tc>
          <w:tcPr>
            <w:tcW w:w="2727" w:type="dxa"/>
            <w:gridSpan w:val="2"/>
          </w:tcPr>
          <w:p>
            <w:pPr>
              <w:pStyle w:val="nTable"/>
              <w:spacing w:after="40"/>
            </w:pPr>
            <w:r>
              <w:rPr>
                <w:snapToGrid w:val="0"/>
              </w:rPr>
              <w:t>r. 1 and 2: 23 Jun 2009 (see r. 2(a));</w:t>
            </w:r>
            <w:r>
              <w:rPr>
                <w:snapToGrid w:val="0"/>
              </w:rPr>
              <w:br/>
              <w:t>Regulations other than r. 1 and 2: 1 Jul 2009 (see r. 2(b))</w:t>
            </w:r>
          </w:p>
        </w:tc>
      </w:tr>
      <w:tr>
        <w:trPr>
          <w:cantSplit/>
        </w:trPr>
        <w:tc>
          <w:tcPr>
            <w:tcW w:w="7155" w:type="dxa"/>
            <w:gridSpan w:val="5"/>
          </w:tcPr>
          <w:p>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trPr>
          <w:cantSplit/>
        </w:trPr>
        <w:tc>
          <w:tcPr>
            <w:tcW w:w="3123" w:type="dxa"/>
          </w:tcPr>
          <w:p>
            <w:pPr>
              <w:pStyle w:val="nTable"/>
              <w:spacing w:after="40"/>
              <w:rPr>
                <w:i/>
                <w:snapToGrid w:val="0"/>
              </w:rPr>
            </w:pPr>
            <w:r>
              <w:rPr>
                <w:i/>
                <w:snapToGrid w:val="0"/>
              </w:rPr>
              <w:t>Gas Standards (Gasfitting and Consumer Gas Installations) Amendment Regulations (No. 2) 2010</w:t>
            </w:r>
          </w:p>
        </w:tc>
        <w:tc>
          <w:tcPr>
            <w:tcW w:w="1305" w:type="dxa"/>
            <w:gridSpan w:val="2"/>
          </w:tcPr>
          <w:p>
            <w:pPr>
              <w:pStyle w:val="nTable"/>
              <w:spacing w:after="40"/>
            </w:pPr>
            <w:r>
              <w:t>25 Jun 2010 p. 2865-6</w:t>
            </w:r>
          </w:p>
        </w:tc>
        <w:tc>
          <w:tcPr>
            <w:tcW w:w="2727" w:type="dxa"/>
            <w:gridSpan w:val="2"/>
          </w:tcPr>
          <w:p>
            <w:pPr>
              <w:pStyle w:val="nTable"/>
              <w:spacing w:after="40"/>
            </w:pPr>
            <w:r>
              <w:rPr>
                <w:snapToGrid w:val="0"/>
              </w:rPr>
              <w:t>r. 1 and 2: 25 Jun 2010 (see r. 2(a));</w:t>
            </w:r>
            <w:r>
              <w:rPr>
                <w:snapToGrid w:val="0"/>
              </w:rPr>
              <w:br/>
              <w:t>Regulations other than r. 1 and 2: 1 Jul 2010 (see r. 2(b))</w:t>
            </w:r>
          </w:p>
        </w:tc>
      </w:tr>
      <w:tr>
        <w:trPr>
          <w:cantSplit/>
        </w:trPr>
        <w:tc>
          <w:tcPr>
            <w:tcW w:w="3123" w:type="dxa"/>
          </w:tcPr>
          <w:p>
            <w:pPr>
              <w:pStyle w:val="nTable"/>
              <w:spacing w:after="40"/>
              <w:rPr>
                <w:i/>
                <w:snapToGrid w:val="0"/>
              </w:rPr>
            </w:pPr>
            <w:r>
              <w:rPr>
                <w:i/>
                <w:snapToGrid w:val="0"/>
              </w:rPr>
              <w:t>Gas Standards (Gasfitting and Consumer Gas Installations) Amendment Regulations 2010</w:t>
            </w:r>
          </w:p>
        </w:tc>
        <w:tc>
          <w:tcPr>
            <w:tcW w:w="1305" w:type="dxa"/>
            <w:gridSpan w:val="2"/>
          </w:tcPr>
          <w:p>
            <w:pPr>
              <w:pStyle w:val="nTable"/>
              <w:spacing w:after="40"/>
            </w:pPr>
            <w:r>
              <w:t>26 Nov 2010 p. 5928-34</w:t>
            </w:r>
          </w:p>
        </w:tc>
        <w:tc>
          <w:tcPr>
            <w:tcW w:w="2727" w:type="dxa"/>
            <w:gridSpan w:val="2"/>
          </w:tcPr>
          <w:p>
            <w:pPr>
              <w:pStyle w:val="nTable"/>
              <w:spacing w:after="40"/>
              <w:rPr>
                <w:snapToGrid w:val="0"/>
              </w:rPr>
            </w:pPr>
            <w:r>
              <w:rPr>
                <w:snapToGrid w:val="0"/>
              </w:rPr>
              <w:t>r. 1 and 2: 26 Nov 2010 (see r. 2(a));</w:t>
            </w:r>
            <w:r>
              <w:rPr>
                <w:snapToGrid w:val="0"/>
              </w:rPr>
              <w:br/>
              <w:t>Regulations other than r. 1 and 2: 27 Nov 2010 (see r. 2(b))</w:t>
            </w:r>
          </w:p>
        </w:tc>
      </w:tr>
      <w:tr>
        <w:trPr>
          <w:cantSplit/>
        </w:trPr>
        <w:tc>
          <w:tcPr>
            <w:tcW w:w="3123" w:type="dxa"/>
          </w:tcPr>
          <w:p>
            <w:pPr>
              <w:pStyle w:val="nTable"/>
              <w:spacing w:after="40"/>
              <w:rPr>
                <w:i/>
                <w:snapToGrid w:val="0"/>
              </w:rPr>
            </w:pPr>
            <w:r>
              <w:rPr>
                <w:i/>
                <w:snapToGrid w:val="0"/>
              </w:rPr>
              <w:t>Gas Standards (Gasfitting and Consumer Gas Installations) Amendment Regulations (No. 3) 2010</w:t>
            </w:r>
          </w:p>
        </w:tc>
        <w:tc>
          <w:tcPr>
            <w:tcW w:w="1305" w:type="dxa"/>
            <w:gridSpan w:val="2"/>
          </w:tcPr>
          <w:p>
            <w:pPr>
              <w:pStyle w:val="nTable"/>
              <w:spacing w:after="40"/>
            </w:pPr>
            <w:r>
              <w:t>18 Jan 2011 p. 146-7</w:t>
            </w:r>
          </w:p>
        </w:tc>
        <w:tc>
          <w:tcPr>
            <w:tcW w:w="2727" w:type="dxa"/>
            <w:gridSpan w:val="2"/>
          </w:tcPr>
          <w:p>
            <w:pPr>
              <w:pStyle w:val="nTable"/>
              <w:spacing w:after="40"/>
              <w:rPr>
                <w:snapToGrid w:val="0"/>
                <w:spacing w:val="-2"/>
              </w:rPr>
            </w:pPr>
            <w:r>
              <w:rPr>
                <w:snapToGrid w:val="0"/>
              </w:rPr>
              <w:t>r. 1 and 2: 18 Jan 2011 (see r. 2(a));</w:t>
            </w:r>
            <w:r>
              <w:rPr>
                <w:snapToGrid w:val="0"/>
              </w:rPr>
              <w:br/>
              <w:t>Regulations other than r. 1 and 2: 19 Jan 2011 (see r. 2(b))</w:t>
            </w:r>
          </w:p>
        </w:tc>
      </w:tr>
      <w:tr>
        <w:trPr>
          <w:cantSplit/>
        </w:trPr>
        <w:tc>
          <w:tcPr>
            <w:tcW w:w="3123" w:type="dxa"/>
          </w:tcPr>
          <w:p>
            <w:pPr>
              <w:pStyle w:val="nTable"/>
              <w:spacing w:after="40"/>
              <w:rPr>
                <w:i/>
                <w:snapToGrid w:val="0"/>
              </w:rPr>
            </w:pPr>
            <w:r>
              <w:rPr>
                <w:i/>
              </w:rPr>
              <w:t>Public Sector Reform (Consequential Amendments) Regulations 2011</w:t>
            </w:r>
            <w:r>
              <w:t xml:space="preserve"> r. 20</w:t>
            </w:r>
          </w:p>
        </w:tc>
        <w:tc>
          <w:tcPr>
            <w:tcW w:w="1305" w:type="dxa"/>
            <w:gridSpan w:val="2"/>
          </w:tcPr>
          <w:p>
            <w:pPr>
              <w:pStyle w:val="nTable"/>
              <w:spacing w:after="40"/>
            </w:pPr>
            <w:r>
              <w:t>11 Feb 2011 p. 502</w:t>
            </w:r>
            <w:r>
              <w:noBreakHyphen/>
              <w:t>7</w:t>
            </w:r>
          </w:p>
        </w:tc>
        <w:tc>
          <w:tcPr>
            <w:tcW w:w="2727" w:type="dxa"/>
            <w:gridSpan w:val="2"/>
          </w:tcPr>
          <w:p>
            <w:pPr>
              <w:pStyle w:val="nTable"/>
              <w:spacing w:after="40"/>
              <w:rPr>
                <w:snapToGrid w:val="0"/>
              </w:rPr>
            </w:pPr>
            <w:r>
              <w:rPr>
                <w:snapToGrid w:val="0"/>
              </w:rPr>
              <w:t>12 Feb 2011 (see r. 2(d))</w:t>
            </w:r>
          </w:p>
        </w:tc>
      </w:tr>
      <w:tr>
        <w:trPr>
          <w:cantSplit/>
        </w:trPr>
        <w:tc>
          <w:tcPr>
            <w:tcW w:w="3123" w:type="dxa"/>
          </w:tcPr>
          <w:p>
            <w:pPr>
              <w:pStyle w:val="nTable"/>
              <w:spacing w:after="40"/>
              <w:rPr>
                <w:i/>
              </w:rPr>
            </w:pPr>
            <w:r>
              <w:rPr>
                <w:i/>
                <w:snapToGrid w:val="0"/>
              </w:rPr>
              <w:t>Gas Standards (Gasfitting and Consumer Gas Installations) Amendment Regulations 2011</w:t>
            </w:r>
          </w:p>
        </w:tc>
        <w:tc>
          <w:tcPr>
            <w:tcW w:w="1305" w:type="dxa"/>
            <w:gridSpan w:val="2"/>
          </w:tcPr>
          <w:p>
            <w:pPr>
              <w:pStyle w:val="nTable"/>
              <w:spacing w:after="40"/>
            </w:pPr>
            <w:r>
              <w:t>22 Jun 2011 p. 2315</w:t>
            </w:r>
            <w:r>
              <w:noBreakHyphen/>
              <w:t>16</w:t>
            </w:r>
          </w:p>
        </w:tc>
        <w:tc>
          <w:tcPr>
            <w:tcW w:w="2727" w:type="dxa"/>
            <w:gridSpan w:val="2"/>
          </w:tcPr>
          <w:p>
            <w:pPr>
              <w:pStyle w:val="nTable"/>
              <w:spacing w:after="40"/>
              <w:rPr>
                <w:snapToGrid w:val="0"/>
              </w:rPr>
            </w:pPr>
            <w:r>
              <w:rPr>
                <w:snapToGrid w:val="0"/>
              </w:rPr>
              <w:t>r. 1 and 2: 22 Jun 2011 (see r. 2(a));</w:t>
            </w:r>
            <w:r>
              <w:rPr>
                <w:snapToGrid w:val="0"/>
              </w:rPr>
              <w:br/>
              <w:t>Regulations other than r. 1 and 2: 1 Jul 2011 (see r. 2(b))</w:t>
            </w:r>
          </w:p>
        </w:tc>
      </w:tr>
      <w:tr>
        <w:trPr>
          <w:cantSplit/>
        </w:trPr>
        <w:tc>
          <w:tcPr>
            <w:tcW w:w="7155" w:type="dxa"/>
            <w:gridSpan w:val="5"/>
          </w:tcPr>
          <w:p>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trPr>
          <w:cantSplit/>
        </w:trPr>
        <w:tc>
          <w:tcPr>
            <w:tcW w:w="3123" w:type="dxa"/>
          </w:tcPr>
          <w:p>
            <w:pPr>
              <w:pStyle w:val="nTable"/>
              <w:spacing w:after="40"/>
              <w:rPr>
                <w:i/>
              </w:rPr>
            </w:pPr>
            <w:r>
              <w:rPr>
                <w:i/>
                <w:snapToGrid w:val="0"/>
              </w:rPr>
              <w:t>Gas Standards (Gasfitting and Consumer Gas Installations) Amendment Regulations 2012</w:t>
            </w:r>
          </w:p>
        </w:tc>
        <w:tc>
          <w:tcPr>
            <w:tcW w:w="1305" w:type="dxa"/>
            <w:gridSpan w:val="2"/>
          </w:tcPr>
          <w:p>
            <w:pPr>
              <w:pStyle w:val="nTable"/>
              <w:spacing w:after="40"/>
            </w:pPr>
            <w:r>
              <w:t>15 Jun 2012 p. 2609-10</w:t>
            </w:r>
          </w:p>
        </w:tc>
        <w:tc>
          <w:tcPr>
            <w:tcW w:w="2727" w:type="dxa"/>
            <w:gridSpan w:val="2"/>
          </w:tcPr>
          <w:p>
            <w:pPr>
              <w:pStyle w:val="nTable"/>
              <w:spacing w:after="40"/>
              <w:rPr>
                <w:snapToGrid w:val="0"/>
              </w:rPr>
            </w:pPr>
            <w:r>
              <w:rPr>
                <w:snapToGrid w:val="0"/>
              </w:rPr>
              <w:t>r. 1 and 2: 15 Jun 2012 (see r. 2(a));</w:t>
            </w:r>
            <w:r>
              <w:rPr>
                <w:snapToGrid w:val="0"/>
              </w:rPr>
              <w:br/>
              <w:t>Regulations other than r. 1 and 2: 1 Jul 2012 (see r. 2(b))</w:t>
            </w:r>
          </w:p>
        </w:tc>
      </w:tr>
      <w:tr>
        <w:trPr>
          <w:cantSplit/>
        </w:trPr>
        <w:tc>
          <w:tcPr>
            <w:tcW w:w="3123" w:type="dxa"/>
          </w:tcPr>
          <w:p>
            <w:pPr>
              <w:pStyle w:val="nTable"/>
              <w:spacing w:after="40"/>
              <w:rPr>
                <w:i/>
                <w:snapToGrid w:val="0"/>
              </w:rPr>
            </w:pPr>
            <w:r>
              <w:rPr>
                <w:i/>
                <w:snapToGrid w:val="0"/>
              </w:rPr>
              <w:t>Gas Standards (Gasfitting and Consumer Gas Installations) Amendment Regulations (No. 2) 2013</w:t>
            </w:r>
          </w:p>
        </w:tc>
        <w:tc>
          <w:tcPr>
            <w:tcW w:w="1305" w:type="dxa"/>
            <w:gridSpan w:val="2"/>
          </w:tcPr>
          <w:p>
            <w:pPr>
              <w:pStyle w:val="nTable"/>
              <w:spacing w:after="40"/>
            </w:pPr>
            <w:r>
              <w:t>27 Jun 2013 p. 2711-12</w:t>
            </w:r>
          </w:p>
        </w:tc>
        <w:tc>
          <w:tcPr>
            <w:tcW w:w="2727" w:type="dxa"/>
            <w:gridSpan w:val="2"/>
          </w:tcPr>
          <w:p>
            <w:pPr>
              <w:pStyle w:val="nTable"/>
              <w:spacing w:after="40"/>
              <w:rPr>
                <w:snapToGrid w:val="0"/>
              </w:rPr>
            </w:pPr>
            <w:r>
              <w:rPr>
                <w:snapToGrid w:val="0"/>
              </w:rPr>
              <w:t>r. 1 and 2: 27 Jun 2013 (see r. 2(a));</w:t>
            </w:r>
            <w:r>
              <w:rPr>
                <w:snapToGrid w:val="0"/>
              </w:rPr>
              <w:br/>
              <w:t>Regulations other than r. 1 and 2: 1 Jul 2013 (see r. 2(b))</w:t>
            </w:r>
          </w:p>
        </w:tc>
      </w:tr>
      <w:tr>
        <w:trPr>
          <w:cantSplit/>
        </w:trPr>
        <w:tc>
          <w:tcPr>
            <w:tcW w:w="3123" w:type="dxa"/>
          </w:tcPr>
          <w:p>
            <w:pPr>
              <w:pStyle w:val="nTable"/>
              <w:spacing w:after="40"/>
              <w:rPr>
                <w:i/>
                <w:snapToGrid w:val="0"/>
              </w:rPr>
            </w:pPr>
            <w:r>
              <w:rPr>
                <w:i/>
              </w:rPr>
              <w:t>Gas Standards (Gasfitting and Consumer Gas Installations) Amendment Regulations (No. 2) 2014</w:t>
            </w:r>
          </w:p>
        </w:tc>
        <w:tc>
          <w:tcPr>
            <w:tcW w:w="1305" w:type="dxa"/>
            <w:gridSpan w:val="2"/>
          </w:tcPr>
          <w:p>
            <w:pPr>
              <w:pStyle w:val="nTable"/>
              <w:spacing w:after="40"/>
            </w:pPr>
            <w:r>
              <w:t>17 Jun 2014 p. 1966</w:t>
            </w:r>
            <w:r>
              <w:noBreakHyphen/>
              <w:t>7</w:t>
            </w:r>
          </w:p>
        </w:tc>
        <w:tc>
          <w:tcPr>
            <w:tcW w:w="2727" w:type="dxa"/>
            <w:gridSpan w:val="2"/>
          </w:tcPr>
          <w:p>
            <w:pPr>
              <w:pStyle w:val="nTable"/>
              <w:spacing w:after="40"/>
              <w:rPr>
                <w:snapToGrid w:val="0"/>
              </w:rPr>
            </w:pPr>
            <w:r>
              <w:rPr>
                <w:bCs/>
                <w:snapToGrid w:val="0"/>
              </w:rPr>
              <w:t>r. 1 and 2: 17 Jun 2014 (see r. 2(a));</w:t>
            </w:r>
            <w:r>
              <w:rPr>
                <w:bCs/>
                <w:snapToGrid w:val="0"/>
              </w:rPr>
              <w:br/>
              <w:t>Regulations other than r. 1 and 2: 1 Jul 2014 (see r. 2(b))</w:t>
            </w:r>
          </w:p>
        </w:tc>
      </w:tr>
      <w:tr>
        <w:trPr>
          <w:cantSplit/>
        </w:trPr>
        <w:tc>
          <w:tcPr>
            <w:tcW w:w="3123" w:type="dxa"/>
          </w:tcPr>
          <w:p>
            <w:pPr>
              <w:pStyle w:val="nTable"/>
              <w:spacing w:after="40"/>
              <w:rPr>
                <w:i/>
              </w:rPr>
            </w:pPr>
            <w:r>
              <w:rPr>
                <w:i/>
              </w:rPr>
              <w:t>Gas Standards (Gasfitting and Consumer Gas Installations) Amendment Regulations (No. 3) 2014</w:t>
            </w:r>
          </w:p>
        </w:tc>
        <w:tc>
          <w:tcPr>
            <w:tcW w:w="1305" w:type="dxa"/>
            <w:gridSpan w:val="2"/>
          </w:tcPr>
          <w:p>
            <w:pPr>
              <w:pStyle w:val="nTable"/>
              <w:spacing w:after="40"/>
            </w:pPr>
            <w:r>
              <w:t>12 Dec 2014 p. 4711-12</w:t>
            </w:r>
          </w:p>
        </w:tc>
        <w:tc>
          <w:tcPr>
            <w:tcW w:w="2727" w:type="dxa"/>
            <w:gridSpan w:val="2"/>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rPr>
          <w:cantSplit/>
        </w:trPr>
        <w:tc>
          <w:tcPr>
            <w:tcW w:w="3123" w:type="dxa"/>
            <w:shd w:val="clear" w:color="auto" w:fill="auto"/>
          </w:tcPr>
          <w:p>
            <w:pPr>
              <w:pStyle w:val="nTable"/>
              <w:spacing w:after="40"/>
              <w:rPr>
                <w:i/>
              </w:rPr>
            </w:pPr>
            <w:r>
              <w:rPr>
                <w:i/>
              </w:rPr>
              <w:t>Gas Standards (Gasfitting and Consumer Gas Installations) Amendment Regulations 2014</w:t>
            </w:r>
          </w:p>
        </w:tc>
        <w:tc>
          <w:tcPr>
            <w:tcW w:w="1305" w:type="dxa"/>
            <w:gridSpan w:val="2"/>
            <w:shd w:val="clear" w:color="auto" w:fill="auto"/>
          </w:tcPr>
          <w:p>
            <w:pPr>
              <w:pStyle w:val="nTable"/>
              <w:spacing w:after="40"/>
            </w:pPr>
            <w:r>
              <w:t>8 Jan 2015 p. 99</w:t>
            </w:r>
            <w:r>
              <w:noBreakHyphen/>
              <w:t>100</w:t>
            </w:r>
          </w:p>
        </w:tc>
        <w:tc>
          <w:tcPr>
            <w:tcW w:w="2727" w:type="dxa"/>
            <w:gridSpan w:val="2"/>
            <w:shd w:val="clear" w:color="auto" w:fill="auto"/>
          </w:tcPr>
          <w:p>
            <w:pPr>
              <w:pStyle w:val="nTable"/>
              <w:spacing w:after="40"/>
              <w:rPr>
                <w:bCs/>
                <w:snapToGrid w:val="0"/>
                <w:spacing w:val="-2"/>
              </w:rPr>
            </w:pPr>
            <w:r>
              <w:rPr>
                <w:bCs/>
                <w:snapToGrid w:val="0"/>
              </w:rPr>
              <w:t>r. 1 and 2: 8 Jan 2015 (see r. 2(a));</w:t>
            </w:r>
            <w:r>
              <w:rPr>
                <w:bCs/>
                <w:snapToGrid w:val="0"/>
              </w:rPr>
              <w:br/>
              <w:t xml:space="preserve">Regulations other than r. 1 and 2: 27 Apr 2015 (see r. 2(b) and </w:t>
            </w:r>
            <w:r>
              <w:rPr>
                <w:bCs/>
                <w:i/>
                <w:snapToGrid w:val="0"/>
              </w:rPr>
              <w:t>Gazette</w:t>
            </w:r>
            <w:r>
              <w:rPr>
                <w:bCs/>
                <w:snapToGrid w:val="0"/>
              </w:rPr>
              <w:t xml:space="preserve"> 17 Apr 2015 p. 1371)</w:t>
            </w:r>
          </w:p>
        </w:tc>
      </w:tr>
      <w:tr>
        <w:trPr>
          <w:cantSplit/>
        </w:trPr>
        <w:tc>
          <w:tcPr>
            <w:tcW w:w="3123" w:type="dxa"/>
            <w:shd w:val="clear" w:color="auto" w:fill="auto"/>
          </w:tcPr>
          <w:p>
            <w:pPr>
              <w:pStyle w:val="nTable"/>
              <w:spacing w:after="40"/>
              <w:rPr>
                <w:i/>
              </w:rPr>
            </w:pPr>
            <w:r>
              <w:rPr>
                <w:i/>
              </w:rPr>
              <w:t>Gas Standards (Gasfitting and Consumer Gas Installations) Amendment Regulations 2015</w:t>
            </w:r>
          </w:p>
        </w:tc>
        <w:tc>
          <w:tcPr>
            <w:tcW w:w="1305" w:type="dxa"/>
            <w:gridSpan w:val="2"/>
            <w:shd w:val="clear" w:color="auto" w:fill="auto"/>
          </w:tcPr>
          <w:p>
            <w:pPr>
              <w:pStyle w:val="nTable"/>
              <w:spacing w:after="40"/>
            </w:pPr>
            <w:r>
              <w:t>23 Jun 2015 p. 2175</w:t>
            </w:r>
          </w:p>
        </w:tc>
        <w:tc>
          <w:tcPr>
            <w:tcW w:w="2727" w:type="dxa"/>
            <w:gridSpan w:val="2"/>
            <w:shd w:val="clear" w:color="auto" w:fill="auto"/>
          </w:tcPr>
          <w:p>
            <w:pPr>
              <w:pStyle w:val="nTable"/>
              <w:spacing w:after="40"/>
              <w:rPr>
                <w:bCs/>
                <w:snapToGrid w:val="0"/>
              </w:rPr>
            </w:pPr>
            <w:r>
              <w:rPr>
                <w:bCs/>
                <w:snapToGrid w:val="0"/>
              </w:rPr>
              <w:t>r. 1 and 2: 23 Jun 2015 (see r. 2(a));</w:t>
            </w:r>
            <w:r>
              <w:rPr>
                <w:bCs/>
                <w:snapToGrid w:val="0"/>
              </w:rPr>
              <w:br/>
              <w:t>Regulations other than r. 1 and 2: 1 Jul 2015 (see r. 2(b))</w:t>
            </w:r>
          </w:p>
        </w:tc>
      </w:tr>
      <w:tr>
        <w:trPr>
          <w:cantSplit/>
        </w:trPr>
        <w:tc>
          <w:tcPr>
            <w:tcW w:w="7155" w:type="dxa"/>
            <w:gridSpan w:val="5"/>
            <w:shd w:val="clear" w:color="auto" w:fill="auto"/>
          </w:tcPr>
          <w:p>
            <w:pPr>
              <w:pStyle w:val="nTable"/>
              <w:spacing w:after="40"/>
              <w:rPr>
                <w:bCs/>
                <w:snapToGrid w:val="0"/>
                <w:spacing w:val="-2"/>
              </w:rPr>
            </w:pPr>
            <w:r>
              <w:rPr>
                <w:b/>
                <w:bCs/>
                <w:snapToGrid w:val="0"/>
              </w:rPr>
              <w:t xml:space="preserve">Reprint </w:t>
            </w:r>
            <w:r>
              <w:rPr>
                <w:b/>
                <w:bCs/>
                <w:snapToGrid w:val="0"/>
                <w:spacing w:val="-2"/>
              </w:rPr>
              <w:t>5</w:t>
            </w:r>
            <w:r>
              <w:rPr>
                <w:b/>
                <w:bCs/>
                <w:snapToGrid w:val="0"/>
              </w:rPr>
              <w:t xml:space="preserve">: The </w:t>
            </w:r>
            <w:r>
              <w:rPr>
                <w:b/>
                <w:bCs/>
                <w:i/>
                <w:noProof/>
                <w:snapToGrid w:val="0"/>
              </w:rPr>
              <w:t>Gas Standards (Gasfitting and Consumer Gas Installations) Regulations 1999</w:t>
            </w:r>
            <w:r>
              <w:rPr>
                <w:b/>
                <w:bCs/>
                <w:snapToGrid w:val="0"/>
              </w:rPr>
              <w:t xml:space="preserve"> as at </w:t>
            </w:r>
            <w:r>
              <w:rPr>
                <w:b/>
                <w:bCs/>
                <w:snapToGrid w:val="0"/>
                <w:spacing w:val="-2"/>
              </w:rPr>
              <w:t>14 Aug 2015</w:t>
            </w:r>
            <w:r>
              <w:rPr>
                <w:bCs/>
                <w:snapToGrid w:val="0"/>
              </w:rPr>
              <w:t xml:space="preserve"> (includes amendments listed above)</w:t>
            </w:r>
          </w:p>
        </w:tc>
      </w:tr>
      <w:tr>
        <w:tblPrEx>
          <w:tblBorders>
            <w:top w:val="single" w:sz="8" w:space="0" w:color="auto"/>
            <w:bottom w:val="single" w:sz="4" w:space="0" w:color="auto"/>
            <w:insideH w:val="single" w:sz="8" w:space="0" w:color="auto"/>
          </w:tblBorders>
        </w:tblPrEx>
        <w:trPr>
          <w:cantSplit/>
        </w:trPr>
        <w:tc>
          <w:tcPr>
            <w:tcW w:w="3123" w:type="dxa"/>
            <w:tcBorders>
              <w:top w:val="nil"/>
              <w:bottom w:val="nil"/>
            </w:tcBorders>
          </w:tcPr>
          <w:p>
            <w:pPr>
              <w:pStyle w:val="nTable"/>
              <w:spacing w:after="40"/>
            </w:pPr>
            <w:r>
              <w:rPr>
                <w:i/>
              </w:rPr>
              <w:t>Commerce Regulations Amendment (Fees and Charges) Regulations 2016</w:t>
            </w:r>
            <w:r>
              <w:t xml:space="preserve"> Pt. 10</w:t>
            </w:r>
          </w:p>
        </w:tc>
        <w:tc>
          <w:tcPr>
            <w:tcW w:w="1305" w:type="dxa"/>
            <w:gridSpan w:val="2"/>
            <w:tcBorders>
              <w:top w:val="nil"/>
              <w:bottom w:val="nil"/>
            </w:tcBorders>
          </w:tcPr>
          <w:p>
            <w:pPr>
              <w:pStyle w:val="nTable"/>
              <w:spacing w:after="40"/>
            </w:pPr>
            <w:r>
              <w:t>3 Jun 2016 p. 1745-73</w:t>
            </w:r>
          </w:p>
        </w:tc>
        <w:tc>
          <w:tcPr>
            <w:tcW w:w="2727" w:type="dxa"/>
            <w:gridSpan w:val="2"/>
            <w:tcBorders>
              <w:top w:val="nil"/>
              <w:bottom w:val="nil"/>
            </w:tcBorders>
          </w:tcPr>
          <w:p>
            <w:pPr>
              <w:pStyle w:val="nTable"/>
              <w:spacing w:after="40"/>
            </w:pPr>
            <w:r>
              <w:t>1 Jul 2016 (see r. 2(b))</w:t>
            </w:r>
          </w:p>
        </w:tc>
      </w:tr>
      <w:tr>
        <w:trPr>
          <w:gridAfter w:val="1"/>
          <w:wAfter w:w="63" w:type="dxa"/>
          <w:cantSplit/>
        </w:trPr>
        <w:tc>
          <w:tcPr>
            <w:tcW w:w="3123" w:type="dxa"/>
          </w:tcPr>
          <w:p>
            <w:pPr>
              <w:pStyle w:val="nTable"/>
              <w:spacing w:after="40"/>
              <w:rPr>
                <w:noProof/>
                <w:snapToGrid w:val="0"/>
              </w:rPr>
            </w:pPr>
            <w:r>
              <w:rPr>
                <w:i/>
              </w:rPr>
              <w:t xml:space="preserve">Commerce Regulations Amendment (Fees and Charges) Regulations 2017 </w:t>
            </w:r>
            <w:r>
              <w:t>Pt. 12</w:t>
            </w:r>
          </w:p>
        </w:tc>
        <w:tc>
          <w:tcPr>
            <w:tcW w:w="1276" w:type="dxa"/>
          </w:tcPr>
          <w:p>
            <w:pPr>
              <w:pStyle w:val="nTable"/>
              <w:spacing w:after="40"/>
            </w:pPr>
            <w:r>
              <w:t>23 Jun 2017 p. 3213</w:t>
            </w:r>
            <w:r>
              <w:noBreakHyphen/>
              <w:t>52</w:t>
            </w:r>
          </w:p>
        </w:tc>
        <w:tc>
          <w:tcPr>
            <w:tcW w:w="2693" w:type="dxa"/>
            <w:gridSpan w:val="2"/>
          </w:tcPr>
          <w:p>
            <w:pPr>
              <w:pStyle w:val="nTable"/>
              <w:spacing w:after="40"/>
            </w:pPr>
            <w:r>
              <w:t>1 Jul 2017 (see r. 2(b))</w:t>
            </w:r>
          </w:p>
        </w:tc>
      </w:tr>
      <w:tr>
        <w:trPr>
          <w:gridAfter w:val="1"/>
          <w:wAfter w:w="63" w:type="dxa"/>
          <w:cantSplit/>
        </w:trPr>
        <w:tc>
          <w:tcPr>
            <w:tcW w:w="3123" w:type="dxa"/>
          </w:tcPr>
          <w:p>
            <w:pPr>
              <w:pStyle w:val="nTable"/>
              <w:spacing w:after="40"/>
              <w:rPr>
                <w:i/>
              </w:rPr>
            </w:pPr>
            <w:r>
              <w:rPr>
                <w:i/>
              </w:rPr>
              <w:t>Gas Standards (Gasfitting and Consumer Gas Installations) Amendment Regulations (No. 2) 2017</w:t>
            </w:r>
          </w:p>
        </w:tc>
        <w:tc>
          <w:tcPr>
            <w:tcW w:w="1276" w:type="dxa"/>
          </w:tcPr>
          <w:p>
            <w:pPr>
              <w:pStyle w:val="nTable"/>
              <w:spacing w:after="40"/>
            </w:pPr>
            <w:r>
              <w:t>22 Dec 2017 p. 5987</w:t>
            </w:r>
            <w:r>
              <w:noBreakHyphen/>
              <w:t>9</w:t>
            </w:r>
          </w:p>
        </w:tc>
        <w:tc>
          <w:tcPr>
            <w:tcW w:w="2693" w:type="dxa"/>
            <w:gridSpan w:val="2"/>
          </w:tcPr>
          <w:p>
            <w:pPr>
              <w:pStyle w:val="nTable"/>
              <w:spacing w:after="40"/>
            </w:pPr>
            <w:r>
              <w:rPr>
                <w:bCs/>
                <w:snapToGrid w:val="0"/>
                <w:spacing w:val="-2"/>
              </w:rPr>
              <w:t>r. 1 and 2: 22 Dec 2017 (see r. 2(a));</w:t>
            </w:r>
            <w:r>
              <w:rPr>
                <w:bCs/>
                <w:snapToGrid w:val="0"/>
                <w:spacing w:val="-2"/>
              </w:rPr>
              <w:br/>
              <w:t>Regulations other than r. 1 and 2: 23 Dec 2017 (see r. 2(b))</w:t>
            </w:r>
          </w:p>
        </w:tc>
      </w:tr>
      <w:tr>
        <w:tblPrEx>
          <w:tblBorders>
            <w:top w:val="single" w:sz="8" w:space="0" w:color="auto"/>
            <w:bottom w:val="single" w:sz="4" w:space="0" w:color="auto"/>
            <w:insideH w:val="single" w:sz="8" w:space="0" w:color="auto"/>
          </w:tblBorders>
        </w:tblPrEx>
        <w:trPr>
          <w:gridAfter w:val="1"/>
          <w:wAfter w:w="63" w:type="dxa"/>
          <w:cantSplit/>
        </w:trPr>
        <w:tc>
          <w:tcPr>
            <w:tcW w:w="3123" w:type="dxa"/>
            <w:tcBorders>
              <w:top w:val="nil"/>
              <w:bottom w:val="nil"/>
            </w:tcBorders>
          </w:tcPr>
          <w:p>
            <w:pPr>
              <w:pStyle w:val="nTable"/>
              <w:spacing w:after="40"/>
              <w:rPr>
                <w:noProof/>
              </w:rPr>
            </w:pPr>
            <w:r>
              <w:rPr>
                <w:i/>
              </w:rPr>
              <w:t>Commerce and Industrial Relations Regulations Amendment (Fees and Charges) Regulations 2018</w:t>
            </w:r>
            <w:r>
              <w:t xml:space="preserve"> Pt. 11</w:t>
            </w:r>
          </w:p>
        </w:tc>
        <w:tc>
          <w:tcPr>
            <w:tcW w:w="1276" w:type="dxa"/>
            <w:tcBorders>
              <w:top w:val="nil"/>
              <w:bottom w:val="nil"/>
            </w:tcBorders>
          </w:tcPr>
          <w:p>
            <w:pPr>
              <w:pStyle w:val="nTable"/>
              <w:spacing w:after="40"/>
            </w:pPr>
            <w:r>
              <w:t>25 Jun 2018 p. 2325</w:t>
            </w:r>
            <w:r>
              <w:noBreakHyphen/>
              <w:t>53</w:t>
            </w:r>
          </w:p>
        </w:tc>
        <w:tc>
          <w:tcPr>
            <w:tcW w:w="2693" w:type="dxa"/>
            <w:gridSpan w:val="2"/>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8" w:space="0" w:color="auto"/>
            <w:bottom w:val="single" w:sz="4" w:space="0" w:color="auto"/>
            <w:insideH w:val="single" w:sz="8" w:space="0" w:color="auto"/>
          </w:tblBorders>
        </w:tblPrEx>
        <w:trPr>
          <w:gridAfter w:val="1"/>
          <w:wAfter w:w="63" w:type="dxa"/>
          <w:cantSplit/>
        </w:trPr>
        <w:tc>
          <w:tcPr>
            <w:tcW w:w="3123" w:type="dxa"/>
            <w:tcBorders>
              <w:top w:val="nil"/>
              <w:bottom w:val="nil"/>
            </w:tcBorders>
          </w:tcPr>
          <w:p>
            <w:pPr>
              <w:pStyle w:val="nTable"/>
              <w:spacing w:after="40"/>
              <w:rPr>
                <w:i/>
              </w:rPr>
            </w:pPr>
            <w:r>
              <w:rPr>
                <w:i/>
              </w:rPr>
              <w:t>Gas Standards (Gasfitting and Consumer Gas Installations) Amendment Regulations (No. 2) 2018</w:t>
            </w:r>
          </w:p>
        </w:tc>
        <w:tc>
          <w:tcPr>
            <w:tcW w:w="1276" w:type="dxa"/>
            <w:tcBorders>
              <w:top w:val="nil"/>
              <w:bottom w:val="nil"/>
            </w:tcBorders>
          </w:tcPr>
          <w:p>
            <w:pPr>
              <w:pStyle w:val="nTable"/>
              <w:keepNext/>
              <w:spacing w:after="40"/>
            </w:pPr>
            <w:r>
              <w:t>2 Oct 2018 p. 3783</w:t>
            </w:r>
            <w:r>
              <w:noBreakHyphen/>
              <w:t>4</w:t>
            </w:r>
          </w:p>
        </w:tc>
        <w:tc>
          <w:tcPr>
            <w:tcW w:w="2693" w:type="dxa"/>
            <w:gridSpan w:val="2"/>
            <w:tcBorders>
              <w:top w:val="nil"/>
              <w:bottom w:val="nil"/>
            </w:tcBorders>
          </w:tcPr>
          <w:p>
            <w:pPr>
              <w:pStyle w:val="nTable"/>
              <w:keepNext/>
              <w:spacing w:after="40"/>
              <w:rPr>
                <w:bCs/>
                <w:snapToGrid w:val="0"/>
                <w:spacing w:val="-2"/>
              </w:rPr>
            </w:pPr>
            <w:r>
              <w:rPr>
                <w:bCs/>
                <w:snapToGrid w:val="0"/>
                <w:spacing w:val="-2"/>
              </w:rPr>
              <w:t>r. 1 and 2: 2 Oct 2018 (see r. 2(a));</w:t>
            </w:r>
            <w:r>
              <w:rPr>
                <w:bCs/>
                <w:snapToGrid w:val="0"/>
                <w:spacing w:val="-2"/>
              </w:rPr>
              <w:br/>
              <w:t>Regulations other than r. 1 and 2: 3 Oct 2018 (see r. 2(b))</w:t>
            </w:r>
          </w:p>
        </w:tc>
      </w:tr>
    </w:tbl>
    <w:p>
      <w:pPr>
        <w:pStyle w:val="nSubsection"/>
        <w:spacing w:before="360"/>
        <w:rPr>
          <w:del w:id="371" w:author="Master Repository Process" w:date="2021-08-28T10:58:00Z"/>
        </w:rPr>
      </w:pPr>
      <w:del w:id="372" w:author="Master Repository Process" w:date="2021-08-28T10:58: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373" w:author="Master Repository Process" w:date="2021-08-28T10:58:00Z"/>
        </w:rPr>
      </w:pPr>
      <w:bookmarkStart w:id="374" w:name="_Toc11750470"/>
      <w:bookmarkStart w:id="375" w:name="_Toc11761468"/>
      <w:del w:id="376" w:author="Master Repository Process" w:date="2021-08-28T10:58:00Z">
        <w:r>
          <w:delText>Provisions that have not come into operation</w:delText>
        </w:r>
        <w:bookmarkEnd w:id="374"/>
        <w:bookmarkEnd w:id="375"/>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23"/>
        <w:gridCol w:w="1276"/>
        <w:gridCol w:w="2693"/>
      </w:tblGrid>
      <w:tr>
        <w:trPr>
          <w:tblHeader/>
          <w:del w:id="377" w:author="Master Repository Process" w:date="2021-08-28T10:58:00Z"/>
        </w:trPr>
        <w:tc>
          <w:tcPr>
            <w:tcW w:w="3118" w:type="dxa"/>
          </w:tcPr>
          <w:p>
            <w:pPr>
              <w:pStyle w:val="nTable"/>
              <w:spacing w:after="40"/>
              <w:rPr>
                <w:del w:id="378" w:author="Master Repository Process" w:date="2021-08-28T10:58:00Z"/>
                <w:b/>
              </w:rPr>
            </w:pPr>
            <w:del w:id="379" w:author="Master Repository Process" w:date="2021-08-28T10:58:00Z">
              <w:r>
                <w:rPr>
                  <w:b/>
                </w:rPr>
                <w:delText>Citation</w:delText>
              </w:r>
            </w:del>
          </w:p>
        </w:tc>
        <w:tc>
          <w:tcPr>
            <w:tcW w:w="1276" w:type="dxa"/>
          </w:tcPr>
          <w:p>
            <w:pPr>
              <w:pStyle w:val="nTable"/>
              <w:spacing w:after="40"/>
              <w:rPr>
                <w:del w:id="380" w:author="Master Repository Process" w:date="2021-08-28T10:58:00Z"/>
                <w:b/>
              </w:rPr>
            </w:pPr>
            <w:del w:id="381" w:author="Master Repository Process" w:date="2021-08-28T10:58:00Z">
              <w:r>
                <w:rPr>
                  <w:b/>
                </w:rPr>
                <w:delText>Gazettal</w:delText>
              </w:r>
            </w:del>
          </w:p>
        </w:tc>
        <w:tc>
          <w:tcPr>
            <w:tcW w:w="2693" w:type="dxa"/>
          </w:tcPr>
          <w:p>
            <w:pPr>
              <w:pStyle w:val="nTable"/>
              <w:spacing w:after="40"/>
              <w:rPr>
                <w:del w:id="382" w:author="Master Repository Process" w:date="2021-08-28T10:58:00Z"/>
                <w:b/>
              </w:rPr>
            </w:pPr>
            <w:del w:id="383" w:author="Master Repository Process" w:date="2021-08-28T10:58:00Z">
              <w:r>
                <w:rPr>
                  <w:b/>
                </w:rPr>
                <w:delText>Commencement</w:delText>
              </w:r>
            </w:del>
          </w:p>
        </w:tc>
      </w:tr>
      <w:tr>
        <w:trPr>
          <w:cantSplit/>
        </w:trPr>
        <w:tc>
          <w:tcPr>
            <w:tcW w:w="3123" w:type="dxa"/>
            <w:tcBorders>
              <w:top w:val="nil"/>
              <w:bottom w:val="single" w:sz="4" w:space="0" w:color="auto"/>
            </w:tcBorders>
          </w:tcPr>
          <w:p>
            <w:pPr>
              <w:pStyle w:val="nTable"/>
              <w:spacing w:after="40"/>
              <w:rPr>
                <w:i/>
              </w:rPr>
            </w:pPr>
            <w:r>
              <w:rPr>
                <w:i/>
              </w:rPr>
              <w:t xml:space="preserve">Commerce Regulations Amendment (Fees and Charges) Regulations 2019 </w:t>
            </w:r>
            <w:r>
              <w:t>Pt. 11</w:t>
            </w:r>
            <w:del w:id="384" w:author="Master Repository Process" w:date="2021-08-28T10:58:00Z">
              <w:r>
                <w:rPr>
                  <w:snapToGrid w:val="0"/>
                  <w:vertAlign w:val="superscript"/>
                </w:rPr>
                <w:delText> 3</w:delText>
              </w:r>
            </w:del>
          </w:p>
        </w:tc>
        <w:tc>
          <w:tcPr>
            <w:tcW w:w="1276" w:type="dxa"/>
            <w:tcBorders>
              <w:top w:val="nil"/>
              <w:bottom w:val="single" w:sz="4" w:space="0" w:color="auto"/>
            </w:tcBorders>
          </w:tcPr>
          <w:p>
            <w:pPr>
              <w:pStyle w:val="nTable"/>
              <w:keepNext/>
              <w:spacing w:after="40"/>
            </w:pPr>
            <w:r>
              <w:t>18 Jun 2019 p. 2077</w:t>
            </w:r>
            <w:r>
              <w:noBreakHyphen/>
              <w:t>115</w:t>
            </w:r>
          </w:p>
        </w:tc>
        <w:tc>
          <w:tcPr>
            <w:tcW w:w="2693" w:type="dxa"/>
            <w:tcBorders>
              <w:top w:val="nil"/>
              <w:bottom w:val="single" w:sz="4" w:space="0" w:color="auto"/>
            </w:tcBorders>
          </w:tcPr>
          <w:p>
            <w:pPr>
              <w:pStyle w:val="nTable"/>
              <w:keepNext/>
              <w:spacing w:after="40"/>
              <w:rPr>
                <w:bCs/>
                <w:snapToGrid w:val="0"/>
                <w:spacing w:val="-2"/>
              </w:rPr>
            </w:pPr>
            <w:r>
              <w:t>1 Jul 2019 (see r. 2(b))</w:t>
            </w:r>
          </w:p>
        </w:tc>
      </w:tr>
    </w:tbl>
    <w:p>
      <w:pPr>
        <w:pStyle w:val="nSubsection"/>
      </w:pPr>
      <w:r>
        <w:rPr>
          <w:vertAlign w:val="superscript"/>
        </w:rPr>
        <w:t>2</w:t>
      </w:r>
      <w:r>
        <w:tab/>
        <w:t xml:space="preserve">The </w:t>
      </w:r>
      <w:r>
        <w:rPr>
          <w:i/>
          <w:iCs/>
        </w:rPr>
        <w:t>Gas Standards (Gasfitting and Consumer Gas Installations) Amendment Regulations (No.</w:t>
      </w:r>
      <w:del w:id="385" w:author="Master Repository Process" w:date="2021-08-28T10:58:00Z">
        <w:r>
          <w:rPr>
            <w:i/>
            <w:iCs/>
          </w:rPr>
          <w:delText xml:space="preserve"> </w:delText>
        </w:r>
      </w:del>
      <w:ins w:id="386" w:author="Master Repository Process" w:date="2021-08-28T10:58:00Z">
        <w:r>
          <w:rPr>
            <w:i/>
            <w:iCs/>
          </w:rPr>
          <w:t> </w:t>
        </w:r>
      </w:ins>
      <w:r>
        <w:rPr>
          <w:i/>
          <w:iCs/>
        </w:rPr>
        <w:t>2) 2000</w:t>
      </w:r>
      <w:r>
        <w:t xml:space="preserve"> r.</w:t>
      </w:r>
      <w:del w:id="387" w:author="Master Repository Process" w:date="2021-08-28T10:58:00Z">
        <w:r>
          <w:delText xml:space="preserve"> </w:delText>
        </w:r>
      </w:del>
      <w:ins w:id="388" w:author="Master Repository Process" w:date="2021-08-28T10:58:00Z">
        <w:r>
          <w:t> </w:t>
        </w:r>
      </w:ins>
      <w:r>
        <w:t>16 is a transitional provision that is of no further effect.</w:t>
      </w:r>
    </w:p>
    <w:p>
      <w:pPr>
        <w:pStyle w:val="nSubsection"/>
        <w:rPr>
          <w:del w:id="389" w:author="Master Repository Process" w:date="2021-08-28T10:58:00Z"/>
        </w:rPr>
      </w:pPr>
      <w:del w:id="390" w:author="Master Repository Process" w:date="2021-08-28T10:58:00Z">
        <w:r>
          <w:rPr>
            <w:vertAlign w:val="superscript"/>
          </w:rPr>
          <w:delText>3</w:delText>
        </w:r>
        <w:r>
          <w:tab/>
          <w:delText xml:space="preserve">On the date as at which this compilation was prepared, the </w:delText>
        </w:r>
        <w:r>
          <w:rPr>
            <w:i/>
          </w:rPr>
          <w:delText xml:space="preserve">Commerce Regulations Amendment (Fees and Charges) Regulations 2019 </w:delText>
        </w:r>
        <w:r>
          <w:delText>Pt. 11 had not come into operation. It reads as follows:</w:delText>
        </w:r>
      </w:del>
    </w:p>
    <w:p>
      <w:pPr>
        <w:pStyle w:val="BlankOpen"/>
        <w:rPr>
          <w:del w:id="391" w:author="Master Repository Process" w:date="2021-08-28T10:58:00Z"/>
        </w:rPr>
      </w:pPr>
    </w:p>
    <w:p>
      <w:pPr>
        <w:pStyle w:val="nzHeading2"/>
        <w:rPr>
          <w:del w:id="392" w:author="Master Repository Process" w:date="2021-08-28T10:58:00Z"/>
        </w:rPr>
      </w:pPr>
      <w:del w:id="393" w:author="Master Repository Process" w:date="2021-08-28T10:58:00Z">
        <w:r>
          <w:delText>Part 11 —</w:delText>
        </w:r>
        <w:r>
          <w:rPr>
            <w:rStyle w:val="CharDivText"/>
          </w:rPr>
          <w:delText> </w:delText>
        </w:r>
        <w:r>
          <w:delText>Gas Standards (Gasfitting and Consumer Gas Installations) Regulations 1999 amended</w:delText>
        </w:r>
      </w:del>
    </w:p>
    <w:p>
      <w:pPr>
        <w:pStyle w:val="nzHeading5"/>
        <w:rPr>
          <w:del w:id="394" w:author="Master Repository Process" w:date="2021-08-28T10:58:00Z"/>
          <w:snapToGrid w:val="0"/>
        </w:rPr>
      </w:pPr>
      <w:del w:id="395" w:author="Master Repository Process" w:date="2021-08-28T10:58:00Z">
        <w:r>
          <w:delText>21</w:delText>
        </w:r>
        <w:r>
          <w:rPr>
            <w:snapToGrid w:val="0"/>
          </w:rPr>
          <w:delText>.</w:delText>
        </w:r>
        <w:r>
          <w:rPr>
            <w:snapToGrid w:val="0"/>
          </w:rPr>
          <w:tab/>
          <w:delText>Regulations amended</w:delText>
        </w:r>
      </w:del>
    </w:p>
    <w:p>
      <w:pPr>
        <w:pStyle w:val="nzSubsection"/>
        <w:rPr>
          <w:del w:id="396" w:author="Master Repository Process" w:date="2021-08-28T10:58:00Z"/>
        </w:rPr>
      </w:pPr>
      <w:del w:id="397" w:author="Master Repository Process" w:date="2021-08-28T10:58:00Z">
        <w:r>
          <w:tab/>
        </w:r>
        <w:r>
          <w:tab/>
          <w:delText xml:space="preserve">This Part amends the </w:delText>
        </w:r>
        <w:r>
          <w:rPr>
            <w:i/>
          </w:rPr>
          <w:delText>Gas Standards (Gasfitting and Consumer Gas Installations) Regulations 1999</w:delText>
        </w:r>
        <w:r>
          <w:delText>.</w:delText>
        </w:r>
      </w:del>
    </w:p>
    <w:p>
      <w:pPr>
        <w:pStyle w:val="nzHeading5"/>
        <w:rPr>
          <w:del w:id="398" w:author="Master Repository Process" w:date="2021-08-28T10:58:00Z"/>
        </w:rPr>
      </w:pPr>
      <w:del w:id="399" w:author="Master Repository Process" w:date="2021-08-28T10:58:00Z">
        <w:r>
          <w:delText>22.</w:delText>
        </w:r>
        <w:r>
          <w:tab/>
          <w:delText>Schedule 4 replaced</w:delText>
        </w:r>
      </w:del>
    </w:p>
    <w:p>
      <w:pPr>
        <w:pStyle w:val="nzSubsection"/>
        <w:rPr>
          <w:del w:id="400" w:author="Master Repository Process" w:date="2021-08-28T10:58:00Z"/>
        </w:rPr>
      </w:pPr>
      <w:del w:id="401" w:author="Master Repository Process" w:date="2021-08-28T10:58:00Z">
        <w:r>
          <w:tab/>
        </w:r>
        <w:r>
          <w:tab/>
          <w:delText>Delete Schedule 4 and insert:</w:delText>
        </w:r>
      </w:del>
    </w:p>
    <w:p>
      <w:pPr>
        <w:pStyle w:val="BlankOpen"/>
        <w:rPr>
          <w:del w:id="402" w:author="Master Repository Process" w:date="2021-08-28T10:58:00Z"/>
        </w:rPr>
      </w:pPr>
    </w:p>
    <w:p>
      <w:pPr>
        <w:pStyle w:val="nzHeading2"/>
        <w:rPr>
          <w:del w:id="403" w:author="Master Repository Process" w:date="2021-08-28T10:58:00Z"/>
        </w:rPr>
      </w:pPr>
      <w:del w:id="404" w:author="Master Repository Process" w:date="2021-08-28T10:58:00Z">
        <w:r>
          <w:delText>Schedule 4 — Fees for permits and authorisations</w:delText>
        </w:r>
      </w:del>
    </w:p>
    <w:p>
      <w:pPr>
        <w:pStyle w:val="nzShoulderClause"/>
        <w:rPr>
          <w:del w:id="405" w:author="Master Repository Process" w:date="2021-08-28T10:58:00Z"/>
        </w:rPr>
      </w:pPr>
      <w:del w:id="406" w:author="Master Repository Process" w:date="2021-08-28T10:58:00Z">
        <w:r>
          <w:delText>[r. 11, 13A and 15A]</w:delText>
        </w:r>
      </w:del>
    </w:p>
    <w:tbl>
      <w:tblPr>
        <w:tblW w:w="0" w:type="auto"/>
        <w:tblInd w:w="283" w:type="dxa"/>
        <w:tblLayout w:type="fixed"/>
        <w:tblCellMar>
          <w:left w:w="141" w:type="dxa"/>
          <w:right w:w="141" w:type="dxa"/>
        </w:tblCellMar>
        <w:tblLook w:val="0000" w:firstRow="0" w:lastRow="0" w:firstColumn="0" w:lastColumn="0" w:noHBand="0" w:noVBand="0"/>
      </w:tblPr>
      <w:tblGrid>
        <w:gridCol w:w="5528"/>
        <w:gridCol w:w="1276"/>
      </w:tblGrid>
      <w:tr>
        <w:trPr>
          <w:del w:id="407" w:author="Master Repository Process" w:date="2021-08-28T10:58:00Z"/>
        </w:trPr>
        <w:tc>
          <w:tcPr>
            <w:tcW w:w="5528" w:type="dxa"/>
            <w:tcBorders>
              <w:top w:val="single" w:sz="4" w:space="0" w:color="auto"/>
              <w:bottom w:val="single" w:sz="4" w:space="0" w:color="auto"/>
            </w:tcBorders>
          </w:tcPr>
          <w:p>
            <w:pPr>
              <w:pStyle w:val="nzTableNAm"/>
              <w:rPr>
                <w:del w:id="408" w:author="Master Repository Process" w:date="2021-08-28T10:58:00Z"/>
                <w:b/>
              </w:rPr>
            </w:pPr>
            <w:del w:id="409" w:author="Master Repository Process" w:date="2021-08-28T10:58:00Z">
              <w:r>
                <w:rPr>
                  <w:b/>
                </w:rPr>
                <w:delText>Service</w:delText>
              </w:r>
            </w:del>
          </w:p>
        </w:tc>
        <w:tc>
          <w:tcPr>
            <w:tcW w:w="1276" w:type="dxa"/>
            <w:tcBorders>
              <w:top w:val="single" w:sz="4" w:space="0" w:color="auto"/>
              <w:bottom w:val="single" w:sz="4" w:space="0" w:color="auto"/>
            </w:tcBorders>
          </w:tcPr>
          <w:p>
            <w:pPr>
              <w:pStyle w:val="nzTableNAm"/>
              <w:jc w:val="center"/>
              <w:rPr>
                <w:del w:id="410" w:author="Master Repository Process" w:date="2021-08-28T10:58:00Z"/>
                <w:b/>
              </w:rPr>
            </w:pPr>
            <w:del w:id="411" w:author="Master Repository Process" w:date="2021-08-28T10:58:00Z">
              <w:r>
                <w:rPr>
                  <w:b/>
                </w:rPr>
                <w:delText>Fee</w:delText>
              </w:r>
            </w:del>
          </w:p>
        </w:tc>
      </w:tr>
      <w:tr>
        <w:trPr>
          <w:del w:id="412" w:author="Master Repository Process" w:date="2021-08-28T10:58:00Z"/>
        </w:trPr>
        <w:tc>
          <w:tcPr>
            <w:tcW w:w="5528" w:type="dxa"/>
            <w:tcBorders>
              <w:top w:val="single" w:sz="4" w:space="0" w:color="auto"/>
            </w:tcBorders>
          </w:tcPr>
          <w:p>
            <w:pPr>
              <w:pStyle w:val="nzTableNAm"/>
              <w:rPr>
                <w:del w:id="413" w:author="Master Repository Process" w:date="2021-08-28T10:58:00Z"/>
              </w:rPr>
            </w:pPr>
            <w:del w:id="414" w:author="Master Repository Process" w:date="2021-08-28T10:58:00Z">
              <w:r>
                <w:delText>Application for permit</w:delText>
              </w:r>
            </w:del>
          </w:p>
        </w:tc>
        <w:tc>
          <w:tcPr>
            <w:tcW w:w="1276" w:type="dxa"/>
            <w:tcBorders>
              <w:top w:val="single" w:sz="4" w:space="0" w:color="auto"/>
            </w:tcBorders>
            <w:vAlign w:val="bottom"/>
          </w:tcPr>
          <w:p>
            <w:pPr>
              <w:pStyle w:val="nzTableNAm"/>
              <w:jc w:val="right"/>
              <w:rPr>
                <w:del w:id="415" w:author="Master Repository Process" w:date="2021-08-28T10:58:00Z"/>
              </w:rPr>
            </w:pPr>
            <w:del w:id="416" w:author="Master Repository Process" w:date="2021-08-28T10:58:00Z">
              <w:r>
                <w:rPr>
                  <w:szCs w:val="22"/>
                </w:rPr>
                <w:delText>$54.00</w:delText>
              </w:r>
            </w:del>
          </w:p>
        </w:tc>
      </w:tr>
      <w:tr>
        <w:trPr>
          <w:del w:id="417" w:author="Master Repository Process" w:date="2021-08-28T10:58:00Z"/>
        </w:trPr>
        <w:tc>
          <w:tcPr>
            <w:tcW w:w="5528" w:type="dxa"/>
          </w:tcPr>
          <w:p>
            <w:pPr>
              <w:pStyle w:val="nzTableNAm"/>
              <w:rPr>
                <w:del w:id="418" w:author="Master Repository Process" w:date="2021-08-28T10:58:00Z"/>
                <w:rStyle w:val="DraftersNotes"/>
                <w:b w:val="0"/>
                <w:i w:val="0"/>
                <w:sz w:val="22"/>
              </w:rPr>
            </w:pPr>
            <w:del w:id="419" w:author="Master Repository Process" w:date="2021-08-28T10:58:00Z">
              <w:r>
                <w:delText>Issue or renewal of permit (for each year)</w:delText>
              </w:r>
            </w:del>
          </w:p>
        </w:tc>
        <w:tc>
          <w:tcPr>
            <w:tcW w:w="1276" w:type="dxa"/>
            <w:vAlign w:val="bottom"/>
          </w:tcPr>
          <w:p>
            <w:pPr>
              <w:pStyle w:val="nzTableNAm"/>
              <w:jc w:val="right"/>
              <w:rPr>
                <w:del w:id="420" w:author="Master Repository Process" w:date="2021-08-28T10:58:00Z"/>
                <w:rStyle w:val="DraftersNotes"/>
                <w:b w:val="0"/>
                <w:i w:val="0"/>
                <w:sz w:val="22"/>
                <w:szCs w:val="22"/>
              </w:rPr>
            </w:pPr>
            <w:del w:id="421" w:author="Master Repository Process" w:date="2021-08-28T10:58:00Z">
              <w:r>
                <w:rPr>
                  <w:szCs w:val="22"/>
                </w:rPr>
                <w:delText>$57.00</w:delText>
              </w:r>
            </w:del>
          </w:p>
        </w:tc>
      </w:tr>
      <w:tr>
        <w:trPr>
          <w:del w:id="422" w:author="Master Repository Process" w:date="2021-08-28T10:58:00Z"/>
        </w:trPr>
        <w:tc>
          <w:tcPr>
            <w:tcW w:w="5528" w:type="dxa"/>
          </w:tcPr>
          <w:p>
            <w:pPr>
              <w:pStyle w:val="nzTableNAm"/>
              <w:rPr>
                <w:del w:id="423" w:author="Master Repository Process" w:date="2021-08-28T10:58:00Z"/>
              </w:rPr>
            </w:pPr>
            <w:del w:id="424" w:author="Master Repository Process" w:date="2021-08-28T10:58:00Z">
              <w:r>
                <w:delText>Application for authorisation</w:delText>
              </w:r>
            </w:del>
          </w:p>
        </w:tc>
        <w:tc>
          <w:tcPr>
            <w:tcW w:w="1276" w:type="dxa"/>
            <w:vAlign w:val="bottom"/>
          </w:tcPr>
          <w:p>
            <w:pPr>
              <w:pStyle w:val="nzTableNAm"/>
              <w:jc w:val="right"/>
              <w:rPr>
                <w:del w:id="425" w:author="Master Repository Process" w:date="2021-08-28T10:58:00Z"/>
              </w:rPr>
            </w:pPr>
            <w:del w:id="426" w:author="Master Repository Process" w:date="2021-08-28T10:58:00Z">
              <w:r>
                <w:rPr>
                  <w:szCs w:val="22"/>
                </w:rPr>
                <w:delText>$664.00</w:delText>
              </w:r>
            </w:del>
          </w:p>
        </w:tc>
      </w:tr>
      <w:tr>
        <w:trPr>
          <w:del w:id="427" w:author="Master Repository Process" w:date="2021-08-28T10:58:00Z"/>
        </w:trPr>
        <w:tc>
          <w:tcPr>
            <w:tcW w:w="5528" w:type="dxa"/>
            <w:tcBorders>
              <w:bottom w:val="single" w:sz="4" w:space="0" w:color="auto"/>
            </w:tcBorders>
          </w:tcPr>
          <w:p>
            <w:pPr>
              <w:pStyle w:val="nzTableNAm"/>
              <w:spacing w:after="120"/>
              <w:rPr>
                <w:del w:id="428" w:author="Master Repository Process" w:date="2021-08-28T10:58:00Z"/>
              </w:rPr>
            </w:pPr>
            <w:del w:id="429" w:author="Master Repository Process" w:date="2021-08-28T10:58:00Z">
              <w:r>
                <w:delText>Replacement permit or authorisation</w:delText>
              </w:r>
            </w:del>
          </w:p>
        </w:tc>
        <w:tc>
          <w:tcPr>
            <w:tcW w:w="1276" w:type="dxa"/>
            <w:tcBorders>
              <w:bottom w:val="single" w:sz="4" w:space="0" w:color="auto"/>
            </w:tcBorders>
            <w:vAlign w:val="bottom"/>
          </w:tcPr>
          <w:p>
            <w:pPr>
              <w:pStyle w:val="nzTableNAm"/>
              <w:jc w:val="right"/>
              <w:rPr>
                <w:del w:id="430" w:author="Master Repository Process" w:date="2021-08-28T10:58:00Z"/>
              </w:rPr>
            </w:pPr>
            <w:del w:id="431" w:author="Master Repository Process" w:date="2021-08-28T10:58:00Z">
              <w:r>
                <w:rPr>
                  <w:szCs w:val="22"/>
                </w:rPr>
                <w:delText>$116.00</w:delText>
              </w:r>
            </w:del>
          </w:p>
        </w:tc>
      </w:tr>
    </w:tbl>
    <w:p>
      <w:pPr>
        <w:pStyle w:val="BlankClose"/>
        <w:rPr>
          <w:del w:id="432" w:author="Master Repository Process" w:date="2021-08-28T10:58:00Z"/>
        </w:rPr>
      </w:pPr>
    </w:p>
    <w:p>
      <w:pPr>
        <w:pStyle w:val="nSubsection"/>
        <w:rPr>
          <w:u w:val="words"/>
        </w:rPr>
      </w:pPr>
    </w:p>
    <w:p>
      <w:pPr>
        <w:sectPr>
          <w:headerReference w:type="even" r:id="rId32"/>
          <w:headerReference w:type="default" r:id="rId33"/>
          <w:headerReference w:type="first" r:id="rId34"/>
          <w:pgSz w:w="11907" w:h="16840" w:code="9"/>
          <w:pgMar w:top="2376" w:right="2404" w:bottom="3544" w:left="2404"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05-i0-00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Witness fees and allowances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Witness fees and allowances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Classes of gasfitting work</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Classes of gasfitting work</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tcPr>
        <w:p>
          <w:pPr>
            <w:pStyle w:val="Header"/>
            <w:spacing w:before="40"/>
            <w:jc w:val="right"/>
          </w:pPr>
          <w:r>
            <w:fldChar w:fldCharType="begin"/>
          </w:r>
          <w:r>
            <w:instrText xml:space="preserve"> </w:instrText>
          </w:r>
          <w:r>
            <w:fldChar w:fldCharType="begin"/>
          </w:r>
          <w:r>
            <w:instrText xml:space="preserve">  </w:instrText>
          </w:r>
          <w:r>
            <w:fldChar w:fldCharType="end"/>
          </w:r>
          <w:r>
            <w:instrText xml:space="preserve"> </w:instrText>
          </w:r>
          <w:r>
            <w:fldChar w:fldCharType="end"/>
          </w: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6</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Certain requirements as to consumers’ gas installations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Certain requirements as to consumers’ gas installations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6</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33" w:name="Compilation"/>
    <w:bookmarkEnd w:id="433"/>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34" w:name="Coversheet"/>
    <w:bookmarkEnd w:id="43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left="426"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left="284" w:right="17"/>
            <w:jc w:val="right"/>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71" w:name="Schedule"/>
    <w:bookmarkEnd w:id="17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Gas Standards (Gasfitting and Consumer Gas Installations) Regulations 1999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90620121619"/>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 w:name="WAFER_20150804082149" w:val="RemoveTocBookmarks,RemoveLanguageTags,RemoveTrackChanges,RunningHeaders"/>
    <w:docVar w:name="WAFER_20150804082149_GUID" w:val="7cf17c58-0c07-470d-a0a2-e8fd52a0180e"/>
    <w:docVar w:name="WAFER_20150804082201" w:val="RemoveTocBookmarks,RemoveLanguageTags,RemoveTrackChanges,RunningHeaders"/>
    <w:docVar w:name="WAFER_20150804082201_GUID" w:val="5b584dac-620c-4527-839c-aed83db33123"/>
    <w:docVar w:name="WAFER_20150804084835" w:val="RemoveTocBookmarks,RemoveUnusedBookmarks,RemoveLanguageTags,UsedStyles,RemoveTrackChanges"/>
    <w:docVar w:name="WAFER_20150804084835_GUID" w:val="ce1641de-ed06-438b-b3ec-3af0727071e9"/>
    <w:docVar w:name="WAFER_20151105105436" w:val="UpdateStyles,UsedStyles"/>
    <w:docVar w:name="WAFER_20151105105436_GUID" w:val="035553b8-159e-450c-a5fd-6c1e455ac3b3"/>
    <w:docVar w:name="WAFER_20160630101358" w:val="RemoveTocBookmarks,RemoveUnusedBookmarks,RemoveLanguageTags,UsedStyles,ResetPageSize"/>
    <w:docVar w:name="WAFER_20160630101358_GUID" w:val="0a563473-279b-446e-b2a7-523233aa02da"/>
    <w:docVar w:name="WAFER_20171221105424" w:val="RemoveTocBookmarks,RemoveUnusedBookmarks,RemoveLanguageTags,UsedStyles,ResetPageSize"/>
    <w:docVar w:name="WAFER_20171221105424_GUID" w:val="076cb7d7-5981-4e14-af2f-fc4f78bd5282"/>
    <w:docVar w:name="WAFER_20181001135811" w:val="RemoveTocBookmarks,RemoveUnusedBookmarks,RemoveLanguageTags,UsedStyles,ResetPageSize"/>
    <w:docVar w:name="WAFER_20181001135811_GUID" w:val="3542449d-51f1-4081-9eee-f72017ea4c0b"/>
    <w:docVar w:name="WAFER_20190618102532" w:val="RemoveTocBookmarks,RemoveUnusedBookmarks,RemoveLanguageTags,ResetPageSize,RunningHeaders,UpdateStyles,UsedStyles"/>
    <w:docVar w:name="WAFER_20190618102532_GUID" w:val="3852141e-5395-48c6-8757-ff4ab412bb2c"/>
    <w:docVar w:name="WAFER_20190620121619" w:val="RemoveTocBookmarks,RemoveUnusedBookmarks,RemoveLanguageTags,ResetPageSize,RunningHeaders,UpdateStyles,UsedStyles"/>
    <w:docVar w:name="WAFER_20190620121619_GUID" w:val="06931ff0-2427-4c15-9b91-d57769b8174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22E086E-9AF0-4277-B331-5AF5E9DF1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qFormat/>
    <w:pPr>
      <w:tabs>
        <w:tab w:val="left" w:pos="567"/>
      </w:tabs>
      <w:spacing w:before="120"/>
    </w:pPr>
    <w:rPr>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2.xml"/><Relationship Id="rId21" Type="http://schemas.openxmlformats.org/officeDocument/2006/relationships/header" Target="header7.xml"/><Relationship Id="rId34" Type="http://schemas.openxmlformats.org/officeDocument/2006/relationships/header" Target="header19.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902FA-B535-4BE7-94E7-D4C50ED99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14929</Words>
  <Characters>71962</Characters>
  <Application>Microsoft Office Word</Application>
  <DocSecurity>0</DocSecurity>
  <Lines>2116</Lines>
  <Paragraphs>1190</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85701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05-h0-00 - 05-i0-00</dc:title>
  <dc:subject/>
  <dc:creator/>
  <cp:keywords/>
  <dc:description/>
  <cp:lastModifiedBy>Master Repository Process</cp:lastModifiedBy>
  <cp:revision>2</cp:revision>
  <cp:lastPrinted>2018-10-02T08:06:00Z</cp:lastPrinted>
  <dcterms:created xsi:type="dcterms:W3CDTF">2021-08-28T02:58:00Z</dcterms:created>
  <dcterms:modified xsi:type="dcterms:W3CDTF">2021-08-28T02:58:00Z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ReprintedAsAt">
    <vt:filetime>2015-08-13T16:00:00Z</vt:filetime>
  </property>
  <property fmtid="{D5CDD505-2E9C-101B-9397-08002B2CF9AE}" pid="6" name="ReprintNo">
    <vt:lpwstr>5</vt:lpwstr>
  </property>
  <property fmtid="{D5CDD505-2E9C-101B-9397-08002B2CF9AE}" pid="7" name="CommencementDate">
    <vt:lpwstr>20190701</vt:lpwstr>
  </property>
  <property fmtid="{D5CDD505-2E9C-101B-9397-08002B2CF9AE}" pid="8" name="FromSuffix">
    <vt:lpwstr>05-h0-00</vt:lpwstr>
  </property>
  <property fmtid="{D5CDD505-2E9C-101B-9397-08002B2CF9AE}" pid="9" name="FromAsAtDate">
    <vt:lpwstr>18 Jun 2019</vt:lpwstr>
  </property>
  <property fmtid="{D5CDD505-2E9C-101B-9397-08002B2CF9AE}" pid="10" name="ToSuffix">
    <vt:lpwstr>05-i0-00</vt:lpwstr>
  </property>
  <property fmtid="{D5CDD505-2E9C-101B-9397-08002B2CF9AE}" pid="11" name="ToAsAtDate">
    <vt:lpwstr>01 Jul 2019</vt:lpwstr>
  </property>
</Properties>
</file>