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05 Jul 2019</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Caravan Parks and Camping Grounds Act 1995 </w:t>
      </w:r>
    </w:p>
    <w:p>
      <w:pPr>
        <w:pStyle w:val="LongTitle"/>
        <w:spacing w:before="400"/>
        <w:rPr>
          <w:snapToGrid w:val="0"/>
        </w:rPr>
      </w:pPr>
      <w:r>
        <w:rPr>
          <w:snapToGrid w:val="0"/>
        </w:rPr>
        <w:t>A</w:t>
      </w:r>
      <w:bookmarkStart w:id="1" w:name="_GoBack"/>
      <w:bookmarkEnd w:id="1"/>
      <w:r>
        <w:rPr>
          <w:snapToGrid w:val="0"/>
        </w:rPr>
        <w:t>n Act to provide for the regulation of caravanning and camping, to control and license caravan parks and camping grounds, to provide for standards in respect of caravans, to amend certain Acts</w:t>
      </w:r>
      <w:r>
        <w:rPr>
          <w:snapToGrid w:val="0"/>
          <w:vertAlign w:val="superscript"/>
        </w:rPr>
        <w:t> </w:t>
      </w:r>
      <w:del w:id="2" w:author="svcMRProcess" w:date="2020-04-17T15:38:00Z">
        <w:r>
          <w:rPr>
            <w:snapToGrid w:val="0"/>
            <w:vertAlign w:val="superscript"/>
          </w:rPr>
          <w:delText>2</w:delText>
        </w:r>
      </w:del>
      <w:ins w:id="3" w:author="svcMRProcess" w:date="2020-04-17T15:38:00Z">
        <w:r>
          <w:rPr>
            <w:snapToGrid w:val="0"/>
            <w:vertAlign w:val="superscript"/>
          </w:rPr>
          <w:t>1</w:t>
        </w:r>
      </w:ins>
      <w:r>
        <w:rPr>
          <w:snapToGrid w:val="0"/>
        </w:rPr>
        <w:t xml:space="preserve"> and for related purposes. </w:t>
      </w:r>
    </w:p>
    <w:p>
      <w:pPr>
        <w:pStyle w:val="Heading2"/>
      </w:pPr>
      <w:bookmarkStart w:id="4" w:name="_Toc37944499"/>
      <w:bookmarkStart w:id="5" w:name="_Toc37944554"/>
      <w:bookmarkStart w:id="6" w:name="_Toc473116331"/>
      <w:bookmarkStart w:id="7" w:name="_Toc530553452"/>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r>
        <w:rPr>
          <w:rStyle w:val="CharPartText"/>
        </w:rPr>
        <w:t xml:space="preserve"> </w:t>
      </w:r>
    </w:p>
    <w:p>
      <w:pPr>
        <w:pStyle w:val="Heading5"/>
        <w:rPr>
          <w:snapToGrid w:val="0"/>
        </w:rPr>
      </w:pPr>
      <w:bookmarkStart w:id="8" w:name="_Toc37944555"/>
      <w:bookmarkStart w:id="9" w:name="_Toc530553453"/>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del w:id="10" w:author="svcMRProcess" w:date="2020-04-17T15:38:00Z">
        <w:r>
          <w:rPr>
            <w:snapToGrid w:val="0"/>
            <w:vertAlign w:val="superscript"/>
          </w:rPr>
          <w:delText> 1</w:delText>
        </w:r>
      </w:del>
      <w:r>
        <w:rPr>
          <w:snapToGrid w:val="0"/>
        </w:rPr>
        <w:t>.</w:t>
      </w:r>
    </w:p>
    <w:p>
      <w:pPr>
        <w:pStyle w:val="Heading5"/>
        <w:rPr>
          <w:snapToGrid w:val="0"/>
        </w:rPr>
      </w:pPr>
      <w:bookmarkStart w:id="11" w:name="_Toc37944556"/>
      <w:bookmarkStart w:id="12" w:name="_Toc530553454"/>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del w:id="13" w:author="svcMRProcess" w:date="2020-04-17T15:38:00Z">
        <w:r>
          <w:rPr>
            <w:snapToGrid w:val="0"/>
            <w:vertAlign w:val="superscript"/>
          </w:rPr>
          <w:delText> 1</w:delText>
        </w:r>
      </w:del>
      <w:r>
        <w:rPr>
          <w:snapToGrid w:val="0"/>
        </w:rPr>
        <w:t>.</w:t>
      </w:r>
    </w:p>
    <w:p>
      <w:pPr>
        <w:pStyle w:val="Heading5"/>
        <w:rPr>
          <w:snapToGrid w:val="0"/>
        </w:rPr>
      </w:pPr>
      <w:bookmarkStart w:id="14" w:name="_Toc37944557"/>
      <w:bookmarkStart w:id="15" w:name="_Toc530553455"/>
      <w:r>
        <w:rPr>
          <w:rStyle w:val="CharSectno"/>
        </w:rPr>
        <w:t>3</w:t>
      </w:r>
      <w:r>
        <w:rPr>
          <w:snapToGrid w:val="0"/>
        </w:rPr>
        <w:t>.</w:t>
      </w:r>
      <w:r>
        <w:rPr>
          <w:snapToGrid w:val="0"/>
        </w:rPr>
        <w:tab/>
        <w:t>Application</w:t>
      </w:r>
      <w:bookmarkEnd w:id="14"/>
      <w:bookmarkEnd w:id="15"/>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16" w:name="_Toc37944558"/>
      <w:bookmarkStart w:id="17" w:name="_Toc530553456"/>
      <w:r>
        <w:rPr>
          <w:rStyle w:val="CharSectno"/>
        </w:rPr>
        <w:t>4</w:t>
      </w:r>
      <w:r>
        <w:rPr>
          <w:snapToGrid w:val="0"/>
        </w:rPr>
        <w:t>.</w:t>
      </w:r>
      <w:r>
        <w:rPr>
          <w:snapToGrid w:val="0"/>
        </w:rPr>
        <w:tab/>
        <w:t>Objects</w:t>
      </w:r>
      <w:bookmarkEnd w:id="16"/>
      <w:bookmarkEnd w:id="1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 and</w:t>
      </w:r>
    </w:p>
    <w:p>
      <w:pPr>
        <w:pStyle w:val="Indenta"/>
        <w:rPr>
          <w:snapToGrid w:val="0"/>
        </w:rPr>
      </w:pPr>
      <w:r>
        <w:rPr>
          <w:snapToGrid w:val="0"/>
        </w:rPr>
        <w:tab/>
        <w:t>(b)</w:t>
      </w:r>
      <w:r>
        <w:rPr>
          <w:snapToGrid w:val="0"/>
        </w:rPr>
        <w:tab/>
        <w:t>to regulate caravanning and camping; and</w:t>
      </w:r>
    </w:p>
    <w:p>
      <w:pPr>
        <w:pStyle w:val="Indenta"/>
        <w:rPr>
          <w:snapToGrid w:val="0"/>
        </w:rPr>
      </w:pPr>
      <w:r>
        <w:rPr>
          <w:snapToGrid w:val="0"/>
        </w:rPr>
        <w:tab/>
        <w:t>(c)</w:t>
      </w:r>
      <w:r>
        <w:rPr>
          <w:snapToGrid w:val="0"/>
        </w:rPr>
        <w:tab/>
        <w:t>to improve and promote caravanning and camping; and</w:t>
      </w:r>
    </w:p>
    <w:p>
      <w:pPr>
        <w:pStyle w:val="Indenta"/>
        <w:rPr>
          <w:snapToGrid w:val="0"/>
        </w:rPr>
      </w:pPr>
      <w:r>
        <w:rPr>
          <w:snapToGrid w:val="0"/>
        </w:rPr>
        <w:tab/>
        <w:t>(d)</w:t>
      </w:r>
      <w:r>
        <w:rPr>
          <w:snapToGrid w:val="0"/>
        </w:rPr>
        <w:tab/>
        <w:t xml:space="preserve">to ensure that the design and layout of land used for caravan parks and camping grounds and the provision </w:t>
      </w:r>
      <w:r>
        <w:rPr>
          <w:snapToGrid w:val="0"/>
        </w:rPr>
        <w:lastRenderedPageBreak/>
        <w:t>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18" w:name="_Toc37944559"/>
      <w:bookmarkStart w:id="19" w:name="_Toc530553457"/>
      <w:r>
        <w:rPr>
          <w:rStyle w:val="CharSectno"/>
        </w:rPr>
        <w:t>5</w:t>
      </w:r>
      <w:r>
        <w:rPr>
          <w:snapToGrid w:val="0"/>
        </w:rPr>
        <w:t>.</w:t>
      </w:r>
      <w:r>
        <w:rPr>
          <w:snapToGrid w:val="0"/>
        </w:rPr>
        <w:tab/>
        <w:t>Terms used</w:t>
      </w:r>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lastRenderedPageBreak/>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No. 14 of 1996 s. 4.]</w:t>
      </w:r>
    </w:p>
    <w:p>
      <w:pPr>
        <w:pStyle w:val="Heading2"/>
      </w:pPr>
      <w:bookmarkStart w:id="20" w:name="_Toc37944505"/>
      <w:bookmarkStart w:id="21" w:name="_Toc37944560"/>
      <w:bookmarkStart w:id="22" w:name="_Toc473116337"/>
      <w:bookmarkStart w:id="23" w:name="_Toc530553458"/>
      <w:r>
        <w:rPr>
          <w:rStyle w:val="CharPartNo"/>
        </w:rPr>
        <w:t>Part 2</w:t>
      </w:r>
      <w:r>
        <w:t> — </w:t>
      </w:r>
      <w:r>
        <w:rPr>
          <w:rStyle w:val="CharPartText"/>
        </w:rPr>
        <w:t>Regulation of caravan parks and camping grounds</w:t>
      </w:r>
      <w:bookmarkEnd w:id="20"/>
      <w:bookmarkEnd w:id="21"/>
      <w:bookmarkEnd w:id="22"/>
      <w:bookmarkEnd w:id="23"/>
    </w:p>
    <w:p>
      <w:pPr>
        <w:pStyle w:val="Heading3"/>
        <w:rPr>
          <w:snapToGrid w:val="0"/>
        </w:rPr>
      </w:pPr>
      <w:bookmarkStart w:id="24" w:name="_Toc37944506"/>
      <w:bookmarkStart w:id="25" w:name="_Toc37944561"/>
      <w:bookmarkStart w:id="26" w:name="_Toc473116338"/>
      <w:bookmarkStart w:id="27" w:name="_Toc530553459"/>
      <w:r>
        <w:rPr>
          <w:rStyle w:val="CharDivNo"/>
        </w:rPr>
        <w:t>Division 1</w:t>
      </w:r>
      <w:r>
        <w:rPr>
          <w:snapToGrid w:val="0"/>
        </w:rPr>
        <w:t> — </w:t>
      </w:r>
      <w:r>
        <w:rPr>
          <w:rStyle w:val="CharDivText"/>
        </w:rPr>
        <w:t>Licences</w:t>
      </w:r>
      <w:bookmarkEnd w:id="24"/>
      <w:bookmarkEnd w:id="25"/>
      <w:bookmarkEnd w:id="26"/>
      <w:bookmarkEnd w:id="27"/>
      <w:r>
        <w:rPr>
          <w:rStyle w:val="CharDivText"/>
        </w:rPr>
        <w:t xml:space="preserve"> </w:t>
      </w:r>
    </w:p>
    <w:p>
      <w:pPr>
        <w:pStyle w:val="Heading5"/>
        <w:rPr>
          <w:snapToGrid w:val="0"/>
        </w:rPr>
      </w:pPr>
      <w:bookmarkStart w:id="28" w:name="_Toc37944562"/>
      <w:bookmarkStart w:id="29" w:name="_Toc530553460"/>
      <w:r>
        <w:rPr>
          <w:rStyle w:val="CharSectno"/>
        </w:rPr>
        <w:t>6</w:t>
      </w:r>
      <w:r>
        <w:rPr>
          <w:snapToGrid w:val="0"/>
        </w:rPr>
        <w:t>.</w:t>
      </w:r>
      <w:r>
        <w:rPr>
          <w:snapToGrid w:val="0"/>
        </w:rPr>
        <w:tab/>
        <w:t>Caravan park or camping ground not to be operated without licence</w:t>
      </w:r>
      <w:bookmarkEnd w:id="28"/>
      <w:bookmarkEnd w:id="29"/>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to be the appointed day for the purpose of that subsection</w:t>
      </w:r>
      <w:del w:id="30" w:author="svcMRProcess" w:date="2020-04-17T15:38:00Z">
        <w:r>
          <w:delText xml:space="preserve"> </w:delText>
        </w:r>
        <w:r>
          <w:rPr>
            <w:vertAlign w:val="superscript"/>
          </w:rPr>
          <w:delText>3</w:delText>
        </w:r>
      </w:del>
      <w:ins w:id="31" w:author="svcMRProcess" w:date="2020-04-17T15:38:00Z">
        <w:r>
          <w:rPr>
            <w:vertAlign w:val="superscript"/>
          </w:rPr>
          <w:t> 2</w:t>
        </w:r>
      </w:ins>
      <w:r>
        <w:t>.</w:t>
      </w:r>
    </w:p>
    <w:p>
      <w:pPr>
        <w:pStyle w:val="Heading5"/>
        <w:rPr>
          <w:snapToGrid w:val="0"/>
        </w:rPr>
      </w:pPr>
      <w:bookmarkStart w:id="32" w:name="_Toc37944563"/>
      <w:bookmarkStart w:id="33" w:name="_Toc530553461"/>
      <w:r>
        <w:rPr>
          <w:rStyle w:val="CharSectno"/>
        </w:rPr>
        <w:t>7</w:t>
      </w:r>
      <w:r>
        <w:rPr>
          <w:snapToGrid w:val="0"/>
        </w:rPr>
        <w:t>.</w:t>
      </w:r>
      <w:r>
        <w:rPr>
          <w:snapToGrid w:val="0"/>
        </w:rPr>
        <w:tab/>
        <w:t>Application for grant or renewal of licence</w:t>
      </w:r>
      <w:bookmarkEnd w:id="32"/>
      <w:bookmarkEnd w:id="33"/>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 and</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spacing w:before="120"/>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spacing w:before="120"/>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spacing w:before="120"/>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spacing w:before="120"/>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spacing w:before="120"/>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No. 55 of 2004 s. 93.]</w:t>
      </w:r>
    </w:p>
    <w:p>
      <w:pPr>
        <w:pStyle w:val="Heading5"/>
        <w:spacing w:before="180"/>
        <w:rPr>
          <w:snapToGrid w:val="0"/>
        </w:rPr>
      </w:pPr>
      <w:bookmarkStart w:id="34" w:name="_Toc37944564"/>
      <w:bookmarkStart w:id="35" w:name="_Toc530553462"/>
      <w:r>
        <w:rPr>
          <w:rStyle w:val="CharSectno"/>
        </w:rPr>
        <w:t>8</w:t>
      </w:r>
      <w:r>
        <w:rPr>
          <w:snapToGrid w:val="0"/>
        </w:rPr>
        <w:t>.</w:t>
      </w:r>
      <w:r>
        <w:rPr>
          <w:snapToGrid w:val="0"/>
        </w:rPr>
        <w:tab/>
        <w:t>Duration of licence</w:t>
      </w:r>
      <w:bookmarkEnd w:id="34"/>
      <w:bookmarkEnd w:id="35"/>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keepNext w:val="0"/>
        <w:keepLines w:val="0"/>
        <w:spacing w:before="180"/>
        <w:rPr>
          <w:snapToGrid w:val="0"/>
        </w:rPr>
      </w:pPr>
      <w:bookmarkStart w:id="36" w:name="_Toc37944565"/>
      <w:bookmarkStart w:id="37" w:name="_Toc530553463"/>
      <w:r>
        <w:rPr>
          <w:rStyle w:val="CharSectno"/>
        </w:rPr>
        <w:t>9</w:t>
      </w:r>
      <w:r>
        <w:rPr>
          <w:snapToGrid w:val="0"/>
        </w:rPr>
        <w:t>.</w:t>
      </w:r>
      <w:r>
        <w:rPr>
          <w:snapToGrid w:val="0"/>
        </w:rPr>
        <w:tab/>
        <w:t>Renewal after expiry</w:t>
      </w:r>
      <w:bookmarkEnd w:id="36"/>
      <w:bookmarkEnd w:id="37"/>
      <w:r>
        <w:rPr>
          <w:snapToGrid w:val="0"/>
        </w:rPr>
        <w:t xml:space="preserve"> </w:t>
      </w:r>
    </w:p>
    <w:p>
      <w:pPr>
        <w:pStyle w:val="Subsection"/>
        <w:spacing w:before="120"/>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38" w:name="_Toc37944566"/>
      <w:bookmarkStart w:id="39" w:name="_Toc530553464"/>
      <w:r>
        <w:rPr>
          <w:rStyle w:val="CharSectno"/>
        </w:rPr>
        <w:t>10</w:t>
      </w:r>
      <w:r>
        <w:rPr>
          <w:snapToGrid w:val="0"/>
        </w:rPr>
        <w:t>.</w:t>
      </w:r>
      <w:r>
        <w:rPr>
          <w:snapToGrid w:val="0"/>
        </w:rPr>
        <w:tab/>
        <w:t>Prohibition notice</w:t>
      </w:r>
      <w:bookmarkEnd w:id="38"/>
      <w:bookmarkEnd w:id="39"/>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No. 55 of 2004 s. 94.]</w:t>
      </w:r>
    </w:p>
    <w:p>
      <w:pPr>
        <w:pStyle w:val="Heading5"/>
        <w:spacing w:before="180"/>
        <w:rPr>
          <w:snapToGrid w:val="0"/>
        </w:rPr>
      </w:pPr>
      <w:bookmarkStart w:id="40" w:name="_Toc37944567"/>
      <w:bookmarkStart w:id="41" w:name="_Toc530553465"/>
      <w:r>
        <w:rPr>
          <w:rStyle w:val="CharSectno"/>
        </w:rPr>
        <w:t>11</w:t>
      </w:r>
      <w:r>
        <w:rPr>
          <w:snapToGrid w:val="0"/>
        </w:rPr>
        <w:t>.</w:t>
      </w:r>
      <w:r>
        <w:rPr>
          <w:snapToGrid w:val="0"/>
        </w:rPr>
        <w:tab/>
        <w:t>Effect of prohibition notice</w:t>
      </w:r>
      <w:bookmarkEnd w:id="40"/>
      <w:bookmarkEnd w:id="41"/>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r>
        <w:tab/>
        <w:t>[Section 11 amended: No. 55 of 2004 s. 95.]</w:t>
      </w:r>
    </w:p>
    <w:p>
      <w:pPr>
        <w:pStyle w:val="Heading5"/>
        <w:spacing w:before="180"/>
        <w:rPr>
          <w:snapToGrid w:val="0"/>
        </w:rPr>
      </w:pPr>
      <w:bookmarkStart w:id="42" w:name="_Toc37944568"/>
      <w:bookmarkStart w:id="43" w:name="_Toc530553466"/>
      <w:r>
        <w:rPr>
          <w:rStyle w:val="CharSectno"/>
        </w:rPr>
        <w:t>12</w:t>
      </w:r>
      <w:r>
        <w:rPr>
          <w:snapToGrid w:val="0"/>
        </w:rPr>
        <w:t>.</w:t>
      </w:r>
      <w:r>
        <w:rPr>
          <w:snapToGrid w:val="0"/>
        </w:rPr>
        <w:tab/>
        <w:t>Cancellation of licence</w:t>
      </w:r>
      <w:bookmarkEnd w:id="42"/>
      <w:bookmarkEnd w:id="43"/>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r>
        <w:tab/>
        <w:t>[Section 12 amended: No. 55 of 2004 s. 96.]</w:t>
      </w:r>
    </w:p>
    <w:p>
      <w:pPr>
        <w:pStyle w:val="Heading3"/>
        <w:rPr>
          <w:snapToGrid w:val="0"/>
        </w:rPr>
      </w:pPr>
      <w:bookmarkStart w:id="44" w:name="_Toc37944514"/>
      <w:bookmarkStart w:id="45" w:name="_Toc37944569"/>
      <w:bookmarkStart w:id="46" w:name="_Toc473116346"/>
      <w:bookmarkStart w:id="47" w:name="_Toc530553467"/>
      <w:r>
        <w:rPr>
          <w:rStyle w:val="CharDivNo"/>
        </w:rPr>
        <w:t>Division 2</w:t>
      </w:r>
      <w:r>
        <w:rPr>
          <w:snapToGrid w:val="0"/>
        </w:rPr>
        <w:t> — </w:t>
      </w:r>
      <w:r>
        <w:rPr>
          <w:rStyle w:val="CharDivText"/>
        </w:rPr>
        <w:t>Duties of licence holders</w:t>
      </w:r>
      <w:bookmarkEnd w:id="44"/>
      <w:bookmarkEnd w:id="45"/>
      <w:bookmarkEnd w:id="46"/>
      <w:bookmarkEnd w:id="47"/>
      <w:r>
        <w:rPr>
          <w:rStyle w:val="CharDivText"/>
        </w:rPr>
        <w:t xml:space="preserve"> </w:t>
      </w:r>
    </w:p>
    <w:p>
      <w:pPr>
        <w:pStyle w:val="Heading5"/>
        <w:rPr>
          <w:snapToGrid w:val="0"/>
        </w:rPr>
      </w:pPr>
      <w:bookmarkStart w:id="48" w:name="_Toc37944570"/>
      <w:bookmarkStart w:id="49" w:name="_Toc530553468"/>
      <w:r>
        <w:rPr>
          <w:rStyle w:val="CharSectno"/>
        </w:rPr>
        <w:t>13</w:t>
      </w:r>
      <w:r>
        <w:rPr>
          <w:snapToGrid w:val="0"/>
        </w:rPr>
        <w:t>.</w:t>
      </w:r>
      <w:r>
        <w:rPr>
          <w:snapToGrid w:val="0"/>
        </w:rPr>
        <w:tab/>
        <w:t>Duties of licence holder</w:t>
      </w:r>
      <w:bookmarkEnd w:id="48"/>
      <w:bookmarkEnd w:id="49"/>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 and</w:t>
      </w:r>
    </w:p>
    <w:p>
      <w:pPr>
        <w:pStyle w:val="Indenti"/>
        <w:rPr>
          <w:snapToGrid w:val="0"/>
        </w:rPr>
      </w:pPr>
      <w:r>
        <w:rPr>
          <w:snapToGrid w:val="0"/>
        </w:rPr>
        <w:tab/>
        <w:t>(ii)</w:t>
      </w:r>
      <w:r>
        <w:rPr>
          <w:snapToGrid w:val="0"/>
        </w:rPr>
        <w:tab/>
        <w:t>is responsible for the supervision of the facility;  and</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 xml:space="preserve">where the facility is a caravan park, is available at the office of the caravan park during normal office hours;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 and</w:t>
      </w:r>
    </w:p>
    <w:p>
      <w:pPr>
        <w:pStyle w:val="Indenta"/>
        <w:rPr>
          <w:snapToGrid w:val="0"/>
        </w:rPr>
      </w:pPr>
      <w:r>
        <w:rPr>
          <w:snapToGrid w:val="0"/>
        </w:rPr>
        <w:tab/>
        <w:t>(b)</w:t>
      </w:r>
      <w:r>
        <w:rPr>
          <w:snapToGrid w:val="0"/>
        </w:rPr>
        <w:tab/>
        <w:t>any special conditions imposed on the licence; and</w:t>
      </w:r>
    </w:p>
    <w:p>
      <w:pPr>
        <w:pStyle w:val="Indenta"/>
        <w:rPr>
          <w:snapToGrid w:val="0"/>
        </w:rPr>
      </w:pPr>
      <w:r>
        <w:rPr>
          <w:snapToGrid w:val="0"/>
        </w:rPr>
        <w:tab/>
        <w:t>(c)</w:t>
      </w:r>
      <w:r>
        <w:rPr>
          <w:snapToGrid w:val="0"/>
        </w:rPr>
        <w:tab/>
        <w:t>a plan of the facility; and</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50" w:name="_Toc37944516"/>
      <w:bookmarkStart w:id="51" w:name="_Toc37944571"/>
      <w:bookmarkStart w:id="52" w:name="_Toc473116348"/>
      <w:bookmarkStart w:id="53" w:name="_Toc530553469"/>
      <w:r>
        <w:rPr>
          <w:rStyle w:val="CharDivNo"/>
        </w:rPr>
        <w:t>Division 3</w:t>
      </w:r>
      <w:r>
        <w:rPr>
          <w:snapToGrid w:val="0"/>
        </w:rPr>
        <w:t> — </w:t>
      </w:r>
      <w:r>
        <w:rPr>
          <w:rStyle w:val="CharDivText"/>
        </w:rPr>
        <w:t>Register</w:t>
      </w:r>
      <w:bookmarkEnd w:id="50"/>
      <w:bookmarkEnd w:id="51"/>
      <w:bookmarkEnd w:id="52"/>
      <w:bookmarkEnd w:id="53"/>
      <w:r>
        <w:rPr>
          <w:rStyle w:val="CharDivText"/>
        </w:rPr>
        <w:t xml:space="preserve"> </w:t>
      </w:r>
    </w:p>
    <w:p>
      <w:pPr>
        <w:pStyle w:val="Heading5"/>
        <w:rPr>
          <w:snapToGrid w:val="0"/>
        </w:rPr>
      </w:pPr>
      <w:bookmarkStart w:id="54" w:name="_Toc37944572"/>
      <w:bookmarkStart w:id="55" w:name="_Toc530553470"/>
      <w:r>
        <w:rPr>
          <w:rStyle w:val="CharSectno"/>
        </w:rPr>
        <w:t>14</w:t>
      </w:r>
      <w:r>
        <w:rPr>
          <w:snapToGrid w:val="0"/>
        </w:rPr>
        <w:t>.</w:t>
      </w:r>
      <w:r>
        <w:rPr>
          <w:snapToGrid w:val="0"/>
        </w:rPr>
        <w:tab/>
        <w:t>Register</w:t>
      </w:r>
      <w:bookmarkEnd w:id="54"/>
      <w:bookmarkEnd w:id="55"/>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56" w:name="_Toc37944518"/>
      <w:bookmarkStart w:id="57" w:name="_Toc37944573"/>
      <w:bookmarkStart w:id="58" w:name="_Toc473116350"/>
      <w:bookmarkStart w:id="59" w:name="_Toc530553471"/>
      <w:r>
        <w:rPr>
          <w:rStyle w:val="CharDivNo"/>
        </w:rPr>
        <w:t>Division 4</w:t>
      </w:r>
      <w:r>
        <w:rPr>
          <w:snapToGrid w:val="0"/>
        </w:rPr>
        <w:t> — </w:t>
      </w:r>
      <w:r>
        <w:rPr>
          <w:rStyle w:val="CharDivText"/>
        </w:rPr>
        <w:t>Local government operated facilities</w:t>
      </w:r>
      <w:bookmarkEnd w:id="56"/>
      <w:bookmarkEnd w:id="57"/>
      <w:bookmarkEnd w:id="58"/>
      <w:bookmarkEnd w:id="59"/>
      <w:r>
        <w:rPr>
          <w:rStyle w:val="CharDivText"/>
        </w:rPr>
        <w:t xml:space="preserve"> </w:t>
      </w:r>
    </w:p>
    <w:p>
      <w:pPr>
        <w:pStyle w:val="Heading5"/>
        <w:spacing w:before="180"/>
        <w:rPr>
          <w:snapToGrid w:val="0"/>
        </w:rPr>
      </w:pPr>
      <w:bookmarkStart w:id="60" w:name="_Toc37944574"/>
      <w:bookmarkStart w:id="61" w:name="_Toc530553472"/>
      <w:r>
        <w:rPr>
          <w:rStyle w:val="CharSectno"/>
        </w:rPr>
        <w:t>15</w:t>
      </w:r>
      <w:r>
        <w:rPr>
          <w:snapToGrid w:val="0"/>
        </w:rPr>
        <w:t>.</w:t>
      </w:r>
      <w:r>
        <w:rPr>
          <w:snapToGrid w:val="0"/>
        </w:rPr>
        <w:tab/>
        <w:t>Local government may operate facility in its district without licence</w:t>
      </w:r>
      <w:bookmarkEnd w:id="60"/>
      <w:bookmarkEnd w:id="61"/>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62" w:name="_Toc37944575"/>
      <w:bookmarkStart w:id="63" w:name="_Toc530553473"/>
      <w:r>
        <w:rPr>
          <w:rStyle w:val="CharSectno"/>
        </w:rPr>
        <w:t>16</w:t>
      </w:r>
      <w:r>
        <w:rPr>
          <w:snapToGrid w:val="0"/>
        </w:rPr>
        <w:t>.</w:t>
      </w:r>
      <w:r>
        <w:rPr>
          <w:snapToGrid w:val="0"/>
        </w:rPr>
        <w:tab/>
        <w:t>Minister may give directions to local government</w:t>
      </w:r>
      <w:bookmarkEnd w:id="62"/>
      <w:bookmarkEnd w:id="63"/>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 and</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64" w:name="_Toc37944521"/>
      <w:bookmarkStart w:id="65" w:name="_Toc37944576"/>
      <w:bookmarkStart w:id="66" w:name="_Toc473116353"/>
      <w:bookmarkStart w:id="67" w:name="_Toc530553474"/>
      <w:r>
        <w:rPr>
          <w:rStyle w:val="CharPartNo"/>
        </w:rPr>
        <w:t>Part 3</w:t>
      </w:r>
      <w:r>
        <w:rPr>
          <w:rStyle w:val="CharDivNo"/>
        </w:rPr>
        <w:t> </w:t>
      </w:r>
      <w:r>
        <w:t>—</w:t>
      </w:r>
      <w:r>
        <w:rPr>
          <w:rStyle w:val="CharDivText"/>
        </w:rPr>
        <w:t> </w:t>
      </w:r>
      <w:r>
        <w:rPr>
          <w:rStyle w:val="CharPartText"/>
        </w:rPr>
        <w:t>Powers of entry and inspection</w:t>
      </w:r>
      <w:bookmarkEnd w:id="64"/>
      <w:bookmarkEnd w:id="65"/>
      <w:bookmarkEnd w:id="66"/>
      <w:bookmarkEnd w:id="67"/>
      <w:r>
        <w:rPr>
          <w:rStyle w:val="CharPartText"/>
        </w:rPr>
        <w:t xml:space="preserve"> </w:t>
      </w:r>
    </w:p>
    <w:p>
      <w:pPr>
        <w:pStyle w:val="Heading5"/>
        <w:spacing w:before="180"/>
        <w:rPr>
          <w:snapToGrid w:val="0"/>
        </w:rPr>
      </w:pPr>
      <w:bookmarkStart w:id="68" w:name="_Toc37944577"/>
      <w:bookmarkStart w:id="69" w:name="_Toc530553475"/>
      <w:r>
        <w:rPr>
          <w:rStyle w:val="CharSectno"/>
        </w:rPr>
        <w:t>17</w:t>
      </w:r>
      <w:r>
        <w:rPr>
          <w:snapToGrid w:val="0"/>
        </w:rPr>
        <w:t>.</w:t>
      </w:r>
      <w:r>
        <w:rPr>
          <w:snapToGrid w:val="0"/>
        </w:rPr>
        <w:tab/>
        <w:t>Appointment of authorised person</w:t>
      </w:r>
      <w:bookmarkEnd w:id="68"/>
      <w:bookmarkEnd w:id="69"/>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spacing w:before="120"/>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spacing w:before="180"/>
        <w:rPr>
          <w:snapToGrid w:val="0"/>
        </w:rPr>
      </w:pPr>
      <w:bookmarkStart w:id="70" w:name="_Toc37944578"/>
      <w:bookmarkStart w:id="71" w:name="_Toc530553476"/>
      <w:r>
        <w:rPr>
          <w:rStyle w:val="CharSectno"/>
        </w:rPr>
        <w:t>18</w:t>
      </w:r>
      <w:r>
        <w:rPr>
          <w:snapToGrid w:val="0"/>
        </w:rPr>
        <w:t>.</w:t>
      </w:r>
      <w:r>
        <w:rPr>
          <w:snapToGrid w:val="0"/>
        </w:rPr>
        <w:tab/>
        <w:t>Powers of entry</w:t>
      </w:r>
      <w:bookmarkEnd w:id="70"/>
      <w:bookmarkEnd w:id="71"/>
      <w:r>
        <w:rPr>
          <w:snapToGrid w:val="0"/>
        </w:rPr>
        <w:t xml:space="preserve"> </w:t>
      </w:r>
    </w:p>
    <w:p>
      <w:pPr>
        <w:pStyle w:val="Subsection"/>
        <w:spacing w:before="120"/>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 and</w:t>
      </w:r>
    </w:p>
    <w:p>
      <w:pPr>
        <w:pStyle w:val="Indenta"/>
        <w:rPr>
          <w:snapToGrid w:val="0"/>
        </w:rPr>
      </w:pPr>
      <w:r>
        <w:rPr>
          <w:snapToGrid w:val="0"/>
        </w:rPr>
        <w:tab/>
        <w:t>(b)</w:t>
      </w:r>
      <w:r>
        <w:rPr>
          <w:snapToGrid w:val="0"/>
        </w:rPr>
        <w:tab/>
        <w:t>enter and inspect any caravan or camp which is not in a facility; and</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 and</w:t>
      </w:r>
    </w:p>
    <w:p>
      <w:pPr>
        <w:pStyle w:val="Indenta"/>
        <w:rPr>
          <w:snapToGrid w:val="0"/>
        </w:rPr>
      </w:pPr>
      <w:r>
        <w:rPr>
          <w:snapToGrid w:val="0"/>
        </w:rPr>
        <w:tab/>
        <w:t>(d)</w:t>
      </w:r>
      <w:r>
        <w:rPr>
          <w:snapToGrid w:val="0"/>
        </w:rPr>
        <w:tab/>
        <w:t>stop, enter, inspect or detain any vehicle in a caravan park or camping ground; and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 and</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72" w:name="_Toc37944579"/>
      <w:bookmarkStart w:id="73" w:name="_Toc530553477"/>
      <w:r>
        <w:rPr>
          <w:rStyle w:val="CharSectno"/>
        </w:rPr>
        <w:t>19</w:t>
      </w:r>
      <w:r>
        <w:rPr>
          <w:snapToGrid w:val="0"/>
        </w:rPr>
        <w:t>.</w:t>
      </w:r>
      <w:r>
        <w:rPr>
          <w:snapToGrid w:val="0"/>
        </w:rPr>
        <w:tab/>
        <w:t>Obstruction</w:t>
      </w:r>
      <w:bookmarkEnd w:id="72"/>
      <w:bookmarkEnd w:id="73"/>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 or</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 or</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74" w:name="_Toc37944580"/>
      <w:bookmarkStart w:id="75" w:name="_Toc530553478"/>
      <w:r>
        <w:rPr>
          <w:rStyle w:val="CharSectno"/>
        </w:rPr>
        <w:t>20</w:t>
      </w:r>
      <w:r>
        <w:rPr>
          <w:snapToGrid w:val="0"/>
        </w:rPr>
        <w:t>.</w:t>
      </w:r>
      <w:r>
        <w:rPr>
          <w:snapToGrid w:val="0"/>
        </w:rPr>
        <w:tab/>
        <w:t>Entry of occupied caravan or camp</w:t>
      </w:r>
      <w:bookmarkEnd w:id="74"/>
      <w:bookmarkEnd w:id="75"/>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 or</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 or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rPr>
          <w:snapToGrid w:val="0"/>
        </w:rPr>
      </w:pPr>
      <w:bookmarkStart w:id="76" w:name="_Toc37944581"/>
      <w:bookmarkStart w:id="77" w:name="_Toc530553479"/>
      <w:r>
        <w:rPr>
          <w:rStyle w:val="CharSectno"/>
        </w:rPr>
        <w:t>21</w:t>
      </w:r>
      <w:r>
        <w:rPr>
          <w:snapToGrid w:val="0"/>
        </w:rPr>
        <w:t>.</w:t>
      </w:r>
      <w:r>
        <w:rPr>
          <w:snapToGrid w:val="0"/>
        </w:rPr>
        <w:tab/>
        <w:t>Inspections and works specification notices</w:t>
      </w:r>
      <w:bookmarkEnd w:id="76"/>
      <w:bookmarkEnd w:id="77"/>
      <w:r>
        <w:rPr>
          <w:snapToGrid w:val="0"/>
        </w:rPr>
        <w:t xml:space="preserve"> </w:t>
      </w:r>
    </w:p>
    <w:p>
      <w:pPr>
        <w:pStyle w:val="Subsection"/>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rPr>
          <w:snapToGrid w:val="0"/>
        </w:rPr>
      </w:pPr>
      <w:r>
        <w:rPr>
          <w:snapToGrid w:val="0"/>
        </w:rPr>
        <w:tab/>
        <w:t>(2)</w:t>
      </w:r>
      <w:r>
        <w:rPr>
          <w:snapToGrid w:val="0"/>
        </w:rPr>
        <w:tab/>
        <w:t>Notwithstanding subsection (1), a local government may inspect a facility in its district at any time.</w:t>
      </w:r>
    </w:p>
    <w:p>
      <w:pPr>
        <w:pStyle w:val="Subsection"/>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No. 55 of 2004 s. 97.]</w:t>
      </w:r>
    </w:p>
    <w:p>
      <w:pPr>
        <w:pStyle w:val="Heading2"/>
      </w:pPr>
      <w:bookmarkStart w:id="78" w:name="_Toc37944527"/>
      <w:bookmarkStart w:id="79" w:name="_Toc37944582"/>
      <w:bookmarkStart w:id="80" w:name="_Toc473116359"/>
      <w:bookmarkStart w:id="81" w:name="_Toc530553480"/>
      <w:r>
        <w:rPr>
          <w:rStyle w:val="CharPartNo"/>
        </w:rPr>
        <w:t>Part 4</w:t>
      </w:r>
      <w:r>
        <w:rPr>
          <w:rStyle w:val="CharDivNo"/>
        </w:rPr>
        <w:t> </w:t>
      </w:r>
      <w:r>
        <w:t>—</w:t>
      </w:r>
      <w:r>
        <w:rPr>
          <w:rStyle w:val="CharDivText"/>
        </w:rPr>
        <w:t> </w:t>
      </w:r>
      <w:r>
        <w:rPr>
          <w:rStyle w:val="CharPartText"/>
        </w:rPr>
        <w:t>Enforcement</w:t>
      </w:r>
      <w:bookmarkEnd w:id="78"/>
      <w:bookmarkEnd w:id="79"/>
      <w:bookmarkEnd w:id="80"/>
      <w:bookmarkEnd w:id="81"/>
      <w:r>
        <w:rPr>
          <w:rStyle w:val="CharPartText"/>
        </w:rPr>
        <w:t xml:space="preserve"> </w:t>
      </w:r>
    </w:p>
    <w:p>
      <w:pPr>
        <w:pStyle w:val="Heading5"/>
        <w:rPr>
          <w:snapToGrid w:val="0"/>
        </w:rPr>
      </w:pPr>
      <w:bookmarkStart w:id="82" w:name="_Toc37944583"/>
      <w:bookmarkStart w:id="83" w:name="_Toc530553481"/>
      <w:r>
        <w:rPr>
          <w:rStyle w:val="CharSectno"/>
        </w:rPr>
        <w:t>22</w:t>
      </w:r>
      <w:r>
        <w:rPr>
          <w:snapToGrid w:val="0"/>
        </w:rPr>
        <w:t>.</w:t>
      </w:r>
      <w:r>
        <w:rPr>
          <w:snapToGrid w:val="0"/>
        </w:rPr>
        <w:tab/>
        <w:t>Legal proceedings to be taken by authorised person</w:t>
      </w:r>
      <w:bookmarkEnd w:id="82"/>
      <w:bookmarkEnd w:id="83"/>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84" w:name="_Toc37944584"/>
      <w:bookmarkStart w:id="85" w:name="_Toc530553482"/>
      <w:r>
        <w:rPr>
          <w:rStyle w:val="CharSectno"/>
        </w:rPr>
        <w:t>23</w:t>
      </w:r>
      <w:r>
        <w:rPr>
          <w:snapToGrid w:val="0"/>
        </w:rPr>
        <w:t>.</w:t>
      </w:r>
      <w:r>
        <w:rPr>
          <w:snapToGrid w:val="0"/>
        </w:rPr>
        <w:tab/>
        <w:t>Infringement notices</w:t>
      </w:r>
      <w:bookmarkEnd w:id="84"/>
      <w:bookmarkEnd w:id="85"/>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 and</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 xml:space="preserve">[Section 23 amended: No. 84 of 2004 s. 80.] </w:t>
      </w:r>
    </w:p>
    <w:p>
      <w:pPr>
        <w:pStyle w:val="Heading5"/>
        <w:rPr>
          <w:snapToGrid w:val="0"/>
        </w:rPr>
      </w:pPr>
      <w:bookmarkStart w:id="86" w:name="_Toc37944585"/>
      <w:bookmarkStart w:id="87" w:name="_Toc530553483"/>
      <w:r>
        <w:rPr>
          <w:rStyle w:val="CharSectno"/>
        </w:rPr>
        <w:t>24</w:t>
      </w:r>
      <w:r>
        <w:rPr>
          <w:snapToGrid w:val="0"/>
        </w:rPr>
        <w:t>.</w:t>
      </w:r>
      <w:r>
        <w:rPr>
          <w:snapToGrid w:val="0"/>
        </w:rPr>
        <w:tab/>
        <w:t>Continuing offences</w:t>
      </w:r>
      <w:bookmarkEnd w:id="86"/>
      <w:bookmarkEnd w:id="87"/>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88" w:name="_Toc37944531"/>
      <w:bookmarkStart w:id="89" w:name="_Toc37944586"/>
      <w:bookmarkStart w:id="90" w:name="_Toc473116363"/>
      <w:bookmarkStart w:id="91" w:name="_Toc530553484"/>
      <w:r>
        <w:rPr>
          <w:rStyle w:val="CharPartNo"/>
        </w:rPr>
        <w:t>Part 5</w:t>
      </w:r>
      <w:r>
        <w:rPr>
          <w:rStyle w:val="CharDivNo"/>
        </w:rPr>
        <w:t> </w:t>
      </w:r>
      <w:r>
        <w:t>—</w:t>
      </w:r>
      <w:r>
        <w:rPr>
          <w:rStyle w:val="CharDivText"/>
        </w:rPr>
        <w:t> </w:t>
      </w:r>
      <w:r>
        <w:rPr>
          <w:rStyle w:val="CharPartText"/>
        </w:rPr>
        <w:t>Miscellaneous</w:t>
      </w:r>
      <w:bookmarkEnd w:id="88"/>
      <w:bookmarkEnd w:id="89"/>
      <w:bookmarkEnd w:id="90"/>
      <w:bookmarkEnd w:id="91"/>
      <w:r>
        <w:rPr>
          <w:rStyle w:val="CharPartText"/>
        </w:rPr>
        <w:t xml:space="preserve"> </w:t>
      </w:r>
    </w:p>
    <w:p>
      <w:pPr>
        <w:pStyle w:val="Heading5"/>
        <w:rPr>
          <w:snapToGrid w:val="0"/>
        </w:rPr>
      </w:pPr>
      <w:bookmarkStart w:id="92" w:name="_Toc37944587"/>
      <w:bookmarkStart w:id="93" w:name="_Toc530553485"/>
      <w:r>
        <w:rPr>
          <w:rStyle w:val="CharSectno"/>
        </w:rPr>
        <w:t>25</w:t>
      </w:r>
      <w:r>
        <w:rPr>
          <w:snapToGrid w:val="0"/>
        </w:rPr>
        <w:t>.</w:t>
      </w:r>
      <w:r>
        <w:rPr>
          <w:snapToGrid w:val="0"/>
        </w:rPr>
        <w:tab/>
        <w:t>Caravan Parks and Camping Grounds Advisory Committee</w:t>
      </w:r>
      <w:bookmarkEnd w:id="92"/>
      <w:bookmarkEnd w:id="93"/>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 and</w:t>
      </w:r>
    </w:p>
    <w:p>
      <w:pPr>
        <w:pStyle w:val="Indenti"/>
        <w:rPr>
          <w:snapToGrid w:val="0"/>
        </w:rPr>
      </w:pPr>
      <w:r>
        <w:rPr>
          <w:snapToGrid w:val="0"/>
        </w:rPr>
        <w:tab/>
        <w:t>(ii)</w:t>
      </w:r>
      <w:r>
        <w:rPr>
          <w:snapToGrid w:val="0"/>
        </w:rPr>
        <w:tab/>
        <w:t>the caravan industry; and</w:t>
      </w:r>
    </w:p>
    <w:p>
      <w:pPr>
        <w:pStyle w:val="Indenti"/>
        <w:rPr>
          <w:snapToGrid w:val="0"/>
        </w:rPr>
      </w:pPr>
      <w:r>
        <w:rPr>
          <w:snapToGrid w:val="0"/>
        </w:rPr>
        <w:tab/>
        <w:t>(iii)</w:t>
      </w:r>
      <w:r>
        <w:rPr>
          <w:snapToGrid w:val="0"/>
        </w:rPr>
        <w:tab/>
        <w:t>consumers; and</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 and</w:t>
      </w:r>
    </w:p>
    <w:p>
      <w:pPr>
        <w:pStyle w:val="Indenti"/>
        <w:rPr>
          <w:snapToGrid w:val="0"/>
        </w:rPr>
      </w:pPr>
      <w:r>
        <w:rPr>
          <w:snapToGrid w:val="0"/>
        </w:rPr>
        <w:tab/>
        <w:t>(ii)</w:t>
      </w:r>
      <w:r>
        <w:rPr>
          <w:snapToGrid w:val="0"/>
        </w:rPr>
        <w:tab/>
        <w:t>the Department; and</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 and</w:t>
      </w:r>
    </w:p>
    <w:p>
      <w:pPr>
        <w:pStyle w:val="Indenti"/>
        <w:rPr>
          <w:snapToGrid w:val="0"/>
        </w:rPr>
      </w:pPr>
      <w:r>
        <w:rPr>
          <w:snapToGrid w:val="0"/>
        </w:rPr>
        <w:tab/>
        <w:t>(iv)</w:t>
      </w:r>
      <w:r>
        <w:rPr>
          <w:snapToGrid w:val="0"/>
        </w:rPr>
        <w:tab/>
        <w:t>local governments; and</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No. 14 of 1996 s. 4; No. 49 of 2004 s. 13.]</w:t>
      </w:r>
    </w:p>
    <w:p>
      <w:pPr>
        <w:pStyle w:val="Heading5"/>
        <w:rPr>
          <w:snapToGrid w:val="0"/>
        </w:rPr>
      </w:pPr>
      <w:bookmarkStart w:id="94" w:name="_Toc37944588"/>
      <w:bookmarkStart w:id="95" w:name="_Toc530553486"/>
      <w:r>
        <w:rPr>
          <w:rStyle w:val="CharSectno"/>
        </w:rPr>
        <w:t>26</w:t>
      </w:r>
      <w:r>
        <w:rPr>
          <w:snapToGrid w:val="0"/>
        </w:rPr>
        <w:t>.</w:t>
      </w:r>
      <w:r>
        <w:rPr>
          <w:snapToGrid w:val="0"/>
        </w:rPr>
        <w:tab/>
        <w:t>Protection from liability</w:t>
      </w:r>
      <w:bookmarkEnd w:id="94"/>
      <w:bookmarkEnd w:id="95"/>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96" w:name="_Toc37944589"/>
      <w:bookmarkStart w:id="97" w:name="_Toc530553487"/>
      <w:r>
        <w:rPr>
          <w:rStyle w:val="CharSectno"/>
        </w:rPr>
        <w:t>27</w:t>
      </w:r>
      <w:r>
        <w:t>.</w:t>
      </w:r>
      <w:r>
        <w:tab/>
        <w:t xml:space="preserve">Review by </w:t>
      </w:r>
      <w:r>
        <w:rPr>
          <w:snapToGrid w:val="0"/>
        </w:rPr>
        <w:t>State Administrative Tribunal</w:t>
      </w:r>
      <w:bookmarkEnd w:id="96"/>
      <w:bookmarkEnd w:id="97"/>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No. 55 of 2004 s. 98.]</w:t>
      </w:r>
    </w:p>
    <w:p>
      <w:pPr>
        <w:pStyle w:val="Heading5"/>
        <w:rPr>
          <w:snapToGrid w:val="0"/>
        </w:rPr>
      </w:pPr>
      <w:bookmarkStart w:id="98" w:name="_Toc37944590"/>
      <w:bookmarkStart w:id="99" w:name="_Toc530553488"/>
      <w:r>
        <w:rPr>
          <w:rStyle w:val="CharSectno"/>
        </w:rPr>
        <w:t>28</w:t>
      </w:r>
      <w:r>
        <w:rPr>
          <w:snapToGrid w:val="0"/>
        </w:rPr>
        <w:t>.</w:t>
      </w:r>
      <w:r>
        <w:rPr>
          <w:snapToGrid w:val="0"/>
        </w:rPr>
        <w:tab/>
        <w:t>Regulations</w:t>
      </w:r>
      <w:bookmarkEnd w:id="98"/>
      <w:bookmarkEnd w:id="9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 and</w:t>
      </w:r>
    </w:p>
    <w:p>
      <w:pPr>
        <w:pStyle w:val="Indenta"/>
        <w:rPr>
          <w:snapToGrid w:val="0"/>
        </w:rPr>
      </w:pPr>
      <w:r>
        <w:rPr>
          <w:snapToGrid w:val="0"/>
        </w:rPr>
        <w:tab/>
        <w:t>(b)</w:t>
      </w:r>
      <w:r>
        <w:rPr>
          <w:snapToGrid w:val="0"/>
        </w:rPr>
        <w:tab/>
        <w:t>provide for standards of design, construction, installation and maintenance of caravans and annexes; and</w:t>
      </w:r>
    </w:p>
    <w:p>
      <w:pPr>
        <w:pStyle w:val="Indenta"/>
        <w:rPr>
          <w:snapToGrid w:val="0"/>
        </w:rPr>
      </w:pPr>
      <w:r>
        <w:rPr>
          <w:snapToGrid w:val="0"/>
        </w:rPr>
        <w:tab/>
        <w:t>(c)</w:t>
      </w:r>
      <w:r>
        <w:rPr>
          <w:snapToGrid w:val="0"/>
        </w:rPr>
        <w:tab/>
        <w:t>provide health and safety standards and standards for services and amenities for facilities; and</w:t>
      </w:r>
    </w:p>
    <w:p>
      <w:pPr>
        <w:pStyle w:val="Indenta"/>
        <w:rPr>
          <w:snapToGrid w:val="0"/>
        </w:rPr>
      </w:pPr>
      <w:r>
        <w:rPr>
          <w:snapToGrid w:val="0"/>
        </w:rPr>
        <w:tab/>
        <w:t>(d)</w:t>
      </w:r>
      <w:r>
        <w:rPr>
          <w:snapToGrid w:val="0"/>
        </w:rPr>
        <w:tab/>
        <w:t>regulate pedestrian and vehicular traffic; and</w:t>
      </w:r>
    </w:p>
    <w:p>
      <w:pPr>
        <w:pStyle w:val="Indenta"/>
        <w:rPr>
          <w:snapToGrid w:val="0"/>
        </w:rPr>
      </w:pPr>
      <w:r>
        <w:rPr>
          <w:snapToGrid w:val="0"/>
        </w:rPr>
        <w:tab/>
        <w:t>(e)</w:t>
      </w:r>
      <w:r>
        <w:rPr>
          <w:snapToGrid w:val="0"/>
        </w:rPr>
        <w:tab/>
        <w:t>provide that signs may be displayed, erected or marked for the purpose of any regulation; and</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 and</w:t>
      </w:r>
    </w:p>
    <w:p>
      <w:pPr>
        <w:pStyle w:val="Indenta"/>
        <w:rPr>
          <w:snapToGrid w:val="0"/>
        </w:rPr>
      </w:pPr>
      <w:r>
        <w:rPr>
          <w:snapToGrid w:val="0"/>
        </w:rPr>
        <w:tab/>
        <w:t>(g)</w:t>
      </w:r>
      <w:r>
        <w:rPr>
          <w:snapToGrid w:val="0"/>
        </w:rPr>
        <w:tab/>
        <w:t>provide for different types of caravan parks and camping grounds; and</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 and</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 and</w:t>
      </w:r>
    </w:p>
    <w:p>
      <w:pPr>
        <w:pStyle w:val="Indenta"/>
        <w:rPr>
          <w:snapToGrid w:val="0"/>
        </w:rPr>
      </w:pPr>
      <w:r>
        <w:rPr>
          <w:snapToGrid w:val="0"/>
        </w:rPr>
        <w:tab/>
        <w:t>(k)</w:t>
      </w:r>
      <w:r>
        <w:rPr>
          <w:snapToGrid w:val="0"/>
        </w:rPr>
        <w:tab/>
        <w:t>provide for different types of licences in relation to different types of caravan parks and camping grounds; and</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28 amended: No. 55 of 2004 s. 99.]</w:t>
      </w:r>
    </w:p>
    <w:p>
      <w:pPr>
        <w:pStyle w:val="Heading5"/>
        <w:rPr>
          <w:snapToGrid w:val="0"/>
        </w:rPr>
      </w:pPr>
      <w:bookmarkStart w:id="100" w:name="_Toc37944591"/>
      <w:bookmarkStart w:id="101" w:name="_Toc530553489"/>
      <w:r>
        <w:rPr>
          <w:rStyle w:val="CharSectno"/>
        </w:rPr>
        <w:t>29</w:t>
      </w:r>
      <w:r>
        <w:rPr>
          <w:snapToGrid w:val="0"/>
        </w:rPr>
        <w:t>.</w:t>
      </w:r>
      <w:r>
        <w:rPr>
          <w:snapToGrid w:val="0"/>
        </w:rPr>
        <w:tab/>
        <w:t>Local laws</w:t>
      </w:r>
      <w:bookmarkEnd w:id="100"/>
      <w:bookmarkEnd w:id="101"/>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No. 14 of 1996 s. 4.]</w:t>
      </w:r>
    </w:p>
    <w:p>
      <w:pPr>
        <w:pStyle w:val="Heading5"/>
        <w:rPr>
          <w:snapToGrid w:val="0"/>
        </w:rPr>
      </w:pPr>
      <w:bookmarkStart w:id="102" w:name="_Toc37944592"/>
      <w:bookmarkStart w:id="103" w:name="_Toc530553490"/>
      <w:r>
        <w:rPr>
          <w:rStyle w:val="CharSectno"/>
        </w:rPr>
        <w:t>30</w:t>
      </w:r>
      <w:r>
        <w:rPr>
          <w:snapToGrid w:val="0"/>
        </w:rPr>
        <w:t>.</w:t>
      </w:r>
      <w:r>
        <w:rPr>
          <w:snapToGrid w:val="0"/>
        </w:rPr>
        <w:tab/>
        <w:t>Revocation of local laws</w:t>
      </w:r>
      <w:bookmarkEnd w:id="102"/>
      <w:bookmarkEnd w:id="103"/>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No. 38 of 2005 s. 15.]</w:t>
      </w:r>
    </w:p>
    <w:p>
      <w:pPr>
        <w:pStyle w:val="Heading5"/>
        <w:spacing w:before="260"/>
        <w:rPr>
          <w:snapToGrid w:val="0"/>
        </w:rPr>
      </w:pPr>
      <w:bookmarkStart w:id="104" w:name="_Toc37944593"/>
      <w:bookmarkStart w:id="105" w:name="_Toc530553491"/>
      <w:r>
        <w:rPr>
          <w:rStyle w:val="CharSectno"/>
        </w:rPr>
        <w:t>31</w:t>
      </w:r>
      <w:r>
        <w:rPr>
          <w:snapToGrid w:val="0"/>
        </w:rPr>
        <w:t>.</w:t>
      </w:r>
      <w:r>
        <w:rPr>
          <w:snapToGrid w:val="0"/>
        </w:rPr>
        <w:tab/>
        <w:t>Minister may vary, modify or grant exemptions from subsidiary legislation</w:t>
      </w:r>
      <w:bookmarkEnd w:id="104"/>
      <w:bookmarkEnd w:id="105"/>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No. 14 of 1996 s. 4.]</w:t>
      </w:r>
    </w:p>
    <w:p>
      <w:pPr>
        <w:pStyle w:val="Heading5"/>
        <w:spacing w:before="260"/>
        <w:rPr>
          <w:snapToGrid w:val="0"/>
        </w:rPr>
      </w:pPr>
      <w:bookmarkStart w:id="106" w:name="_Toc37944594"/>
      <w:bookmarkStart w:id="107" w:name="_Toc530553492"/>
      <w:r>
        <w:rPr>
          <w:rStyle w:val="CharSectno"/>
        </w:rPr>
        <w:t>32</w:t>
      </w:r>
      <w:r>
        <w:rPr>
          <w:snapToGrid w:val="0"/>
        </w:rPr>
        <w:t>.</w:t>
      </w:r>
      <w:r>
        <w:rPr>
          <w:snapToGrid w:val="0"/>
        </w:rPr>
        <w:tab/>
        <w:t>Review of Act</w:t>
      </w:r>
      <w:bookmarkEnd w:id="106"/>
      <w:bookmarkEnd w:id="107"/>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t>[</w:t>
      </w:r>
      <w:r>
        <w:rPr>
          <w:b/>
        </w:rPr>
        <w:t>33.</w:t>
      </w:r>
      <w:r>
        <w:t xml:space="preserve"> </w:t>
      </w:r>
      <w:r>
        <w:tab/>
        <w:t>Omitted under the Reprints Act 1984 s. 7(4)(e).]</w:t>
      </w:r>
    </w:p>
    <w:p>
      <w:pPr>
        <w:pStyle w:val="Heading5"/>
        <w:rPr>
          <w:snapToGrid w:val="0"/>
        </w:rPr>
      </w:pPr>
      <w:bookmarkStart w:id="108" w:name="_Toc37944595"/>
      <w:bookmarkStart w:id="109" w:name="_Toc530553493"/>
      <w:r>
        <w:rPr>
          <w:rStyle w:val="CharSectno"/>
        </w:rPr>
        <w:t>34</w:t>
      </w:r>
      <w:r>
        <w:rPr>
          <w:snapToGrid w:val="0"/>
        </w:rPr>
        <w:t>.</w:t>
      </w:r>
      <w:r>
        <w:rPr>
          <w:snapToGrid w:val="0"/>
        </w:rPr>
        <w:tab/>
        <w:t>Transitional provision relating to existing caravan parks and camping grounds</w:t>
      </w:r>
      <w:bookmarkEnd w:id="108"/>
      <w:bookmarkEnd w:id="109"/>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No. 55 of 2004 s. 100; No. 8 of 2009 s. 26(2).]</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10" w:name="_Toc37944541"/>
      <w:bookmarkStart w:id="111" w:name="_Toc37944596"/>
      <w:bookmarkStart w:id="112" w:name="_Toc473116373"/>
      <w:bookmarkStart w:id="113" w:name="_Toc530553494"/>
      <w:r>
        <w:rPr>
          <w:rStyle w:val="CharSchNo"/>
        </w:rPr>
        <w:t>Schedule 1</w:t>
      </w:r>
      <w:r>
        <w:t> — </w:t>
      </w:r>
      <w:r>
        <w:rPr>
          <w:rStyle w:val="CharSchText"/>
        </w:rPr>
        <w:t>Provisions applicable to the Caravan Parks and Camping Grounds Advisory Committee</w:t>
      </w:r>
      <w:bookmarkEnd w:id="110"/>
      <w:bookmarkEnd w:id="111"/>
      <w:bookmarkEnd w:id="112"/>
      <w:bookmarkEnd w:id="113"/>
    </w:p>
    <w:p>
      <w:pPr>
        <w:pStyle w:val="yShoulderClause"/>
        <w:rPr>
          <w:snapToGrid w:val="0"/>
        </w:rPr>
      </w:pPr>
      <w:r>
        <w:rPr>
          <w:snapToGrid w:val="0"/>
        </w:rPr>
        <w:t>[s. 25(6)]</w:t>
      </w:r>
    </w:p>
    <w:p>
      <w:pPr>
        <w:pStyle w:val="yFootnoteheading"/>
      </w:pPr>
      <w:r>
        <w:tab/>
        <w:t>[Heading amended: No. 19 of 2010 s. 4.]</w:t>
      </w:r>
    </w:p>
    <w:p>
      <w:pPr>
        <w:pStyle w:val="yHeading5"/>
        <w:outlineLvl w:val="9"/>
        <w:rPr>
          <w:snapToGrid w:val="0"/>
        </w:rPr>
      </w:pPr>
      <w:bookmarkStart w:id="114" w:name="_Toc37944597"/>
      <w:bookmarkStart w:id="115" w:name="_Toc530553495"/>
      <w:r>
        <w:rPr>
          <w:rStyle w:val="CharSClsNo"/>
        </w:rPr>
        <w:t>1</w:t>
      </w:r>
      <w:r>
        <w:rPr>
          <w:snapToGrid w:val="0"/>
        </w:rPr>
        <w:t>.</w:t>
      </w:r>
      <w:r>
        <w:rPr>
          <w:snapToGrid w:val="0"/>
        </w:rPr>
        <w:tab/>
        <w:t>Terms used</w:t>
      </w:r>
      <w:bookmarkEnd w:id="114"/>
      <w:bookmarkEnd w:id="115"/>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116" w:name="_Toc37944598"/>
      <w:bookmarkStart w:id="117" w:name="_Toc530553496"/>
      <w:r>
        <w:rPr>
          <w:rStyle w:val="CharSClsNo"/>
        </w:rPr>
        <w:t>2</w:t>
      </w:r>
      <w:r>
        <w:rPr>
          <w:snapToGrid w:val="0"/>
        </w:rPr>
        <w:t>.</w:t>
      </w:r>
      <w:r>
        <w:rPr>
          <w:snapToGrid w:val="0"/>
        </w:rPr>
        <w:tab/>
        <w:t>Tenure of office</w:t>
      </w:r>
      <w:bookmarkEnd w:id="116"/>
      <w:bookmarkEnd w:id="117"/>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 and</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118" w:name="_Toc37944599"/>
      <w:bookmarkStart w:id="119" w:name="_Toc530553497"/>
      <w:r>
        <w:rPr>
          <w:rStyle w:val="CharSClsNo"/>
        </w:rPr>
        <w:t>3</w:t>
      </w:r>
      <w:r>
        <w:rPr>
          <w:snapToGrid w:val="0"/>
        </w:rPr>
        <w:t>.</w:t>
      </w:r>
      <w:r>
        <w:rPr>
          <w:snapToGrid w:val="0"/>
        </w:rPr>
        <w:tab/>
        <w:t>Deputy members</w:t>
      </w:r>
      <w:bookmarkEnd w:id="118"/>
      <w:bookmarkEnd w:id="119"/>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120" w:name="_Toc37944600"/>
      <w:bookmarkStart w:id="121" w:name="_Toc530553498"/>
      <w:r>
        <w:rPr>
          <w:rStyle w:val="CharSClsNo"/>
        </w:rPr>
        <w:t>4</w:t>
      </w:r>
      <w:r>
        <w:rPr>
          <w:snapToGrid w:val="0"/>
        </w:rPr>
        <w:t>.</w:t>
      </w:r>
      <w:r>
        <w:rPr>
          <w:snapToGrid w:val="0"/>
        </w:rPr>
        <w:tab/>
        <w:t>Removal from office</w:t>
      </w:r>
      <w:bookmarkEnd w:id="120"/>
      <w:bookmarkEnd w:id="121"/>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No. 10</w:t>
      </w:r>
      <w:r>
        <w:rPr>
          <w:i w:val="0"/>
          <w:snapToGrid/>
        </w:rPr>
        <w:t xml:space="preserve"> </w:t>
      </w:r>
      <w:r>
        <w:t>of 2001 s. 220.]</w:t>
      </w:r>
    </w:p>
    <w:p>
      <w:pPr>
        <w:pStyle w:val="yHeading5"/>
        <w:outlineLvl w:val="9"/>
        <w:rPr>
          <w:snapToGrid w:val="0"/>
        </w:rPr>
      </w:pPr>
      <w:bookmarkStart w:id="122" w:name="_Toc37944601"/>
      <w:bookmarkStart w:id="123" w:name="_Toc530553499"/>
      <w:r>
        <w:rPr>
          <w:rStyle w:val="CharSClsNo"/>
        </w:rPr>
        <w:t>5</w:t>
      </w:r>
      <w:r>
        <w:rPr>
          <w:snapToGrid w:val="0"/>
        </w:rPr>
        <w:t>.</w:t>
      </w:r>
      <w:r>
        <w:rPr>
          <w:snapToGrid w:val="0"/>
        </w:rPr>
        <w:tab/>
        <w:t>Chairperson</w:t>
      </w:r>
      <w:bookmarkEnd w:id="122"/>
      <w:bookmarkEnd w:id="123"/>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124" w:name="_Toc37944602"/>
      <w:bookmarkStart w:id="125" w:name="_Toc530553500"/>
      <w:r>
        <w:rPr>
          <w:rStyle w:val="CharSClsNo"/>
        </w:rPr>
        <w:t>6</w:t>
      </w:r>
      <w:r>
        <w:rPr>
          <w:snapToGrid w:val="0"/>
        </w:rPr>
        <w:t>.</w:t>
      </w:r>
      <w:r>
        <w:rPr>
          <w:snapToGrid w:val="0"/>
        </w:rPr>
        <w:tab/>
        <w:t>Meetings</w:t>
      </w:r>
      <w:bookmarkEnd w:id="124"/>
      <w:bookmarkEnd w:id="125"/>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126" w:name="_Toc37944603"/>
      <w:bookmarkStart w:id="127" w:name="_Toc530553501"/>
      <w:r>
        <w:rPr>
          <w:rStyle w:val="CharSClsNo"/>
        </w:rPr>
        <w:t>7</w:t>
      </w:r>
      <w:r>
        <w:rPr>
          <w:snapToGrid w:val="0"/>
        </w:rPr>
        <w:t>.</w:t>
      </w:r>
      <w:r>
        <w:rPr>
          <w:snapToGrid w:val="0"/>
        </w:rPr>
        <w:tab/>
        <w:t>Remuneration</w:t>
      </w:r>
      <w:bookmarkEnd w:id="126"/>
      <w:bookmarkEnd w:id="127"/>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w:t>
      </w:r>
      <w:r>
        <w:t xml:space="preserve"> Public Sector Commissioner</w:t>
      </w:r>
      <w:r>
        <w:rPr>
          <w:snapToGrid w:val="0"/>
        </w:rPr>
        <w:t>.</w:t>
      </w:r>
    </w:p>
    <w:p>
      <w:pPr>
        <w:pStyle w:val="ySubsection"/>
        <w:rPr>
          <w:snapToGrid w:val="0"/>
        </w:rPr>
      </w:pPr>
      <w:r>
        <w:rPr>
          <w:snapToGrid w:val="0"/>
        </w:rPr>
        <w:tab/>
        <w:t>(2)</w:t>
      </w:r>
      <w:r>
        <w:rPr>
          <w:snapToGrid w:val="0"/>
        </w:rPr>
        <w:tab/>
        <w:t>Subclause (1) does not apply to a person employed in the Public Service of the State.</w:t>
      </w:r>
    </w:p>
    <w:p>
      <w:pPr>
        <w:pStyle w:val="yFootnotesection"/>
      </w:pPr>
      <w:r>
        <w:tab/>
        <w:t>[</w:t>
      </w:r>
      <w:del w:id="128" w:author="svcMRProcess" w:date="2020-04-17T15:38:00Z">
        <w:r>
          <w:delText>Claue</w:delText>
        </w:r>
      </w:del>
      <w:ins w:id="129" w:author="svcMRProcess" w:date="2020-04-17T15:38:00Z">
        <w:r>
          <w:t>Clause</w:t>
        </w:r>
      </w:ins>
      <w:r>
        <w:t xml:space="preserve"> 7 amended: No. 39 of 2010 s. 89.]</w:t>
      </w:r>
    </w:p>
    <w:p>
      <w:pPr>
        <w:pStyle w:val="Ednotepart"/>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pStyle w:val="yFootnotesection"/>
        <w:rPr>
          <w:del w:id="130" w:author="svcMRProcess" w:date="2020-04-17T15:38:00Z"/>
        </w:rPr>
      </w:pPr>
    </w:p>
    <w:p>
      <w:pPr>
        <w:rPr>
          <w:snapToGrid w:val="0"/>
        </w:r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32" w:name="_Toc37944549"/>
      <w:bookmarkStart w:id="133" w:name="_Toc37944604"/>
      <w:bookmarkStart w:id="134" w:name="_Toc473116381"/>
      <w:bookmarkStart w:id="135" w:name="_Toc530553502"/>
      <w:r>
        <w:t>Notes</w:t>
      </w:r>
      <w:bookmarkEnd w:id="132"/>
      <w:bookmarkEnd w:id="133"/>
      <w:bookmarkEnd w:id="134"/>
      <w:bookmarkEnd w:id="135"/>
    </w:p>
    <w:p>
      <w:pPr>
        <w:pStyle w:val="nStatement"/>
      </w:pPr>
      <w:del w:id="136" w:author="svcMRProcess" w:date="2020-04-17T15:38:00Z">
        <w:r>
          <w:rPr>
            <w:vertAlign w:val="superscript"/>
          </w:rPr>
          <w:delText>1</w:delText>
        </w:r>
        <w:r>
          <w:tab/>
        </w:r>
      </w:del>
      <w:r>
        <w:t xml:space="preserve">This is a compilation of the </w:t>
      </w:r>
      <w:r>
        <w:rPr>
          <w:i/>
          <w:noProof/>
        </w:rPr>
        <w:t>Caravan Parks and Camping Grounds Act</w:t>
      </w:r>
      <w:del w:id="137" w:author="svcMRProcess" w:date="2020-04-17T15:38:00Z">
        <w:r>
          <w:rPr>
            <w:i/>
            <w:noProof/>
          </w:rPr>
          <w:delText xml:space="preserve"> </w:delText>
        </w:r>
      </w:del>
      <w:ins w:id="138" w:author="svcMRProcess" w:date="2020-04-17T15:38:00Z">
        <w:r>
          <w:rPr>
            <w:i/>
            <w:noProof/>
          </w:rPr>
          <w:t> </w:t>
        </w:r>
      </w:ins>
      <w:r>
        <w:rPr>
          <w:i/>
          <w:noProof/>
        </w:rPr>
        <w:t>1995</w:t>
      </w:r>
      <w:r>
        <w:t xml:space="preserve"> and includes </w:t>
      </w:r>
      <w:del w:id="139" w:author="svcMRProcess" w:date="2020-04-17T15:38:00Z">
        <w:r>
          <w:delText xml:space="preserve">the </w:delText>
        </w:r>
      </w:del>
      <w:r>
        <w:t xml:space="preserve">amendments made by </w:t>
      </w:r>
      <w:del w:id="140" w:author="svcMRProcess" w:date="2020-04-17T15:38:00Z">
        <w:r>
          <w:delText xml:space="preserve">the </w:delText>
        </w:r>
      </w:del>
      <w:r>
        <w:t>other written laws</w:t>
      </w:r>
      <w:del w:id="141" w:author="svcMRProcess" w:date="2020-04-17T15:38:00Z">
        <w:r>
          <w:delText xml:space="preserve"> referred to in the following table</w:delText>
        </w:r>
        <w:r>
          <w:rPr>
            <w:vertAlign w:val="superscript"/>
          </w:rPr>
          <w:delText> 1a</w:delText>
        </w:r>
        <w:r>
          <w:delText>.  The table also contains</w:delText>
        </w:r>
      </w:del>
      <w:ins w:id="142" w:author="svcMRProcess" w:date="2020-04-17T15:38:00Z">
        <w:r>
          <w:t>. For provisions that have come into operation, and for</w:t>
        </w:r>
      </w:ins>
      <w:r>
        <w:t xml:space="preserve"> information about any </w:t>
      </w:r>
      <w:del w:id="143" w:author="svcMRProcess" w:date="2020-04-17T15:38:00Z">
        <w:r>
          <w:delText>reprint</w:delText>
        </w:r>
      </w:del>
      <w:ins w:id="144" w:author="svcMRProcess" w:date="2020-04-17T15:38:00Z">
        <w:r>
          <w:t>reprints, see the compilation table. For provisions that have not yet come into operation see the uncommenced provisions table</w:t>
        </w:r>
      </w:ins>
      <w:r>
        <w:t>.</w:t>
      </w:r>
    </w:p>
    <w:p>
      <w:pPr>
        <w:pStyle w:val="nHeading3"/>
      </w:pPr>
      <w:bookmarkStart w:id="145" w:name="_Toc37944605"/>
      <w:bookmarkStart w:id="146" w:name="_Toc530553503"/>
      <w:r>
        <w:t>Compilation table</w:t>
      </w:r>
      <w:bookmarkEnd w:id="145"/>
      <w:bookmarkEnd w:id="14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47" w:author="svcMRProcess" w:date="2020-04-17T15:38:00Z">
              <w:r>
                <w:rPr>
                  <w:b/>
                </w:rPr>
                <w:delText xml:space="preserve"> </w:delText>
              </w:r>
            </w:del>
            <w:ins w:id="148" w:author="svcMRProcess" w:date="2020-04-17T15:38: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Caravan Parks and Camping Grounds Act 1995</w:t>
            </w:r>
          </w:p>
        </w:tc>
        <w:tc>
          <w:tcPr>
            <w:tcW w:w="1134" w:type="dxa"/>
          </w:tcPr>
          <w:p>
            <w:pPr>
              <w:pStyle w:val="nTable"/>
              <w:spacing w:after="40"/>
            </w:pPr>
            <w:r>
              <w:t>34 of 1995</w:t>
            </w:r>
          </w:p>
        </w:tc>
        <w:tc>
          <w:tcPr>
            <w:tcW w:w="1134" w:type="dxa"/>
          </w:tcPr>
          <w:p>
            <w:pPr>
              <w:pStyle w:val="nTable"/>
              <w:spacing w:after="40"/>
            </w:pPr>
            <w:r>
              <w:t>29 Sep 1995</w:t>
            </w:r>
          </w:p>
        </w:tc>
        <w:tc>
          <w:tcPr>
            <w:tcW w:w="2552" w:type="dxa"/>
          </w:tcPr>
          <w:p>
            <w:pPr>
              <w:pStyle w:val="nTable"/>
              <w:spacing w:after="40"/>
            </w:pPr>
            <w:r>
              <w:t>s. 1 and 2: 29 Sep 1995;</w:t>
            </w:r>
            <w:r>
              <w:br/>
              <w:t xml:space="preserve">Act other than s. 1, 2, 34(1) and (2) and Sch. 2 it. 3: 1 Jul 1997 (see s. 2 and </w:t>
            </w:r>
            <w:r>
              <w:rPr>
                <w:i/>
                <w:iCs/>
              </w:rPr>
              <w:t>Gazette</w:t>
            </w:r>
            <w:r>
              <w:t xml:space="preserve"> 20 Jun 1997 p. 2805);</w:t>
            </w:r>
            <w:r>
              <w:br/>
              <w:t>s. 34(1) and (2) and Sch. 2 it. 3 deleted by No. 8 of 2009 s. 26</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w:t>
            </w:r>
            <w:del w:id="149" w:author="svcMRProcess" w:date="2020-04-17T15:38:00Z">
              <w:r>
                <w:rPr>
                  <w:b/>
                </w:rPr>
                <w:delText xml:space="preserve"> </w:delText>
              </w:r>
            </w:del>
            <w:r>
              <w:rPr>
                <w:b/>
              </w:rPr>
              <w:t xml:space="preserve">The </w:t>
            </w:r>
            <w:r>
              <w:rPr>
                <w:b/>
                <w:i/>
              </w:rPr>
              <w:t>Caravan Parks and Camping Grounds Act 1995</w:t>
            </w:r>
            <w:r>
              <w:rPr>
                <w:i/>
              </w:rPr>
              <w:t xml:space="preserve"> </w:t>
            </w:r>
            <w:r>
              <w:rPr>
                <w:b/>
              </w:rPr>
              <w:t xml:space="preserve">as at 18 Jul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Local Government Amendment Act 2004</w:t>
            </w:r>
            <w:r>
              <w:rPr>
                <w:iCs/>
                <w:snapToGrid w:val="0"/>
              </w:rPr>
              <w:t xml:space="preserve"> s. 13</w:t>
            </w:r>
          </w:p>
        </w:tc>
        <w:tc>
          <w:tcPr>
            <w:tcW w:w="1134" w:type="dxa"/>
          </w:tcPr>
          <w:p>
            <w:pPr>
              <w:pStyle w:val="nTable"/>
              <w:keepNext/>
              <w:spacing w:after="40"/>
            </w:pPr>
            <w:r>
              <w:t>49 of 2004</w:t>
            </w:r>
          </w:p>
        </w:tc>
        <w:tc>
          <w:tcPr>
            <w:tcW w:w="1134" w:type="dxa"/>
          </w:tcPr>
          <w:p>
            <w:pPr>
              <w:pStyle w:val="nTable"/>
              <w:keepNext/>
              <w:spacing w:after="40"/>
            </w:pPr>
            <w:r>
              <w:t>12 Nov 2004</w:t>
            </w:r>
          </w:p>
        </w:tc>
        <w:tc>
          <w:tcPr>
            <w:tcW w:w="2552" w:type="dxa"/>
          </w:tcPr>
          <w:p>
            <w:pPr>
              <w:pStyle w:val="nTable"/>
              <w:keepNext/>
              <w:spacing w:after="40"/>
            </w:pPr>
            <w:r>
              <w:t xml:space="preserve">1 Apr 2005 (see s. 2 and </w:t>
            </w:r>
            <w:r>
              <w:rPr>
                <w:i/>
                <w:iCs/>
              </w:rPr>
              <w:t xml:space="preserve">Gazette </w:t>
            </w:r>
            <w:r>
              <w:t>31 Mar 2005 p. 1029)</w:t>
            </w:r>
            <w:r>
              <w:rPr>
                <w:i/>
                <w:iCs/>
              </w:rPr>
              <w:t xml:space="preserve"> </w:t>
            </w:r>
            <w:r>
              <w:t xml:space="preserve"> </w:t>
            </w:r>
          </w:p>
        </w:tc>
      </w:tr>
      <w:tr>
        <w:tblPrEx>
          <w:tblBorders>
            <w:top w:val="none" w:sz="0" w:space="0" w:color="auto"/>
            <w:bottom w:val="none" w:sz="0" w:space="0" w:color="auto"/>
            <w:insideH w:val="none" w:sz="0" w:space="0" w:color="auto"/>
          </w:tblBorders>
        </w:tblPrEx>
        <w:tc>
          <w:tcPr>
            <w:tcW w:w="2268" w:type="dxa"/>
          </w:tcPr>
          <w:p>
            <w:pPr>
              <w:pStyle w:val="nTable"/>
              <w:tabs>
                <w:tab w:val="left" w:pos="670"/>
              </w:tabs>
              <w:spacing w:after="40"/>
              <w:rPr>
                <w:i/>
              </w:rPr>
            </w:pPr>
            <w:r>
              <w:rPr>
                <w:i/>
              </w:rPr>
              <w:t>State Administrative Tribunal (Conferral of Jurisdiction) Amendment and Repeal Act 2004</w:t>
            </w:r>
            <w:r>
              <w:rPr>
                <w:iCs/>
              </w:rPr>
              <w:t xml:space="preserve"> Pt. 2 Div. 16</w:t>
            </w:r>
            <w:r>
              <w:rPr>
                <w:iCs/>
                <w:vertAlign w:val="superscript"/>
              </w:rPr>
              <w:t> </w:t>
            </w:r>
            <w:del w:id="150" w:author="svcMRProcess" w:date="2020-04-17T15:38:00Z">
              <w:r>
                <w:rPr>
                  <w:iCs/>
                  <w:vertAlign w:val="superscript"/>
                </w:rPr>
                <w:delText>4</w:delText>
              </w:r>
            </w:del>
            <w:ins w:id="151" w:author="svcMRProcess" w:date="2020-04-17T15:38:00Z">
              <w:r>
                <w:rPr>
                  <w:iCs/>
                  <w:vertAlign w:val="superscript"/>
                </w:rPr>
                <w:t>3</w:t>
              </w:r>
            </w:ins>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w:t>
            </w:r>
            <w:del w:id="152" w:author="svcMRProcess" w:date="2020-04-17T15:38:00Z">
              <w:r>
                <w:rPr>
                  <w:b/>
                </w:rPr>
                <w:delText xml:space="preserve"> </w:delText>
              </w:r>
            </w:del>
            <w:r>
              <w:rPr>
                <w:b/>
              </w:rPr>
              <w:t xml:space="preserve">The </w:t>
            </w:r>
            <w:r>
              <w:rPr>
                <w:b/>
                <w:i/>
              </w:rPr>
              <w:t>Caravan Parks and Camping Grounds Act 1995</w:t>
            </w:r>
            <w:r>
              <w:rPr>
                <w:i/>
              </w:rPr>
              <w:t xml:space="preserve"> </w:t>
            </w:r>
            <w:r>
              <w:rPr>
                <w:b/>
              </w:rPr>
              <w:t xml:space="preserve">as at 7 Jul 2006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26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Caravan Parks and Camping Grounds Act 1995</w:t>
            </w:r>
            <w:r>
              <w:rPr>
                <w:b/>
                <w:snapToGrid w:val="0"/>
              </w:rPr>
              <w:t xml:space="preserve"> as at 15 Apr 2016</w:t>
            </w:r>
            <w:r>
              <w:rPr>
                <w:snapToGrid w:val="0"/>
              </w:rPr>
              <w:t xml:space="preserve"> (includes amendments listed above)</w:t>
            </w:r>
          </w:p>
        </w:tc>
      </w:tr>
    </w:tbl>
    <w:p>
      <w:pPr>
        <w:pStyle w:val="nHeading3"/>
        <w:rPr>
          <w:ins w:id="153" w:author="svcMRProcess" w:date="2020-04-17T15:38:00Z"/>
        </w:rPr>
      </w:pPr>
      <w:bookmarkStart w:id="154" w:name="_Toc37944606"/>
      <w:del w:id="155" w:author="svcMRProcess" w:date="2020-04-17T15:38:00Z">
        <w:r>
          <w:rPr>
            <w:vertAlign w:val="superscript"/>
          </w:rPr>
          <w:delText>1a</w:delText>
        </w:r>
        <w:r>
          <w:tab/>
          <w:delText>On the date as at which this compilation was prepared,</w:delText>
        </w:r>
      </w:del>
      <w:ins w:id="156" w:author="svcMRProcess" w:date="2020-04-17T15:38:00Z">
        <w:r>
          <w:t>Uncommenced</w:t>
        </w:r>
      </w:ins>
      <w:r>
        <w:t xml:space="preserve"> provisions </w:t>
      </w:r>
      <w:del w:id="157" w:author="svcMRProcess" w:date="2020-04-17T15:38:00Z">
        <w:r>
          <w:delText xml:space="preserve">referred to in the following </w:delText>
        </w:r>
      </w:del>
      <w:r>
        <w:t>table</w:t>
      </w:r>
      <w:bookmarkEnd w:id="154"/>
      <w:del w:id="158" w:author="svcMRProcess" w:date="2020-04-17T15:38:00Z">
        <w:r>
          <w:delText xml:space="preserve"> had not come into operation and were therefore not included in this compilation.  For</w:delText>
        </w:r>
      </w:del>
    </w:p>
    <w:p>
      <w:pPr>
        <w:pStyle w:val="nStatement"/>
        <w:keepNext/>
        <w:spacing w:after="240"/>
      </w:pPr>
      <w:ins w:id="159" w:author="svcMRProcess" w:date="2020-04-17T15:38:00Z">
        <w:r>
          <w:t>To view</w:t>
        </w:r>
      </w:ins>
      <w:r>
        <w:t xml:space="preserve"> the text of the </w:t>
      </w:r>
      <w:ins w:id="160" w:author="svcMRProcess" w:date="2020-04-17T15:38:00Z">
        <w:r>
          <w:t xml:space="preserve">uncommenced </w:t>
        </w:r>
      </w:ins>
      <w:r>
        <w:t xml:space="preserve">provisions see </w:t>
      </w:r>
      <w:del w:id="161" w:author="svcMRProcess" w:date="2020-04-17T15:38:00Z">
        <w:r>
          <w:delText>the endnotes referred to in the table</w:delText>
        </w:r>
      </w:del>
      <w:ins w:id="162" w:author="svcMRProcess" w:date="2020-04-17T15:38:00Z">
        <w:r>
          <w:rPr>
            <w:i/>
          </w:rPr>
          <w:t>Acts as passed</w:t>
        </w:r>
        <w:r>
          <w:t xml:space="preserve"> on the WA Legislation website</w:t>
        </w:r>
      </w:ins>
      <w:r>
        <w:t>.</w:t>
      </w:r>
    </w:p>
    <w:p>
      <w:pPr>
        <w:pStyle w:val="nHeading3"/>
        <w:spacing w:before="180"/>
        <w:rPr>
          <w:del w:id="163" w:author="svcMRProcess" w:date="2020-04-17T15:38:00Z"/>
          <w:snapToGrid w:val="0"/>
        </w:rPr>
      </w:pPr>
      <w:bookmarkStart w:id="164" w:name="_Toc525288732"/>
      <w:bookmarkStart w:id="165" w:name="_Toc530553504"/>
      <w:del w:id="166" w:author="svcMRProcess" w:date="2020-04-17T15:38:00Z">
        <w:r>
          <w:rPr>
            <w:snapToGrid w:val="0"/>
          </w:rPr>
          <w:delText>Provisions that have not come into operation</w:delText>
        </w:r>
        <w:bookmarkEnd w:id="164"/>
        <w:bookmarkEnd w:id="16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gridCol w:w="27"/>
      </w:tblGrid>
      <w:tr>
        <w:trPr>
          <w:gridAfter w:val="1"/>
          <w:wAfter w:w="27" w:type="dxa"/>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w:t>
            </w:r>
            <w:del w:id="167" w:author="svcMRProcess" w:date="2020-04-17T15:38:00Z">
              <w:r>
                <w:rPr>
                  <w:b/>
                </w:rPr>
                <w:delText xml:space="preserve"> </w:delText>
              </w:r>
            </w:del>
            <w:ins w:id="168" w:author="svcMRProcess" w:date="2020-04-17T15:38:00Z">
              <w:r>
                <w:rPr>
                  <w:b/>
                </w:rPr>
                <w:t> </w:t>
              </w:r>
            </w:ins>
            <w:r>
              <w:rPr>
                <w:b/>
              </w:rPr>
              <w:t>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96" w:type="dxa"/>
            <w:gridSpan w:val="2"/>
            <w:tcBorders>
              <w:top w:val="nil"/>
              <w:bottom w:val="nil"/>
            </w:tcBorders>
          </w:tcPr>
          <w:p>
            <w:pPr>
              <w:pStyle w:val="nTable"/>
              <w:spacing w:after="40"/>
            </w:pPr>
            <w:r>
              <w:rPr>
                <w:i/>
              </w:rPr>
              <w:t>Strata Titles Amendment Act 2018</w:t>
            </w:r>
            <w:r>
              <w:t xml:space="preserve"> Pt. 3 Div 2</w:t>
            </w:r>
            <w:del w:id="169" w:author="svcMRProcess" w:date="2020-04-17T15:38:00Z">
              <w:r>
                <w:rPr>
                  <w:vertAlign w:val="superscript"/>
                </w:rPr>
                <w:delText> 5</w:delText>
              </w:r>
            </w:del>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51" w:type="dxa"/>
            <w:gridSpan w:val="2"/>
            <w:tcBorders>
              <w:top w:val="nil"/>
              <w:bottom w:val="nil"/>
            </w:tcBorders>
          </w:tcPr>
          <w:p>
            <w:pPr>
              <w:pStyle w:val="nTable"/>
              <w:spacing w:after="40"/>
            </w:pPr>
            <w:del w:id="170" w:author="svcMRProcess" w:date="2020-04-17T15:38:00Z">
              <w:r>
                <w:delText>To be proclaimed</w:delText>
              </w:r>
            </w:del>
            <w:ins w:id="171" w:author="svcMRProcess" w:date="2020-04-17T15:38:00Z">
              <w:r>
                <w:t>1 May 2020</w:t>
              </w:r>
            </w:ins>
            <w:r>
              <w:t xml:space="preserve"> (see s. 2(b</w:t>
            </w:r>
            <w:del w:id="172" w:author="svcMRProcess" w:date="2020-04-17T15:38:00Z">
              <w:r>
                <w:delText>))</w:delText>
              </w:r>
            </w:del>
            <w:ins w:id="173" w:author="svcMRProcess" w:date="2020-04-17T15:38:00Z">
              <w:r>
                <w:t>) and SL 2020/39 cl. 2)</w:t>
              </w:r>
            </w:ins>
          </w:p>
        </w:tc>
      </w:tr>
      <w:tr>
        <w:tblPrEx>
          <w:tblCellMar>
            <w:left w:w="57" w:type="dxa"/>
            <w:right w:w="57" w:type="dxa"/>
          </w:tblCellMar>
        </w:tblPrEx>
        <w:trPr>
          <w:ins w:id="174" w:author="svcMRProcess" w:date="2020-04-17T15:38:00Z"/>
        </w:trPr>
        <w:tc>
          <w:tcPr>
            <w:tcW w:w="2296" w:type="dxa"/>
            <w:gridSpan w:val="2"/>
            <w:tcBorders>
              <w:top w:val="nil"/>
              <w:bottom w:val="single" w:sz="8" w:space="0" w:color="auto"/>
            </w:tcBorders>
          </w:tcPr>
          <w:p>
            <w:pPr>
              <w:pStyle w:val="nTable"/>
              <w:spacing w:after="40"/>
              <w:rPr>
                <w:ins w:id="175" w:author="svcMRProcess" w:date="2020-04-17T15:38:00Z"/>
                <w:i/>
              </w:rPr>
            </w:pPr>
            <w:ins w:id="176" w:author="svcMRProcess" w:date="2020-04-17T15:38:00Z">
              <w:r>
                <w:rPr>
                  <w:i/>
                </w:rPr>
                <w:t>Local Government Legislation Amendment Act 2019</w:t>
              </w:r>
              <w:r>
                <w:t xml:space="preserve"> Pt. 4 Div. 1</w:t>
              </w:r>
            </w:ins>
          </w:p>
        </w:tc>
        <w:tc>
          <w:tcPr>
            <w:tcW w:w="1134" w:type="dxa"/>
            <w:gridSpan w:val="2"/>
            <w:tcBorders>
              <w:top w:val="nil"/>
              <w:bottom w:val="single" w:sz="8" w:space="0" w:color="auto"/>
            </w:tcBorders>
          </w:tcPr>
          <w:p>
            <w:pPr>
              <w:pStyle w:val="nTable"/>
              <w:spacing w:after="40"/>
              <w:rPr>
                <w:ins w:id="177" w:author="svcMRProcess" w:date="2020-04-17T15:38:00Z"/>
              </w:rPr>
            </w:pPr>
            <w:ins w:id="178" w:author="svcMRProcess" w:date="2020-04-17T15:38:00Z">
              <w:r>
                <w:t>16 of 2019</w:t>
              </w:r>
            </w:ins>
          </w:p>
        </w:tc>
        <w:tc>
          <w:tcPr>
            <w:tcW w:w="1134" w:type="dxa"/>
            <w:gridSpan w:val="2"/>
            <w:tcBorders>
              <w:top w:val="nil"/>
              <w:bottom w:val="single" w:sz="8" w:space="0" w:color="auto"/>
            </w:tcBorders>
          </w:tcPr>
          <w:p>
            <w:pPr>
              <w:pStyle w:val="nTable"/>
              <w:spacing w:after="40"/>
              <w:rPr>
                <w:ins w:id="179" w:author="svcMRProcess" w:date="2020-04-17T15:38:00Z"/>
              </w:rPr>
            </w:pPr>
            <w:ins w:id="180" w:author="svcMRProcess" w:date="2020-04-17T15:38:00Z">
              <w:r>
                <w:t>5 Jul 2019</w:t>
              </w:r>
            </w:ins>
          </w:p>
        </w:tc>
        <w:tc>
          <w:tcPr>
            <w:tcW w:w="2551" w:type="dxa"/>
            <w:gridSpan w:val="2"/>
            <w:tcBorders>
              <w:top w:val="nil"/>
              <w:bottom w:val="single" w:sz="8" w:space="0" w:color="auto"/>
            </w:tcBorders>
          </w:tcPr>
          <w:p>
            <w:pPr>
              <w:pStyle w:val="nTable"/>
              <w:spacing w:after="40"/>
              <w:rPr>
                <w:ins w:id="181" w:author="svcMRProcess" w:date="2020-04-17T15:38:00Z"/>
              </w:rPr>
            </w:pPr>
            <w:ins w:id="182" w:author="svcMRProcess" w:date="2020-04-17T15:38:00Z">
              <w:r>
                <w:t>To be proclaimed (see s. 2(b))</w:t>
              </w:r>
            </w:ins>
          </w:p>
        </w:tc>
      </w:tr>
    </w:tbl>
    <w:p>
      <w:pPr>
        <w:pStyle w:val="nHeading3"/>
        <w:rPr>
          <w:ins w:id="183" w:author="svcMRProcess" w:date="2020-04-17T15:38:00Z"/>
        </w:rPr>
      </w:pPr>
      <w:bookmarkStart w:id="184" w:name="_Toc37944607"/>
      <w:del w:id="185" w:author="svcMRProcess" w:date="2020-04-17T15:38:00Z">
        <w:r>
          <w:rPr>
            <w:snapToGrid w:val="0"/>
            <w:vertAlign w:val="superscript"/>
          </w:rPr>
          <w:delText>2</w:delText>
        </w:r>
      </w:del>
      <w:ins w:id="186" w:author="svcMRProcess" w:date="2020-04-17T15:38:00Z">
        <w:r>
          <w:t>Other notes</w:t>
        </w:r>
        <w:bookmarkEnd w:id="184"/>
      </w:ins>
    </w:p>
    <w:p>
      <w:pPr>
        <w:pStyle w:val="nNote"/>
        <w:spacing w:before="160"/>
        <w:rPr>
          <w:snapToGrid w:val="0"/>
        </w:rPr>
      </w:pPr>
      <w:ins w:id="187" w:author="svcMRProcess" w:date="2020-04-17T15:38:00Z">
        <w:r>
          <w:rPr>
            <w:snapToGrid w:val="0"/>
            <w:vertAlign w:val="superscript"/>
          </w:rPr>
          <w:t>1</w:t>
        </w:r>
      </w:ins>
      <w:r>
        <w:rPr>
          <w:snapToGrid w:val="0"/>
        </w:rPr>
        <w:tab/>
        <w:t xml:space="preserve">The provisions in this Act amending these Acts have been omitted under the </w:t>
      </w:r>
      <w:r>
        <w:rPr>
          <w:i/>
          <w:snapToGrid w:val="0"/>
        </w:rPr>
        <w:t>Reprints Act 1985</w:t>
      </w:r>
      <w:r>
        <w:rPr>
          <w:snapToGrid w:val="0"/>
        </w:rPr>
        <w:t xml:space="preserve"> s. 7(4)(e).</w:t>
      </w:r>
    </w:p>
    <w:p>
      <w:pPr>
        <w:pStyle w:val="nNote"/>
        <w:rPr>
          <w:snapToGrid w:val="0"/>
        </w:rPr>
      </w:pPr>
      <w:del w:id="188" w:author="svcMRProcess" w:date="2020-04-17T15:38:00Z">
        <w:r>
          <w:rPr>
            <w:snapToGrid w:val="0"/>
            <w:vertAlign w:val="superscript"/>
          </w:rPr>
          <w:delText>3</w:delText>
        </w:r>
      </w:del>
      <w:ins w:id="189" w:author="svcMRProcess" w:date="2020-04-17T15:38:00Z">
        <w:r>
          <w:rPr>
            <w:snapToGrid w:val="0"/>
            <w:vertAlign w:val="superscript"/>
          </w:rPr>
          <w:t>2</w:t>
        </w:r>
      </w:ins>
      <w:r>
        <w:rPr>
          <w:snapToGrid w:val="0"/>
        </w:rPr>
        <w:tab/>
        <w:t xml:space="preserve">Appointed day for the purpose of section 6(1): 1 October 1997, see </w:t>
      </w:r>
      <w:r>
        <w:rPr>
          <w:i/>
          <w:snapToGrid w:val="0"/>
        </w:rPr>
        <w:t>Gazette</w:t>
      </w:r>
      <w:r>
        <w:rPr>
          <w:snapToGrid w:val="0"/>
        </w:rPr>
        <w:t xml:space="preserve"> 20 Jun 1997 p. 2853.</w:t>
      </w:r>
    </w:p>
    <w:p>
      <w:pPr>
        <w:pStyle w:val="nNote"/>
        <w:rPr>
          <w:iCs/>
        </w:rPr>
      </w:pPr>
      <w:del w:id="190" w:author="svcMRProcess" w:date="2020-04-17T15:38:00Z">
        <w:r>
          <w:rPr>
            <w:vertAlign w:val="superscript"/>
          </w:rPr>
          <w:delText>4</w:delText>
        </w:r>
      </w:del>
      <w:ins w:id="191" w:author="svcMRProcess" w:date="2020-04-17T15:38:00Z">
        <w:r>
          <w:rPr>
            <w:vertAlign w:val="superscript"/>
          </w:rPr>
          <w:t>3</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192" w:author="svcMRProcess" w:date="2020-04-17T15:38:00Z"/>
        </w:rPr>
      </w:pPr>
      <w:bookmarkStart w:id="193" w:name="_Toc517437462"/>
      <w:bookmarkStart w:id="194" w:name="_Toc517438004"/>
      <w:bookmarkStart w:id="195" w:name="_Toc517440341"/>
      <w:bookmarkStart w:id="196" w:name="_Toc517447378"/>
      <w:bookmarkStart w:id="197" w:name="_Toc517449856"/>
      <w:bookmarkStart w:id="198" w:name="_Toc517450398"/>
      <w:bookmarkStart w:id="199" w:name="_Toc517856854"/>
      <w:bookmarkStart w:id="200" w:name="_Toc518292981"/>
      <w:bookmarkStart w:id="201" w:name="_Toc522744209"/>
      <w:bookmarkStart w:id="202" w:name="_Toc522747332"/>
      <w:bookmarkStart w:id="203" w:name="_Toc529183169"/>
      <w:bookmarkStart w:id="204" w:name="_Toc529187932"/>
      <w:bookmarkStart w:id="205" w:name="_Toc529434445"/>
      <w:bookmarkStart w:id="206" w:name="_Toc529524336"/>
      <w:bookmarkStart w:id="207" w:name="_Toc530474260"/>
      <w:bookmarkStart w:id="208" w:name="_Toc530474855"/>
      <w:del w:id="209" w:author="svcMRProcess" w:date="2020-04-17T15:38:00Z">
        <w:r>
          <w:rPr>
            <w:vertAlign w:val="superscript"/>
          </w:rPr>
          <w:delText>5</w:delText>
        </w:r>
        <w:r>
          <w:tab/>
          <w:delText xml:space="preserve">On the date as at which this compilation was prepared, the </w:delText>
        </w:r>
        <w:r>
          <w:rPr>
            <w:i/>
          </w:rPr>
          <w:delText>Strata Titles Amendment Act 2018</w:delText>
        </w:r>
        <w:r>
          <w:delText xml:space="preserve"> Pt. 3 Div. 2 had not come into operation.  It reads as follows:</w:delText>
        </w:r>
      </w:del>
    </w:p>
    <w:p>
      <w:pPr>
        <w:pStyle w:val="BlankOpen"/>
        <w:rPr>
          <w:del w:id="210" w:author="svcMRProcess" w:date="2020-04-17T15:38:00Z"/>
        </w:rPr>
      </w:pPr>
    </w:p>
    <w:p>
      <w:pPr>
        <w:pStyle w:val="nzHeading2"/>
        <w:rPr>
          <w:del w:id="211" w:author="svcMRProcess" w:date="2020-04-17T15:38:00Z"/>
        </w:rPr>
      </w:pPr>
      <w:bookmarkStart w:id="212" w:name="_Toc517437878"/>
      <w:bookmarkStart w:id="213" w:name="_Toc517438420"/>
      <w:bookmarkStart w:id="214" w:name="_Toc517440757"/>
      <w:bookmarkStart w:id="215" w:name="_Toc517447794"/>
      <w:bookmarkStart w:id="216" w:name="_Toc517450272"/>
      <w:bookmarkStart w:id="217" w:name="_Toc517450814"/>
      <w:bookmarkStart w:id="218" w:name="_Toc517857270"/>
      <w:bookmarkStart w:id="219" w:name="_Toc518293397"/>
      <w:bookmarkStart w:id="220" w:name="_Toc522744625"/>
      <w:bookmarkStart w:id="221" w:name="_Toc522747748"/>
      <w:bookmarkStart w:id="222" w:name="_Toc529183586"/>
      <w:bookmarkStart w:id="223" w:name="_Toc529188349"/>
      <w:bookmarkStart w:id="224" w:name="_Toc529434862"/>
      <w:bookmarkStart w:id="225" w:name="_Toc529524753"/>
      <w:bookmarkStart w:id="226" w:name="_Toc530474677"/>
      <w:bookmarkStart w:id="227" w:name="_Toc53047527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del w:id="228" w:author="svcMRProcess" w:date="2020-04-17T15:38:00Z">
        <w:r>
          <w:rPr>
            <w:rStyle w:val="CharPartNo"/>
          </w:rPr>
          <w:delText>Part 3</w:delText>
        </w:r>
        <w:r>
          <w:delText> — </w:delText>
        </w:r>
        <w:r>
          <w:rPr>
            <w:rStyle w:val="CharPartText"/>
          </w:rPr>
          <w:delText>Other Acts amended</w:delTex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del>
    </w:p>
    <w:p>
      <w:pPr>
        <w:pStyle w:val="nzHeading3"/>
        <w:rPr>
          <w:del w:id="229" w:author="svcMRProcess" w:date="2020-04-17T15:38:00Z"/>
        </w:rPr>
      </w:pPr>
      <w:bookmarkStart w:id="230" w:name="_Toc517437884"/>
      <w:bookmarkStart w:id="231" w:name="_Toc517438426"/>
      <w:bookmarkStart w:id="232" w:name="_Toc517440763"/>
      <w:bookmarkStart w:id="233" w:name="_Toc517447800"/>
      <w:bookmarkStart w:id="234" w:name="_Toc517450278"/>
      <w:bookmarkStart w:id="235" w:name="_Toc517450820"/>
      <w:bookmarkStart w:id="236" w:name="_Toc517857276"/>
      <w:bookmarkStart w:id="237" w:name="_Toc518293403"/>
      <w:bookmarkStart w:id="238" w:name="_Toc522744631"/>
      <w:bookmarkStart w:id="239" w:name="_Toc522747754"/>
      <w:bookmarkStart w:id="240" w:name="_Toc529183592"/>
      <w:bookmarkStart w:id="241" w:name="_Toc529188355"/>
      <w:bookmarkStart w:id="242" w:name="_Toc529434868"/>
      <w:bookmarkStart w:id="243" w:name="_Toc529524759"/>
      <w:bookmarkStart w:id="244" w:name="_Toc530474683"/>
      <w:bookmarkStart w:id="245" w:name="_Toc530475278"/>
      <w:del w:id="246" w:author="svcMRProcess" w:date="2020-04-17T15:38:00Z">
        <w:r>
          <w:rPr>
            <w:rStyle w:val="CharDivNo"/>
          </w:rPr>
          <w:delText>Division 2</w:delText>
        </w:r>
        <w:r>
          <w:delText> — </w:delText>
        </w:r>
        <w:r>
          <w:rPr>
            <w:rStyle w:val="CharDivText"/>
            <w:i/>
          </w:rPr>
          <w:delText>Caravan Parks and Camping Grounds Act 1995</w:delText>
        </w:r>
        <w:r>
          <w:rPr>
            <w:rStyle w:val="CharDivText"/>
          </w:rPr>
          <w:delText> amended</w:delTex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del>
    </w:p>
    <w:p>
      <w:pPr>
        <w:pStyle w:val="nzHeading5"/>
        <w:rPr>
          <w:del w:id="247" w:author="svcMRProcess" w:date="2020-04-17T15:38:00Z"/>
        </w:rPr>
      </w:pPr>
      <w:bookmarkStart w:id="248" w:name="_Toc530474684"/>
      <w:bookmarkStart w:id="249" w:name="_Toc530475279"/>
      <w:del w:id="250" w:author="svcMRProcess" w:date="2020-04-17T15:38:00Z">
        <w:r>
          <w:rPr>
            <w:rStyle w:val="CharSectno"/>
          </w:rPr>
          <w:delText>124</w:delText>
        </w:r>
        <w:r>
          <w:delText>.</w:delText>
        </w:r>
        <w:r>
          <w:tab/>
          <w:delText>Act amended</w:delText>
        </w:r>
        <w:bookmarkEnd w:id="248"/>
        <w:bookmarkEnd w:id="249"/>
      </w:del>
    </w:p>
    <w:p>
      <w:pPr>
        <w:pStyle w:val="nzSubsection"/>
        <w:rPr>
          <w:del w:id="251" w:author="svcMRProcess" w:date="2020-04-17T15:38:00Z"/>
        </w:rPr>
      </w:pPr>
      <w:del w:id="252" w:author="svcMRProcess" w:date="2020-04-17T15:38:00Z">
        <w:r>
          <w:tab/>
        </w:r>
        <w:r>
          <w:tab/>
          <w:delText xml:space="preserve">This Division amends the </w:delText>
        </w:r>
        <w:r>
          <w:rPr>
            <w:i/>
          </w:rPr>
          <w:delText>Caravan Parks and Camping Grounds Act 1995.</w:delText>
        </w:r>
      </w:del>
    </w:p>
    <w:p>
      <w:pPr>
        <w:pStyle w:val="nzHeading5"/>
        <w:rPr>
          <w:del w:id="253" w:author="svcMRProcess" w:date="2020-04-17T15:38:00Z"/>
        </w:rPr>
      </w:pPr>
      <w:bookmarkStart w:id="254" w:name="_Toc530474685"/>
      <w:bookmarkStart w:id="255" w:name="_Toc530475280"/>
      <w:del w:id="256" w:author="svcMRProcess" w:date="2020-04-17T15:38:00Z">
        <w:r>
          <w:rPr>
            <w:rStyle w:val="CharSectno"/>
          </w:rPr>
          <w:delText>125</w:delText>
        </w:r>
        <w:r>
          <w:delText>.</w:delText>
        </w:r>
        <w:r>
          <w:tab/>
          <w:delText>Section 5 amended</w:delText>
        </w:r>
        <w:bookmarkEnd w:id="254"/>
        <w:bookmarkEnd w:id="255"/>
      </w:del>
    </w:p>
    <w:p>
      <w:pPr>
        <w:pStyle w:val="nzSubsection"/>
        <w:rPr>
          <w:del w:id="257" w:author="svcMRProcess" w:date="2020-04-17T15:38:00Z"/>
        </w:rPr>
      </w:pPr>
      <w:del w:id="258" w:author="svcMRProcess" w:date="2020-04-17T15:38:00Z">
        <w:r>
          <w:tab/>
        </w:r>
        <w:r>
          <w:tab/>
          <w:delText xml:space="preserve">In section 5(1) in the definition of </w:delText>
        </w:r>
        <w:r>
          <w:rPr>
            <w:b/>
            <w:i/>
          </w:rPr>
          <w:delText>site</w:delText>
        </w:r>
        <w:r>
          <w:delText xml:space="preserve"> delete paragraph (b) and insert:</w:delText>
        </w:r>
      </w:del>
    </w:p>
    <w:p>
      <w:pPr>
        <w:pStyle w:val="BlankOpen"/>
        <w:rPr>
          <w:del w:id="259" w:author="svcMRProcess" w:date="2020-04-17T15:38:00Z"/>
        </w:rPr>
      </w:pPr>
    </w:p>
    <w:p>
      <w:pPr>
        <w:pStyle w:val="nzDefpara"/>
        <w:rPr>
          <w:del w:id="260" w:author="svcMRProcess" w:date="2020-04-17T15:38:00Z"/>
        </w:rPr>
      </w:pPr>
      <w:del w:id="261" w:author="svcMRProcess" w:date="2020-04-17T15:38:00Z">
        <w:r>
          <w:tab/>
          <w:delText>(b)</w:delText>
        </w:r>
        <w:r>
          <w:tab/>
          <w:delText xml:space="preserve">that is a lot in a freehold scheme under the </w:delText>
        </w:r>
        <w:r>
          <w:rPr>
            <w:i/>
          </w:rPr>
          <w:delText>Strata Titles Act 1985</w:delText>
        </w:r>
        <w:r>
          <w:delText>;</w:delText>
        </w:r>
      </w:del>
    </w:p>
    <w:p>
      <w:pPr>
        <w:pStyle w:val="BlankClose"/>
        <w:rPr>
          <w:del w:id="262" w:author="svcMRProcess" w:date="2020-04-17T15:38:00Z"/>
        </w:rPr>
      </w:pPr>
    </w:p>
    <w:p>
      <w:pPr>
        <w:pStyle w:val="BlankClose"/>
        <w:rPr>
          <w:del w:id="263" w:author="svcMRProcess" w:date="2020-04-17T15:38:00Z"/>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12"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vAlign w:val="bottom"/>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1" w:name="Schedule"/>
    <w:bookmarkEnd w:id="1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5" w:name="Coversheet"/>
    <w:bookmarkEnd w:id="2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lvlText w:val="%1."/>
      <w:lvlJc w:val="left"/>
      <w:pPr>
        <w:tabs>
          <w:tab w:val="num" w:pos="1492"/>
        </w:tabs>
        <w:ind w:left="1492" w:hanging="360"/>
      </w:pPr>
    </w:lvl>
  </w:abstractNum>
  <w:abstractNum w:abstractNumId="1">
    <w:nsid w:val="FFFFFF7D"/>
    <w:multiLevelType w:val="singleLevel"/>
    <w:tmpl w:val="72E65C14"/>
    <w:lvl w:ilvl="0">
      <w:start w:val="1"/>
      <w:numFmt w:val="decimal"/>
      <w:lvlText w:val="%1."/>
      <w:lvlJc w:val="left"/>
      <w:pPr>
        <w:tabs>
          <w:tab w:val="num" w:pos="1209"/>
        </w:tabs>
        <w:ind w:left="1209" w:hanging="360"/>
      </w:pPr>
    </w:lvl>
  </w:abstractNum>
  <w:abstractNum w:abstractNumId="2">
    <w:nsid w:val="FFFFFF7E"/>
    <w:multiLevelType w:val="singleLevel"/>
    <w:tmpl w:val="EE06DDF4"/>
    <w:lvl w:ilvl="0">
      <w:start w:val="1"/>
      <w:numFmt w:val="decimal"/>
      <w:lvlText w:val="%1."/>
      <w:lvlJc w:val="left"/>
      <w:pPr>
        <w:tabs>
          <w:tab w:val="num" w:pos="926"/>
        </w:tabs>
        <w:ind w:left="926" w:hanging="360"/>
      </w:pPr>
    </w:lvl>
  </w:abstractNum>
  <w:abstractNum w:abstractNumId="3">
    <w:nsid w:val="FFFFFF7F"/>
    <w:multiLevelType w:val="singleLevel"/>
    <w:tmpl w:val="8EC0D730"/>
    <w:lvl w:ilvl="0">
      <w:start w:val="1"/>
      <w:numFmt w:val="decimal"/>
      <w:lvlText w:val="%1."/>
      <w:lvlJc w:val="left"/>
      <w:pPr>
        <w:tabs>
          <w:tab w:val="num" w:pos="643"/>
        </w:tabs>
        <w:ind w:left="643" w:hanging="360"/>
      </w:pPr>
    </w:lvl>
  </w:abstractNum>
  <w:abstractNum w:abstractNumId="4">
    <w:nsid w:val="FFFFFF80"/>
    <w:multiLevelType w:val="singleLevel"/>
    <w:tmpl w:val="B68A56C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lvlText w:val="%1."/>
      <w:lvlJc w:val="left"/>
      <w:pPr>
        <w:tabs>
          <w:tab w:val="num" w:pos="360"/>
        </w:tabs>
        <w:ind w:left="360" w:hanging="360"/>
      </w:pPr>
    </w:lvl>
  </w:abstractNum>
  <w:abstractNum w:abstractNumId="9">
    <w:nsid w:val="FFFFFF89"/>
    <w:multiLevelType w:val="singleLevel"/>
    <w:tmpl w:val="215E99E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D401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6154522"/>
    <w:docVar w:name="WAFER_20140121113317" w:val="RemoveTocBookmarks,RemoveUnusedBookmarks,RemoveLanguageTags,UsedStyles,ResetPageSize,UpdateArrangement"/>
    <w:docVar w:name="WAFER_20140121113317_GUID" w:val="5b4a080b-be2e-4d8c-a169-17cfa0d5766b"/>
    <w:docVar w:name="WAFER_20140121114409" w:val="RemoveTocBookmarks,RunningHeaders"/>
    <w:docVar w:name="WAFER_20140121114409_GUID" w:val="3ced6604-bd56-4430-9fcd-fe79666b2c2f"/>
    <w:docVar w:name="WAFER_20150326161136" w:val="ResetPageSize,UpdateArrangement,UpdateNTable"/>
    <w:docVar w:name="WAFER_20150326161136_GUID" w:val="9defec55-8f63-4672-868b-33aa9ac0b313"/>
    <w:docVar w:name="WAFER_20151102142507" w:val="UpdateStyles,UsedStyles"/>
    <w:docVar w:name="WAFER_20151102142507_GUID" w:val="2ee8a6f2-0a6e-46df-9130-8adb916294cc"/>
    <w:docVar w:name="WAFER_20151201083939" w:val="RemoveTrackChanges"/>
    <w:docVar w:name="WAFER_20151201083939_GUID" w:val="9f96941a-66fb-4bb7-84b4-1a2c8807ecf2"/>
    <w:docVar w:name="WAFER_20160105094106" w:val="RemoveTocBookmarks,RemoveUnusedBookmarks,RemoveLanguageTags,UsedStyles,ResetPageSize,RemoveTrackChanges,RemoveCustomizations"/>
    <w:docVar w:name="WAFER_20160105094106_GUID" w:val="6a06aa69-b375-477f-9499-9cc408bbd0ea"/>
    <w:docVar w:name="WAFER_20170125140158" w:val="RemoveTocBookmarks,RemoveUnusedBookmarks,RemoveLanguageTags,UsedStyles,ResetPageSize"/>
    <w:docVar w:name="WAFER_20170125140158_GUID" w:val="3380abc4-70c8-43ec-b974-dde32e37d6a5"/>
    <w:docVar w:name="WAFER_202002111232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3247_GUID" w:val="691d8f90-baea-4873-98a3-bbbc07f3f389"/>
    <w:docVar w:name="WAFER_20200416154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6154522_GUID" w:val="d1a62690-6cdb-40ab-a7ce-5991c2c6b2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8A16E-07EA-4E25-B81C-17523B635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7749</Words>
  <Characters>36422</Characters>
  <Application>Microsoft Office Word</Application>
  <DocSecurity>0</DocSecurity>
  <Lines>984</Lines>
  <Paragraphs>538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43633</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03-b0-01 - 03-c0-03</dc:title>
  <dc:subject/>
  <dc:creator/>
  <cp:keywords/>
  <dc:description/>
  <cp:lastModifiedBy>svcMRProcess</cp:lastModifiedBy>
  <cp:revision>2</cp:revision>
  <cp:lastPrinted>2016-04-15T03:56:00Z</cp:lastPrinted>
  <dcterms:created xsi:type="dcterms:W3CDTF">2020-04-17T07:38:00Z</dcterms:created>
  <dcterms:modified xsi:type="dcterms:W3CDTF">2020-04-17T07:38:00Z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DocumentType">
    <vt:lpwstr>Act</vt:lpwstr>
  </property>
  <property fmtid="{D5CDD505-2E9C-101B-9397-08002B2CF9AE}" pid="4" name="OwlsUID">
    <vt:i4>103</vt:i4>
  </property>
  <property fmtid="{D5CDD505-2E9C-101B-9397-08002B2CF9AE}" pid="5" name="ReprintedAsAt">
    <vt:filetime>2016-04-14T16:00:00Z</vt:filetime>
  </property>
  <property fmtid="{D5CDD505-2E9C-101B-9397-08002B2CF9AE}" pid="6" name="ReprintNo">
    <vt:lpwstr>3</vt:lpwstr>
  </property>
  <property fmtid="{D5CDD505-2E9C-101B-9397-08002B2CF9AE}" pid="7" name="CommencementDate">
    <vt:lpwstr>20190705</vt:lpwstr>
  </property>
  <property fmtid="{D5CDD505-2E9C-101B-9397-08002B2CF9AE}" pid="8" name="FromSuffix">
    <vt:lpwstr>03-b0-01</vt:lpwstr>
  </property>
  <property fmtid="{D5CDD505-2E9C-101B-9397-08002B2CF9AE}" pid="9" name="FromAsAtDate">
    <vt:lpwstr>19 Nov 2018</vt:lpwstr>
  </property>
  <property fmtid="{D5CDD505-2E9C-101B-9397-08002B2CF9AE}" pid="10" name="ToSuffix">
    <vt:lpwstr>03-c0-03</vt:lpwstr>
  </property>
  <property fmtid="{D5CDD505-2E9C-101B-9397-08002B2CF9AE}" pid="11" name="ToAsAtDate">
    <vt:lpwstr>05 Jul 2019</vt:lpwstr>
  </property>
</Properties>
</file>