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05 Jul 2019</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800"/>
      </w:pPr>
      <w:r>
        <w:t>Control of Vehicles (Off</w:t>
      </w:r>
      <w:r>
        <w:noBreakHyphen/>
        <w:t>road Areas) Act 1978</w:t>
      </w:r>
    </w:p>
    <w:p>
      <w:pPr>
        <w:pStyle w:val="LongTitle"/>
        <w:rPr>
          <w:snapToGrid w:val="0"/>
        </w:rPr>
      </w:pPr>
      <w:r>
        <w:rPr>
          <w:snapToGrid w:val="0"/>
        </w:rPr>
        <w:t>A</w:t>
      </w:r>
      <w:bookmarkStart w:id="1" w:name="_GoBack"/>
      <w:bookmarkEnd w:id="1"/>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2" w:name="_Toc32390807"/>
      <w:bookmarkStart w:id="3" w:name="_Toc375057694"/>
      <w:bookmarkStart w:id="4" w:name="_Toc468353991"/>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road Areas) Act 1978</w:t>
      </w:r>
      <w:del w:id="5" w:author="svcMRProcess" w:date="2020-02-24T11:11:00Z">
        <w:r>
          <w:rPr>
            <w:i/>
            <w:snapToGrid w:val="0"/>
          </w:rPr>
          <w:delText xml:space="preserve"> </w:delText>
        </w:r>
        <w:r>
          <w:rPr>
            <w:snapToGrid w:val="0"/>
            <w:vertAlign w:val="superscript"/>
          </w:rPr>
          <w:delText>1</w:delText>
        </w:r>
      </w:del>
      <w:r>
        <w:rPr>
          <w:snapToGrid w:val="0"/>
        </w:rPr>
        <w:t>.</w:t>
      </w:r>
    </w:p>
    <w:p>
      <w:pPr>
        <w:pStyle w:val="Heading5"/>
        <w:rPr>
          <w:snapToGrid w:val="0"/>
        </w:rPr>
      </w:pPr>
      <w:bookmarkStart w:id="6" w:name="_Toc32390808"/>
      <w:bookmarkStart w:id="7" w:name="_Toc375057695"/>
      <w:bookmarkStart w:id="8" w:name="_Toc468353992"/>
      <w:r>
        <w:rPr>
          <w:rStyle w:val="CharSectno"/>
        </w:rPr>
        <w:t>2</w:t>
      </w:r>
      <w:r>
        <w:rPr>
          <w:snapToGrid w:val="0"/>
        </w:rPr>
        <w:t>.</w:t>
      </w:r>
      <w:r>
        <w:rPr>
          <w:snapToGrid w:val="0"/>
        </w:rPr>
        <w:tab/>
        <w:t>Commencement</w:t>
      </w:r>
      <w:bookmarkEnd w:id="6"/>
      <w:bookmarkEnd w:id="7"/>
      <w:bookmarkEnd w:id="8"/>
    </w:p>
    <w:p>
      <w:pPr>
        <w:pStyle w:val="Subsection"/>
        <w:rPr>
          <w:snapToGrid w:val="0"/>
        </w:rPr>
      </w:pPr>
      <w:r>
        <w:rPr>
          <w:snapToGrid w:val="0"/>
        </w:rPr>
        <w:tab/>
      </w:r>
      <w:r>
        <w:rPr>
          <w:snapToGrid w:val="0"/>
        </w:rPr>
        <w:tab/>
        <w:t>The several provisions of this Act shall come into operation on such day or days as is, or are respectively, fixed by proclamation</w:t>
      </w:r>
      <w:del w:id="9" w:author="svcMRProcess" w:date="2020-02-24T11:11: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0" w:name="_Toc32390809"/>
      <w:bookmarkStart w:id="11" w:name="_Toc375057696"/>
      <w:bookmarkStart w:id="12" w:name="_Toc468353993"/>
      <w:r>
        <w:rPr>
          <w:rStyle w:val="CharSectno"/>
        </w:rPr>
        <w:t>3</w:t>
      </w:r>
      <w:r>
        <w:rPr>
          <w:snapToGrid w:val="0"/>
        </w:rPr>
        <w:t>.</w:t>
      </w:r>
      <w:r>
        <w:rPr>
          <w:snapToGrid w:val="0"/>
        </w:rPr>
        <w:tab/>
        <w:t>Terms used</w:t>
      </w:r>
      <w:bookmarkEnd w:id="10"/>
      <w:bookmarkEnd w:id="11"/>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officer</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lastRenderedPageBreak/>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Road Traffic (Vehicles) Act 2012</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lastRenderedPageBreak/>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pPr>
      <w:r>
        <w:rPr>
          <w:b/>
        </w:rPr>
        <w:tab/>
      </w:r>
      <w:r>
        <w:rPr>
          <w:rStyle w:val="CharDefText"/>
        </w:rPr>
        <w:t>permitted area</w:t>
      </w:r>
      <w:r>
        <w:t xml:space="preserve"> means an area declared as such by the Minister pursuant to section 12 or to section 13 and specified in a notice published pursuant to section 12;</w:t>
      </w:r>
    </w:p>
    <w:p>
      <w:pPr>
        <w:pStyle w:val="Defstart"/>
      </w:pPr>
      <w:r>
        <w:rPr>
          <w:b/>
        </w:rPr>
        <w:tab/>
      </w:r>
      <w:r>
        <w:rPr>
          <w:rStyle w:val="CharDefText"/>
        </w:rPr>
        <w:t>private land</w:t>
      </w:r>
      <w:r>
        <w:t xml:space="preserve"> means land of a kind to which the provisions of section 39(2)(a) applies, or land to which paragraph (b) of that subsection relates;</w:t>
      </w:r>
    </w:p>
    <w:p>
      <w:pPr>
        <w:pStyle w:val="Defstart"/>
      </w:pPr>
      <w:r>
        <w:rPr>
          <w:b/>
        </w:rPr>
        <w:tab/>
      </w:r>
      <w:r>
        <w:rPr>
          <w:rStyle w:val="CharDefText"/>
        </w:rPr>
        <w:t>prohibited area</w:t>
      </w:r>
      <w:r>
        <w:t xml:space="preserve"> means an area established as such by the Minister and specified in a notice published pursuant to section 16;</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the </w:t>
      </w:r>
      <w:r>
        <w:rPr>
          <w:i/>
          <w:iCs/>
        </w:rPr>
        <w:t>Road Traffic (Administration) Act 2008</w:t>
      </w:r>
      <w:r>
        <w:t xml:space="preserve"> section 6;</w:t>
      </w:r>
    </w:p>
    <w:p>
      <w:pPr>
        <w:pStyle w:val="Defstart"/>
      </w:pPr>
      <w:r>
        <w:rPr>
          <w:b/>
        </w:rPr>
        <w:tab/>
      </w:r>
      <w:r>
        <w:rPr>
          <w:rStyle w:val="CharDefText"/>
        </w:rPr>
        <w:t>road</w:t>
      </w:r>
      <w:r>
        <w:t xml:space="preserve"> means any highway, road or street, open to, or used by, the public;</w:t>
      </w:r>
    </w:p>
    <w:p>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seat belt solely or principally designed to restrain or limit the movement of a person of less than 8 years of age; or</w:t>
      </w:r>
    </w:p>
    <w:p>
      <w:pPr>
        <w:pStyle w:val="Defpara"/>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ind w:left="890" w:hanging="890"/>
      </w:pPr>
      <w:r>
        <w:tab/>
        <w:t>[Section 3 amended: No. 106 of 1981 s. 31 and 34; No. 102 of 1984 s. 4; No. 12 of 1985 s. 3; No. 14 of 1996 s. 4; No. 30 of 1996 s. 13; No. 76 of 1996 s. 23 and 27; No. 39 of 2000 s. 50; No. 28 of 2001 s. 30; No. 7 of 2002 s. 4; No. 28 of 2006 s. 356; No. 8 of 2009 s. 40; No. 8 of 2012 s. 63.]</w:t>
      </w:r>
    </w:p>
    <w:p>
      <w:pPr>
        <w:pStyle w:val="Heading5"/>
        <w:keepNext w:val="0"/>
        <w:keepLines w:val="0"/>
        <w:rPr>
          <w:snapToGrid w:val="0"/>
        </w:rPr>
      </w:pPr>
      <w:bookmarkStart w:id="13" w:name="_Toc32390810"/>
      <w:bookmarkStart w:id="14" w:name="_Toc375057697"/>
      <w:bookmarkStart w:id="15" w:name="_Toc468353994"/>
      <w:r>
        <w:rPr>
          <w:rStyle w:val="CharSectno"/>
        </w:rPr>
        <w:t>4</w:t>
      </w:r>
      <w:r>
        <w:rPr>
          <w:snapToGrid w:val="0"/>
        </w:rPr>
        <w:t>.</w:t>
      </w:r>
      <w:r>
        <w:rPr>
          <w:snapToGrid w:val="0"/>
        </w:rPr>
        <w:tab/>
        <w:t>Application of this Act</w:t>
      </w:r>
      <w:bookmarkEnd w:id="13"/>
      <w:bookmarkEnd w:id="14"/>
      <w:bookmarkEnd w:id="15"/>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16" w:name="_Toc32390811"/>
      <w:bookmarkStart w:id="17" w:name="_Toc375057698"/>
      <w:bookmarkStart w:id="18" w:name="_Toc468353995"/>
      <w:r>
        <w:rPr>
          <w:rStyle w:val="CharSectno"/>
        </w:rPr>
        <w:t>4A</w:t>
      </w:r>
      <w:r>
        <w:t>.</w:t>
      </w:r>
      <w:r>
        <w:tab/>
        <w:t>Delegation by Director General</w:t>
      </w:r>
      <w:bookmarkEnd w:id="16"/>
      <w:bookmarkEnd w:id="17"/>
      <w:bookmarkEnd w:id="1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No. 7 of 2002 s. 5.]</w:t>
      </w:r>
    </w:p>
    <w:p>
      <w:pPr>
        <w:pStyle w:val="Heading5"/>
      </w:pPr>
      <w:bookmarkStart w:id="19" w:name="_Toc32390812"/>
      <w:bookmarkStart w:id="20" w:name="_Toc375057699"/>
      <w:bookmarkStart w:id="21" w:name="_Toc468353996"/>
      <w:r>
        <w:rPr>
          <w:rStyle w:val="CharSectno"/>
        </w:rPr>
        <w:t>4B</w:t>
      </w:r>
      <w:r>
        <w:t>.</w:t>
      </w:r>
      <w:r>
        <w:tab/>
        <w:t>Agreements for performance of Director General’s functions by others</w:t>
      </w:r>
      <w:bookmarkEnd w:id="19"/>
      <w:bookmarkEnd w:id="20"/>
      <w:bookmarkEnd w:id="21"/>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keepNext/>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No. 7 of 2002 s. 5.]</w:t>
      </w:r>
    </w:p>
    <w:p>
      <w:pPr>
        <w:pStyle w:val="Heading5"/>
        <w:keepNext w:val="0"/>
        <w:keepLines w:val="0"/>
        <w:spacing w:before="180"/>
        <w:rPr>
          <w:snapToGrid w:val="0"/>
        </w:rPr>
      </w:pPr>
      <w:bookmarkStart w:id="22" w:name="_Toc32390813"/>
      <w:bookmarkStart w:id="23" w:name="_Toc375057700"/>
      <w:bookmarkStart w:id="24" w:name="_Toc468353997"/>
      <w:r>
        <w:rPr>
          <w:rStyle w:val="CharSectno"/>
        </w:rPr>
        <w:t>5</w:t>
      </w:r>
      <w:r>
        <w:rPr>
          <w:snapToGrid w:val="0"/>
        </w:rPr>
        <w:t>.</w:t>
      </w:r>
      <w:r>
        <w:rPr>
          <w:snapToGrid w:val="0"/>
        </w:rPr>
        <w:tab/>
        <w:t>Local government’s functions</w:t>
      </w:r>
      <w:bookmarkEnd w:id="22"/>
      <w:bookmarkEnd w:id="23"/>
      <w:bookmarkEnd w:id="24"/>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Subsection"/>
        <w:keepNext/>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pPr>
        <w:pStyle w:val="Footnotesection"/>
      </w:pPr>
      <w:r>
        <w:tab/>
        <w:t>[Section 5 amended: No. 106 of 1981 s. 32 and 34; No. 14 of 1996 s. 4; No. 76 of 1996 s. 27; No. 7 of 2002 s. 6.]</w:t>
      </w:r>
    </w:p>
    <w:p>
      <w:pPr>
        <w:pStyle w:val="Heading5"/>
        <w:rPr>
          <w:snapToGrid w:val="0"/>
        </w:rPr>
      </w:pPr>
      <w:bookmarkStart w:id="25" w:name="_Toc32390814"/>
      <w:bookmarkStart w:id="26" w:name="_Toc375057701"/>
      <w:bookmarkStart w:id="27" w:name="_Toc468353998"/>
      <w:r>
        <w:rPr>
          <w:rStyle w:val="CharSectno"/>
        </w:rPr>
        <w:t>6</w:t>
      </w:r>
      <w:r>
        <w:rPr>
          <w:snapToGrid w:val="0"/>
        </w:rPr>
        <w:t>.</w:t>
      </w:r>
      <w:r>
        <w:rPr>
          <w:snapToGrid w:val="0"/>
        </w:rPr>
        <w:tab/>
        <w:t>Driving and using off</w:t>
      </w:r>
      <w:r>
        <w:rPr>
          <w:snapToGrid w:val="0"/>
        </w:rPr>
        <w:noBreakHyphen/>
        <w:t>road vehicles, offences</w:t>
      </w:r>
      <w:bookmarkEnd w:id="25"/>
      <w:bookmarkEnd w:id="26"/>
      <w:bookmarkEnd w:id="27"/>
    </w:p>
    <w:p>
      <w:pPr>
        <w:pStyle w:val="Subsection"/>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28" w:name="_Toc32390815"/>
      <w:bookmarkStart w:id="29" w:name="_Toc375057702"/>
      <w:bookmarkStart w:id="30" w:name="_Toc468353999"/>
      <w:r>
        <w:rPr>
          <w:rStyle w:val="CharSectno"/>
        </w:rPr>
        <w:t>7</w:t>
      </w:r>
      <w:r>
        <w:rPr>
          <w:snapToGrid w:val="0"/>
        </w:rPr>
        <w:t>.</w:t>
      </w:r>
      <w:r>
        <w:rPr>
          <w:snapToGrid w:val="0"/>
        </w:rPr>
        <w:tab/>
        <w:t>Some vehicles to be registered under this Act</w:t>
      </w:r>
      <w:bookmarkEnd w:id="28"/>
      <w:bookmarkEnd w:id="29"/>
      <w:bookmarkEnd w:id="30"/>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iCs/>
        </w:rPr>
        <w:t>Road Traffic (Vehicles) Act 2012</w:t>
      </w:r>
      <w: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Footnotesection"/>
      </w:pPr>
      <w:r>
        <w:tab/>
        <w:t>[Section 7 amended: No. 8 of 2012 s. 64.]</w:t>
      </w:r>
    </w:p>
    <w:p>
      <w:pPr>
        <w:pStyle w:val="Heading5"/>
        <w:rPr>
          <w:snapToGrid w:val="0"/>
        </w:rPr>
      </w:pPr>
      <w:bookmarkStart w:id="31" w:name="_Toc32390816"/>
      <w:bookmarkStart w:id="32" w:name="_Toc375057703"/>
      <w:bookmarkStart w:id="33" w:name="_Toc468354000"/>
      <w:r>
        <w:rPr>
          <w:rStyle w:val="CharSectno"/>
        </w:rPr>
        <w:t>8</w:t>
      </w:r>
      <w:r>
        <w:rPr>
          <w:snapToGrid w:val="0"/>
        </w:rPr>
        <w:t>.</w:t>
      </w:r>
      <w:r>
        <w:rPr>
          <w:snapToGrid w:val="0"/>
        </w:rPr>
        <w:tab/>
        <w:t>Exceptions to s. 6(1) and (2), 9A, 9B and 9C</w:t>
      </w:r>
      <w:bookmarkEnd w:id="31"/>
      <w:bookmarkEnd w:id="32"/>
      <w:bookmarkEnd w:id="33"/>
    </w:p>
    <w:p>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pPr>
        <w:pStyle w:val="Indenta"/>
        <w:rPr>
          <w:snapToGrid w:val="0"/>
        </w:rPr>
      </w:pPr>
      <w:r>
        <w:rPr>
          <w:snapToGrid w:val="0"/>
        </w:rPr>
        <w:tab/>
        <w:t>(c)</w:t>
      </w:r>
      <w:r>
        <w:rPr>
          <w:snapToGrid w:val="0"/>
        </w:rPr>
        <w:tab/>
        <w:t>by an authorised officer in the course of his duty; or</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No. 12 of 1985 s. 4.]</w:t>
      </w:r>
    </w:p>
    <w:p>
      <w:pPr>
        <w:pStyle w:val="Heading5"/>
        <w:rPr>
          <w:snapToGrid w:val="0"/>
        </w:rPr>
      </w:pPr>
      <w:bookmarkStart w:id="34" w:name="_Toc32390817"/>
      <w:bookmarkStart w:id="35" w:name="_Toc375057704"/>
      <w:bookmarkStart w:id="36" w:name="_Toc468354001"/>
      <w:r>
        <w:rPr>
          <w:rStyle w:val="CharSectno"/>
        </w:rPr>
        <w:t>9</w:t>
      </w:r>
      <w:r>
        <w:rPr>
          <w:snapToGrid w:val="0"/>
        </w:rPr>
        <w:t>.</w:t>
      </w:r>
      <w:r>
        <w:rPr>
          <w:snapToGrid w:val="0"/>
        </w:rPr>
        <w:tab/>
        <w:t>Dangerous vehicles not to be driven etc.</w:t>
      </w:r>
      <w:bookmarkEnd w:id="34"/>
      <w:bookmarkEnd w:id="35"/>
      <w:bookmarkEnd w:id="36"/>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37" w:name="_Toc32390818"/>
      <w:bookmarkStart w:id="38" w:name="_Toc375057705"/>
      <w:bookmarkStart w:id="39" w:name="_Toc468354002"/>
      <w:r>
        <w:rPr>
          <w:rStyle w:val="CharSectno"/>
        </w:rPr>
        <w:t>9A</w:t>
      </w:r>
      <w:r>
        <w:rPr>
          <w:snapToGrid w:val="0"/>
        </w:rPr>
        <w:t>.</w:t>
      </w:r>
      <w:r>
        <w:rPr>
          <w:snapToGrid w:val="0"/>
        </w:rPr>
        <w:tab/>
        <w:t>Seat belt requirements for vehicles</w:t>
      </w:r>
      <w:bookmarkEnd w:id="37"/>
      <w:bookmarkEnd w:id="38"/>
      <w:bookmarkEnd w:id="39"/>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No. 12 of 1985 s. 5; amended: No. 28 of 2001 s. 31.]</w:t>
      </w:r>
    </w:p>
    <w:p>
      <w:pPr>
        <w:pStyle w:val="Heading5"/>
        <w:rPr>
          <w:snapToGrid w:val="0"/>
        </w:rPr>
      </w:pPr>
      <w:bookmarkStart w:id="40" w:name="_Toc32390819"/>
      <w:bookmarkStart w:id="41" w:name="_Toc375057706"/>
      <w:bookmarkStart w:id="42" w:name="_Toc468354003"/>
      <w:r>
        <w:rPr>
          <w:rStyle w:val="CharSectno"/>
        </w:rPr>
        <w:t>9B</w:t>
      </w:r>
      <w:r>
        <w:rPr>
          <w:snapToGrid w:val="0"/>
        </w:rPr>
        <w:t>.</w:t>
      </w:r>
      <w:r>
        <w:rPr>
          <w:snapToGrid w:val="0"/>
        </w:rPr>
        <w:tab/>
        <w:t>Seat belt requirements for people in vehicles</w:t>
      </w:r>
      <w:bookmarkEnd w:id="40"/>
      <w:bookmarkEnd w:id="41"/>
      <w:bookmarkEnd w:id="42"/>
    </w:p>
    <w:p>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 or</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No. 12 of 1985 s. 5; amended: No. 28 of 2001 s. 32; No. 84 of 2004 s. 80.]</w:t>
      </w:r>
    </w:p>
    <w:p>
      <w:pPr>
        <w:pStyle w:val="Heading5"/>
        <w:spacing w:before="180"/>
        <w:rPr>
          <w:snapToGrid w:val="0"/>
        </w:rPr>
      </w:pPr>
      <w:bookmarkStart w:id="43" w:name="_Toc32390820"/>
      <w:bookmarkStart w:id="44" w:name="_Toc375057707"/>
      <w:bookmarkStart w:id="45" w:name="_Toc468354004"/>
      <w:r>
        <w:rPr>
          <w:rStyle w:val="CharSectno"/>
        </w:rPr>
        <w:t>9C</w:t>
      </w:r>
      <w:r>
        <w:rPr>
          <w:snapToGrid w:val="0"/>
        </w:rPr>
        <w:t>.</w:t>
      </w:r>
      <w:r>
        <w:rPr>
          <w:snapToGrid w:val="0"/>
        </w:rPr>
        <w:tab/>
        <w:t>Motor cycle helmet requirements</w:t>
      </w:r>
      <w:bookmarkEnd w:id="43"/>
      <w:bookmarkEnd w:id="44"/>
      <w:bookmarkEnd w:id="45"/>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No. 12 of 1985 s. 5; amended: No. 76 of 1996 s. 27.]</w:t>
      </w:r>
    </w:p>
    <w:p>
      <w:pPr>
        <w:pStyle w:val="Heading5"/>
        <w:spacing w:before="180"/>
        <w:rPr>
          <w:snapToGrid w:val="0"/>
        </w:rPr>
      </w:pPr>
      <w:bookmarkStart w:id="46" w:name="_Toc32390821"/>
      <w:bookmarkStart w:id="47" w:name="_Toc375057708"/>
      <w:bookmarkStart w:id="48" w:name="_Toc468354005"/>
      <w:r>
        <w:rPr>
          <w:rStyle w:val="CharSectno"/>
        </w:rPr>
        <w:t>10</w:t>
      </w:r>
      <w:r>
        <w:rPr>
          <w:snapToGrid w:val="0"/>
        </w:rPr>
        <w:t>.</w:t>
      </w:r>
      <w:r>
        <w:rPr>
          <w:snapToGrid w:val="0"/>
        </w:rPr>
        <w:tab/>
        <w:t>Minimum age for drivers</w:t>
      </w:r>
      <w:bookmarkEnd w:id="46"/>
      <w:bookmarkEnd w:id="47"/>
      <w:bookmarkEnd w:id="48"/>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spacing w:before="160"/>
        <w:ind w:left="890" w:hanging="890"/>
        <w:rPr>
          <w:b/>
        </w:rPr>
      </w:pPr>
      <w:r>
        <w:t>[</w:t>
      </w:r>
      <w:r>
        <w:rPr>
          <w:b/>
        </w:rPr>
        <w:t>11.</w:t>
      </w:r>
      <w:r>
        <w:tab/>
        <w:t>Has not come into operation</w:t>
      </w:r>
      <w:del w:id="49" w:author="svcMRProcess" w:date="2020-02-24T11:11:00Z">
        <w:r>
          <w:delText xml:space="preserve"> </w:delText>
        </w:r>
        <w:r>
          <w:rPr>
            <w:i w:val="0"/>
            <w:vertAlign w:val="superscript"/>
          </w:rPr>
          <w:delText>2</w:delText>
        </w:r>
      </w:del>
      <w:r>
        <w:t>.]</w:t>
      </w:r>
    </w:p>
    <w:p>
      <w:pPr>
        <w:pStyle w:val="Heading5"/>
        <w:rPr>
          <w:snapToGrid w:val="0"/>
        </w:rPr>
      </w:pPr>
      <w:bookmarkStart w:id="50" w:name="_Toc32390822"/>
      <w:bookmarkStart w:id="51" w:name="_Toc375057709"/>
      <w:bookmarkStart w:id="52" w:name="_Toc468354006"/>
      <w:r>
        <w:rPr>
          <w:rStyle w:val="CharSectno"/>
        </w:rPr>
        <w:t>12</w:t>
      </w:r>
      <w:r>
        <w:rPr>
          <w:snapToGrid w:val="0"/>
        </w:rPr>
        <w:t>.</w:t>
      </w:r>
      <w:r>
        <w:rPr>
          <w:snapToGrid w:val="0"/>
        </w:rPr>
        <w:tab/>
        <w:t>Permitted areas, declaring etc.</w:t>
      </w:r>
      <w:bookmarkEnd w:id="50"/>
      <w:bookmarkEnd w:id="51"/>
      <w:bookmarkEnd w:id="52"/>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spacing w:before="240"/>
        <w:rPr>
          <w:snapToGrid w:val="0"/>
        </w:rPr>
      </w:pPr>
      <w:bookmarkStart w:id="53" w:name="_Toc32390823"/>
      <w:bookmarkStart w:id="54" w:name="_Toc375057710"/>
      <w:bookmarkStart w:id="55" w:name="_Toc468354007"/>
      <w:r>
        <w:rPr>
          <w:rStyle w:val="CharSectno"/>
        </w:rPr>
        <w:t>13</w:t>
      </w:r>
      <w:r>
        <w:rPr>
          <w:snapToGrid w:val="0"/>
        </w:rPr>
        <w:t>.</w:t>
      </w:r>
      <w:r>
        <w:rPr>
          <w:snapToGrid w:val="0"/>
        </w:rPr>
        <w:tab/>
        <w:t>Permitted areas, declaring before 6 Jan 1980</w:t>
      </w:r>
      <w:bookmarkEnd w:id="53"/>
      <w:bookmarkEnd w:id="54"/>
      <w:bookmarkEnd w:id="55"/>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No. 14 of 1996 s. 4.]</w:t>
      </w:r>
    </w:p>
    <w:p>
      <w:pPr>
        <w:pStyle w:val="Heading5"/>
        <w:spacing w:before="240"/>
        <w:rPr>
          <w:snapToGrid w:val="0"/>
        </w:rPr>
      </w:pPr>
      <w:bookmarkStart w:id="56" w:name="_Toc32390824"/>
      <w:bookmarkStart w:id="57" w:name="_Toc375057711"/>
      <w:bookmarkStart w:id="58" w:name="_Toc468354008"/>
      <w:r>
        <w:rPr>
          <w:rStyle w:val="CharSectno"/>
        </w:rPr>
        <w:t>14</w:t>
      </w:r>
      <w:r>
        <w:rPr>
          <w:snapToGrid w:val="0"/>
        </w:rPr>
        <w:t>.</w:t>
      </w:r>
      <w:r>
        <w:rPr>
          <w:snapToGrid w:val="0"/>
        </w:rPr>
        <w:tab/>
        <w:t>Private land may be declared to be a permitted area</w:t>
      </w:r>
      <w:bookmarkEnd w:id="56"/>
      <w:bookmarkEnd w:id="57"/>
      <w:bookmarkEnd w:id="58"/>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59" w:name="_Toc32390825"/>
      <w:bookmarkStart w:id="60" w:name="_Toc375057712"/>
      <w:bookmarkStart w:id="61" w:name="_Toc468354009"/>
      <w:r>
        <w:rPr>
          <w:rStyle w:val="CharSectno"/>
        </w:rPr>
        <w:t>15</w:t>
      </w:r>
      <w:r>
        <w:rPr>
          <w:snapToGrid w:val="0"/>
        </w:rPr>
        <w:t>.</w:t>
      </w:r>
      <w:r>
        <w:rPr>
          <w:snapToGrid w:val="0"/>
        </w:rPr>
        <w:tab/>
        <w:t>Permitted area, temporary closure of</w:t>
      </w:r>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62" w:name="_Toc32390826"/>
      <w:bookmarkStart w:id="63" w:name="_Toc375057713"/>
      <w:bookmarkStart w:id="64" w:name="_Toc468354010"/>
      <w:r>
        <w:rPr>
          <w:rStyle w:val="CharSectno"/>
        </w:rPr>
        <w:t>16</w:t>
      </w:r>
      <w:r>
        <w:rPr>
          <w:snapToGrid w:val="0"/>
        </w:rPr>
        <w:t>.</w:t>
      </w:r>
      <w:r>
        <w:rPr>
          <w:snapToGrid w:val="0"/>
        </w:rPr>
        <w:tab/>
        <w:t>Prohibited areas, establishing etc.</w:t>
      </w:r>
      <w:bookmarkEnd w:id="62"/>
      <w:bookmarkEnd w:id="63"/>
      <w:bookmarkEnd w:id="64"/>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 or</w:t>
      </w:r>
    </w:p>
    <w:p>
      <w:pPr>
        <w:pStyle w:val="Indenta"/>
        <w:rPr>
          <w:snapToGrid w:val="0"/>
        </w:rPr>
      </w:pPr>
      <w:r>
        <w:rPr>
          <w:snapToGrid w:val="0"/>
        </w:rPr>
        <w:tab/>
        <w:t>(b)</w:t>
      </w:r>
      <w:r>
        <w:rPr>
          <w:snapToGrid w:val="0"/>
        </w:rPr>
        <w:tab/>
        <w:t>the environmentally sensitive nature of the land or things growing on the land; or</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2005</w:t>
      </w:r>
      <w:r>
        <w:rPr>
          <w:iCs/>
        </w:rPr>
        <w:t>.</w:t>
      </w:r>
    </w:p>
    <w:p>
      <w:pPr>
        <w:pStyle w:val="Footnotesection"/>
      </w:pPr>
      <w:r>
        <w:tab/>
        <w:t>[Section 16 amended: No. 12 of 1985 s. 6; No. 38 of 2005 s. 15; No. 28 of 2010 s. 29.]</w:t>
      </w:r>
    </w:p>
    <w:p>
      <w:pPr>
        <w:pStyle w:val="Heading5"/>
        <w:rPr>
          <w:snapToGrid w:val="0"/>
        </w:rPr>
      </w:pPr>
      <w:bookmarkStart w:id="65" w:name="_Toc32390827"/>
      <w:bookmarkStart w:id="66" w:name="_Toc375057714"/>
      <w:bookmarkStart w:id="67" w:name="_Toc468354011"/>
      <w:r>
        <w:rPr>
          <w:rStyle w:val="CharSectno"/>
        </w:rPr>
        <w:t>17</w:t>
      </w:r>
      <w:r>
        <w:rPr>
          <w:snapToGrid w:val="0"/>
        </w:rPr>
        <w:t>.</w:t>
      </w:r>
      <w:r>
        <w:rPr>
          <w:snapToGrid w:val="0"/>
        </w:rPr>
        <w:tab/>
        <w:t>Advisory Committee, establishment and functions of</w:t>
      </w:r>
      <w:bookmarkEnd w:id="65"/>
      <w:bookmarkEnd w:id="66"/>
      <w:bookmarkEnd w:id="67"/>
    </w:p>
    <w:p>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spacing w:before="120"/>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ind w:left="890" w:hanging="890"/>
      </w:pPr>
      <w:r>
        <w:tab/>
        <w:t>[Section 17 amended: No. 14 of 1996 s. 4.]</w:t>
      </w:r>
    </w:p>
    <w:p>
      <w:pPr>
        <w:pStyle w:val="Heading5"/>
        <w:keepLines w:val="0"/>
        <w:rPr>
          <w:snapToGrid w:val="0"/>
        </w:rPr>
      </w:pPr>
      <w:bookmarkStart w:id="68" w:name="_Toc32390828"/>
      <w:bookmarkStart w:id="69" w:name="_Toc375057715"/>
      <w:bookmarkStart w:id="70" w:name="_Toc468354012"/>
      <w:r>
        <w:rPr>
          <w:rStyle w:val="CharSectno"/>
        </w:rPr>
        <w:t>18</w:t>
      </w:r>
      <w:r>
        <w:rPr>
          <w:snapToGrid w:val="0"/>
        </w:rPr>
        <w:t>.</w:t>
      </w:r>
      <w:r>
        <w:rPr>
          <w:snapToGrid w:val="0"/>
        </w:rPr>
        <w:tab/>
        <w:t>Committee’s functions as to permitted areas, prohibited areas, and use of vehicles</w:t>
      </w:r>
      <w:bookmarkEnd w:id="68"/>
      <w:bookmarkEnd w:id="69"/>
      <w:bookmarkEnd w:id="70"/>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keepNext/>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No. 14 of 1996 s. 4; No. 54 of 2003 s. 142.]</w:t>
      </w:r>
    </w:p>
    <w:p>
      <w:pPr>
        <w:pStyle w:val="Heading5"/>
        <w:rPr>
          <w:snapToGrid w:val="0"/>
        </w:rPr>
      </w:pPr>
      <w:bookmarkStart w:id="71" w:name="_Toc32390829"/>
      <w:bookmarkStart w:id="72" w:name="_Toc375057716"/>
      <w:bookmarkStart w:id="73" w:name="_Toc468354013"/>
      <w:r>
        <w:rPr>
          <w:rStyle w:val="CharSectno"/>
        </w:rPr>
        <w:t>19</w:t>
      </w:r>
      <w:r>
        <w:rPr>
          <w:snapToGrid w:val="0"/>
        </w:rPr>
        <w:t>.</w:t>
      </w:r>
      <w:r>
        <w:rPr>
          <w:snapToGrid w:val="0"/>
        </w:rPr>
        <w:tab/>
        <w:t>Permitted and prohibited areas, identifying</w:t>
      </w:r>
      <w:bookmarkEnd w:id="71"/>
      <w:bookmarkEnd w:id="72"/>
      <w:bookmarkEnd w:id="73"/>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No. 14 of 1996 s. 4; No. 60 of 2006 s. 128.]</w:t>
      </w:r>
    </w:p>
    <w:p>
      <w:pPr>
        <w:pStyle w:val="Heading5"/>
        <w:rPr>
          <w:snapToGrid w:val="0"/>
        </w:rPr>
      </w:pPr>
      <w:bookmarkStart w:id="74" w:name="_Toc32390830"/>
      <w:bookmarkStart w:id="75" w:name="_Toc375057717"/>
      <w:bookmarkStart w:id="76" w:name="_Toc468354014"/>
      <w:r>
        <w:rPr>
          <w:rStyle w:val="CharSectno"/>
        </w:rPr>
        <w:t>20</w:t>
      </w:r>
      <w:r>
        <w:rPr>
          <w:snapToGrid w:val="0"/>
        </w:rPr>
        <w:t>.</w:t>
      </w:r>
      <w:r>
        <w:rPr>
          <w:snapToGrid w:val="0"/>
        </w:rPr>
        <w:tab/>
        <w:t>Permitted areas and prohibited areas, application of to vehicles and effect of</w:t>
      </w:r>
      <w:bookmarkEnd w:id="74"/>
      <w:bookmarkEnd w:id="75"/>
      <w:bookmarkEnd w:id="76"/>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 and</w:t>
      </w:r>
    </w:p>
    <w:p>
      <w:pPr>
        <w:pStyle w:val="Indenta"/>
        <w:rPr>
          <w:snapToGrid w:val="0"/>
        </w:rPr>
      </w:pPr>
      <w:r>
        <w:rPr>
          <w:snapToGrid w:val="0"/>
        </w:rPr>
        <w:tab/>
        <w:t>(b)</w:t>
      </w:r>
      <w:r>
        <w:rPr>
          <w:snapToGrid w:val="0"/>
        </w:rPr>
        <w:tab/>
        <w:t>may apply in relation to vehicles generally except when used in the manner or circumstances therein specified; and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No. 14 of 1996 s. 4.]</w:t>
      </w:r>
    </w:p>
    <w:p>
      <w:pPr>
        <w:pStyle w:val="Heading5"/>
        <w:rPr>
          <w:snapToGrid w:val="0"/>
        </w:rPr>
      </w:pPr>
      <w:bookmarkStart w:id="77" w:name="_Toc32390831"/>
      <w:bookmarkStart w:id="78" w:name="_Toc375057718"/>
      <w:bookmarkStart w:id="79" w:name="_Toc468354015"/>
      <w:r>
        <w:rPr>
          <w:rStyle w:val="CharSectno"/>
        </w:rPr>
        <w:t>21</w:t>
      </w:r>
      <w:r>
        <w:rPr>
          <w:snapToGrid w:val="0"/>
        </w:rPr>
        <w:t>.</w:t>
      </w:r>
      <w:r>
        <w:rPr>
          <w:snapToGrid w:val="0"/>
        </w:rPr>
        <w:tab/>
        <w:t>Advisory Committee, members and procedure of etc.</w:t>
      </w:r>
      <w:bookmarkEnd w:id="77"/>
      <w:bookmarkEnd w:id="78"/>
      <w:bookmarkEnd w:id="79"/>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 and</w:t>
      </w:r>
    </w:p>
    <w:p>
      <w:pPr>
        <w:pStyle w:val="Indenta"/>
      </w:pPr>
      <w:r>
        <w:tab/>
        <w:t>(b)</w:t>
      </w:r>
      <w:r>
        <w:tab/>
        <w:t>2 shall be persons selected from a panel of names submitted to the Minister by the body known as the Western Australian Local Government Association;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keepNext/>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No. 56 of 1986 s. 4; No. 24 of 1990 s. 123; No. 32 of 1994 s. 3(1); No. 49 of 2004 s. 13; No. 28 of 2006 s. 357; No. 18 of 2009 s. 22.]</w:t>
      </w:r>
    </w:p>
    <w:p>
      <w:pPr>
        <w:pStyle w:val="Ednotesection"/>
        <w:rPr>
          <w:b/>
        </w:rPr>
      </w:pPr>
      <w:r>
        <w:t>[</w:t>
      </w:r>
      <w:r>
        <w:rPr>
          <w:b/>
        </w:rPr>
        <w:t>22.</w:t>
      </w:r>
      <w:r>
        <w:tab/>
        <w:t>Deleted: No. 28 of 2006 s. 358.]</w:t>
      </w:r>
    </w:p>
    <w:p>
      <w:pPr>
        <w:pStyle w:val="Heading5"/>
        <w:rPr>
          <w:snapToGrid w:val="0"/>
        </w:rPr>
      </w:pPr>
      <w:bookmarkStart w:id="80" w:name="_Toc32390832"/>
      <w:bookmarkStart w:id="81" w:name="_Toc375057719"/>
      <w:bookmarkStart w:id="82" w:name="_Toc468354016"/>
      <w:r>
        <w:rPr>
          <w:rStyle w:val="CharSectno"/>
        </w:rPr>
        <w:t>23</w:t>
      </w:r>
      <w:r>
        <w:rPr>
          <w:snapToGrid w:val="0"/>
        </w:rPr>
        <w:t>.</w:t>
      </w:r>
      <w:r>
        <w:rPr>
          <w:snapToGrid w:val="0"/>
        </w:rPr>
        <w:tab/>
        <w:t>Nominations of candidates for Advisory Committee, Minister may request</w:t>
      </w:r>
      <w:bookmarkEnd w:id="80"/>
      <w:bookmarkEnd w:id="81"/>
      <w:bookmarkEnd w:id="82"/>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83" w:name="_Toc32390833"/>
      <w:bookmarkStart w:id="84" w:name="_Toc375057720"/>
      <w:bookmarkStart w:id="85" w:name="_Toc468354017"/>
      <w:r>
        <w:rPr>
          <w:rStyle w:val="CharSectno"/>
        </w:rPr>
        <w:t>24</w:t>
      </w:r>
      <w:r>
        <w:rPr>
          <w:snapToGrid w:val="0"/>
        </w:rPr>
        <w:t>.</w:t>
      </w:r>
      <w:r>
        <w:rPr>
          <w:snapToGrid w:val="0"/>
        </w:rPr>
        <w:tab/>
        <w:t>Deputies of members, appointing etc.</w:t>
      </w:r>
      <w:bookmarkEnd w:id="83"/>
      <w:bookmarkEnd w:id="84"/>
      <w:bookmarkEnd w:id="85"/>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No. 56 of 1986 s. 5.]</w:t>
      </w:r>
    </w:p>
    <w:p>
      <w:pPr>
        <w:pStyle w:val="Heading5"/>
        <w:rPr>
          <w:snapToGrid w:val="0"/>
        </w:rPr>
      </w:pPr>
      <w:bookmarkStart w:id="86" w:name="_Toc32390834"/>
      <w:bookmarkStart w:id="87" w:name="_Toc375057721"/>
      <w:bookmarkStart w:id="88" w:name="_Toc468354018"/>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86"/>
      <w:bookmarkEnd w:id="87"/>
      <w:bookmarkEnd w:id="88"/>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No. 32 of 1994 s. 3(1).]</w:t>
      </w:r>
    </w:p>
    <w:p>
      <w:pPr>
        <w:pStyle w:val="Heading5"/>
        <w:rPr>
          <w:snapToGrid w:val="0"/>
        </w:rPr>
      </w:pPr>
      <w:bookmarkStart w:id="89" w:name="_Toc32390835"/>
      <w:bookmarkStart w:id="90" w:name="_Toc375057722"/>
      <w:bookmarkStart w:id="91" w:name="_Toc468354019"/>
      <w:r>
        <w:rPr>
          <w:rStyle w:val="CharSectno"/>
        </w:rPr>
        <w:t>26</w:t>
      </w:r>
      <w:r>
        <w:rPr>
          <w:snapToGrid w:val="0"/>
        </w:rPr>
        <w:t>.</w:t>
      </w:r>
      <w:r>
        <w:rPr>
          <w:snapToGrid w:val="0"/>
        </w:rPr>
        <w:tab/>
        <w:t>Advisory Committee, departments etc. may assist</w:t>
      </w:r>
      <w:bookmarkEnd w:id="89"/>
      <w:bookmarkEnd w:id="90"/>
      <w:bookmarkEnd w:id="91"/>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No. 14 of 1996 s. 4.]</w:t>
      </w:r>
    </w:p>
    <w:p>
      <w:pPr>
        <w:pStyle w:val="Heading5"/>
        <w:rPr>
          <w:snapToGrid w:val="0"/>
        </w:rPr>
      </w:pPr>
      <w:bookmarkStart w:id="92" w:name="_Toc32390836"/>
      <w:bookmarkStart w:id="93" w:name="_Toc375057723"/>
      <w:bookmarkStart w:id="94" w:name="_Toc468354020"/>
      <w:r>
        <w:rPr>
          <w:rStyle w:val="CharSectno"/>
        </w:rPr>
        <w:t>27</w:t>
      </w:r>
      <w:r>
        <w:rPr>
          <w:snapToGrid w:val="0"/>
        </w:rPr>
        <w:t>.</w:t>
      </w:r>
      <w:r>
        <w:rPr>
          <w:snapToGrid w:val="0"/>
        </w:rPr>
        <w:tab/>
        <w:t>Sub</w:t>
      </w:r>
      <w:r>
        <w:rPr>
          <w:snapToGrid w:val="0"/>
        </w:rPr>
        <w:noBreakHyphen/>
        <w:t>committees, appointing</w:t>
      </w:r>
      <w:bookmarkEnd w:id="92"/>
      <w:bookmarkEnd w:id="93"/>
      <w:bookmarkEnd w:id="94"/>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95" w:name="_Toc32390837"/>
      <w:bookmarkStart w:id="96" w:name="_Toc375057724"/>
      <w:bookmarkStart w:id="97" w:name="_Toc468354021"/>
      <w:r>
        <w:rPr>
          <w:rStyle w:val="CharSectno"/>
        </w:rPr>
        <w:t>28</w:t>
      </w:r>
      <w:r>
        <w:rPr>
          <w:snapToGrid w:val="0"/>
        </w:rPr>
        <w:t>.</w:t>
      </w:r>
      <w:r>
        <w:rPr>
          <w:snapToGrid w:val="0"/>
        </w:rPr>
        <w:tab/>
        <w:t>Registration of vehicles, generally</w:t>
      </w:r>
      <w:bookmarkEnd w:id="95"/>
      <w:bookmarkEnd w:id="96"/>
      <w:bookmarkEnd w:id="97"/>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ind w:left="890" w:hanging="890"/>
      </w:pPr>
      <w:r>
        <w:tab/>
        <w:t>[Section 28 amended: No. 106 of 1981 s. 34; No. 76 of 1996 s. 27; No. 39 of 2000 s. 51; No. 7 of 2002 s. 8.]</w:t>
      </w:r>
    </w:p>
    <w:p>
      <w:pPr>
        <w:pStyle w:val="Heading5"/>
      </w:pPr>
      <w:bookmarkStart w:id="98" w:name="_Toc32390838"/>
      <w:bookmarkStart w:id="99" w:name="_Toc375057725"/>
      <w:bookmarkStart w:id="100" w:name="_Toc468354022"/>
      <w:r>
        <w:rPr>
          <w:rStyle w:val="CharSectno"/>
        </w:rPr>
        <w:t>28A</w:t>
      </w:r>
      <w:r>
        <w:t>.</w:t>
      </w:r>
      <w:r>
        <w:tab/>
        <w:t>Applying for registration etc. of vehicle</w:t>
      </w:r>
      <w:bookmarkEnd w:id="98"/>
      <w:bookmarkEnd w:id="99"/>
      <w:bookmarkEnd w:id="100"/>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 and</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spacing w:before="120"/>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spacing w:before="120"/>
      </w:pPr>
      <w:r>
        <w:tab/>
      </w:r>
      <w:r>
        <w:tab/>
        <w:t>if, in the case of an application by an individual the applicant has attained the age of 18 years.</w:t>
      </w:r>
    </w:p>
    <w:p>
      <w:pPr>
        <w:pStyle w:val="Subsection"/>
        <w:spacing w:before="120"/>
      </w:pPr>
      <w:r>
        <w:tab/>
        <w:t>(3)</w:t>
      </w:r>
      <w:r>
        <w:tab/>
        <w:t>A vehicle cannot be registered in the name of more than one person at a particular time.</w:t>
      </w:r>
    </w:p>
    <w:p>
      <w:pPr>
        <w:pStyle w:val="Subsection"/>
        <w:spacing w:before="120"/>
      </w:pPr>
      <w:r>
        <w:tab/>
        <w:t>(4)</w:t>
      </w:r>
      <w:r>
        <w:tab/>
        <w:t>Any one of 2 or more owners may apply for the issue or transfer of a registration and the application is to be signed by each of them.</w:t>
      </w:r>
    </w:p>
    <w:p>
      <w:pPr>
        <w:pStyle w:val="Subsection"/>
        <w:spacing w:before="120"/>
      </w:pPr>
      <w:r>
        <w:tab/>
        <w:t>(5)</w:t>
      </w:r>
      <w:r>
        <w:tab/>
        <w:t>An application under subsection (4) is to be regarded as notice of the nomination of the applicant for the purposes of section 3(2).</w:t>
      </w:r>
    </w:p>
    <w:p>
      <w:pPr>
        <w:pStyle w:val="Subsection"/>
        <w:spacing w:before="120"/>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No. 39 of 2000 s. 52.]</w:t>
      </w:r>
    </w:p>
    <w:p>
      <w:pPr>
        <w:pStyle w:val="Heading5"/>
        <w:keepNext w:val="0"/>
        <w:keepLines w:val="0"/>
        <w:spacing w:before="180"/>
        <w:rPr>
          <w:snapToGrid w:val="0"/>
        </w:rPr>
      </w:pPr>
      <w:bookmarkStart w:id="101" w:name="_Toc32390839"/>
      <w:bookmarkStart w:id="102" w:name="_Toc375057726"/>
      <w:bookmarkStart w:id="103" w:name="_Toc468354023"/>
      <w:r>
        <w:rPr>
          <w:rStyle w:val="CharSectno"/>
        </w:rPr>
        <w:t>29</w:t>
      </w:r>
      <w:r>
        <w:rPr>
          <w:snapToGrid w:val="0"/>
        </w:rPr>
        <w:t>.</w:t>
      </w:r>
      <w:r>
        <w:rPr>
          <w:snapToGrid w:val="0"/>
        </w:rPr>
        <w:tab/>
        <w:t>Registration procedure</w:t>
      </w:r>
      <w:bookmarkEnd w:id="101"/>
      <w:bookmarkEnd w:id="102"/>
      <w:bookmarkEnd w:id="103"/>
    </w:p>
    <w:p>
      <w:pPr>
        <w:pStyle w:val="Ednotesubsection"/>
        <w:keepNext/>
        <w:keepLines/>
        <w:spacing w:before="120"/>
      </w:pPr>
      <w:r>
        <w:tab/>
        <w:t>[(1), (2)</w:t>
      </w:r>
      <w:r>
        <w:tab/>
        <w:t>deleted]</w:t>
      </w:r>
    </w:p>
    <w:p>
      <w:pPr>
        <w:pStyle w:val="Subsection"/>
        <w:spacing w:before="120"/>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spacing w:before="180"/>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spacing w:before="180"/>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spacing w:before="180"/>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spacing w:before="180"/>
      </w:pPr>
      <w:r>
        <w:tab/>
        <w:t>[(7)-(10)</w:t>
      </w:r>
      <w:r>
        <w:tab/>
        <w:t>deleted]</w:t>
      </w:r>
    </w:p>
    <w:p>
      <w:pPr>
        <w:pStyle w:val="Subsection"/>
        <w:keepLines/>
        <w:spacing w:before="180"/>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No. 106 of 1981 s. 34; No. 76 of 1996 s. 27; No. 39 of 2000 s. 53; No. 7 of 2002 s. 9.]</w:t>
      </w:r>
    </w:p>
    <w:p>
      <w:pPr>
        <w:pStyle w:val="Heading5"/>
      </w:pPr>
      <w:bookmarkStart w:id="104" w:name="_Toc32390840"/>
      <w:bookmarkStart w:id="105" w:name="_Toc375057727"/>
      <w:bookmarkStart w:id="106" w:name="_Toc468354024"/>
      <w:r>
        <w:rPr>
          <w:rStyle w:val="CharSectno"/>
        </w:rPr>
        <w:t>29A</w:t>
      </w:r>
      <w:r>
        <w:t>.</w:t>
      </w:r>
      <w:r>
        <w:tab/>
        <w:t>Transfer of vehicle registration</w:t>
      </w:r>
      <w:bookmarkEnd w:id="104"/>
      <w:bookmarkEnd w:id="105"/>
      <w:bookmarkEnd w:id="106"/>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3(2); or</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No. 39 of 2000 s. 54.]</w:t>
      </w:r>
    </w:p>
    <w:p>
      <w:pPr>
        <w:pStyle w:val="Heading5"/>
        <w:spacing w:before="240"/>
        <w:rPr>
          <w:snapToGrid w:val="0"/>
        </w:rPr>
      </w:pPr>
      <w:bookmarkStart w:id="107" w:name="_Toc32390841"/>
      <w:bookmarkStart w:id="108" w:name="_Toc375057728"/>
      <w:bookmarkStart w:id="109" w:name="_Toc468354025"/>
      <w:r>
        <w:rPr>
          <w:rStyle w:val="CharSectno"/>
        </w:rPr>
        <w:t>30</w:t>
      </w:r>
      <w:r>
        <w:rPr>
          <w:snapToGrid w:val="0"/>
        </w:rPr>
        <w:t>.</w:t>
      </w:r>
      <w:r>
        <w:rPr>
          <w:snapToGrid w:val="0"/>
        </w:rPr>
        <w:tab/>
        <w:t>Fees for registration, reductions in, refunds of etc.</w:t>
      </w:r>
      <w:bookmarkEnd w:id="107"/>
      <w:bookmarkEnd w:id="108"/>
      <w:bookmarkEnd w:id="109"/>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ind w:left="890" w:hanging="890"/>
      </w:pPr>
      <w:r>
        <w:tab/>
        <w:t>[Section 30 amended: No. 106 of 1981 s. 34; No. 76 of 1996 s. 27.]</w:t>
      </w:r>
    </w:p>
    <w:p>
      <w:pPr>
        <w:pStyle w:val="Heading5"/>
        <w:keepNext w:val="0"/>
        <w:keepLines w:val="0"/>
        <w:spacing w:before="180"/>
        <w:rPr>
          <w:snapToGrid w:val="0"/>
        </w:rPr>
      </w:pPr>
      <w:bookmarkStart w:id="110" w:name="_Toc32390842"/>
      <w:bookmarkStart w:id="111" w:name="_Toc375057729"/>
      <w:bookmarkStart w:id="112" w:name="_Toc468354026"/>
      <w:r>
        <w:rPr>
          <w:rStyle w:val="CharSectno"/>
        </w:rPr>
        <w:t>31</w:t>
      </w:r>
      <w:r>
        <w:rPr>
          <w:snapToGrid w:val="0"/>
        </w:rPr>
        <w:t>.</w:t>
      </w:r>
      <w:r>
        <w:rPr>
          <w:snapToGrid w:val="0"/>
        </w:rPr>
        <w:tab/>
        <w:t>Registration obtained by dishonoured cheque is void</w:t>
      </w:r>
      <w:bookmarkEnd w:id="110"/>
      <w:bookmarkEnd w:id="111"/>
      <w:bookmarkEnd w:id="112"/>
    </w:p>
    <w:p>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rPr>
          <w:snapToGrid w:val="0"/>
        </w:rPr>
      </w:pPr>
      <w:r>
        <w:rPr>
          <w:snapToGrid w:val="0"/>
        </w:rPr>
        <w:tab/>
        <w:t>(a)</w:t>
      </w:r>
      <w:r>
        <w:rPr>
          <w:snapToGrid w:val="0"/>
        </w:rPr>
        <w:tab/>
        <w:t>fail so to deliver the certificate of registration or the number plate; or</w:t>
      </w:r>
    </w:p>
    <w:p>
      <w:pPr>
        <w:pStyle w:val="Indenta"/>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ind w:left="1701" w:hanging="1701"/>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No. 106 of 1981 s. 34; No. 76 of 1996 s. 27; No. 24 of 2000 s. 48.]</w:t>
      </w:r>
    </w:p>
    <w:p>
      <w:pPr>
        <w:pStyle w:val="Heading5"/>
        <w:spacing w:before="180"/>
        <w:rPr>
          <w:snapToGrid w:val="0"/>
        </w:rPr>
      </w:pPr>
      <w:bookmarkStart w:id="113" w:name="_Toc32390843"/>
      <w:bookmarkStart w:id="114" w:name="_Toc375057730"/>
      <w:bookmarkStart w:id="115" w:name="_Toc468354027"/>
      <w:r>
        <w:rPr>
          <w:rStyle w:val="CharSectno"/>
        </w:rPr>
        <w:t>32</w:t>
      </w:r>
      <w:r>
        <w:rPr>
          <w:snapToGrid w:val="0"/>
        </w:rPr>
        <w:t>.</w:t>
      </w:r>
      <w:r>
        <w:rPr>
          <w:snapToGrid w:val="0"/>
        </w:rPr>
        <w:tab/>
        <w:t>Refund of registration fees</w:t>
      </w:r>
      <w:bookmarkEnd w:id="113"/>
      <w:bookmarkEnd w:id="114"/>
      <w:bookmarkEnd w:id="115"/>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spacing w:before="80"/>
        <w:ind w:left="890" w:hanging="890"/>
      </w:pPr>
      <w:r>
        <w:tab/>
        <w:t>[Section 32 amended: No. 106 of 1981 s. 34; No. 76 of 1996 s. 27.]</w:t>
      </w:r>
    </w:p>
    <w:p>
      <w:pPr>
        <w:pStyle w:val="Heading5"/>
        <w:keepLines w:val="0"/>
        <w:spacing w:before="240"/>
      </w:pPr>
      <w:bookmarkStart w:id="116" w:name="_Toc32390844"/>
      <w:bookmarkStart w:id="117" w:name="_Toc375057731"/>
      <w:bookmarkStart w:id="118" w:name="_Toc468354028"/>
      <w:r>
        <w:rPr>
          <w:rStyle w:val="CharSectno"/>
        </w:rPr>
        <w:t>32A</w:t>
      </w:r>
      <w:r>
        <w:t>.</w:t>
      </w:r>
      <w:r>
        <w:tab/>
        <w:t>Nominated owner of vehicle, cancelling and changing</w:t>
      </w:r>
      <w:bookmarkEnd w:id="116"/>
      <w:bookmarkEnd w:id="117"/>
      <w:bookmarkEnd w:id="118"/>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ind w:left="890" w:hanging="890"/>
      </w:pPr>
      <w:r>
        <w:tab/>
        <w:t>[Section 32A inserted: No. 39 of 2000 s. 55.]</w:t>
      </w:r>
    </w:p>
    <w:p>
      <w:pPr>
        <w:pStyle w:val="Heading5"/>
        <w:rPr>
          <w:snapToGrid w:val="0"/>
        </w:rPr>
      </w:pPr>
      <w:bookmarkStart w:id="119" w:name="_Toc32390845"/>
      <w:bookmarkStart w:id="120" w:name="_Toc375057732"/>
      <w:bookmarkStart w:id="121" w:name="_Toc468354029"/>
      <w:r>
        <w:rPr>
          <w:rStyle w:val="CharSectno"/>
        </w:rPr>
        <w:t>33</w:t>
      </w:r>
      <w:r>
        <w:rPr>
          <w:snapToGrid w:val="0"/>
        </w:rPr>
        <w:t>.</w:t>
      </w:r>
      <w:r>
        <w:rPr>
          <w:snapToGrid w:val="0"/>
        </w:rPr>
        <w:tab/>
        <w:t>Review by SAT of decision on registration</w:t>
      </w:r>
      <w:bookmarkEnd w:id="119"/>
      <w:bookmarkEnd w:id="120"/>
      <w:bookmarkEnd w:id="121"/>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No. 55 of 2004 s. 147.]</w:t>
      </w:r>
    </w:p>
    <w:p>
      <w:pPr>
        <w:pStyle w:val="Heading5"/>
        <w:rPr>
          <w:snapToGrid w:val="0"/>
        </w:rPr>
      </w:pPr>
      <w:bookmarkStart w:id="122" w:name="_Toc32390846"/>
      <w:bookmarkStart w:id="123" w:name="_Toc375057733"/>
      <w:bookmarkStart w:id="124" w:name="_Toc468354030"/>
      <w:r>
        <w:rPr>
          <w:rStyle w:val="CharSectno"/>
        </w:rPr>
        <w:t>34</w:t>
      </w:r>
      <w:r>
        <w:rPr>
          <w:snapToGrid w:val="0"/>
        </w:rPr>
        <w:t>.</w:t>
      </w:r>
      <w:r>
        <w:rPr>
          <w:snapToGrid w:val="0"/>
        </w:rPr>
        <w:tab/>
        <w:t>Number plate to be displayed</w:t>
      </w:r>
      <w:bookmarkEnd w:id="122"/>
      <w:bookmarkEnd w:id="123"/>
      <w:bookmarkEnd w:id="124"/>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iCs/>
        </w:rPr>
        <w:t>Road Traffic (Vehicles) Act 2012</w:t>
      </w:r>
      <w:r>
        <w:t xml:space="preserve">, </w:t>
      </w:r>
      <w:r>
        <w:rPr>
          <w:snapToGrid w:val="0"/>
        </w:rPr>
        <w:t>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No. 106 of 1981 s. 34; No. 76 of 1996 s. 27; No. 7 of 2002 s. 10; No. 8 of 2012 s. 66.]</w:t>
      </w:r>
    </w:p>
    <w:p>
      <w:pPr>
        <w:pStyle w:val="Heading5"/>
        <w:rPr>
          <w:snapToGrid w:val="0"/>
        </w:rPr>
      </w:pPr>
      <w:bookmarkStart w:id="125" w:name="_Toc32390847"/>
      <w:bookmarkStart w:id="126" w:name="_Toc375057734"/>
      <w:bookmarkStart w:id="127" w:name="_Toc468354031"/>
      <w:r>
        <w:rPr>
          <w:rStyle w:val="CharSectno"/>
        </w:rPr>
        <w:t>35</w:t>
      </w:r>
      <w:r>
        <w:rPr>
          <w:snapToGrid w:val="0"/>
        </w:rPr>
        <w:t>.</w:t>
      </w:r>
      <w:r>
        <w:rPr>
          <w:snapToGrid w:val="0"/>
        </w:rPr>
        <w:tab/>
        <w:t>Other offences concerning number plates</w:t>
      </w:r>
      <w:bookmarkEnd w:id="125"/>
      <w:bookmarkEnd w:id="126"/>
      <w:bookmarkEnd w:id="127"/>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 or</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 or</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r>
        <w:tab/>
        <w:t>[Section 35 amended: No. 39 of 2000 s. 56.]</w:t>
      </w:r>
    </w:p>
    <w:p>
      <w:pPr>
        <w:pStyle w:val="Heading5"/>
        <w:rPr>
          <w:snapToGrid w:val="0"/>
        </w:rPr>
      </w:pPr>
      <w:bookmarkStart w:id="128" w:name="_Toc32390848"/>
      <w:bookmarkStart w:id="129" w:name="_Toc375057735"/>
      <w:bookmarkStart w:id="130" w:name="_Toc468354032"/>
      <w:r>
        <w:rPr>
          <w:rStyle w:val="CharSectno"/>
        </w:rPr>
        <w:t>36</w:t>
      </w:r>
      <w:r>
        <w:rPr>
          <w:snapToGrid w:val="0"/>
        </w:rPr>
        <w:t>.</w:t>
      </w:r>
      <w:r>
        <w:rPr>
          <w:snapToGrid w:val="0"/>
        </w:rPr>
        <w:tab/>
        <w:t>Road law provisions</w:t>
      </w:r>
      <w:bookmarkEnd w:id="128"/>
      <w:bookmarkEnd w:id="129"/>
      <w:bookmarkEnd w:id="130"/>
    </w:p>
    <w:p>
      <w:pPr>
        <w:pStyle w:val="Subsection"/>
        <w:rPr>
          <w:snapToGrid w:val="0"/>
        </w:rPr>
      </w:pPr>
      <w:r>
        <w:rPr>
          <w:snapToGrid w:val="0"/>
        </w:rPr>
        <w:tab/>
      </w:r>
      <w:r>
        <w:rPr>
          <w:snapToGrid w:val="0"/>
        </w:rPr>
        <w:tab/>
        <w:t xml:space="preserve">In the application of the provisions of </w:t>
      </w:r>
      <w:r>
        <w:t xml:space="preserve">a road law as defined in the </w:t>
      </w:r>
      <w:r>
        <w:rPr>
          <w:i/>
          <w:iCs/>
        </w:rPr>
        <w:t>Road Traffic (Administration) Act 2008</w:t>
      </w:r>
      <w:r>
        <w:t xml:space="preserve"> section 4 </w:t>
      </w:r>
      <w:r>
        <w:rPr>
          <w:snapToGrid w:val="0"/>
        </w:rPr>
        <w:t>to vehicles to which this Act applies or to persons using vehicles in circumstances to which this Act applies —</w:t>
      </w:r>
    </w:p>
    <w:p>
      <w:pPr>
        <w:pStyle w:val="Indenta"/>
        <w:rPr>
          <w:snapToGrid w:val="0"/>
        </w:rPr>
      </w:pPr>
      <w:r>
        <w:rPr>
          <w:snapToGrid w:val="0"/>
        </w:rPr>
        <w:tab/>
        <w:t>(a)</w:t>
      </w:r>
      <w:r>
        <w:rPr>
          <w:snapToGrid w:val="0"/>
        </w:rPr>
        <w:tab/>
        <w:t xml:space="preserve">the obligations set out in section 54(6) and section 56(1) of </w:t>
      </w:r>
      <w:r>
        <w:t xml:space="preserve">the </w:t>
      </w:r>
      <w:r>
        <w:rPr>
          <w:i/>
          <w:iCs/>
        </w:rPr>
        <w:t xml:space="preserve">Road Traffic Act 1974 </w:t>
      </w:r>
      <w:r>
        <w:rPr>
          <w:snapToGrid w:val="0"/>
        </w:rPr>
        <w:t>shall be deemed to extend to and in relation to the use of a vehicle otherwise than on a road; and</w:t>
      </w:r>
    </w:p>
    <w:p>
      <w:pPr>
        <w:pStyle w:val="Indenta"/>
        <w:rPr>
          <w:snapToGrid w:val="0"/>
        </w:rPr>
      </w:pPr>
      <w:r>
        <w:rPr>
          <w:snapToGrid w:val="0"/>
        </w:rPr>
        <w:tab/>
        <w:t>(b)</w:t>
      </w:r>
      <w:r>
        <w:rPr>
          <w:snapToGrid w:val="0"/>
        </w:rPr>
        <w:tab/>
        <w:t xml:space="preserve">any reference </w:t>
      </w:r>
      <w:r>
        <w:t xml:space="preserve">to a police officer in the </w:t>
      </w:r>
      <w:r>
        <w:rPr>
          <w:i/>
          <w:iCs/>
        </w:rPr>
        <w:t>Road Traffic (Administration) Act 2008</w:t>
      </w:r>
      <w:r>
        <w:t xml:space="preserve"> section 32, 33, 34 or 48 or the </w:t>
      </w:r>
      <w:r>
        <w:rPr>
          <w:i/>
          <w:iCs/>
        </w:rPr>
        <w:t>Road Traffic Act 1974</w:t>
      </w:r>
      <w:r>
        <w:t xml:space="preserve"> section 54, 55 or 57 </w:t>
      </w:r>
      <w:r>
        <w:rPr>
          <w:snapToGrid w:val="0"/>
        </w:rPr>
        <w:t>shall be construed as a reference to an authorised officer within the meaning of this Act.</w:t>
      </w:r>
    </w:p>
    <w:p>
      <w:pPr>
        <w:pStyle w:val="Footnotesection"/>
      </w:pPr>
      <w:r>
        <w:tab/>
        <w:t>[Section 36 amended: No. 106 of 1981 s. 33; No. 8 of 2012 s. 67.]</w:t>
      </w:r>
    </w:p>
    <w:p>
      <w:pPr>
        <w:pStyle w:val="Ednotesection"/>
      </w:pPr>
      <w:r>
        <w:t>[</w:t>
      </w:r>
      <w:r>
        <w:rPr>
          <w:b/>
        </w:rPr>
        <w:t>36A.</w:t>
      </w:r>
      <w:r>
        <w:tab/>
        <w:t>Deleted: No. 76 of 1996 s. 25.]</w:t>
      </w:r>
    </w:p>
    <w:p>
      <w:pPr>
        <w:pStyle w:val="Heading5"/>
        <w:keepNext w:val="0"/>
        <w:keepLines w:val="0"/>
        <w:rPr>
          <w:snapToGrid w:val="0"/>
        </w:rPr>
      </w:pPr>
      <w:bookmarkStart w:id="131" w:name="_Toc32390849"/>
      <w:bookmarkStart w:id="132" w:name="_Toc375057736"/>
      <w:bookmarkStart w:id="133" w:name="_Toc468354033"/>
      <w:r>
        <w:rPr>
          <w:rStyle w:val="CharSectno"/>
        </w:rPr>
        <w:t>37</w:t>
      </w:r>
      <w:r>
        <w:rPr>
          <w:snapToGrid w:val="0"/>
        </w:rPr>
        <w:t>.</w:t>
      </w:r>
      <w:r>
        <w:rPr>
          <w:snapToGrid w:val="0"/>
        </w:rPr>
        <w:tab/>
        <w:t>Infringement notices</w:t>
      </w:r>
      <w:bookmarkEnd w:id="131"/>
      <w:bookmarkEnd w:id="132"/>
      <w:bookmarkEnd w:id="133"/>
    </w:p>
    <w:p>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No. 14 of 1996 s. 4; No. 39 of 2000 s. 57; No. 84 of 2004 s. 80.]</w:t>
      </w:r>
    </w:p>
    <w:p>
      <w:pPr>
        <w:pStyle w:val="Heading5"/>
        <w:rPr>
          <w:snapToGrid w:val="0"/>
        </w:rPr>
      </w:pPr>
      <w:bookmarkStart w:id="134" w:name="_Toc32390850"/>
      <w:bookmarkStart w:id="135" w:name="_Toc375057737"/>
      <w:bookmarkStart w:id="136" w:name="_Toc468354034"/>
      <w:r>
        <w:rPr>
          <w:rStyle w:val="CharSectno"/>
        </w:rPr>
        <w:t>38</w:t>
      </w:r>
      <w:r>
        <w:rPr>
          <w:snapToGrid w:val="0"/>
        </w:rPr>
        <w:t>.</w:t>
      </w:r>
      <w:r>
        <w:rPr>
          <w:snapToGrid w:val="0"/>
        </w:rPr>
        <w:tab/>
        <w:t>Authorised officers, who are, functions of etc.</w:t>
      </w:r>
      <w:bookmarkEnd w:id="134"/>
      <w:bookmarkEnd w:id="135"/>
      <w:bookmarkEnd w:id="136"/>
    </w:p>
    <w:p>
      <w:pPr>
        <w:pStyle w:val="Subsection"/>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rPr>
          <w:snapToGrid w:val="0"/>
        </w:rPr>
      </w:pPr>
      <w:r>
        <w:rPr>
          <w:snapToGrid w:val="0"/>
        </w:rPr>
        <w:tab/>
        <w:t>(c)</w:t>
      </w:r>
      <w:r>
        <w:rPr>
          <w:snapToGrid w:val="0"/>
        </w:rPr>
        <w:tab/>
        <w:t>any person appointed as such pursuant to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r>
        <w:rPr>
          <w:snapToGrid w:val="0"/>
        </w:rPr>
        <w:t xml:space="preserve"> or</w:t>
      </w:r>
    </w:p>
    <w:p>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or</w:t>
      </w:r>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 or</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or</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keepLines/>
        <w:rPr>
          <w:snapToGrid w:val="0"/>
        </w:rPr>
      </w:pPr>
      <w:r>
        <w:rPr>
          <w:snapToGrid w:val="0"/>
        </w:rPr>
        <w:tab/>
        <w:t>(3)</w:t>
      </w:r>
      <w:r>
        <w:rPr>
          <w:snapToGrid w:val="0"/>
        </w:rPr>
        <w:tab/>
        <w:t>A local government may by resolution appoint —</w:t>
      </w:r>
    </w:p>
    <w:p>
      <w:pPr>
        <w:pStyle w:val="Indenta"/>
        <w:keepNext/>
        <w:keepLines/>
        <w:rPr>
          <w:snapToGrid w:val="0"/>
        </w:rPr>
      </w:pPr>
      <w:r>
        <w:rPr>
          <w:snapToGrid w:val="0"/>
        </w:rPr>
        <w:tab/>
        <w:t>(a)</w:t>
      </w:r>
      <w:r>
        <w:rPr>
          <w:snapToGrid w:val="0"/>
        </w:rPr>
        <w:tab/>
        <w:t>any employee of the local government; and</w:t>
      </w:r>
    </w:p>
    <w:p>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pPr>
        <w:pStyle w:val="Subsection"/>
        <w:rPr>
          <w:snapToGrid w:val="0"/>
        </w:rPr>
      </w:pPr>
      <w:r>
        <w:rPr>
          <w:snapToGrid w:val="0"/>
        </w:rPr>
        <w:tab/>
        <w:t>(4)</w:t>
      </w:r>
      <w:r>
        <w:rPr>
          <w:snapToGrid w:val="0"/>
        </w:rPr>
        <w:tab/>
        <w:t>A person who is appointed as an authorised officer pursuant to subsection (2) or subsection (3)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 and</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rPr>
          <w:snapToGrid w:val="0"/>
        </w:rPr>
      </w:pPr>
      <w:r>
        <w:rPr>
          <w:snapToGrid w:val="0"/>
        </w:rPr>
        <w:tab/>
        <w:t>(6)</w:t>
      </w:r>
      <w:r>
        <w:rPr>
          <w:snapToGrid w:val="0"/>
        </w:rPr>
        <w:tab/>
        <w:t>A person shall not wilfully obstruct any authorised officer or an honorary inspector acting in the execution of this Act.</w:t>
      </w:r>
    </w:p>
    <w:p>
      <w:pPr>
        <w:pStyle w:val="Penstart"/>
        <w:spacing w:before="120"/>
        <w:rPr>
          <w:snapToGrid w:val="0"/>
        </w:rPr>
      </w:pPr>
      <w:r>
        <w:rPr>
          <w:snapToGrid w:val="0"/>
        </w:rPr>
        <w:tab/>
        <w:t>Penalty: $200.</w:t>
      </w:r>
    </w:p>
    <w:p>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spacing w:before="120"/>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spacing w:before="120"/>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iCs/>
        </w:rPr>
        <w:t>Road Traffic (Vehicles) Act 2012</w:t>
      </w:r>
      <w:r>
        <w:rPr>
          <w:iCs/>
        </w:rPr>
        <w:t>,</w:t>
      </w:r>
      <w:r>
        <w:rPr>
          <w:snapToGrid w:val="0"/>
        </w:rPr>
        <w:t xml:space="preserve">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iCs/>
        </w:rPr>
        <w:t xml:space="preserve">Road Traffic (Vehicles) Act 2012, </w:t>
      </w:r>
      <w:r>
        <w:rPr>
          <w:snapToGrid w:val="0"/>
        </w:rPr>
        <w:t>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officer is satisfied —</w:t>
      </w:r>
    </w:p>
    <w:p>
      <w:pPr>
        <w:pStyle w:val="Indenta"/>
      </w:pPr>
      <w:r>
        <w:tab/>
        <w:t>(a)</w:t>
      </w:r>
      <w:r>
        <w:tab/>
        <w:t xml:space="preserve">that it is licensed under the </w:t>
      </w:r>
      <w:r>
        <w:rPr>
          <w:i/>
          <w:iCs/>
        </w:rPr>
        <w:t xml:space="preserve">Road Traffic (Vehicles) Act 2012 </w:t>
      </w:r>
      <w:r>
        <w:t>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officer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officer appointed by a local government under subsection (3) is to be taken to be detained by the local government.</w:t>
      </w:r>
    </w:p>
    <w:p>
      <w:pPr>
        <w:pStyle w:val="Footnotesection"/>
        <w:keepLines w:val="0"/>
      </w:pPr>
      <w:r>
        <w:tab/>
        <w:t>[Section 38 amended: No. 106 of 1981 s. 34; No. 24 of 1995 s. 53; No. 53 of 1994 s. 264; No. 14 of 1996 s. 4; No. 76 of 1996 s. 26 and 27; No. 39 of 2000 s. 58 and 59; No. 59 of 2004 s. 141; No. 28 of 2006 s. 359; No. 8 of 2012 s. 68.]</w:t>
      </w:r>
    </w:p>
    <w:p>
      <w:pPr>
        <w:pStyle w:val="Heading5"/>
        <w:rPr>
          <w:snapToGrid w:val="0"/>
        </w:rPr>
      </w:pPr>
      <w:bookmarkStart w:id="137" w:name="_Toc32390851"/>
      <w:bookmarkStart w:id="138" w:name="_Toc375057738"/>
      <w:bookmarkStart w:id="139" w:name="_Toc468354035"/>
      <w:r>
        <w:rPr>
          <w:rStyle w:val="CharSectno"/>
        </w:rPr>
        <w:t>39</w:t>
      </w:r>
      <w:r>
        <w:rPr>
          <w:snapToGrid w:val="0"/>
        </w:rPr>
        <w:t>.</w:t>
      </w:r>
      <w:r>
        <w:rPr>
          <w:snapToGrid w:val="0"/>
        </w:rPr>
        <w:tab/>
        <w:t>Evidentiary provisions for prosecutions</w:t>
      </w:r>
      <w:bookmarkEnd w:id="137"/>
      <w:bookmarkEnd w:id="138"/>
      <w:bookmarkEnd w:id="139"/>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pPr>
        <w:pStyle w:val="Indenti"/>
        <w:rPr>
          <w:snapToGrid w:val="0"/>
        </w:rPr>
      </w:pPr>
      <w:r>
        <w:rPr>
          <w:snapToGrid w:val="0"/>
        </w:rPr>
        <w:tab/>
        <w:t>(ii)</w:t>
      </w:r>
      <w:r>
        <w:rPr>
          <w:snapToGrid w:val="0"/>
        </w:rPr>
        <w:tab/>
        <w:t xml:space="preserve">a vehicle was not licensed under the </w:t>
      </w:r>
      <w:r>
        <w:rPr>
          <w:i/>
          <w:iCs/>
        </w:rPr>
        <w:t>Road Traffic (Vehicles) Act 2012</w:t>
      </w:r>
      <w: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 and</w:t>
      </w:r>
    </w:p>
    <w:p>
      <w:pPr>
        <w:pStyle w:val="Indenta"/>
        <w:keepNext/>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keepLines/>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No. 14 of 1996 s. 4; No. 31 of 1997 s. 17; No. 84 of 2004 s. 80; No. 8 of 2012 s. 69.]</w:t>
      </w:r>
    </w:p>
    <w:p>
      <w:pPr>
        <w:pStyle w:val="Heading5"/>
        <w:spacing w:before="240"/>
        <w:rPr>
          <w:snapToGrid w:val="0"/>
        </w:rPr>
      </w:pPr>
      <w:bookmarkStart w:id="140" w:name="_Toc32390852"/>
      <w:bookmarkStart w:id="141" w:name="_Toc375057739"/>
      <w:bookmarkStart w:id="142" w:name="_Toc468354036"/>
      <w:r>
        <w:rPr>
          <w:rStyle w:val="CharSectno"/>
        </w:rPr>
        <w:t>40</w:t>
      </w:r>
      <w:r>
        <w:rPr>
          <w:snapToGrid w:val="0"/>
        </w:rPr>
        <w:t>.</w:t>
      </w:r>
      <w:r>
        <w:rPr>
          <w:snapToGrid w:val="0"/>
        </w:rPr>
        <w:tab/>
        <w:t>Prosecutions, who may commence</w:t>
      </w:r>
      <w:bookmarkEnd w:id="140"/>
      <w:bookmarkEnd w:id="141"/>
      <w:bookmarkEnd w:id="142"/>
    </w:p>
    <w:p>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pPr>
        <w:pStyle w:val="Footnotesection"/>
      </w:pPr>
      <w:r>
        <w:tab/>
        <w:t>[Section 40 amended: No. 14 of 1996 s. 4; No. 59 of 2004 s. 141.]</w:t>
      </w:r>
    </w:p>
    <w:p>
      <w:pPr>
        <w:pStyle w:val="Heading5"/>
        <w:spacing w:before="240"/>
        <w:rPr>
          <w:snapToGrid w:val="0"/>
        </w:rPr>
      </w:pPr>
      <w:bookmarkStart w:id="143" w:name="_Toc32390853"/>
      <w:bookmarkStart w:id="144" w:name="_Toc375057740"/>
      <w:bookmarkStart w:id="145" w:name="_Toc468354037"/>
      <w:r>
        <w:rPr>
          <w:rStyle w:val="CharSectno"/>
        </w:rPr>
        <w:t>41</w:t>
      </w:r>
      <w:r>
        <w:rPr>
          <w:snapToGrid w:val="0"/>
        </w:rPr>
        <w:t>.</w:t>
      </w:r>
      <w:r>
        <w:rPr>
          <w:snapToGrid w:val="0"/>
        </w:rPr>
        <w:tab/>
        <w:t>General penalty</w:t>
      </w:r>
      <w:bookmarkEnd w:id="143"/>
      <w:bookmarkEnd w:id="144"/>
      <w:bookmarkEnd w:id="145"/>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 No. 78 of 1995 s. 17.]</w:t>
      </w:r>
    </w:p>
    <w:p>
      <w:pPr>
        <w:pStyle w:val="Heading5"/>
        <w:spacing w:before="240"/>
        <w:rPr>
          <w:snapToGrid w:val="0"/>
        </w:rPr>
      </w:pPr>
      <w:bookmarkStart w:id="146" w:name="_Toc32390854"/>
      <w:bookmarkStart w:id="147" w:name="_Toc375057741"/>
      <w:bookmarkStart w:id="148" w:name="_Toc468354038"/>
      <w:r>
        <w:rPr>
          <w:rStyle w:val="CharSectno"/>
        </w:rPr>
        <w:t>42</w:t>
      </w:r>
      <w:r>
        <w:rPr>
          <w:snapToGrid w:val="0"/>
        </w:rPr>
        <w:t>.</w:t>
      </w:r>
      <w:r>
        <w:rPr>
          <w:snapToGrid w:val="0"/>
        </w:rPr>
        <w:tab/>
        <w:t>Detention of vehicles, court may order</w:t>
      </w:r>
      <w:bookmarkEnd w:id="146"/>
      <w:bookmarkEnd w:id="147"/>
      <w:bookmarkEnd w:id="148"/>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No. 106 of 1981 s. 34; No. 14 of 1996 s. 4; No. 76 of 1996 s. 27; No. 39 of 2000 s. 59; No. 59 of 2004 s. 141.]</w:t>
      </w:r>
    </w:p>
    <w:p>
      <w:pPr>
        <w:pStyle w:val="Heading5"/>
        <w:rPr>
          <w:snapToGrid w:val="0"/>
        </w:rPr>
      </w:pPr>
      <w:bookmarkStart w:id="149" w:name="_Toc32390855"/>
      <w:bookmarkStart w:id="150" w:name="_Toc375057742"/>
      <w:bookmarkStart w:id="151" w:name="_Toc468354039"/>
      <w:r>
        <w:rPr>
          <w:rStyle w:val="CharSectno"/>
        </w:rPr>
        <w:t>43</w:t>
      </w:r>
      <w:r>
        <w:rPr>
          <w:snapToGrid w:val="0"/>
        </w:rPr>
        <w:t>.</w:t>
      </w:r>
      <w:r>
        <w:rPr>
          <w:snapToGrid w:val="0"/>
        </w:rPr>
        <w:tab/>
        <w:t>Expenses of this Act, appropriation of penalties etc.</w:t>
      </w:r>
      <w:bookmarkEnd w:id="149"/>
      <w:bookmarkEnd w:id="150"/>
      <w:bookmarkEnd w:id="151"/>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No. 106 of 1981 s. 34; No. 78 of 1995 s. 17; No. 49 of 1996 s. 64; No. 76 of 1996 s. 27; No. 7 of 2002 s. 11(1); No. 77 of 2006 Sch. 1 cl. 34.]</w:t>
      </w:r>
    </w:p>
    <w:p>
      <w:pPr>
        <w:pStyle w:val="Heading5"/>
        <w:rPr>
          <w:snapToGrid w:val="0"/>
        </w:rPr>
      </w:pPr>
      <w:bookmarkStart w:id="152" w:name="_Toc32390856"/>
      <w:bookmarkStart w:id="153" w:name="_Toc375057743"/>
      <w:bookmarkStart w:id="154" w:name="_Toc468354040"/>
      <w:r>
        <w:rPr>
          <w:rStyle w:val="CharSectno"/>
        </w:rPr>
        <w:t>44</w:t>
      </w:r>
      <w:r>
        <w:rPr>
          <w:snapToGrid w:val="0"/>
        </w:rPr>
        <w:t>.</w:t>
      </w:r>
      <w:r>
        <w:rPr>
          <w:snapToGrid w:val="0"/>
        </w:rPr>
        <w:tab/>
        <w:t>Regulations that operate as local laws, Governor may make</w:t>
      </w:r>
      <w:bookmarkEnd w:id="152"/>
      <w:bookmarkEnd w:id="153"/>
      <w:bookmarkEnd w:id="154"/>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No. 14 of 1996 s. 4.]</w:t>
      </w:r>
    </w:p>
    <w:p>
      <w:pPr>
        <w:pStyle w:val="Heading5"/>
        <w:rPr>
          <w:snapToGrid w:val="0"/>
        </w:rPr>
      </w:pPr>
      <w:bookmarkStart w:id="155" w:name="_Toc32390857"/>
      <w:bookmarkStart w:id="156" w:name="_Toc375057744"/>
      <w:bookmarkStart w:id="157" w:name="_Toc468354041"/>
      <w:r>
        <w:rPr>
          <w:rStyle w:val="CharSectno"/>
        </w:rPr>
        <w:t>45</w:t>
      </w:r>
      <w:r>
        <w:rPr>
          <w:snapToGrid w:val="0"/>
        </w:rPr>
        <w:t>.</w:t>
      </w:r>
      <w:r>
        <w:rPr>
          <w:snapToGrid w:val="0"/>
        </w:rPr>
        <w:tab/>
        <w:t>Local laws, local government may make</w:t>
      </w:r>
      <w:bookmarkEnd w:id="155"/>
      <w:bookmarkEnd w:id="156"/>
      <w:bookmarkEnd w:id="157"/>
    </w:p>
    <w:p>
      <w:pPr>
        <w:pStyle w:val="Subsection"/>
        <w:keepNext/>
        <w:keepLines/>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 and</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No. 14 of 1996 s. 4.]</w:t>
      </w:r>
    </w:p>
    <w:p>
      <w:pPr>
        <w:pStyle w:val="Heading5"/>
        <w:rPr>
          <w:snapToGrid w:val="0"/>
        </w:rPr>
      </w:pPr>
      <w:bookmarkStart w:id="158" w:name="_Toc32390858"/>
      <w:bookmarkStart w:id="159" w:name="_Toc375057745"/>
      <w:bookmarkStart w:id="160" w:name="_Toc468354042"/>
      <w:r>
        <w:rPr>
          <w:rStyle w:val="CharSectno"/>
        </w:rPr>
        <w:t>45A</w:t>
      </w:r>
      <w:r>
        <w:rPr>
          <w:snapToGrid w:val="0"/>
        </w:rPr>
        <w:t xml:space="preserve">. </w:t>
      </w:r>
      <w:r>
        <w:rPr>
          <w:snapToGrid w:val="0"/>
        </w:rPr>
        <w:tab/>
        <w:t>Model local laws, Governor may make</w:t>
      </w:r>
      <w:bookmarkEnd w:id="158"/>
      <w:bookmarkEnd w:id="159"/>
      <w:bookmarkEnd w:id="160"/>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No. 14 of 1996 s. 4.]</w:t>
      </w:r>
    </w:p>
    <w:p>
      <w:pPr>
        <w:pStyle w:val="Heading5"/>
        <w:rPr>
          <w:snapToGrid w:val="0"/>
        </w:rPr>
      </w:pPr>
      <w:bookmarkStart w:id="161" w:name="_Toc32390859"/>
      <w:bookmarkStart w:id="162" w:name="_Toc375057746"/>
      <w:bookmarkStart w:id="163" w:name="_Toc468354043"/>
      <w:r>
        <w:rPr>
          <w:rStyle w:val="CharSectno"/>
        </w:rPr>
        <w:t>45B</w:t>
      </w:r>
      <w:r>
        <w:rPr>
          <w:snapToGrid w:val="0"/>
        </w:rPr>
        <w:t xml:space="preserve">. </w:t>
      </w:r>
      <w:r>
        <w:rPr>
          <w:snapToGrid w:val="0"/>
        </w:rPr>
        <w:tab/>
        <w:t>Local laws, Governor may amend or repeal</w:t>
      </w:r>
      <w:bookmarkEnd w:id="161"/>
      <w:bookmarkEnd w:id="162"/>
      <w:bookmarkEnd w:id="163"/>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No. 14 of 1996 s. 4.]</w:t>
      </w:r>
    </w:p>
    <w:p>
      <w:pPr>
        <w:pStyle w:val="Heading5"/>
        <w:rPr>
          <w:snapToGrid w:val="0"/>
        </w:rPr>
      </w:pPr>
      <w:bookmarkStart w:id="164" w:name="_Toc32390860"/>
      <w:bookmarkStart w:id="165" w:name="_Toc375057747"/>
      <w:bookmarkStart w:id="166" w:name="_Toc468354044"/>
      <w:r>
        <w:rPr>
          <w:rStyle w:val="CharSectno"/>
        </w:rPr>
        <w:t>46</w:t>
      </w:r>
      <w:r>
        <w:rPr>
          <w:snapToGrid w:val="0"/>
        </w:rPr>
        <w:t>.</w:t>
      </w:r>
      <w:r>
        <w:rPr>
          <w:snapToGrid w:val="0"/>
        </w:rPr>
        <w:tab/>
        <w:t>Regulations and local laws, general</w:t>
      </w:r>
      <w:bookmarkEnd w:id="164"/>
      <w:bookmarkEnd w:id="165"/>
      <w:bookmarkEnd w:id="166"/>
    </w:p>
    <w:p>
      <w:pPr>
        <w:pStyle w:val="Subsection"/>
        <w:rPr>
          <w:snapToGrid w:val="0"/>
        </w:rPr>
      </w:pPr>
      <w:r>
        <w:rPr>
          <w:snapToGrid w:val="0"/>
        </w:rPr>
        <w:tab/>
        <w:t>(1)</w:t>
      </w:r>
      <w:r>
        <w:rPr>
          <w:snapToGrid w:val="0"/>
        </w:rPr>
        <w:tab/>
        <w:t>Any regulation made under section 44 or local law made under this Act may be so made —</w:t>
      </w:r>
    </w:p>
    <w:p>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spacing w:before="120"/>
        <w:rPr>
          <w:snapToGrid w:val="0"/>
        </w:rPr>
      </w:pPr>
      <w:r>
        <w:rPr>
          <w:snapToGrid w:val="0"/>
        </w:rPr>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pPr>
        <w:pStyle w:val="Footnotesection"/>
        <w:keepLines w:val="0"/>
        <w:spacing w:before="80"/>
        <w:ind w:left="890" w:hanging="890"/>
      </w:pPr>
      <w:r>
        <w:tab/>
        <w:t>[Section 46 amended: No. 14 of 1996 s. 4.]</w:t>
      </w:r>
    </w:p>
    <w:p>
      <w:pPr>
        <w:pStyle w:val="Heading5"/>
        <w:keepNext w:val="0"/>
        <w:keepLines w:val="0"/>
        <w:spacing w:before="180"/>
        <w:rPr>
          <w:snapToGrid w:val="0"/>
        </w:rPr>
      </w:pPr>
      <w:bookmarkStart w:id="167" w:name="_Toc32390861"/>
      <w:bookmarkStart w:id="168" w:name="_Toc375057748"/>
      <w:bookmarkStart w:id="169" w:name="_Toc468354045"/>
      <w:r>
        <w:rPr>
          <w:rStyle w:val="CharSectno"/>
        </w:rPr>
        <w:t>47</w:t>
      </w:r>
      <w:r>
        <w:rPr>
          <w:snapToGrid w:val="0"/>
        </w:rPr>
        <w:t>.</w:t>
      </w:r>
      <w:r>
        <w:rPr>
          <w:snapToGrid w:val="0"/>
        </w:rPr>
        <w:tab/>
        <w:t>Local laws and local planning schemes, Governor may revoke or amend</w:t>
      </w:r>
      <w:bookmarkEnd w:id="167"/>
      <w:bookmarkEnd w:id="168"/>
      <w:bookmarkEnd w:id="169"/>
    </w:p>
    <w:p>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spacing w:before="120"/>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spacing w:before="80"/>
        <w:ind w:left="890" w:hanging="890"/>
      </w:pPr>
      <w:r>
        <w:tab/>
        <w:t>[Section 47 amended: No. 14 of 1996 s. 4; No. 38 of 2005 s. 15.]</w:t>
      </w:r>
    </w:p>
    <w:p>
      <w:pPr>
        <w:pStyle w:val="Heading5"/>
        <w:rPr>
          <w:snapToGrid w:val="0"/>
        </w:rPr>
      </w:pPr>
      <w:bookmarkStart w:id="170" w:name="_Toc32390862"/>
      <w:bookmarkStart w:id="171" w:name="_Toc375057749"/>
      <w:bookmarkStart w:id="172" w:name="_Toc468354046"/>
      <w:r>
        <w:rPr>
          <w:rStyle w:val="CharSectno"/>
        </w:rPr>
        <w:t>48</w:t>
      </w:r>
      <w:r>
        <w:rPr>
          <w:snapToGrid w:val="0"/>
        </w:rPr>
        <w:t>.</w:t>
      </w:r>
      <w:r>
        <w:rPr>
          <w:snapToGrid w:val="0"/>
        </w:rPr>
        <w:tab/>
        <w:t>Regulations</w:t>
      </w:r>
      <w:bookmarkEnd w:id="170"/>
      <w:bookmarkEnd w:id="171"/>
      <w:bookmarkEnd w:id="172"/>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No. 14 of 1996 s. 4.]</w:t>
      </w:r>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73" w:name="_Toc32390863"/>
      <w:bookmarkStart w:id="174" w:name="_Toc375057750"/>
      <w:bookmarkStart w:id="175" w:name="_Toc415662651"/>
      <w:bookmarkStart w:id="176" w:name="_Toc415662719"/>
      <w:bookmarkStart w:id="177" w:name="_Toc415662779"/>
      <w:bookmarkStart w:id="178" w:name="_Toc417652820"/>
      <w:bookmarkStart w:id="179" w:name="_Toc468354047"/>
      <w:r>
        <w:t>Notes</w:t>
      </w:r>
      <w:bookmarkEnd w:id="173"/>
      <w:bookmarkEnd w:id="174"/>
      <w:bookmarkEnd w:id="175"/>
      <w:bookmarkEnd w:id="176"/>
      <w:bookmarkEnd w:id="177"/>
      <w:bookmarkEnd w:id="178"/>
      <w:bookmarkEnd w:id="179"/>
    </w:p>
    <w:p>
      <w:pPr>
        <w:pStyle w:val="nStatement"/>
      </w:pPr>
      <w:del w:id="180" w:author="svcMRProcess" w:date="2020-02-24T11:11:00Z">
        <w:r>
          <w:rPr>
            <w:snapToGrid w:val="0"/>
            <w:vertAlign w:val="superscript"/>
          </w:rPr>
          <w:delText>1</w:delText>
        </w:r>
        <w:r>
          <w:rPr>
            <w:snapToGrid w:val="0"/>
          </w:rPr>
          <w:tab/>
        </w:r>
      </w:del>
      <w:r>
        <w:t xml:space="preserve">This is a compilation of the </w:t>
      </w:r>
      <w:r>
        <w:rPr>
          <w:i/>
          <w:noProof/>
        </w:rPr>
        <w:t>Control of Vehicles (Off-road Areas) Act</w:t>
      </w:r>
      <w:del w:id="181" w:author="svcMRProcess" w:date="2020-02-24T11:11:00Z">
        <w:r>
          <w:rPr>
            <w:i/>
            <w:noProof/>
            <w:snapToGrid w:val="0"/>
          </w:rPr>
          <w:delText xml:space="preserve"> </w:delText>
        </w:r>
      </w:del>
      <w:ins w:id="182" w:author="svcMRProcess" w:date="2020-02-24T11:11:00Z">
        <w:r>
          <w:rPr>
            <w:i/>
            <w:noProof/>
          </w:rPr>
          <w:t> </w:t>
        </w:r>
      </w:ins>
      <w:r>
        <w:rPr>
          <w:i/>
          <w:noProof/>
        </w:rPr>
        <w:t>1978</w:t>
      </w:r>
      <w:r>
        <w:t xml:space="preserve"> and includes </w:t>
      </w:r>
      <w:del w:id="183" w:author="svcMRProcess" w:date="2020-02-24T11:11:00Z">
        <w:r>
          <w:rPr>
            <w:snapToGrid w:val="0"/>
          </w:rPr>
          <w:delText xml:space="preserve">the </w:delText>
        </w:r>
      </w:del>
      <w:r>
        <w:t xml:space="preserve">amendments made by </w:t>
      </w:r>
      <w:del w:id="184" w:author="svcMRProcess" w:date="2020-02-24T11:11:00Z">
        <w:r>
          <w:rPr>
            <w:snapToGrid w:val="0"/>
          </w:rPr>
          <w:delText xml:space="preserve">the </w:delText>
        </w:r>
      </w:del>
      <w:r>
        <w:t>other written laws</w:t>
      </w:r>
      <w:del w:id="185" w:author="svcMRProcess" w:date="2020-02-24T11:11:00Z">
        <w:r>
          <w:rPr>
            <w:snapToGrid w:val="0"/>
          </w:rPr>
          <w:delText xml:space="preserve"> referred to in the following table</w:delText>
        </w:r>
        <w:r>
          <w:delText> </w:delText>
        </w:r>
        <w:r>
          <w:rPr>
            <w:vertAlign w:val="superscript"/>
          </w:rPr>
          <w:delText>1a</w:delText>
        </w:r>
        <w:r>
          <w:rPr>
            <w:snapToGrid w:val="0"/>
          </w:rPr>
          <w:delText>.  The table also contains</w:delText>
        </w:r>
      </w:del>
      <w:ins w:id="186" w:author="svcMRProcess" w:date="2020-02-24T11:11:00Z">
        <w:r>
          <w:t>. For provisions that have come into operation, and for</w:t>
        </w:r>
      </w:ins>
      <w:r>
        <w:t xml:space="preserve"> information about any </w:t>
      </w:r>
      <w:del w:id="187" w:author="svcMRProcess" w:date="2020-02-24T11:11:00Z">
        <w:r>
          <w:rPr>
            <w:snapToGrid w:val="0"/>
          </w:rPr>
          <w:delText>reprint</w:delText>
        </w:r>
      </w:del>
      <w:ins w:id="188" w:author="svcMRProcess" w:date="2020-02-24T11:11:00Z">
        <w:r>
          <w:t>reprints, see the compilation table. For provisions that have not yet come into operation see the uncommenced provisions table</w:t>
        </w:r>
      </w:ins>
      <w:r>
        <w:t>.</w:t>
      </w:r>
    </w:p>
    <w:p>
      <w:pPr>
        <w:pStyle w:val="nHeading3"/>
      </w:pPr>
      <w:bookmarkStart w:id="189" w:name="_Toc32390864"/>
      <w:bookmarkStart w:id="190" w:name="_Toc375057751"/>
      <w:bookmarkStart w:id="191" w:name="_Toc468354048"/>
      <w:r>
        <w:t>Compilation table</w:t>
      </w:r>
      <w:bookmarkEnd w:id="189"/>
      <w:bookmarkEnd w:id="190"/>
      <w:bookmarkEnd w:id="191"/>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192" w:author="svcMRProcess" w:date="2020-02-24T11:11:00Z">
              <w:r>
                <w:rPr>
                  <w:b/>
                </w:rPr>
                <w:delText xml:space="preserve"> </w:delText>
              </w:r>
            </w:del>
            <w:ins w:id="193" w:author="svcMRProcess" w:date="2020-02-24T11:11: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Control of Vehicles (Off</w:t>
            </w:r>
            <w:r>
              <w:rPr>
                <w:i/>
              </w:rPr>
              <w:noBreakHyphen/>
              <w:t>road Areas) Act 1978</w:t>
            </w:r>
          </w:p>
        </w:tc>
        <w:tc>
          <w:tcPr>
            <w:tcW w:w="1134" w:type="dxa"/>
          </w:tcPr>
          <w:p>
            <w:pPr>
              <w:pStyle w:val="nTable"/>
              <w:spacing w:before="60" w:after="60"/>
            </w:pPr>
            <w:r>
              <w:t>117 of 1978</w:t>
            </w:r>
          </w:p>
        </w:tc>
        <w:tc>
          <w:tcPr>
            <w:tcW w:w="1134" w:type="dxa"/>
          </w:tcPr>
          <w:p>
            <w:pPr>
              <w:pStyle w:val="nTable"/>
              <w:spacing w:before="60" w:after="60"/>
            </w:pPr>
            <w:r>
              <w:t>12 Dec 1978</w:t>
            </w:r>
          </w:p>
        </w:tc>
        <w:tc>
          <w:tcPr>
            <w:tcW w:w="2552" w:type="dxa"/>
          </w:tcPr>
          <w:p>
            <w:pPr>
              <w:pStyle w:val="nTable"/>
              <w:spacing w:before="60" w:after="60"/>
              <w:rPr>
                <w:vertAlign w:val="superscript"/>
              </w:rPr>
            </w:pPr>
            <w:r>
              <w:t xml:space="preserve">Act other than s. 11: 5 Oct 1979 (see s. 2 and </w:t>
            </w:r>
            <w:r>
              <w:rPr>
                <w:i/>
              </w:rPr>
              <w:t>Gazette</w:t>
            </w:r>
            <w:r>
              <w:t xml:space="preserve"> 5 Oct 1979 p. 3079)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 xml:space="preserve">Acts Amendment (Traffic Board) Act 1981 </w:t>
            </w:r>
            <w:r>
              <w:t>Pt. VII</w:t>
            </w:r>
          </w:p>
        </w:tc>
        <w:tc>
          <w:tcPr>
            <w:tcW w:w="1134" w:type="dxa"/>
          </w:tcPr>
          <w:p>
            <w:pPr>
              <w:pStyle w:val="nTable"/>
              <w:spacing w:before="60" w:after="60"/>
            </w:pPr>
            <w:r>
              <w:t>106 of 1981</w:t>
            </w:r>
          </w:p>
        </w:tc>
        <w:tc>
          <w:tcPr>
            <w:tcW w:w="1134" w:type="dxa"/>
          </w:tcPr>
          <w:p>
            <w:pPr>
              <w:pStyle w:val="nTable"/>
              <w:spacing w:before="60" w:after="60"/>
            </w:pPr>
            <w:r>
              <w:t>4 Dec 1981</w:t>
            </w:r>
          </w:p>
        </w:tc>
        <w:tc>
          <w:tcPr>
            <w:tcW w:w="2552" w:type="dxa"/>
          </w:tcPr>
          <w:p>
            <w:pPr>
              <w:pStyle w:val="nTable"/>
              <w:spacing w:before="60" w:after="60"/>
            </w:pPr>
            <w:r>
              <w:t xml:space="preserve">2 Feb 1982 (see s. 2 and </w:t>
            </w:r>
            <w:r>
              <w:rPr>
                <w:i/>
              </w:rPr>
              <w:t>Gazette</w:t>
            </w:r>
            <w:r>
              <w:t xml:space="preserve"> 2 Feb 1982 p. 393)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 xml:space="preserve">Acts Amendment and Repeal (Credit) Act 1984 </w:t>
            </w:r>
            <w:r>
              <w:t>Pt. III</w:t>
            </w:r>
          </w:p>
        </w:tc>
        <w:tc>
          <w:tcPr>
            <w:tcW w:w="1134" w:type="dxa"/>
          </w:tcPr>
          <w:p>
            <w:pPr>
              <w:pStyle w:val="nTable"/>
              <w:spacing w:before="60" w:after="60"/>
            </w:pPr>
            <w:r>
              <w:t>102 of 1984</w:t>
            </w:r>
          </w:p>
        </w:tc>
        <w:tc>
          <w:tcPr>
            <w:tcW w:w="1134" w:type="dxa"/>
          </w:tcPr>
          <w:p>
            <w:pPr>
              <w:pStyle w:val="nTable"/>
              <w:spacing w:before="60" w:after="60"/>
            </w:pPr>
            <w:r>
              <w:t>19 Dec 1984</w:t>
            </w:r>
          </w:p>
        </w:tc>
        <w:tc>
          <w:tcPr>
            <w:tcW w:w="2552" w:type="dxa"/>
          </w:tcPr>
          <w:p>
            <w:pPr>
              <w:pStyle w:val="nTable"/>
              <w:spacing w:before="60" w:after="60"/>
            </w:pPr>
            <w:r>
              <w:t xml:space="preserve">31 Mar 1985 (see s. 2 and </w:t>
            </w:r>
            <w:r>
              <w:rPr>
                <w:i/>
              </w:rPr>
              <w:t>Gazette</w:t>
            </w:r>
            <w:r>
              <w:t xml:space="preserve"> 8 Mar 1985 p. 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Control of Vehicles (Off</w:t>
            </w:r>
            <w:r>
              <w:rPr>
                <w:i/>
              </w:rPr>
              <w:noBreakHyphen/>
              <w:t>road Areas) Amendment Act 1985</w:t>
            </w:r>
          </w:p>
        </w:tc>
        <w:tc>
          <w:tcPr>
            <w:tcW w:w="1134" w:type="dxa"/>
          </w:tcPr>
          <w:p>
            <w:pPr>
              <w:pStyle w:val="nTable"/>
              <w:spacing w:before="60" w:after="60"/>
            </w:pPr>
            <w:r>
              <w:t>12 of 1985</w:t>
            </w:r>
          </w:p>
        </w:tc>
        <w:tc>
          <w:tcPr>
            <w:tcW w:w="1134" w:type="dxa"/>
          </w:tcPr>
          <w:p>
            <w:pPr>
              <w:pStyle w:val="nTable"/>
              <w:spacing w:before="60" w:after="60"/>
            </w:pPr>
            <w:r>
              <w:t>12 Apr 1985</w:t>
            </w:r>
          </w:p>
        </w:tc>
        <w:tc>
          <w:tcPr>
            <w:tcW w:w="2552" w:type="dxa"/>
          </w:tcPr>
          <w:p>
            <w:pPr>
              <w:pStyle w:val="nTable"/>
              <w:spacing w:before="60" w:after="60"/>
            </w:pPr>
            <w:r>
              <w:t>s. 1 and 2: 12 Apr 1985;</w:t>
            </w:r>
            <w:r>
              <w:br/>
              <w:t xml:space="preserve">Act other than s. 1 and 2: 1 Dec 1985 (see s. 2 and </w:t>
            </w:r>
            <w:r>
              <w:rPr>
                <w:i/>
              </w:rPr>
              <w:t>Gazette</w:t>
            </w:r>
            <w:r>
              <w:t xml:space="preserve"> 1 Nov 1985 p. 4189)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Control of Vehicles (Off</w:t>
            </w:r>
            <w:r>
              <w:rPr>
                <w:i/>
              </w:rPr>
              <w:noBreakHyphen/>
              <w:t>road Areas) Amendment Act 1986</w:t>
            </w:r>
          </w:p>
        </w:tc>
        <w:tc>
          <w:tcPr>
            <w:tcW w:w="1134" w:type="dxa"/>
          </w:tcPr>
          <w:p>
            <w:pPr>
              <w:pStyle w:val="nTable"/>
              <w:spacing w:before="60" w:after="60"/>
            </w:pPr>
            <w:r>
              <w:t>56 of 1986</w:t>
            </w:r>
          </w:p>
        </w:tc>
        <w:tc>
          <w:tcPr>
            <w:tcW w:w="1134" w:type="dxa"/>
          </w:tcPr>
          <w:p>
            <w:pPr>
              <w:pStyle w:val="nTable"/>
              <w:spacing w:before="60" w:after="60"/>
            </w:pPr>
            <w:r>
              <w:t>26 Nov 1986</w:t>
            </w:r>
          </w:p>
        </w:tc>
        <w:tc>
          <w:tcPr>
            <w:tcW w:w="2552" w:type="dxa"/>
          </w:tcPr>
          <w:p>
            <w:pPr>
              <w:pStyle w:val="nTable"/>
              <w:spacing w:before="60" w:after="60"/>
            </w:pPr>
            <w:r>
              <w:t>s. 1 and 2: 26 Nov 1986;</w:t>
            </w:r>
            <w:r>
              <w:br/>
              <w:t xml:space="preserve">Act other than s. 1 and 2: 15 May 1987 (see s. 2 and </w:t>
            </w:r>
            <w:r>
              <w:rPr>
                <w:i/>
              </w:rPr>
              <w:t>Gazette</w:t>
            </w:r>
            <w:r>
              <w:t xml:space="preserve"> 15 May 1987 p. 2119)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Guardianship and Administration Act 1990</w:t>
            </w:r>
            <w:r>
              <w:t xml:space="preserve"> s. 123</w:t>
            </w:r>
          </w:p>
        </w:tc>
        <w:tc>
          <w:tcPr>
            <w:tcW w:w="1134" w:type="dxa"/>
          </w:tcPr>
          <w:p>
            <w:pPr>
              <w:pStyle w:val="nTable"/>
              <w:spacing w:before="60" w:after="60"/>
            </w:pPr>
            <w:r>
              <w:t>24 of 1990</w:t>
            </w:r>
          </w:p>
        </w:tc>
        <w:tc>
          <w:tcPr>
            <w:tcW w:w="1134" w:type="dxa"/>
          </w:tcPr>
          <w:p>
            <w:pPr>
              <w:pStyle w:val="nTable"/>
              <w:spacing w:before="60" w:after="60"/>
            </w:pPr>
            <w:r>
              <w:t>7 Sep 1990</w:t>
            </w:r>
          </w:p>
        </w:tc>
        <w:tc>
          <w:tcPr>
            <w:tcW w:w="2552" w:type="dxa"/>
          </w:tcPr>
          <w:p>
            <w:pPr>
              <w:pStyle w:val="nTable"/>
              <w:spacing w:before="60" w:after="6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Acts Amendment (Public Sector Management) Act 1994</w:t>
            </w:r>
            <w:r>
              <w:t xml:space="preserve"> s. 3(1)</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2" w:type="dxa"/>
          </w:tcPr>
          <w:p>
            <w:pPr>
              <w:pStyle w:val="nTable"/>
              <w:spacing w:before="60" w:after="6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Fish Resources Management Act 1994</w:t>
            </w:r>
            <w:r>
              <w:t xml:space="preserve"> s. 264</w:t>
            </w:r>
          </w:p>
        </w:tc>
        <w:tc>
          <w:tcPr>
            <w:tcW w:w="1134" w:type="dxa"/>
          </w:tcPr>
          <w:p>
            <w:pPr>
              <w:pStyle w:val="nTable"/>
              <w:spacing w:before="60" w:after="60"/>
            </w:pPr>
            <w:r>
              <w:t>53 of 1994</w:t>
            </w:r>
          </w:p>
        </w:tc>
        <w:tc>
          <w:tcPr>
            <w:tcW w:w="1134" w:type="dxa"/>
          </w:tcPr>
          <w:p>
            <w:pPr>
              <w:pStyle w:val="nTable"/>
              <w:spacing w:before="60" w:after="60"/>
            </w:pPr>
            <w:r>
              <w:t>2 Nov 1994</w:t>
            </w:r>
          </w:p>
        </w:tc>
        <w:tc>
          <w:tcPr>
            <w:tcW w:w="2552" w:type="dxa"/>
          </w:tcPr>
          <w:p>
            <w:pPr>
              <w:pStyle w:val="nTable"/>
              <w:spacing w:before="60" w:after="60"/>
            </w:pPr>
            <w:r>
              <w:t xml:space="preserve">1 Oct 1995 (see s.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Planning Legislation Amendment Act (No. 2) 1994</w:t>
            </w:r>
            <w:r>
              <w:t xml:space="preserve"> s. 46(6)</w:t>
            </w:r>
          </w:p>
        </w:tc>
        <w:tc>
          <w:tcPr>
            <w:tcW w:w="1134" w:type="dxa"/>
          </w:tcPr>
          <w:p>
            <w:pPr>
              <w:pStyle w:val="nTable"/>
              <w:spacing w:before="60" w:after="60"/>
            </w:pPr>
            <w:r>
              <w:t>84 of 1994</w:t>
            </w:r>
          </w:p>
        </w:tc>
        <w:tc>
          <w:tcPr>
            <w:tcW w:w="1134" w:type="dxa"/>
          </w:tcPr>
          <w:p>
            <w:pPr>
              <w:pStyle w:val="nTable"/>
              <w:spacing w:before="60" w:after="60"/>
            </w:pPr>
            <w:r>
              <w:t>13 Jan 1995</w:t>
            </w:r>
          </w:p>
        </w:tc>
        <w:tc>
          <w:tcPr>
            <w:tcW w:w="2552" w:type="dxa"/>
          </w:tcPr>
          <w:p>
            <w:pPr>
              <w:pStyle w:val="nTable"/>
              <w:spacing w:before="60" w:after="6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Aboriginal Heritage Amendment Act 1995</w:t>
            </w:r>
            <w:r>
              <w:t xml:space="preserve"> s. 53</w:t>
            </w:r>
          </w:p>
        </w:tc>
        <w:tc>
          <w:tcPr>
            <w:tcW w:w="1134" w:type="dxa"/>
          </w:tcPr>
          <w:p>
            <w:pPr>
              <w:pStyle w:val="nTable"/>
              <w:keepNext/>
              <w:spacing w:before="60" w:after="60"/>
            </w:pPr>
            <w:r>
              <w:t>24 of 1995</w:t>
            </w:r>
          </w:p>
        </w:tc>
        <w:tc>
          <w:tcPr>
            <w:tcW w:w="1134" w:type="dxa"/>
          </w:tcPr>
          <w:p>
            <w:pPr>
              <w:pStyle w:val="nTable"/>
              <w:keepNext/>
              <w:spacing w:before="60" w:after="60"/>
            </w:pPr>
            <w:r>
              <w:t>30 Jun 1995</w:t>
            </w:r>
          </w:p>
        </w:tc>
        <w:tc>
          <w:tcPr>
            <w:tcW w:w="2552" w:type="dxa"/>
          </w:tcPr>
          <w:p>
            <w:pPr>
              <w:pStyle w:val="nTable"/>
              <w:keepNext/>
              <w:spacing w:before="60" w:after="60"/>
            </w:pPr>
            <w:r>
              <w:t>1 Jul 1995 (see s.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Sentencing (Consequential Provisions) Act 1995</w:t>
            </w:r>
            <w:r>
              <w:t xml:space="preserve"> Pt. 14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552" w:type="dxa"/>
          </w:tcPr>
          <w:p>
            <w:pPr>
              <w:pStyle w:val="nTable"/>
              <w:spacing w:before="60" w:after="6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552" w:type="dxa"/>
          </w:tcPr>
          <w:p>
            <w:pPr>
              <w:pStyle w:val="nTable"/>
              <w:spacing w:before="60" w:after="6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Consumer Credit (Western Australia) Act 1996</w:t>
            </w:r>
            <w:r>
              <w:t xml:space="preserve"> s. 13</w:t>
            </w:r>
          </w:p>
        </w:tc>
        <w:tc>
          <w:tcPr>
            <w:tcW w:w="1134" w:type="dxa"/>
          </w:tcPr>
          <w:p>
            <w:pPr>
              <w:pStyle w:val="nTable"/>
              <w:spacing w:before="60" w:after="60"/>
            </w:pPr>
            <w:r>
              <w:t>30 of 1996</w:t>
            </w:r>
          </w:p>
        </w:tc>
        <w:tc>
          <w:tcPr>
            <w:tcW w:w="1134" w:type="dxa"/>
          </w:tcPr>
          <w:p>
            <w:pPr>
              <w:pStyle w:val="nTable"/>
              <w:spacing w:before="60" w:after="60"/>
            </w:pPr>
            <w:r>
              <w:t>10 Sep 1996</w:t>
            </w:r>
          </w:p>
        </w:tc>
        <w:tc>
          <w:tcPr>
            <w:tcW w:w="2552" w:type="dxa"/>
          </w:tcPr>
          <w:p>
            <w:pPr>
              <w:pStyle w:val="nTable"/>
              <w:spacing w:before="60" w:after="60"/>
            </w:pPr>
            <w:r>
              <w:t>1 Nov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2" w:type="dxa"/>
          </w:tcPr>
          <w:p>
            <w:pPr>
              <w:pStyle w:val="nTable"/>
              <w:spacing w:before="60" w:after="6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Road Traffic Amendment Act 1996</w:t>
            </w:r>
            <w:r>
              <w:t xml:space="preserve"> Pt. 3 Div. 2</w:t>
            </w:r>
          </w:p>
        </w:tc>
        <w:tc>
          <w:tcPr>
            <w:tcW w:w="1134" w:type="dxa"/>
          </w:tcPr>
          <w:p>
            <w:pPr>
              <w:pStyle w:val="nTable"/>
              <w:spacing w:before="60" w:after="60"/>
            </w:pPr>
            <w:r>
              <w:t>76 of 1996</w:t>
            </w:r>
          </w:p>
        </w:tc>
        <w:tc>
          <w:tcPr>
            <w:tcW w:w="1134" w:type="dxa"/>
          </w:tcPr>
          <w:p>
            <w:pPr>
              <w:pStyle w:val="nTable"/>
              <w:spacing w:before="60" w:after="60"/>
            </w:pPr>
            <w:r>
              <w:t>14 Nov 1996</w:t>
            </w:r>
          </w:p>
        </w:tc>
        <w:tc>
          <w:tcPr>
            <w:tcW w:w="2552" w:type="dxa"/>
          </w:tcPr>
          <w:p>
            <w:pPr>
              <w:pStyle w:val="nTable"/>
              <w:spacing w:before="60" w:after="60"/>
            </w:pPr>
            <w:r>
              <w:t xml:space="preserve">1 Feb 1997 (see s. 2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Acts Amendment (Land Administration) Act 1997</w:t>
            </w:r>
            <w:r>
              <w:t xml:space="preserve"> Pt. 15</w:t>
            </w:r>
          </w:p>
        </w:tc>
        <w:tc>
          <w:tcPr>
            <w:tcW w:w="1134" w:type="dxa"/>
          </w:tcPr>
          <w:p>
            <w:pPr>
              <w:pStyle w:val="nTable"/>
              <w:spacing w:before="60" w:after="60"/>
            </w:pPr>
            <w:r>
              <w:t>31 of 1997</w:t>
            </w:r>
          </w:p>
        </w:tc>
        <w:tc>
          <w:tcPr>
            <w:tcW w:w="1134" w:type="dxa"/>
          </w:tcPr>
          <w:p>
            <w:pPr>
              <w:pStyle w:val="nTable"/>
              <w:spacing w:before="60" w:after="60"/>
            </w:pPr>
            <w:r>
              <w:t>3 Oct 1997</w:t>
            </w:r>
          </w:p>
        </w:tc>
        <w:tc>
          <w:tcPr>
            <w:tcW w:w="2552" w:type="dxa"/>
          </w:tcPr>
          <w:p>
            <w:pPr>
              <w:pStyle w:val="nTable"/>
              <w:spacing w:before="60" w:after="6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Statutes (Repeals and Minor Amendments) Act 2000</w:t>
            </w:r>
            <w:r>
              <w:t xml:space="preserve"> s. 48</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552" w:type="dxa"/>
          </w:tcPr>
          <w:p>
            <w:pPr>
              <w:pStyle w:val="nTable"/>
              <w:spacing w:before="60" w:after="6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snapToGrid w:val="0"/>
              </w:rPr>
              <w:t>Road Traffic Amendment Act 2000</w:t>
            </w:r>
            <w:r>
              <w:rPr>
                <w:snapToGrid w:val="0"/>
              </w:rPr>
              <w:t xml:space="preserve"> Pt. 3 Div. 1</w:t>
            </w:r>
          </w:p>
        </w:tc>
        <w:tc>
          <w:tcPr>
            <w:tcW w:w="1134" w:type="dxa"/>
          </w:tcPr>
          <w:p>
            <w:pPr>
              <w:pStyle w:val="nTable"/>
              <w:spacing w:before="60" w:after="60"/>
            </w:pPr>
            <w:r>
              <w:t>39 of 2000</w:t>
            </w:r>
          </w:p>
        </w:tc>
        <w:tc>
          <w:tcPr>
            <w:tcW w:w="1134" w:type="dxa"/>
          </w:tcPr>
          <w:p>
            <w:pPr>
              <w:pStyle w:val="nTable"/>
              <w:spacing w:before="60" w:after="60"/>
            </w:pPr>
            <w:r>
              <w:t>10 Oct 2000</w:t>
            </w:r>
          </w:p>
        </w:tc>
        <w:tc>
          <w:tcPr>
            <w:tcW w:w="2552" w:type="dxa"/>
          </w:tcPr>
          <w:p>
            <w:pPr>
              <w:pStyle w:val="nTable"/>
              <w:spacing w:before="60" w:after="60"/>
            </w:pPr>
            <w:r>
              <w:t xml:space="preserve">1 Jan 2006 (see s. 2 and </w:t>
            </w:r>
            <w:r>
              <w:rPr>
                <w:i/>
              </w:rPr>
              <w:t xml:space="preserve">Gazette </w:t>
            </w:r>
            <w:r>
              <w:t>23 Dec 2005 p. 6244</w:t>
            </w:r>
            <w:r>
              <w:noBreakHyphen/>
              <w:t>5)</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rPr>
                <w:i/>
              </w:rPr>
              <w:t>Road Traffic Amendment (Vehicle Licensing) Act 2001</w:t>
            </w:r>
            <w:r>
              <w:t xml:space="preserve"> Pt. 3 Div. 2</w:t>
            </w:r>
          </w:p>
        </w:tc>
        <w:tc>
          <w:tcPr>
            <w:tcW w:w="1134" w:type="dxa"/>
          </w:tcPr>
          <w:p>
            <w:pPr>
              <w:pStyle w:val="nTable"/>
              <w:spacing w:before="60" w:after="60"/>
            </w:pPr>
            <w:r>
              <w:t>28 of 2001</w:t>
            </w:r>
          </w:p>
        </w:tc>
        <w:tc>
          <w:tcPr>
            <w:tcW w:w="1134" w:type="dxa"/>
          </w:tcPr>
          <w:p>
            <w:pPr>
              <w:pStyle w:val="nTable"/>
              <w:spacing w:before="60" w:after="60"/>
            </w:pPr>
            <w:r>
              <w:t>21 Dec 2001</w:t>
            </w:r>
          </w:p>
        </w:tc>
        <w:tc>
          <w:tcPr>
            <w:tcW w:w="2552" w:type="dxa"/>
          </w:tcPr>
          <w:p>
            <w:pPr>
              <w:pStyle w:val="nTable"/>
              <w:spacing w:before="60" w:after="60"/>
            </w:pPr>
            <w:r>
              <w:t xml:space="preserve">4 Dec 2006 (see s. 2 and </w:t>
            </w:r>
            <w:r>
              <w:rPr>
                <w:i/>
              </w:rPr>
              <w:t>Gazette</w:t>
            </w:r>
            <w:r>
              <w:t xml:space="preserve"> 28 Nov 2006 p. 4889)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del w:id="194" w:author="svcMRProcess" w:date="2020-02-24T11:11:00Z">
              <w:r>
                <w:rPr>
                  <w:snapToGrid w:val="0"/>
                  <w:spacing w:val="6"/>
                  <w:vertAlign w:val="superscript"/>
                </w:rPr>
                <w:delText>3</w:delText>
              </w:r>
            </w:del>
            <w:ins w:id="195" w:author="svcMRProcess" w:date="2020-02-24T11:11:00Z">
              <w:r>
                <w:rPr>
                  <w:snapToGrid w:val="0"/>
                  <w:spacing w:val="6"/>
                  <w:vertAlign w:val="superscript"/>
                </w:rPr>
                <w:t>1</w:t>
              </w:r>
            </w:ins>
          </w:p>
        </w:tc>
        <w:tc>
          <w:tcPr>
            <w:tcW w:w="1134" w:type="dxa"/>
          </w:tcPr>
          <w:p>
            <w:pPr>
              <w:pStyle w:val="nTable"/>
              <w:spacing w:before="60" w:after="60"/>
            </w:pPr>
            <w:r>
              <w:rPr>
                <w:snapToGrid w:val="0"/>
              </w:rPr>
              <w:t>7 of 2002</w:t>
            </w:r>
          </w:p>
        </w:tc>
        <w:tc>
          <w:tcPr>
            <w:tcW w:w="1134" w:type="dxa"/>
          </w:tcPr>
          <w:p>
            <w:pPr>
              <w:pStyle w:val="nTable"/>
              <w:spacing w:before="60" w:after="60"/>
            </w:pPr>
            <w:r>
              <w:t>19 Jun 2002</w:t>
            </w:r>
          </w:p>
        </w:tc>
        <w:tc>
          <w:tcPr>
            <w:tcW w:w="2552" w:type="dxa"/>
          </w:tcPr>
          <w:p>
            <w:pPr>
              <w:pStyle w:val="nTable"/>
              <w:spacing w:before="60" w:after="60"/>
            </w:pPr>
            <w:r>
              <w:t xml:space="preserve">1 Jul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pPr>
            <w:r>
              <w:rPr>
                <w:i/>
              </w:rPr>
              <w:t>Environmental Protection Amendment Act 2003</w:t>
            </w:r>
            <w:r>
              <w:t xml:space="preserve"> s. 142</w:t>
            </w:r>
          </w:p>
        </w:tc>
        <w:tc>
          <w:tcPr>
            <w:tcW w:w="1134" w:type="dxa"/>
          </w:tcPr>
          <w:p>
            <w:pPr>
              <w:pStyle w:val="nTable"/>
              <w:spacing w:before="60" w:after="60"/>
            </w:pPr>
            <w:r>
              <w:t>54 of 2003</w:t>
            </w:r>
          </w:p>
        </w:tc>
        <w:tc>
          <w:tcPr>
            <w:tcW w:w="1134" w:type="dxa"/>
          </w:tcPr>
          <w:p>
            <w:pPr>
              <w:pStyle w:val="nTable"/>
              <w:spacing w:before="60" w:after="60"/>
            </w:pPr>
            <w:r>
              <w:t>20 Oct 2003</w:t>
            </w:r>
          </w:p>
        </w:tc>
        <w:tc>
          <w:tcPr>
            <w:tcW w:w="2552" w:type="dxa"/>
          </w:tcPr>
          <w:p>
            <w:pPr>
              <w:pStyle w:val="nTable"/>
              <w:spacing w:before="60" w:after="60"/>
            </w:pPr>
            <w:r>
              <w:t xml:space="preserve">19 Nov 2003 (see s. 2 and </w:t>
            </w:r>
            <w:r>
              <w:rPr>
                <w:i/>
              </w:rPr>
              <w:t>Gazette</w:t>
            </w:r>
            <w:r>
              <w:t xml:space="preserve"> 18 Nov 2003 p. 4723)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rPr>
                <w:i/>
              </w:rPr>
            </w:pPr>
            <w:r>
              <w:rPr>
                <w:i/>
              </w:rPr>
              <w:t xml:space="preserve">Local Government Amendment Act 2004 </w:t>
            </w:r>
            <w:r>
              <w:t>s. 13</w:t>
            </w:r>
          </w:p>
        </w:tc>
        <w:tc>
          <w:tcPr>
            <w:tcW w:w="1134" w:type="dxa"/>
          </w:tcPr>
          <w:p>
            <w:pPr>
              <w:pStyle w:val="nTable"/>
              <w:spacing w:before="60" w:after="60"/>
            </w:pPr>
            <w:r>
              <w:rPr>
                <w:snapToGrid w:val="0"/>
              </w:rPr>
              <w:t>49 of 2004</w:t>
            </w:r>
          </w:p>
        </w:tc>
        <w:tc>
          <w:tcPr>
            <w:tcW w:w="1134" w:type="dxa"/>
          </w:tcPr>
          <w:p>
            <w:pPr>
              <w:pStyle w:val="nTable"/>
              <w:spacing w:before="60" w:after="60"/>
            </w:pPr>
            <w:r>
              <w:t>12 Nov 2004</w:t>
            </w:r>
          </w:p>
        </w:tc>
        <w:tc>
          <w:tcPr>
            <w:tcW w:w="2552" w:type="dxa"/>
          </w:tcPr>
          <w:p>
            <w:pPr>
              <w:pStyle w:val="nTable"/>
              <w:spacing w:before="60" w:after="60"/>
            </w:pPr>
            <w:r>
              <w:t xml:space="preserve">1 Apr 2005 (see s. 2 and </w:t>
            </w:r>
            <w:r>
              <w:rPr>
                <w:i/>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rPr>
                <w:i/>
                <w:snapToGrid w:val="0"/>
              </w:rPr>
            </w:pPr>
            <w:r>
              <w:rPr>
                <w:i/>
                <w:snapToGrid w:val="0"/>
              </w:rPr>
              <w:t>Courts Legislation Amendment and Repeal Act 2004</w:t>
            </w:r>
            <w:r>
              <w:rPr>
                <w:snapToGrid w:val="0"/>
              </w:rPr>
              <w:t xml:space="preserve"> s. 141 </w:t>
            </w:r>
            <w:del w:id="196" w:author="svcMRProcess" w:date="2020-02-24T11:11:00Z">
              <w:r>
                <w:rPr>
                  <w:snapToGrid w:val="0"/>
                  <w:vertAlign w:val="superscript"/>
                </w:rPr>
                <w:delText>4</w:delText>
              </w:r>
            </w:del>
            <w:ins w:id="197" w:author="svcMRProcess" w:date="2020-02-24T11:11:00Z">
              <w:r>
                <w:rPr>
                  <w:snapToGrid w:val="0"/>
                  <w:vertAlign w:val="superscript"/>
                </w:rPr>
                <w:t>2</w:t>
              </w:r>
            </w:ins>
          </w:p>
        </w:tc>
        <w:tc>
          <w:tcPr>
            <w:tcW w:w="1134" w:type="dxa"/>
          </w:tcPr>
          <w:p>
            <w:pPr>
              <w:pStyle w:val="nTable"/>
              <w:spacing w:before="60" w:after="60"/>
            </w:pPr>
            <w:r>
              <w:rPr>
                <w:snapToGrid w:val="0"/>
              </w:rPr>
              <w:t>59 of 2004 (as amended by No. 2 of 2008 s. 77(13))</w:t>
            </w:r>
          </w:p>
        </w:tc>
        <w:tc>
          <w:tcPr>
            <w:tcW w:w="1134" w:type="dxa"/>
          </w:tcPr>
          <w:p>
            <w:pPr>
              <w:pStyle w:val="nTable"/>
              <w:spacing w:before="60" w:after="60"/>
            </w:pPr>
            <w:r>
              <w:t>23 Nov 2004</w:t>
            </w:r>
          </w:p>
        </w:tc>
        <w:tc>
          <w:tcPr>
            <w:tcW w:w="2552" w:type="dxa"/>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w:t>
            </w:r>
            <w:del w:id="198" w:author="svcMRProcess" w:date="2020-02-24T11:11:00Z">
              <w:r>
                <w:rPr>
                  <w:snapToGrid w:val="0"/>
                  <w:vertAlign w:val="superscript"/>
                </w:rPr>
                <w:delText>5</w:delText>
              </w:r>
            </w:del>
            <w:ins w:id="199" w:author="svcMRProcess" w:date="2020-02-24T11:11:00Z">
              <w:r>
                <w:rPr>
                  <w:snapToGrid w:val="0"/>
                  <w:vertAlign w:val="superscript"/>
                </w:rPr>
                <w:t>3</w:t>
              </w:r>
            </w:ins>
          </w:p>
        </w:tc>
        <w:tc>
          <w:tcPr>
            <w:tcW w:w="1134" w:type="dxa"/>
          </w:tcPr>
          <w:p>
            <w:pPr>
              <w:pStyle w:val="nTable"/>
              <w:spacing w:before="60" w:after="60"/>
            </w:pPr>
            <w:r>
              <w:t>55 of 2004</w:t>
            </w:r>
          </w:p>
        </w:tc>
        <w:tc>
          <w:tcPr>
            <w:tcW w:w="1134" w:type="dxa"/>
          </w:tcPr>
          <w:p>
            <w:pPr>
              <w:pStyle w:val="nTable"/>
              <w:spacing w:before="60" w:after="60"/>
            </w:pPr>
            <w:r>
              <w:t>24 Nov 2004</w:t>
            </w:r>
          </w:p>
        </w:tc>
        <w:tc>
          <w:tcPr>
            <w:tcW w:w="2552" w:type="dxa"/>
          </w:tcPr>
          <w:p>
            <w:pPr>
              <w:pStyle w:val="nTable"/>
              <w:spacing w:before="60" w:after="6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552"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tcPr>
          <w:p>
            <w:pPr>
              <w:pStyle w:val="nTable"/>
              <w:spacing w:before="60" w:after="60"/>
              <w:rPr>
                <w:snapToGrid w:val="0"/>
              </w:rPr>
            </w:pPr>
            <w:r>
              <w:rPr>
                <w:snapToGrid w:val="0"/>
              </w:rPr>
              <w:t>38 of 2005</w:t>
            </w:r>
          </w:p>
        </w:tc>
        <w:tc>
          <w:tcPr>
            <w:tcW w:w="1134" w:type="dxa"/>
          </w:tcPr>
          <w:p>
            <w:pPr>
              <w:pStyle w:val="nTable"/>
              <w:spacing w:before="60" w:after="60"/>
            </w:pPr>
            <w:r>
              <w:t>12 Dec 2005</w:t>
            </w:r>
          </w:p>
        </w:tc>
        <w:tc>
          <w:tcPr>
            <w:tcW w:w="2552" w:type="dxa"/>
          </w:tcPr>
          <w:p>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552" w:type="dxa"/>
          </w:tcPr>
          <w:p>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snapToGrid w:val="0"/>
              </w:rPr>
            </w:pPr>
            <w:r>
              <w:rPr>
                <w:i/>
                <w:snapToGrid w:val="0"/>
              </w:rPr>
              <w:t>Land Information Authority Act 2006</w:t>
            </w:r>
            <w:r>
              <w:rPr>
                <w:snapToGrid w:val="0"/>
              </w:rPr>
              <w:t xml:space="preserve"> s. 128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552"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snapToGrid w:val="0"/>
              </w:rPr>
            </w:pPr>
            <w:r>
              <w:rPr>
                <w:i/>
                <w:snapToGrid w:val="0"/>
              </w:rPr>
              <w:t xml:space="preserve">Financial Legislation Amendment and Repeal Act 2006 </w:t>
            </w:r>
            <w:r>
              <w:rPr>
                <w:iCs/>
                <w:snapToGrid w:val="0"/>
              </w:rPr>
              <w:t>Sch. 1 cl. 34</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rPr>
                <w:snapToGrid w:val="0"/>
              </w:rPr>
            </w:pPr>
            <w:r>
              <w:rPr>
                <w:snapToGrid w:val="0"/>
              </w:rPr>
              <w:t>21 Dec 2006</w:t>
            </w:r>
          </w:p>
        </w:tc>
        <w:tc>
          <w:tcPr>
            <w:tcW w:w="2552" w:type="dxa"/>
          </w:tcPr>
          <w:p>
            <w:pPr>
              <w:pStyle w:val="nTable"/>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22</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Approvals and Related Reforms (No. 4) (Planning) Act 2010</w:t>
            </w:r>
            <w:r>
              <w:t xml:space="preserve"> s. 29</w:t>
            </w:r>
          </w:p>
        </w:tc>
        <w:tc>
          <w:tcPr>
            <w:tcW w:w="1134" w:type="dxa"/>
          </w:tcPr>
          <w:p>
            <w:pPr>
              <w:pStyle w:val="nTable"/>
              <w:spacing w:after="40"/>
            </w:pPr>
            <w:r>
              <w:rPr>
                <w:snapToGrid w:val="0"/>
              </w:rPr>
              <w:t>28 of 2010</w:t>
            </w:r>
          </w:p>
        </w:tc>
        <w:tc>
          <w:tcPr>
            <w:tcW w:w="1134" w:type="dxa"/>
          </w:tcPr>
          <w:p>
            <w:pPr>
              <w:pStyle w:val="nTable"/>
              <w:spacing w:after="40"/>
            </w:pPr>
            <w:r>
              <w:rPr>
                <w:snapToGrid w:val="0"/>
              </w:rPr>
              <w:t>19 Aug 2010</w:t>
            </w:r>
          </w:p>
        </w:tc>
        <w:tc>
          <w:tcPr>
            <w:tcW w:w="2552" w:type="dxa"/>
          </w:tcPr>
          <w:p>
            <w:pPr>
              <w:pStyle w:val="nTable"/>
              <w:spacing w:after="40"/>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10</w:t>
            </w:r>
            <w:del w:id="200" w:author="svcMRProcess" w:date="2020-02-24T11:11:00Z">
              <w:r>
                <w:rPr>
                  <w:rFonts w:ascii="Times" w:hAnsi="Times"/>
                  <w:snapToGrid w:val="0"/>
                  <w:vertAlign w:val="superscript"/>
                </w:rPr>
                <w:delText> </w:delText>
              </w:r>
            </w:del>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4" w:space="0" w:color="auto"/>
            </w:tcBorders>
          </w:tcPr>
          <w:p>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 except those in the </w:t>
            </w:r>
            <w:r>
              <w:rPr>
                <w:i/>
                <w:snapToGrid w:val="0"/>
              </w:rPr>
              <w:t xml:space="preserve">Road Traffic Legislation Amendment Act 2012 </w:t>
            </w:r>
            <w:r>
              <w:rPr>
                <w:snapToGrid w:val="0"/>
              </w:rPr>
              <w:t>Pt. 4 Div. </w:t>
            </w:r>
            <w:r>
              <w:t>10)</w:t>
            </w:r>
          </w:p>
        </w:tc>
      </w:tr>
    </w:tbl>
    <w:p>
      <w:pPr>
        <w:pStyle w:val="nHeading3"/>
        <w:rPr>
          <w:ins w:id="201" w:author="svcMRProcess" w:date="2020-02-24T11:11:00Z"/>
        </w:rPr>
      </w:pPr>
      <w:bookmarkStart w:id="202" w:name="_Toc32390865"/>
      <w:del w:id="203" w:author="svcMRProcess" w:date="2020-02-24T11:11:00Z">
        <w:r>
          <w:rPr>
            <w:vertAlign w:val="superscript"/>
          </w:rPr>
          <w:delText>1a</w:delText>
        </w:r>
        <w:r>
          <w:tab/>
          <w:delText>On the date as at which this reprint was prepared,</w:delText>
        </w:r>
      </w:del>
      <w:ins w:id="204" w:author="svcMRProcess" w:date="2020-02-24T11:11:00Z">
        <w:r>
          <w:t>Uncommenced</w:t>
        </w:r>
      </w:ins>
      <w:r>
        <w:t xml:space="preserve"> provisions </w:t>
      </w:r>
      <w:del w:id="205" w:author="svcMRProcess" w:date="2020-02-24T11:11:00Z">
        <w:r>
          <w:delText xml:space="preserve">referred to in the following </w:delText>
        </w:r>
      </w:del>
      <w:r>
        <w:t>table</w:t>
      </w:r>
      <w:bookmarkEnd w:id="202"/>
      <w:del w:id="206" w:author="svcMRProcess" w:date="2020-02-24T11:11:00Z">
        <w:r>
          <w:delText xml:space="preserve"> had not come into operation and were therefore not included in compiling the reprint.  For</w:delText>
        </w:r>
      </w:del>
    </w:p>
    <w:p>
      <w:pPr>
        <w:pStyle w:val="nStatement"/>
        <w:keepNext/>
        <w:spacing w:after="240"/>
      </w:pPr>
      <w:ins w:id="207" w:author="svcMRProcess" w:date="2020-02-24T11:11:00Z">
        <w:r>
          <w:t>To view</w:t>
        </w:r>
      </w:ins>
      <w:r>
        <w:t xml:space="preserve"> the text of the </w:t>
      </w:r>
      <w:ins w:id="208" w:author="svcMRProcess" w:date="2020-02-24T11:11:00Z">
        <w:r>
          <w:t xml:space="preserve">uncommenced </w:t>
        </w:r>
      </w:ins>
      <w:r>
        <w:t xml:space="preserve">provisions see </w:t>
      </w:r>
      <w:del w:id="209" w:author="svcMRProcess" w:date="2020-02-24T11:11:00Z">
        <w:r>
          <w:delText>the endnotes referred to in the table</w:delText>
        </w:r>
      </w:del>
      <w:ins w:id="210" w:author="svcMRProcess" w:date="2020-02-24T11:11:00Z">
        <w:r>
          <w:rPr>
            <w:i/>
          </w:rPr>
          <w:t>Acts as passed</w:t>
        </w:r>
        <w:r>
          <w:t xml:space="preserve"> on the WA Legislation website</w:t>
        </w:r>
      </w:ins>
      <w:r>
        <w:t>.</w:t>
      </w:r>
    </w:p>
    <w:p>
      <w:pPr>
        <w:pStyle w:val="nHeading3"/>
        <w:rPr>
          <w:del w:id="211" w:author="svcMRProcess" w:date="2020-02-24T11:11:00Z"/>
        </w:rPr>
      </w:pPr>
      <w:bookmarkStart w:id="212" w:name="_Toc375057752"/>
      <w:bookmarkStart w:id="213" w:name="_Toc468354049"/>
      <w:del w:id="214" w:author="svcMRProcess" w:date="2020-02-24T11:11:00Z">
        <w:r>
          <w:delText>Provisions that have not come into operation</w:delText>
        </w:r>
        <w:bookmarkEnd w:id="212"/>
        <w:bookmarkEnd w:id="213"/>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215" w:author="svcMRProcess" w:date="2020-02-24T11:11:00Z">
              <w:r>
                <w:rPr>
                  <w:b/>
                </w:rPr>
                <w:delText xml:space="preserve"> </w:delText>
              </w:r>
            </w:del>
            <w:ins w:id="216" w:author="svcMRProcess" w:date="2020-02-24T11:11: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w:t>
            </w:r>
            <w:del w:id="217" w:author="svcMRProcess" w:date="2020-02-24T11:11:00Z">
              <w:r>
                <w:rPr>
                  <w:snapToGrid w:val="0"/>
                </w:rPr>
                <w:delText xml:space="preserve"> </w:delText>
              </w:r>
              <w:r>
                <w:rPr>
                  <w:snapToGrid w:val="0"/>
                  <w:vertAlign w:val="superscript"/>
                </w:rPr>
                <w:delText>2</w:delText>
              </w:r>
            </w:del>
          </w:p>
        </w:tc>
        <w:tc>
          <w:tcPr>
            <w:tcW w:w="1134" w:type="dxa"/>
            <w:tcBorders>
              <w:top w:val="single" w:sz="8" w:space="0" w:color="auto"/>
            </w:tcBorders>
          </w:tcPr>
          <w:p>
            <w:pPr>
              <w:pStyle w:val="nTable"/>
              <w:spacing w:after="40"/>
            </w:pPr>
            <w:r>
              <w:rPr>
                <w:snapToGrid w:val="0"/>
              </w:rPr>
              <w:t>117 of 1978 (as amended by No. 7 of 2002 s. 7 and No. 8 of 2012 s. 65)</w:t>
            </w:r>
          </w:p>
        </w:tc>
        <w:tc>
          <w:tcPr>
            <w:tcW w:w="1134" w:type="dxa"/>
            <w:tcBorders>
              <w:top w:val="single" w:sz="8" w:space="0" w:color="auto"/>
            </w:tcBorders>
          </w:tcPr>
          <w:p>
            <w:pPr>
              <w:pStyle w:val="nTable"/>
              <w:spacing w:after="40"/>
            </w:pPr>
            <w:r>
              <w:t>12 Dec 1978</w:t>
            </w:r>
          </w:p>
        </w:tc>
        <w:tc>
          <w:tcPr>
            <w:tcW w:w="2552" w:type="dxa"/>
            <w:tcBorders>
              <w:top w:val="single" w:sz="8" w:space="0" w:color="auto"/>
            </w:tcBorders>
          </w:tcPr>
          <w:p>
            <w:pPr>
              <w:pStyle w:val="nTable"/>
              <w:spacing w:after="40"/>
            </w:pPr>
            <w:r>
              <w:t>To be proclaimed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Aquatic Resources Management Act 2016</w:t>
            </w:r>
            <w:r>
              <w:rPr>
                <w:snapToGrid w:val="0"/>
              </w:rPr>
              <w:t xml:space="preserve"> s. 365</w:t>
            </w:r>
            <w:del w:id="218" w:author="svcMRProcess" w:date="2020-02-24T11:11:00Z">
              <w:r>
                <w:rPr>
                  <w:snapToGrid w:val="0"/>
                  <w:vertAlign w:val="superscript"/>
                </w:rPr>
                <w:delText> 6</w:delText>
              </w:r>
            </w:del>
          </w:p>
        </w:tc>
        <w:tc>
          <w:tcPr>
            <w:tcW w:w="1134" w:type="dxa"/>
          </w:tcPr>
          <w:p>
            <w:pPr>
              <w:pStyle w:val="nTable"/>
              <w:spacing w:after="40"/>
              <w:rPr>
                <w:snapToGrid w:val="0"/>
              </w:rPr>
            </w:pPr>
            <w:r>
              <w:t>53 of 2016</w:t>
            </w:r>
          </w:p>
        </w:tc>
        <w:tc>
          <w:tcPr>
            <w:tcW w:w="1134" w:type="dxa"/>
          </w:tcPr>
          <w:p>
            <w:pPr>
              <w:pStyle w:val="nTable"/>
              <w:spacing w:after="40"/>
            </w:pPr>
            <w:r>
              <w:t>29 Nov 2016</w:t>
            </w:r>
          </w:p>
        </w:tc>
        <w:tc>
          <w:tcPr>
            <w:tcW w:w="2552" w:type="dxa"/>
          </w:tcPr>
          <w:p>
            <w:pPr>
              <w:pStyle w:val="nTable"/>
              <w:spacing w:after="40"/>
            </w:pPr>
            <w:r>
              <w:rPr>
                <w:snapToGrid w:val="0"/>
              </w:rPr>
              <w:t>To be proclaimed (see s. 2(b))</w:t>
            </w:r>
          </w:p>
        </w:tc>
      </w:tr>
      <w:tr>
        <w:tblPrEx>
          <w:tblBorders>
            <w:top w:val="none" w:sz="0" w:space="0" w:color="auto"/>
            <w:bottom w:val="none" w:sz="0" w:space="0" w:color="auto"/>
            <w:insideH w:val="none" w:sz="0" w:space="0" w:color="auto"/>
          </w:tblBorders>
        </w:tblPrEx>
        <w:trPr>
          <w:cantSplit/>
          <w:ins w:id="219" w:author="svcMRProcess" w:date="2020-02-24T11:11:00Z"/>
        </w:trPr>
        <w:tc>
          <w:tcPr>
            <w:tcW w:w="2268" w:type="dxa"/>
            <w:tcBorders>
              <w:bottom w:val="single" w:sz="8" w:space="0" w:color="auto"/>
            </w:tcBorders>
          </w:tcPr>
          <w:p>
            <w:pPr>
              <w:pStyle w:val="nTable"/>
              <w:spacing w:after="40"/>
              <w:ind w:right="113"/>
              <w:rPr>
                <w:ins w:id="220" w:author="svcMRProcess" w:date="2020-02-24T11:11:00Z"/>
                <w:i/>
                <w:snapToGrid w:val="0"/>
              </w:rPr>
            </w:pPr>
            <w:ins w:id="221" w:author="svcMRProcess" w:date="2020-02-24T11:11:00Z">
              <w:r>
                <w:rPr>
                  <w:i/>
                  <w:snapToGrid w:val="0"/>
                </w:rPr>
                <w:t>Local Government Legislation Amendment Act 2019</w:t>
              </w:r>
              <w:r>
                <w:rPr>
                  <w:snapToGrid w:val="0"/>
                </w:rPr>
                <w:t xml:space="preserve"> Pt. 4 Div. 4</w:t>
              </w:r>
            </w:ins>
          </w:p>
        </w:tc>
        <w:tc>
          <w:tcPr>
            <w:tcW w:w="1134" w:type="dxa"/>
            <w:tcBorders>
              <w:bottom w:val="single" w:sz="8" w:space="0" w:color="auto"/>
            </w:tcBorders>
          </w:tcPr>
          <w:p>
            <w:pPr>
              <w:pStyle w:val="nTable"/>
              <w:spacing w:after="40"/>
              <w:rPr>
                <w:ins w:id="222" w:author="svcMRProcess" w:date="2020-02-24T11:11:00Z"/>
              </w:rPr>
            </w:pPr>
            <w:ins w:id="223" w:author="svcMRProcess" w:date="2020-02-24T11:11:00Z">
              <w:r>
                <w:t>16 of 2019</w:t>
              </w:r>
            </w:ins>
          </w:p>
        </w:tc>
        <w:tc>
          <w:tcPr>
            <w:tcW w:w="1134" w:type="dxa"/>
            <w:tcBorders>
              <w:bottom w:val="single" w:sz="8" w:space="0" w:color="auto"/>
            </w:tcBorders>
          </w:tcPr>
          <w:p>
            <w:pPr>
              <w:pStyle w:val="nTable"/>
              <w:spacing w:after="40"/>
              <w:rPr>
                <w:ins w:id="224" w:author="svcMRProcess" w:date="2020-02-24T11:11:00Z"/>
              </w:rPr>
            </w:pPr>
            <w:ins w:id="225" w:author="svcMRProcess" w:date="2020-02-24T11:11:00Z">
              <w:r>
                <w:t>5 Jul 2019</w:t>
              </w:r>
            </w:ins>
          </w:p>
        </w:tc>
        <w:tc>
          <w:tcPr>
            <w:tcW w:w="2552" w:type="dxa"/>
            <w:tcBorders>
              <w:bottom w:val="single" w:sz="8" w:space="0" w:color="auto"/>
            </w:tcBorders>
          </w:tcPr>
          <w:p>
            <w:pPr>
              <w:pStyle w:val="nTable"/>
              <w:spacing w:after="40"/>
              <w:rPr>
                <w:ins w:id="226" w:author="svcMRProcess" w:date="2020-02-24T11:11:00Z"/>
                <w:snapToGrid w:val="0"/>
              </w:rPr>
            </w:pPr>
            <w:ins w:id="227" w:author="svcMRProcess" w:date="2020-02-24T11:11:00Z">
              <w:r>
                <w:rPr>
                  <w:snapToGrid w:val="0"/>
                </w:rPr>
                <w:t>To be proclaimed (see s. 2(b))</w:t>
              </w:r>
            </w:ins>
          </w:p>
        </w:tc>
      </w:tr>
    </w:tbl>
    <w:p>
      <w:pPr>
        <w:pStyle w:val="nSubsection"/>
        <w:spacing w:before="140"/>
        <w:rPr>
          <w:del w:id="228" w:author="svcMRProcess" w:date="2020-02-24T11:11:00Z"/>
          <w:snapToGrid w:val="0"/>
        </w:rPr>
      </w:pPr>
      <w:bookmarkStart w:id="229" w:name="_Toc32390866"/>
      <w:del w:id="230" w:author="svcMRProcess" w:date="2020-02-24T11:11:00Z">
        <w:r>
          <w:rPr>
            <w:vertAlign w:val="superscript"/>
          </w:rPr>
          <w:delText>2</w:delText>
        </w:r>
        <w:r>
          <w:tab/>
        </w:r>
        <w:r>
          <w:rPr>
            <w:snapToGrid w:val="0"/>
          </w:rPr>
          <w:delText xml:space="preserve">On the date as at which this compilation was prepared, the </w:delText>
        </w:r>
        <w:r>
          <w:rPr>
            <w:i/>
            <w:snapToGrid w:val="0"/>
          </w:rPr>
          <w:delText>Control of Vehicles (Off</w:delText>
        </w:r>
        <w:r>
          <w:rPr>
            <w:i/>
            <w:snapToGrid w:val="0"/>
          </w:rPr>
          <w:noBreakHyphen/>
          <w:delText>road Areas) Act 1978</w:delText>
        </w:r>
        <w:r>
          <w:rPr>
            <w:snapToGrid w:val="0"/>
          </w:rPr>
          <w:delText xml:space="preserve"> s. 11 (as amended by the </w:delText>
        </w:r>
        <w:r>
          <w:rPr>
            <w:i/>
            <w:snapToGrid w:val="0"/>
          </w:rPr>
          <w:delText>Machinery of Government (Planning and Infrastructure) Amendment Act 2002</w:delText>
        </w:r>
        <w:r>
          <w:rPr>
            <w:snapToGrid w:val="0"/>
          </w:rPr>
          <w:delText xml:space="preserve"> s. 7 and the </w:delText>
        </w:r>
        <w:r>
          <w:rPr>
            <w:i/>
            <w:snapToGrid w:val="0"/>
          </w:rPr>
          <w:delText>Road Traffic Legislation Amendment Act 2012</w:delText>
        </w:r>
        <w:r>
          <w:rPr>
            <w:snapToGrid w:val="0"/>
          </w:rPr>
          <w:delText xml:space="preserve"> s. 65) had not come into operation.  It reads as follows:</w:delText>
        </w:r>
      </w:del>
    </w:p>
    <w:p>
      <w:pPr>
        <w:pStyle w:val="BlankOpen"/>
        <w:rPr>
          <w:del w:id="231" w:author="svcMRProcess" w:date="2020-02-24T11:11:00Z"/>
          <w:snapToGrid w:val="0"/>
        </w:rPr>
      </w:pPr>
    </w:p>
    <w:p>
      <w:pPr>
        <w:pStyle w:val="nzHeading5"/>
        <w:spacing w:before="80"/>
        <w:ind w:right="856"/>
        <w:rPr>
          <w:del w:id="232" w:author="svcMRProcess" w:date="2020-02-24T11:11:00Z"/>
          <w:snapToGrid w:val="0"/>
        </w:rPr>
      </w:pPr>
      <w:del w:id="233" w:author="svcMRProcess" w:date="2020-02-24T11:11:00Z">
        <w:r>
          <w:rPr>
            <w:snapToGrid w:val="0"/>
          </w:rPr>
          <w:delText>11.</w:delText>
        </w:r>
        <w:r>
          <w:rPr>
            <w:snapToGrid w:val="0"/>
          </w:rPr>
          <w:tab/>
          <w:delText>Responsibility of owners</w:delText>
        </w:r>
      </w:del>
    </w:p>
    <w:p>
      <w:pPr>
        <w:pStyle w:val="nzSubsection"/>
        <w:ind w:right="859"/>
        <w:rPr>
          <w:del w:id="234" w:author="svcMRProcess" w:date="2020-02-24T11:11:00Z"/>
          <w:snapToGrid w:val="0"/>
        </w:rPr>
      </w:pPr>
      <w:del w:id="235" w:author="svcMRProcess" w:date="2020-02-24T11:11:00Z">
        <w:r>
          <w:rPr>
            <w:snapToGrid w:val="0"/>
          </w:rPr>
          <w:tab/>
          <w:delText>(1)</w:delText>
        </w:r>
        <w:r>
          <w:rPr>
            <w:snapToGrid w:val="0"/>
          </w:rPr>
          <w:tab/>
          <w:delText>Subject to the provisions of subsection (2) of this section, the owner of any vehicle which is —</w:delText>
        </w:r>
      </w:del>
    </w:p>
    <w:p>
      <w:pPr>
        <w:pStyle w:val="nzIndenta"/>
        <w:ind w:right="859"/>
        <w:rPr>
          <w:del w:id="236" w:author="svcMRProcess" w:date="2020-02-24T11:11:00Z"/>
          <w:snapToGrid w:val="0"/>
        </w:rPr>
      </w:pPr>
      <w:del w:id="237" w:author="svcMRProcess" w:date="2020-02-24T11:11:00Z">
        <w:r>
          <w:rPr>
            <w:snapToGrid w:val="0"/>
          </w:rPr>
          <w:tab/>
          <w:delText>(a)</w:delText>
        </w:r>
        <w:r>
          <w:rPr>
            <w:snapToGrid w:val="0"/>
          </w:rPr>
          <w:tab/>
          <w:delText>required to be registered under this Act; or</w:delText>
        </w:r>
      </w:del>
    </w:p>
    <w:p>
      <w:pPr>
        <w:pStyle w:val="nzIndenta"/>
        <w:ind w:right="859"/>
        <w:rPr>
          <w:del w:id="238" w:author="svcMRProcess" w:date="2020-02-24T11:11:00Z"/>
          <w:snapToGrid w:val="0"/>
        </w:rPr>
      </w:pPr>
      <w:del w:id="239" w:author="svcMRProcess" w:date="2020-02-24T11:11:00Z">
        <w:r>
          <w:rPr>
            <w:snapToGrid w:val="0"/>
          </w:rPr>
          <w:tab/>
          <w:delText>(b)</w:delText>
        </w:r>
        <w:r>
          <w:rPr>
            <w:snapToGrid w:val="0"/>
          </w:rPr>
          <w:tab/>
          <w:delText xml:space="preserve">a vehicle licensed under the </w:delText>
        </w:r>
        <w:r>
          <w:rPr>
            <w:i/>
            <w:snapToGrid w:val="0"/>
          </w:rPr>
          <w:delText>Road Traffic (Vehicles) Act 2012,</w:delText>
        </w:r>
        <w:r>
          <w:rPr>
            <w:snapToGrid w:val="0"/>
          </w:rPr>
          <w:delText xml:space="preserve"> when being used otherwise than on a road,</w:delText>
        </w:r>
      </w:del>
    </w:p>
    <w:p>
      <w:pPr>
        <w:pStyle w:val="nzSubsection"/>
        <w:spacing w:before="60"/>
        <w:ind w:right="856"/>
        <w:rPr>
          <w:del w:id="240" w:author="svcMRProcess" w:date="2020-02-24T11:11:00Z"/>
          <w:snapToGrid w:val="0"/>
        </w:rPr>
      </w:pPr>
      <w:del w:id="241" w:author="svcMRProcess" w:date="2020-02-24T11:11:00Z">
        <w:r>
          <w:rPr>
            <w:snapToGrid w:val="0"/>
          </w:rPr>
          <w:tab/>
        </w:r>
        <w:r>
          <w:rPr>
            <w:snapToGrid w:val="0"/>
          </w:rPr>
          <w:tab/>
          <w:delTex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delText>
        </w:r>
      </w:del>
    </w:p>
    <w:p>
      <w:pPr>
        <w:pStyle w:val="nzSubsection"/>
        <w:ind w:right="859"/>
        <w:rPr>
          <w:del w:id="242" w:author="svcMRProcess" w:date="2020-02-24T11:11:00Z"/>
          <w:snapToGrid w:val="0"/>
        </w:rPr>
      </w:pPr>
      <w:del w:id="243" w:author="svcMRProcess" w:date="2020-02-24T11:11:00Z">
        <w:r>
          <w:rPr>
            <w:snapToGrid w:val="0"/>
          </w:rPr>
          <w:tab/>
          <w:delText>(2)</w:delText>
        </w:r>
        <w:r>
          <w:rPr>
            <w:snapToGrid w:val="0"/>
          </w:rPr>
          <w:tab/>
          <w:delText>It shall, be a defence to any proceedings arising out of the provisions of subsection (1) of this section for the owner to show that he did not know, and could not reasonably be expected to have known, and had used all due diligence to prevent, the use to which the vehicle was put.</w:delText>
        </w:r>
      </w:del>
    </w:p>
    <w:p>
      <w:pPr>
        <w:pStyle w:val="nzSubsection"/>
        <w:keepNext/>
        <w:ind w:right="859"/>
        <w:rPr>
          <w:del w:id="244" w:author="svcMRProcess" w:date="2020-02-24T11:11:00Z"/>
          <w:snapToGrid w:val="0"/>
        </w:rPr>
      </w:pPr>
      <w:del w:id="245" w:author="svcMRProcess" w:date="2020-02-24T11:11:00Z">
        <w:r>
          <w:rPr>
            <w:snapToGrid w:val="0"/>
          </w:rPr>
          <w:tab/>
          <w:delText>(3)</w:delText>
        </w:r>
        <w:r>
          <w:rPr>
            <w:snapToGrid w:val="0"/>
          </w:rPr>
          <w:tab/>
          <w:delText>For the purposes of this section, notwithstanding that pursuant to —</w:delText>
        </w:r>
      </w:del>
    </w:p>
    <w:p>
      <w:pPr>
        <w:pStyle w:val="nzIndenta"/>
        <w:ind w:right="859"/>
        <w:rPr>
          <w:del w:id="246" w:author="svcMRProcess" w:date="2020-02-24T11:11:00Z"/>
          <w:snapToGrid w:val="0"/>
        </w:rPr>
      </w:pPr>
      <w:del w:id="247" w:author="svcMRProcess" w:date="2020-02-24T11:11:00Z">
        <w:r>
          <w:rPr>
            <w:snapToGrid w:val="0"/>
          </w:rPr>
          <w:tab/>
          <w:delText>(a)</w:delText>
        </w:r>
        <w:r>
          <w:rPr>
            <w:snapToGrid w:val="0"/>
          </w:rPr>
          <w:tab/>
          <w:delText xml:space="preserve">the </w:delText>
        </w:r>
        <w:r>
          <w:rPr>
            <w:i/>
            <w:snapToGrid w:val="0"/>
          </w:rPr>
          <w:delText>Road Traffic (Administration) Act 2008</w:delText>
        </w:r>
        <w:r>
          <w:rPr>
            <w:snapToGrid w:val="0"/>
          </w:rPr>
          <w:delText xml:space="preserve"> section 5(2); or</w:delText>
        </w:r>
      </w:del>
    </w:p>
    <w:p>
      <w:pPr>
        <w:pStyle w:val="nzIndenta"/>
        <w:ind w:right="859"/>
        <w:rPr>
          <w:del w:id="248" w:author="svcMRProcess" w:date="2020-02-24T11:11:00Z"/>
          <w:snapToGrid w:val="0"/>
        </w:rPr>
      </w:pPr>
      <w:del w:id="249" w:author="svcMRProcess" w:date="2020-02-24T11:11:00Z">
        <w:r>
          <w:rPr>
            <w:snapToGrid w:val="0"/>
          </w:rPr>
          <w:tab/>
          <w:delText>(b)</w:delText>
        </w:r>
        <w:r>
          <w:rPr>
            <w:snapToGrid w:val="0"/>
          </w:rPr>
          <w:tab/>
          <w:delText>subsection (2) of section 3 of this Act,</w:delText>
        </w:r>
      </w:del>
    </w:p>
    <w:p>
      <w:pPr>
        <w:pStyle w:val="nzSubsection"/>
        <w:ind w:right="292"/>
        <w:rPr>
          <w:del w:id="250" w:author="svcMRProcess" w:date="2020-02-24T11:11:00Z"/>
          <w:snapToGrid w:val="0"/>
        </w:rPr>
      </w:pPr>
      <w:del w:id="251" w:author="svcMRProcess" w:date="2020-02-24T11:11:00Z">
        <w:r>
          <w:rPr>
            <w:snapToGrid w:val="0"/>
          </w:rPr>
          <w:tab/>
        </w:r>
        <w:r>
          <w:rPr>
            <w:snapToGrid w:val="0"/>
          </w:rPr>
          <w:tab/>
          <w:delTex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delText>
        </w:r>
      </w:del>
    </w:p>
    <w:p>
      <w:pPr>
        <w:pStyle w:val="Footnotesection"/>
        <w:rPr>
          <w:del w:id="252" w:author="svcMRProcess" w:date="2020-02-24T11:11:00Z"/>
          <w:sz w:val="20"/>
        </w:rPr>
      </w:pPr>
      <w:del w:id="253" w:author="svcMRProcess" w:date="2020-02-24T11:11:00Z">
        <w:r>
          <w:rPr>
            <w:sz w:val="20"/>
          </w:rPr>
          <w:tab/>
        </w:r>
        <w:r>
          <w:rPr>
            <w:sz w:val="20"/>
          </w:rPr>
          <w:tab/>
          <w:delText>[Section 11 amended: No. 7 of 2002 s. 7; No.  8 of 2012 s. 65.]</w:delText>
        </w:r>
      </w:del>
    </w:p>
    <w:p>
      <w:pPr>
        <w:pStyle w:val="BlankClose"/>
        <w:rPr>
          <w:del w:id="254" w:author="svcMRProcess" w:date="2020-02-24T11:11:00Z"/>
          <w:snapToGrid w:val="0"/>
        </w:rPr>
      </w:pPr>
    </w:p>
    <w:p>
      <w:pPr>
        <w:pStyle w:val="nHeading3"/>
        <w:rPr>
          <w:ins w:id="255" w:author="svcMRProcess" w:date="2020-02-24T11:11:00Z"/>
        </w:rPr>
      </w:pPr>
      <w:del w:id="256" w:author="svcMRProcess" w:date="2020-02-24T11:11:00Z">
        <w:r>
          <w:rPr>
            <w:vertAlign w:val="superscript"/>
          </w:rPr>
          <w:delText>3</w:delText>
        </w:r>
      </w:del>
      <w:ins w:id="257" w:author="svcMRProcess" w:date="2020-02-24T11:11:00Z">
        <w:r>
          <w:t>Other notes</w:t>
        </w:r>
        <w:bookmarkEnd w:id="229"/>
      </w:ins>
    </w:p>
    <w:p>
      <w:pPr>
        <w:pStyle w:val="nNote"/>
        <w:rPr>
          <w:snapToGrid w:val="0"/>
        </w:rPr>
      </w:pPr>
      <w:ins w:id="258" w:author="svcMRProcess" w:date="2020-02-24T11:11:00Z">
        <w:r>
          <w:rPr>
            <w:vertAlign w:val="superscript"/>
          </w:rPr>
          <w:t>1</w:t>
        </w:r>
      </w:ins>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pPr>
        <w:pStyle w:val="nNote"/>
        <w:rPr>
          <w:snapToGrid w:val="0"/>
        </w:rPr>
      </w:pPr>
      <w:del w:id="259" w:author="svcMRProcess" w:date="2020-02-24T11:11:00Z">
        <w:r>
          <w:rPr>
            <w:vertAlign w:val="superscript"/>
          </w:rPr>
          <w:delText>4</w:delText>
        </w:r>
      </w:del>
      <w:ins w:id="260" w:author="svcMRProcess" w:date="2020-02-24T11:11:00Z">
        <w:r>
          <w:rPr>
            <w:vertAlign w:val="superscript"/>
          </w:rPr>
          <w:t>2</w:t>
        </w:r>
      </w:ins>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pPr>
        <w:pStyle w:val="nNote"/>
        <w:keepNext/>
        <w:keepLines/>
      </w:pPr>
      <w:del w:id="261" w:author="svcMRProcess" w:date="2020-02-24T11:11:00Z">
        <w:r>
          <w:rPr>
            <w:vertAlign w:val="superscript"/>
          </w:rPr>
          <w:delText>5</w:delText>
        </w:r>
      </w:del>
      <w:ins w:id="262" w:author="svcMRProcess" w:date="2020-02-24T11:11:00Z">
        <w:r>
          <w:rPr>
            <w:vertAlign w:val="superscript"/>
          </w:rPr>
          <w:t>3</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60"/>
        <w:rPr>
          <w:del w:id="263" w:author="svcMRProcess" w:date="2020-02-24T11:11:00Z"/>
          <w:snapToGrid w:val="0"/>
        </w:rPr>
      </w:pPr>
      <w:del w:id="264" w:author="svcMRProcess" w:date="2020-02-24T11:11: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Aquatic Resources Management Act 2016</w:delText>
        </w:r>
        <w:r>
          <w:rPr>
            <w:iCs/>
            <w:snapToGrid w:val="0"/>
          </w:rPr>
          <w:delText xml:space="preserve"> s. 365 </w:delText>
        </w:r>
        <w:r>
          <w:rPr>
            <w:snapToGrid w:val="0"/>
          </w:rPr>
          <w:delText>had not come into operation.  It reads as follows:</w:delText>
        </w:r>
      </w:del>
    </w:p>
    <w:p>
      <w:pPr>
        <w:pStyle w:val="BlankOpen"/>
        <w:rPr>
          <w:del w:id="265" w:author="svcMRProcess" w:date="2020-02-24T11:11:00Z"/>
        </w:rPr>
      </w:pPr>
    </w:p>
    <w:p>
      <w:pPr>
        <w:pStyle w:val="nzHeading5"/>
        <w:rPr>
          <w:del w:id="266" w:author="svcMRProcess" w:date="2020-02-24T11:11:00Z"/>
        </w:rPr>
      </w:pPr>
      <w:bookmarkStart w:id="267" w:name="_Toc468262758"/>
      <w:bookmarkStart w:id="268" w:name="_Toc468263679"/>
      <w:del w:id="269" w:author="svcMRProcess" w:date="2020-02-24T11:11:00Z">
        <w:r>
          <w:rPr>
            <w:rStyle w:val="CharSectno"/>
          </w:rPr>
          <w:delText>365</w:delText>
        </w:r>
        <w:r>
          <w:delText>.</w:delText>
        </w:r>
        <w:r>
          <w:tab/>
        </w:r>
        <w:r>
          <w:rPr>
            <w:i/>
          </w:rPr>
          <w:delText>Control of Vehicles (Off</w:delText>
        </w:r>
        <w:r>
          <w:rPr>
            <w:i/>
          </w:rPr>
          <w:noBreakHyphen/>
          <w:delText>road Areas) Act 1978</w:delText>
        </w:r>
        <w:r>
          <w:delText xml:space="preserve"> amended</w:delText>
        </w:r>
        <w:bookmarkEnd w:id="267"/>
        <w:bookmarkEnd w:id="268"/>
      </w:del>
    </w:p>
    <w:p>
      <w:pPr>
        <w:pStyle w:val="nzSubsection"/>
        <w:rPr>
          <w:del w:id="270" w:author="svcMRProcess" w:date="2020-02-24T11:11:00Z"/>
        </w:rPr>
      </w:pPr>
      <w:del w:id="271" w:author="svcMRProcess" w:date="2020-02-24T11:11:00Z">
        <w:r>
          <w:tab/>
          <w:delText>(1)</w:delText>
        </w:r>
        <w:r>
          <w:tab/>
          <w:delText xml:space="preserve">This section amends the </w:delText>
        </w:r>
        <w:r>
          <w:rPr>
            <w:i/>
          </w:rPr>
          <w:delText>Control of Vehicles (Off</w:delText>
        </w:r>
        <w:r>
          <w:rPr>
            <w:i/>
          </w:rPr>
          <w:noBreakHyphen/>
          <w:delText>road Areas) Act 1978</w:delText>
        </w:r>
        <w:r>
          <w:delText>.</w:delText>
        </w:r>
      </w:del>
    </w:p>
    <w:p>
      <w:pPr>
        <w:pStyle w:val="nzSubsection"/>
        <w:rPr>
          <w:del w:id="272" w:author="svcMRProcess" w:date="2020-02-24T11:11:00Z"/>
        </w:rPr>
      </w:pPr>
      <w:del w:id="273" w:author="svcMRProcess" w:date="2020-02-24T11:11:00Z">
        <w:r>
          <w:tab/>
          <w:delText>(2)</w:delText>
        </w:r>
        <w:r>
          <w:tab/>
          <w:delText>Delete section 38(2)(g) and insert:</w:delText>
        </w:r>
      </w:del>
    </w:p>
    <w:p>
      <w:pPr>
        <w:pStyle w:val="BlankOpen"/>
        <w:rPr>
          <w:del w:id="274" w:author="svcMRProcess" w:date="2020-02-24T11:11:00Z"/>
        </w:rPr>
      </w:pPr>
    </w:p>
    <w:p>
      <w:pPr>
        <w:pStyle w:val="nzIndenta"/>
        <w:rPr>
          <w:del w:id="275" w:author="svcMRProcess" w:date="2020-02-24T11:11:00Z"/>
        </w:rPr>
      </w:pPr>
      <w:del w:id="276" w:author="svcMRProcess" w:date="2020-02-24T11:11:00Z">
        <w:r>
          <w:tab/>
          <w:delText>(g)</w:delText>
        </w:r>
        <w:r>
          <w:tab/>
          <w:delText xml:space="preserve">a compliance officer as defined in the </w:delText>
        </w:r>
        <w:r>
          <w:rPr>
            <w:i/>
            <w:snapToGrid w:val="0"/>
          </w:rPr>
          <w:delText>Aquatic Resources Management Act 2016</w:delText>
        </w:r>
        <w:r>
          <w:delText xml:space="preserve"> section 3(1); or</w:delText>
        </w:r>
      </w:del>
    </w:p>
    <w:p>
      <w:pPr>
        <w:pStyle w:val="BlankClose"/>
        <w:rPr>
          <w:del w:id="277" w:author="svcMRProcess" w:date="2020-02-24T11:11:00Z"/>
        </w:rPr>
      </w:pPr>
    </w:p>
    <w:p>
      <w:pPr>
        <w:pStyle w:val="nzSubsection"/>
        <w:rPr>
          <w:del w:id="278" w:author="svcMRProcess" w:date="2020-02-24T11:11:00Z"/>
        </w:rPr>
      </w:pPr>
      <w:del w:id="279" w:author="svcMRProcess" w:date="2020-02-24T11:11:00Z">
        <w:r>
          <w:tab/>
          <w:delText>(3)</w:delText>
        </w:r>
        <w:r>
          <w:tab/>
          <w:delText>In section 38(2) after each of paragraphs (a), (b), (e), (f) and (ga) insert:</w:delText>
        </w:r>
      </w:del>
    </w:p>
    <w:p>
      <w:pPr>
        <w:pStyle w:val="BlankOpen"/>
        <w:rPr>
          <w:del w:id="280" w:author="svcMRProcess" w:date="2020-02-24T11:11:00Z"/>
        </w:rPr>
      </w:pPr>
    </w:p>
    <w:p>
      <w:pPr>
        <w:pStyle w:val="nzSubsection"/>
        <w:rPr>
          <w:del w:id="281" w:author="svcMRProcess" w:date="2020-02-24T11:11:00Z"/>
        </w:rPr>
      </w:pPr>
      <w:del w:id="282" w:author="svcMRProcess" w:date="2020-02-24T11:11:00Z">
        <w:r>
          <w:tab/>
        </w:r>
        <w:r>
          <w:tab/>
          <w:delText>or</w:delText>
        </w:r>
      </w:del>
    </w:p>
    <w:p>
      <w:pPr>
        <w:pStyle w:val="BlankClose"/>
        <w:rPr>
          <w:del w:id="283" w:author="svcMRProcess" w:date="2020-02-24T11:11:00Z"/>
        </w:rPr>
      </w:pPr>
    </w:p>
    <w:p>
      <w:pPr>
        <w:pStyle w:val="BlankClose"/>
        <w:rPr>
          <w:del w:id="284" w:author="svcMRProcess" w:date="2020-02-24T11:11:00Z"/>
        </w:rPr>
      </w:pP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5" w:name="Compilation"/>
    <w:bookmarkEnd w:id="28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6" w:name="Coversheet"/>
    <w:bookmarkEnd w:id="2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090252"/>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 w:name="WAFER_202002120902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252_GUID" w:val="d176a224-a656-4f10-bae4-27deaea8a1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17188</Words>
  <Characters>78378</Characters>
  <Application>Microsoft Office Word</Application>
  <DocSecurity>0</DocSecurity>
  <Lines>2062</Lines>
  <Paragraphs>910</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94656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05-c0-01 - 05-d0-01</dc:title>
  <dc:subject/>
  <dc:creator/>
  <cp:keywords/>
  <dc:description/>
  <cp:lastModifiedBy>svcMRProcess</cp:lastModifiedBy>
  <cp:revision>2</cp:revision>
  <cp:lastPrinted>2012-09-13T06:31:00Z</cp:lastPrinted>
  <dcterms:created xsi:type="dcterms:W3CDTF">2020-02-24T03:11:00Z</dcterms:created>
  <dcterms:modified xsi:type="dcterms:W3CDTF">2020-02-24T03:11:00Z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DocumentType">
    <vt:lpwstr>Act</vt:lpwstr>
  </property>
  <property fmtid="{D5CDD505-2E9C-101B-9397-08002B2CF9AE}" pid="4" name="OwlsUID">
    <vt:i4>179</vt:i4>
  </property>
  <property fmtid="{D5CDD505-2E9C-101B-9397-08002B2CF9AE}" pid="5" name="ReprintNo">
    <vt:lpwstr>5</vt:lpwstr>
  </property>
  <property fmtid="{D5CDD505-2E9C-101B-9397-08002B2CF9AE}" pid="6" name="ReprintedAsAt">
    <vt:filetime>2012-09-06T16:00:00Z</vt:filetime>
  </property>
  <property fmtid="{D5CDD505-2E9C-101B-9397-08002B2CF9AE}" pid="7" name="CommencementDate">
    <vt:lpwstr>20190705</vt:lpwstr>
  </property>
  <property fmtid="{D5CDD505-2E9C-101B-9397-08002B2CF9AE}" pid="8" name="FromSuffix">
    <vt:lpwstr>05-c0-01</vt:lpwstr>
  </property>
  <property fmtid="{D5CDD505-2E9C-101B-9397-08002B2CF9AE}" pid="9" name="FromAsAtDate">
    <vt:lpwstr>29 Nov 2016</vt:lpwstr>
  </property>
  <property fmtid="{D5CDD505-2E9C-101B-9397-08002B2CF9AE}" pid="10" name="ToSuffix">
    <vt:lpwstr>05-d0-01</vt:lpwstr>
  </property>
  <property fmtid="{D5CDD505-2E9C-101B-9397-08002B2CF9AE}" pid="11" name="ToAsAtDate">
    <vt:lpwstr>05 Jul 2019</vt:lpwstr>
  </property>
</Properties>
</file>