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14 Aug 2019</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377133761"/>
      <w:bookmarkStart w:id="2" w:name="_Toc412552999"/>
      <w:bookmarkStart w:id="3" w:name="_Toc412553047"/>
      <w:bookmarkStart w:id="4" w:name="_Toc455147011"/>
      <w:bookmarkStart w:id="5" w:name="_Toc16582417"/>
      <w:bookmarkStart w:id="6" w:name="_Toc1658250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377133762"/>
      <w:bookmarkStart w:id="9" w:name="_Toc16582510"/>
      <w:bookmarkStart w:id="10" w:name="_Toc455147012"/>
      <w:r>
        <w:rPr>
          <w:rStyle w:val="CharSectno"/>
        </w:rPr>
        <w:t>1</w:t>
      </w:r>
      <w:r>
        <w:t>.</w:t>
      </w:r>
      <w:r>
        <w:tab/>
        <w:t>Citation</w:t>
      </w:r>
      <w:bookmarkEnd w:id="8"/>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11" w:name="_Toc377133763"/>
      <w:bookmarkStart w:id="12" w:name="_Toc16582511"/>
      <w:bookmarkStart w:id="13" w:name="_Toc455147013"/>
      <w:r>
        <w:rPr>
          <w:rStyle w:val="CharSectno"/>
        </w:rPr>
        <w:t>2</w:t>
      </w:r>
      <w:r>
        <w:rPr>
          <w:spacing w:val="-2"/>
        </w:rPr>
        <w:t>.</w:t>
      </w:r>
      <w:r>
        <w:rPr>
          <w:spacing w:val="-2"/>
        </w:rPr>
        <w:tab/>
        <w:t>Commencement</w:t>
      </w:r>
      <w:bookmarkEnd w:id="11"/>
      <w:bookmarkEnd w:id="12"/>
      <w:bookmarkEnd w:id="1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14" w:name="_Toc377133764"/>
      <w:bookmarkStart w:id="15" w:name="_Toc16582512"/>
      <w:bookmarkStart w:id="16" w:name="_Toc455147014"/>
      <w:r>
        <w:rPr>
          <w:rStyle w:val="CharSectno"/>
        </w:rPr>
        <w:t>3</w:t>
      </w:r>
      <w:r>
        <w:t>.</w:t>
      </w:r>
      <w:r>
        <w:tab/>
        <w:t>Terms used (Glossary)</w:t>
      </w:r>
      <w:bookmarkEnd w:id="14"/>
      <w:bookmarkEnd w:id="15"/>
      <w:bookmarkEnd w:id="16"/>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7" w:name="_Toc377133765"/>
      <w:bookmarkStart w:id="18" w:name="_Toc412553003"/>
      <w:bookmarkStart w:id="19" w:name="_Toc412553051"/>
      <w:bookmarkStart w:id="20" w:name="_Toc455147015"/>
      <w:bookmarkStart w:id="21" w:name="_Toc16582421"/>
      <w:bookmarkStart w:id="22" w:name="_Toc16582513"/>
      <w:r>
        <w:rPr>
          <w:rStyle w:val="CharPartNo"/>
        </w:rPr>
        <w:t>Part 2</w:t>
      </w:r>
      <w:r>
        <w:t> — </w:t>
      </w:r>
      <w:r>
        <w:rPr>
          <w:rStyle w:val="CharPartText"/>
        </w:rPr>
        <w:t>Various exemptions and inclusions</w:t>
      </w:r>
      <w:bookmarkEnd w:id="17"/>
      <w:bookmarkEnd w:id="18"/>
      <w:bookmarkEnd w:id="19"/>
      <w:bookmarkEnd w:id="20"/>
      <w:bookmarkEnd w:id="21"/>
      <w:bookmarkEnd w:id="22"/>
    </w:p>
    <w:p>
      <w:pPr>
        <w:pStyle w:val="Heading3"/>
      </w:pPr>
      <w:bookmarkStart w:id="23" w:name="_Toc377133766"/>
      <w:bookmarkStart w:id="24" w:name="_Toc412553004"/>
      <w:bookmarkStart w:id="25" w:name="_Toc412553052"/>
      <w:bookmarkStart w:id="26" w:name="_Toc455147016"/>
      <w:bookmarkStart w:id="27" w:name="_Toc16582422"/>
      <w:bookmarkStart w:id="28" w:name="_Toc16582514"/>
      <w:r>
        <w:rPr>
          <w:rStyle w:val="CharDivNo"/>
        </w:rPr>
        <w:t>Division 1</w:t>
      </w:r>
      <w:r>
        <w:t> — </w:t>
      </w:r>
      <w:r>
        <w:rPr>
          <w:rStyle w:val="CharDivText"/>
        </w:rPr>
        <w:t>Miscellaneous</w:t>
      </w:r>
      <w:bookmarkEnd w:id="23"/>
      <w:bookmarkEnd w:id="24"/>
      <w:bookmarkEnd w:id="25"/>
      <w:bookmarkEnd w:id="26"/>
      <w:bookmarkEnd w:id="27"/>
      <w:bookmarkEnd w:id="28"/>
    </w:p>
    <w:p>
      <w:pPr>
        <w:pStyle w:val="Heading5"/>
      </w:pPr>
      <w:bookmarkStart w:id="29" w:name="_Toc377133767"/>
      <w:bookmarkStart w:id="30" w:name="_Toc16582515"/>
      <w:bookmarkStart w:id="31" w:name="_Toc455147017"/>
      <w:r>
        <w:rPr>
          <w:rStyle w:val="CharSectno"/>
        </w:rPr>
        <w:t>4</w:t>
      </w:r>
      <w:r>
        <w:t>.</w:t>
      </w:r>
      <w:r>
        <w:tab/>
        <w:t>Departments etc. prescribed (Act s. 40(2)(q))</w:t>
      </w:r>
      <w:bookmarkEnd w:id="29"/>
      <w:bookmarkEnd w:id="30"/>
      <w:bookmarkEnd w:id="31"/>
      <w:r>
        <w:t xml:space="preserve"> </w:t>
      </w:r>
    </w:p>
    <w:p>
      <w:pPr>
        <w:pStyle w:val="Subsection"/>
      </w:pPr>
      <w:r>
        <w:tab/>
      </w:r>
      <w:r>
        <w:tab/>
        <w:t>The departments and other organisations listed in Schedule 1 are prescribed for the purposes of section 40(2)(q) of the Act.</w:t>
      </w:r>
    </w:p>
    <w:p>
      <w:pPr>
        <w:pStyle w:val="Heading5"/>
      </w:pPr>
      <w:bookmarkStart w:id="32" w:name="_Toc377133768"/>
      <w:bookmarkStart w:id="33" w:name="_Toc16582516"/>
      <w:bookmarkStart w:id="34" w:name="_Toc455147018"/>
      <w:r>
        <w:rPr>
          <w:rStyle w:val="CharSectno"/>
        </w:rPr>
        <w:t>5</w:t>
      </w:r>
      <w:r>
        <w:t>.</w:t>
      </w:r>
      <w:r>
        <w:tab/>
        <w:t xml:space="preserve">Class of contract prescribed (Act s. 9AA(1) </w:t>
      </w:r>
      <w:r>
        <w:rPr>
          <w:i/>
        </w:rPr>
        <w:t>wages</w:t>
      </w:r>
      <w:r>
        <w:t>)</w:t>
      </w:r>
      <w:bookmarkEnd w:id="32"/>
      <w:bookmarkEnd w:id="33"/>
      <w:bookmarkEnd w:id="34"/>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35" w:name="_Toc377133769"/>
      <w:bookmarkStart w:id="36" w:name="_Toc16582517"/>
      <w:bookmarkStart w:id="37" w:name="_Toc455147019"/>
      <w:r>
        <w:rPr>
          <w:rStyle w:val="CharSectno"/>
        </w:rPr>
        <w:t>6</w:t>
      </w:r>
      <w:r>
        <w:t>.</w:t>
      </w:r>
      <w:r>
        <w:tab/>
        <w:t>Contracts excluded from r. 5</w:t>
      </w:r>
      <w:bookmarkEnd w:id="35"/>
      <w:bookmarkEnd w:id="36"/>
      <w:bookmarkEnd w:id="37"/>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38" w:name="_Toc377133770"/>
      <w:bookmarkStart w:id="39" w:name="_Toc412553008"/>
      <w:bookmarkStart w:id="40" w:name="_Toc412553056"/>
      <w:bookmarkStart w:id="41" w:name="_Toc455147020"/>
      <w:bookmarkStart w:id="42" w:name="_Toc16582426"/>
      <w:bookmarkStart w:id="43" w:name="_Toc16582518"/>
      <w:r>
        <w:rPr>
          <w:rStyle w:val="CharDivNo"/>
        </w:rPr>
        <w:t>Division 2</w:t>
      </w:r>
      <w:r>
        <w:t> — </w:t>
      </w:r>
      <w:r>
        <w:rPr>
          <w:rStyle w:val="CharDivText"/>
        </w:rPr>
        <w:t>Remote location benefits</w:t>
      </w:r>
      <w:bookmarkEnd w:id="38"/>
      <w:bookmarkEnd w:id="39"/>
      <w:bookmarkEnd w:id="40"/>
      <w:bookmarkEnd w:id="41"/>
      <w:bookmarkEnd w:id="42"/>
      <w:bookmarkEnd w:id="43"/>
    </w:p>
    <w:p>
      <w:pPr>
        <w:pStyle w:val="Heading5"/>
      </w:pPr>
      <w:bookmarkStart w:id="44" w:name="_Toc377133771"/>
      <w:bookmarkStart w:id="45" w:name="_Toc16582519"/>
      <w:bookmarkStart w:id="46" w:name="_Toc455147021"/>
      <w:r>
        <w:rPr>
          <w:rStyle w:val="CharSectno"/>
        </w:rPr>
        <w:t>7</w:t>
      </w:r>
      <w:r>
        <w:t>.</w:t>
      </w:r>
      <w:r>
        <w:tab/>
        <w:t>Kinds of wages prescribed (Act s. 40(2)(r))</w:t>
      </w:r>
      <w:bookmarkEnd w:id="44"/>
      <w:bookmarkEnd w:id="45"/>
      <w:bookmarkEnd w:id="46"/>
    </w:p>
    <w:p>
      <w:pPr>
        <w:pStyle w:val="Subsection"/>
      </w:pPr>
      <w:r>
        <w:tab/>
      </w:r>
      <w:r>
        <w:tab/>
        <w:t>Wages of a kind referred to in this Division are prescribed for the purposes of section 40(2)(r) of the Act to the extent specified in this Division.</w:t>
      </w:r>
    </w:p>
    <w:p>
      <w:pPr>
        <w:pStyle w:val="Heading5"/>
      </w:pPr>
      <w:bookmarkStart w:id="47" w:name="_Toc377133772"/>
      <w:bookmarkStart w:id="48" w:name="_Toc16582520"/>
      <w:bookmarkStart w:id="49" w:name="_Toc455147022"/>
      <w:r>
        <w:rPr>
          <w:rStyle w:val="CharSectno"/>
        </w:rPr>
        <w:t>8</w:t>
      </w:r>
      <w:r>
        <w:t>.</w:t>
      </w:r>
      <w:r>
        <w:tab/>
        <w:t>Fringe benefits etc. relating to certain education costs of employee’s dependant</w:t>
      </w:r>
      <w:bookmarkEnd w:id="47"/>
      <w:bookmarkEnd w:id="48"/>
      <w:bookmarkEnd w:id="49"/>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50" w:name="_Toc377133773"/>
      <w:bookmarkStart w:id="51" w:name="_Toc16582521"/>
      <w:bookmarkStart w:id="52" w:name="_Toc455147023"/>
      <w:r>
        <w:rPr>
          <w:rStyle w:val="CharSectno"/>
        </w:rPr>
        <w:t>9</w:t>
      </w:r>
      <w:r>
        <w:t>.</w:t>
      </w:r>
      <w:r>
        <w:tab/>
        <w:t>Fringe benefits relating to water and residential fuel</w:t>
      </w:r>
      <w:bookmarkEnd w:id="50"/>
      <w:bookmarkEnd w:id="51"/>
      <w:bookmarkEnd w:id="52"/>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53" w:name="_Toc377133774"/>
      <w:bookmarkStart w:id="54" w:name="_Toc16582522"/>
      <w:bookmarkStart w:id="55" w:name="_Toc455147024"/>
      <w:r>
        <w:rPr>
          <w:rStyle w:val="CharSectno"/>
        </w:rPr>
        <w:t>10</w:t>
      </w:r>
      <w:r>
        <w:t>.</w:t>
      </w:r>
      <w:r>
        <w:tab/>
        <w:t>Fringe benefits etc. for housing, electricity etc.</w:t>
      </w:r>
      <w:bookmarkEnd w:id="53"/>
      <w:bookmarkEnd w:id="54"/>
      <w:bookmarkEnd w:id="5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56" w:name="_Toc377133775"/>
      <w:bookmarkStart w:id="57" w:name="_Toc412553013"/>
      <w:bookmarkStart w:id="58" w:name="_Toc412553061"/>
      <w:bookmarkStart w:id="59" w:name="_Toc455147025"/>
      <w:bookmarkStart w:id="60" w:name="_Toc16582431"/>
      <w:bookmarkStart w:id="61" w:name="_Toc16582523"/>
      <w:r>
        <w:rPr>
          <w:rStyle w:val="CharDivNo"/>
        </w:rPr>
        <w:t>Division 3</w:t>
      </w:r>
      <w:r>
        <w:t> — </w:t>
      </w:r>
      <w:r>
        <w:rPr>
          <w:rStyle w:val="CharDivText"/>
        </w:rPr>
        <w:t>Specified taxable benefits</w:t>
      </w:r>
      <w:bookmarkEnd w:id="56"/>
      <w:bookmarkEnd w:id="57"/>
      <w:bookmarkEnd w:id="58"/>
      <w:bookmarkEnd w:id="59"/>
      <w:bookmarkEnd w:id="60"/>
      <w:bookmarkEnd w:id="61"/>
    </w:p>
    <w:p>
      <w:pPr>
        <w:pStyle w:val="Heading5"/>
      </w:pPr>
      <w:bookmarkStart w:id="62" w:name="_Toc377133776"/>
      <w:bookmarkStart w:id="63" w:name="_Toc16582524"/>
      <w:bookmarkStart w:id="64" w:name="_Toc455147026"/>
      <w:r>
        <w:rPr>
          <w:rStyle w:val="CharSectno"/>
        </w:rPr>
        <w:t>11</w:t>
      </w:r>
      <w:r>
        <w:t>.</w:t>
      </w:r>
      <w:r>
        <w:tab/>
        <w:t>Contributions to redundancy benefits scheme</w:t>
      </w:r>
      <w:bookmarkEnd w:id="62"/>
      <w:bookmarkEnd w:id="63"/>
      <w:bookmarkEnd w:id="64"/>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65" w:name="_Toc377133777"/>
      <w:bookmarkStart w:id="66" w:name="_Toc16582525"/>
      <w:bookmarkStart w:id="67" w:name="_Toc455147027"/>
      <w:r>
        <w:rPr>
          <w:rStyle w:val="CharSectno"/>
        </w:rPr>
        <w:t>12</w:t>
      </w:r>
      <w:r>
        <w:t>.</w:t>
      </w:r>
      <w:r>
        <w:tab/>
        <w:t>Value of redundancy benefits scheme contributions (Act s. 9BI)</w:t>
      </w:r>
      <w:bookmarkEnd w:id="65"/>
      <w:bookmarkEnd w:id="66"/>
      <w:bookmarkEnd w:id="67"/>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68" w:name="_Toc377133778"/>
      <w:bookmarkStart w:id="69" w:name="_Toc16582526"/>
      <w:bookmarkStart w:id="70" w:name="_Toc455147028"/>
      <w:r>
        <w:rPr>
          <w:rStyle w:val="CharSectno"/>
        </w:rPr>
        <w:t>13</w:t>
      </w:r>
      <w:r>
        <w:t>.</w:t>
      </w:r>
      <w:r>
        <w:tab/>
        <w:t>Contributions to portable paid long service leave fund</w:t>
      </w:r>
      <w:bookmarkEnd w:id="68"/>
      <w:bookmarkEnd w:id="69"/>
      <w:bookmarkEnd w:id="70"/>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71" w:name="_Toc377133779"/>
      <w:bookmarkStart w:id="72" w:name="_Toc16582527"/>
      <w:bookmarkStart w:id="73" w:name="_Toc455147029"/>
      <w:r>
        <w:rPr>
          <w:rStyle w:val="CharSectno"/>
        </w:rPr>
        <w:t>14</w:t>
      </w:r>
      <w:r>
        <w:t>.</w:t>
      </w:r>
      <w:r>
        <w:tab/>
        <w:t>Value of portable long service leave fund contributions (Act s. 9BI)</w:t>
      </w:r>
      <w:bookmarkEnd w:id="71"/>
      <w:bookmarkEnd w:id="72"/>
      <w:bookmarkEnd w:id="73"/>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74" w:name="_Toc377133780"/>
      <w:bookmarkStart w:id="75" w:name="_Toc16582528"/>
      <w:bookmarkStart w:id="76" w:name="_Toc455147030"/>
      <w:r>
        <w:rPr>
          <w:rStyle w:val="CharSectno"/>
        </w:rPr>
        <w:t>15</w:t>
      </w:r>
      <w:r>
        <w:t>.</w:t>
      </w:r>
      <w:r>
        <w:tab/>
        <w:t>Exempt wages prescribed (Act s. 40(4))</w:t>
      </w:r>
      <w:bookmarkEnd w:id="74"/>
      <w:bookmarkEnd w:id="75"/>
      <w:bookmarkEnd w:id="76"/>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77" w:name="_Toc377133781"/>
      <w:bookmarkStart w:id="78" w:name="_Toc412553019"/>
      <w:bookmarkStart w:id="79" w:name="_Toc412553067"/>
      <w:bookmarkStart w:id="80" w:name="_Toc455147031"/>
      <w:bookmarkStart w:id="81" w:name="_Toc16582437"/>
      <w:bookmarkStart w:id="82" w:name="_Toc16582529"/>
      <w:r>
        <w:rPr>
          <w:rStyle w:val="CharDivNo"/>
        </w:rPr>
        <w:t>Division 4A</w:t>
      </w:r>
      <w:r>
        <w:t> — </w:t>
      </w:r>
      <w:r>
        <w:rPr>
          <w:rStyle w:val="CharDivText"/>
        </w:rPr>
        <w:t>Disability wages subsidy</w:t>
      </w:r>
      <w:bookmarkEnd w:id="77"/>
      <w:bookmarkEnd w:id="78"/>
      <w:bookmarkEnd w:id="79"/>
      <w:bookmarkEnd w:id="80"/>
      <w:bookmarkEnd w:id="81"/>
      <w:bookmarkEnd w:id="82"/>
    </w:p>
    <w:p>
      <w:pPr>
        <w:pStyle w:val="Footnoteheading"/>
        <w:keepNext/>
      </w:pPr>
      <w:r>
        <w:rPr>
          <w:snapToGrid w:val="0"/>
        </w:rPr>
        <w:tab/>
        <w:t>[Heading inserted: Gazette 11 Oct 2013 p. 4624.]</w:t>
      </w:r>
    </w:p>
    <w:p>
      <w:pPr>
        <w:pStyle w:val="Heading5"/>
      </w:pPr>
      <w:bookmarkStart w:id="83" w:name="_Toc377133782"/>
      <w:bookmarkStart w:id="84" w:name="_Toc16582530"/>
      <w:bookmarkStart w:id="85" w:name="_Toc455147032"/>
      <w:r>
        <w:rPr>
          <w:rStyle w:val="CharSectno"/>
        </w:rPr>
        <w:t>16</w:t>
      </w:r>
      <w:r>
        <w:t>.</w:t>
      </w:r>
      <w:r>
        <w:tab/>
        <w:t>Disability wages subsidy prescribed (Act s. 41C)</w:t>
      </w:r>
      <w:bookmarkEnd w:id="83"/>
      <w:bookmarkEnd w:id="84"/>
      <w:bookmarkEnd w:id="85"/>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86" w:name="_Toc377133783"/>
      <w:bookmarkStart w:id="87" w:name="_Toc412553021"/>
      <w:bookmarkStart w:id="88" w:name="_Toc412553069"/>
      <w:bookmarkStart w:id="89" w:name="_Toc455147033"/>
      <w:bookmarkStart w:id="90" w:name="_Toc16582439"/>
      <w:bookmarkStart w:id="91" w:name="_Toc16582531"/>
      <w:r>
        <w:rPr>
          <w:rStyle w:val="CharDivNo"/>
        </w:rPr>
        <w:t>Division 4</w:t>
      </w:r>
      <w:r>
        <w:t> — </w:t>
      </w:r>
      <w:r>
        <w:rPr>
          <w:rStyle w:val="CharDivText"/>
        </w:rPr>
        <w:t>Fringe benefits</w:t>
      </w:r>
      <w:bookmarkEnd w:id="86"/>
      <w:bookmarkEnd w:id="87"/>
      <w:bookmarkEnd w:id="88"/>
      <w:bookmarkEnd w:id="89"/>
      <w:bookmarkEnd w:id="90"/>
      <w:bookmarkEnd w:id="91"/>
    </w:p>
    <w:p>
      <w:pPr>
        <w:pStyle w:val="Ednotesection"/>
      </w:pPr>
      <w:r>
        <w:t>[</w:t>
      </w:r>
      <w:r>
        <w:rPr>
          <w:b/>
          <w:bCs/>
        </w:rPr>
        <w:t>19-26.</w:t>
      </w:r>
      <w:r>
        <w:tab/>
        <w:t>Deleted: Act No. 15 of 2010 s. 33.]</w:t>
      </w:r>
    </w:p>
    <w:p>
      <w:pPr>
        <w:pStyle w:val="Heading5"/>
      </w:pPr>
      <w:bookmarkStart w:id="92" w:name="_Toc377133784"/>
      <w:bookmarkStart w:id="93" w:name="_Toc16582532"/>
      <w:bookmarkStart w:id="94" w:name="_Toc455147034"/>
      <w:r>
        <w:rPr>
          <w:rStyle w:val="CharSectno"/>
        </w:rPr>
        <w:t>27</w:t>
      </w:r>
      <w:r>
        <w:t>.</w:t>
      </w:r>
      <w:r>
        <w:tab/>
        <w:t>Amended FBT Act assessment, employer to give copy of to Commissioner</w:t>
      </w:r>
      <w:bookmarkEnd w:id="92"/>
      <w:bookmarkEnd w:id="93"/>
      <w:bookmarkEnd w:id="9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95" w:name="_Toc377133785"/>
      <w:bookmarkStart w:id="96" w:name="_Toc412553023"/>
      <w:bookmarkStart w:id="97" w:name="_Toc412553071"/>
      <w:bookmarkStart w:id="98" w:name="_Toc455147036"/>
      <w:bookmarkStart w:id="99" w:name="_Toc16582441"/>
      <w:bookmarkStart w:id="100" w:name="_Toc16582533"/>
      <w:r>
        <w:rPr>
          <w:rStyle w:val="CharPartNo"/>
        </w:rPr>
        <w:t>Part 3</w:t>
      </w:r>
      <w:r>
        <w:rPr>
          <w:b w:val="0"/>
        </w:rPr>
        <w:t> </w:t>
      </w:r>
      <w:r>
        <w:t>—</w:t>
      </w:r>
      <w:r>
        <w:rPr>
          <w:b w:val="0"/>
        </w:rPr>
        <w:t> </w:t>
      </w:r>
      <w:r>
        <w:rPr>
          <w:rStyle w:val="CharPartText"/>
        </w:rPr>
        <w:t>Allowances</w:t>
      </w:r>
      <w:bookmarkEnd w:id="95"/>
      <w:bookmarkEnd w:id="96"/>
      <w:bookmarkEnd w:id="97"/>
      <w:bookmarkEnd w:id="98"/>
      <w:bookmarkEnd w:id="99"/>
      <w:bookmarkEnd w:id="100"/>
    </w:p>
    <w:p>
      <w:pPr>
        <w:pStyle w:val="Footnoteheading"/>
      </w:pPr>
      <w:r>
        <w:tab/>
        <w:t>[Heading inserted: Act No. 15 of 2010 s. 34.]</w:t>
      </w:r>
    </w:p>
    <w:p>
      <w:pPr>
        <w:pStyle w:val="Heading3"/>
      </w:pPr>
      <w:bookmarkStart w:id="101" w:name="_Toc377133786"/>
      <w:bookmarkStart w:id="102" w:name="_Toc412553024"/>
      <w:bookmarkStart w:id="103" w:name="_Toc412553072"/>
      <w:bookmarkStart w:id="104" w:name="_Toc455147037"/>
      <w:bookmarkStart w:id="105" w:name="_Toc16582442"/>
      <w:bookmarkStart w:id="106" w:name="_Toc16582534"/>
      <w:r>
        <w:rPr>
          <w:rStyle w:val="CharDivNo"/>
        </w:rPr>
        <w:t>Division 1</w:t>
      </w:r>
      <w:r>
        <w:t> — </w:t>
      </w:r>
      <w:r>
        <w:rPr>
          <w:rStyle w:val="CharDivText"/>
        </w:rPr>
        <w:t>Motor vehicle allowances</w:t>
      </w:r>
      <w:bookmarkEnd w:id="101"/>
      <w:bookmarkEnd w:id="102"/>
      <w:bookmarkEnd w:id="103"/>
      <w:bookmarkEnd w:id="104"/>
      <w:bookmarkEnd w:id="105"/>
      <w:bookmarkEnd w:id="106"/>
    </w:p>
    <w:p>
      <w:pPr>
        <w:pStyle w:val="Heading5"/>
        <w:rPr>
          <w:del w:id="107" w:author="Master Repository Process" w:date="2021-09-11T19:57:00Z"/>
        </w:rPr>
      </w:pPr>
      <w:ins w:id="108" w:author="Master Repository Process" w:date="2021-09-11T19:57:00Z">
        <w:r>
          <w:t>[</w:t>
        </w:r>
      </w:ins>
      <w:bookmarkStart w:id="109" w:name="_Toc455147035"/>
      <w:r>
        <w:rPr>
          <w:bCs/>
        </w:rPr>
        <w:t>28.</w:t>
      </w:r>
      <w:r>
        <w:tab/>
      </w:r>
      <w:del w:id="110" w:author="Master Repository Process" w:date="2021-09-11T19:57:00Z">
        <w:r>
          <w:delText>Exempt rate for motor vehicle allowances (Act s. 9FA(3)(b))</w:delText>
        </w:r>
        <w:bookmarkEnd w:id="109"/>
      </w:del>
    </w:p>
    <w:p>
      <w:pPr>
        <w:pStyle w:val="Subsection"/>
        <w:rPr>
          <w:del w:id="111" w:author="Master Repository Process" w:date="2021-09-11T19:57:00Z"/>
        </w:rPr>
      </w:pPr>
      <w:del w:id="112" w:author="Master Repository Process" w:date="2021-09-11T19:57:00Z">
        <w:r>
          <w:tab/>
        </w:r>
        <w:r>
          <w:tab/>
          <w:delText>For the purposes of section 9FA(3)(b), the exempt rate for a financial year is the rate determined by the Commissioner of Taxation of the Commonwealth under the ITA Act</w:delText>
        </w:r>
        <w:r>
          <w:rPr>
            <w:i/>
          </w:rPr>
          <w:delText xml:space="preserve"> </w:delText>
        </w:r>
        <w:r>
          <w:delText>section 28-25(4) as the rate of cents per kilometre for cars for the income year corresponding to the financial year immediately preceding the financial year in which the allowance is paid or payable.</w:delText>
        </w:r>
      </w:del>
    </w:p>
    <w:p>
      <w:pPr>
        <w:pStyle w:val="Ednotesection"/>
      </w:pPr>
      <w:del w:id="113" w:author="Master Repository Process" w:date="2021-09-11T19:57:00Z">
        <w:r>
          <w:tab/>
          <w:delText>[Regulation 28 inserted</w:delText>
        </w:r>
      </w:del>
      <w:ins w:id="114" w:author="Master Repository Process" w:date="2021-09-11T19:57:00Z">
        <w:r>
          <w:t>Deleted</w:t>
        </w:r>
      </w:ins>
      <w:r>
        <w:t xml:space="preserve">: Gazette </w:t>
      </w:r>
      <w:del w:id="115" w:author="Master Repository Process" w:date="2021-09-11T19:57:00Z">
        <w:r>
          <w:delText>24 Jun 2016</w:delText>
        </w:r>
      </w:del>
      <w:ins w:id="116" w:author="Master Repository Process" w:date="2021-09-11T19:57:00Z">
        <w:r>
          <w:t>13 Aug 2019</w:t>
        </w:r>
      </w:ins>
      <w:r>
        <w:t xml:space="preserve"> p. </w:t>
      </w:r>
      <w:del w:id="117" w:author="Master Repository Process" w:date="2021-09-11T19:57:00Z">
        <w:r>
          <w:delText>2344</w:delText>
        </w:r>
      </w:del>
      <w:ins w:id="118" w:author="Master Repository Process" w:date="2021-09-11T19:57:00Z">
        <w:r>
          <w:t>3042</w:t>
        </w:r>
      </w:ins>
      <w:r>
        <w:t>.]</w:t>
      </w:r>
    </w:p>
    <w:p>
      <w:pPr>
        <w:pStyle w:val="Ednotesection"/>
      </w:pPr>
      <w:r>
        <w:t>[</w:t>
      </w:r>
      <w:r>
        <w:rPr>
          <w:b/>
          <w:bCs/>
        </w:rPr>
        <w:t>29.</w:t>
      </w:r>
      <w:r>
        <w:tab/>
        <w:t>Deleted: Act No. 15 of 2010 s. 35.]</w:t>
      </w:r>
    </w:p>
    <w:p>
      <w:pPr>
        <w:pStyle w:val="Heading5"/>
      </w:pPr>
      <w:bookmarkStart w:id="119" w:name="_Toc377133787"/>
      <w:bookmarkStart w:id="120" w:name="_Toc16582535"/>
      <w:bookmarkStart w:id="121" w:name="_Toc455147038"/>
      <w:r>
        <w:rPr>
          <w:rStyle w:val="CharSectno"/>
        </w:rPr>
        <w:t>30</w:t>
      </w:r>
      <w:r>
        <w:t>.</w:t>
      </w:r>
      <w:r>
        <w:tab/>
        <w:t>Business kilometres travelled, determination of (Act s. 9FA(2))</w:t>
      </w:r>
      <w:bookmarkEnd w:id="119"/>
      <w:bookmarkEnd w:id="120"/>
      <w:bookmarkEnd w:id="121"/>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122" w:name="_Toc377133788"/>
      <w:bookmarkStart w:id="123" w:name="_Toc16582536"/>
      <w:bookmarkStart w:id="124" w:name="_Toc455147039"/>
      <w:r>
        <w:rPr>
          <w:rStyle w:val="CharSectno"/>
        </w:rPr>
        <w:t>32</w:t>
      </w:r>
      <w:r>
        <w:t>.</w:t>
      </w:r>
      <w:r>
        <w:tab/>
        <w:t>Business kilometres, methods for calculating</w:t>
      </w:r>
      <w:bookmarkEnd w:id="122"/>
      <w:bookmarkEnd w:id="123"/>
      <w:bookmarkEnd w:id="124"/>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25" w:name="_Toc377133789"/>
      <w:bookmarkStart w:id="126" w:name="_Toc16582537"/>
      <w:bookmarkStart w:id="127" w:name="_Toc455147040"/>
      <w:r>
        <w:rPr>
          <w:rStyle w:val="CharSectno"/>
        </w:rPr>
        <w:t>33</w:t>
      </w:r>
      <w:r>
        <w:t>.</w:t>
      </w:r>
      <w:r>
        <w:tab/>
        <w:t>Business kilometres, changing method of calculating</w:t>
      </w:r>
      <w:bookmarkEnd w:id="125"/>
      <w:bookmarkEnd w:id="126"/>
      <w:bookmarkEnd w:id="127"/>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28" w:name="_Toc377133790"/>
      <w:bookmarkStart w:id="129" w:name="_Toc16582538"/>
      <w:bookmarkStart w:id="130" w:name="_Toc455147041"/>
      <w:r>
        <w:rPr>
          <w:rStyle w:val="CharSectno"/>
        </w:rPr>
        <w:t>34</w:t>
      </w:r>
      <w:r>
        <w:t>.</w:t>
      </w:r>
      <w:r>
        <w:tab/>
        <w:t>Continuous recording method</w:t>
      </w:r>
      <w:bookmarkEnd w:id="128"/>
      <w:bookmarkEnd w:id="129"/>
      <w:bookmarkEnd w:id="13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31" w:name="_Toc377133791"/>
      <w:bookmarkStart w:id="132" w:name="_Toc16582539"/>
      <w:bookmarkStart w:id="133" w:name="_Toc455147042"/>
      <w:r>
        <w:rPr>
          <w:rStyle w:val="CharSectno"/>
        </w:rPr>
        <w:t>35</w:t>
      </w:r>
      <w:r>
        <w:t>.</w:t>
      </w:r>
      <w:r>
        <w:tab/>
        <w:t>Averaging method</w:t>
      </w:r>
      <w:bookmarkEnd w:id="131"/>
      <w:bookmarkEnd w:id="132"/>
      <w:bookmarkEnd w:id="13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134" w:author="Master Repository Process" w:date="2021-09-11T19:57:00Z"/>
          <w:position w:val="-24"/>
        </w:rPr>
      </w:pPr>
      <w:del w:id="135" w:author="Master Repository Process" w:date="2021-09-11T19:5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4" o:title=""/>
            </v:shape>
          </w:pict>
        </w:r>
      </w:del>
    </w:p>
    <w:p>
      <w:pPr>
        <w:pStyle w:val="Equation"/>
        <w:spacing w:before="160"/>
        <w:ind w:left="476" w:firstLine="1140"/>
        <w:rPr>
          <w:ins w:id="136" w:author="Master Repository Process" w:date="2021-09-11T19:57:00Z"/>
          <w:position w:val="-24"/>
        </w:rPr>
      </w:pPr>
      <w:ins w:id="137" w:author="Master Repository Process" w:date="2021-09-11T19:57:00Z">
        <w:r>
          <w:rPr>
            <w:position w:val="-24"/>
          </w:rPr>
          <w:pict>
            <v:shape id="_x0000_i1026" type="#_x0000_t75" style="width:144.75pt;height:31.5pt">
              <v:imagedata r:id="rId14"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138" w:author="Master Repository Process" w:date="2021-09-11T19:57:00Z"/>
          <w:position w:val="-24"/>
        </w:rPr>
      </w:pPr>
      <w:del w:id="139" w:author="Master Repository Process" w:date="2021-09-11T19:57:00Z">
        <w:r>
          <w:rPr>
            <w:position w:val="-24"/>
          </w:rPr>
          <w:pict>
            <v:shape id="_x0000_i1027" type="#_x0000_t75" style="width:132.75pt;height:30.75pt">
              <v:imagedata r:id="rId15" o:title=""/>
            </v:shape>
          </w:pict>
        </w:r>
      </w:del>
    </w:p>
    <w:p>
      <w:pPr>
        <w:pStyle w:val="Equation"/>
        <w:spacing w:before="160"/>
        <w:ind w:firstLine="879"/>
        <w:rPr>
          <w:ins w:id="140" w:author="Master Repository Process" w:date="2021-09-11T19:57:00Z"/>
          <w:position w:val="-24"/>
        </w:rPr>
      </w:pPr>
      <w:ins w:id="141" w:author="Master Repository Process" w:date="2021-09-11T19:57:00Z">
        <w:r>
          <w:rPr>
            <w:position w:val="-24"/>
          </w:rPr>
          <w:pict>
            <v:shape id="_x0000_i1028" type="#_x0000_t75" style="width:133.5pt;height:31.5pt">
              <v:imagedata r:id="rId15" o:title=""/>
            </v:shape>
          </w:pict>
        </w:r>
      </w:ins>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42" w:name="_Toc377133792"/>
      <w:bookmarkStart w:id="143" w:name="_Toc16582540"/>
      <w:bookmarkStart w:id="144" w:name="_Toc455147043"/>
      <w:r>
        <w:rPr>
          <w:rStyle w:val="CharSectno"/>
        </w:rPr>
        <w:t>36</w:t>
      </w:r>
      <w:r>
        <w:t>.</w:t>
      </w:r>
      <w:r>
        <w:tab/>
        <w:t>Continuous recording period, selecting</w:t>
      </w:r>
      <w:bookmarkEnd w:id="142"/>
      <w:bookmarkEnd w:id="143"/>
      <w:bookmarkEnd w:id="144"/>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45" w:name="_Toc377133793"/>
      <w:bookmarkStart w:id="146" w:name="_Toc16582541"/>
      <w:bookmarkStart w:id="147" w:name="_Toc455147044"/>
      <w:r>
        <w:rPr>
          <w:rStyle w:val="CharSectno"/>
        </w:rPr>
        <w:t>37</w:t>
      </w:r>
      <w:r>
        <w:t>.</w:t>
      </w:r>
      <w:r>
        <w:tab/>
        <w:t>Replacing one motor vehicle with another</w:t>
      </w:r>
      <w:bookmarkEnd w:id="145"/>
      <w:bookmarkEnd w:id="146"/>
      <w:bookmarkEnd w:id="147"/>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48" w:name="_Toc377133794"/>
      <w:bookmarkStart w:id="149" w:name="_Toc16582542"/>
      <w:bookmarkStart w:id="150" w:name="_Toc455147045"/>
      <w:r>
        <w:rPr>
          <w:rStyle w:val="CharSectno"/>
        </w:rPr>
        <w:t>38</w:t>
      </w:r>
      <w:r>
        <w:t>.</w:t>
      </w:r>
      <w:r>
        <w:tab/>
        <w:t>Replacement or recalibration of odometer</w:t>
      </w:r>
      <w:bookmarkEnd w:id="148"/>
      <w:bookmarkEnd w:id="149"/>
      <w:bookmarkEnd w:id="150"/>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51" w:name="_Toc377133795"/>
      <w:bookmarkStart w:id="152" w:name="_Toc412553033"/>
      <w:bookmarkStart w:id="153" w:name="_Toc412553081"/>
      <w:bookmarkStart w:id="154" w:name="_Toc455147046"/>
      <w:bookmarkStart w:id="155" w:name="_Toc16582451"/>
      <w:bookmarkStart w:id="156" w:name="_Toc16582543"/>
      <w:r>
        <w:rPr>
          <w:rStyle w:val="CharPartNo"/>
        </w:rPr>
        <w:t>Part 4</w:t>
      </w:r>
      <w:r>
        <w:rPr>
          <w:rStyle w:val="CharDivNo"/>
        </w:rPr>
        <w:t> </w:t>
      </w:r>
      <w:r>
        <w:t>—</w:t>
      </w:r>
      <w:r>
        <w:rPr>
          <w:rStyle w:val="CharDivText"/>
        </w:rPr>
        <w:t> </w:t>
      </w:r>
      <w:r>
        <w:rPr>
          <w:rStyle w:val="CharPartText"/>
        </w:rPr>
        <w:t>Superannuation contributions</w:t>
      </w:r>
      <w:bookmarkEnd w:id="151"/>
      <w:bookmarkEnd w:id="152"/>
      <w:bookmarkEnd w:id="153"/>
      <w:bookmarkEnd w:id="154"/>
      <w:bookmarkEnd w:id="155"/>
      <w:bookmarkEnd w:id="156"/>
    </w:p>
    <w:p>
      <w:pPr>
        <w:pStyle w:val="Heading5"/>
      </w:pPr>
      <w:bookmarkStart w:id="157" w:name="_Toc377133796"/>
      <w:bookmarkStart w:id="158" w:name="_Toc16582544"/>
      <w:bookmarkStart w:id="159" w:name="_Toc455147047"/>
      <w:r>
        <w:rPr>
          <w:rStyle w:val="CharSectno"/>
        </w:rPr>
        <w:t>41</w:t>
      </w:r>
      <w:r>
        <w:t>.</w:t>
      </w:r>
      <w:r>
        <w:tab/>
        <w:t>Actuarial determinations for some superannuation contributions, employer’s duties as to</w:t>
      </w:r>
      <w:bookmarkEnd w:id="157"/>
      <w:bookmarkEnd w:id="158"/>
      <w:bookmarkEnd w:id="159"/>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60" w:name="_Toc377133797"/>
      <w:bookmarkStart w:id="161" w:name="_Toc16582545"/>
      <w:bookmarkStart w:id="162" w:name="_Toc455147048"/>
      <w:r>
        <w:rPr>
          <w:rStyle w:val="CharSectno"/>
        </w:rPr>
        <w:t>42</w:t>
      </w:r>
      <w:r>
        <w:t>.</w:t>
      </w:r>
      <w:r>
        <w:tab/>
        <w:t>Actuarial determinations, requirements for</w:t>
      </w:r>
      <w:bookmarkEnd w:id="160"/>
      <w:bookmarkEnd w:id="161"/>
      <w:bookmarkEnd w:id="162"/>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63" w:name="_Toc377133798"/>
      <w:bookmarkStart w:id="164" w:name="_Toc16582546"/>
      <w:bookmarkStart w:id="165" w:name="_Toc455147049"/>
      <w:r>
        <w:rPr>
          <w:rStyle w:val="CharSectno"/>
        </w:rPr>
        <w:t>44</w:t>
      </w:r>
      <w:r>
        <w:t>.</w:t>
      </w:r>
      <w:r>
        <w:tab/>
        <w:t>Actuarial determinations, content of</w:t>
      </w:r>
      <w:bookmarkEnd w:id="163"/>
      <w:bookmarkEnd w:id="164"/>
      <w:bookmarkEnd w:id="16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66" w:name="_Toc377133799"/>
      <w:bookmarkStart w:id="167" w:name="_Toc16582547"/>
      <w:bookmarkStart w:id="168" w:name="_Toc455147050"/>
      <w:r>
        <w:rPr>
          <w:rStyle w:val="CharSectno"/>
        </w:rPr>
        <w:t>45</w:t>
      </w:r>
      <w:r>
        <w:t>.</w:t>
      </w:r>
      <w:r>
        <w:tab/>
        <w:t>Actuarial determination, duration of</w:t>
      </w:r>
      <w:bookmarkEnd w:id="166"/>
      <w:bookmarkEnd w:id="167"/>
      <w:bookmarkEnd w:id="168"/>
    </w:p>
    <w:p>
      <w:pPr>
        <w:pStyle w:val="Subsection"/>
      </w:pPr>
      <w:r>
        <w:tab/>
      </w:r>
      <w:r>
        <w:tab/>
        <w:t>An actuarial determination remains in force for 3 years from when it is made unless before then another actuarial determination is made to replace it.</w:t>
      </w:r>
    </w:p>
    <w:p>
      <w:pPr>
        <w:pStyle w:val="Heading2"/>
      </w:pPr>
      <w:bookmarkStart w:id="169" w:name="_Toc377133800"/>
      <w:bookmarkStart w:id="170" w:name="_Toc412553038"/>
      <w:bookmarkStart w:id="171" w:name="_Toc412553086"/>
      <w:bookmarkStart w:id="172" w:name="_Toc455147051"/>
      <w:bookmarkStart w:id="173" w:name="_Toc16582456"/>
      <w:bookmarkStart w:id="174" w:name="_Toc16582548"/>
      <w:r>
        <w:rPr>
          <w:rStyle w:val="CharPartNo"/>
        </w:rPr>
        <w:t>Part 5</w:t>
      </w:r>
      <w:r>
        <w:rPr>
          <w:rStyle w:val="CharDivNo"/>
        </w:rPr>
        <w:t> </w:t>
      </w:r>
      <w:r>
        <w:t>—</w:t>
      </w:r>
      <w:r>
        <w:rPr>
          <w:rStyle w:val="CharDivText"/>
        </w:rPr>
        <w:t> </w:t>
      </w:r>
      <w:r>
        <w:rPr>
          <w:rStyle w:val="CharPartText"/>
        </w:rPr>
        <w:t>Keeping books and accounts</w:t>
      </w:r>
      <w:bookmarkEnd w:id="169"/>
      <w:bookmarkEnd w:id="170"/>
      <w:bookmarkEnd w:id="171"/>
      <w:bookmarkEnd w:id="172"/>
      <w:bookmarkEnd w:id="173"/>
      <w:bookmarkEnd w:id="174"/>
    </w:p>
    <w:p>
      <w:pPr>
        <w:pStyle w:val="Heading5"/>
        <w:spacing w:before="240"/>
      </w:pPr>
      <w:bookmarkStart w:id="175" w:name="_Toc377133801"/>
      <w:bookmarkStart w:id="176" w:name="_Toc16582549"/>
      <w:bookmarkStart w:id="177" w:name="_Toc455147052"/>
      <w:r>
        <w:rPr>
          <w:rStyle w:val="CharSectno"/>
        </w:rPr>
        <w:t>46</w:t>
      </w:r>
      <w:r>
        <w:t>.</w:t>
      </w:r>
      <w:r>
        <w:tab/>
        <w:t>Records prescribed (Act s. 44(1)(a), 41A(2)); record keeping requirements</w:t>
      </w:r>
      <w:bookmarkEnd w:id="175"/>
      <w:bookmarkEnd w:id="176"/>
      <w:bookmarkEnd w:id="177"/>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78" w:name="_Toc377133802"/>
      <w:bookmarkStart w:id="179" w:name="_Toc412553040"/>
      <w:bookmarkStart w:id="180" w:name="_Toc412553088"/>
      <w:bookmarkStart w:id="181" w:name="_Toc455147053"/>
      <w:bookmarkStart w:id="182" w:name="_Toc16582458"/>
      <w:bookmarkStart w:id="183" w:name="_Toc16582550"/>
      <w:r>
        <w:rPr>
          <w:rStyle w:val="CharPartNo"/>
        </w:rPr>
        <w:t>Part 6</w:t>
      </w:r>
      <w:r>
        <w:rPr>
          <w:b w:val="0"/>
        </w:rPr>
        <w:t> </w:t>
      </w:r>
      <w:r>
        <w:t>—</w:t>
      </w:r>
      <w:r>
        <w:rPr>
          <w:b w:val="0"/>
        </w:rPr>
        <w:t> </w:t>
      </w:r>
      <w:r>
        <w:rPr>
          <w:rStyle w:val="CharPartText"/>
        </w:rPr>
        <w:t>Returns</w:t>
      </w:r>
      <w:bookmarkEnd w:id="178"/>
      <w:bookmarkEnd w:id="179"/>
      <w:bookmarkEnd w:id="180"/>
      <w:bookmarkEnd w:id="181"/>
      <w:bookmarkEnd w:id="182"/>
      <w:bookmarkEnd w:id="183"/>
    </w:p>
    <w:p>
      <w:pPr>
        <w:pStyle w:val="Footnoteheading"/>
      </w:pPr>
      <w:r>
        <w:tab/>
        <w:t>[Heading inserted: Gazette 2 May 2006 p. 1711.]</w:t>
      </w:r>
    </w:p>
    <w:p>
      <w:pPr>
        <w:pStyle w:val="Heading5"/>
      </w:pPr>
      <w:bookmarkStart w:id="184" w:name="_Toc377133803"/>
      <w:bookmarkStart w:id="185" w:name="_Toc16582551"/>
      <w:bookmarkStart w:id="186" w:name="_Toc455147054"/>
      <w:r>
        <w:rPr>
          <w:rStyle w:val="CharSectno"/>
        </w:rPr>
        <w:t>47</w:t>
      </w:r>
      <w:r>
        <w:t>.</w:t>
      </w:r>
      <w:r>
        <w:tab/>
        <w:t>Manner of lodging returns etc. prescribed (Act s. 28A(1))</w:t>
      </w:r>
      <w:bookmarkEnd w:id="184"/>
      <w:bookmarkEnd w:id="185"/>
      <w:bookmarkEnd w:id="186"/>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7" w:name="_Toc377133804"/>
      <w:bookmarkStart w:id="188" w:name="_Toc412553042"/>
      <w:bookmarkStart w:id="189" w:name="_Toc412553090"/>
      <w:bookmarkStart w:id="190" w:name="_Toc455147055"/>
      <w:bookmarkStart w:id="191" w:name="_Toc16582460"/>
      <w:bookmarkStart w:id="192" w:name="_Toc16582552"/>
      <w:r>
        <w:rPr>
          <w:rStyle w:val="CharSchNo"/>
        </w:rPr>
        <w:t>Schedule 1</w:t>
      </w:r>
      <w:r>
        <w:t> — </w:t>
      </w:r>
      <w:r>
        <w:rPr>
          <w:rStyle w:val="CharSchText"/>
        </w:rPr>
        <w:t>Exempt departments and other organisations</w:t>
      </w:r>
      <w:bookmarkEnd w:id="187"/>
      <w:bookmarkEnd w:id="188"/>
      <w:bookmarkEnd w:id="189"/>
      <w:bookmarkEnd w:id="190"/>
      <w:bookmarkEnd w:id="191"/>
      <w:bookmarkEnd w:id="192"/>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t>.]</w:t>
      </w:r>
    </w:p>
    <w:p>
      <w:pPr>
        <w:pStyle w:val="yScheduleHeading"/>
      </w:pPr>
      <w:bookmarkStart w:id="193" w:name="_Toc377133805"/>
      <w:bookmarkStart w:id="194" w:name="_Toc412553043"/>
      <w:bookmarkStart w:id="195" w:name="_Toc412553091"/>
      <w:bookmarkStart w:id="196" w:name="_Toc455147056"/>
      <w:bookmarkStart w:id="197" w:name="_Toc16582461"/>
      <w:bookmarkStart w:id="198" w:name="_Toc16582553"/>
      <w:r>
        <w:rPr>
          <w:rStyle w:val="CharSchNo"/>
        </w:rPr>
        <w:t>Glossary</w:t>
      </w:r>
      <w:bookmarkEnd w:id="193"/>
      <w:bookmarkEnd w:id="194"/>
      <w:bookmarkEnd w:id="195"/>
      <w:bookmarkEnd w:id="196"/>
      <w:bookmarkEnd w:id="197"/>
      <w:bookmarkEnd w:id="198"/>
      <w:r>
        <w:rPr>
          <w:rStyle w:val="CharSchText"/>
        </w:rPr>
        <w:t xml:space="preserve"> </w:t>
      </w:r>
    </w:p>
    <w:p>
      <w:pPr>
        <w:pStyle w:val="yShoulderClause"/>
      </w:pPr>
      <w:r>
        <w:t>[r. 3]</w:t>
      </w:r>
    </w:p>
    <w:p>
      <w:pPr>
        <w:pStyle w:val="yHeading5"/>
      </w:pPr>
      <w:bookmarkStart w:id="199" w:name="_Toc377133806"/>
      <w:bookmarkStart w:id="200" w:name="_Toc16582554"/>
      <w:bookmarkStart w:id="201" w:name="_Toc455147057"/>
      <w:r>
        <w:t>1.</w:t>
      </w:r>
      <w:r>
        <w:tab/>
        <w:t>Terms used</w:t>
      </w:r>
      <w:bookmarkEnd w:id="199"/>
      <w:bookmarkEnd w:id="200"/>
      <w:bookmarkEnd w:id="201"/>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03" w:name="_Toc377133807"/>
      <w:bookmarkStart w:id="204" w:name="_Toc412553045"/>
      <w:bookmarkStart w:id="205" w:name="_Toc412553093"/>
      <w:bookmarkStart w:id="206" w:name="_Toc455147058"/>
      <w:bookmarkStart w:id="207" w:name="_Toc16582463"/>
      <w:bookmarkStart w:id="208" w:name="_Toc16582555"/>
      <w:r>
        <w:t>Notes</w:t>
      </w:r>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209" w:name="_Toc377133808"/>
      <w:bookmarkStart w:id="210" w:name="_Toc16582556"/>
      <w:bookmarkStart w:id="211" w:name="_Toc455147059"/>
      <w:r>
        <w:t>Compilation table</w:t>
      </w:r>
      <w:bookmarkEnd w:id="209"/>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11</w:t>
            </w:r>
          </w:p>
        </w:tc>
        <w:tc>
          <w:tcPr>
            <w:tcW w:w="2693" w:type="dxa"/>
          </w:tcPr>
          <w:p>
            <w:pPr>
              <w:pStyle w:val="nTable"/>
              <w:spacing w:after="40"/>
              <w:rPr>
                <w:iCs/>
              </w:rPr>
            </w:pPr>
            <w:r>
              <w:rPr>
                <w:iCs/>
              </w:rPr>
              <w:t>25 Jun 2010 (see s. 2(a))</w:t>
            </w:r>
          </w:p>
        </w:tc>
      </w:tr>
      <w:tr>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rFonts w:ascii="Times" w:hAnsi="Times"/>
                <w:snapToGrid w:val="0"/>
                <w:spacing w:val="-2"/>
              </w:rPr>
              <w:t>r. 1 and 2: 11 Oct 2013 (see r. 2(a));</w:t>
            </w:r>
            <w:r>
              <w:rPr>
                <w:rFonts w:ascii="Times" w:hAnsi="Times"/>
                <w:snapToGrid w:val="0"/>
                <w:spacing w:val="-2"/>
              </w:rPr>
              <w:br/>
              <w:t>Regulations other than r. 1 and 2: 12 Oct 2013 (see r. 2(b))</w:t>
            </w:r>
          </w:p>
        </w:tc>
      </w:tr>
      <w:tr>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rFonts w:ascii="Times" w:hAnsi="Times"/>
                <w:snapToGrid w:val="0"/>
                <w:spacing w:val="-2"/>
              </w:rPr>
            </w:pPr>
            <w:r>
              <w:rPr>
                <w:rFonts w:ascii="Times" w:hAnsi="Times"/>
                <w:snapToGrid w:val="0"/>
                <w:spacing w:val="-2"/>
              </w:rPr>
              <w:t>r. 1 and 2: 24 Feb 2015 (see r. 2(a));</w:t>
            </w:r>
            <w:r>
              <w:rPr>
                <w:rFonts w:ascii="Times" w:hAnsi="Times"/>
                <w:snapToGrid w:val="0"/>
                <w:spacing w:val="-2"/>
              </w:rPr>
              <w:br/>
              <w:t>Regulations other than r. 1 and 2: 25 Feb 2015 (see r. 2(b))</w:t>
            </w:r>
          </w:p>
        </w:tc>
      </w:tr>
      <w:tr>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rFonts w:ascii="Times" w:hAnsi="Times"/>
                <w:snapToGrid w:val="0"/>
                <w:spacing w:val="-2"/>
              </w:rPr>
            </w:pPr>
            <w:r>
              <w:rPr>
                <w:rFonts w:ascii="Times" w:hAnsi="Times"/>
                <w:snapToGrid w:val="0"/>
                <w:spacing w:val="-2"/>
              </w:rPr>
              <w:t xml:space="preserve">r. 1 and 2: </w:t>
            </w:r>
            <w:r>
              <w:t>24 Jun 2016</w:t>
            </w:r>
            <w:r>
              <w:rPr>
                <w:rFonts w:ascii="Times" w:hAnsi="Times"/>
                <w:snapToGrid w:val="0"/>
                <w:spacing w:val="-2"/>
              </w:rPr>
              <w:t xml:space="preserve"> (see r. 2(a));</w:t>
            </w:r>
            <w:r>
              <w:rPr>
                <w:rFonts w:ascii="Times" w:hAnsi="Times"/>
                <w:snapToGrid w:val="0"/>
                <w:spacing w:val="-2"/>
              </w:rPr>
              <w:br/>
              <w:t>Regulations other than r. 1 and 2: 1 Jul 2016 (see r. 2(b))</w:t>
            </w:r>
          </w:p>
        </w:tc>
      </w:tr>
      <w:tr>
        <w:trPr>
          <w:ins w:id="212" w:author="Master Repository Process" w:date="2021-09-11T19:57:00Z"/>
        </w:trPr>
        <w:tc>
          <w:tcPr>
            <w:tcW w:w="3119" w:type="dxa"/>
            <w:tcBorders>
              <w:bottom w:val="single" w:sz="4" w:space="0" w:color="auto"/>
            </w:tcBorders>
            <w:shd w:val="clear" w:color="auto" w:fill="auto"/>
          </w:tcPr>
          <w:p>
            <w:pPr>
              <w:pStyle w:val="nTable"/>
              <w:spacing w:after="40"/>
              <w:rPr>
                <w:ins w:id="213" w:author="Master Repository Process" w:date="2021-09-11T19:57:00Z"/>
              </w:rPr>
            </w:pPr>
            <w:ins w:id="214" w:author="Master Repository Process" w:date="2021-09-11T19:57:00Z">
              <w:r>
                <w:rPr>
                  <w:i/>
                </w:rPr>
                <w:t>Finance Regulations Amendment Regulations 2019</w:t>
              </w:r>
              <w:r>
                <w:t xml:space="preserve"> Pt. 3</w:t>
              </w:r>
            </w:ins>
          </w:p>
        </w:tc>
        <w:tc>
          <w:tcPr>
            <w:tcW w:w="1276" w:type="dxa"/>
            <w:tcBorders>
              <w:bottom w:val="single" w:sz="4" w:space="0" w:color="auto"/>
            </w:tcBorders>
            <w:shd w:val="clear" w:color="auto" w:fill="auto"/>
          </w:tcPr>
          <w:p>
            <w:pPr>
              <w:pStyle w:val="nTable"/>
              <w:spacing w:after="40"/>
              <w:rPr>
                <w:ins w:id="215" w:author="Master Repository Process" w:date="2021-09-11T19:57:00Z"/>
              </w:rPr>
            </w:pPr>
            <w:ins w:id="216" w:author="Master Repository Process" w:date="2021-09-11T19:57:00Z">
              <w:r>
                <w:t>13 Aug 2019 p. 3041</w:t>
              </w:r>
              <w:r>
                <w:noBreakHyphen/>
                <w:t>3</w:t>
              </w:r>
            </w:ins>
          </w:p>
        </w:tc>
        <w:tc>
          <w:tcPr>
            <w:tcW w:w="2693" w:type="dxa"/>
            <w:tcBorders>
              <w:bottom w:val="single" w:sz="4" w:space="0" w:color="auto"/>
            </w:tcBorders>
            <w:shd w:val="clear" w:color="auto" w:fill="auto"/>
          </w:tcPr>
          <w:p>
            <w:pPr>
              <w:pStyle w:val="nTable"/>
              <w:spacing w:after="40"/>
              <w:rPr>
                <w:ins w:id="217" w:author="Master Repository Process" w:date="2021-09-11T19:57:00Z"/>
                <w:rFonts w:ascii="Times" w:hAnsi="Times"/>
                <w:snapToGrid w:val="0"/>
                <w:spacing w:val="-2"/>
              </w:rPr>
            </w:pPr>
            <w:ins w:id="218" w:author="Master Repository Process" w:date="2021-09-11T19:57:00Z">
              <w:r>
                <w:rPr>
                  <w:rFonts w:ascii="Times" w:hAnsi="Times"/>
                  <w:snapToGrid w:val="0"/>
                  <w:spacing w:val="-2"/>
                </w:rPr>
                <w:t>14 Aug 2019 (see r. 2(c))</w:t>
              </w:r>
            </w:ins>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2" w:name="Schedule"/>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55608"/>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F234CC5-A815-4A3A-9C61-36ECFEDF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7805</Words>
  <Characters>38637</Characters>
  <Application>Microsoft Office Word</Application>
  <DocSecurity>0</DocSecurity>
  <Lines>1073</Lines>
  <Paragraphs>595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03-d0-04 - 03-e0-00</dc:title>
  <dc:subject/>
  <dc:creator/>
  <cp:keywords/>
  <dc:description/>
  <cp:lastModifiedBy>Master Repository Process</cp:lastModifiedBy>
  <cp:revision>2</cp:revision>
  <cp:lastPrinted>2012-05-08T03:38:00Z</cp:lastPrinted>
  <dcterms:created xsi:type="dcterms:W3CDTF">2021-09-11T11:57:00Z</dcterms:created>
  <dcterms:modified xsi:type="dcterms:W3CDTF">2021-09-11T11:57:00Z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20190814</vt:lpwstr>
  </property>
  <property fmtid="{D5CDD505-2E9C-101B-9397-08002B2CF9AE}" pid="8" name="FromSuffix">
    <vt:lpwstr>03-d0-04</vt:lpwstr>
  </property>
  <property fmtid="{D5CDD505-2E9C-101B-9397-08002B2CF9AE}" pid="9" name="FromAsAtDate">
    <vt:lpwstr>01 Jul 2016</vt:lpwstr>
  </property>
  <property fmtid="{D5CDD505-2E9C-101B-9397-08002B2CF9AE}" pid="10" name="ToSuffix">
    <vt:lpwstr>03-e0-00</vt:lpwstr>
  </property>
  <property fmtid="{D5CDD505-2E9C-101B-9397-08002B2CF9AE}" pid="11" name="ToAsAtDate">
    <vt:lpwstr>14 Aug 2019</vt:lpwstr>
  </property>
</Properties>
</file>