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2012</w:t>
      </w:r>
      <w:r>
        <w:fldChar w:fldCharType="end"/>
      </w:r>
      <w:r>
        <w:t xml:space="preserve">, </w:t>
      </w:r>
      <w:r>
        <w:fldChar w:fldCharType="begin"/>
      </w:r>
      <w:r>
        <w:instrText xml:space="preserve"> DocProperty FromSuffix </w:instrText>
      </w:r>
      <w:r>
        <w:fldChar w:fldCharType="separate"/>
      </w:r>
      <w:r>
        <w:t>03-e0-05</w:t>
      </w:r>
      <w:r>
        <w:fldChar w:fldCharType="end"/>
      </w:r>
      <w:r>
        <w:t>] and [</w:t>
      </w:r>
      <w:r>
        <w:fldChar w:fldCharType="begin"/>
      </w:r>
      <w:r>
        <w:instrText xml:space="preserve"> DocProperty ToAsAtDate</w:instrText>
      </w:r>
      <w:r>
        <w:fldChar w:fldCharType="separate"/>
      </w:r>
      <w:r>
        <w:t>18 Sep 2019</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1" w:name="_GoBack"/>
      <w:bookmarkEnd w:id="1"/>
      <w:r>
        <w:rPr>
          <w:snapToGrid w:val="0"/>
        </w:rPr>
        <w:t xml:space="preserve">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rFonts w:ascii="Times New Roman" w:hAnsi="Times New Roman"/>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w:t>
      </w:r>
      <w:r>
        <w:rPr>
          <w:rFonts w:ascii="Times New Roman" w:hAnsi="Times New Roman"/>
          <w:snapToGrid w:val="0"/>
        </w:rPr>
        <w:lastRenderedPageBreak/>
        <w:t>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4" w:bottom="3544" w:left="2404" w:header="720" w:footer="3380" w:gutter="0"/>
          <w:pgNumType w:start="1"/>
          <w:cols w:space="720"/>
          <w:noEndnote/>
          <w:titlePg/>
          <w:docGrid w:linePitch="326"/>
        </w:sectPr>
      </w:pPr>
    </w:p>
    <w:p>
      <w:pPr>
        <w:pStyle w:val="Heading5"/>
        <w:spacing w:before="0"/>
        <w:rPr>
          <w:snapToGrid w:val="0"/>
        </w:rPr>
      </w:pPr>
      <w:bookmarkStart w:id="2" w:name="_Toc33613464"/>
      <w:bookmarkStart w:id="3" w:name="_Toc379276587"/>
      <w:bookmarkStart w:id="4" w:name="_Toc424552164"/>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del w:id="5" w:author="svcMRProcess" w:date="2020-02-26T14:17:00Z">
        <w:r>
          <w:rPr>
            <w:i/>
            <w:snapToGrid w:val="0"/>
            <w:vertAlign w:val="superscript"/>
          </w:rPr>
          <w:delText> </w:delText>
        </w:r>
        <w:r>
          <w:rPr>
            <w:snapToGrid w:val="0"/>
            <w:vertAlign w:val="superscript"/>
          </w:rPr>
          <w:delText>1</w:delText>
        </w:r>
      </w:del>
      <w:r>
        <w:rPr>
          <w:snapToGrid w:val="0"/>
        </w:rPr>
        <w:t>.</w:t>
      </w:r>
    </w:p>
    <w:p>
      <w:pPr>
        <w:pStyle w:val="Heading5"/>
        <w:spacing w:before="120"/>
        <w:rPr>
          <w:snapToGrid w:val="0"/>
        </w:rPr>
      </w:pPr>
      <w:bookmarkStart w:id="6" w:name="_Toc33613465"/>
      <w:bookmarkStart w:id="7" w:name="_Toc379276588"/>
      <w:bookmarkStart w:id="8" w:name="_Toc424552165"/>
      <w:r>
        <w:rPr>
          <w:rStyle w:val="CharSectno"/>
        </w:rPr>
        <w:t>2</w:t>
      </w:r>
      <w:r>
        <w:rPr>
          <w:snapToGrid w:val="0"/>
        </w:rPr>
        <w:t>.</w:t>
      </w:r>
      <w:r>
        <w:rPr>
          <w:snapToGrid w:val="0"/>
        </w:rPr>
        <w:tab/>
        <w:t>Terms used in this Act</w:t>
      </w:r>
      <w:bookmarkEnd w:id="6"/>
      <w:bookmarkEnd w:id="7"/>
      <w:bookmarkEnd w:id="8"/>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9" w:name="_Toc33613466"/>
      <w:bookmarkStart w:id="10" w:name="_Toc379276589"/>
      <w:bookmarkStart w:id="11" w:name="_Toc424552166"/>
      <w:r>
        <w:rPr>
          <w:rStyle w:val="CharSectno"/>
        </w:rPr>
        <w:t>3</w:t>
      </w:r>
      <w:r>
        <w:rPr>
          <w:snapToGrid w:val="0"/>
        </w:rPr>
        <w:t>.</w:t>
      </w:r>
      <w:r>
        <w:rPr>
          <w:snapToGrid w:val="0"/>
        </w:rPr>
        <w:tab/>
        <w:t>Actions to be in name of chairman</w:t>
      </w:r>
      <w:bookmarkEnd w:id="9"/>
      <w:bookmarkEnd w:id="10"/>
      <w:bookmarkEnd w:id="11"/>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2" w:name="_Toc33613467"/>
      <w:bookmarkStart w:id="13" w:name="_Toc379276590"/>
      <w:bookmarkStart w:id="14" w:name="_Toc424552167"/>
      <w:r>
        <w:rPr>
          <w:rStyle w:val="CharSectno"/>
        </w:rPr>
        <w:t>4</w:t>
      </w:r>
      <w:r>
        <w:rPr>
          <w:snapToGrid w:val="0"/>
        </w:rPr>
        <w:t>.</w:t>
      </w:r>
      <w:r>
        <w:rPr>
          <w:snapToGrid w:val="0"/>
        </w:rPr>
        <w:tab/>
        <w:t>Memorial of chairman’s and members’ names to be recorded in Supreme Court</w:t>
      </w:r>
      <w:bookmarkEnd w:id="12"/>
      <w:bookmarkEnd w:id="13"/>
      <w:bookmarkEnd w:id="14"/>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15" w:name="_Toc33613468"/>
      <w:bookmarkStart w:id="16" w:name="_Toc379276591"/>
      <w:bookmarkStart w:id="17" w:name="_Toc424552168"/>
      <w:r>
        <w:rPr>
          <w:rStyle w:val="CharSectno"/>
        </w:rPr>
        <w:t>5</w:t>
      </w:r>
      <w:r>
        <w:rPr>
          <w:snapToGrid w:val="0"/>
        </w:rPr>
        <w:t>.</w:t>
      </w:r>
      <w:r>
        <w:rPr>
          <w:snapToGrid w:val="0"/>
        </w:rPr>
        <w:tab/>
        <w:t>No action to be brought until memorial is recorded</w:t>
      </w:r>
      <w:bookmarkEnd w:id="15"/>
      <w:bookmarkEnd w:id="16"/>
      <w:bookmarkEnd w:id="17"/>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18" w:name="_Toc33613469"/>
      <w:bookmarkStart w:id="19" w:name="_Toc379276592"/>
      <w:bookmarkStart w:id="20" w:name="_Toc424552169"/>
      <w:r>
        <w:rPr>
          <w:rStyle w:val="CharSectno"/>
        </w:rPr>
        <w:t>6</w:t>
      </w:r>
      <w:r>
        <w:rPr>
          <w:snapToGrid w:val="0"/>
        </w:rPr>
        <w:t>.</w:t>
      </w:r>
      <w:r>
        <w:rPr>
          <w:snapToGrid w:val="0"/>
        </w:rPr>
        <w:tab/>
        <w:t>Effect of judgment against chairman</w:t>
      </w:r>
      <w:bookmarkEnd w:id="18"/>
      <w:bookmarkEnd w:id="19"/>
      <w:bookmarkEnd w:id="20"/>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No. 24 of 1997 s. 4.] </w:t>
      </w:r>
    </w:p>
    <w:p>
      <w:pPr>
        <w:pStyle w:val="Heading5"/>
        <w:rPr>
          <w:snapToGrid w:val="0"/>
        </w:rPr>
      </w:pPr>
      <w:bookmarkStart w:id="21" w:name="_Toc33613470"/>
      <w:bookmarkStart w:id="22" w:name="_Toc379276593"/>
      <w:bookmarkStart w:id="23" w:name="_Toc424552170"/>
      <w:r>
        <w:rPr>
          <w:rStyle w:val="CharSectno"/>
        </w:rPr>
        <w:t>7</w:t>
      </w:r>
      <w:r>
        <w:rPr>
          <w:snapToGrid w:val="0"/>
        </w:rPr>
        <w:t>.</w:t>
      </w:r>
      <w:r>
        <w:rPr>
          <w:snapToGrid w:val="0"/>
        </w:rPr>
        <w:tab/>
        <w:t>Racecourse vested in chairman for term created by Crown grant of 11 September 1877</w:t>
      </w:r>
      <w:bookmarkEnd w:id="21"/>
      <w:bookmarkEnd w:id="22"/>
      <w:bookmarkEnd w:id="23"/>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24" w:name="_Toc33613471"/>
      <w:bookmarkStart w:id="25" w:name="_Toc379276594"/>
      <w:bookmarkStart w:id="26" w:name="_Toc424552171"/>
      <w:r>
        <w:rPr>
          <w:rStyle w:val="CharSectno"/>
        </w:rPr>
        <w:t>8</w:t>
      </w:r>
      <w:r>
        <w:rPr>
          <w:snapToGrid w:val="0"/>
        </w:rPr>
        <w:t>.</w:t>
      </w:r>
      <w:r>
        <w:rPr>
          <w:snapToGrid w:val="0"/>
        </w:rPr>
        <w:tab/>
        <w:t>Crown may demise lands to chairman</w:t>
      </w:r>
      <w:bookmarkEnd w:id="24"/>
      <w:bookmarkEnd w:id="25"/>
      <w:bookmarkEnd w:id="26"/>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27" w:name="_Toc33613472"/>
      <w:bookmarkStart w:id="28" w:name="_Toc379276595"/>
      <w:bookmarkStart w:id="29" w:name="_Toc424552172"/>
      <w:r>
        <w:rPr>
          <w:rStyle w:val="CharSectno"/>
        </w:rPr>
        <w:t>9</w:t>
      </w:r>
      <w:r>
        <w:rPr>
          <w:snapToGrid w:val="0"/>
        </w:rPr>
        <w:t>.</w:t>
      </w:r>
      <w:r>
        <w:rPr>
          <w:snapToGrid w:val="0"/>
        </w:rPr>
        <w:tab/>
        <w:t>Lands and other property to be vested in chairman</w:t>
      </w:r>
      <w:bookmarkEnd w:id="27"/>
      <w:bookmarkEnd w:id="28"/>
      <w:bookmarkEnd w:id="29"/>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30" w:name="_Toc33613473"/>
      <w:bookmarkStart w:id="31" w:name="_Toc379276596"/>
      <w:bookmarkStart w:id="32" w:name="_Toc424552173"/>
      <w:r>
        <w:rPr>
          <w:rStyle w:val="CharSectno"/>
        </w:rPr>
        <w:t>10</w:t>
      </w:r>
      <w:r>
        <w:rPr>
          <w:snapToGrid w:val="0"/>
        </w:rPr>
        <w:t>.</w:t>
      </w:r>
      <w:r>
        <w:rPr>
          <w:snapToGrid w:val="0"/>
        </w:rPr>
        <w:tab/>
        <w:t>Lands vested in chairman to be held for racecourse only</w:t>
      </w:r>
      <w:bookmarkEnd w:id="30"/>
      <w:bookmarkEnd w:id="31"/>
      <w:bookmarkEnd w:id="32"/>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No. 24 of 1997 s. 5.] </w:t>
      </w:r>
    </w:p>
    <w:p>
      <w:pPr>
        <w:pStyle w:val="Heading5"/>
        <w:rPr>
          <w:snapToGrid w:val="0"/>
        </w:rPr>
      </w:pPr>
      <w:bookmarkStart w:id="33" w:name="_Toc33613474"/>
      <w:bookmarkStart w:id="34" w:name="_Toc379276597"/>
      <w:bookmarkStart w:id="35" w:name="_Toc424552174"/>
      <w:r>
        <w:rPr>
          <w:rStyle w:val="CharSectno"/>
        </w:rPr>
        <w:t>11</w:t>
      </w:r>
      <w:r>
        <w:rPr>
          <w:snapToGrid w:val="0"/>
        </w:rPr>
        <w:t>.</w:t>
      </w:r>
      <w:r>
        <w:rPr>
          <w:snapToGrid w:val="0"/>
        </w:rPr>
        <w:tab/>
        <w:t>Lands already demised to be held for purpose of racecourse</w:t>
      </w:r>
      <w:bookmarkEnd w:id="33"/>
      <w:bookmarkEnd w:id="34"/>
      <w:bookmarkEnd w:id="3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36" w:name="_Toc33613475"/>
      <w:bookmarkStart w:id="37" w:name="_Toc379276598"/>
      <w:bookmarkStart w:id="38" w:name="_Toc424552175"/>
      <w:r>
        <w:rPr>
          <w:rStyle w:val="CharSectno"/>
        </w:rPr>
        <w:t>12</w:t>
      </w:r>
      <w:r>
        <w:rPr>
          <w:snapToGrid w:val="0"/>
        </w:rPr>
        <w:t>.</w:t>
      </w:r>
      <w:r>
        <w:rPr>
          <w:snapToGrid w:val="0"/>
        </w:rPr>
        <w:tab/>
        <w:t>Committee may maintain buildings already erected and erect others</w:t>
      </w:r>
      <w:bookmarkEnd w:id="36"/>
      <w:bookmarkEnd w:id="37"/>
      <w:bookmarkEnd w:id="38"/>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39" w:name="_Toc33613476"/>
      <w:bookmarkStart w:id="40" w:name="_Toc379276599"/>
      <w:bookmarkStart w:id="41" w:name="_Toc424552176"/>
      <w:r>
        <w:rPr>
          <w:rStyle w:val="CharSectno"/>
        </w:rPr>
        <w:t>13</w:t>
      </w:r>
      <w:r>
        <w:t>.</w:t>
      </w:r>
      <w:r>
        <w:tab/>
        <w:t>By</w:t>
      </w:r>
      <w:r>
        <w:noBreakHyphen/>
        <w:t>laws</w:t>
      </w:r>
      <w:bookmarkEnd w:id="39"/>
      <w:bookmarkEnd w:id="40"/>
      <w:bookmarkEnd w:id="41"/>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No. 35 of 2003 s. 238.]</w:t>
      </w:r>
    </w:p>
    <w:p>
      <w:pPr>
        <w:pStyle w:val="Ednotesection"/>
      </w:pPr>
      <w:r>
        <w:t>[</w:t>
      </w:r>
      <w:r>
        <w:rPr>
          <w:b/>
        </w:rPr>
        <w:t>14-20.</w:t>
      </w:r>
      <w:r>
        <w:tab/>
        <w:t xml:space="preserve">Deleted: No. 35 of 2003 s. 239.] </w:t>
      </w:r>
    </w:p>
    <w:p>
      <w:pPr>
        <w:pStyle w:val="Heading5"/>
        <w:rPr>
          <w:snapToGrid w:val="0"/>
        </w:rPr>
      </w:pPr>
      <w:bookmarkStart w:id="42" w:name="_Toc33613477"/>
      <w:bookmarkStart w:id="43" w:name="_Toc379276600"/>
      <w:bookmarkStart w:id="44" w:name="_Toc424552177"/>
      <w:r>
        <w:rPr>
          <w:rStyle w:val="CharSectno"/>
        </w:rPr>
        <w:t>21</w:t>
      </w:r>
      <w:r>
        <w:rPr>
          <w:snapToGrid w:val="0"/>
        </w:rPr>
        <w:t>.</w:t>
      </w:r>
      <w:r>
        <w:rPr>
          <w:snapToGrid w:val="0"/>
        </w:rPr>
        <w:tab/>
        <w:t>Obstructing officers etc. of committee or trespassing upon racecourse</w:t>
      </w:r>
      <w:bookmarkEnd w:id="42"/>
      <w:bookmarkEnd w:id="43"/>
      <w:bookmarkEnd w:id="44"/>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No. 113 of 1965 s. 8(1).]</w:t>
      </w:r>
    </w:p>
    <w:p>
      <w:pPr>
        <w:pStyle w:val="Heading5"/>
        <w:rPr>
          <w:snapToGrid w:val="0"/>
        </w:rPr>
      </w:pPr>
      <w:bookmarkStart w:id="45" w:name="_Toc33613478"/>
      <w:bookmarkStart w:id="46" w:name="_Toc379276601"/>
      <w:bookmarkStart w:id="47" w:name="_Toc424552178"/>
      <w:r>
        <w:rPr>
          <w:rStyle w:val="CharSectno"/>
        </w:rPr>
        <w:t>22</w:t>
      </w:r>
      <w:r>
        <w:rPr>
          <w:snapToGrid w:val="0"/>
        </w:rPr>
        <w:t>.</w:t>
      </w:r>
      <w:r>
        <w:rPr>
          <w:snapToGrid w:val="0"/>
        </w:rPr>
        <w:tab/>
        <w:t>Transient offender may be arrested</w:t>
      </w:r>
      <w:bookmarkEnd w:id="45"/>
      <w:bookmarkEnd w:id="46"/>
      <w:bookmarkEnd w:id="47"/>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r>
        <w:tab/>
        <w:t>[Section 22 amended: No. 35 of 2003 s. 240; No. 84 of 2004 s. 80; No. 59 of 2006 s. 73.]</w:t>
      </w:r>
    </w:p>
    <w:p>
      <w:pPr>
        <w:pStyle w:val="Heading5"/>
        <w:rPr>
          <w:snapToGrid w:val="0"/>
        </w:rPr>
      </w:pPr>
      <w:bookmarkStart w:id="48" w:name="_Toc33613479"/>
      <w:bookmarkStart w:id="49" w:name="_Toc379276602"/>
      <w:bookmarkStart w:id="50" w:name="_Toc424552179"/>
      <w:r>
        <w:rPr>
          <w:rStyle w:val="CharSectno"/>
        </w:rPr>
        <w:t>23</w:t>
      </w:r>
      <w:r>
        <w:rPr>
          <w:snapToGrid w:val="0"/>
        </w:rPr>
        <w:t>.</w:t>
      </w:r>
      <w:r>
        <w:rPr>
          <w:snapToGrid w:val="0"/>
        </w:rPr>
        <w:tab/>
        <w:t>Liability to penalty not to relieve from other liabilities</w:t>
      </w:r>
      <w:bookmarkEnd w:id="48"/>
      <w:bookmarkEnd w:id="49"/>
      <w:bookmarkEnd w:id="50"/>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r>
        <w:tab/>
        <w:t>[Section 23 amended: No. 35 of 2003 s. 241.]</w:t>
      </w:r>
    </w:p>
    <w:p>
      <w:pPr>
        <w:pStyle w:val="Heading5"/>
        <w:rPr>
          <w:snapToGrid w:val="0"/>
        </w:rPr>
      </w:pPr>
      <w:bookmarkStart w:id="51" w:name="_Toc33613480"/>
      <w:bookmarkStart w:id="52" w:name="_Toc379276603"/>
      <w:bookmarkStart w:id="53" w:name="_Toc424552180"/>
      <w:r>
        <w:rPr>
          <w:rStyle w:val="CharSectno"/>
        </w:rPr>
        <w:t>24</w:t>
      </w:r>
      <w:r>
        <w:rPr>
          <w:snapToGrid w:val="0"/>
        </w:rPr>
        <w:t>.</w:t>
      </w:r>
      <w:r>
        <w:rPr>
          <w:snapToGrid w:val="0"/>
        </w:rPr>
        <w:tab/>
        <w:t>Committee may fix tolls and charges</w:t>
      </w:r>
      <w:bookmarkEnd w:id="51"/>
      <w:bookmarkEnd w:id="52"/>
      <w:bookmarkEnd w:id="53"/>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54" w:name="_Toc33613481"/>
      <w:bookmarkStart w:id="55" w:name="_Toc379276604"/>
      <w:bookmarkStart w:id="56" w:name="_Toc424552181"/>
      <w:r>
        <w:rPr>
          <w:rStyle w:val="CharSectno"/>
        </w:rPr>
        <w:t>25</w:t>
      </w:r>
      <w:r>
        <w:rPr>
          <w:snapToGrid w:val="0"/>
        </w:rPr>
        <w:t>.</w:t>
      </w:r>
      <w:r>
        <w:rPr>
          <w:snapToGrid w:val="0"/>
        </w:rPr>
        <w:tab/>
        <w:t>Chairman may let lands, buildings or tolls</w:t>
      </w:r>
      <w:bookmarkEnd w:id="54"/>
      <w:bookmarkEnd w:id="55"/>
      <w:bookmarkEnd w:id="56"/>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57" w:name="_Toc33613482"/>
      <w:bookmarkStart w:id="58" w:name="_Toc379276605"/>
      <w:bookmarkStart w:id="59" w:name="_Toc424552182"/>
      <w:r>
        <w:rPr>
          <w:rStyle w:val="CharSectno"/>
        </w:rPr>
        <w:t>26</w:t>
      </w:r>
      <w:r>
        <w:rPr>
          <w:snapToGrid w:val="0"/>
        </w:rPr>
        <w:t>.</w:t>
      </w:r>
      <w:r>
        <w:rPr>
          <w:snapToGrid w:val="0"/>
        </w:rPr>
        <w:tab/>
        <w:t>Borrowing powers</w:t>
      </w:r>
      <w:bookmarkEnd w:id="57"/>
      <w:bookmarkEnd w:id="58"/>
      <w:bookmarkEnd w:id="59"/>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No. 24 of 1997 s. 6.] </w:t>
      </w:r>
    </w:p>
    <w:p>
      <w:pPr>
        <w:pStyle w:val="Ednotesection"/>
      </w:pPr>
      <w:r>
        <w:t>[</w:t>
      </w:r>
      <w:r>
        <w:rPr>
          <w:b/>
        </w:rPr>
        <w:t>27.</w:t>
      </w:r>
      <w:r>
        <w:tab/>
        <w:t xml:space="preserve">Deleted: No. 24 of 1997 s. 7.] </w:t>
      </w:r>
    </w:p>
    <w:p>
      <w:pPr>
        <w:pStyle w:val="Heading5"/>
        <w:rPr>
          <w:snapToGrid w:val="0"/>
        </w:rPr>
      </w:pPr>
      <w:bookmarkStart w:id="60" w:name="_Toc33613483"/>
      <w:bookmarkStart w:id="61" w:name="_Toc379276606"/>
      <w:bookmarkStart w:id="62" w:name="_Toc424552183"/>
      <w:r>
        <w:rPr>
          <w:rStyle w:val="CharSectno"/>
        </w:rPr>
        <w:t>28</w:t>
      </w:r>
      <w:r>
        <w:rPr>
          <w:snapToGrid w:val="0"/>
        </w:rPr>
        <w:t>.</w:t>
      </w:r>
      <w:r>
        <w:rPr>
          <w:snapToGrid w:val="0"/>
        </w:rPr>
        <w:tab/>
        <w:t>Power to give security</w:t>
      </w:r>
      <w:bookmarkEnd w:id="60"/>
      <w:bookmarkEnd w:id="61"/>
      <w:bookmarkEnd w:id="62"/>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 </w:t>
      </w:r>
      <w:del w:id="63" w:author="svcMRProcess" w:date="2020-02-26T14:17:00Z">
        <w:r>
          <w:rPr>
            <w:snapToGrid w:val="0"/>
            <w:vertAlign w:val="superscript"/>
          </w:rPr>
          <w:delText>2</w:delText>
        </w:r>
      </w:del>
      <w:ins w:id="64" w:author="svcMRProcess" w:date="2020-02-26T14:17:00Z">
        <w:r>
          <w:rPr>
            <w:snapToGrid w:val="0"/>
            <w:vertAlign w:val="superscript"/>
          </w:rPr>
          <w:t>1</w:t>
        </w:r>
      </w:ins>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w:t>
      </w:r>
      <w:del w:id="65" w:author="svcMRProcess" w:date="2020-02-26T14:17:00Z">
        <w:r>
          <w:rPr>
            <w:snapToGrid w:val="0"/>
            <w:vertAlign w:val="superscript"/>
          </w:rPr>
          <w:delText>2</w:delText>
        </w:r>
      </w:del>
      <w:ins w:id="66" w:author="svcMRProcess" w:date="2020-02-26T14:17:00Z">
        <w:r>
          <w:rPr>
            <w:snapToGrid w:val="0"/>
            <w:vertAlign w:val="superscript"/>
          </w:rPr>
          <w:t>1</w:t>
        </w:r>
      </w:ins>
      <w:r>
        <w:rPr>
          <w:snapToGrid w:val="0"/>
        </w:rPr>
        <w:t>, discharge the land from any trust or purpose affecting the land by operation of this Act.</w:t>
      </w:r>
    </w:p>
    <w:p>
      <w:pPr>
        <w:pStyle w:val="Footnotesection"/>
      </w:pPr>
      <w:r>
        <w:tab/>
        <w:t xml:space="preserve">[Section 28 inserted: No. 24 of 1997 s. 8.] </w:t>
      </w:r>
    </w:p>
    <w:p>
      <w:pPr>
        <w:pStyle w:val="Heading5"/>
        <w:rPr>
          <w:snapToGrid w:val="0"/>
        </w:rPr>
      </w:pPr>
      <w:bookmarkStart w:id="67" w:name="_Toc33613484"/>
      <w:bookmarkStart w:id="68" w:name="_Toc379276607"/>
      <w:bookmarkStart w:id="69" w:name="_Toc424552184"/>
      <w:r>
        <w:rPr>
          <w:rStyle w:val="CharSectno"/>
        </w:rPr>
        <w:t>29</w:t>
      </w:r>
      <w:r>
        <w:rPr>
          <w:snapToGrid w:val="0"/>
        </w:rPr>
        <w:t>.</w:t>
      </w:r>
      <w:r>
        <w:rPr>
          <w:snapToGrid w:val="0"/>
        </w:rPr>
        <w:tab/>
        <w:t>Transfer of mortgage</w:t>
      </w:r>
      <w:bookmarkEnd w:id="67"/>
      <w:bookmarkEnd w:id="68"/>
      <w:bookmarkEnd w:id="69"/>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No. 24 of 1997 s. 9.] </w:t>
      </w:r>
    </w:p>
    <w:p>
      <w:pPr>
        <w:pStyle w:val="Heading5"/>
        <w:rPr>
          <w:snapToGrid w:val="0"/>
        </w:rPr>
      </w:pPr>
      <w:bookmarkStart w:id="70" w:name="_Toc33613485"/>
      <w:bookmarkStart w:id="71" w:name="_Toc379276608"/>
      <w:bookmarkStart w:id="72" w:name="_Toc424552185"/>
      <w:r>
        <w:rPr>
          <w:rStyle w:val="CharSectno"/>
        </w:rPr>
        <w:t>30</w:t>
      </w:r>
      <w:r>
        <w:rPr>
          <w:snapToGrid w:val="0"/>
        </w:rPr>
        <w:t>.</w:t>
      </w:r>
      <w:r>
        <w:rPr>
          <w:snapToGrid w:val="0"/>
        </w:rPr>
        <w:tab/>
        <w:t>Rights of mortgagees</w:t>
      </w:r>
      <w:bookmarkEnd w:id="70"/>
      <w:bookmarkEnd w:id="71"/>
      <w:bookmarkEnd w:id="72"/>
      <w:r>
        <w:rPr>
          <w:snapToGrid w:val="0"/>
        </w:rPr>
        <w:t xml:space="preserve"> </w:t>
      </w:r>
    </w:p>
    <w:p>
      <w:pPr>
        <w:pStyle w:val="Subsection"/>
        <w:rPr>
          <w:snapToGrid w:val="0"/>
        </w:rPr>
      </w:pPr>
      <w:r>
        <w:rPr>
          <w:snapToGrid w:val="0"/>
        </w:rPr>
        <w:tab/>
      </w:r>
      <w:r>
        <w:rPr>
          <w:snapToGrid w:val="0"/>
        </w:rPr>
        <w:tab/>
      </w:r>
      <w:r>
        <w:t xml:space="preserve">Subject to the </w:t>
      </w:r>
      <w:r>
        <w:rPr>
          <w:i/>
          <w:iCs/>
        </w:rPr>
        <w:t>Personal Property Securities Act 2009</w:t>
      </w:r>
      <w:r>
        <w:t xml:space="preserve"> (Commonwealth), the respective</w:t>
      </w:r>
      <w:r>
        <w:rPr>
          <w:snapToGrid w:val="0"/>
        </w:rPr>
        <w:t xml:space="preser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Footnotesection"/>
      </w:pPr>
      <w:r>
        <w:tab/>
        <w:t xml:space="preserve">[Section 30 amended: No. 42 of 2011 s. 97.] </w:t>
      </w:r>
    </w:p>
    <w:p>
      <w:pPr>
        <w:pStyle w:val="Heading5"/>
        <w:rPr>
          <w:snapToGrid w:val="0"/>
        </w:rPr>
      </w:pPr>
      <w:bookmarkStart w:id="73" w:name="_Toc33613486"/>
      <w:bookmarkStart w:id="74" w:name="_Toc379276609"/>
      <w:bookmarkStart w:id="75" w:name="_Toc424552186"/>
      <w:r>
        <w:rPr>
          <w:rStyle w:val="CharSectno"/>
        </w:rPr>
        <w:t>31</w:t>
      </w:r>
      <w:r>
        <w:rPr>
          <w:snapToGrid w:val="0"/>
        </w:rPr>
        <w:t>.</w:t>
      </w:r>
      <w:r>
        <w:rPr>
          <w:snapToGrid w:val="0"/>
        </w:rPr>
        <w:tab/>
        <w:t>Arrears of interest: when to be enforced by appointment of receiver</w:t>
      </w:r>
      <w:bookmarkEnd w:id="73"/>
      <w:bookmarkEnd w:id="74"/>
      <w:bookmarkEnd w:id="75"/>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76" w:name="_Toc33613487"/>
      <w:bookmarkStart w:id="77" w:name="_Toc379276610"/>
      <w:bookmarkStart w:id="78" w:name="_Toc424552187"/>
      <w:r>
        <w:rPr>
          <w:rStyle w:val="CharSectno"/>
        </w:rPr>
        <w:t>32</w:t>
      </w:r>
      <w:r>
        <w:rPr>
          <w:snapToGrid w:val="0"/>
        </w:rPr>
        <w:t>.</w:t>
      </w:r>
      <w:r>
        <w:rPr>
          <w:snapToGrid w:val="0"/>
        </w:rPr>
        <w:tab/>
        <w:t>Appointment of receiver</w:t>
      </w:r>
      <w:bookmarkEnd w:id="76"/>
      <w:bookmarkEnd w:id="77"/>
      <w:bookmarkEnd w:id="78"/>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79" w:name="_Toc33613488"/>
      <w:bookmarkStart w:id="80" w:name="_Toc379276611"/>
      <w:bookmarkStart w:id="81" w:name="_Toc424552188"/>
      <w:r>
        <w:rPr>
          <w:rStyle w:val="CharSectno"/>
        </w:rPr>
        <w:t>33</w:t>
      </w:r>
      <w:r>
        <w:rPr>
          <w:snapToGrid w:val="0"/>
        </w:rPr>
        <w:t>.</w:t>
      </w:r>
      <w:r>
        <w:rPr>
          <w:snapToGrid w:val="0"/>
        </w:rPr>
        <w:tab/>
        <w:t>Commissioner of Crown Lands may authorise inspection of racecourse and buildings</w:t>
      </w:r>
      <w:bookmarkEnd w:id="79"/>
      <w:bookmarkEnd w:id="80"/>
      <w:bookmarkEnd w:id="81"/>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82" w:name="_Toc33613489"/>
      <w:bookmarkStart w:id="83" w:name="_Toc379276612"/>
      <w:bookmarkStart w:id="84" w:name="_Toc424552189"/>
      <w:r>
        <w:rPr>
          <w:rStyle w:val="CharSectno"/>
        </w:rPr>
        <w:t>34</w:t>
      </w:r>
      <w:r>
        <w:rPr>
          <w:snapToGrid w:val="0"/>
        </w:rPr>
        <w:t>.</w:t>
      </w:r>
      <w:r>
        <w:rPr>
          <w:snapToGrid w:val="0"/>
        </w:rPr>
        <w:tab/>
        <w:t>Commissioner of Crown Lands may give notice to repair etc.</w:t>
      </w:r>
      <w:bookmarkEnd w:id="82"/>
      <w:bookmarkEnd w:id="83"/>
      <w:bookmarkEnd w:id="84"/>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85" w:name="_Toc33613490"/>
      <w:bookmarkStart w:id="86" w:name="_Toc379276613"/>
      <w:bookmarkStart w:id="87" w:name="_Toc424552190"/>
      <w:r>
        <w:rPr>
          <w:rStyle w:val="CharSectno"/>
        </w:rPr>
        <w:t>35</w:t>
      </w:r>
      <w:r>
        <w:rPr>
          <w:snapToGrid w:val="0"/>
        </w:rPr>
        <w:t>.</w:t>
      </w:r>
      <w:r>
        <w:rPr>
          <w:snapToGrid w:val="0"/>
        </w:rPr>
        <w:tab/>
        <w:t>Service of notice</w:t>
      </w:r>
      <w:bookmarkEnd w:id="85"/>
      <w:bookmarkEnd w:id="86"/>
      <w:bookmarkEnd w:id="87"/>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88" w:name="_Toc33613491"/>
      <w:bookmarkStart w:id="89" w:name="_Toc379276614"/>
      <w:bookmarkStart w:id="90" w:name="_Toc424552191"/>
      <w:r>
        <w:rPr>
          <w:rStyle w:val="CharSectno"/>
        </w:rPr>
        <w:t>36</w:t>
      </w:r>
      <w:r>
        <w:rPr>
          <w:snapToGrid w:val="0"/>
        </w:rPr>
        <w:t>.</w:t>
      </w:r>
      <w:r>
        <w:rPr>
          <w:snapToGrid w:val="0"/>
        </w:rPr>
        <w:tab/>
        <w:t>Committee to repair etc. upon notice</w:t>
      </w:r>
      <w:bookmarkEnd w:id="88"/>
      <w:bookmarkEnd w:id="89"/>
      <w:bookmarkEnd w:id="90"/>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91" w:name="_Toc33613492"/>
      <w:bookmarkStart w:id="92" w:name="_Toc379276615"/>
      <w:bookmarkStart w:id="93" w:name="_Toc424552192"/>
      <w:r>
        <w:rPr>
          <w:rStyle w:val="CharSectno"/>
        </w:rPr>
        <w:t>37</w:t>
      </w:r>
      <w:r>
        <w:rPr>
          <w:snapToGrid w:val="0"/>
        </w:rPr>
        <w:t>.</w:t>
      </w:r>
      <w:r>
        <w:rPr>
          <w:snapToGrid w:val="0"/>
        </w:rPr>
        <w:tab/>
        <w:t>Officers to give security</w:t>
      </w:r>
      <w:bookmarkEnd w:id="91"/>
      <w:bookmarkEnd w:id="92"/>
      <w:bookmarkEnd w:id="93"/>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94" w:name="_Toc33613493"/>
      <w:bookmarkStart w:id="95" w:name="_Toc379276616"/>
      <w:bookmarkStart w:id="96" w:name="_Toc424552193"/>
      <w:r>
        <w:rPr>
          <w:rStyle w:val="CharSectno"/>
        </w:rPr>
        <w:t>38</w:t>
      </w:r>
      <w:r>
        <w:rPr>
          <w:snapToGrid w:val="0"/>
        </w:rPr>
        <w:t>.</w:t>
      </w:r>
      <w:r>
        <w:rPr>
          <w:snapToGrid w:val="0"/>
        </w:rPr>
        <w:tab/>
        <w:t>Accounts to be kept</w:t>
      </w:r>
      <w:bookmarkEnd w:id="94"/>
      <w:bookmarkEnd w:id="95"/>
      <w:bookmarkEnd w:id="96"/>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97" w:name="_Toc33613494"/>
      <w:bookmarkStart w:id="98" w:name="_Toc379276617"/>
      <w:bookmarkStart w:id="99" w:name="_Toc424552194"/>
      <w:r>
        <w:rPr>
          <w:rStyle w:val="CharSectno"/>
        </w:rPr>
        <w:t>39</w:t>
      </w:r>
      <w:r>
        <w:rPr>
          <w:snapToGrid w:val="0"/>
        </w:rPr>
        <w:t>.</w:t>
      </w:r>
      <w:r>
        <w:rPr>
          <w:snapToGrid w:val="0"/>
        </w:rPr>
        <w:tab/>
        <w:t>Appointment of auditors</w:t>
      </w:r>
      <w:bookmarkEnd w:id="97"/>
      <w:bookmarkEnd w:id="98"/>
      <w:bookmarkEnd w:id="99"/>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00" w:name="_Toc33613495"/>
      <w:bookmarkStart w:id="101" w:name="_Toc379276618"/>
      <w:bookmarkStart w:id="102" w:name="_Toc424552195"/>
      <w:r>
        <w:rPr>
          <w:rStyle w:val="CharSectno"/>
        </w:rPr>
        <w:t>40</w:t>
      </w:r>
      <w:r>
        <w:rPr>
          <w:snapToGrid w:val="0"/>
        </w:rPr>
        <w:t>.</w:t>
      </w:r>
      <w:r>
        <w:rPr>
          <w:snapToGrid w:val="0"/>
        </w:rPr>
        <w:tab/>
        <w:t>Books to be balanced and audited</w:t>
      </w:r>
      <w:bookmarkEnd w:id="100"/>
      <w:bookmarkEnd w:id="101"/>
      <w:bookmarkEnd w:id="102"/>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No. 77 of 1990 s. 4.] </w:t>
      </w:r>
    </w:p>
    <w:p>
      <w:pPr>
        <w:pStyle w:val="Heading5"/>
        <w:rPr>
          <w:snapToGrid w:val="0"/>
        </w:rPr>
      </w:pPr>
      <w:bookmarkStart w:id="103" w:name="_Toc33613496"/>
      <w:bookmarkStart w:id="104" w:name="_Toc379276619"/>
      <w:bookmarkStart w:id="105" w:name="_Toc424552196"/>
      <w:r>
        <w:rPr>
          <w:rStyle w:val="CharSectno"/>
        </w:rPr>
        <w:t>41</w:t>
      </w:r>
      <w:r>
        <w:rPr>
          <w:snapToGrid w:val="0"/>
        </w:rPr>
        <w:t>.</w:t>
      </w:r>
      <w:r>
        <w:rPr>
          <w:snapToGrid w:val="0"/>
        </w:rPr>
        <w:tab/>
        <w:t>Copy of annual account to be submitted to chief executive officer</w:t>
      </w:r>
      <w:bookmarkEnd w:id="103"/>
      <w:bookmarkEnd w:id="104"/>
      <w:bookmarkEnd w:id="105"/>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No. 77 of 1990 s. 5.] </w:t>
      </w:r>
    </w:p>
    <w:p>
      <w:pPr>
        <w:pStyle w:val="Heading5"/>
        <w:rPr>
          <w:snapToGrid w:val="0"/>
        </w:rPr>
      </w:pPr>
      <w:bookmarkStart w:id="106" w:name="_Toc33613497"/>
      <w:bookmarkStart w:id="107" w:name="_Toc379276620"/>
      <w:bookmarkStart w:id="108" w:name="_Toc424552197"/>
      <w:r>
        <w:rPr>
          <w:rStyle w:val="CharSectno"/>
        </w:rPr>
        <w:t>41A</w:t>
      </w:r>
      <w:r>
        <w:rPr>
          <w:snapToGrid w:val="0"/>
        </w:rPr>
        <w:t xml:space="preserve">. </w:t>
      </w:r>
      <w:r>
        <w:rPr>
          <w:snapToGrid w:val="0"/>
        </w:rPr>
        <w:tab/>
        <w:t>Inspection of annual account</w:t>
      </w:r>
      <w:bookmarkEnd w:id="106"/>
      <w:bookmarkEnd w:id="107"/>
      <w:bookmarkEnd w:id="108"/>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No. 77 of 1990 s. 5.] </w:t>
      </w:r>
    </w:p>
    <w:p>
      <w:pPr>
        <w:pStyle w:val="Heading5"/>
        <w:rPr>
          <w:snapToGrid w:val="0"/>
        </w:rPr>
      </w:pPr>
      <w:bookmarkStart w:id="109" w:name="_Toc33613498"/>
      <w:bookmarkStart w:id="110" w:name="_Toc379276621"/>
      <w:bookmarkStart w:id="111" w:name="_Toc424552198"/>
      <w:r>
        <w:rPr>
          <w:rStyle w:val="CharSectno"/>
        </w:rPr>
        <w:t>42</w:t>
      </w:r>
      <w:r>
        <w:rPr>
          <w:snapToGrid w:val="0"/>
        </w:rPr>
        <w:t>.</w:t>
      </w:r>
      <w:r>
        <w:rPr>
          <w:snapToGrid w:val="0"/>
        </w:rPr>
        <w:tab/>
        <w:t>Club not to be incorporated</w:t>
      </w:r>
      <w:bookmarkEnd w:id="109"/>
      <w:bookmarkEnd w:id="110"/>
      <w:bookmarkEnd w:id="111"/>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12" w:name="_Toc33613499"/>
      <w:bookmarkStart w:id="113" w:name="_Toc379276622"/>
      <w:bookmarkStart w:id="114" w:name="_Toc424552199"/>
      <w:r>
        <w:rPr>
          <w:rStyle w:val="CharSectno"/>
        </w:rPr>
        <w:t>43</w:t>
      </w:r>
      <w:r>
        <w:rPr>
          <w:snapToGrid w:val="0"/>
        </w:rPr>
        <w:t>.</w:t>
      </w:r>
      <w:r>
        <w:rPr>
          <w:snapToGrid w:val="0"/>
        </w:rPr>
        <w:tab/>
        <w:t>If racecourse not maintained and used, land to revert to Crown</w:t>
      </w:r>
      <w:bookmarkEnd w:id="112"/>
      <w:bookmarkEnd w:id="113"/>
      <w:bookmarkEnd w:id="114"/>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No. 24 of 1997 s. 10.] </w:t>
      </w:r>
    </w:p>
    <w:p>
      <w:pPr>
        <w:pStyle w:val="Heading5"/>
        <w:rPr>
          <w:snapToGrid w:val="0"/>
        </w:rPr>
      </w:pPr>
      <w:bookmarkStart w:id="115" w:name="_Toc33613500"/>
      <w:bookmarkStart w:id="116" w:name="_Toc379276623"/>
      <w:bookmarkStart w:id="117" w:name="_Toc424552200"/>
      <w:r>
        <w:rPr>
          <w:rStyle w:val="CharSectno"/>
        </w:rPr>
        <w:t>44</w:t>
      </w:r>
      <w:r>
        <w:rPr>
          <w:snapToGrid w:val="0"/>
        </w:rPr>
        <w:t>.</w:t>
      </w:r>
      <w:r>
        <w:rPr>
          <w:snapToGrid w:val="0"/>
        </w:rPr>
        <w:tab/>
        <w:t>Building to be paid for if possession re</w:t>
      </w:r>
      <w:r>
        <w:rPr>
          <w:snapToGrid w:val="0"/>
        </w:rPr>
        <w:noBreakHyphen/>
        <w:t>resumed</w:t>
      </w:r>
      <w:bookmarkEnd w:id="115"/>
      <w:bookmarkEnd w:id="116"/>
      <w:bookmarkEnd w:id="117"/>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w:t>
      </w:r>
      <w:del w:id="118" w:author="svcMRProcess" w:date="2020-02-26T14:17:00Z">
        <w:r>
          <w:rPr>
            <w:snapToGrid w:val="0"/>
            <w:vertAlign w:val="superscript"/>
          </w:rPr>
          <w:delText>3</w:delText>
        </w:r>
      </w:del>
      <w:ins w:id="119" w:author="svcMRProcess" w:date="2020-02-26T14:17:00Z">
        <w:r>
          <w:rPr>
            <w:snapToGrid w:val="0"/>
            <w:vertAlign w:val="superscript"/>
          </w:rPr>
          <w:t>2</w:t>
        </w:r>
      </w:ins>
      <w:r>
        <w:rPr>
          <w:snapToGrid w:val="0"/>
        </w:rPr>
        <w:t xml:space="preserve"> and the other Act amending the same.</w:t>
      </w:r>
    </w:p>
    <w:p>
      <w:pPr>
        <w:pStyle w:val="Heading5"/>
        <w:rPr>
          <w:snapToGrid w:val="0"/>
        </w:rPr>
      </w:pPr>
      <w:bookmarkStart w:id="120" w:name="_Toc33613501"/>
      <w:bookmarkStart w:id="121" w:name="_Toc379276624"/>
      <w:bookmarkStart w:id="122" w:name="_Toc424552201"/>
      <w:r>
        <w:rPr>
          <w:rStyle w:val="CharSectno"/>
        </w:rPr>
        <w:t>45</w:t>
      </w:r>
      <w:r>
        <w:rPr>
          <w:snapToGrid w:val="0"/>
        </w:rPr>
        <w:t>.</w:t>
      </w:r>
      <w:r>
        <w:rPr>
          <w:snapToGrid w:val="0"/>
        </w:rPr>
        <w:tab/>
        <w:t>Saving of rights</w:t>
      </w:r>
      <w:bookmarkEnd w:id="120"/>
      <w:bookmarkEnd w:id="121"/>
      <w:bookmarkEnd w:id="122"/>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pPr>
        <w:pStyle w:val="yScheduleHeading"/>
        <w:rPr>
          <w:rFonts w:eastAsia="MS Mincho"/>
        </w:rPr>
      </w:pPr>
      <w:bookmarkStart w:id="123" w:name="_Toc33613458"/>
      <w:bookmarkStart w:id="124" w:name="_Toc33613502"/>
      <w:bookmarkStart w:id="125" w:name="_Toc379276625"/>
      <w:bookmarkStart w:id="126" w:name="_Toc424552202"/>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123"/>
      <w:bookmarkEnd w:id="124"/>
      <w:bookmarkEnd w:id="125"/>
      <w:bookmarkEnd w:id="126"/>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rPr>
              <w:drawing>
                <wp:inline distT="0" distB="0" distL="0" distR="0">
                  <wp:extent cx="123825" cy="628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No. 24 of 1997 s. 11.]</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28" w:name="_Toc33613459"/>
      <w:bookmarkStart w:id="129" w:name="_Toc33613503"/>
      <w:bookmarkStart w:id="130" w:name="_Toc379276626"/>
      <w:bookmarkStart w:id="131" w:name="_Toc424552203"/>
      <w:r>
        <w:t>Notes</w:t>
      </w:r>
      <w:bookmarkEnd w:id="128"/>
      <w:bookmarkEnd w:id="129"/>
      <w:bookmarkEnd w:id="130"/>
      <w:bookmarkEnd w:id="131"/>
    </w:p>
    <w:p>
      <w:pPr>
        <w:pStyle w:val="nStatement"/>
      </w:pPr>
      <w:del w:id="132" w:author="svcMRProcess" w:date="2020-02-26T14:17:00Z">
        <w:r>
          <w:rPr>
            <w:snapToGrid w:val="0"/>
            <w:vertAlign w:val="superscript"/>
          </w:rPr>
          <w:delText>1</w:delText>
        </w:r>
        <w:r>
          <w:rPr>
            <w:snapToGrid w:val="0"/>
          </w:rPr>
          <w:tab/>
        </w:r>
      </w:del>
      <w:r>
        <w:t xml:space="preserve">This is a compilation of </w:t>
      </w:r>
      <w:ins w:id="133" w:author="svcMRProcess" w:date="2020-02-26T14:17:00Z">
        <w:r>
          <w:t xml:space="preserve">the </w:t>
        </w:r>
      </w:ins>
      <w:r>
        <w:rPr>
          <w:i/>
          <w:noProof/>
        </w:rPr>
        <w:t>The Western Australian Turf Club Act 1892</w:t>
      </w:r>
      <w:r>
        <w:t xml:space="preserve"> and includes </w:t>
      </w:r>
      <w:del w:id="134" w:author="svcMRProcess" w:date="2020-02-26T14:17:00Z">
        <w:r>
          <w:rPr>
            <w:snapToGrid w:val="0"/>
          </w:rPr>
          <w:delText xml:space="preserve">the </w:delText>
        </w:r>
      </w:del>
      <w:r>
        <w:t xml:space="preserve">amendments made by </w:t>
      </w:r>
      <w:del w:id="135" w:author="svcMRProcess" w:date="2020-02-26T14:17:00Z">
        <w:r>
          <w:rPr>
            <w:snapToGrid w:val="0"/>
          </w:rPr>
          <w:delText xml:space="preserve">the </w:delText>
        </w:r>
      </w:del>
      <w:r>
        <w:t>other written laws</w:t>
      </w:r>
      <w:del w:id="136" w:author="svcMRProcess" w:date="2020-02-26T14:17:00Z">
        <w:r>
          <w:rPr>
            <w:snapToGrid w:val="0"/>
          </w:rPr>
          <w:delText xml:space="preserve"> referred to in the following table </w:delText>
        </w:r>
        <w:r>
          <w:rPr>
            <w:snapToGrid w:val="0"/>
            <w:vertAlign w:val="superscript"/>
          </w:rPr>
          <w:delText>4</w:delText>
        </w:r>
        <w:r>
          <w:rPr>
            <w:snapToGrid w:val="0"/>
          </w:rPr>
          <w:delText>.  The table also contains</w:delText>
        </w:r>
      </w:del>
      <w:ins w:id="137" w:author="svcMRProcess" w:date="2020-02-26T14:17:00Z">
        <w:r>
          <w:t> </w:t>
        </w:r>
        <w:r>
          <w:rPr>
            <w:vertAlign w:val="superscript"/>
          </w:rPr>
          <w:t>3</w:t>
        </w:r>
        <w:r>
          <w:t>. For provisions that have come into operation, and for</w:t>
        </w:r>
      </w:ins>
      <w:r>
        <w:t xml:space="preserve"> information about any </w:t>
      </w:r>
      <w:del w:id="138" w:author="svcMRProcess" w:date="2020-02-26T14:17:00Z">
        <w:r>
          <w:rPr>
            <w:snapToGrid w:val="0"/>
          </w:rPr>
          <w:delText>reprint</w:delText>
        </w:r>
      </w:del>
      <w:ins w:id="139" w:author="svcMRProcess" w:date="2020-02-26T14:17:00Z">
        <w:r>
          <w:t>reprints, see the compilation table. For provisions that have not yet come into operation see the uncommenced provisions table</w:t>
        </w:r>
      </w:ins>
      <w:r>
        <w:t>.</w:t>
      </w:r>
    </w:p>
    <w:p>
      <w:pPr>
        <w:pStyle w:val="nHeading3"/>
      </w:pPr>
      <w:bookmarkStart w:id="140" w:name="_Toc33613504"/>
      <w:bookmarkStart w:id="141" w:name="_Toc379276627"/>
      <w:bookmarkStart w:id="142" w:name="_Toc424552204"/>
      <w:r>
        <w:t>Compilation table</w:t>
      </w:r>
      <w:bookmarkEnd w:id="140"/>
      <w:bookmarkEnd w:id="141"/>
      <w:bookmarkEnd w:id="14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rPr>
            </w:pPr>
            <w:r>
              <w:rPr>
                <w:b/>
              </w:rPr>
              <w:t>Short title</w:t>
            </w:r>
          </w:p>
        </w:tc>
        <w:tc>
          <w:tcPr>
            <w:tcW w:w="1134" w:type="dxa"/>
            <w:tcBorders>
              <w:top w:val="single" w:sz="8" w:space="0" w:color="auto"/>
              <w:bottom w:val="single" w:sz="8" w:space="0" w:color="auto"/>
            </w:tcBorders>
          </w:tcPr>
          <w:p>
            <w:pPr>
              <w:pStyle w:val="nTable"/>
              <w:keepNext/>
              <w:spacing w:after="40"/>
              <w:rPr>
                <w:b/>
              </w:rPr>
            </w:pPr>
            <w:r>
              <w:rPr>
                <w:b/>
              </w:rPr>
              <w:t>Number and year</w:t>
            </w:r>
          </w:p>
        </w:tc>
        <w:tc>
          <w:tcPr>
            <w:tcW w:w="1134" w:type="dxa"/>
            <w:tcBorders>
              <w:top w:val="single" w:sz="8" w:space="0" w:color="auto"/>
              <w:bottom w:val="single" w:sz="8" w:space="0" w:color="auto"/>
            </w:tcBorders>
          </w:tcPr>
          <w:p>
            <w:pPr>
              <w:pStyle w:val="nTable"/>
              <w:keepNext/>
              <w:spacing w:after="40"/>
              <w:rPr>
                <w:b/>
              </w:rPr>
            </w:pPr>
            <w:r>
              <w:rPr>
                <w:b/>
              </w:rPr>
              <w:t>Assent</w:t>
            </w:r>
          </w:p>
        </w:tc>
        <w:tc>
          <w:tcPr>
            <w:tcW w:w="2552" w:type="dxa"/>
            <w:tcBorders>
              <w:top w:val="single" w:sz="8" w:space="0" w:color="auto"/>
              <w:bottom w:val="single" w:sz="8" w:space="0" w:color="auto"/>
            </w:tcBorders>
          </w:tcPr>
          <w:p>
            <w:pPr>
              <w:pStyle w:val="nTable"/>
              <w:keepNext/>
              <w:spacing w:after="40"/>
              <w:rPr>
                <w:b/>
              </w:rPr>
            </w:pPr>
            <w:r>
              <w:rPr>
                <w:b/>
              </w:rPr>
              <w:t>Commencement</w:t>
            </w:r>
          </w:p>
        </w:tc>
      </w:tr>
      <w:tr>
        <w:tc>
          <w:tcPr>
            <w:tcW w:w="2269" w:type="dxa"/>
          </w:tcPr>
          <w:p>
            <w:pPr>
              <w:pStyle w:val="nTable"/>
              <w:spacing w:after="40"/>
            </w:pPr>
            <w:r>
              <w:rPr>
                <w:i/>
              </w:rPr>
              <w:t>The Western Australian Turf Club Act 1892</w:t>
            </w:r>
          </w:p>
        </w:tc>
        <w:tc>
          <w:tcPr>
            <w:tcW w:w="1134" w:type="dxa"/>
          </w:tcPr>
          <w:p>
            <w:pPr>
              <w:pStyle w:val="nTable"/>
              <w:spacing w:after="40"/>
            </w:pPr>
            <w:r>
              <w:t>1892 (55 Vict. Private Act)</w:t>
            </w:r>
          </w:p>
        </w:tc>
        <w:tc>
          <w:tcPr>
            <w:tcW w:w="1134" w:type="dxa"/>
          </w:tcPr>
          <w:p>
            <w:pPr>
              <w:pStyle w:val="nTable"/>
              <w:spacing w:after="40"/>
            </w:pPr>
            <w:r>
              <w:t>18 Mar 1892</w:t>
            </w:r>
          </w:p>
        </w:tc>
        <w:tc>
          <w:tcPr>
            <w:tcW w:w="2552" w:type="dxa"/>
          </w:tcPr>
          <w:p>
            <w:pPr>
              <w:pStyle w:val="nTable"/>
              <w:spacing w:after="40"/>
            </w:pPr>
            <w:r>
              <w:t>18 Mar 1892</w:t>
            </w:r>
          </w:p>
        </w:tc>
      </w:tr>
      <w:tr>
        <w:tc>
          <w:tcPr>
            <w:tcW w:w="2269" w:type="dxa"/>
          </w:tcPr>
          <w:p>
            <w:pPr>
              <w:pStyle w:val="nTable"/>
              <w:spacing w:after="40"/>
            </w:pPr>
            <w:r>
              <w:rPr>
                <w:i/>
              </w:rPr>
              <w:t>Decimal Currency Act 1965</w:t>
            </w:r>
          </w:p>
        </w:tc>
        <w:tc>
          <w:tcPr>
            <w:tcW w:w="1134" w:type="dxa"/>
          </w:tcPr>
          <w:p>
            <w:pPr>
              <w:pStyle w:val="nTable"/>
              <w:spacing w:after="40"/>
            </w:pPr>
            <w:r>
              <w:t>113 of 1965</w:t>
            </w:r>
          </w:p>
        </w:tc>
        <w:tc>
          <w:tcPr>
            <w:tcW w:w="1134" w:type="dxa"/>
          </w:tcPr>
          <w:p>
            <w:pPr>
              <w:pStyle w:val="nTable"/>
              <w:spacing w:after="40"/>
            </w:pPr>
            <w:r>
              <w:t>21 Dec 1965</w:t>
            </w:r>
          </w:p>
        </w:tc>
        <w:tc>
          <w:tcPr>
            <w:tcW w:w="2552" w:type="dxa"/>
          </w:tcPr>
          <w:p>
            <w:pPr>
              <w:pStyle w:val="nTable"/>
              <w:spacing w:after="40"/>
            </w:pPr>
            <w:r>
              <w:t>Act other than s. 4</w:t>
            </w:r>
            <w:r>
              <w:noBreakHyphen/>
              <w:t>9: 21 Dec</w:t>
            </w:r>
            <w:r>
              <w:rPr>
                <w:caps/>
              </w:rPr>
              <w:t> 1965 (</w:t>
            </w:r>
            <w:r>
              <w:t>see s. 2(1));</w:t>
            </w:r>
            <w:r>
              <w:br/>
              <w:t>s. 4</w:t>
            </w:r>
            <w:r>
              <w:noBreakHyphen/>
              <w:t>9: 14 Feb 1966 (see s. 2(2))</w:t>
            </w:r>
          </w:p>
        </w:tc>
      </w:tr>
      <w:tr>
        <w:trPr>
          <w:cantSplit/>
        </w:trPr>
        <w:tc>
          <w:tcPr>
            <w:tcW w:w="7089" w:type="dxa"/>
            <w:gridSpan w:val="4"/>
          </w:tcPr>
          <w:p>
            <w:pPr>
              <w:pStyle w:val="nTable"/>
              <w:spacing w:after="40"/>
              <w:rPr>
                <w:b/>
              </w:rPr>
            </w:pPr>
            <w:r>
              <w:rPr>
                <w:b/>
              </w:rPr>
              <w:t xml:space="preserve">Reprint of </w:t>
            </w:r>
            <w:r>
              <w:rPr>
                <w:b/>
                <w:i/>
              </w:rPr>
              <w:t>The Western Australian Turf Club Act 1892</w:t>
            </w:r>
            <w:r>
              <w:rPr>
                <w:b/>
              </w:rPr>
              <w:t xml:space="preserve"> as at 18 Aug 1986</w:t>
            </w:r>
            <w:r>
              <w:rPr>
                <w:b/>
              </w:rPr>
              <w:br/>
            </w:r>
            <w:r>
              <w:rPr>
                <w:bCs/>
              </w:rPr>
              <w:t>(</w:t>
            </w:r>
            <w:r>
              <w:t>includes amendments listed above)</w:t>
            </w:r>
          </w:p>
        </w:tc>
      </w:tr>
      <w:tr>
        <w:tc>
          <w:tcPr>
            <w:tcW w:w="2269" w:type="dxa"/>
          </w:tcPr>
          <w:p>
            <w:pPr>
              <w:pStyle w:val="nTable"/>
              <w:spacing w:after="40"/>
              <w:rPr>
                <w:vertAlign w:val="superscript"/>
              </w:rPr>
            </w:pPr>
            <w:r>
              <w:rPr>
                <w:i/>
              </w:rPr>
              <w:t>The Western Australian Turf Club Amendment Act 1990</w:t>
            </w:r>
            <w:r>
              <w:rPr>
                <w:vertAlign w:val="superscript"/>
              </w:rPr>
              <w:t> </w:t>
            </w:r>
            <w:del w:id="143" w:author="svcMRProcess" w:date="2020-02-26T14:17:00Z">
              <w:r>
                <w:rPr>
                  <w:vertAlign w:val="superscript"/>
                </w:rPr>
                <w:delText>5</w:delText>
              </w:r>
            </w:del>
            <w:ins w:id="144" w:author="svcMRProcess" w:date="2020-02-26T14:17:00Z">
              <w:r>
                <w:rPr>
                  <w:vertAlign w:val="superscript"/>
                </w:rPr>
                <w:t>4</w:t>
              </w:r>
            </w:ins>
          </w:p>
        </w:tc>
        <w:tc>
          <w:tcPr>
            <w:tcW w:w="1134" w:type="dxa"/>
          </w:tcPr>
          <w:p>
            <w:pPr>
              <w:pStyle w:val="nTable"/>
              <w:spacing w:after="40"/>
            </w:pPr>
            <w:r>
              <w:t>77 of 1990</w:t>
            </w:r>
          </w:p>
        </w:tc>
        <w:tc>
          <w:tcPr>
            <w:tcW w:w="1134" w:type="dxa"/>
          </w:tcPr>
          <w:p>
            <w:pPr>
              <w:pStyle w:val="nTable"/>
              <w:spacing w:after="40"/>
            </w:pPr>
            <w:r>
              <w:t>20 Dec 1990</w:t>
            </w:r>
          </w:p>
        </w:tc>
        <w:tc>
          <w:tcPr>
            <w:tcW w:w="2552" w:type="dxa"/>
          </w:tcPr>
          <w:p>
            <w:pPr>
              <w:pStyle w:val="nTable"/>
              <w:spacing w:after="40"/>
            </w:pPr>
            <w:r>
              <w:t xml:space="preserve">s. 1 and 2: 20 Dec 1990; </w:t>
            </w:r>
            <w:r>
              <w:br/>
              <w:t xml:space="preserve">Act other than s. 1 and  2: 1 Feb 1991 (see s. 2 and </w:t>
            </w:r>
            <w:r>
              <w:rPr>
                <w:i/>
              </w:rPr>
              <w:t>Gazette</w:t>
            </w:r>
            <w:r>
              <w:t xml:space="preserve"> 25 Jan 1991 p. 268)</w:t>
            </w:r>
          </w:p>
        </w:tc>
      </w:tr>
      <w:tr>
        <w:tc>
          <w:tcPr>
            <w:tcW w:w="2269" w:type="dxa"/>
          </w:tcPr>
          <w:p>
            <w:pPr>
              <w:pStyle w:val="nTable"/>
              <w:spacing w:after="40"/>
              <w:rPr>
                <w:vertAlign w:val="superscript"/>
              </w:rPr>
            </w:pPr>
            <w:r>
              <w:rPr>
                <w:i/>
              </w:rPr>
              <w:t xml:space="preserve">Turf Club Legislation Amendment Act 1997 </w:t>
            </w:r>
            <w:r>
              <w:t>Pt. 2</w:t>
            </w:r>
            <w:r>
              <w:rPr>
                <w:vertAlign w:val="superscript"/>
              </w:rPr>
              <w:t> </w:t>
            </w:r>
            <w:del w:id="145" w:author="svcMRProcess" w:date="2020-02-26T14:17:00Z">
              <w:r>
                <w:rPr>
                  <w:vertAlign w:val="superscript"/>
                </w:rPr>
                <w:delText>6</w:delText>
              </w:r>
            </w:del>
            <w:ins w:id="146" w:author="svcMRProcess" w:date="2020-02-26T14:17:00Z">
              <w:r>
                <w:rPr>
                  <w:vertAlign w:val="superscript"/>
                </w:rPr>
                <w:t>5</w:t>
              </w:r>
            </w:ins>
          </w:p>
        </w:tc>
        <w:tc>
          <w:tcPr>
            <w:tcW w:w="1134" w:type="dxa"/>
          </w:tcPr>
          <w:p>
            <w:pPr>
              <w:pStyle w:val="nTable"/>
              <w:spacing w:after="40"/>
            </w:pPr>
            <w:r>
              <w:t>24 of 1997</w:t>
            </w:r>
          </w:p>
        </w:tc>
        <w:tc>
          <w:tcPr>
            <w:tcW w:w="1134" w:type="dxa"/>
          </w:tcPr>
          <w:p>
            <w:pPr>
              <w:pStyle w:val="nTable"/>
              <w:spacing w:after="40"/>
            </w:pPr>
            <w:r>
              <w:t>24 Sep 1997</w:t>
            </w:r>
          </w:p>
        </w:tc>
        <w:tc>
          <w:tcPr>
            <w:tcW w:w="2552" w:type="dxa"/>
          </w:tcPr>
          <w:p>
            <w:pPr>
              <w:pStyle w:val="nTable"/>
              <w:spacing w:after="40"/>
            </w:pPr>
            <w:r>
              <w:t>24 Sep 1997 (see s. 2)</w:t>
            </w:r>
          </w:p>
        </w:tc>
      </w:tr>
      <w:tr>
        <w:trPr>
          <w:cantSplit/>
        </w:trPr>
        <w:tc>
          <w:tcPr>
            <w:tcW w:w="7089" w:type="dxa"/>
            <w:gridSpan w:val="4"/>
          </w:tcPr>
          <w:p>
            <w:pPr>
              <w:pStyle w:val="nTable"/>
              <w:spacing w:after="40"/>
            </w:pPr>
            <w:r>
              <w:rPr>
                <w:b/>
              </w:rPr>
              <w:t xml:space="preserve">Reprint 2: </w:t>
            </w:r>
            <w:r>
              <w:rPr>
                <w:b/>
                <w:i/>
              </w:rPr>
              <w:t>The Western Australian Turf Club Act 1892</w:t>
            </w:r>
            <w:r>
              <w:rPr>
                <w:b/>
              </w:rPr>
              <w:t xml:space="preserve"> as at 14 Mar 2003 </w:t>
            </w:r>
            <w:r>
              <w:rPr>
                <w:b/>
              </w:rPr>
              <w:br/>
              <w:t>(</w:t>
            </w:r>
            <w:r>
              <w:t>includes amendments listed above)</w:t>
            </w:r>
          </w:p>
        </w:tc>
      </w:tr>
      <w:tr>
        <w:tc>
          <w:tcPr>
            <w:tcW w:w="2269" w:type="dxa"/>
          </w:tcPr>
          <w:p>
            <w:pPr>
              <w:pStyle w:val="nTable"/>
              <w:spacing w:after="40"/>
              <w:rPr>
                <w:i/>
              </w:rPr>
            </w:pPr>
            <w:r>
              <w:rPr>
                <w:i/>
              </w:rPr>
              <w:t>Racing and Gambling Legislation Amendment and Repeal Act 2003</w:t>
            </w:r>
            <w:r>
              <w:t xml:space="preserve"> Pt. 14 Div. 1</w:t>
            </w:r>
            <w:r>
              <w:rPr>
                <w:vertAlign w:val="superscript"/>
              </w:rPr>
              <w:t> </w:t>
            </w:r>
            <w:del w:id="147" w:author="svcMRProcess" w:date="2020-02-26T14:17:00Z">
              <w:r>
                <w:rPr>
                  <w:vertAlign w:val="superscript"/>
                </w:rPr>
                <w:delText>7</w:delText>
              </w:r>
            </w:del>
            <w:ins w:id="148" w:author="svcMRProcess" w:date="2020-02-26T14:17:00Z">
              <w:r>
                <w:rPr>
                  <w:vertAlign w:val="superscript"/>
                </w:rPr>
                <w:t>6</w:t>
              </w:r>
            </w:ins>
          </w:p>
        </w:tc>
        <w:tc>
          <w:tcPr>
            <w:tcW w:w="1134" w:type="dxa"/>
          </w:tcPr>
          <w:p>
            <w:pPr>
              <w:pStyle w:val="nTable"/>
              <w:spacing w:after="40"/>
            </w:pPr>
            <w:r>
              <w:t>35 of 2003</w:t>
            </w:r>
          </w:p>
        </w:tc>
        <w:tc>
          <w:tcPr>
            <w:tcW w:w="1134" w:type="dxa"/>
          </w:tcPr>
          <w:p>
            <w:pPr>
              <w:pStyle w:val="nTable"/>
              <w:spacing w:after="40"/>
            </w:pPr>
            <w:r>
              <w:t>26 Jun 2003</w:t>
            </w:r>
          </w:p>
        </w:tc>
        <w:tc>
          <w:tcPr>
            <w:tcW w:w="2552" w:type="dxa"/>
          </w:tcPr>
          <w:p>
            <w:pPr>
              <w:pStyle w:val="nTable"/>
              <w:spacing w:after="40"/>
            </w:pPr>
            <w:r>
              <w:t xml:space="preserve">1 Aug 2003 (see s. 2 and </w:t>
            </w:r>
            <w:r>
              <w:rPr>
                <w:i/>
              </w:rPr>
              <w:t>Gazette</w:t>
            </w:r>
            <w:r>
              <w:t xml:space="preserve"> 29 Jul 2003 p. 3259)</w:t>
            </w:r>
          </w:p>
        </w:tc>
      </w:tr>
      <w:tr>
        <w:tc>
          <w:tcPr>
            <w:tcW w:w="2269" w:type="dxa"/>
          </w:tcPr>
          <w:p>
            <w:pPr>
              <w:pStyle w:val="nTable"/>
              <w:spacing w:after="40"/>
              <w:rPr>
                <w:i/>
              </w:rPr>
            </w:pPr>
            <w:r>
              <w:rPr>
                <w:i/>
                <w:iCs/>
                <w:snapToGrid w:val="0"/>
              </w:rPr>
              <w:t>Criminal Procedure and Appeals (Consequential and Other Provisions) Act 2004</w:t>
            </w:r>
            <w:r>
              <w:rPr>
                <w:snapToGrid w:val="0"/>
              </w:rPr>
              <w:t xml:space="preserve"> s. 80</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t xml:space="preserve">2 May 2005 (see s. 2 and </w:t>
            </w:r>
            <w:r>
              <w:rPr>
                <w:i/>
                <w:iCs/>
              </w:rPr>
              <w:t>Gazette</w:t>
            </w:r>
            <w:r>
              <w:t xml:space="preserve"> 31 Dec 2004 p. 7129 (correction in </w:t>
            </w:r>
            <w:r>
              <w:rPr>
                <w:i/>
                <w:iCs/>
              </w:rPr>
              <w:t>Gazette</w:t>
            </w:r>
            <w:r>
              <w:t xml:space="preserve"> 7 Jan 2005 p. 53))</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7089" w:type="dxa"/>
            <w:gridSpan w:val="4"/>
          </w:tcPr>
          <w:p>
            <w:pPr>
              <w:pStyle w:val="nTable"/>
              <w:spacing w:after="40"/>
              <w:rPr>
                <w:snapToGrid w:val="0"/>
              </w:rPr>
            </w:pPr>
            <w:r>
              <w:rPr>
                <w:b/>
              </w:rPr>
              <w:t xml:space="preserve">Reprint 3: </w:t>
            </w:r>
            <w:r>
              <w:rPr>
                <w:b/>
                <w:i/>
              </w:rPr>
              <w:t>The Western Australian Turf Club Act 1892</w:t>
            </w:r>
            <w:r>
              <w:rPr>
                <w:b/>
              </w:rPr>
              <w:t xml:space="preserve"> as at 4 Jul 2008 </w:t>
            </w:r>
            <w:r>
              <w:rPr>
                <w:b/>
              </w:rPr>
              <w:br/>
            </w:r>
            <w:r>
              <w:rPr>
                <w:bCs/>
              </w:rPr>
              <w:t>(</w:t>
            </w:r>
            <w: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37</w:t>
            </w:r>
          </w:p>
        </w:tc>
        <w:tc>
          <w:tcPr>
            <w:tcW w:w="1134" w:type="dxa"/>
            <w:tcBorders>
              <w:top w:val="nil"/>
              <w:bottom w:val="nil"/>
            </w:tcBorders>
          </w:tcPr>
          <w:p>
            <w:pPr>
              <w:pStyle w:val="nTable"/>
              <w:rPr>
                <w:snapToGrid w:val="0"/>
              </w:rPr>
            </w:pPr>
            <w:r>
              <w:rPr>
                <w:snapToGrid w:val="0"/>
              </w:rPr>
              <w:t>19 of 2010</w:t>
            </w:r>
          </w:p>
        </w:tc>
        <w:tc>
          <w:tcPr>
            <w:tcW w:w="1134" w:type="dxa"/>
            <w:tcBorders>
              <w:top w:val="nil"/>
              <w:bottom w:val="nil"/>
            </w:tcBorders>
          </w:tcPr>
          <w:p>
            <w:pPr>
              <w:pStyle w:val="nTable"/>
              <w:rPr>
                <w:snapToGrid w:val="0"/>
              </w:rPr>
            </w:pPr>
            <w:r>
              <w:rPr>
                <w:snapToGrid w:val="0"/>
              </w:rPr>
              <w:t>28 Jun 2010</w:t>
            </w:r>
          </w:p>
        </w:tc>
        <w:tc>
          <w:tcPr>
            <w:tcW w:w="2552" w:type="dxa"/>
            <w:tcBorders>
              <w:top w:val="nil"/>
              <w:bottom w:val="nil"/>
            </w:tcBorders>
          </w:tcPr>
          <w:p>
            <w:pPr>
              <w:pStyle w:val="nTable"/>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keepNext/>
              <w:keepLines/>
              <w:spacing w:after="40"/>
              <w:rPr>
                <w:i/>
                <w:snapToGrid w:val="0"/>
              </w:rPr>
            </w:pPr>
            <w:r>
              <w:rPr>
                <w:i/>
                <w:snapToGrid w:val="0"/>
              </w:rPr>
              <w:t>Personal Property Securities (Consequential Repeals and Amendments) Act 2011</w:t>
            </w:r>
            <w:r>
              <w:rPr>
                <w:snapToGrid w:val="0"/>
              </w:rPr>
              <w:t xml:space="preserve"> Pt. 11 Div. 2</w:t>
            </w:r>
          </w:p>
        </w:tc>
        <w:tc>
          <w:tcPr>
            <w:tcW w:w="1134" w:type="dxa"/>
            <w:tcBorders>
              <w:top w:val="nil"/>
            </w:tcBorders>
          </w:tcPr>
          <w:p>
            <w:pPr>
              <w:pStyle w:val="nTable"/>
              <w:keepNext/>
              <w:keepLines/>
              <w:rPr>
                <w:snapToGrid w:val="0"/>
              </w:rPr>
            </w:pPr>
            <w:r>
              <w:rPr>
                <w:snapToGrid w:val="0"/>
              </w:rPr>
              <w:t>42 of 2011</w:t>
            </w:r>
          </w:p>
        </w:tc>
        <w:tc>
          <w:tcPr>
            <w:tcW w:w="1134" w:type="dxa"/>
            <w:tcBorders>
              <w:top w:val="nil"/>
            </w:tcBorders>
          </w:tcPr>
          <w:p>
            <w:pPr>
              <w:pStyle w:val="nTable"/>
              <w:keepNext/>
              <w:keepLines/>
              <w:rPr>
                <w:snapToGrid w:val="0"/>
              </w:rPr>
            </w:pPr>
            <w:r>
              <w:t>4 Oct 2011</w:t>
            </w:r>
          </w:p>
        </w:tc>
        <w:tc>
          <w:tcPr>
            <w:tcW w:w="2552" w:type="dxa"/>
            <w:tcBorders>
              <w:top w:val="nil"/>
            </w:tcBorders>
          </w:tcPr>
          <w:p>
            <w:pPr>
              <w:pStyle w:val="nTable"/>
              <w:keepNext/>
              <w:keepLines/>
              <w:rPr>
                <w:snapToGrid w:val="0"/>
              </w:rPr>
            </w:pPr>
            <w:r>
              <w:rPr>
                <w:snapToGrid w:val="0"/>
              </w:rPr>
              <w:t>30 Jan 2012 (see s. 2(c) and Cwlth Legislative Instrument No. F2011L02397 cl. 5 registered 21 Nov 2011)</w:t>
            </w:r>
          </w:p>
        </w:tc>
      </w:tr>
    </w:tbl>
    <w:p>
      <w:pPr>
        <w:pStyle w:val="nHeading3"/>
        <w:rPr>
          <w:ins w:id="149" w:author="svcMRProcess" w:date="2020-02-26T14:17:00Z"/>
        </w:rPr>
      </w:pPr>
      <w:bookmarkStart w:id="150" w:name="_Toc33613505"/>
      <w:del w:id="151" w:author="svcMRProcess" w:date="2020-02-26T14:17:00Z">
        <w:r>
          <w:rPr>
            <w:vertAlign w:val="superscript"/>
          </w:rPr>
          <w:delText>2</w:delText>
        </w:r>
      </w:del>
      <w:ins w:id="152" w:author="svcMRProcess" w:date="2020-02-26T14:17:00Z">
        <w:r>
          <w:t>Uncommenced provisions table</w:t>
        </w:r>
        <w:bookmarkEnd w:id="150"/>
      </w:ins>
    </w:p>
    <w:p>
      <w:pPr>
        <w:pStyle w:val="nStatement"/>
        <w:keepNext/>
        <w:spacing w:after="240"/>
        <w:rPr>
          <w:ins w:id="153" w:author="svcMRProcess" w:date="2020-02-26T14:17:00Z"/>
        </w:rPr>
      </w:pPr>
      <w:ins w:id="154" w:author="svcMRProcess" w:date="2020-02-26T14:17: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55" w:author="svcMRProcess" w:date="2020-02-26T14:17:00Z"/>
        </w:trPr>
        <w:tc>
          <w:tcPr>
            <w:tcW w:w="2268" w:type="dxa"/>
          </w:tcPr>
          <w:p>
            <w:pPr>
              <w:pStyle w:val="nTable"/>
              <w:spacing w:after="40"/>
              <w:rPr>
                <w:ins w:id="156" w:author="svcMRProcess" w:date="2020-02-26T14:17:00Z"/>
                <w:b/>
              </w:rPr>
            </w:pPr>
            <w:ins w:id="157" w:author="svcMRProcess" w:date="2020-02-26T14:17:00Z">
              <w:r>
                <w:rPr>
                  <w:b/>
                </w:rPr>
                <w:t>Short title</w:t>
              </w:r>
            </w:ins>
          </w:p>
        </w:tc>
        <w:tc>
          <w:tcPr>
            <w:tcW w:w="1134" w:type="dxa"/>
          </w:tcPr>
          <w:p>
            <w:pPr>
              <w:pStyle w:val="nTable"/>
              <w:spacing w:after="40"/>
              <w:rPr>
                <w:ins w:id="158" w:author="svcMRProcess" w:date="2020-02-26T14:17:00Z"/>
                <w:b/>
              </w:rPr>
            </w:pPr>
            <w:ins w:id="159" w:author="svcMRProcess" w:date="2020-02-26T14:17:00Z">
              <w:r>
                <w:rPr>
                  <w:b/>
                </w:rPr>
                <w:t>Number and year</w:t>
              </w:r>
            </w:ins>
          </w:p>
        </w:tc>
        <w:tc>
          <w:tcPr>
            <w:tcW w:w="1134" w:type="dxa"/>
          </w:tcPr>
          <w:p>
            <w:pPr>
              <w:pStyle w:val="nTable"/>
              <w:spacing w:after="40"/>
              <w:rPr>
                <w:ins w:id="160" w:author="svcMRProcess" w:date="2020-02-26T14:17:00Z"/>
                <w:b/>
              </w:rPr>
            </w:pPr>
            <w:ins w:id="161" w:author="svcMRProcess" w:date="2020-02-26T14:17:00Z">
              <w:r>
                <w:rPr>
                  <w:b/>
                </w:rPr>
                <w:t>Assent</w:t>
              </w:r>
            </w:ins>
          </w:p>
        </w:tc>
        <w:tc>
          <w:tcPr>
            <w:tcW w:w="2552" w:type="dxa"/>
          </w:tcPr>
          <w:p>
            <w:pPr>
              <w:pStyle w:val="nTable"/>
              <w:spacing w:after="40"/>
              <w:rPr>
                <w:ins w:id="162" w:author="svcMRProcess" w:date="2020-02-26T14:17:00Z"/>
                <w:b/>
              </w:rPr>
            </w:pPr>
            <w:ins w:id="163" w:author="svcMRProcess" w:date="2020-02-26T14:17:00Z">
              <w:r>
                <w:rPr>
                  <w:b/>
                </w:rPr>
                <w:t>Commencement</w:t>
              </w:r>
            </w:ins>
          </w:p>
        </w:tc>
      </w:tr>
      <w:tr>
        <w:trPr>
          <w:ins w:id="164" w:author="svcMRProcess" w:date="2020-02-26T14:17:00Z"/>
        </w:trPr>
        <w:tc>
          <w:tcPr>
            <w:tcW w:w="2268" w:type="dxa"/>
          </w:tcPr>
          <w:p>
            <w:pPr>
              <w:pStyle w:val="nTable"/>
              <w:spacing w:after="40"/>
              <w:rPr>
                <w:ins w:id="165" w:author="svcMRProcess" w:date="2020-02-26T14:17:00Z"/>
              </w:rPr>
            </w:pPr>
            <w:ins w:id="166" w:author="svcMRProcess" w:date="2020-02-26T14:17:00Z">
              <w:r>
                <w:rPr>
                  <w:i/>
                </w:rPr>
                <w:t>TAB (Disposal) Act 2019</w:t>
              </w:r>
              <w:r>
                <w:t xml:space="preserve"> s. 158</w:t>
              </w:r>
            </w:ins>
          </w:p>
        </w:tc>
        <w:tc>
          <w:tcPr>
            <w:tcW w:w="1134" w:type="dxa"/>
          </w:tcPr>
          <w:p>
            <w:pPr>
              <w:pStyle w:val="nTable"/>
              <w:spacing w:after="40"/>
              <w:rPr>
                <w:ins w:id="167" w:author="svcMRProcess" w:date="2020-02-26T14:17:00Z"/>
              </w:rPr>
            </w:pPr>
            <w:ins w:id="168" w:author="svcMRProcess" w:date="2020-02-26T14:17:00Z">
              <w:r>
                <w:t>21 of 2019</w:t>
              </w:r>
            </w:ins>
          </w:p>
        </w:tc>
        <w:tc>
          <w:tcPr>
            <w:tcW w:w="1134" w:type="dxa"/>
          </w:tcPr>
          <w:p>
            <w:pPr>
              <w:pStyle w:val="nTable"/>
              <w:spacing w:after="40"/>
              <w:rPr>
                <w:ins w:id="169" w:author="svcMRProcess" w:date="2020-02-26T14:17:00Z"/>
              </w:rPr>
            </w:pPr>
            <w:ins w:id="170" w:author="svcMRProcess" w:date="2020-02-26T14:17:00Z">
              <w:r>
                <w:t>18 Sep 2019</w:t>
              </w:r>
            </w:ins>
          </w:p>
        </w:tc>
        <w:tc>
          <w:tcPr>
            <w:tcW w:w="2552" w:type="dxa"/>
          </w:tcPr>
          <w:p>
            <w:pPr>
              <w:pStyle w:val="nTable"/>
              <w:spacing w:after="40"/>
              <w:rPr>
                <w:ins w:id="171" w:author="svcMRProcess" w:date="2020-02-26T14:17:00Z"/>
              </w:rPr>
            </w:pPr>
            <w:ins w:id="172" w:author="svcMRProcess" w:date="2020-02-26T14:17:00Z">
              <w:r>
                <w:t>To be proclaimed (see s. 2(1)(b)(xiii))</w:t>
              </w:r>
            </w:ins>
          </w:p>
        </w:tc>
      </w:tr>
    </w:tbl>
    <w:p>
      <w:pPr>
        <w:pStyle w:val="nHeading3"/>
        <w:rPr>
          <w:ins w:id="173" w:author="svcMRProcess" w:date="2020-02-26T14:17:00Z"/>
        </w:rPr>
      </w:pPr>
      <w:bookmarkStart w:id="174" w:name="_Toc33613506"/>
      <w:ins w:id="175" w:author="svcMRProcess" w:date="2020-02-26T14:17:00Z">
        <w:r>
          <w:t>Other notes</w:t>
        </w:r>
        <w:bookmarkEnd w:id="174"/>
      </w:ins>
    </w:p>
    <w:p>
      <w:pPr>
        <w:pStyle w:val="nNote"/>
        <w:spacing w:before="160"/>
      </w:pPr>
      <w:ins w:id="176" w:author="svcMRProcess" w:date="2020-02-26T14:17:00Z">
        <w:r>
          <w:rPr>
            <w:vertAlign w:val="superscript"/>
          </w:rPr>
          <w:t>1</w:t>
        </w:r>
      </w:ins>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Note"/>
        <w:rPr>
          <w:snapToGrid w:val="0"/>
        </w:rPr>
      </w:pPr>
      <w:del w:id="177" w:author="svcMRProcess" w:date="2020-02-26T14:17:00Z">
        <w:r>
          <w:rPr>
            <w:snapToGrid w:val="0"/>
            <w:vertAlign w:val="superscript"/>
          </w:rPr>
          <w:delText>3</w:delText>
        </w:r>
      </w:del>
      <w:ins w:id="178" w:author="svcMRProcess" w:date="2020-02-26T14:17:00Z">
        <w:r>
          <w:rPr>
            <w:snapToGrid w:val="0"/>
            <w:vertAlign w:val="superscript"/>
          </w:rPr>
          <w:t>2</w:t>
        </w:r>
      </w:ins>
      <w:r>
        <w:rPr>
          <w:snapToGrid w:val="0"/>
        </w:rPr>
        <w:tab/>
        <w:t xml:space="preserve">Repealed by </w:t>
      </w:r>
      <w:r>
        <w:rPr>
          <w:i/>
          <w:snapToGrid w:val="0"/>
        </w:rPr>
        <w:t>Government Railways Act 1904</w:t>
      </w:r>
      <w:r>
        <w:rPr>
          <w:snapToGrid w:val="0"/>
        </w:rPr>
        <w:t>.</w:t>
      </w:r>
    </w:p>
    <w:p>
      <w:pPr>
        <w:pStyle w:val="nNote"/>
      </w:pPr>
      <w:del w:id="179" w:author="svcMRProcess" w:date="2020-02-26T14:17:00Z">
        <w:r>
          <w:rPr>
            <w:vertAlign w:val="superscript"/>
          </w:rPr>
          <w:delText>4</w:delText>
        </w:r>
      </w:del>
      <w:ins w:id="180" w:author="svcMRProcess" w:date="2020-02-26T14:17:00Z">
        <w:r>
          <w:rPr>
            <w:vertAlign w:val="superscript"/>
          </w:rPr>
          <w:t>3</w:t>
        </w:r>
      </w:ins>
      <w:r>
        <w:tab/>
        <w:t xml:space="preserve">This Act is to be read in conjunction with the </w:t>
      </w:r>
      <w:r>
        <w:rPr>
          <w:i/>
        </w:rPr>
        <w:t xml:space="preserve">Western Australian Turf Club (Property) Act 1944 </w:t>
      </w:r>
      <w:r>
        <w:t>(see</w:t>
      </w:r>
      <w:r>
        <w:rPr>
          <w:i/>
        </w:rPr>
        <w:t> </w:t>
      </w:r>
      <w:r>
        <w:t>s. 2 of that Act).</w:t>
      </w:r>
    </w:p>
    <w:p>
      <w:pPr>
        <w:pStyle w:val="nNote"/>
        <w:rPr>
          <w:snapToGrid w:val="0"/>
        </w:rPr>
      </w:pPr>
      <w:del w:id="181" w:author="svcMRProcess" w:date="2020-02-26T14:17:00Z">
        <w:r>
          <w:rPr>
            <w:snapToGrid w:val="0"/>
            <w:vertAlign w:val="superscript"/>
          </w:rPr>
          <w:delText>5</w:delText>
        </w:r>
      </w:del>
      <w:ins w:id="182" w:author="svcMRProcess" w:date="2020-02-26T14:17:00Z">
        <w:r>
          <w:rPr>
            <w:snapToGrid w:val="0"/>
            <w:vertAlign w:val="superscript"/>
          </w:rPr>
          <w:t>4</w:t>
        </w:r>
      </w:ins>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Note"/>
        <w:keepNext/>
        <w:rPr>
          <w:snapToGrid w:val="0"/>
        </w:rPr>
      </w:pPr>
      <w:del w:id="183" w:author="svcMRProcess" w:date="2020-02-26T14:17:00Z">
        <w:r>
          <w:rPr>
            <w:snapToGrid w:val="0"/>
            <w:vertAlign w:val="superscript"/>
          </w:rPr>
          <w:delText>6</w:delText>
        </w:r>
      </w:del>
      <w:ins w:id="184" w:author="svcMRProcess" w:date="2020-02-26T14:17:00Z">
        <w:r>
          <w:rPr>
            <w:snapToGrid w:val="0"/>
            <w:vertAlign w:val="superscript"/>
          </w:rPr>
          <w:t>5</w:t>
        </w:r>
      </w:ins>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Note"/>
      </w:pPr>
      <w:del w:id="185" w:author="svcMRProcess" w:date="2020-02-26T14:17:00Z">
        <w:r>
          <w:rPr>
            <w:vertAlign w:val="superscript"/>
          </w:rPr>
          <w:delText>7</w:delText>
        </w:r>
      </w:del>
      <w:ins w:id="186" w:author="svcMRProcess" w:date="2020-02-26T14:17:00Z">
        <w:r>
          <w:rPr>
            <w:vertAlign w:val="superscript"/>
          </w:rPr>
          <w:t>6</w:t>
        </w:r>
      </w:ins>
      <w:r>
        <w:tab/>
        <w:t xml:space="preserve">The </w:t>
      </w:r>
      <w:r>
        <w:rPr>
          <w:i/>
        </w:rPr>
        <w:t>Racing and Gambling Legislation Amendment and Repeal Act 2003</w:t>
      </w:r>
      <w:r>
        <w:t xml:space="preserve"> s. 19 and Pt. 14 Div. 2 read as follows:</w:t>
      </w:r>
    </w:p>
    <w:p>
      <w:pPr>
        <w:pStyle w:val="MiscOpen"/>
      </w:pPr>
      <w:r>
        <w:t>“</w:t>
      </w:r>
    </w:p>
    <w:p>
      <w:pPr>
        <w:pStyle w:val="nzHeading5"/>
      </w:pPr>
      <w:r>
        <w:rPr>
          <w:rStyle w:val="CharSectno"/>
        </w:rPr>
        <w:t>19</w:t>
      </w:r>
      <w:r>
        <w:t>.</w:t>
      </w:r>
      <w:r>
        <w:tab/>
        <w:t xml:space="preserve">Power to amend regulations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r>
        <w:rPr>
          <w:rStyle w:val="CharSectno"/>
        </w:rPr>
        <w:t>242</w:t>
      </w:r>
      <w:r>
        <w:t>.</w:t>
      </w:r>
      <w:r>
        <w:tab/>
        <w:t>By</w:t>
      </w:r>
      <w:r>
        <w:noBreakHyphen/>
        <w:t>laws — continuation and expiry</w:t>
      </w:r>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7" w:name="Schedule"/>
    <w:bookmarkEnd w:id="1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The Western Australian Turf Club Act 1892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7" w:name="Compilation"/>
    <w:bookmarkEnd w:id="18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8" w:name="Coversheet"/>
    <w:bookmarkEnd w:id="18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The Western Australian Turf Club Act 1892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1405AC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26123837"/>
    <w:docVar w:name="WAFER_20140204110929" w:val="RemoveTocBookmarks,RemoveUnusedBookmarks,RemoveLanguageTags,UsedStyles,ResetPageSize,UpdateArrangement"/>
    <w:docVar w:name="WAFER_20140204110929_GUID" w:val="6c90a018-b8d2-47ef-8bd8-0b277ef049bb"/>
    <w:docVar w:name="WAFER_20140204112220" w:val="RemoveTocBookmarks,RunningHeaders"/>
    <w:docVar w:name="WAFER_20140204112220_GUID" w:val="8862253b-2965-4c11-9105-a297f5e900ef"/>
    <w:docVar w:name="WAFER_20150713115259" w:val="ResetPageSize,UpdateArrangement,UpdateNTable"/>
    <w:docVar w:name="WAFER_20150713115259_GUID" w:val="ce013945-15d4-4490-bd8f-441366dfc111"/>
    <w:docVar w:name="WAFER_20151110125507" w:val="UpdateStyles,UsedStyles"/>
    <w:docVar w:name="WAFER_20151110125507_GUID" w:val="f4b2fe3e-d955-4edf-a82d-c118f5f39260"/>
    <w:docVar w:name="WAFER_2020022612383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3837_GUID" w:val="c3550041-ae2e-4399-882b-847aa076d1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tabs>
        <w:tab w:val="clear" w:pos="643"/>
        <w:tab w:val="num" w:pos="720"/>
      </w:tabs>
      <w:ind w:left="720"/>
    </w:pPr>
  </w:style>
  <w:style w:type="paragraph" w:styleId="ListBullet3">
    <w:name w:val="List Bullet 3"/>
    <w:basedOn w:val="Normal"/>
    <w:autoRedefine/>
    <w:pPr>
      <w:numPr>
        <w:numId w:val="15"/>
      </w:numPr>
      <w:tabs>
        <w:tab w:val="clear" w:pos="926"/>
        <w:tab w:val="num" w:pos="1080"/>
      </w:tabs>
      <w:ind w:left="1080"/>
    </w:pPr>
  </w:style>
  <w:style w:type="paragraph" w:styleId="ListBullet4">
    <w:name w:val="List Bullet 4"/>
    <w:basedOn w:val="Normal"/>
    <w:autoRedefine/>
    <w:pPr>
      <w:numPr>
        <w:numId w:val="16"/>
      </w:numPr>
      <w:tabs>
        <w:tab w:val="clear" w:pos="1209"/>
        <w:tab w:val="num" w:pos="1440"/>
      </w:tabs>
      <w:ind w:left="1440"/>
    </w:pPr>
  </w:style>
  <w:style w:type="paragraph" w:styleId="ListBullet5">
    <w:name w:val="List Bullet 5"/>
    <w:basedOn w:val="Normal"/>
    <w:autoRedefine/>
    <w:pPr>
      <w:numPr>
        <w:numId w:val="1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tabs>
        <w:tab w:val="clear" w:pos="643"/>
        <w:tab w:val="num" w:pos="720"/>
      </w:tabs>
      <w:ind w:left="720"/>
    </w:pPr>
  </w:style>
  <w:style w:type="paragraph" w:styleId="ListNumber3">
    <w:name w:val="List Number 3"/>
    <w:basedOn w:val="Normal"/>
    <w:pPr>
      <w:numPr>
        <w:numId w:val="20"/>
      </w:numPr>
      <w:tabs>
        <w:tab w:val="clear" w:pos="926"/>
        <w:tab w:val="num" w:pos="1080"/>
      </w:tabs>
      <w:ind w:left="1080"/>
    </w:pPr>
  </w:style>
  <w:style w:type="paragraph" w:styleId="ListNumber4">
    <w:name w:val="List Number 4"/>
    <w:basedOn w:val="Normal"/>
    <w:pPr>
      <w:numPr>
        <w:numId w:val="21"/>
      </w:numPr>
      <w:tabs>
        <w:tab w:val="clear" w:pos="1209"/>
        <w:tab w:val="num" w:pos="1440"/>
      </w:tabs>
      <w:ind w:left="1440"/>
    </w:pPr>
  </w:style>
  <w:style w:type="paragraph" w:styleId="ListNumber5">
    <w:name w:val="List Number 5"/>
    <w:basedOn w:val="Normal"/>
    <w:pPr>
      <w:numPr>
        <w:numId w:val="2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7221</Words>
  <Characters>32929</Characters>
  <Application>Microsoft Office Word</Application>
  <DocSecurity>0</DocSecurity>
  <Lines>803</Lines>
  <Paragraphs>299</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39851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03-e0-05 - 03-f0-01</dc:title>
  <dc:subject/>
  <dc:creator/>
  <cp:keywords/>
  <dc:description/>
  <cp:lastModifiedBy>svcMRProcess</cp:lastModifiedBy>
  <cp:revision>2</cp:revision>
  <cp:lastPrinted>2008-07-04T06:09:00Z</cp:lastPrinted>
  <dcterms:created xsi:type="dcterms:W3CDTF">2020-02-26T06:17:00Z</dcterms:created>
  <dcterms:modified xsi:type="dcterms:W3CDTF">2020-02-26T06:17:00Z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DocumentType">
    <vt:lpwstr>Act</vt:lpwstr>
  </property>
  <property fmtid="{D5CDD505-2E9C-101B-9397-08002B2CF9AE}" pid="4" name="OwlsUID">
    <vt:i4>898</vt:i4>
  </property>
  <property fmtid="{D5CDD505-2E9C-101B-9397-08002B2CF9AE}" pid="5" name="ReprintNo">
    <vt:lpwstr>3</vt:lpwstr>
  </property>
  <property fmtid="{D5CDD505-2E9C-101B-9397-08002B2CF9AE}" pid="6" name="ThisVersion">
    <vt:lpwstr>03-c0-01</vt:lpwstr>
  </property>
  <property fmtid="{D5CDD505-2E9C-101B-9397-08002B2CF9AE}" pid="7" name="CommencementDate">
    <vt:lpwstr>20190918</vt:lpwstr>
  </property>
  <property fmtid="{D5CDD505-2E9C-101B-9397-08002B2CF9AE}" pid="8" name="FromSuffix">
    <vt:lpwstr>03-e0-05</vt:lpwstr>
  </property>
  <property fmtid="{D5CDD505-2E9C-101B-9397-08002B2CF9AE}" pid="9" name="FromAsAtDate">
    <vt:lpwstr>30 Jan 2012</vt:lpwstr>
  </property>
  <property fmtid="{D5CDD505-2E9C-101B-9397-08002B2CF9AE}" pid="10" name="ToSuffix">
    <vt:lpwstr>03-f0-01</vt:lpwstr>
  </property>
  <property fmtid="{D5CDD505-2E9C-101B-9397-08002B2CF9AE}" pid="11" name="ToAsAtDate">
    <vt:lpwstr>18 Sep 2019</vt:lpwstr>
  </property>
</Properties>
</file>