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Sep 2019</w:t>
      </w:r>
      <w:r>
        <w:fldChar w:fldCharType="end"/>
      </w:r>
      <w:r>
        <w:t xml:space="preserve">, </w:t>
      </w:r>
      <w:r>
        <w:fldChar w:fldCharType="begin"/>
      </w:r>
      <w:r>
        <w:instrText xml:space="preserve"> DocProperty FromSuffix </w:instrText>
      </w:r>
      <w:r>
        <w:fldChar w:fldCharType="separate"/>
      </w:r>
      <w:r>
        <w:t>03-i0-01</w:t>
      </w:r>
      <w:r>
        <w:fldChar w:fldCharType="end"/>
      </w:r>
      <w:r>
        <w:t>] and [</w:t>
      </w:r>
      <w:r>
        <w:fldChar w:fldCharType="begin"/>
      </w:r>
      <w:r>
        <w:instrText xml:space="preserve"> DocProperty ToAsAtDate</w:instrText>
      </w:r>
      <w:r>
        <w:fldChar w:fldCharType="separate"/>
      </w:r>
      <w:r>
        <w:t>19 Oct 2019</w:t>
      </w:r>
      <w:r>
        <w:fldChar w:fldCharType="end"/>
      </w:r>
      <w:r>
        <w:t xml:space="preserve">, </w:t>
      </w:r>
      <w:r>
        <w:fldChar w:fldCharType="begin"/>
      </w:r>
      <w:r>
        <w:instrText xml:space="preserve"> DocProperty ToSuffix</w:instrText>
      </w:r>
      <w:r>
        <w:fldChar w:fldCharType="separate"/>
      </w:r>
      <w:r>
        <w:t>03-j0-00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Local Government Act 1995</w:t>
      </w:r>
    </w:p>
    <w:p>
      <w:pPr>
        <w:pStyle w:val="NameofActReg"/>
      </w:pPr>
      <w:r>
        <w:t>Local Government (Administration) Regulations 1996</w:t>
      </w:r>
    </w:p>
    <w:p>
      <w:pPr>
        <w:pStyle w:val="Heading2"/>
        <w:pageBreakBefore w:val="0"/>
      </w:pPr>
      <w:bookmarkStart w:id="1" w:name="_Toc19177871"/>
      <w:bookmarkStart w:id="2" w:name="_Toc19183836"/>
      <w:bookmarkStart w:id="3" w:name="_Toc19185579"/>
      <w:bookmarkStart w:id="4" w:name="_Toc22206931"/>
      <w:bookmarkStart w:id="5" w:name="_Toc22208808"/>
      <w:bookmarkStart w:id="6" w:name="_Toc22217791"/>
      <w:bookmarkStart w:id="7" w:name="_Toc22217870"/>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Footnoteheading"/>
      </w:pPr>
      <w:r>
        <w:tab/>
        <w:t>[Heading inserted: Gazette 26 Aug 2011 p. 3482.]</w:t>
      </w:r>
    </w:p>
    <w:p>
      <w:pPr>
        <w:pStyle w:val="Heading5"/>
        <w:rPr>
          <w:snapToGrid w:val="0"/>
        </w:rPr>
      </w:pPr>
      <w:bookmarkStart w:id="9" w:name="_Toc22217871"/>
      <w:bookmarkStart w:id="10" w:name="_Toc19185580"/>
      <w:r>
        <w:rPr>
          <w:rStyle w:val="CharSectno"/>
        </w:rPr>
        <w:t>1</w:t>
      </w:r>
      <w:r>
        <w:rPr>
          <w:snapToGrid w:val="0"/>
        </w:rPr>
        <w:t>.</w:t>
      </w:r>
      <w:r>
        <w:rPr>
          <w:snapToGrid w:val="0"/>
        </w:rPr>
        <w:tab/>
        <w:t>Citation</w:t>
      </w:r>
      <w:bookmarkEnd w:id="9"/>
      <w:bookmarkEnd w:id="10"/>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vertAlign w:val="superscript"/>
        </w:rPr>
        <w:t> 1</w:t>
      </w:r>
      <w:r>
        <w:rPr>
          <w:snapToGrid w:val="0"/>
        </w:rPr>
        <w:t>.</w:t>
      </w:r>
    </w:p>
    <w:p>
      <w:pPr>
        <w:pStyle w:val="Heading5"/>
        <w:rPr>
          <w:snapToGrid w:val="0"/>
        </w:rPr>
      </w:pPr>
      <w:bookmarkStart w:id="11" w:name="_Toc22217872"/>
      <w:bookmarkStart w:id="12" w:name="_Toc19185581"/>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13" w:name="_Toc22217873"/>
      <w:bookmarkStart w:id="14" w:name="_Toc19185582"/>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Subsection"/>
        <w:keepNext/>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Gazette 23 Apr 1999 p. 1717; 28 Jun 2002 p. 3079.]</w:t>
      </w:r>
    </w:p>
    <w:p>
      <w:pPr>
        <w:pStyle w:val="Heading2"/>
      </w:pPr>
      <w:bookmarkStart w:id="15" w:name="_Toc19177875"/>
      <w:bookmarkStart w:id="16" w:name="_Toc19183840"/>
      <w:bookmarkStart w:id="17" w:name="_Toc19185583"/>
      <w:bookmarkStart w:id="18" w:name="_Toc22206935"/>
      <w:bookmarkStart w:id="19" w:name="_Toc22208812"/>
      <w:bookmarkStart w:id="20" w:name="_Toc22217795"/>
      <w:bookmarkStart w:id="21" w:name="_Toc22217874"/>
      <w:r>
        <w:rPr>
          <w:rStyle w:val="CharPartNo"/>
        </w:rPr>
        <w:t>Part 2</w:t>
      </w:r>
      <w:r>
        <w:rPr>
          <w:rStyle w:val="CharDivNo"/>
        </w:rPr>
        <w:t> </w:t>
      </w:r>
      <w:r>
        <w:t>—</w:t>
      </w:r>
      <w:r>
        <w:rPr>
          <w:rStyle w:val="CharDivText"/>
        </w:rPr>
        <w:t> </w:t>
      </w:r>
      <w:r>
        <w:rPr>
          <w:rStyle w:val="CharPartText"/>
        </w:rPr>
        <w:t>Council and committee meetings</w:t>
      </w:r>
      <w:bookmarkEnd w:id="15"/>
      <w:bookmarkEnd w:id="16"/>
      <w:bookmarkEnd w:id="17"/>
      <w:bookmarkEnd w:id="18"/>
      <w:bookmarkEnd w:id="19"/>
      <w:bookmarkEnd w:id="20"/>
      <w:bookmarkEnd w:id="21"/>
    </w:p>
    <w:p>
      <w:pPr>
        <w:pStyle w:val="Footnoteheading"/>
      </w:pPr>
      <w:r>
        <w:tab/>
        <w:t>[Heading inserted: Gazette 26 Aug 2011 p. 3482.]</w:t>
      </w:r>
    </w:p>
    <w:p>
      <w:pPr>
        <w:pStyle w:val="Heading5"/>
        <w:spacing w:before="180"/>
        <w:rPr>
          <w:snapToGrid w:val="0"/>
        </w:rPr>
      </w:pPr>
      <w:bookmarkStart w:id="22" w:name="_Toc22217875"/>
      <w:bookmarkStart w:id="23" w:name="_Toc19185584"/>
      <w:r>
        <w:rPr>
          <w:rStyle w:val="CharSectno"/>
        </w:rPr>
        <w:t>4</w:t>
      </w:r>
      <w:r>
        <w:rPr>
          <w:snapToGrid w:val="0"/>
        </w:rPr>
        <w:t>.</w:t>
      </w:r>
      <w:r>
        <w:rPr>
          <w:snapToGrid w:val="0"/>
        </w:rPr>
        <w:tab/>
        <w:t>Committee members, resignation of</w:t>
      </w:r>
      <w:bookmarkEnd w:id="22"/>
      <w:bookmarkEnd w:id="23"/>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24" w:name="_Toc22217876"/>
      <w:bookmarkStart w:id="25" w:name="_Toc19185585"/>
      <w:r>
        <w:rPr>
          <w:rStyle w:val="CharSectno"/>
        </w:rPr>
        <w:t>4A</w:t>
      </w:r>
      <w:r>
        <w:t>.</w:t>
      </w:r>
      <w:r>
        <w:tab/>
        <w:t>Matter prescribed for when meeting may be closed to public (Act s. 5.23(2)(h))</w:t>
      </w:r>
      <w:bookmarkEnd w:id="24"/>
      <w:bookmarkEnd w:id="25"/>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Gazette 31 Mar 2005 p. 1037.]</w:t>
      </w:r>
    </w:p>
    <w:p>
      <w:pPr>
        <w:pStyle w:val="Heading5"/>
        <w:spacing w:before="180"/>
        <w:rPr>
          <w:snapToGrid w:val="0"/>
        </w:rPr>
      </w:pPr>
      <w:bookmarkStart w:id="26" w:name="_Toc22217877"/>
      <w:bookmarkStart w:id="27" w:name="_Toc19185586"/>
      <w:r>
        <w:rPr>
          <w:rStyle w:val="CharSectno"/>
        </w:rPr>
        <w:t>5</w:t>
      </w:r>
      <w:r>
        <w:rPr>
          <w:snapToGrid w:val="0"/>
        </w:rPr>
        <w:t>.</w:t>
      </w:r>
      <w:r>
        <w:rPr>
          <w:snapToGrid w:val="0"/>
        </w:rPr>
        <w:tab/>
        <w:t xml:space="preserve">Question time for public, meetings that require prescribed </w:t>
      </w:r>
      <w:r>
        <w:t>(Act </w:t>
      </w:r>
      <w:r>
        <w:rPr>
          <w:snapToGrid w:val="0"/>
        </w:rPr>
        <w:t>s. 5.24)</w:t>
      </w:r>
      <w:bookmarkEnd w:id="26"/>
      <w:bookmarkEnd w:id="27"/>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28" w:name="_Toc22217878"/>
      <w:bookmarkStart w:id="29" w:name="_Toc19185587"/>
      <w:r>
        <w:rPr>
          <w:rStyle w:val="CharSectno"/>
        </w:rPr>
        <w:t>6</w:t>
      </w:r>
      <w:r>
        <w:rPr>
          <w:snapToGrid w:val="0"/>
        </w:rPr>
        <w:t>.</w:t>
      </w:r>
      <w:r>
        <w:rPr>
          <w:snapToGrid w:val="0"/>
        </w:rPr>
        <w:tab/>
        <w:t xml:space="preserve">Question time for public, minimum time for </w:t>
      </w:r>
      <w:r>
        <w:t>(Act </w:t>
      </w:r>
      <w:r>
        <w:rPr>
          <w:snapToGrid w:val="0"/>
        </w:rPr>
        <w:t>s. 5.24(2))</w:t>
      </w:r>
      <w:bookmarkEnd w:id="28"/>
      <w:bookmarkEnd w:id="29"/>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Heading5"/>
        <w:spacing w:before="180"/>
        <w:rPr>
          <w:snapToGrid w:val="0"/>
        </w:rPr>
      </w:pPr>
      <w:bookmarkStart w:id="30" w:name="_Toc22217879"/>
      <w:bookmarkStart w:id="31" w:name="_Toc19185588"/>
      <w:r>
        <w:rPr>
          <w:rStyle w:val="CharSectno"/>
        </w:rPr>
        <w:t>7</w:t>
      </w:r>
      <w:r>
        <w:rPr>
          <w:snapToGrid w:val="0"/>
        </w:rPr>
        <w:t>.</w:t>
      </w:r>
      <w:r>
        <w:rPr>
          <w:snapToGrid w:val="0"/>
        </w:rPr>
        <w:tab/>
        <w:t xml:space="preserve">Question time for public, procedure for </w:t>
      </w:r>
      <w:r>
        <w:t>(Act </w:t>
      </w:r>
      <w:r>
        <w:rPr>
          <w:snapToGrid w:val="0"/>
        </w:rPr>
        <w:t>s. 5.24(2))</w:t>
      </w:r>
      <w:bookmarkEnd w:id="30"/>
      <w:bookmarkEnd w:id="31"/>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Footnotesection"/>
      </w:pPr>
      <w:r>
        <w:tab/>
        <w:t>[Regulation 7 amended: Gazette 28 Jun 2002 p. 3079.]</w:t>
      </w:r>
    </w:p>
    <w:p>
      <w:pPr>
        <w:pStyle w:val="Heading5"/>
        <w:rPr>
          <w:snapToGrid w:val="0"/>
        </w:rPr>
      </w:pPr>
      <w:bookmarkStart w:id="32" w:name="_Toc22217880"/>
      <w:bookmarkStart w:id="33" w:name="_Toc19185589"/>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32"/>
      <w:bookmarkEnd w:id="33"/>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34" w:name="_Toc22217881"/>
      <w:bookmarkStart w:id="35" w:name="_Toc19185590"/>
      <w:r>
        <w:rPr>
          <w:rStyle w:val="CharSectno"/>
        </w:rPr>
        <w:t>9</w:t>
      </w:r>
      <w:r>
        <w:rPr>
          <w:snapToGrid w:val="0"/>
        </w:rPr>
        <w:t>.</w:t>
      </w:r>
      <w:r>
        <w:rPr>
          <w:snapToGrid w:val="0"/>
        </w:rPr>
        <w:tab/>
        <w:t xml:space="preserve">Voting to be open </w:t>
      </w:r>
      <w:r>
        <w:t>(Act </w:t>
      </w:r>
      <w:r>
        <w:rPr>
          <w:snapToGrid w:val="0"/>
        </w:rPr>
        <w:t>s. 5.25(1)(d))</w:t>
      </w:r>
      <w:bookmarkEnd w:id="34"/>
      <w:bookmarkEnd w:id="35"/>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36" w:name="_Toc22217882"/>
      <w:bookmarkStart w:id="37" w:name="_Toc19185591"/>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36"/>
      <w:bookmarkEnd w:id="37"/>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rPr>
          <w:snapToGrid w:val="0"/>
        </w:rPr>
      </w:pPr>
      <w:r>
        <w:rPr>
          <w:snapToGrid w:val="0"/>
        </w:rPr>
        <w:tab/>
        <w:t>(2)</w:t>
      </w:r>
      <w:r>
        <w:rPr>
          <w:snapToGrid w:val="0"/>
        </w:rPr>
        <w:tab/>
        <w:t>If a decision has been made at a council or a committee meeting then any decision to revoke or change the first</w:t>
      </w:r>
      <w:r>
        <w:rPr>
          <w:snapToGrid w:val="0"/>
        </w:rPr>
        <w:noBreakHyphen/>
        <w:t>mentioned decision must be made —</w:t>
      </w:r>
    </w:p>
    <w:p>
      <w:pPr>
        <w:pStyle w:val="Indenta"/>
        <w:rPr>
          <w:snapToGrid w:val="0"/>
        </w:rPr>
      </w:pPr>
      <w:r>
        <w:rPr>
          <w:snapToGrid w:val="0"/>
        </w:rPr>
        <w:tab/>
        <w:t>(a)</w:t>
      </w:r>
      <w:r>
        <w:rPr>
          <w:snapToGrid w:val="0"/>
        </w:rPr>
        <w:tab/>
        <w:t>in the case where the decision to be revoked or changed was required to be made by an absolute majority or by a special majority, by that kind of majority; or</w:t>
      </w:r>
    </w:p>
    <w:p>
      <w:pPr>
        <w:pStyle w:val="Indenta"/>
        <w:rPr>
          <w:snapToGrid w:val="0"/>
        </w:rPr>
      </w:pPr>
      <w:r>
        <w:rPr>
          <w:snapToGrid w:val="0"/>
        </w:rPr>
        <w:tab/>
        <w:t>(b)</w:t>
      </w:r>
      <w:r>
        <w:rPr>
          <w:snapToGrid w:val="0"/>
        </w:rPr>
        <w:tab/>
        <w:t>in any other case,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Gazette 31 Mar 2005 p. 1030.]</w:t>
      </w:r>
    </w:p>
    <w:p>
      <w:pPr>
        <w:pStyle w:val="Heading5"/>
        <w:rPr>
          <w:snapToGrid w:val="0"/>
        </w:rPr>
      </w:pPr>
      <w:bookmarkStart w:id="38" w:name="_Toc22217883"/>
      <w:bookmarkStart w:id="39" w:name="_Toc19185592"/>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38"/>
      <w:bookmarkEnd w:id="39"/>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in relation to each disclosure made under section 5.65 or 5.70 in relation to the meeting, where the extent of the interest has also been disclosed, the extent of the interest.</w:t>
      </w:r>
    </w:p>
    <w:p>
      <w:pPr>
        <w:pStyle w:val="Footnotesection"/>
      </w:pPr>
      <w:r>
        <w:tab/>
        <w:t>[Regulation 11 amended: Gazette 23 Apr 1999 p. 1717.]</w:t>
      </w:r>
    </w:p>
    <w:p>
      <w:pPr>
        <w:pStyle w:val="Heading5"/>
        <w:rPr>
          <w:snapToGrid w:val="0"/>
        </w:rPr>
      </w:pPr>
      <w:bookmarkStart w:id="40" w:name="_Toc22217884"/>
      <w:bookmarkStart w:id="41" w:name="_Toc19185593"/>
      <w:r>
        <w:rPr>
          <w:rStyle w:val="CharSectno"/>
        </w:rPr>
        <w:t>12</w:t>
      </w:r>
      <w:r>
        <w:rPr>
          <w:snapToGrid w:val="0"/>
        </w:rPr>
        <w:t>.</w:t>
      </w:r>
      <w:r>
        <w:rPr>
          <w:snapToGrid w:val="0"/>
        </w:rPr>
        <w:tab/>
        <w:t xml:space="preserve">Meetings, public notice of </w:t>
      </w:r>
      <w:r>
        <w:t>(Act </w:t>
      </w:r>
      <w:r>
        <w:rPr>
          <w:snapToGrid w:val="0"/>
        </w:rPr>
        <w:t>s. 5.25(1)(g))</w:t>
      </w:r>
      <w:bookmarkEnd w:id="40"/>
      <w:bookmarkEnd w:id="41"/>
    </w:p>
    <w:p>
      <w:pPr>
        <w:pStyle w:val="Subsection"/>
        <w:rPr>
          <w:snapToGrid w:val="0"/>
        </w:rPr>
      </w:pPr>
      <w:r>
        <w:rPr>
          <w:snapToGrid w:val="0"/>
        </w:rPr>
        <w:tab/>
        <w:t>(1)</w:t>
      </w:r>
      <w:r>
        <w:rPr>
          <w:snapToGrid w:val="0"/>
        </w:rPr>
        <w:tab/>
        <w:t>At least once each year a local government is to give local public notice of the dates on which and the time and place at which —</w:t>
      </w:r>
    </w:p>
    <w:p>
      <w:pPr>
        <w:pStyle w:val="Indenta"/>
        <w:rPr>
          <w:snapToGrid w:val="0"/>
        </w:rPr>
      </w:pPr>
      <w:r>
        <w:rPr>
          <w:snapToGrid w:val="0"/>
        </w:rPr>
        <w:tab/>
        <w:t>(a)</w:t>
      </w:r>
      <w:r>
        <w:rPr>
          <w:snapToGrid w:val="0"/>
        </w:rPr>
        <w:tab/>
        <w:t>the ordinary council meetings; and</w:t>
      </w:r>
    </w:p>
    <w:p>
      <w:pPr>
        <w:pStyle w:val="Indenta"/>
        <w:rPr>
          <w:snapToGrid w:val="0"/>
        </w:rPr>
      </w:pPr>
      <w:r>
        <w:rPr>
          <w:snapToGrid w:val="0"/>
        </w:rPr>
        <w:tab/>
        <w:t>(b)</w:t>
      </w:r>
      <w:r>
        <w:rPr>
          <w:snapToGrid w:val="0"/>
        </w:rPr>
        <w:tab/>
        <w:t>the committee meetings that are required under the Act to be open to members of the public or that are proposed to be open to members of the public,</w:t>
      </w:r>
    </w:p>
    <w:p>
      <w:pPr>
        <w:pStyle w:val="Subsection"/>
        <w:spacing w:before="120"/>
        <w:rPr>
          <w:snapToGrid w:val="0"/>
        </w:rPr>
      </w:pPr>
      <w:r>
        <w:rPr>
          <w:snapToGrid w:val="0"/>
        </w:rPr>
        <w:tab/>
      </w:r>
      <w:r>
        <w:rPr>
          <w:snapToGrid w:val="0"/>
        </w:rPr>
        <w:tab/>
        <w:t>are to be held in the next 12 months.</w:t>
      </w:r>
    </w:p>
    <w:p>
      <w:pPr>
        <w:pStyle w:val="Subsection"/>
        <w:rPr>
          <w:snapToGrid w:val="0"/>
        </w:rPr>
      </w:pPr>
      <w:r>
        <w:rPr>
          <w:snapToGrid w:val="0"/>
        </w:rPr>
        <w:tab/>
        <w:t>(2)</w:t>
      </w:r>
      <w:r>
        <w:rPr>
          <w:snapToGrid w:val="0"/>
        </w:rPr>
        <w:tab/>
        <w:t>A local government is to give local public notice of any change to the date, time or place of a meeting referred to in subregulation (1).</w:t>
      </w:r>
    </w:p>
    <w:p>
      <w:pPr>
        <w:pStyle w:val="Subsection"/>
        <w:rPr>
          <w:snapToGrid w:val="0"/>
        </w:rPr>
      </w:pPr>
      <w:r>
        <w:rPr>
          <w:snapToGrid w:val="0"/>
        </w:rPr>
        <w:tab/>
        <w:t>(3)</w:t>
      </w:r>
      <w:r>
        <w:rPr>
          <w:snapToGrid w:val="0"/>
        </w:rPr>
        <w:tab/>
        <w:t>Subject to subregulation (4), if a special meeting of a council is to be open to members of the public then the local government is to give local public notice of the date, time, place and purpose of the special meeting.</w:t>
      </w:r>
    </w:p>
    <w:p>
      <w:pPr>
        <w:pStyle w:val="Subsection"/>
        <w:rPr>
          <w:snapToGrid w:val="0"/>
        </w:rPr>
      </w:pPr>
      <w:r>
        <w:rPr>
          <w:snapToGrid w:val="0"/>
        </w:rPr>
        <w:tab/>
        <w:t>(4)</w:t>
      </w:r>
      <w:r>
        <w:rPr>
          <w:snapToGrid w:val="0"/>
        </w:rPr>
        <w:tab/>
        <w:t>If a special meeting of a council is to be open to members of the public but, in the CEO’s opinion, it is not practicable to give local public notice of the matters referred to in subregulation (3), then the local government is to give public notice of the date, time, place and purpose of the special meeting in the manner and to the extent that, in the CEO’s opinion, is practicable.</w:t>
      </w:r>
    </w:p>
    <w:p>
      <w:pPr>
        <w:pStyle w:val="Heading5"/>
        <w:rPr>
          <w:snapToGrid w:val="0"/>
        </w:rPr>
      </w:pPr>
      <w:bookmarkStart w:id="42" w:name="_Toc22217885"/>
      <w:bookmarkStart w:id="43" w:name="_Toc19185594"/>
      <w:r>
        <w:rPr>
          <w:rStyle w:val="CharSectno"/>
        </w:rPr>
        <w:t>13</w:t>
      </w:r>
      <w:r>
        <w:rPr>
          <w:snapToGrid w:val="0"/>
        </w:rPr>
        <w:t>.</w:t>
      </w:r>
      <w:r>
        <w:rPr>
          <w:snapToGrid w:val="0"/>
        </w:rPr>
        <w:tab/>
        <w:t xml:space="preserve">Unconfirmed minutes, public inspection of </w:t>
      </w:r>
      <w:r>
        <w:t>(Act </w:t>
      </w:r>
      <w:r>
        <w:rPr>
          <w:snapToGrid w:val="0"/>
        </w:rPr>
        <w:t>s. </w:t>
      </w:r>
      <w:r>
        <w:rPr>
          <w:rStyle w:val="CharSectno"/>
        </w:rPr>
        <w:t>5</w:t>
      </w:r>
      <w:r>
        <w:rPr>
          <w:snapToGrid w:val="0"/>
        </w:rPr>
        <w:t>.25(1)(i))</w:t>
      </w:r>
      <w:bookmarkEnd w:id="42"/>
      <w:bookmarkEnd w:id="43"/>
    </w:p>
    <w:p>
      <w:pPr>
        <w:pStyle w:val="Subsection"/>
        <w:rPr>
          <w:snapToGrid w:val="0"/>
        </w:rPr>
      </w:pPr>
      <w:r>
        <w:rPr>
          <w:snapToGrid w:val="0"/>
        </w:rPr>
        <w:tab/>
      </w:r>
      <w:r>
        <w:rPr>
          <w:snapToGrid w:val="0"/>
        </w:rPr>
        <w:tab/>
        <w:t>A local government is to ensure that unconfirmed minutes of each council and committee meeting are available for inspection by members of the public —</w:t>
      </w:r>
    </w:p>
    <w:p>
      <w:pPr>
        <w:pStyle w:val="Indenta"/>
        <w:rPr>
          <w:snapToGrid w:val="0"/>
        </w:rPr>
      </w:pPr>
      <w:r>
        <w:rPr>
          <w:snapToGrid w:val="0"/>
        </w:rPr>
        <w:tab/>
        <w:t>(a)</w:t>
      </w:r>
      <w:r>
        <w:rPr>
          <w:snapToGrid w:val="0"/>
        </w:rPr>
        <w:tab/>
        <w:t>in the case of a council meeting, within 10 business days after the meeting; and</w:t>
      </w:r>
    </w:p>
    <w:p>
      <w:pPr>
        <w:pStyle w:val="Indenta"/>
        <w:rPr>
          <w:snapToGrid w:val="0"/>
        </w:rPr>
      </w:pPr>
      <w:r>
        <w:rPr>
          <w:snapToGrid w:val="0"/>
        </w:rPr>
        <w:tab/>
        <w:t>(b)</w:t>
      </w:r>
      <w:r>
        <w:rPr>
          <w:snapToGrid w:val="0"/>
        </w:rPr>
        <w:tab/>
        <w:t>in the case of a committee meeting, within 5 business days after the meeting.</w:t>
      </w:r>
    </w:p>
    <w:p>
      <w:pPr>
        <w:pStyle w:val="Heading5"/>
        <w:rPr>
          <w:snapToGrid w:val="0"/>
        </w:rPr>
      </w:pPr>
      <w:bookmarkStart w:id="44" w:name="_Toc22217886"/>
      <w:bookmarkStart w:id="45" w:name="_Toc19185595"/>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44"/>
      <w:bookmarkEnd w:id="45"/>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and which have been made available to members of the council or committee for the meeting are available for inspection by members of the public from the time the notice papers, agenda or documents were made available to the members of the council or committee.</w:t>
      </w:r>
    </w:p>
    <w:p>
      <w:pPr>
        <w:pStyle w:val="Subsection"/>
      </w:pPr>
      <w:r>
        <w:rPr>
          <w:snapToGrid w:val="0"/>
        </w:rPr>
        <w:tab/>
        <w:t>(2)</w:t>
      </w:r>
      <w:r>
        <w:rPr>
          <w:snapToGrid w:val="0"/>
        </w:rPr>
        <w:tab/>
        <w:t xml:space="preserve">Nothing in subregulation (1) entitles members of the public to inspect the information referred to in that subregulation if, in the CEO’s opinion, the meeting or that part of the meeting to which the information refers is likely to be closed to members of the public </w:t>
      </w:r>
      <w:r>
        <w:t>under section 5.23(2).</w:t>
      </w:r>
    </w:p>
    <w:p>
      <w:pPr>
        <w:pStyle w:val="Footnotesection"/>
      </w:pPr>
      <w:r>
        <w:tab/>
        <w:t>[Regulation 14 amended: Gazette 31 Mar 2005 p. 1030.]</w:t>
      </w:r>
    </w:p>
    <w:p>
      <w:pPr>
        <w:pStyle w:val="Heading5"/>
      </w:pPr>
      <w:bookmarkStart w:id="46" w:name="_Toc22217887"/>
      <w:bookmarkStart w:id="47" w:name="_Toc19185596"/>
      <w:r>
        <w:rPr>
          <w:rStyle w:val="CharSectno"/>
        </w:rPr>
        <w:t>14A</w:t>
      </w:r>
      <w:r>
        <w:t>.</w:t>
      </w:r>
      <w:r>
        <w:tab/>
        <w:t>Attendance by telephone etc. (Act s. 5.25(1)(ba))</w:t>
      </w:r>
      <w:bookmarkEnd w:id="46"/>
      <w:bookmarkEnd w:id="47"/>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 and</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A council cannot give approval under subregulation (1)(c) if to do so would mean that at more than half of the meetings of the council, or committee, as the case may be, in that financial year, a person (other than a person with a disability)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tab/>
      </w:r>
      <w:r>
        <w:rPr>
          <w:rStyle w:val="CharDefText"/>
        </w:rPr>
        <w:t>disability</w:t>
      </w:r>
      <w:r>
        <w:t xml:space="preserve"> has the meaning given in the </w:t>
      </w:r>
      <w:r>
        <w:rPr>
          <w:i/>
        </w:rPr>
        <w:t xml:space="preserve">Disability Services Act 1993 </w:t>
      </w:r>
      <w:r>
        <w:t>section 3;</w:t>
      </w:r>
    </w:p>
    <w:p>
      <w:pPr>
        <w:pStyle w:val="Defstart"/>
      </w:pPr>
      <w:r>
        <w:rPr>
          <w:b/>
        </w:rPr>
        <w:tab/>
      </w:r>
      <w:r>
        <w:rPr>
          <w:rStyle w:val="CharDefText"/>
        </w:rPr>
        <w:t>suitable place</w:t>
      </w:r>
      <w:r>
        <w:t xml:space="preserve"> — </w:t>
      </w:r>
    </w:p>
    <w:p>
      <w:pPr>
        <w:pStyle w:val="Defpara"/>
      </w:pPr>
      <w:r>
        <w:tab/>
        <w:t>(a)</w:t>
      </w:r>
      <w:r>
        <w:tab/>
        <w:t>in relation to a person with a disability — means a place that the council has approved* as a suitable place for the purpose of this paragraph; and</w:t>
      </w:r>
    </w:p>
    <w:p>
      <w:pPr>
        <w:pStyle w:val="Defpara"/>
      </w:pPr>
      <w:r>
        <w:tab/>
        <w:t>(b)</w:t>
      </w:r>
      <w:r>
        <w:tab/>
        <w:t xml:space="preserve">in relation to any other person — means a place that the council has approved* as a suitable place for the purpose of this paragraph and that is located — </w:t>
      </w:r>
    </w:p>
    <w:p>
      <w:pPr>
        <w:pStyle w:val="Defsubpara"/>
      </w:pPr>
      <w:r>
        <w:tab/>
        <w:t>(i)</w:t>
      </w:r>
      <w:r>
        <w:tab/>
        <w:t>in a townsite or other residential area; and</w:t>
      </w:r>
    </w:p>
    <w:p>
      <w:pPr>
        <w:pStyle w:val="Defsubpara"/>
      </w:pPr>
      <w:r>
        <w:tab/>
        <w:t>(ii)</w:t>
      </w:r>
      <w:r>
        <w:tab/>
        <w:t>150 km or further from the place at which the meeting is to be held under regulation 12, measured along the shortest road route ordinarily used for travelling;</w:t>
      </w:r>
    </w:p>
    <w:p>
      <w:pPr>
        <w:pStyle w:val="Defstart"/>
      </w:pPr>
      <w:r>
        <w:rPr>
          <w:b/>
        </w:rPr>
        <w:tab/>
      </w:r>
      <w:r>
        <w:rPr>
          <w:rStyle w:val="CharDefText"/>
        </w:rPr>
        <w:t>townsite</w:t>
      </w:r>
      <w:r>
        <w:t xml:space="preserve"> has the same meaning given to that term in the </w:t>
      </w:r>
      <w:r>
        <w:rPr>
          <w:i/>
        </w:rPr>
        <w:t>Land Administration Act 1997</w:t>
      </w:r>
      <w:r>
        <w:t xml:space="preserve"> section 3(1).</w:t>
      </w:r>
    </w:p>
    <w:p>
      <w:pPr>
        <w:pStyle w:val="MiscellaneousBody"/>
        <w:tabs>
          <w:tab w:val="left" w:pos="910"/>
        </w:tabs>
        <w:rPr>
          <w:rFonts w:ascii="Arial" w:hAnsi="Arial" w:cs="Arial"/>
          <w:sz w:val="18"/>
          <w:szCs w:val="18"/>
        </w:rPr>
      </w:pPr>
      <w:r>
        <w:rPr>
          <w:rFonts w:ascii="Arial" w:hAnsi="Arial" w:cs="Arial"/>
          <w:sz w:val="18"/>
          <w:szCs w:val="18"/>
        </w:rPr>
        <w:tab/>
        <w:t>* Absolute majority required.</w:t>
      </w:r>
    </w:p>
    <w:p>
      <w:pPr>
        <w:pStyle w:val="Footnotesection"/>
      </w:pPr>
      <w:r>
        <w:tab/>
        <w:t>[Regulation 14A inserted: Gazette 31 Mar 2005 p. 1031; amended: Gazette 4 Mar 2016 p. 649</w:t>
      </w:r>
      <w:r>
        <w:noBreakHyphen/>
        <w:t>50.]</w:t>
      </w:r>
    </w:p>
    <w:p>
      <w:pPr>
        <w:pStyle w:val="Heading5"/>
      </w:pPr>
      <w:bookmarkStart w:id="48" w:name="_Toc22217888"/>
      <w:bookmarkStart w:id="49" w:name="_Toc19185597"/>
      <w:r>
        <w:rPr>
          <w:rStyle w:val="CharSectno"/>
        </w:rPr>
        <w:t>14B</w:t>
      </w:r>
      <w:r>
        <w:t>.</w:t>
      </w:r>
      <w:r>
        <w:tab/>
        <w:t>Attendance by telephone etc. after natural disaster (Act s. 5.25(1)(ba))</w:t>
      </w:r>
      <w:bookmarkEnd w:id="48"/>
      <w:bookmarkEnd w:id="49"/>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 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keepNext/>
      </w:pPr>
      <w:r>
        <w:tab/>
        <w:t>(4)</w:t>
      </w:r>
      <w:r>
        <w:tab/>
        <w:t>In this regulation —</w:t>
      </w:r>
    </w:p>
    <w:p>
      <w:pPr>
        <w:pStyle w:val="Defstart"/>
        <w:keepNext/>
      </w:pPr>
      <w:r>
        <w:rPr>
          <w:b/>
        </w:rPr>
        <w:tab/>
      </w:r>
      <w:r>
        <w:rPr>
          <w:rStyle w:val="CharDefText"/>
        </w:rPr>
        <w:t>person referred to in this regulation</w:t>
      </w:r>
      <w:r>
        <w:rPr>
          <w:bCs/>
        </w:rPr>
        <w:t>,</w:t>
      </w:r>
      <w:r>
        <w:t xml:space="preserve"> in respect of a meeting, means a council member who is prevented from being physically present at that meeting.</w:t>
      </w:r>
    </w:p>
    <w:p>
      <w:pPr>
        <w:pStyle w:val="Footnotesection"/>
      </w:pPr>
      <w:r>
        <w:tab/>
        <w:t>[Regulation 14B inserted: Gazette 31 Mar 2005 p. 1031</w:t>
      </w:r>
      <w:r>
        <w:noBreakHyphen/>
        <w:t>2; amended: Gazette 19 Aug 2005 p. 3872.]</w:t>
      </w:r>
    </w:p>
    <w:p>
      <w:pPr>
        <w:pStyle w:val="Heading2"/>
      </w:pPr>
      <w:bookmarkStart w:id="50" w:name="_Toc19177890"/>
      <w:bookmarkStart w:id="51" w:name="_Toc19183855"/>
      <w:bookmarkStart w:id="52" w:name="_Toc19185598"/>
      <w:bookmarkStart w:id="53" w:name="_Toc22206950"/>
      <w:bookmarkStart w:id="54" w:name="_Toc22208827"/>
      <w:bookmarkStart w:id="55" w:name="_Toc22217810"/>
      <w:bookmarkStart w:id="56" w:name="_Toc22217889"/>
      <w:r>
        <w:rPr>
          <w:rStyle w:val="CharPartNo"/>
        </w:rPr>
        <w:t>Part 3</w:t>
      </w:r>
      <w:r>
        <w:rPr>
          <w:rStyle w:val="CharDivNo"/>
        </w:rPr>
        <w:t> </w:t>
      </w:r>
      <w:r>
        <w:t>—</w:t>
      </w:r>
      <w:r>
        <w:rPr>
          <w:rStyle w:val="CharDivText"/>
        </w:rPr>
        <w:t> </w:t>
      </w:r>
      <w:r>
        <w:rPr>
          <w:rStyle w:val="CharPartText"/>
        </w:rPr>
        <w:t>Electors’ meetings</w:t>
      </w:r>
      <w:bookmarkEnd w:id="50"/>
      <w:bookmarkEnd w:id="51"/>
      <w:bookmarkEnd w:id="52"/>
      <w:bookmarkEnd w:id="53"/>
      <w:bookmarkEnd w:id="54"/>
      <w:bookmarkEnd w:id="55"/>
      <w:bookmarkEnd w:id="56"/>
    </w:p>
    <w:p>
      <w:pPr>
        <w:pStyle w:val="Footnoteheading"/>
      </w:pPr>
      <w:r>
        <w:tab/>
        <w:t>[Heading inserted: Gazette 26 Aug 2011 p. 3482.]</w:t>
      </w:r>
    </w:p>
    <w:p>
      <w:pPr>
        <w:pStyle w:val="Heading5"/>
        <w:rPr>
          <w:snapToGrid w:val="0"/>
        </w:rPr>
      </w:pPr>
      <w:bookmarkStart w:id="57" w:name="_Toc22217890"/>
      <w:bookmarkStart w:id="58" w:name="_Toc19185599"/>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57"/>
      <w:bookmarkEnd w:id="58"/>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59" w:name="_Toc22217891"/>
      <w:bookmarkStart w:id="60" w:name="_Toc19185600"/>
      <w:r>
        <w:rPr>
          <w:rStyle w:val="CharSectno"/>
        </w:rPr>
        <w:t>16</w:t>
      </w:r>
      <w:r>
        <w:rPr>
          <w:snapToGrid w:val="0"/>
        </w:rPr>
        <w:t>.</w:t>
      </w:r>
      <w:r>
        <w:rPr>
          <w:snapToGrid w:val="0"/>
        </w:rPr>
        <w:tab/>
        <w:t>Request for special meeting, form of (Act s. 5.28(2))</w:t>
      </w:r>
      <w:bookmarkEnd w:id="59"/>
      <w:bookmarkEnd w:id="60"/>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61" w:name="_Toc22217892"/>
      <w:bookmarkStart w:id="62" w:name="_Toc19185601"/>
      <w:r>
        <w:rPr>
          <w:rStyle w:val="CharSectno"/>
        </w:rPr>
        <w:t>17</w:t>
      </w:r>
      <w:r>
        <w:rPr>
          <w:snapToGrid w:val="0"/>
        </w:rPr>
        <w:t>.</w:t>
      </w:r>
      <w:r>
        <w:rPr>
          <w:snapToGrid w:val="0"/>
        </w:rPr>
        <w:tab/>
        <w:t>Voting at meeting </w:t>
      </w:r>
      <w:r>
        <w:t>(Act </w:t>
      </w:r>
      <w:r>
        <w:rPr>
          <w:snapToGrid w:val="0"/>
        </w:rPr>
        <w:t>s. 5.31)</w:t>
      </w:r>
      <w:bookmarkEnd w:id="61"/>
      <w:bookmarkEnd w:id="62"/>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63" w:name="_Toc22217893"/>
      <w:bookmarkStart w:id="64" w:name="_Toc19185602"/>
      <w:r>
        <w:rPr>
          <w:rStyle w:val="CharSectno"/>
        </w:rPr>
        <w:t>18</w:t>
      </w:r>
      <w:r>
        <w:rPr>
          <w:snapToGrid w:val="0"/>
        </w:rPr>
        <w:t>.</w:t>
      </w:r>
      <w:r>
        <w:rPr>
          <w:snapToGrid w:val="0"/>
        </w:rPr>
        <w:tab/>
        <w:t>Procedure at meeting </w:t>
      </w:r>
      <w:r>
        <w:t>(Act </w:t>
      </w:r>
      <w:r>
        <w:rPr>
          <w:snapToGrid w:val="0"/>
        </w:rPr>
        <w:t>s. 5.31)</w:t>
      </w:r>
      <w:bookmarkEnd w:id="63"/>
      <w:bookmarkEnd w:id="64"/>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65" w:name="_Toc19177895"/>
      <w:bookmarkStart w:id="66" w:name="_Toc19183860"/>
      <w:bookmarkStart w:id="67" w:name="_Toc19185603"/>
      <w:bookmarkStart w:id="68" w:name="_Toc22206955"/>
      <w:bookmarkStart w:id="69" w:name="_Toc22208832"/>
      <w:bookmarkStart w:id="70" w:name="_Toc22217815"/>
      <w:bookmarkStart w:id="71" w:name="_Toc22217894"/>
      <w:r>
        <w:rPr>
          <w:rStyle w:val="CharPartNo"/>
        </w:rPr>
        <w:t>Part 4</w:t>
      </w:r>
      <w:r>
        <w:rPr>
          <w:rStyle w:val="CharDivNo"/>
        </w:rPr>
        <w:t> </w:t>
      </w:r>
      <w:r>
        <w:t>—</w:t>
      </w:r>
      <w:r>
        <w:rPr>
          <w:rStyle w:val="CharDivText"/>
        </w:rPr>
        <w:t> </w:t>
      </w:r>
      <w:r>
        <w:rPr>
          <w:rStyle w:val="CharPartText"/>
        </w:rPr>
        <w:t>Local government employees</w:t>
      </w:r>
      <w:bookmarkEnd w:id="65"/>
      <w:bookmarkEnd w:id="66"/>
      <w:bookmarkEnd w:id="67"/>
      <w:bookmarkEnd w:id="68"/>
      <w:bookmarkEnd w:id="69"/>
      <w:bookmarkEnd w:id="70"/>
      <w:bookmarkEnd w:id="71"/>
    </w:p>
    <w:p>
      <w:pPr>
        <w:pStyle w:val="Footnoteheading"/>
      </w:pPr>
      <w:r>
        <w:tab/>
        <w:t>[Heading inserted: Gazette 26 Aug 2011 p. 3482.]</w:t>
      </w:r>
    </w:p>
    <w:p>
      <w:pPr>
        <w:pStyle w:val="Heading5"/>
      </w:pPr>
      <w:bookmarkStart w:id="72" w:name="_Toc22217895"/>
      <w:bookmarkStart w:id="73" w:name="_Toc19185604"/>
      <w:r>
        <w:rPr>
          <w:rStyle w:val="CharSectno"/>
        </w:rPr>
        <w:t>18A</w:t>
      </w:r>
      <w:r>
        <w:t>.</w:t>
      </w:r>
      <w:r>
        <w:tab/>
        <w:t>Vacancy in position of CEO or senior employee to be advertised (Act s. 5.36(4) and 5.37(3))</w:t>
      </w:r>
      <w:bookmarkEnd w:id="72"/>
      <w:bookmarkEnd w:id="73"/>
    </w:p>
    <w:p>
      <w:pPr>
        <w:pStyle w:val="Subsection"/>
      </w:pPr>
      <w:r>
        <w:tab/>
        <w:t>(1)</w:t>
      </w:r>
      <w:r>
        <w:tab/>
        <w:t>If a position of CEO, or of a senior employee, of a local government becomes vacant, the local government is to advertise the position in a newspaper circulating generally throughout the State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An advertisement referred to in subregulation (1) is to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Gazette 31 Mar 2005 p. 1037-8; amended: Gazette 19 Aug 2005 p. 3872; 3 May 2011 p. 1594.]</w:t>
      </w:r>
    </w:p>
    <w:p>
      <w:pPr>
        <w:pStyle w:val="Heading5"/>
      </w:pPr>
      <w:bookmarkStart w:id="74" w:name="_Toc22217896"/>
      <w:bookmarkStart w:id="75" w:name="_Toc19185605"/>
      <w:r>
        <w:rPr>
          <w:rStyle w:val="CharSectno"/>
        </w:rPr>
        <w:t>18B</w:t>
      </w:r>
      <w:r>
        <w:t>.</w:t>
      </w:r>
      <w:r>
        <w:tab/>
        <w:t>Contracts of CEOs and senior employees, content of (Act s. 5.39(3)(c))</w:t>
      </w:r>
      <w:bookmarkEnd w:id="74"/>
      <w:bookmarkEnd w:id="75"/>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Gazette 13 May 2005 p. 2086.]</w:t>
      </w:r>
    </w:p>
    <w:p>
      <w:pPr>
        <w:pStyle w:val="Heading5"/>
      </w:pPr>
      <w:bookmarkStart w:id="76" w:name="_Toc22217897"/>
      <w:bookmarkStart w:id="77" w:name="_Toc19185606"/>
      <w:r>
        <w:rPr>
          <w:rStyle w:val="CharSectno"/>
        </w:rPr>
        <w:t>18C</w:t>
      </w:r>
      <w:r>
        <w:t>.</w:t>
      </w:r>
      <w:r>
        <w:tab/>
        <w:t>Selection and appointment process for CEOs</w:t>
      </w:r>
      <w:bookmarkEnd w:id="76"/>
      <w:bookmarkEnd w:id="77"/>
    </w:p>
    <w:p>
      <w:pPr>
        <w:pStyle w:val="Subsection"/>
      </w:pPr>
      <w:r>
        <w:tab/>
      </w:r>
      <w:r>
        <w:tab/>
        <w:t>The local government is to approve a process to be used for the selection and appointment of a CEO for the local government before the position of CEO of the local government is advertised.</w:t>
      </w:r>
    </w:p>
    <w:p>
      <w:pPr>
        <w:pStyle w:val="Footnotesection"/>
        <w:spacing w:before="100"/>
        <w:ind w:left="890" w:hanging="890"/>
      </w:pPr>
      <w:r>
        <w:tab/>
        <w:t>[Regulation 18C inserted: Gazette 31 Mar 2005 p. 1038.]</w:t>
      </w:r>
    </w:p>
    <w:p>
      <w:pPr>
        <w:pStyle w:val="Heading5"/>
      </w:pPr>
      <w:bookmarkStart w:id="78" w:name="_Toc22217898"/>
      <w:bookmarkStart w:id="79" w:name="_Toc19185607"/>
      <w:r>
        <w:rPr>
          <w:rStyle w:val="CharSectno"/>
        </w:rPr>
        <w:t>18D</w:t>
      </w:r>
      <w:r>
        <w:t>.</w:t>
      </w:r>
      <w:r>
        <w:tab/>
        <w:t>Performance review of CEO, local government’s duties as to</w:t>
      </w:r>
      <w:bookmarkEnd w:id="78"/>
      <w:bookmarkEnd w:id="79"/>
    </w:p>
    <w:p>
      <w:pPr>
        <w:pStyle w:val="Subsection"/>
      </w:pPr>
      <w:r>
        <w:tab/>
      </w:r>
      <w:r>
        <w:tab/>
        <w:t>A local government is to consider each review on the performance of the CEO carried out under section 5.38 and is to accept the review, with or without modification, or to reject the review.</w:t>
      </w:r>
    </w:p>
    <w:p>
      <w:pPr>
        <w:pStyle w:val="Footnotesection"/>
        <w:spacing w:before="100"/>
        <w:ind w:left="890" w:hanging="890"/>
      </w:pPr>
      <w:r>
        <w:tab/>
        <w:t>[Regulation 18D inserted: Gazette 31 Mar 2005 p. 1038.]</w:t>
      </w:r>
    </w:p>
    <w:p>
      <w:pPr>
        <w:pStyle w:val="Heading5"/>
      </w:pPr>
      <w:bookmarkStart w:id="80" w:name="_Toc22217899"/>
      <w:bookmarkStart w:id="81" w:name="_Toc19185608"/>
      <w:r>
        <w:rPr>
          <w:rStyle w:val="CharSectno"/>
        </w:rPr>
        <w:t>18E</w:t>
      </w:r>
      <w:r>
        <w:t>.</w:t>
      </w:r>
      <w:r>
        <w:tab/>
        <w:t>False information in application for CEO position, offence</w:t>
      </w:r>
      <w:bookmarkEnd w:id="80"/>
      <w:bookmarkEnd w:id="81"/>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 Gazette 31 Mar 2005 p. 1038-9; amended: Gazette 19 Aug 2005 p. 3872; 4 Mar 2016 p. 650.]</w:t>
      </w:r>
    </w:p>
    <w:p>
      <w:pPr>
        <w:pStyle w:val="Heading5"/>
      </w:pPr>
      <w:bookmarkStart w:id="82" w:name="_Toc22217900"/>
      <w:bookmarkStart w:id="83" w:name="_Toc19185609"/>
      <w:r>
        <w:rPr>
          <w:rStyle w:val="CharSectno"/>
        </w:rPr>
        <w:t>18F</w:t>
      </w:r>
      <w:r>
        <w:t>.</w:t>
      </w:r>
      <w:r>
        <w:tab/>
        <w:t>Remuneration and benefits of CEO to be as advertised</w:t>
      </w:r>
      <w:bookmarkEnd w:id="82"/>
      <w:bookmarkEnd w:id="83"/>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Gazette 31 Mar 2005 p. 1039.]</w:t>
      </w:r>
    </w:p>
    <w:p>
      <w:pPr>
        <w:pStyle w:val="Heading5"/>
      </w:pPr>
      <w:bookmarkStart w:id="84" w:name="_Toc22217901"/>
      <w:bookmarkStart w:id="85" w:name="_Toc19185610"/>
      <w:r>
        <w:rPr>
          <w:rStyle w:val="CharSectno"/>
        </w:rPr>
        <w:t>18G</w:t>
      </w:r>
      <w:r>
        <w:t>.</w:t>
      </w:r>
      <w:r>
        <w:tab/>
        <w:t>Delegations to CEOs, limits on (Act s. 5.43)</w:t>
      </w:r>
      <w:bookmarkEnd w:id="84"/>
      <w:bookmarkEnd w:id="85"/>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Gazette 31 Mar 2005 p. 1039.]</w:t>
      </w:r>
    </w:p>
    <w:p>
      <w:pPr>
        <w:pStyle w:val="Heading5"/>
        <w:rPr>
          <w:snapToGrid w:val="0"/>
        </w:rPr>
      </w:pPr>
      <w:bookmarkStart w:id="86" w:name="_Toc22217902"/>
      <w:bookmarkStart w:id="87" w:name="_Toc19185611"/>
      <w:r>
        <w:rPr>
          <w:rStyle w:val="CharSectno"/>
        </w:rPr>
        <w:t>19</w:t>
      </w:r>
      <w:r>
        <w:rPr>
          <w:snapToGrid w:val="0"/>
        </w:rPr>
        <w:t>.</w:t>
      </w:r>
      <w:r>
        <w:rPr>
          <w:snapToGrid w:val="0"/>
        </w:rPr>
        <w:tab/>
        <w:t xml:space="preserve">Delegates to keep certain records </w:t>
      </w:r>
      <w:r>
        <w:t>(Act </w:t>
      </w:r>
      <w:r>
        <w:rPr>
          <w:snapToGrid w:val="0"/>
        </w:rPr>
        <w:t>s. 5.46(3))</w:t>
      </w:r>
      <w:bookmarkEnd w:id="86"/>
      <w:bookmarkEnd w:id="87"/>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88" w:name="_Toc22217903"/>
      <w:bookmarkStart w:id="89" w:name="_Toc19185612"/>
      <w:r>
        <w:rPr>
          <w:rStyle w:val="CharSectno"/>
        </w:rPr>
        <w:t>19A</w:t>
      </w:r>
      <w:r>
        <w:t>.</w:t>
      </w:r>
      <w:r>
        <w:tab/>
        <w:t>Payments in addition to contract or award, limits of (Act s. 5.50(3))</w:t>
      </w:r>
      <w:bookmarkEnd w:id="88"/>
      <w:bookmarkEnd w:id="89"/>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pPr>
      <w:r>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Gazette 31 Mar 2005 p. 1032; amended: Gazette 13 Jul 2012 p. 3218.]</w:t>
      </w:r>
    </w:p>
    <w:p>
      <w:pPr>
        <w:pStyle w:val="Heading2"/>
      </w:pPr>
      <w:bookmarkStart w:id="90" w:name="_Toc19177905"/>
      <w:bookmarkStart w:id="91" w:name="_Toc19183870"/>
      <w:bookmarkStart w:id="92" w:name="_Toc19185613"/>
      <w:bookmarkStart w:id="93" w:name="_Toc22206965"/>
      <w:bookmarkStart w:id="94" w:name="_Toc22208842"/>
      <w:bookmarkStart w:id="95" w:name="_Toc22217825"/>
      <w:bookmarkStart w:id="96" w:name="_Toc22217904"/>
      <w:r>
        <w:rPr>
          <w:rStyle w:val="CharPartNo"/>
        </w:rPr>
        <w:t>Part 5</w:t>
      </w:r>
      <w:r>
        <w:t> — </w:t>
      </w:r>
      <w:r>
        <w:rPr>
          <w:rStyle w:val="CharPartText"/>
        </w:rPr>
        <w:t>Annual reports and planning</w:t>
      </w:r>
      <w:bookmarkEnd w:id="90"/>
      <w:bookmarkEnd w:id="91"/>
      <w:bookmarkEnd w:id="92"/>
      <w:bookmarkEnd w:id="93"/>
      <w:bookmarkEnd w:id="94"/>
      <w:bookmarkEnd w:id="95"/>
      <w:bookmarkEnd w:id="96"/>
    </w:p>
    <w:p>
      <w:pPr>
        <w:pStyle w:val="Footnoteheading"/>
      </w:pPr>
      <w:r>
        <w:tab/>
        <w:t>[Heading inserted: Gazette 26 Aug 2011 p. 3482.]</w:t>
      </w:r>
    </w:p>
    <w:p>
      <w:pPr>
        <w:pStyle w:val="Heading3"/>
      </w:pPr>
      <w:bookmarkStart w:id="97" w:name="_Toc19177906"/>
      <w:bookmarkStart w:id="98" w:name="_Toc19183871"/>
      <w:bookmarkStart w:id="99" w:name="_Toc19185614"/>
      <w:bookmarkStart w:id="100" w:name="_Toc22206966"/>
      <w:bookmarkStart w:id="101" w:name="_Toc22208843"/>
      <w:bookmarkStart w:id="102" w:name="_Toc22217826"/>
      <w:bookmarkStart w:id="103" w:name="_Toc22217905"/>
      <w:r>
        <w:rPr>
          <w:rStyle w:val="CharDivNo"/>
        </w:rPr>
        <w:t>Division 1</w:t>
      </w:r>
      <w:r>
        <w:t> — </w:t>
      </w:r>
      <w:r>
        <w:rPr>
          <w:rStyle w:val="CharDivText"/>
        </w:rPr>
        <w:t>Preliminary</w:t>
      </w:r>
      <w:bookmarkEnd w:id="97"/>
      <w:bookmarkEnd w:id="98"/>
      <w:bookmarkEnd w:id="99"/>
      <w:bookmarkEnd w:id="100"/>
      <w:bookmarkEnd w:id="101"/>
      <w:bookmarkEnd w:id="102"/>
      <w:bookmarkEnd w:id="103"/>
    </w:p>
    <w:p>
      <w:pPr>
        <w:pStyle w:val="Footnoteheading"/>
      </w:pPr>
      <w:r>
        <w:tab/>
        <w:t>[Heading inserted: Gazette 26 Aug 2011 p. 3482.]</w:t>
      </w:r>
    </w:p>
    <w:p>
      <w:pPr>
        <w:pStyle w:val="Heading5"/>
      </w:pPr>
      <w:bookmarkStart w:id="104" w:name="_Toc22217906"/>
      <w:bookmarkStart w:id="105" w:name="_Toc19185615"/>
      <w:r>
        <w:rPr>
          <w:rStyle w:val="CharSectno"/>
        </w:rPr>
        <w:t>19BA</w:t>
      </w:r>
      <w:r>
        <w:t>.</w:t>
      </w:r>
      <w:r>
        <w:tab/>
        <w:t>Terms used</w:t>
      </w:r>
      <w:bookmarkEnd w:id="104"/>
      <w:bookmarkEnd w:id="105"/>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Gazette 26 Aug 2011 p. 3482-3.]</w:t>
      </w:r>
    </w:p>
    <w:p>
      <w:pPr>
        <w:pStyle w:val="Heading3"/>
      </w:pPr>
      <w:bookmarkStart w:id="106" w:name="_Toc19177908"/>
      <w:bookmarkStart w:id="107" w:name="_Toc19183873"/>
      <w:bookmarkStart w:id="108" w:name="_Toc19185616"/>
      <w:bookmarkStart w:id="109" w:name="_Toc22206968"/>
      <w:bookmarkStart w:id="110" w:name="_Toc22208845"/>
      <w:bookmarkStart w:id="111" w:name="_Toc22217828"/>
      <w:bookmarkStart w:id="112" w:name="_Toc22217907"/>
      <w:r>
        <w:rPr>
          <w:rStyle w:val="CharDivNo"/>
        </w:rPr>
        <w:t>Division 2</w:t>
      </w:r>
      <w:r>
        <w:t> — </w:t>
      </w:r>
      <w:r>
        <w:rPr>
          <w:rStyle w:val="CharDivText"/>
        </w:rPr>
        <w:t>Annual reports</w:t>
      </w:r>
      <w:bookmarkEnd w:id="106"/>
      <w:bookmarkEnd w:id="107"/>
      <w:bookmarkEnd w:id="108"/>
      <w:bookmarkEnd w:id="109"/>
      <w:bookmarkEnd w:id="110"/>
      <w:bookmarkEnd w:id="111"/>
      <w:bookmarkEnd w:id="112"/>
    </w:p>
    <w:p>
      <w:pPr>
        <w:pStyle w:val="Footnoteheading"/>
      </w:pPr>
      <w:r>
        <w:tab/>
        <w:t>[Heading inserted: Gazette 26 Aug 2011 p. 3483.]</w:t>
      </w:r>
    </w:p>
    <w:p>
      <w:pPr>
        <w:pStyle w:val="Heading5"/>
      </w:pPr>
      <w:bookmarkStart w:id="113" w:name="_Toc22217908"/>
      <w:bookmarkStart w:id="114" w:name="_Toc19185617"/>
      <w:r>
        <w:rPr>
          <w:rStyle w:val="CharSectno"/>
        </w:rPr>
        <w:t>19B</w:t>
      </w:r>
      <w:r>
        <w:t>.</w:t>
      </w:r>
      <w:r>
        <w:tab/>
        <w:t>Information about numbers of certain employees to be included (Act s. 5.53(2)(g))</w:t>
      </w:r>
      <w:bookmarkEnd w:id="113"/>
      <w:bookmarkEnd w:id="114"/>
    </w:p>
    <w:p>
      <w:pPr>
        <w:pStyle w:val="Subsection"/>
      </w:pPr>
      <w:r>
        <w:tab/>
      </w:r>
      <w:r>
        <w:tab/>
        <w:t>For the purposes of section 5.53(2)(g) the annual report of a local government for a financial year is to contain the following information —</w:t>
      </w:r>
    </w:p>
    <w:p>
      <w:pPr>
        <w:pStyle w:val="Indenta"/>
      </w:pPr>
      <w:r>
        <w:tab/>
        <w:t>(a)</w:t>
      </w:r>
      <w:r>
        <w:tab/>
        <w:t>the number of employees of the local government entitled to an annual salary of $100 000 or more;</w:t>
      </w:r>
    </w:p>
    <w:p>
      <w:pPr>
        <w:pStyle w:val="Indenta"/>
      </w:pPr>
      <w:r>
        <w:tab/>
        <w:t>(b)</w:t>
      </w:r>
      <w:r>
        <w:tab/>
        <w:t>the number of those employees with an annual salary entitlement that falls within each band of $10 000 over $100 000.</w:t>
      </w:r>
    </w:p>
    <w:p>
      <w:pPr>
        <w:pStyle w:val="Footnotesection"/>
      </w:pPr>
      <w:r>
        <w:tab/>
        <w:t>[Regulation 19B inserted: Gazette 31 Mar 2005 p. 1032.]</w:t>
      </w:r>
    </w:p>
    <w:p>
      <w:pPr>
        <w:pStyle w:val="Heading5"/>
      </w:pPr>
      <w:bookmarkStart w:id="115" w:name="_Toc22217909"/>
      <w:bookmarkStart w:id="116" w:name="_Toc19185618"/>
      <w:r>
        <w:rPr>
          <w:rStyle w:val="CharSectno"/>
        </w:rPr>
        <w:t>19CA</w:t>
      </w:r>
      <w:r>
        <w:t>.</w:t>
      </w:r>
      <w:r>
        <w:tab/>
        <w:t>Information about modifications to certain plans to be included (Act s. 5.53(2)(i))</w:t>
      </w:r>
      <w:bookmarkEnd w:id="115"/>
      <w:bookmarkEnd w:id="116"/>
    </w:p>
    <w:p>
      <w:pPr>
        <w:pStyle w:val="Subsection"/>
      </w:pPr>
      <w:r>
        <w:tab/>
        <w:t>(1)</w:t>
      </w:r>
      <w:r>
        <w:tab/>
        <w:t>This regulation has effect for the purposes of section 5.53(2)(i).</w:t>
      </w:r>
    </w:p>
    <w:p>
      <w:pPr>
        <w:pStyle w:val="Subsection"/>
      </w:pPr>
      <w:r>
        <w:tab/>
        <w:t>(2)</w:t>
      </w:r>
      <w:r>
        <w:tab/>
        <w:t>If a modification is made during a financial year to a local government’s strategic community plan, the annual report of the local government for the financial year is to contain information about that modification.</w:t>
      </w:r>
    </w:p>
    <w:p>
      <w:pPr>
        <w:pStyle w:val="Subsection"/>
      </w:pPr>
      <w:r>
        <w:tab/>
        <w:t>(3)</w:t>
      </w:r>
      <w:r>
        <w:tab/>
        <w:t>If a significant modification is made during a financial year to a local government’s corporate business plan, the annual report of the local government for the financial year is to contain information about that significant modification.</w:t>
      </w:r>
    </w:p>
    <w:p>
      <w:pPr>
        <w:pStyle w:val="Footnotesection"/>
        <w:spacing w:before="100"/>
        <w:ind w:left="890" w:hanging="890"/>
      </w:pPr>
      <w:r>
        <w:tab/>
        <w:t>[Regulation 19CA inserted: Gazette 26 Aug 2011 p. 3483.]</w:t>
      </w:r>
    </w:p>
    <w:p>
      <w:pPr>
        <w:pStyle w:val="Heading3"/>
      </w:pPr>
      <w:bookmarkStart w:id="117" w:name="_Toc19177911"/>
      <w:bookmarkStart w:id="118" w:name="_Toc19183876"/>
      <w:bookmarkStart w:id="119" w:name="_Toc19185619"/>
      <w:bookmarkStart w:id="120" w:name="_Toc22206971"/>
      <w:bookmarkStart w:id="121" w:name="_Toc22208848"/>
      <w:bookmarkStart w:id="122" w:name="_Toc22217831"/>
      <w:bookmarkStart w:id="123" w:name="_Toc22217910"/>
      <w:r>
        <w:rPr>
          <w:rStyle w:val="CharDivNo"/>
        </w:rPr>
        <w:t>Division 3</w:t>
      </w:r>
      <w:r>
        <w:t> — </w:t>
      </w:r>
      <w:r>
        <w:rPr>
          <w:rStyle w:val="CharDivText"/>
        </w:rPr>
        <w:t>Planning for the future</w:t>
      </w:r>
      <w:bookmarkEnd w:id="117"/>
      <w:bookmarkEnd w:id="118"/>
      <w:bookmarkEnd w:id="119"/>
      <w:bookmarkEnd w:id="120"/>
      <w:bookmarkEnd w:id="121"/>
      <w:bookmarkEnd w:id="122"/>
      <w:bookmarkEnd w:id="123"/>
    </w:p>
    <w:p>
      <w:pPr>
        <w:pStyle w:val="Footnoteheading"/>
        <w:spacing w:before="100"/>
      </w:pPr>
      <w:r>
        <w:tab/>
        <w:t>[Heading inserted: Gazette 26 Aug 2011 p. 3483.]</w:t>
      </w:r>
    </w:p>
    <w:p>
      <w:pPr>
        <w:pStyle w:val="Heading5"/>
      </w:pPr>
      <w:bookmarkStart w:id="124" w:name="_Toc22217911"/>
      <w:bookmarkStart w:id="125" w:name="_Toc19185620"/>
      <w:r>
        <w:rPr>
          <w:rStyle w:val="CharSectno"/>
        </w:rPr>
        <w:t>19C</w:t>
      </w:r>
      <w:r>
        <w:t>.</w:t>
      </w:r>
      <w:r>
        <w:tab/>
        <w:t>Strategic community plans, requirements for (Act s. 5.56)</w:t>
      </w:r>
      <w:bookmarkEnd w:id="124"/>
      <w:bookmarkEnd w:id="125"/>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Gazette 26 Aug 2011 p. 3483-4.]</w:t>
      </w:r>
    </w:p>
    <w:p>
      <w:pPr>
        <w:pStyle w:val="Heading5"/>
      </w:pPr>
      <w:bookmarkStart w:id="126" w:name="_Toc22217912"/>
      <w:bookmarkStart w:id="127" w:name="_Toc19185621"/>
      <w:r>
        <w:rPr>
          <w:rStyle w:val="CharSectno"/>
        </w:rPr>
        <w:t>19DA</w:t>
      </w:r>
      <w:r>
        <w:t>.</w:t>
      </w:r>
      <w:r>
        <w:tab/>
        <w:t>Corporate business plans, requirements for (Act s. 5.56)</w:t>
      </w:r>
      <w:bookmarkEnd w:id="126"/>
      <w:bookmarkEnd w:id="127"/>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Gazette 26 Aug 2011 p. 3484-5.]</w:t>
      </w:r>
    </w:p>
    <w:p>
      <w:pPr>
        <w:pStyle w:val="Heading5"/>
      </w:pPr>
      <w:bookmarkStart w:id="128" w:name="_Toc22217913"/>
      <w:bookmarkStart w:id="129" w:name="_Toc19185622"/>
      <w:r>
        <w:rPr>
          <w:rStyle w:val="CharSectno"/>
        </w:rPr>
        <w:t>19DB</w:t>
      </w:r>
      <w:r>
        <w:t>.</w:t>
      </w:r>
      <w:r>
        <w:tab/>
        <w:t>Transitional provisions for plans for the future until 30 June 2013</w:t>
      </w:r>
      <w:bookmarkEnd w:id="128"/>
      <w:bookmarkEnd w:id="129"/>
    </w:p>
    <w:p>
      <w:pPr>
        <w:pStyle w:val="Subsection"/>
      </w:pPr>
      <w:r>
        <w:tab/>
        <w:t>(1)</w:t>
      </w:r>
      <w:r>
        <w:tab/>
        <w:t>In this regulation —</w:t>
      </w:r>
    </w:p>
    <w:p>
      <w:pPr>
        <w:pStyle w:val="Defstar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pPr>
      <w:r>
        <w:tab/>
        <w:t>(7)</w:t>
      </w:r>
      <w:r>
        <w:tab/>
        <w:t>This regulation expires at the end of 30 June 2013.</w:t>
      </w:r>
    </w:p>
    <w:p>
      <w:pPr>
        <w:pStyle w:val="Footnotesection"/>
      </w:pPr>
      <w:r>
        <w:tab/>
        <w:t>[Regulation 19DB inserted: Gazette 26 Aug 2011 p. 3485-6.]</w:t>
      </w:r>
    </w:p>
    <w:p>
      <w:pPr>
        <w:pStyle w:val="Heading5"/>
      </w:pPr>
      <w:bookmarkStart w:id="130" w:name="_Toc22217914"/>
      <w:bookmarkStart w:id="131" w:name="_Toc19185623"/>
      <w:r>
        <w:rPr>
          <w:rStyle w:val="CharSectno"/>
        </w:rPr>
        <w:t>19D</w:t>
      </w:r>
      <w:r>
        <w:t>.</w:t>
      </w:r>
      <w:r>
        <w:tab/>
        <w:t>Adoption of plan, public notice of to be given</w:t>
      </w:r>
      <w:bookmarkEnd w:id="130"/>
      <w:bookmarkEnd w:id="131"/>
    </w:p>
    <w:p>
      <w:pPr>
        <w:pStyle w:val="Subsection"/>
      </w:pPr>
      <w:r>
        <w:tab/>
        <w:t>(1)</w:t>
      </w:r>
      <w:r>
        <w:tab/>
        <w:t>After the adoption of a strategic community plan, or modifications of a strategic community plan, under regulation 19C, the local government is to give local public notice in accordance with subregulation (2).</w:t>
      </w:r>
    </w:p>
    <w:p>
      <w:pPr>
        <w:pStyle w:val="Subsection"/>
      </w:pPr>
      <w:r>
        <w:tab/>
        <w:t>(2)</w:t>
      </w:r>
      <w:r>
        <w:tab/>
        <w:t>The local public notice is to contain —</w:t>
      </w:r>
    </w:p>
    <w:p>
      <w:pPr>
        <w:pStyle w:val="Indenta"/>
      </w:pPr>
      <w:r>
        <w:tab/>
        <w:t>(a)</w:t>
      </w:r>
      <w:r>
        <w:tab/>
        <w:t>notification that —</w:t>
      </w:r>
    </w:p>
    <w:p>
      <w:pPr>
        <w:pStyle w:val="Indenti"/>
      </w:pPr>
      <w:r>
        <w:tab/>
        <w:t>(i)</w:t>
      </w:r>
      <w:r>
        <w:tab/>
        <w:t>a strategic community plan for the district has been adopted by the council and is to apply to the district for the period specified in the plan; and</w:t>
      </w:r>
    </w:p>
    <w:p>
      <w:pPr>
        <w:pStyle w:val="Indenti"/>
      </w:pPr>
      <w:r>
        <w:tab/>
        <w:t>(ii)</w:t>
      </w:r>
      <w:r>
        <w:tab/>
        <w:t>details of where and when the plan may be inspected;</w:t>
      </w:r>
    </w:p>
    <w:p>
      <w:pPr>
        <w:pStyle w:val="Indenta"/>
      </w:pPr>
      <w:r>
        <w:tab/>
      </w:r>
      <w:r>
        <w:tab/>
        <w:t>or</w:t>
      </w:r>
    </w:p>
    <w:p>
      <w:pPr>
        <w:pStyle w:val="Indenta"/>
      </w:pPr>
      <w:r>
        <w:tab/>
        <w:t>(b)</w:t>
      </w:r>
      <w:r>
        <w:tab/>
        <w:t>where a strategic community plan for the district has been modified —</w:t>
      </w:r>
    </w:p>
    <w:p>
      <w:pPr>
        <w:pStyle w:val="Indenti"/>
      </w:pPr>
      <w:r>
        <w:tab/>
        <w:t>(i)</w:t>
      </w:r>
      <w:r>
        <w:tab/>
        <w:t>notification that the modifications to the plan have been adopted by the council and the plan as modified is to apply to the district for the period specified in the plan; and</w:t>
      </w:r>
    </w:p>
    <w:p>
      <w:pPr>
        <w:pStyle w:val="Indenti"/>
        <w:keepNext/>
        <w:keepLines/>
      </w:pPr>
      <w:r>
        <w:tab/>
        <w:t>(ii)</w:t>
      </w:r>
      <w:r>
        <w:tab/>
        <w:t>details of where and when the modified plan may be inspected.</w:t>
      </w:r>
    </w:p>
    <w:p>
      <w:pPr>
        <w:pStyle w:val="Footnotesection"/>
      </w:pPr>
      <w:r>
        <w:tab/>
        <w:t>[Regulation 19D inserted: Gazette 31 Mar 2005 p. 1033</w:t>
      </w:r>
      <w:r>
        <w:noBreakHyphen/>
        <w:t>4; amended: Gazette 26 Aug 2011 p. 3486.]</w:t>
      </w:r>
    </w:p>
    <w:p>
      <w:pPr>
        <w:pStyle w:val="Heading2"/>
      </w:pPr>
      <w:bookmarkStart w:id="132" w:name="_Toc19177916"/>
      <w:bookmarkStart w:id="133" w:name="_Toc19183881"/>
      <w:bookmarkStart w:id="134" w:name="_Toc19185624"/>
      <w:bookmarkStart w:id="135" w:name="_Toc22206976"/>
      <w:bookmarkStart w:id="136" w:name="_Toc22208853"/>
      <w:bookmarkStart w:id="137" w:name="_Toc22217836"/>
      <w:bookmarkStart w:id="138" w:name="_Toc22217915"/>
      <w:r>
        <w:rPr>
          <w:rStyle w:val="CharPartNo"/>
        </w:rPr>
        <w:t>Part 6</w:t>
      </w:r>
      <w:r>
        <w:rPr>
          <w:rStyle w:val="CharDivNo"/>
        </w:rPr>
        <w:t> </w:t>
      </w:r>
      <w:r>
        <w:t>—</w:t>
      </w:r>
      <w:r>
        <w:rPr>
          <w:rStyle w:val="CharDivText"/>
        </w:rPr>
        <w:t> </w:t>
      </w:r>
      <w:r>
        <w:rPr>
          <w:rStyle w:val="CharPartText"/>
        </w:rPr>
        <w:t>Disclosure of financial interests</w:t>
      </w:r>
      <w:bookmarkEnd w:id="132"/>
      <w:bookmarkEnd w:id="133"/>
      <w:bookmarkEnd w:id="134"/>
      <w:bookmarkEnd w:id="135"/>
      <w:ins w:id="139" w:author="Master Repository Process" w:date="2021-08-29T03:28:00Z">
        <w:r>
          <w:rPr>
            <w:szCs w:val="30"/>
          </w:rPr>
          <w:t xml:space="preserve"> and gifts</w:t>
        </w:r>
      </w:ins>
      <w:bookmarkEnd w:id="136"/>
      <w:bookmarkEnd w:id="137"/>
      <w:bookmarkEnd w:id="138"/>
    </w:p>
    <w:p>
      <w:pPr>
        <w:pStyle w:val="Footnoteheading"/>
      </w:pPr>
      <w:r>
        <w:tab/>
        <w:t>[Heading inserted: Gazette 26 Aug 2011 p. 3487</w:t>
      </w:r>
      <w:ins w:id="140" w:author="Master Repository Process" w:date="2021-08-29T03:28:00Z">
        <w:r>
          <w:t>; amended: Gazette 18 Oct 2019 p. 3679</w:t>
        </w:r>
      </w:ins>
      <w:r>
        <w:t>.]</w:t>
      </w:r>
    </w:p>
    <w:p>
      <w:pPr>
        <w:pStyle w:val="Heading5"/>
      </w:pPr>
      <w:bookmarkStart w:id="141" w:name="_Toc22217916"/>
      <w:bookmarkStart w:id="142" w:name="_Toc19185625"/>
      <w:r>
        <w:rPr>
          <w:rStyle w:val="CharSectno"/>
        </w:rPr>
        <w:t>20</w:t>
      </w:r>
      <w:r>
        <w:t>.</w:t>
      </w:r>
      <w:r>
        <w:tab/>
        <w:t>Closely associated persons, matters prescribed for (Act s. 5.62)</w:t>
      </w:r>
      <w:bookmarkEnd w:id="141"/>
      <w:bookmarkEnd w:id="142"/>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Gazette 31 Mar 2005 p. 1039-40; amended: Gazette 19 Aug 2005 p. 3873; 4 Mar 2016 p. 650.]</w:t>
      </w:r>
    </w:p>
    <w:p>
      <w:pPr>
        <w:pStyle w:val="Heading5"/>
        <w:rPr>
          <w:ins w:id="143" w:author="Master Repository Process" w:date="2021-08-29T03:28:00Z"/>
        </w:rPr>
      </w:pPr>
      <w:bookmarkStart w:id="144" w:name="_Toc22217917"/>
      <w:ins w:id="145" w:author="Master Repository Process" w:date="2021-08-29T03:28:00Z">
        <w:r>
          <w:rPr>
            <w:rStyle w:val="CharSectno"/>
          </w:rPr>
          <w:t>20A</w:t>
        </w:r>
        <w:r>
          <w:t>.</w:t>
        </w:r>
        <w:r>
          <w:tab/>
          <w:t>Amounts relating to gifts prescribed (Act s. 5.62(1A), 5.68(1A), 5.71B(2) and (4), 5.87A(3) and 5.87B(3))</w:t>
        </w:r>
        <w:bookmarkEnd w:id="144"/>
        <w:r>
          <w:t xml:space="preserve"> </w:t>
        </w:r>
      </w:ins>
    </w:p>
    <w:p>
      <w:pPr>
        <w:pStyle w:val="Subsection"/>
        <w:rPr>
          <w:ins w:id="146" w:author="Master Repository Process" w:date="2021-08-29T03:28:00Z"/>
        </w:rPr>
      </w:pPr>
      <w:ins w:id="147" w:author="Master Repository Process" w:date="2021-08-29T03:28:00Z">
        <w:r>
          <w:tab/>
          <w:t>(1)</w:t>
        </w:r>
        <w:r>
          <w:tab/>
          <w:t>The amount prescribed for the purposes of sections 5.62(1A)(a)(i) and (ii), 5.87A(3)(a) and 5.87B(3)(a) is $300.</w:t>
        </w:r>
      </w:ins>
    </w:p>
    <w:p>
      <w:pPr>
        <w:pStyle w:val="Subsection"/>
        <w:rPr>
          <w:ins w:id="148" w:author="Master Repository Process" w:date="2021-08-29T03:28:00Z"/>
        </w:rPr>
      </w:pPr>
      <w:ins w:id="149" w:author="Master Repository Process" w:date="2021-08-29T03:28:00Z">
        <w:r>
          <w:tab/>
          <w:t>(2)</w:t>
        </w:r>
        <w:r>
          <w:tab/>
          <w:t>The amount prescribed for the purposes of sections 5.68(1A)(b)(i) and (ii) and 5.71B(2)(a) and (4) is $1 000.</w:t>
        </w:r>
      </w:ins>
    </w:p>
    <w:p>
      <w:pPr>
        <w:pStyle w:val="Footnotesection"/>
        <w:rPr>
          <w:ins w:id="150" w:author="Master Repository Process" w:date="2021-08-29T03:28:00Z"/>
        </w:rPr>
      </w:pPr>
      <w:ins w:id="151" w:author="Master Repository Process" w:date="2021-08-29T03:28:00Z">
        <w:r>
          <w:tab/>
          <w:t>[Regulation 20A inserted: Gazette 18 Oct 2019 p. 3680.]</w:t>
        </w:r>
      </w:ins>
    </w:p>
    <w:p>
      <w:pPr>
        <w:pStyle w:val="Heading5"/>
        <w:rPr>
          <w:ins w:id="152" w:author="Master Repository Process" w:date="2021-08-29T03:28:00Z"/>
        </w:rPr>
      </w:pPr>
      <w:bookmarkStart w:id="153" w:name="_Toc22217918"/>
      <w:ins w:id="154" w:author="Master Repository Process" w:date="2021-08-29T03:28:00Z">
        <w:r>
          <w:rPr>
            <w:rStyle w:val="CharSectno"/>
          </w:rPr>
          <w:t>20B</w:t>
        </w:r>
        <w:r>
          <w:t>.</w:t>
        </w:r>
        <w:r>
          <w:tab/>
          <w:t>Excluded gifts prescribed (Act s. 5.62(1B)(b))</w:t>
        </w:r>
        <w:bookmarkEnd w:id="153"/>
      </w:ins>
    </w:p>
    <w:p>
      <w:pPr>
        <w:pStyle w:val="Subsection"/>
        <w:rPr>
          <w:ins w:id="155" w:author="Master Repository Process" w:date="2021-08-29T03:28:00Z"/>
        </w:rPr>
      </w:pPr>
      <w:ins w:id="156" w:author="Master Repository Process" w:date="2021-08-29T03:28:00Z">
        <w:r>
          <w:tab/>
        </w:r>
        <w:r>
          <w:tab/>
          <w:t>For the purposes of section 5.62(1B)(b) a gift is an excluded gift if the gift is made by any of the following entities —</w:t>
        </w:r>
      </w:ins>
    </w:p>
    <w:p>
      <w:pPr>
        <w:pStyle w:val="Indenta"/>
        <w:rPr>
          <w:ins w:id="157" w:author="Master Repository Process" w:date="2021-08-29T03:28:00Z"/>
        </w:rPr>
      </w:pPr>
      <w:ins w:id="158" w:author="Master Repository Process" w:date="2021-08-29T03:28:00Z">
        <w:r>
          <w:tab/>
          <w:t>(a)</w:t>
        </w:r>
        <w:r>
          <w:tab/>
          <w:t>WALGA;</w:t>
        </w:r>
      </w:ins>
    </w:p>
    <w:p>
      <w:pPr>
        <w:pStyle w:val="Indenta"/>
        <w:rPr>
          <w:ins w:id="159" w:author="Master Repository Process" w:date="2021-08-29T03:28:00Z"/>
        </w:rPr>
      </w:pPr>
      <w:ins w:id="160" w:author="Master Repository Process" w:date="2021-08-29T03:28:00Z">
        <w:r>
          <w:tab/>
          <w:t>(b)</w:t>
        </w:r>
        <w:r>
          <w:tab/>
          <w:t xml:space="preserve">Australian Local Government Association Limited (ABN 31 008 613 876); </w:t>
        </w:r>
      </w:ins>
    </w:p>
    <w:p>
      <w:pPr>
        <w:pStyle w:val="Indenta"/>
        <w:rPr>
          <w:ins w:id="161" w:author="Master Repository Process" w:date="2021-08-29T03:28:00Z"/>
        </w:rPr>
      </w:pPr>
      <w:ins w:id="162" w:author="Master Repository Process" w:date="2021-08-29T03:28:00Z">
        <w:r>
          <w:tab/>
          <w:t>(c)</w:t>
        </w:r>
        <w:r>
          <w:tab/>
          <w:t xml:space="preserve">Local Government Professionals Australia WA (ABN 91 208 607 072); </w:t>
        </w:r>
      </w:ins>
    </w:p>
    <w:p>
      <w:pPr>
        <w:pStyle w:val="Indenta"/>
        <w:rPr>
          <w:ins w:id="163" w:author="Master Repository Process" w:date="2021-08-29T03:28:00Z"/>
        </w:rPr>
      </w:pPr>
      <w:ins w:id="164" w:author="Master Repository Process" w:date="2021-08-29T03:28:00Z">
        <w:r>
          <w:tab/>
          <w:t>(d)</w:t>
        </w:r>
        <w:r>
          <w:tab/>
          <w:t xml:space="preserve">a department of the Public Service; </w:t>
        </w:r>
      </w:ins>
    </w:p>
    <w:p>
      <w:pPr>
        <w:pStyle w:val="Indenta"/>
        <w:rPr>
          <w:ins w:id="165" w:author="Master Repository Process" w:date="2021-08-29T03:28:00Z"/>
        </w:rPr>
      </w:pPr>
      <w:ins w:id="166" w:author="Master Repository Process" w:date="2021-08-29T03:28:00Z">
        <w:r>
          <w:tab/>
          <w:t>(e)</w:t>
        </w:r>
        <w:r>
          <w:tab/>
          <w:t>a government department of another State, a Territory or the Commonwealth;</w:t>
        </w:r>
      </w:ins>
    </w:p>
    <w:p>
      <w:pPr>
        <w:pStyle w:val="Indenta"/>
        <w:rPr>
          <w:ins w:id="167" w:author="Master Repository Process" w:date="2021-08-29T03:28:00Z"/>
        </w:rPr>
      </w:pPr>
      <w:ins w:id="168" w:author="Master Repository Process" w:date="2021-08-29T03:28:00Z">
        <w:r>
          <w:tab/>
          <w:t>(f)</w:t>
        </w:r>
        <w:r>
          <w:tab/>
          <w:t>a local government or regional local government.</w:t>
        </w:r>
      </w:ins>
    </w:p>
    <w:p>
      <w:pPr>
        <w:pStyle w:val="Footnotesection"/>
        <w:rPr>
          <w:ins w:id="169" w:author="Master Repository Process" w:date="2021-08-29T03:28:00Z"/>
        </w:rPr>
      </w:pPr>
      <w:ins w:id="170" w:author="Master Repository Process" w:date="2021-08-29T03:28:00Z">
        <w:r>
          <w:tab/>
          <w:t>[Regulation 20B inserted: Gazette 18 Oct 2019 p. 3680.]</w:t>
        </w:r>
      </w:ins>
    </w:p>
    <w:p>
      <w:pPr>
        <w:pStyle w:val="Heading5"/>
      </w:pPr>
      <w:bookmarkStart w:id="171" w:name="_Toc22217919"/>
      <w:bookmarkStart w:id="172" w:name="_Toc19185626"/>
      <w:r>
        <w:rPr>
          <w:rStyle w:val="CharSectno"/>
        </w:rPr>
        <w:t>21</w:t>
      </w:r>
      <w:r>
        <w:t>.</w:t>
      </w:r>
      <w:r>
        <w:tab/>
        <w:t>Interests that need not be disclosed (Act s. 5.63(1)(h))</w:t>
      </w:r>
      <w:bookmarkEnd w:id="171"/>
      <w:bookmarkEnd w:id="172"/>
    </w:p>
    <w:p>
      <w:pPr>
        <w:pStyle w:val="Subsection"/>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pPr>
      <w:r>
        <w:tab/>
        <w:t>(II)</w:t>
      </w:r>
      <w:r>
        <w:tab/>
        <w:t>that has only minor residual value after use by the relevant person;</w:t>
      </w:r>
    </w:p>
    <w:p>
      <w:pPr>
        <w:pStyle w:val="Indenti"/>
      </w:pPr>
      <w:r>
        <w:tab/>
      </w:r>
      <w:r>
        <w:tab/>
        <w:t>or</w:t>
      </w:r>
    </w:p>
    <w:p>
      <w:pPr>
        <w:pStyle w:val="Indenti"/>
      </w:pPr>
      <w:r>
        <w:tab/>
        <w:t>(iii)</w:t>
      </w:r>
      <w:r>
        <w:tab/>
        <w:t>setting an amount of a minor residual value for the purposes of subparagraph (ii</w:t>
      </w:r>
      <w:del w:id="173" w:author="Master Repository Process" w:date="2021-08-29T03:28:00Z">
        <w:r>
          <w:delText>);</w:delText>
        </w:r>
      </w:del>
      <w:ins w:id="174" w:author="Master Repository Process" w:date="2021-08-29T03:28:00Z">
        <w:r>
          <w:t>).</w:t>
        </w:r>
      </w:ins>
    </w:p>
    <w:p>
      <w:pPr>
        <w:pStyle w:val="Indenta"/>
        <w:keepNext/>
        <w:rPr>
          <w:del w:id="175" w:author="Master Repository Process" w:date="2021-08-29T03:28:00Z"/>
        </w:rPr>
      </w:pPr>
      <w:r>
        <w:tab/>
      </w:r>
      <w:del w:id="176" w:author="Master Repository Process" w:date="2021-08-29T03:28:00Z">
        <w:r>
          <w:delText>(</w:delText>
        </w:r>
      </w:del>
      <w:ins w:id="177" w:author="Master Repository Process" w:date="2021-08-29T03:28:00Z">
        <w:r>
          <w:t>[(</w:t>
        </w:r>
      </w:ins>
      <w:r>
        <w:t>f)</w:t>
      </w:r>
      <w:r>
        <w:tab/>
      </w:r>
      <w:del w:id="178" w:author="Master Repository Process" w:date="2021-08-29T03:28:00Z">
        <w:r>
          <w:delText>an interest relating to —</w:delText>
        </w:r>
      </w:del>
    </w:p>
    <w:p>
      <w:pPr>
        <w:pStyle w:val="Ednotepara"/>
      </w:pPr>
      <w:del w:id="179" w:author="Master Repository Process" w:date="2021-08-29T03:28:00Z">
        <w:r>
          <w:tab/>
          <w:delText>[(i), (ii)</w:delText>
        </w:r>
        <w:r>
          <w:tab/>
        </w:r>
      </w:del>
      <w:r>
        <w:t>deleted]</w:t>
      </w:r>
    </w:p>
    <w:p>
      <w:pPr>
        <w:pStyle w:val="Indenti"/>
        <w:keepNext/>
        <w:rPr>
          <w:del w:id="180" w:author="Master Repository Process" w:date="2021-08-29T03:28:00Z"/>
        </w:rPr>
      </w:pPr>
      <w:del w:id="181" w:author="Master Repository Process" w:date="2021-08-29T03:28:00Z">
        <w:r>
          <w:tab/>
          <w:delText>(iii)</w:delText>
        </w:r>
        <w:r>
          <w:tab/>
          <w:delText xml:space="preserve">a gift that can be accepted by a relevant person in accordance with a code of conduct to be observed by the relevant person and the </w:delText>
        </w:r>
        <w:r>
          <w:rPr>
            <w:i/>
            <w:iCs/>
          </w:rPr>
          <w:delText>Local Government (Rules of Conduct) Regulations 2007</w:delText>
        </w:r>
        <w:r>
          <w:delText>.</w:delText>
        </w:r>
      </w:del>
    </w:p>
    <w:p>
      <w:pPr>
        <w:pStyle w:val="Footnotesection"/>
        <w:rPr>
          <w:ins w:id="182" w:author="Master Repository Process" w:date="2021-08-29T03:28:00Z"/>
        </w:rPr>
      </w:pPr>
      <w:r>
        <w:tab/>
        <w:t>[Regulation 21 inserted: Gazette 28 Jun 2002 p. 3080</w:t>
      </w:r>
      <w:r>
        <w:noBreakHyphen/>
        <w:t>1; amended: Gazette 21 Aug 2007 p. 4189</w:t>
      </w:r>
      <w:ins w:id="183" w:author="Master Repository Process" w:date="2021-08-29T03:28:00Z">
        <w:r>
          <w:t>; 18 Oct 2019 p. 3680.]</w:t>
        </w:r>
      </w:ins>
    </w:p>
    <w:p>
      <w:pPr>
        <w:pStyle w:val="Heading5"/>
        <w:rPr>
          <w:ins w:id="184" w:author="Master Repository Process" w:date="2021-08-29T03:28:00Z"/>
        </w:rPr>
      </w:pPr>
      <w:bookmarkStart w:id="185" w:name="_Toc22217920"/>
      <w:ins w:id="186" w:author="Master Repository Process" w:date="2021-08-29T03:28:00Z">
        <w:r>
          <w:rPr>
            <w:rStyle w:val="CharSectno"/>
          </w:rPr>
          <w:t>21A</w:t>
        </w:r>
        <w:r>
          <w:t>.</w:t>
        </w:r>
        <w:r>
          <w:tab/>
          <w:t>Information to be recorded in minutes of meeting (Act s. 5.68(2)(b))</w:t>
        </w:r>
        <w:bookmarkEnd w:id="185"/>
      </w:ins>
    </w:p>
    <w:p>
      <w:pPr>
        <w:pStyle w:val="Subsection"/>
        <w:rPr>
          <w:ins w:id="187" w:author="Master Repository Process" w:date="2021-08-29T03:28:00Z"/>
        </w:rPr>
      </w:pPr>
      <w:ins w:id="188" w:author="Master Repository Process" w:date="2021-08-29T03:28:00Z">
        <w:r>
          <w:tab/>
        </w:r>
        <w:r>
          <w:tab/>
          <w:t>For the purposes of section 5.68(2)(b) the following information is prescribed —</w:t>
        </w:r>
      </w:ins>
    </w:p>
    <w:p>
      <w:pPr>
        <w:pStyle w:val="Indenta"/>
        <w:rPr>
          <w:ins w:id="189" w:author="Master Repository Process" w:date="2021-08-29T03:28:00Z"/>
        </w:rPr>
      </w:pPr>
      <w:ins w:id="190" w:author="Master Repository Process" w:date="2021-08-29T03:28:00Z">
        <w:r>
          <w:tab/>
          <w:t>(a)</w:t>
        </w:r>
        <w:r>
          <w:tab/>
          <w:t>a description of the gift;</w:t>
        </w:r>
      </w:ins>
    </w:p>
    <w:p>
      <w:pPr>
        <w:pStyle w:val="Indenta"/>
        <w:rPr>
          <w:ins w:id="191" w:author="Master Repository Process" w:date="2021-08-29T03:28:00Z"/>
        </w:rPr>
      </w:pPr>
      <w:ins w:id="192" w:author="Master Repository Process" w:date="2021-08-29T03:28:00Z">
        <w:r>
          <w:tab/>
          <w:t>(b)</w:t>
        </w:r>
        <w:r>
          <w:tab/>
          <w:t>the disclosing member’s estimated value of the gift at the time it was made;</w:t>
        </w:r>
      </w:ins>
    </w:p>
    <w:p>
      <w:pPr>
        <w:pStyle w:val="Indenta"/>
        <w:rPr>
          <w:ins w:id="193" w:author="Master Repository Process" w:date="2021-08-29T03:28:00Z"/>
        </w:rPr>
      </w:pPr>
      <w:ins w:id="194" w:author="Master Repository Process" w:date="2021-08-29T03:28:00Z">
        <w:r>
          <w:tab/>
          <w:t>(c)</w:t>
        </w:r>
        <w:r>
          <w:tab/>
          <w:t>the name of the person who made the gift;</w:t>
        </w:r>
      </w:ins>
    </w:p>
    <w:p>
      <w:pPr>
        <w:pStyle w:val="Indenta"/>
        <w:rPr>
          <w:ins w:id="195" w:author="Master Repository Process" w:date="2021-08-29T03:28:00Z"/>
        </w:rPr>
      </w:pPr>
      <w:ins w:id="196" w:author="Master Repository Process" w:date="2021-08-29T03:28:00Z">
        <w:r>
          <w:tab/>
          <w:t>(d)</w:t>
        </w:r>
        <w:r>
          <w:tab/>
          <w:t>the town or suburb of the address of the person who made the gift;</w:t>
        </w:r>
      </w:ins>
    </w:p>
    <w:p>
      <w:pPr>
        <w:pStyle w:val="Indenta"/>
        <w:rPr>
          <w:ins w:id="197" w:author="Master Repository Process" w:date="2021-08-29T03:28:00Z"/>
        </w:rPr>
      </w:pPr>
      <w:ins w:id="198" w:author="Master Repository Process" w:date="2021-08-29T03:28:00Z">
        <w:r>
          <w:tab/>
          <w:t>(e)</w:t>
        </w:r>
        <w:r>
          <w:tab/>
          <w:t>the reasons for the decision.</w:t>
        </w:r>
      </w:ins>
    </w:p>
    <w:p>
      <w:pPr>
        <w:pStyle w:val="Footnotesection"/>
      </w:pPr>
      <w:ins w:id="199" w:author="Master Repository Process" w:date="2021-08-29T03:28:00Z">
        <w:r>
          <w:tab/>
          <w:t>[Regulation 21A inserted: Gazette 18 Oct 2019 p. 3681</w:t>
        </w:r>
      </w:ins>
      <w:r>
        <w:t>.]</w:t>
      </w:r>
    </w:p>
    <w:p>
      <w:pPr>
        <w:pStyle w:val="Heading5"/>
        <w:rPr>
          <w:snapToGrid w:val="0"/>
        </w:rPr>
      </w:pPr>
      <w:bookmarkStart w:id="200" w:name="_Toc22217921"/>
      <w:bookmarkStart w:id="201" w:name="_Toc19185627"/>
      <w:r>
        <w:rPr>
          <w:rStyle w:val="CharSectno"/>
        </w:rPr>
        <w:t>22</w:t>
      </w:r>
      <w:r>
        <w:rPr>
          <w:snapToGrid w:val="0"/>
        </w:rPr>
        <w:t>.</w:t>
      </w:r>
      <w:r>
        <w:rPr>
          <w:snapToGrid w:val="0"/>
        </w:rPr>
        <w:tab/>
        <w:t xml:space="preserve">Primary returns, form of </w:t>
      </w:r>
      <w:r>
        <w:t>(Act </w:t>
      </w:r>
      <w:r>
        <w:rPr>
          <w:snapToGrid w:val="0"/>
        </w:rPr>
        <w:t>s. 5.75(1) and (2))</w:t>
      </w:r>
      <w:bookmarkEnd w:id="200"/>
      <w:bookmarkEnd w:id="201"/>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202" w:name="_Toc22217922"/>
      <w:bookmarkStart w:id="203" w:name="_Toc19185628"/>
      <w:r>
        <w:rPr>
          <w:rStyle w:val="CharSectno"/>
        </w:rPr>
        <w:t>23</w:t>
      </w:r>
      <w:r>
        <w:rPr>
          <w:snapToGrid w:val="0"/>
        </w:rPr>
        <w:t>.</w:t>
      </w:r>
      <w:r>
        <w:rPr>
          <w:snapToGrid w:val="0"/>
        </w:rPr>
        <w:tab/>
        <w:t xml:space="preserve">Annual returns, form of </w:t>
      </w:r>
      <w:r>
        <w:t>(Act </w:t>
      </w:r>
      <w:r>
        <w:rPr>
          <w:snapToGrid w:val="0"/>
        </w:rPr>
        <w:t>s. 5.76(1) and (2))</w:t>
      </w:r>
      <w:bookmarkEnd w:id="202"/>
      <w:bookmarkEnd w:id="203"/>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204" w:name="_Toc22217923"/>
      <w:bookmarkStart w:id="205" w:name="_Toc19185629"/>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204"/>
      <w:bookmarkEnd w:id="205"/>
    </w:p>
    <w:p>
      <w:pPr>
        <w:pStyle w:val="Subsection"/>
        <w:rPr>
          <w:snapToGrid w:val="0"/>
        </w:rPr>
      </w:pPr>
      <w:r>
        <w:rPr>
          <w:snapToGrid w:val="0"/>
        </w:rPr>
        <w:tab/>
      </w:r>
      <w:r>
        <w:rPr>
          <w:snapToGrid w:val="0"/>
        </w:rPr>
        <w:tab/>
        <w:t>The amount of income prescribed for the purposes of section 5.80(3) is $500.</w:t>
      </w:r>
    </w:p>
    <w:p>
      <w:pPr>
        <w:pStyle w:val="Heading5"/>
        <w:rPr>
          <w:del w:id="206" w:author="Master Repository Process" w:date="2021-08-29T03:28:00Z"/>
        </w:rPr>
      </w:pPr>
      <w:ins w:id="207" w:author="Master Repository Process" w:date="2021-08-29T03:28:00Z">
        <w:r>
          <w:t>[</w:t>
        </w:r>
      </w:ins>
      <w:bookmarkStart w:id="208" w:name="_Toc19185630"/>
      <w:r>
        <w:t>25</w:t>
      </w:r>
      <w:del w:id="209" w:author="Master Repository Process" w:date="2021-08-29T03:28:00Z">
        <w:r>
          <w:delText>.</w:delText>
        </w:r>
        <w:r>
          <w:tab/>
          <w:delText>Amount of gift prescribed (Act s. 5.82(2)(a))</w:delText>
        </w:r>
        <w:bookmarkEnd w:id="208"/>
      </w:del>
    </w:p>
    <w:p>
      <w:pPr>
        <w:pStyle w:val="Subsection"/>
        <w:rPr>
          <w:del w:id="210" w:author="Master Repository Process" w:date="2021-08-29T03:28:00Z"/>
        </w:rPr>
      </w:pPr>
      <w:del w:id="211" w:author="Master Repository Process" w:date="2021-08-29T03:28:00Z">
        <w:r>
          <w:tab/>
          <w:delText>(1)</w:delText>
        </w:r>
        <w:r>
          <w:tab/>
          <w:delText xml:space="preserve">The amount of a gift prescribed for the purposes of section 5.82(2)(a) is as follows — </w:delText>
        </w:r>
      </w:del>
    </w:p>
    <w:p>
      <w:pPr>
        <w:pStyle w:val="Indenta"/>
        <w:rPr>
          <w:del w:id="212" w:author="Master Repository Process" w:date="2021-08-29T03:28:00Z"/>
        </w:rPr>
      </w:pPr>
      <w:del w:id="213" w:author="Master Repository Process" w:date="2021-08-29T03:28:00Z">
        <w:r>
          <w:tab/>
          <w:delText>(a)</w:delText>
        </w:r>
        <w:r>
          <w:tab/>
          <w:delText>$500 for an annual return lodged under section 5.76 before 1 January 2000;</w:delText>
        </w:r>
      </w:del>
    </w:p>
    <w:p>
      <w:pPr>
        <w:pStyle w:val="Indenta"/>
        <w:rPr>
          <w:del w:id="214" w:author="Master Repository Process" w:date="2021-08-29T03:28:00Z"/>
        </w:rPr>
      </w:pPr>
      <w:del w:id="215" w:author="Master Repository Process" w:date="2021-08-29T03:28:00Z">
        <w:r>
          <w:tab/>
          <w:delText>(b)</w:delText>
        </w:r>
        <w:r>
          <w:tab/>
          <w:delText>$200 for an annual return lodged under section 5.76 during the period beginning on 1 January 2000 and ending immediately before commencement day;</w:delText>
        </w:r>
      </w:del>
    </w:p>
    <w:p>
      <w:pPr>
        <w:pStyle w:val="Indenta"/>
        <w:rPr>
          <w:del w:id="216" w:author="Master Repository Process" w:date="2021-08-29T03:28:00Z"/>
        </w:rPr>
      </w:pPr>
      <w:del w:id="217" w:author="Master Repository Process" w:date="2021-08-29T03:28:00Z">
        <w:r>
          <w:tab/>
          <w:delText>(c)</w:delText>
        </w:r>
        <w:r>
          <w:tab/>
          <w:delText>$200 for a disclosure made under section 5.82 on or after commencement day.</w:delText>
        </w:r>
      </w:del>
    </w:p>
    <w:p>
      <w:pPr>
        <w:pStyle w:val="Subsection"/>
        <w:keepNext/>
        <w:rPr>
          <w:del w:id="218" w:author="Master Repository Process" w:date="2021-08-29T03:28:00Z"/>
        </w:rPr>
      </w:pPr>
      <w:del w:id="219" w:author="Master Repository Process" w:date="2021-08-29T03:28:00Z">
        <w:r>
          <w:tab/>
          <w:delText>(2)</w:delText>
        </w:r>
        <w:r>
          <w:tab/>
          <w:delText xml:space="preserve">In subregulation (1) — </w:delText>
        </w:r>
      </w:del>
    </w:p>
    <w:p>
      <w:pPr>
        <w:pStyle w:val="Defstart"/>
        <w:keepNext/>
        <w:rPr>
          <w:del w:id="220" w:author="Master Repository Process" w:date="2021-08-29T03:28:00Z"/>
        </w:rPr>
      </w:pPr>
      <w:del w:id="221" w:author="Master Repository Process" w:date="2021-08-29T03:28:00Z">
        <w:r>
          <w:tab/>
        </w:r>
        <w:r>
          <w:rPr>
            <w:rStyle w:val="CharDefText"/>
          </w:rPr>
          <w:delText>commencement day</w:delText>
        </w:r>
        <w:r>
          <w:delText xml:space="preserve"> means the day on which the </w:delText>
        </w:r>
        <w:r>
          <w:rPr>
            <w:i/>
          </w:rPr>
          <w:delText>Local Government (Administration) Amendment Regulations 2016</w:delText>
        </w:r>
        <w:r>
          <w:delText xml:space="preserve"> regulation 7 comes into operation.</w:delText>
        </w:r>
      </w:del>
    </w:p>
    <w:p>
      <w:pPr>
        <w:pStyle w:val="Footnotesection"/>
        <w:rPr>
          <w:del w:id="222" w:author="Master Repository Process" w:date="2021-08-29T03:28:00Z"/>
        </w:rPr>
      </w:pPr>
      <w:del w:id="223" w:author="Master Repository Process" w:date="2021-08-29T03:28:00Z">
        <w:r>
          <w:tab/>
          <w:delText>[Regulation 25 inserted</w:delText>
        </w:r>
      </w:del>
      <w:ins w:id="224" w:author="Master Repository Process" w:date="2021-08-29T03:28:00Z">
        <w:r>
          <w:rPr>
            <w:b/>
          </w:rPr>
          <w:t>, 26.</w:t>
        </w:r>
        <w:r>
          <w:rPr>
            <w:b/>
          </w:rPr>
          <w:tab/>
        </w:r>
        <w:r>
          <w:t>Deleted</w:t>
        </w:r>
      </w:ins>
      <w:r>
        <w:t xml:space="preserve">: Gazette </w:t>
      </w:r>
      <w:del w:id="225" w:author="Master Repository Process" w:date="2021-08-29T03:28:00Z">
        <w:r>
          <w:delText>4 Mar 2016</w:delText>
        </w:r>
      </w:del>
      <w:ins w:id="226" w:author="Master Repository Process" w:date="2021-08-29T03:28:00Z">
        <w:r>
          <w:t>18 Oct 2019</w:t>
        </w:r>
      </w:ins>
      <w:r>
        <w:t xml:space="preserve"> p. </w:t>
      </w:r>
      <w:del w:id="227" w:author="Master Repository Process" w:date="2021-08-29T03:28:00Z">
        <w:r>
          <w:delText>651.]</w:delText>
        </w:r>
      </w:del>
    </w:p>
    <w:p>
      <w:pPr>
        <w:pStyle w:val="Heading5"/>
        <w:rPr>
          <w:del w:id="228" w:author="Master Repository Process" w:date="2021-08-29T03:28:00Z"/>
        </w:rPr>
      </w:pPr>
      <w:bookmarkStart w:id="229" w:name="_Toc19185631"/>
      <w:del w:id="230" w:author="Master Repository Process" w:date="2021-08-29T03:28:00Z">
        <w:r>
          <w:rPr>
            <w:rStyle w:val="CharSectno"/>
          </w:rPr>
          <w:delText>26</w:delText>
        </w:r>
        <w:r>
          <w:delText>.</w:delText>
        </w:r>
        <w:r>
          <w:tab/>
          <w:delText>Amount of contribution to travel prescribed (Act s. 5.83(2)(d))</w:delText>
        </w:r>
        <w:bookmarkEnd w:id="229"/>
      </w:del>
    </w:p>
    <w:p>
      <w:pPr>
        <w:pStyle w:val="Subsection"/>
        <w:rPr>
          <w:del w:id="231" w:author="Master Repository Process" w:date="2021-08-29T03:28:00Z"/>
        </w:rPr>
      </w:pPr>
      <w:del w:id="232" w:author="Master Repository Process" w:date="2021-08-29T03:28:00Z">
        <w:r>
          <w:tab/>
          <w:delText>(1)</w:delText>
        </w:r>
        <w:r>
          <w:tab/>
          <w:delText xml:space="preserve">The amount of a contribution to travel prescribed for the purposes of section 5.83(2)(d) is as follows — </w:delText>
        </w:r>
      </w:del>
    </w:p>
    <w:p>
      <w:pPr>
        <w:pStyle w:val="Indenta"/>
        <w:rPr>
          <w:del w:id="233" w:author="Master Repository Process" w:date="2021-08-29T03:28:00Z"/>
        </w:rPr>
      </w:pPr>
      <w:del w:id="234" w:author="Master Repository Process" w:date="2021-08-29T03:28:00Z">
        <w:r>
          <w:tab/>
          <w:delText>(a)</w:delText>
        </w:r>
        <w:r>
          <w:tab/>
          <w:delText>$500 for an annual return lodged under section 5.76 before 1 January 2000;</w:delText>
        </w:r>
      </w:del>
    </w:p>
    <w:p>
      <w:pPr>
        <w:pStyle w:val="Indenta"/>
        <w:rPr>
          <w:del w:id="235" w:author="Master Repository Process" w:date="2021-08-29T03:28:00Z"/>
        </w:rPr>
      </w:pPr>
      <w:del w:id="236" w:author="Master Repository Process" w:date="2021-08-29T03:28:00Z">
        <w:r>
          <w:tab/>
          <w:delText>(b)</w:delText>
        </w:r>
        <w:r>
          <w:tab/>
          <w:delText>$200 for an annual return lodged under section 5.76 during the period beginning on 1 January 2000 and ending immediately before commencement day;</w:delText>
        </w:r>
      </w:del>
    </w:p>
    <w:p>
      <w:pPr>
        <w:pStyle w:val="Indenta"/>
        <w:rPr>
          <w:del w:id="237" w:author="Master Repository Process" w:date="2021-08-29T03:28:00Z"/>
        </w:rPr>
      </w:pPr>
      <w:del w:id="238" w:author="Master Repository Process" w:date="2021-08-29T03:28:00Z">
        <w:r>
          <w:tab/>
          <w:delText>(c)</w:delText>
        </w:r>
        <w:r>
          <w:tab/>
          <w:delText>$200 for a disclosure made under section 5.83 on or after commencement day.</w:delText>
        </w:r>
      </w:del>
    </w:p>
    <w:p>
      <w:pPr>
        <w:pStyle w:val="Subsection"/>
        <w:rPr>
          <w:del w:id="239" w:author="Master Repository Process" w:date="2021-08-29T03:28:00Z"/>
        </w:rPr>
      </w:pPr>
      <w:del w:id="240" w:author="Master Repository Process" w:date="2021-08-29T03:28:00Z">
        <w:r>
          <w:tab/>
          <w:delText>(2)</w:delText>
        </w:r>
        <w:r>
          <w:tab/>
          <w:delText xml:space="preserve">In subregulation (1) — </w:delText>
        </w:r>
      </w:del>
    </w:p>
    <w:p>
      <w:pPr>
        <w:pStyle w:val="Defstart"/>
        <w:rPr>
          <w:del w:id="241" w:author="Master Repository Process" w:date="2021-08-29T03:28:00Z"/>
        </w:rPr>
      </w:pPr>
      <w:del w:id="242" w:author="Master Repository Process" w:date="2021-08-29T03:28:00Z">
        <w:r>
          <w:tab/>
        </w:r>
        <w:r>
          <w:rPr>
            <w:rStyle w:val="CharDefText"/>
          </w:rPr>
          <w:delText>commencement day</w:delText>
        </w:r>
        <w:r>
          <w:delText xml:space="preserve"> means the day on which the </w:delText>
        </w:r>
        <w:r>
          <w:rPr>
            <w:i/>
          </w:rPr>
          <w:delText>Local Government (Administration) Amendment Regulations 2016</w:delText>
        </w:r>
        <w:r>
          <w:delText xml:space="preserve"> regulation 7 comes into operation.</w:delText>
        </w:r>
      </w:del>
    </w:p>
    <w:p>
      <w:pPr>
        <w:pStyle w:val="Ednotesection"/>
        <w:ind w:left="890" w:hanging="890"/>
      </w:pPr>
      <w:del w:id="243" w:author="Master Repository Process" w:date="2021-08-29T03:28:00Z">
        <w:r>
          <w:tab/>
          <w:delText>[Regulation 26 inserted: Gazette 4 Mar 2016 p. 651</w:delText>
        </w:r>
        <w:r>
          <w:noBreakHyphen/>
          <w:delText>2</w:delText>
        </w:r>
      </w:del>
      <w:ins w:id="244" w:author="Master Repository Process" w:date="2021-08-29T03:28:00Z">
        <w:r>
          <w:t>3681</w:t>
        </w:r>
      </w:ins>
      <w:r>
        <w:t>.]</w:t>
      </w:r>
    </w:p>
    <w:p>
      <w:pPr>
        <w:pStyle w:val="Heading5"/>
        <w:rPr>
          <w:snapToGrid w:val="0"/>
        </w:rPr>
      </w:pPr>
      <w:bookmarkStart w:id="245" w:name="_Toc22217924"/>
      <w:bookmarkStart w:id="246" w:name="_Toc19185632"/>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245"/>
      <w:bookmarkEnd w:id="246"/>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247" w:name="_Toc22217925"/>
      <w:bookmarkStart w:id="248" w:name="_Toc19185633"/>
      <w:r>
        <w:rPr>
          <w:rStyle w:val="CharSectno"/>
        </w:rPr>
        <w:t>28</w:t>
      </w:r>
      <w:r>
        <w:rPr>
          <w:snapToGrid w:val="0"/>
        </w:rPr>
        <w:t>.</w:t>
      </w:r>
      <w:r>
        <w:rPr>
          <w:snapToGrid w:val="0"/>
        </w:rPr>
        <w:tab/>
        <w:t xml:space="preserve">Register of financial interests, form of </w:t>
      </w:r>
      <w:r>
        <w:t>(Act </w:t>
      </w:r>
      <w:r>
        <w:rPr>
          <w:snapToGrid w:val="0"/>
        </w:rPr>
        <w:t>s. 5.88(2))</w:t>
      </w:r>
      <w:bookmarkEnd w:id="247"/>
      <w:bookmarkEnd w:id="248"/>
    </w:p>
    <w:p>
      <w:pPr>
        <w:pStyle w:val="Subsection"/>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w:t>
      </w:r>
      <w:r>
        <w:t>5.70</w:t>
      </w:r>
      <w:ins w:id="249" w:author="Master Repository Process" w:date="2021-08-29T03:28:00Z">
        <w:r>
          <w:t>, 5.71</w:t>
        </w:r>
      </w:ins>
      <w:r>
        <w:t xml:space="preserve"> or 5.</w:t>
      </w:r>
      <w:del w:id="250" w:author="Master Repository Process" w:date="2021-08-29T03:28:00Z">
        <w:r>
          <w:rPr>
            <w:snapToGrid w:val="0"/>
          </w:rPr>
          <w:delText>71 </w:delText>
        </w:r>
      </w:del>
      <w:ins w:id="251" w:author="Master Repository Process" w:date="2021-08-29T03:28:00Z">
        <w:r>
          <w:t xml:space="preserve">71A </w:t>
        </w:r>
      </w:ins>
      <w:r>
        <w:t>—</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Footnotesection"/>
        <w:rPr>
          <w:ins w:id="252" w:author="Master Repository Process" w:date="2021-08-29T03:28:00Z"/>
        </w:rPr>
      </w:pPr>
      <w:ins w:id="253" w:author="Master Repository Process" w:date="2021-08-29T03:28:00Z">
        <w:r>
          <w:tab/>
          <w:t>[Regulation 28 amended: Gazette 18 Oct 2019 p. 3681.]</w:t>
        </w:r>
      </w:ins>
    </w:p>
    <w:p>
      <w:pPr>
        <w:pStyle w:val="Heading5"/>
      </w:pPr>
      <w:bookmarkStart w:id="254" w:name="_Toc22217926"/>
      <w:bookmarkStart w:id="255" w:name="_Toc19185634"/>
      <w:r>
        <w:rPr>
          <w:rStyle w:val="CharSectno"/>
        </w:rPr>
        <w:t>28A</w:t>
      </w:r>
      <w:r>
        <w:t>.</w:t>
      </w:r>
      <w:r>
        <w:tab/>
        <w:t xml:space="preserve">Register of gifts </w:t>
      </w:r>
      <w:del w:id="256" w:author="Master Repository Process" w:date="2021-08-29T03:28:00Z">
        <w:r>
          <w:delText xml:space="preserve">and contributions to travel, form of </w:delText>
        </w:r>
      </w:del>
      <w:r>
        <w:t>(Act s. 5.89A(3))</w:t>
      </w:r>
      <w:bookmarkEnd w:id="254"/>
      <w:bookmarkEnd w:id="255"/>
    </w:p>
    <w:p>
      <w:pPr>
        <w:pStyle w:val="Subsection"/>
      </w:pPr>
      <w:r>
        <w:tab/>
      </w:r>
      <w:r>
        <w:tab/>
        <w:t xml:space="preserve">The register of gifts </w:t>
      </w:r>
      <w:del w:id="257" w:author="Master Repository Process" w:date="2021-08-29T03:28:00Z">
        <w:r>
          <w:delText xml:space="preserve">and contributions to travel </w:delText>
        </w:r>
      </w:del>
      <w:r>
        <w:t>is to be in the form of Form 4.</w:t>
      </w:r>
    </w:p>
    <w:p>
      <w:pPr>
        <w:pStyle w:val="PermNoteHeading"/>
        <w:rPr>
          <w:ins w:id="258" w:author="Master Repository Process" w:date="2021-08-29T03:28:00Z"/>
        </w:rPr>
      </w:pPr>
      <w:ins w:id="259" w:author="Master Repository Process" w:date="2021-08-29T03:28:00Z">
        <w:r>
          <w:tab/>
          <w:t>Note for this regulation:</w:t>
        </w:r>
      </w:ins>
    </w:p>
    <w:p>
      <w:pPr>
        <w:pStyle w:val="PermNoteText"/>
        <w:rPr>
          <w:ins w:id="260" w:author="Master Repository Process" w:date="2021-08-29T03:28:00Z"/>
        </w:rPr>
      </w:pPr>
      <w:ins w:id="261" w:author="Master Repository Process" w:date="2021-08-29T03:28:00Z">
        <w:r>
          <w:tab/>
        </w:r>
        <w:r>
          <w:tab/>
          <w:t>In the version of the register of gifts published under section 5.89A(5) information about individuals’ addresses must be modified as required by section 5.89A(5A).</w:t>
        </w:r>
      </w:ins>
    </w:p>
    <w:p>
      <w:pPr>
        <w:pStyle w:val="Footnotesection"/>
        <w:rPr>
          <w:ins w:id="262" w:author="Master Repository Process" w:date="2021-08-29T03:28:00Z"/>
        </w:rPr>
      </w:pPr>
      <w:r>
        <w:tab/>
        <w:t xml:space="preserve">[Regulation 28A inserted: Gazette </w:t>
      </w:r>
      <w:del w:id="263" w:author="Master Repository Process" w:date="2021-08-29T03:28:00Z">
        <w:r>
          <w:delText>4 Mar 2016</w:delText>
        </w:r>
      </w:del>
      <w:ins w:id="264" w:author="Master Repository Process" w:date="2021-08-29T03:28:00Z">
        <w:r>
          <w:t>18 Oct 2019</w:t>
        </w:r>
      </w:ins>
      <w:r>
        <w:t xml:space="preserve"> p. </w:t>
      </w:r>
      <w:del w:id="265" w:author="Master Repository Process" w:date="2021-08-29T03:28:00Z">
        <w:r>
          <w:delText>652</w:delText>
        </w:r>
      </w:del>
      <w:ins w:id="266" w:author="Master Repository Process" w:date="2021-08-29T03:28:00Z">
        <w:r>
          <w:t>3681.]</w:t>
        </w:r>
      </w:ins>
    </w:p>
    <w:p>
      <w:pPr>
        <w:pStyle w:val="Heading5"/>
        <w:rPr>
          <w:ins w:id="267" w:author="Master Repository Process" w:date="2021-08-29T03:28:00Z"/>
        </w:rPr>
      </w:pPr>
      <w:bookmarkStart w:id="268" w:name="_Toc22217927"/>
      <w:ins w:id="269" w:author="Master Repository Process" w:date="2021-08-29T03:28:00Z">
        <w:r>
          <w:rPr>
            <w:rStyle w:val="CharSectno"/>
          </w:rPr>
          <w:t>28B</w:t>
        </w:r>
        <w:r>
          <w:t>.</w:t>
        </w:r>
        <w:r>
          <w:tab/>
          <w:t>Transitional provision for register of gifts</w:t>
        </w:r>
        <w:bookmarkEnd w:id="268"/>
      </w:ins>
    </w:p>
    <w:p>
      <w:pPr>
        <w:pStyle w:val="Subsection"/>
        <w:rPr>
          <w:ins w:id="270" w:author="Master Repository Process" w:date="2021-08-29T03:28:00Z"/>
        </w:rPr>
      </w:pPr>
      <w:ins w:id="271" w:author="Master Repository Process" w:date="2021-08-29T03:28:00Z">
        <w:r>
          <w:tab/>
          <w:t>(1)</w:t>
        </w:r>
        <w:r>
          <w:tab/>
          <w:t>In this regulation —</w:t>
        </w:r>
      </w:ins>
    </w:p>
    <w:p>
      <w:pPr>
        <w:pStyle w:val="Defstart"/>
        <w:rPr>
          <w:ins w:id="272" w:author="Master Repository Process" w:date="2021-08-29T03:28:00Z"/>
        </w:rPr>
      </w:pPr>
      <w:ins w:id="273" w:author="Master Repository Process" w:date="2021-08-29T03:28:00Z">
        <w:r>
          <w:tab/>
        </w:r>
        <w:r>
          <w:rPr>
            <w:rStyle w:val="CharDefText"/>
          </w:rPr>
          <w:t>commencement day</w:t>
        </w:r>
        <w:r>
          <w:t xml:space="preserve"> has the meaning given in Schedule 9.3 clause 56(1);</w:t>
        </w:r>
      </w:ins>
    </w:p>
    <w:p>
      <w:pPr>
        <w:pStyle w:val="Defstart"/>
        <w:rPr>
          <w:ins w:id="274" w:author="Master Repository Process" w:date="2021-08-29T03:28:00Z"/>
        </w:rPr>
      </w:pPr>
      <w:ins w:id="275" w:author="Master Repository Process" w:date="2021-08-29T03:28:00Z">
        <w:r>
          <w:tab/>
        </w:r>
        <w:r>
          <w:rPr>
            <w:rStyle w:val="CharDefText"/>
          </w:rPr>
          <w:t>former Form 4</w:t>
        </w:r>
        <w:r>
          <w:t xml:space="preserve"> means Form 4 as it was immediately before commencement day;</w:t>
        </w:r>
      </w:ins>
    </w:p>
    <w:p>
      <w:pPr>
        <w:pStyle w:val="Defstart"/>
        <w:rPr>
          <w:ins w:id="276" w:author="Master Repository Process" w:date="2021-08-29T03:28:00Z"/>
        </w:rPr>
      </w:pPr>
      <w:ins w:id="277" w:author="Master Repository Process" w:date="2021-08-29T03:28:00Z">
        <w:r>
          <w:tab/>
        </w:r>
        <w:r>
          <w:rPr>
            <w:rStyle w:val="CharDefText"/>
          </w:rPr>
          <w:t xml:space="preserve">former record of disclosures </w:t>
        </w:r>
        <w:r>
          <w:t>means the record of disclosures that is required to be contained in the register of gifts under Schedule 9.3 clause 56(2).</w:t>
        </w:r>
      </w:ins>
    </w:p>
    <w:p>
      <w:pPr>
        <w:pStyle w:val="Subsection"/>
        <w:rPr>
          <w:ins w:id="278" w:author="Master Repository Process" w:date="2021-08-29T03:28:00Z"/>
        </w:rPr>
      </w:pPr>
      <w:ins w:id="279" w:author="Master Repository Process" w:date="2021-08-29T03:28:00Z">
        <w:r>
          <w:tab/>
          <w:t>(2)</w:t>
        </w:r>
        <w:r>
          <w:tab/>
          <w:t xml:space="preserve">Despite regulation 28A, to the extent that the register of gifts contains the former record of disclosures, it is to be in the form of former Form 4. </w:t>
        </w:r>
      </w:ins>
    </w:p>
    <w:p>
      <w:pPr>
        <w:pStyle w:val="Footnotesection"/>
      </w:pPr>
      <w:ins w:id="280" w:author="Master Repository Process" w:date="2021-08-29T03:28:00Z">
        <w:r>
          <w:tab/>
          <w:t>[Regulation 28B inserted: Gazette 18 Oct 2019 p. 3681-2</w:t>
        </w:r>
      </w:ins>
      <w:r>
        <w:t>.]</w:t>
      </w:r>
    </w:p>
    <w:p>
      <w:pPr>
        <w:pStyle w:val="Heading2"/>
      </w:pPr>
      <w:bookmarkStart w:id="281" w:name="_Toc19177927"/>
      <w:bookmarkStart w:id="282" w:name="_Toc19183892"/>
      <w:bookmarkStart w:id="283" w:name="_Toc19185635"/>
      <w:bookmarkStart w:id="284" w:name="_Toc22206987"/>
      <w:bookmarkStart w:id="285" w:name="_Toc22208866"/>
      <w:bookmarkStart w:id="286" w:name="_Toc22217849"/>
      <w:bookmarkStart w:id="287" w:name="_Toc22217928"/>
      <w:r>
        <w:rPr>
          <w:rStyle w:val="CharPartNo"/>
        </w:rPr>
        <w:t>Part 7</w:t>
      </w:r>
      <w:r>
        <w:rPr>
          <w:rStyle w:val="CharDivNo"/>
        </w:rPr>
        <w:t> </w:t>
      </w:r>
      <w:r>
        <w:t>—</w:t>
      </w:r>
      <w:r>
        <w:rPr>
          <w:rStyle w:val="CharDivText"/>
        </w:rPr>
        <w:t> </w:t>
      </w:r>
      <w:r>
        <w:rPr>
          <w:rStyle w:val="CharPartText"/>
        </w:rPr>
        <w:t>Access to information</w:t>
      </w:r>
      <w:bookmarkEnd w:id="281"/>
      <w:bookmarkEnd w:id="282"/>
      <w:bookmarkEnd w:id="283"/>
      <w:bookmarkEnd w:id="284"/>
      <w:bookmarkEnd w:id="285"/>
      <w:bookmarkEnd w:id="286"/>
      <w:bookmarkEnd w:id="287"/>
    </w:p>
    <w:p>
      <w:pPr>
        <w:pStyle w:val="Footnoteheading"/>
        <w:spacing w:before="100"/>
      </w:pPr>
      <w:r>
        <w:tab/>
        <w:t>[Heading inserted: Gazette 26 Aug 2011 p. 3487.]</w:t>
      </w:r>
    </w:p>
    <w:p>
      <w:pPr>
        <w:pStyle w:val="Heading5"/>
        <w:rPr>
          <w:snapToGrid w:val="0"/>
        </w:rPr>
      </w:pPr>
      <w:bookmarkStart w:id="288" w:name="_Toc22217929"/>
      <w:bookmarkStart w:id="289" w:name="_Toc19185636"/>
      <w:r>
        <w:rPr>
          <w:rStyle w:val="CharSectno"/>
        </w:rPr>
        <w:t>29</w:t>
      </w:r>
      <w:r>
        <w:rPr>
          <w:snapToGrid w:val="0"/>
        </w:rPr>
        <w:t>.</w:t>
      </w:r>
      <w:r>
        <w:rPr>
          <w:snapToGrid w:val="0"/>
        </w:rPr>
        <w:tab/>
        <w:t xml:space="preserve">Information to be available for public inspection </w:t>
      </w:r>
      <w:r>
        <w:t>(Act </w:t>
      </w:r>
      <w:r>
        <w:rPr>
          <w:snapToGrid w:val="0"/>
        </w:rPr>
        <w:t>s. 5.94)</w:t>
      </w:r>
      <w:bookmarkEnd w:id="288"/>
      <w:bookmarkEnd w:id="289"/>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Indenta"/>
        <w:spacing w:before="60"/>
      </w:pPr>
      <w:r>
        <w:tab/>
        <w:t>(baa)</w:t>
      </w:r>
      <w:r>
        <w:tab/>
        <w:t xml:space="preserve">the information contained in a register maintained under regulation 12(5) of the </w:t>
      </w:r>
      <w:r>
        <w:rPr>
          <w:i/>
          <w:iCs/>
        </w:rPr>
        <w:t>Local Government (Rules of Conduct) Regulations 2007</w:t>
      </w:r>
      <w:r>
        <w:t>;</w:t>
      </w:r>
    </w:p>
    <w:p>
      <w:pPr>
        <w:pStyle w:val="Indenta"/>
        <w:spacing w:before="60"/>
        <w:rPr>
          <w:snapToGrid w:val="0"/>
        </w:rPr>
      </w:pPr>
      <w:r>
        <w:tab/>
        <w:t>(bb)</w:t>
      </w:r>
      <w:r>
        <w:tab/>
        <w:t>the information contained in a register of notifiable gifts referred to in regulation 34B(5);</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Indenta"/>
        <w:spacing w:before="60"/>
        <w:rPr>
          <w:snapToGrid w:val="0"/>
        </w:rPr>
      </w:pPr>
      <w:r>
        <w:rPr>
          <w:snapToGrid w:val="0"/>
        </w:rPr>
        <w:tab/>
        <w:t>(c)</w:t>
      </w:r>
      <w:r>
        <w:rPr>
          <w:snapToGrid w:val="0"/>
        </w:rPr>
        <w:tab/>
        <w:t>unconfirmed minutes of council or committee meetings;</w:t>
      </w:r>
    </w:p>
    <w:p>
      <w:pPr>
        <w:pStyle w:val="Indenta"/>
        <w:spacing w:before="60"/>
        <w:rPr>
          <w:snapToGrid w:val="0"/>
        </w:rPr>
      </w:pPr>
      <w:r>
        <w:rPr>
          <w:snapToGrid w:val="0"/>
        </w:rPr>
        <w:tab/>
        <w:t>(d)</w:t>
      </w:r>
      <w:r>
        <w:rPr>
          <w:snapToGrid w:val="0"/>
        </w:rPr>
        <w:tab/>
        <w:t>notice papers and agenda relating to any council or committee meeting and reports and other documents which —</w:t>
      </w:r>
    </w:p>
    <w:p>
      <w:pPr>
        <w:pStyle w:val="Indenti"/>
        <w:spacing w:before="60"/>
        <w:rPr>
          <w:snapToGrid w:val="0"/>
        </w:rPr>
      </w:pPr>
      <w:r>
        <w:rPr>
          <w:snapToGrid w:val="0"/>
        </w:rPr>
        <w:tab/>
        <w:t>(i)</w:t>
      </w:r>
      <w:r>
        <w:rPr>
          <w:snapToGrid w:val="0"/>
        </w:rPr>
        <w:tab/>
        <w:t>are to be tabled at the meeting; or</w:t>
      </w:r>
    </w:p>
    <w:p>
      <w:pPr>
        <w:pStyle w:val="Indenti"/>
        <w:spacing w:before="60"/>
        <w:rPr>
          <w:snapToGrid w:val="0"/>
        </w:rPr>
      </w:pPr>
      <w:r>
        <w:rPr>
          <w:snapToGrid w:val="0"/>
        </w:rPr>
        <w:tab/>
        <w:t>(ii)</w:t>
      </w:r>
      <w:r>
        <w:rPr>
          <w:snapToGrid w:val="0"/>
        </w:rPr>
        <w:tab/>
        <w:t>have been produced by the local government or a committee for presentation at the meeting,</w:t>
      </w:r>
    </w:p>
    <w:p>
      <w:pPr>
        <w:pStyle w:val="Indenta"/>
        <w:spacing w:before="60"/>
        <w:rPr>
          <w:snapToGrid w:val="0"/>
        </w:rPr>
      </w:pPr>
      <w:r>
        <w:rPr>
          <w:snapToGrid w:val="0"/>
        </w:rPr>
        <w:tab/>
      </w:r>
      <w:r>
        <w:rPr>
          <w:snapToGrid w:val="0"/>
        </w:rPr>
        <w:tab/>
        <w:t>and which have been made available to members of the council or committee for the meeting;</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Subsection"/>
        <w:spacing w:before="120"/>
        <w:rPr>
          <w:snapToGrid w:val="0"/>
        </w:rPr>
      </w:pPr>
      <w:r>
        <w:rPr>
          <w:snapToGrid w:val="0"/>
        </w:rPr>
        <w:tab/>
        <w:t>(2)</w:t>
      </w:r>
      <w:r>
        <w:rPr>
          <w:snapToGrid w:val="0"/>
        </w:rPr>
        <w:tab/>
        <w:t>A person’s right to inspect information referred to in section 5.94 does not extend to the inspection of information referred to in subregulation (1)(c) if the meeting or that part of the meeting to which the information refers —</w:t>
      </w:r>
    </w:p>
    <w:p>
      <w:pPr>
        <w:pStyle w:val="Indenta"/>
        <w:rPr>
          <w:snapToGrid w:val="0"/>
        </w:rPr>
      </w:pPr>
      <w:r>
        <w:rPr>
          <w:snapToGrid w:val="0"/>
        </w:rPr>
        <w:tab/>
        <w:t>(a)</w:t>
      </w:r>
      <w:r>
        <w:rPr>
          <w:snapToGrid w:val="0"/>
        </w:rPr>
        <w:tab/>
        <w:t>was closed to members of the public; or</w:t>
      </w:r>
    </w:p>
    <w:p>
      <w:pPr>
        <w:pStyle w:val="Indenta"/>
        <w:rPr>
          <w:snapToGrid w:val="0"/>
        </w:rPr>
      </w:pPr>
      <w:r>
        <w:rPr>
          <w:snapToGrid w:val="0"/>
        </w:rPr>
        <w:tab/>
        <w:t>(b)</w:t>
      </w:r>
      <w:r>
        <w:rPr>
          <w:snapToGrid w:val="0"/>
        </w:rPr>
        <w:tab/>
        <w:t>in the CEO’s opinion, could have been closed to members of the public but was not closed,</w:t>
      </w:r>
    </w:p>
    <w:p>
      <w:pPr>
        <w:pStyle w:val="Subsection"/>
        <w:spacing w:before="120"/>
        <w:rPr>
          <w:snapToGrid w:val="0"/>
        </w:rPr>
      </w:pPr>
      <w:r>
        <w:rPr>
          <w:snapToGrid w:val="0"/>
        </w:rPr>
        <w:tab/>
      </w:r>
      <w:r>
        <w:rPr>
          <w:snapToGrid w:val="0"/>
        </w:rPr>
        <w:tab/>
        <w:t>unless the information to be inspected is a record of a decision made at the meeting.</w:t>
      </w:r>
    </w:p>
    <w:p>
      <w:pPr>
        <w:pStyle w:val="Subsection"/>
        <w:spacing w:before="120"/>
        <w:rPr>
          <w:snapToGrid w:val="0"/>
        </w:rPr>
      </w:pPr>
      <w:r>
        <w:rPr>
          <w:snapToGrid w:val="0"/>
        </w:rPr>
        <w:tab/>
        <w:t>(3)</w:t>
      </w:r>
      <w:r>
        <w:rPr>
          <w:snapToGrid w:val="0"/>
        </w:rPr>
        <w:tab/>
        <w:t>A person’s right to inspect information referred to in section 5.94 does not extend to the inspection of information referred to in subregulation (1)(d) if, in the CEO’s opinion, the meeting or that part of the meeting to which the information refers is likely to be closed to members of the public.</w:t>
      </w:r>
    </w:p>
    <w:p>
      <w:pPr>
        <w:pStyle w:val="Footnotesection"/>
        <w:spacing w:before="80"/>
        <w:ind w:left="890" w:hanging="890"/>
      </w:pPr>
      <w:r>
        <w:tab/>
        <w:t>[Regulation 29 amended: Gazette 23 Apr 1999 p. 1718; 25 Feb 2000 p. 969; 21 Aug 2007 p. 4189</w:t>
      </w:r>
      <w:r>
        <w:noBreakHyphen/>
        <w:t>90.]</w:t>
      </w:r>
    </w:p>
    <w:p>
      <w:pPr>
        <w:pStyle w:val="Heading5"/>
      </w:pPr>
      <w:bookmarkStart w:id="290" w:name="_Toc22217930"/>
      <w:bookmarkStart w:id="291" w:name="_Toc19185637"/>
      <w:r>
        <w:rPr>
          <w:rStyle w:val="CharSectno"/>
        </w:rPr>
        <w:t>29A</w:t>
      </w:r>
      <w:r>
        <w:t>.</w:t>
      </w:r>
      <w:r>
        <w:tab/>
        <w:t>Limits on right to inspect local government information (Act s. 5.95)</w:t>
      </w:r>
      <w:bookmarkEnd w:id="290"/>
      <w:bookmarkEnd w:id="291"/>
    </w:p>
    <w:p>
      <w:pPr>
        <w:pStyle w:val="Subsection"/>
      </w:pPr>
      <w:r>
        <w:tab/>
        <w:t>(1)</w:t>
      </w:r>
      <w:r>
        <w:tab/>
        <w:t>For the purposes of section 5.95(5)(b), the following information is prescribed as being of a private nature —</w:t>
      </w:r>
    </w:p>
    <w:p>
      <w:pPr>
        <w:pStyle w:val="Indenta"/>
      </w:pPr>
      <w:r>
        <w:tab/>
        <w:t>(a)</w:t>
      </w:r>
      <w:r>
        <w:tab/>
        <w:t>the name, address and other personal details of the employee; and</w:t>
      </w:r>
    </w:p>
    <w:p>
      <w:pPr>
        <w:pStyle w:val="Indenta"/>
      </w:pPr>
      <w:r>
        <w:tab/>
        <w:t>(b)</w:t>
      </w:r>
      <w:r>
        <w:tab/>
        <w:t>details regarding a bank, or other financial institution, where the employee’s remuneration and other benefits are to be credited.</w:t>
      </w:r>
    </w:p>
    <w:p>
      <w:pPr>
        <w:pStyle w:val="Subsection"/>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Gazette 31 Mar 2005 p. 1040-1.]</w:t>
      </w:r>
    </w:p>
    <w:p>
      <w:pPr>
        <w:pStyle w:val="Heading5"/>
      </w:pPr>
      <w:bookmarkStart w:id="292" w:name="_Toc22217931"/>
      <w:bookmarkStart w:id="293" w:name="_Toc19185638"/>
      <w:r>
        <w:rPr>
          <w:rStyle w:val="CharSectno"/>
        </w:rPr>
        <w:t>29B</w:t>
      </w:r>
      <w:r>
        <w:t>.</w:t>
      </w:r>
      <w:r>
        <w:tab/>
        <w:t>Copies of certain information not to be provided (Act s. 5.96)</w:t>
      </w:r>
      <w:bookmarkEnd w:id="292"/>
      <w:bookmarkEnd w:id="293"/>
    </w:p>
    <w:p>
      <w:pPr>
        <w:pStyle w:val="Subsection"/>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pPr>
      <w:r>
        <w:tab/>
        <w:t>(b)</w:t>
      </w:r>
      <w:r>
        <w:tab/>
        <w:t>the CEO of the local government is satisfied, by statutory declaration or otherwise, that the information will not be used for commercial purposes.</w:t>
      </w:r>
    </w:p>
    <w:p>
      <w:pPr>
        <w:pStyle w:val="Footnotesection"/>
      </w:pPr>
      <w:r>
        <w:tab/>
        <w:t>[Regulation 29B inserted: Gazette 28 Feb 2014 p. 519.]</w:t>
      </w:r>
    </w:p>
    <w:p>
      <w:pPr>
        <w:pStyle w:val="Heading2"/>
      </w:pPr>
      <w:bookmarkStart w:id="294" w:name="_Toc19177931"/>
      <w:bookmarkStart w:id="295" w:name="_Toc19183896"/>
      <w:bookmarkStart w:id="296" w:name="_Toc19185639"/>
      <w:bookmarkStart w:id="297" w:name="_Toc22206991"/>
      <w:bookmarkStart w:id="298" w:name="_Toc22208870"/>
      <w:bookmarkStart w:id="299" w:name="_Toc22217853"/>
      <w:bookmarkStart w:id="300" w:name="_Toc22217932"/>
      <w:r>
        <w:rPr>
          <w:rStyle w:val="CharPartNo"/>
        </w:rPr>
        <w:t>Part 8</w:t>
      </w:r>
      <w:r>
        <w:rPr>
          <w:rStyle w:val="CharDivNo"/>
        </w:rPr>
        <w:t> </w:t>
      </w:r>
      <w:r>
        <w:t>—</w:t>
      </w:r>
      <w:r>
        <w:rPr>
          <w:rStyle w:val="CharDivText"/>
        </w:rPr>
        <w:t> </w:t>
      </w:r>
      <w:r>
        <w:rPr>
          <w:rStyle w:val="CharPartText"/>
        </w:rPr>
        <w:t>Local government payments and gifts to members</w:t>
      </w:r>
      <w:bookmarkEnd w:id="294"/>
      <w:bookmarkEnd w:id="295"/>
      <w:bookmarkEnd w:id="296"/>
      <w:bookmarkEnd w:id="297"/>
      <w:bookmarkEnd w:id="298"/>
      <w:bookmarkEnd w:id="299"/>
      <w:bookmarkEnd w:id="300"/>
    </w:p>
    <w:p>
      <w:pPr>
        <w:pStyle w:val="Footnoteheading"/>
      </w:pPr>
      <w:r>
        <w:tab/>
        <w:t>[Heading inserted: Gazette 26 Aug 2011 p. 3487.]</w:t>
      </w:r>
    </w:p>
    <w:p>
      <w:pPr>
        <w:pStyle w:val="Heading5"/>
        <w:rPr>
          <w:snapToGrid w:val="0"/>
        </w:rPr>
      </w:pPr>
      <w:bookmarkStart w:id="301" w:name="_Toc22217933"/>
      <w:bookmarkStart w:id="302" w:name="_Toc19185640"/>
      <w:r>
        <w:rPr>
          <w:rStyle w:val="CharSectno"/>
        </w:rPr>
        <w:t>30</w:t>
      </w:r>
      <w:r>
        <w:rPr>
          <w:snapToGrid w:val="0"/>
        </w:rPr>
        <w:t>.</w:t>
      </w:r>
      <w:r>
        <w:rPr>
          <w:snapToGrid w:val="0"/>
        </w:rPr>
        <w:tab/>
        <w:t xml:space="preserve">Meeting attendance fees </w:t>
      </w:r>
      <w:r>
        <w:t>(Act </w:t>
      </w:r>
      <w:r>
        <w:rPr>
          <w:snapToGrid w:val="0"/>
        </w:rPr>
        <w:t>s. 5.98(1) and (2A))</w:t>
      </w:r>
      <w:bookmarkEnd w:id="301"/>
      <w:bookmarkEnd w:id="302"/>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pPr>
      <w:r>
        <w:tab/>
        <w:t>(3C)</w:t>
      </w:r>
      <w:r>
        <w:tab/>
        <w:t>A council member is not entitled to be paid a fee for attending a meeting of a type referred to in subregulation (3A) if —</w:t>
      </w:r>
    </w:p>
    <w:p>
      <w:pPr>
        <w:pStyle w:val="Indenta"/>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Gazette 23 Apr 1999 p. 1719; 31 Mar 2005 p. 1034; 3 May 2011 p. 1595-6; 13 Jul 2012 p. 3219.]</w:t>
      </w:r>
    </w:p>
    <w:p>
      <w:pPr>
        <w:pStyle w:val="Heading5"/>
        <w:rPr>
          <w:snapToGrid w:val="0"/>
        </w:rPr>
      </w:pPr>
      <w:bookmarkStart w:id="303" w:name="_Toc22217934"/>
      <w:bookmarkStart w:id="304" w:name="_Toc19185641"/>
      <w:r>
        <w:rPr>
          <w:rStyle w:val="CharSectno"/>
        </w:rPr>
        <w:t>31</w:t>
      </w:r>
      <w:r>
        <w:rPr>
          <w:snapToGrid w:val="0"/>
        </w:rPr>
        <w:t>.</w:t>
      </w:r>
      <w:r>
        <w:rPr>
          <w:snapToGrid w:val="0"/>
        </w:rPr>
        <w:tab/>
        <w:t xml:space="preserve">Expenses to be reimbursed </w:t>
      </w:r>
      <w:r>
        <w:t>(Act </w:t>
      </w:r>
      <w:r>
        <w:rPr>
          <w:snapToGrid w:val="0"/>
        </w:rPr>
        <w:t>s. 5.98(2)(a) and (3))</w:t>
      </w:r>
      <w:bookmarkEnd w:id="303"/>
      <w:bookmarkEnd w:id="304"/>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Ednotesubsection"/>
      </w:pPr>
      <w:r>
        <w:tab/>
        <w:t>[(2)</w:t>
      </w:r>
      <w:r>
        <w:noBreakHyphen/>
        <w:t>(5)</w:t>
      </w:r>
      <w:r>
        <w:tab/>
        <w:t>deleted]</w:t>
      </w:r>
    </w:p>
    <w:p>
      <w:pPr>
        <w:pStyle w:val="Footnotesection"/>
      </w:pPr>
      <w:r>
        <w:tab/>
        <w:t>[Regulation 31 amended: Gazette 31 Mar 2005 p. 1034; 13 Jul 2012 p. 3219.]</w:t>
      </w:r>
    </w:p>
    <w:p>
      <w:pPr>
        <w:pStyle w:val="Heading5"/>
        <w:rPr>
          <w:snapToGrid w:val="0"/>
        </w:rPr>
      </w:pPr>
      <w:bookmarkStart w:id="305" w:name="_Toc22217935"/>
      <w:bookmarkStart w:id="306" w:name="_Toc19185642"/>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 and (3))</w:t>
      </w:r>
      <w:bookmarkEnd w:id="305"/>
      <w:bookmarkEnd w:id="306"/>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Ednotesubsection"/>
      </w:pPr>
      <w:r>
        <w:tab/>
        <w:t>[(2)</w:t>
      </w:r>
      <w:r>
        <w:tab/>
        <w:t>deleted]</w:t>
      </w:r>
    </w:p>
    <w:p>
      <w:pPr>
        <w:pStyle w:val="Footnotesection"/>
      </w:pPr>
      <w:r>
        <w:tab/>
        <w:t>[Regulation 32 amended: Gazette 13 Jul 2012 p. 3219.]</w:t>
      </w:r>
    </w:p>
    <w:p>
      <w:pPr>
        <w:pStyle w:val="Ednotesection"/>
      </w:pPr>
      <w:r>
        <w:t>[</w:t>
      </w:r>
      <w:r>
        <w:rPr>
          <w:b/>
        </w:rPr>
        <w:t>33-34AB.</w:t>
      </w:r>
      <w:r>
        <w:tab/>
        <w:t>Deleted: Gazette 13 Jul 2012 p. 3219]</w:t>
      </w:r>
    </w:p>
    <w:p>
      <w:pPr>
        <w:pStyle w:val="Heading5"/>
        <w:spacing w:before="200"/>
      </w:pPr>
      <w:bookmarkStart w:id="307" w:name="_Toc22217936"/>
      <w:bookmarkStart w:id="308" w:name="_Toc19185643"/>
      <w:r>
        <w:rPr>
          <w:rStyle w:val="CharSectno"/>
        </w:rPr>
        <w:t>34AC</w:t>
      </w:r>
      <w:r>
        <w:t>.</w:t>
      </w:r>
      <w:r>
        <w:tab/>
        <w:t>Gifts to council members, when permitted etc. (Act s. 5.100A)</w:t>
      </w:r>
      <w:bookmarkEnd w:id="307"/>
      <w:bookmarkEnd w:id="308"/>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Gazette 3 May 2011 p. 1596.]</w:t>
      </w:r>
    </w:p>
    <w:p>
      <w:pPr>
        <w:pStyle w:val="Heading5"/>
        <w:spacing w:before="200"/>
      </w:pPr>
      <w:bookmarkStart w:id="309" w:name="_Toc22217937"/>
      <w:bookmarkStart w:id="310" w:name="_Toc19185644"/>
      <w:r>
        <w:rPr>
          <w:rStyle w:val="CharSectno"/>
        </w:rPr>
        <w:t>34AD</w:t>
      </w:r>
      <w:r>
        <w:t>.</w:t>
      </w:r>
      <w:r>
        <w:tab/>
        <w:t>Method of payment of expenses for which person can be reimbursed (Act s. 5.101A)</w:t>
      </w:r>
      <w:bookmarkEnd w:id="309"/>
      <w:bookmarkEnd w:id="310"/>
    </w:p>
    <w:p>
      <w:pPr>
        <w:pStyle w:val="Subsection"/>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keepNext/>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Gazette 3 May 2011 p. 1596-7.]</w:t>
      </w:r>
    </w:p>
    <w:p>
      <w:pPr>
        <w:pStyle w:val="Heading5"/>
      </w:pPr>
      <w:bookmarkStart w:id="311" w:name="_Toc22217938"/>
      <w:bookmarkStart w:id="312" w:name="_Toc19185645"/>
      <w:r>
        <w:rPr>
          <w:rStyle w:val="CharSectno"/>
        </w:rPr>
        <w:t>34AE</w:t>
      </w:r>
      <w:r>
        <w:t>.</w:t>
      </w:r>
      <w:r>
        <w:tab/>
        <w:t>Repayment and recovery of advance payments of fees and allowances (Act s. 5.102AB)</w:t>
      </w:r>
      <w:bookmarkEnd w:id="311"/>
      <w:bookmarkEnd w:id="312"/>
    </w:p>
    <w:p>
      <w:pPr>
        <w:pStyle w:val="Subsection"/>
      </w:pPr>
      <w:r>
        <w:tab/>
        <w:t>(1)</w:t>
      </w:r>
      <w:r>
        <w:tab/>
        <w:t xml:space="preserve">This regulation applies if — </w:t>
      </w:r>
    </w:p>
    <w:p>
      <w:pPr>
        <w:pStyle w:val="Indenta"/>
      </w:pPr>
      <w:r>
        <w:tab/>
        <w:t>(a)</w:t>
      </w:r>
      <w:r>
        <w:tab/>
        <w:t>a local government pays an annual allowance or annual fee under Part 5 Division 8 of the Act to a person in advance (either wholly or in part); and</w:t>
      </w:r>
    </w:p>
    <w:p>
      <w:pPr>
        <w:pStyle w:val="Indenta"/>
      </w:pPr>
      <w:r>
        <w:tab/>
        <w:t>(b)</w:t>
      </w:r>
      <w:r>
        <w:tab/>
        <w:t xml:space="preserve">before the end of the period (the </w:t>
      </w:r>
      <w:r>
        <w:rPr>
          <w:rStyle w:val="CharDefText"/>
        </w:rPr>
        <w:t>relevant period</w:t>
      </w:r>
      <w:r>
        <w:t xml:space="preserve">) to which the advance payment relates — </w:t>
      </w:r>
    </w:p>
    <w:p>
      <w:pPr>
        <w:pStyle w:val="Indenti"/>
      </w:pPr>
      <w:r>
        <w:tab/>
        <w:t>(i)</w:t>
      </w:r>
      <w:r>
        <w:tab/>
        <w:t>the person ceases to hold the office to which the advance payment relates (otherwise than because of the death of the person); or</w:t>
      </w:r>
    </w:p>
    <w:p>
      <w:pPr>
        <w:pStyle w:val="Indenti"/>
      </w:pPr>
      <w:r>
        <w:tab/>
        <w:t>(ii)</w:t>
      </w:r>
      <w:r>
        <w:tab/>
        <w:t>the person is suspended from the office to which the advance payment relates.</w:t>
      </w:r>
    </w:p>
    <w:p>
      <w:pPr>
        <w:pStyle w:val="Subsection"/>
        <w:keepNext/>
      </w:pPr>
      <w:r>
        <w:tab/>
        <w:t>(2)</w:t>
      </w:r>
      <w:r>
        <w:tab/>
        <w:t xml:space="preserve">The person must repay to the local government an amount calculated as follows — </w:t>
      </w:r>
    </w:p>
    <w:p>
      <w:pPr>
        <w:pStyle w:val="Subsection"/>
        <w:keepNext/>
      </w:pPr>
      <m:oMathPara>
        <m:oMathParaPr>
          <m:jc m:val="left"/>
        </m:oMathParaPr>
        <m:oMath>
          <m:r>
            <m:rPr>
              <m:sty m:val="p"/>
            </m:rPr>
            <w:rPr>
              <w:rFonts w:ascii="Cambria Math" w:hAnsi="Cambria Math"/>
            </w:rPr>
            <m:t xml:space="preserve">R = </m:t>
          </m:r>
          <m:f>
            <m:fPr>
              <m:ctrlPr>
                <w:rPr>
                  <w:rFonts w:ascii="Cambria Math" w:hAnsi="Cambria Math"/>
                </w:rPr>
              </m:ctrlPr>
            </m:fPr>
            <m:num>
              <m:r>
                <m:rPr>
                  <m:sty m:val="p"/>
                </m:rPr>
                <w:rPr>
                  <w:rFonts w:ascii="Cambria Math" w:hAnsi="Cambria Math"/>
                </w:rPr>
                <m:t>A</m:t>
              </m:r>
            </m:num>
            <m:den>
              <m:r>
                <m:rPr>
                  <m:sty m:val="p"/>
                </m:rPr>
                <w:rPr>
                  <w:rFonts w:ascii="Cambria Math" w:hAnsi="Cambria Math"/>
                </w:rPr>
                <m:t>D</m:t>
              </m:r>
            </m:den>
          </m:f>
          <m:r>
            <m:rPr>
              <m:sty m:val="p"/>
            </m:rPr>
            <w:rPr>
              <w:rFonts w:ascii="Cambria Math" w:hAnsi="Cambria Math"/>
            </w:rPr>
            <m:t xml:space="preserve"> ×(D -N)</m:t>
          </m:r>
        </m:oMath>
      </m:oMathPara>
    </w:p>
    <w:p>
      <w:pPr>
        <w:pStyle w:val="MiscellaneousBody"/>
        <w:tabs>
          <w:tab w:val="left" w:pos="851"/>
        </w:tabs>
      </w:pPr>
      <w:r>
        <w:tab/>
        <w:t xml:space="preserve">where — </w:t>
      </w:r>
    </w:p>
    <w:p>
      <w:pPr>
        <w:pStyle w:val="MiscellaneousBody"/>
        <w:tabs>
          <w:tab w:val="left" w:pos="851"/>
          <w:tab w:val="left" w:pos="1418"/>
        </w:tabs>
        <w:ind w:left="1418" w:hanging="1418"/>
      </w:pPr>
      <w:r>
        <w:tab/>
        <w:t>R</w:t>
      </w:r>
      <w:r>
        <w:tab/>
        <w:t>is the amount the person must repay;</w:t>
      </w:r>
    </w:p>
    <w:p>
      <w:pPr>
        <w:pStyle w:val="MiscellaneousBody"/>
        <w:tabs>
          <w:tab w:val="left" w:pos="851"/>
          <w:tab w:val="left" w:pos="1418"/>
        </w:tabs>
        <w:ind w:left="1418" w:hanging="1418"/>
      </w:pPr>
      <w:r>
        <w:tab/>
        <w:t>A</w:t>
      </w:r>
      <w:r>
        <w:tab/>
        <w:t>is the total amount of the advance payment;</w:t>
      </w:r>
    </w:p>
    <w:p>
      <w:pPr>
        <w:pStyle w:val="MiscellaneousBody"/>
        <w:tabs>
          <w:tab w:val="left" w:pos="851"/>
          <w:tab w:val="left" w:pos="1418"/>
        </w:tabs>
        <w:ind w:left="1418" w:hanging="1418"/>
      </w:pPr>
      <w:r>
        <w:tab/>
        <w:t>D</w:t>
      </w:r>
      <w:r>
        <w:tab/>
        <w:t>is the total number of days in the relevant period;</w:t>
      </w:r>
    </w:p>
    <w:p>
      <w:pPr>
        <w:pStyle w:val="MiscellaneousBody"/>
        <w:tabs>
          <w:tab w:val="left" w:pos="851"/>
          <w:tab w:val="left" w:pos="1418"/>
        </w:tabs>
        <w:ind w:left="1418" w:hanging="1418"/>
      </w:pPr>
      <w:r>
        <w:tab/>
        <w:t>N</w:t>
      </w:r>
      <w:r>
        <w:tab/>
        <w:t>is the number of whole days in the relevant period that the person holds, and is not suspended from, the office to which the advance payment relates.</w:t>
      </w:r>
    </w:p>
    <w:p>
      <w:pPr>
        <w:pStyle w:val="Subsection"/>
      </w:pPr>
      <w:r>
        <w:tab/>
        <w:t>(3)</w:t>
      </w:r>
      <w:r>
        <w:tab/>
        <w:t>The local government must take action to recover the amount that must be repaid under subregulation (2) as a debt due from the person to the local government.</w:t>
      </w:r>
    </w:p>
    <w:p>
      <w:pPr>
        <w:pStyle w:val="Footnotesection"/>
      </w:pPr>
      <w:r>
        <w:tab/>
        <w:t>[Regulation 34AE inserted: Gazette 14 Dec 2018 p. 4805</w:t>
      </w:r>
      <w:r>
        <w:noBreakHyphen/>
        <w:t>6.]</w:t>
      </w:r>
    </w:p>
    <w:p>
      <w:pPr>
        <w:pStyle w:val="Heading2"/>
      </w:pPr>
      <w:bookmarkStart w:id="313" w:name="_Toc19177938"/>
      <w:bookmarkStart w:id="314" w:name="_Toc19183903"/>
      <w:bookmarkStart w:id="315" w:name="_Toc19185646"/>
      <w:bookmarkStart w:id="316" w:name="_Toc22206998"/>
      <w:bookmarkStart w:id="317" w:name="_Toc22208877"/>
      <w:bookmarkStart w:id="318" w:name="_Toc22217860"/>
      <w:bookmarkStart w:id="319" w:name="_Toc22217939"/>
      <w:r>
        <w:rPr>
          <w:rStyle w:val="CharPartNo"/>
        </w:rPr>
        <w:t>Part 9</w:t>
      </w:r>
      <w:r>
        <w:t> — </w:t>
      </w:r>
      <w:r>
        <w:rPr>
          <w:rStyle w:val="CharPartText"/>
        </w:rPr>
        <w:t>Codes of conduct</w:t>
      </w:r>
      <w:bookmarkEnd w:id="313"/>
      <w:bookmarkEnd w:id="314"/>
      <w:bookmarkEnd w:id="315"/>
      <w:bookmarkEnd w:id="316"/>
      <w:ins w:id="320" w:author="Master Repository Process" w:date="2021-08-29T03:28:00Z">
        <w:r>
          <w:t xml:space="preserve"> </w:t>
        </w:r>
        <w:r>
          <w:rPr>
            <w:rStyle w:val="CharPartText"/>
          </w:rPr>
          <w:t>for employees</w:t>
        </w:r>
      </w:ins>
      <w:bookmarkEnd w:id="317"/>
      <w:bookmarkEnd w:id="318"/>
      <w:bookmarkEnd w:id="319"/>
    </w:p>
    <w:p>
      <w:pPr>
        <w:pStyle w:val="Footnoteheading"/>
        <w:rPr>
          <w:del w:id="321" w:author="Master Repository Process" w:date="2021-08-29T03:28:00Z"/>
        </w:rPr>
      </w:pPr>
      <w:r>
        <w:tab/>
        <w:t>[Heading inserted: Gazette 26 Aug 2011 p. 3487</w:t>
      </w:r>
      <w:del w:id="322" w:author="Master Repository Process" w:date="2021-08-29T03:28:00Z">
        <w:r>
          <w:delText>.]</w:delText>
        </w:r>
      </w:del>
    </w:p>
    <w:p>
      <w:pPr>
        <w:pStyle w:val="Heading3"/>
        <w:rPr>
          <w:del w:id="323" w:author="Master Repository Process" w:date="2021-08-29T03:28:00Z"/>
        </w:rPr>
      </w:pPr>
      <w:bookmarkStart w:id="324" w:name="_Toc19177939"/>
      <w:bookmarkStart w:id="325" w:name="_Toc19183904"/>
      <w:bookmarkStart w:id="326" w:name="_Toc19185647"/>
      <w:del w:id="327" w:author="Master Repository Process" w:date="2021-08-29T03:28:00Z">
        <w:r>
          <w:rPr>
            <w:rStyle w:val="CharDivNo"/>
          </w:rPr>
          <w:delText>Division 1</w:delText>
        </w:r>
        <w:r>
          <w:delText> — </w:delText>
        </w:r>
        <w:r>
          <w:rPr>
            <w:rStyle w:val="CharDivText"/>
          </w:rPr>
          <w:delText>Codes of conduct: general</w:delText>
        </w:r>
        <w:bookmarkEnd w:id="324"/>
        <w:bookmarkEnd w:id="325"/>
        <w:bookmarkEnd w:id="326"/>
      </w:del>
    </w:p>
    <w:p>
      <w:pPr>
        <w:pStyle w:val="Footnoteheading"/>
        <w:rPr>
          <w:ins w:id="328" w:author="Master Repository Process" w:date="2021-08-29T03:28:00Z"/>
        </w:rPr>
      </w:pPr>
      <w:del w:id="329" w:author="Master Repository Process" w:date="2021-08-29T03:28:00Z">
        <w:r>
          <w:tab/>
          <w:delText>[Heading inserted</w:delText>
        </w:r>
      </w:del>
      <w:ins w:id="330" w:author="Master Repository Process" w:date="2021-08-29T03:28:00Z">
        <w:r>
          <w:t>; amended</w:t>
        </w:r>
      </w:ins>
      <w:r>
        <w:t xml:space="preserve">: Gazette </w:t>
      </w:r>
      <w:del w:id="331" w:author="Master Repository Process" w:date="2021-08-29T03:28:00Z">
        <w:r>
          <w:delText>4 Mar 2016</w:delText>
        </w:r>
      </w:del>
      <w:ins w:id="332" w:author="Master Repository Process" w:date="2021-08-29T03:28:00Z">
        <w:r>
          <w:t>18 Oct 2019</w:t>
        </w:r>
      </w:ins>
      <w:r>
        <w:t xml:space="preserve"> p. </w:t>
      </w:r>
      <w:del w:id="333" w:author="Master Repository Process" w:date="2021-08-29T03:28:00Z">
        <w:r>
          <w:delText>652</w:delText>
        </w:r>
      </w:del>
      <w:ins w:id="334" w:author="Master Repository Process" w:date="2021-08-29T03:28:00Z">
        <w:r>
          <w:t>3682.]</w:t>
        </w:r>
      </w:ins>
    </w:p>
    <w:p>
      <w:pPr>
        <w:pStyle w:val="Ednotedivision"/>
      </w:pPr>
      <w:ins w:id="335" w:author="Master Repository Process" w:date="2021-08-29T03:28:00Z">
        <w:r>
          <w:t>[Division 1 heading deleted: Gazette 18 Oct 2019 p. 3682</w:t>
        </w:r>
      </w:ins>
      <w:r>
        <w:t>.]</w:t>
      </w:r>
    </w:p>
    <w:p>
      <w:pPr>
        <w:pStyle w:val="Heading5"/>
      </w:pPr>
      <w:bookmarkStart w:id="336" w:name="_Toc22217940"/>
      <w:bookmarkStart w:id="337" w:name="_Toc19185648"/>
      <w:r>
        <w:rPr>
          <w:rStyle w:val="CharSectno"/>
        </w:rPr>
        <w:t>34B</w:t>
      </w:r>
      <w:r>
        <w:t>.</w:t>
      </w:r>
      <w:r>
        <w:tab/>
        <w:t>Codes of conduct about gifts, content of (Act s. 5.103(3))</w:t>
      </w:r>
      <w:bookmarkEnd w:id="336"/>
      <w:bookmarkEnd w:id="337"/>
    </w:p>
    <w:p>
      <w:pPr>
        <w:pStyle w:val="Subsection"/>
      </w:pPr>
      <w:r>
        <w:tab/>
        <w:t>(1)</w:t>
      </w:r>
      <w:r>
        <w:tab/>
        <w:t>In this regulation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rPr>
          <w:b/>
        </w:rPr>
        <w:tab/>
      </w:r>
      <w:r>
        <w:rPr>
          <w:rStyle w:val="CharDefText"/>
        </w:rPr>
        <w:t>gift</w:t>
      </w:r>
      <w:r>
        <w:t xml:space="preserve"> has the meaning given to that term in section 5.</w:t>
      </w:r>
      <w:del w:id="338" w:author="Master Repository Process" w:date="2021-08-29T03:28:00Z">
        <w:r>
          <w:delText>82(4)</w:delText>
        </w:r>
      </w:del>
      <w:ins w:id="339" w:author="Master Repository Process" w:date="2021-08-29T03:28:00Z">
        <w:r>
          <w:t>57</w:t>
        </w:r>
      </w:ins>
      <w:r>
        <w:t xml:space="preserve"> except that it does not include —</w:t>
      </w:r>
    </w:p>
    <w:p>
      <w:pPr>
        <w:pStyle w:val="Defpara"/>
      </w:pPr>
      <w:r>
        <w:tab/>
        <w:t>(a)</w:t>
      </w:r>
      <w:r>
        <w:tab/>
        <w:t>a gift from a relative as defined in section 5.74(1); or</w:t>
      </w:r>
    </w:p>
    <w:p>
      <w:pPr>
        <w:pStyle w:val="Defpara"/>
      </w:pPr>
      <w:r>
        <w:tab/>
        <w:t>(b)</w:t>
      </w:r>
      <w:r>
        <w:tab/>
        <w:t xml:space="preserve">a gift that must be disclosed under regulation 30B of the </w:t>
      </w:r>
      <w:r>
        <w:rPr>
          <w:i/>
          <w:iCs/>
        </w:rPr>
        <w:t>Local Government (Elections) Regulations 1997</w:t>
      </w:r>
      <w:r>
        <w:t>; or</w:t>
      </w:r>
    </w:p>
    <w:p>
      <w:pPr>
        <w:pStyle w:val="Defpara"/>
      </w:pPr>
      <w:r>
        <w:tab/>
        <w:t>(c)</w:t>
      </w:r>
      <w:r>
        <w:tab/>
        <w:t>a gift from a statutory authority, government instrumentality or non</w:t>
      </w:r>
      <w:r>
        <w:noBreakHyphen/>
        <w:t xml:space="preserve">profit association for professional training; or </w:t>
      </w:r>
    </w:p>
    <w:p>
      <w:pPr>
        <w:pStyle w:val="Indenta"/>
      </w:pPr>
      <w:r>
        <w:tab/>
        <w:t>(d)</w:t>
      </w:r>
      <w:r>
        <w:tab/>
        <w:t xml:space="preserve">a gift from WALGA, the Australian Local Government Association Limited (ABN 31 008 613 876) or the Local Government </w:t>
      </w:r>
      <w:del w:id="340" w:author="Master Repository Process" w:date="2021-08-29T03:28:00Z">
        <w:r>
          <w:delText>Managers</w:delText>
        </w:r>
      </w:del>
      <w:ins w:id="341" w:author="Master Repository Process" w:date="2021-08-29T03:28:00Z">
        <w:r>
          <w:t>Professionals</w:t>
        </w:r>
      </w:ins>
      <w:r>
        <w:t xml:space="preserve"> Australia WA </w:t>
      </w:r>
      <w:del w:id="342" w:author="Master Repository Process" w:date="2021-08-29T03:28:00Z">
        <w:r>
          <w:delText xml:space="preserve">Division Incorporated </w:delText>
        </w:r>
      </w:del>
      <w:r>
        <w:t>(ABN 91 208</w:t>
      </w:r>
      <w:del w:id="343" w:author="Master Repository Process" w:date="2021-08-29T03:28:00Z">
        <w:r>
          <w:delText xml:space="preserve"> </w:delText>
        </w:r>
      </w:del>
      <w:ins w:id="344" w:author="Master Repository Process" w:date="2021-08-29T03:28:00Z">
        <w:r>
          <w:t> </w:t>
        </w:r>
      </w:ins>
      <w:r>
        <w:t>607 072);</w:t>
      </w:r>
    </w:p>
    <w:p>
      <w:pPr>
        <w:pStyle w:val="Defstart"/>
      </w:pPr>
      <w:r>
        <w:rPr>
          <w:b/>
        </w:rPr>
        <w:tab/>
      </w:r>
      <w:r>
        <w:rPr>
          <w:rStyle w:val="CharDefText"/>
        </w:rPr>
        <w:t>notifiable gift</w:t>
      </w:r>
      <w:r>
        <w:rPr>
          <w:bCs/>
        </w:rPr>
        <w:t>,</w:t>
      </w:r>
      <w:r>
        <w:rPr>
          <w:b/>
        </w:rPr>
        <w:t xml:space="preserve"> </w:t>
      </w:r>
      <w:r>
        <w:rPr>
          <w:bCs/>
        </w:rPr>
        <w:t>in relation to a person who is an employee,</w:t>
      </w:r>
      <w:r>
        <w:t xml:space="preserve"> means —</w:t>
      </w:r>
    </w:p>
    <w:p>
      <w:pPr>
        <w:pStyle w:val="Defpara"/>
      </w:pPr>
      <w:r>
        <w:tab/>
        <w:t>(a)</w:t>
      </w:r>
      <w:r>
        <w:tab/>
        <w:t>a gift worth between $50 and $300; or</w:t>
      </w:r>
    </w:p>
    <w:p>
      <w:pPr>
        <w:pStyle w:val="Defpara"/>
      </w:pPr>
      <w:r>
        <w:tab/>
        <w:t>(b)</w:t>
      </w:r>
      <w:r>
        <w:tab/>
        <w:t>a gift that is one of 2 or more gifts given to the employee by the same person within a period of 6 months that are in total worth between $50 and $300;</w:t>
      </w:r>
    </w:p>
    <w:p>
      <w:pPr>
        <w:pStyle w:val="Defstart"/>
      </w:pPr>
      <w:r>
        <w:rPr>
          <w:b/>
        </w:rPr>
        <w:tab/>
      </w:r>
      <w:r>
        <w:rPr>
          <w:rStyle w:val="CharDefText"/>
        </w:rPr>
        <w:t>prohibited gift</w:t>
      </w:r>
      <w:r>
        <w:rPr>
          <w:bCs/>
        </w:rPr>
        <w:t xml:space="preserve">, in relation to a person who is an employee, </w:t>
      </w:r>
      <w:r>
        <w:t>means —</w:t>
      </w:r>
    </w:p>
    <w:p>
      <w:pPr>
        <w:pStyle w:val="Defpara"/>
      </w:pPr>
      <w:r>
        <w:tab/>
        <w:t>(a)</w:t>
      </w:r>
      <w:r>
        <w:tab/>
        <w:t>a gift worth $300 or more; or</w:t>
      </w:r>
    </w:p>
    <w:p>
      <w:pPr>
        <w:pStyle w:val="Defpara"/>
        <w:rPr>
          <w:b/>
          <w:i/>
        </w:rPr>
      </w:pPr>
      <w:r>
        <w:tab/>
        <w:t>(b)</w:t>
      </w:r>
      <w:r>
        <w:tab/>
        <w:t>a gift that is one of 2 or more gifts given to the employee by the same person within a period of 6 months that are in total worth $300 or more.</w:t>
      </w:r>
    </w:p>
    <w:p>
      <w:pPr>
        <w:pStyle w:val="Subsection"/>
      </w:pPr>
      <w:r>
        <w:tab/>
        <w:t>(2)</w:t>
      </w:r>
      <w:r>
        <w:tab/>
        <w:t>A code of conduct is to contain a requirement that a person who is an employee refrain from accepting a prohibited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spacing w:before="200"/>
      </w:pPr>
      <w:r>
        <w:tab/>
        <w:t>(3)</w:t>
      </w:r>
      <w:r>
        <w:tab/>
        <w:t>A code of conduct is to contain a requirement that a person who is an employee and who accepts a notifiable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pPr>
      <w:r>
        <w:tab/>
      </w:r>
      <w:r>
        <w:tab/>
        <w:t>notify the CEO, in accordance with subregulation (4) and within 10 days of accepting the gift, of the acceptance.</w:t>
      </w:r>
    </w:p>
    <w:p>
      <w:pPr>
        <w:pStyle w:val="Subsection"/>
        <w:spacing w:before="200"/>
      </w:pPr>
      <w:r>
        <w:tab/>
        <w:t>(4)</w:t>
      </w:r>
      <w:r>
        <w:tab/>
        <w:t>A code of conduct is to require that the notification of the acceptance of a notifiable gift be in writing and include —</w:t>
      </w:r>
    </w:p>
    <w:p>
      <w:pPr>
        <w:pStyle w:val="Indenta"/>
        <w:spacing w:before="100"/>
      </w:pPr>
      <w:r>
        <w:tab/>
        <w:t>(a)</w:t>
      </w:r>
      <w:r>
        <w:tab/>
        <w:t>the name of the person who gave the gift; and</w:t>
      </w:r>
    </w:p>
    <w:p>
      <w:pPr>
        <w:pStyle w:val="Indenta"/>
        <w:spacing w:before="100"/>
      </w:pPr>
      <w:r>
        <w:tab/>
        <w:t>(b)</w:t>
      </w:r>
      <w:r>
        <w:tab/>
        <w:t>the date on which the gift was accepted; and</w:t>
      </w:r>
    </w:p>
    <w:p>
      <w:pPr>
        <w:pStyle w:val="Indenta"/>
        <w:spacing w:before="100"/>
      </w:pPr>
      <w:r>
        <w:tab/>
        <w:t>(c)</w:t>
      </w:r>
      <w:r>
        <w:tab/>
        <w:t>a description, and the estimated value, of the gift; and</w:t>
      </w:r>
    </w:p>
    <w:p>
      <w:pPr>
        <w:pStyle w:val="Indenta"/>
        <w:spacing w:before="100"/>
      </w:pPr>
      <w:r>
        <w:tab/>
        <w:t>(d)</w:t>
      </w:r>
      <w:r>
        <w:tab/>
        <w:t>the nature of the relationship between the person who is an employee and the person who gave the gift; and</w:t>
      </w:r>
    </w:p>
    <w:p>
      <w:pPr>
        <w:pStyle w:val="Indenta"/>
        <w:keepNext/>
        <w:keepLines/>
        <w:spacing w:before="100"/>
      </w:pPr>
      <w:r>
        <w:tab/>
        <w:t>(e)</w:t>
      </w:r>
      <w:r>
        <w:tab/>
        <w:t xml:space="preserve">if the gift is a notifiable gift under paragraph (b) of the definition of </w:t>
      </w:r>
      <w:r>
        <w:rPr>
          <w:b/>
          <w:i/>
        </w:rPr>
        <w:t>notifiable gift</w:t>
      </w:r>
      <w:r>
        <w:t xml:space="preserve"> in subregulation (1) (whether or not it is also a notifiable gift under paragraph (a) of that definition) —</w:t>
      </w:r>
    </w:p>
    <w:p>
      <w:pPr>
        <w:pStyle w:val="Indenti"/>
        <w:keepNext/>
        <w:keepLines/>
        <w:spacing w:before="100"/>
      </w:pPr>
      <w:r>
        <w:tab/>
        <w:t>(i)</w:t>
      </w:r>
      <w:r>
        <w:tab/>
        <w:t>a description; and</w:t>
      </w:r>
    </w:p>
    <w:p>
      <w:pPr>
        <w:pStyle w:val="Indenti"/>
        <w:spacing w:before="100"/>
      </w:pPr>
      <w:r>
        <w:tab/>
        <w:t>(ii)</w:t>
      </w:r>
      <w:r>
        <w:tab/>
        <w:t>the estimated value; and</w:t>
      </w:r>
    </w:p>
    <w:p>
      <w:pPr>
        <w:pStyle w:val="Indenti"/>
        <w:keepNext/>
      </w:pPr>
      <w:r>
        <w:tab/>
        <w:t>(iii)</w:t>
      </w:r>
      <w:r>
        <w:tab/>
        <w:t>the date of acceptance,</w:t>
      </w:r>
    </w:p>
    <w:p>
      <w:pPr>
        <w:pStyle w:val="Indenta"/>
      </w:pPr>
      <w:r>
        <w:tab/>
      </w:r>
      <w:r>
        <w:tab/>
        <w:t>of each other gift accepted within the 6 month period.</w:t>
      </w:r>
    </w:p>
    <w:p>
      <w:pPr>
        <w:pStyle w:val="Subsection"/>
      </w:pPr>
      <w:r>
        <w:tab/>
        <w:t>(5)</w:t>
      </w:r>
      <w:r>
        <w:tab/>
        <w:t>A code of conduct is to require that the CEO</w:t>
      </w:r>
      <w:del w:id="345" w:author="Master Repository Process" w:date="2021-08-29T03:28:00Z">
        <w:r>
          <w:delText xml:space="preserve"> maintain a register of notifiable gifts and record in it details of notifications given to comply with a requirement made under subregulation (3).</w:delText>
        </w:r>
      </w:del>
      <w:ins w:id="346" w:author="Master Repository Process" w:date="2021-08-29T03:28:00Z">
        <w:r>
          <w:t xml:space="preserve"> — </w:t>
        </w:r>
      </w:ins>
    </w:p>
    <w:p>
      <w:pPr>
        <w:pStyle w:val="Indenta"/>
        <w:rPr>
          <w:ins w:id="347" w:author="Master Repository Process" w:date="2021-08-29T03:28:00Z"/>
        </w:rPr>
      </w:pPr>
      <w:ins w:id="348" w:author="Master Repository Process" w:date="2021-08-29T03:28:00Z">
        <w:r>
          <w:tab/>
          <w:t>(a)</w:t>
        </w:r>
        <w:r>
          <w:tab/>
          <w:t>keep a register of notifiable gifts; and</w:t>
        </w:r>
      </w:ins>
    </w:p>
    <w:p>
      <w:pPr>
        <w:pStyle w:val="Indenta"/>
        <w:rPr>
          <w:ins w:id="349" w:author="Master Repository Process" w:date="2021-08-29T03:28:00Z"/>
        </w:rPr>
      </w:pPr>
      <w:ins w:id="350" w:author="Master Repository Process" w:date="2021-08-29T03:28:00Z">
        <w:r>
          <w:tab/>
          <w:t>(b)</w:t>
        </w:r>
        <w:r>
          <w:tab/>
          <w:t>record in the register details of notifications given to comply with a requirement made under subregulation (3); and</w:t>
        </w:r>
      </w:ins>
    </w:p>
    <w:p>
      <w:pPr>
        <w:pStyle w:val="Indenta"/>
        <w:rPr>
          <w:ins w:id="351" w:author="Master Repository Process" w:date="2021-08-29T03:28:00Z"/>
        </w:rPr>
      </w:pPr>
      <w:ins w:id="352" w:author="Master Repository Process" w:date="2021-08-29T03:28:00Z">
        <w:r>
          <w:tab/>
          <w:t>(c)</w:t>
        </w:r>
        <w:r>
          <w:tab/>
          <w:t>publish an up</w:t>
        </w:r>
        <w:r>
          <w:noBreakHyphen/>
          <w:t>to</w:t>
        </w:r>
        <w:r>
          <w:noBreakHyphen/>
          <w:t xml:space="preserve">date version of the register on the local government’s official website. </w:t>
        </w:r>
      </w:ins>
    </w:p>
    <w:p>
      <w:pPr>
        <w:pStyle w:val="Footnotesection"/>
      </w:pPr>
      <w:r>
        <w:tab/>
        <w:t>[Regulation 34B inserted: Gazette 21 Aug 2007 p. 4190</w:t>
      </w:r>
      <w:r>
        <w:noBreakHyphen/>
        <w:t>1; amended: Gazette 20 Jan 2017 p. 649</w:t>
      </w:r>
      <w:ins w:id="353" w:author="Master Repository Process" w:date="2021-08-29T03:28:00Z">
        <w:r>
          <w:t>; 18 Oct 2019 p. 3682</w:t>
        </w:r>
      </w:ins>
      <w:r>
        <w:t>.]</w:t>
      </w:r>
    </w:p>
    <w:p>
      <w:pPr>
        <w:pStyle w:val="Heading5"/>
      </w:pPr>
      <w:bookmarkStart w:id="354" w:name="_Toc22217941"/>
      <w:bookmarkStart w:id="355" w:name="_Toc19185649"/>
      <w:r>
        <w:rPr>
          <w:rStyle w:val="CharSectno"/>
        </w:rPr>
        <w:t>34C</w:t>
      </w:r>
      <w:r>
        <w:t>.</w:t>
      </w:r>
      <w:r>
        <w:tab/>
        <w:t>Codes of conduct about disclosing interests affecting impartiality, content of (Act s. 5.103(3))</w:t>
      </w:r>
      <w:bookmarkEnd w:id="354"/>
      <w:bookmarkEnd w:id="355"/>
    </w:p>
    <w:p>
      <w:pPr>
        <w:pStyle w:val="Subsection"/>
      </w:pPr>
      <w:r>
        <w:tab/>
        <w:t>(1)</w:t>
      </w:r>
      <w:r>
        <w:tab/>
        <w:t>In this regulation —</w:t>
      </w:r>
    </w:p>
    <w:p>
      <w:pPr>
        <w:pStyle w:val="Defstart"/>
      </w:pPr>
      <w:r>
        <w:rPr>
          <w:b/>
        </w:rPr>
        <w:tab/>
      </w:r>
      <w:r>
        <w:rPr>
          <w:rStyle w:val="CharDefText"/>
        </w:rPr>
        <w:t>interest</w:t>
      </w:r>
      <w:r>
        <w:t xml:space="preserve"> means an interest that could, or could reasonably be perceived to, adversely affect the impartiality of the person having the interest and includes an interest arising from kinship, friendship or membership of an association.</w:t>
      </w:r>
    </w:p>
    <w:p>
      <w:pPr>
        <w:pStyle w:val="Subsection"/>
      </w:pPr>
      <w:r>
        <w:tab/>
        <w:t>(2)</w:t>
      </w:r>
      <w:r>
        <w:tab/>
        <w:t>A code of conduct is to contain a requirement that a person who is an employee and who has an interest in any matter to be discussed at a council or committee meeting attended by the person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(3)</w:t>
      </w:r>
      <w:r>
        <w:tab/>
        <w:t>A code of conduct is to contain a requirement that a person who is an employee and who has given, or will give, advice in respect of any matter to be discussed at a council or committee meeting not attended by the person disclose the nature of any interest the person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keepNext/>
      </w:pPr>
      <w:r>
        <w:tab/>
        <w:t>(4)</w:t>
      </w:r>
      <w:r>
        <w:tab/>
        <w:t>A code of conduct is to exclude from a requirement made under subregulation (2) or (3) an interest referred to in section 5.60.</w:t>
      </w:r>
    </w:p>
    <w:p>
      <w:pPr>
        <w:pStyle w:val="Subsection"/>
        <w:keepNext/>
      </w:pPr>
      <w:r>
        <w:tab/>
        <w:t>(5)</w:t>
      </w:r>
      <w:r>
        <w:tab/>
        <w:t>A code of conduct is to excuse a person from a requirement made under subregulation (2) or (3) to disclose the nature of an interest if —</w:t>
      </w:r>
    </w:p>
    <w:p>
      <w:pPr>
        <w:pStyle w:val="Indenta"/>
      </w:pPr>
      <w:r>
        <w:tab/>
        <w:t>(a)</w:t>
      </w:r>
      <w:r>
        <w:tab/>
        <w:t>the person’s failure to disclose occurs because the person did not know he or she had an interest in the matter; or</w:t>
      </w:r>
    </w:p>
    <w:p>
      <w:pPr>
        <w:pStyle w:val="Indenta"/>
      </w:pPr>
      <w:r>
        <w:tab/>
        <w:t>(b)</w:t>
      </w:r>
      <w:r>
        <w:tab/>
        <w:t>the person’s failure to disclose occurs because the person did not know the matter in which he or she had an interest would be discussed at the meeting and the person discloses the nature of the interest as soon as possible after becoming aware of the discussion of a matter of that kind.</w:t>
      </w:r>
    </w:p>
    <w:p>
      <w:pPr>
        <w:pStyle w:val="Subsection"/>
      </w:pPr>
      <w:r>
        <w:tab/>
        <w:t>(6)</w:t>
      </w:r>
      <w:r>
        <w:tab/>
        <w:t>A code of conduct is to require that if, to comply with a requirement made under subregulation (2) or (3), a person who is an employee makes a disclosure in a written notice given to the CEO before a meeting then —</w:t>
      </w:r>
    </w:p>
    <w:p>
      <w:pPr>
        <w:pStyle w:val="Indenta"/>
      </w:pPr>
      <w:r>
        <w:tab/>
        <w:t>(a)</w:t>
      </w:r>
      <w:r>
        <w:tab/>
        <w:t>before the meeting the CEO is to cause the notice to be given to the person who is to preside at the meeting; and</w:t>
      </w:r>
    </w:p>
    <w:p>
      <w:pPr>
        <w:pStyle w:val="Indenta"/>
      </w:pPr>
      <w:r>
        <w:tab/>
        <w:t>(b)</w:t>
      </w:r>
      <w:r>
        <w:tab/>
        <w:t>immediately before a matter to which the disclosure relates is discussed at the meeting the person presiding is to bring the notice and its contents to the attention of the persons present.</w:t>
      </w:r>
    </w:p>
    <w:p>
      <w:pPr>
        <w:pStyle w:val="Subsection"/>
      </w:pPr>
      <w:r>
        <w:tab/>
        <w:t>(7)</w:t>
      </w:r>
      <w:r>
        <w:tab/>
        <w:t>If —</w:t>
      </w:r>
    </w:p>
    <w:p>
      <w:pPr>
        <w:pStyle w:val="Indenta"/>
      </w:pPr>
      <w:r>
        <w:tab/>
        <w:t>(a)</w:t>
      </w:r>
      <w:r>
        <w:tab/>
        <w:t>to comply with a requirement made under subregulation (2), the nature of a person’s interest in a matter is disclosed at a meeting; or</w:t>
      </w:r>
    </w:p>
    <w:p>
      <w:pPr>
        <w:pStyle w:val="Indenta"/>
      </w:pPr>
      <w:r>
        <w:tab/>
        <w:t>(b)</w:t>
      </w:r>
      <w:r>
        <w:tab/>
        <w:t>a disclosure is made as described in subregulation (5)(b) at a meeting; or</w:t>
      </w:r>
    </w:p>
    <w:p>
      <w:pPr>
        <w:pStyle w:val="Indenta"/>
      </w:pPr>
      <w:r>
        <w:tab/>
        <w:t>(c)</w:t>
      </w:r>
      <w:r>
        <w:tab/>
        <w:t>to comply with a requirement made under subregulation (6)(b), a notice disclosing the nature of a person’s interest in a matter is brought to the attention of the persons present at a meeting,</w:t>
      </w:r>
    </w:p>
    <w:p>
      <w:pPr>
        <w:pStyle w:val="Subsection"/>
      </w:pPr>
      <w:r>
        <w:tab/>
      </w:r>
      <w:r>
        <w:tab/>
        <w:t>the nature of the interest is to be recorded in the minutes of the meeting.</w:t>
      </w:r>
    </w:p>
    <w:p>
      <w:pPr>
        <w:pStyle w:val="Footnotesection"/>
      </w:pPr>
      <w:r>
        <w:tab/>
        <w:t>[Regulation 34C inserted: Gazette 21 Aug 2007 p. 4192</w:t>
      </w:r>
      <w:r>
        <w:noBreakHyphen/>
        <w:t>3.]</w:t>
      </w:r>
    </w:p>
    <w:p>
      <w:pPr>
        <w:pStyle w:val="Heading3"/>
        <w:rPr>
          <w:del w:id="356" w:author="Master Repository Process" w:date="2021-08-29T03:28:00Z"/>
        </w:rPr>
      </w:pPr>
      <w:bookmarkStart w:id="357" w:name="_Toc19177942"/>
      <w:bookmarkStart w:id="358" w:name="_Toc19183907"/>
      <w:bookmarkStart w:id="359" w:name="_Toc19185650"/>
      <w:bookmarkStart w:id="360" w:name="_Toc22207002"/>
      <w:ins w:id="361" w:author="Master Repository Process" w:date="2021-08-29T03:28:00Z">
        <w:r>
          <w:t>[</w:t>
        </w:r>
      </w:ins>
      <w:r>
        <w:t>Division 2</w:t>
      </w:r>
      <w:del w:id="362" w:author="Master Repository Process" w:date="2021-08-29T03:28:00Z">
        <w:r>
          <w:delText> — </w:delText>
        </w:r>
        <w:r>
          <w:rPr>
            <w:rStyle w:val="CharDivText"/>
          </w:rPr>
          <w:delText>Prescribed code of conduct: transitional period</w:delText>
        </w:r>
      </w:del>
    </w:p>
    <w:p>
      <w:pPr>
        <w:pStyle w:val="Footnoteheading"/>
        <w:rPr>
          <w:del w:id="363" w:author="Master Repository Process" w:date="2021-08-29T03:28:00Z"/>
        </w:rPr>
      </w:pPr>
      <w:del w:id="364" w:author="Master Repository Process" w:date="2021-08-29T03:28:00Z">
        <w:r>
          <w:tab/>
          <w:delText>[Heading inserted</w:delText>
        </w:r>
      </w:del>
      <w:ins w:id="365" w:author="Master Repository Process" w:date="2021-08-29T03:28:00Z">
        <w:r>
          <w:t xml:space="preserve"> deleted</w:t>
        </w:r>
      </w:ins>
      <w:r>
        <w:t xml:space="preserve">: Gazette </w:t>
      </w:r>
      <w:del w:id="366" w:author="Master Repository Process" w:date="2021-08-29T03:28:00Z">
        <w:r>
          <w:delText>4 Mar 2016</w:delText>
        </w:r>
      </w:del>
      <w:ins w:id="367" w:author="Master Repository Process" w:date="2021-08-29T03:28:00Z">
        <w:r>
          <w:t>18 Oct 2019</w:t>
        </w:r>
      </w:ins>
      <w:r>
        <w:t xml:space="preserve"> p. </w:t>
      </w:r>
      <w:del w:id="368" w:author="Master Repository Process" w:date="2021-08-29T03:28:00Z">
        <w:r>
          <w:delText>652.]</w:delText>
        </w:r>
      </w:del>
    </w:p>
    <w:p>
      <w:pPr>
        <w:pStyle w:val="Heading5"/>
        <w:rPr>
          <w:del w:id="369" w:author="Master Repository Process" w:date="2021-08-29T03:28:00Z"/>
        </w:rPr>
      </w:pPr>
      <w:bookmarkStart w:id="370" w:name="_Toc19185651"/>
      <w:del w:id="371" w:author="Master Repository Process" w:date="2021-08-29T03:28:00Z">
        <w:r>
          <w:rPr>
            <w:rStyle w:val="CharSectno"/>
          </w:rPr>
          <w:delText>34D</w:delText>
        </w:r>
        <w:r>
          <w:delText>.</w:delText>
        </w:r>
        <w:r>
          <w:tab/>
          <w:delText>Terms used</w:delText>
        </w:r>
        <w:bookmarkEnd w:id="370"/>
      </w:del>
    </w:p>
    <w:p>
      <w:pPr>
        <w:pStyle w:val="Subsection"/>
        <w:rPr>
          <w:del w:id="372" w:author="Master Repository Process" w:date="2021-08-29T03:28:00Z"/>
        </w:rPr>
      </w:pPr>
      <w:del w:id="373" w:author="Master Repository Process" w:date="2021-08-29T03:28:00Z">
        <w:r>
          <w:tab/>
        </w:r>
        <w:r>
          <w:tab/>
          <w:delText xml:space="preserve">In this Division — </w:delText>
        </w:r>
      </w:del>
    </w:p>
    <w:p>
      <w:pPr>
        <w:pStyle w:val="Defstart"/>
        <w:rPr>
          <w:del w:id="374" w:author="Master Repository Process" w:date="2021-08-29T03:28:00Z"/>
        </w:rPr>
      </w:pPr>
      <w:del w:id="375" w:author="Master Repository Process" w:date="2021-08-29T03:28:00Z">
        <w:r>
          <w:rPr>
            <w:b/>
            <w:i/>
          </w:rPr>
          <w:tab/>
        </w:r>
        <w:r>
          <w:rPr>
            <w:rStyle w:val="CharDefText"/>
          </w:rPr>
          <w:delText>address</w:delText>
        </w:r>
        <w:r>
          <w:delText xml:space="preserve"> has the meaning given in section 5.74(1);</w:delText>
        </w:r>
      </w:del>
    </w:p>
    <w:p>
      <w:pPr>
        <w:pStyle w:val="Defstart"/>
        <w:rPr>
          <w:del w:id="376" w:author="Master Repository Process" w:date="2021-08-29T03:28:00Z"/>
        </w:rPr>
      </w:pPr>
      <w:del w:id="377" w:author="Master Repository Process" w:date="2021-08-29T03:28:00Z">
        <w:r>
          <w:tab/>
        </w:r>
        <w:r>
          <w:rPr>
            <w:rStyle w:val="CharDefText"/>
          </w:rPr>
          <w:delText>assent day</w:delText>
        </w:r>
        <w:r>
          <w:delText xml:space="preserve"> means the day on which the </w:delText>
        </w:r>
        <w:r>
          <w:rPr>
            <w:i/>
          </w:rPr>
          <w:delText>City of Perth Act 2016</w:delText>
        </w:r>
        <w:r>
          <w:delText xml:space="preserve"> receives the Royal Assent;</w:delText>
        </w:r>
      </w:del>
    </w:p>
    <w:p>
      <w:pPr>
        <w:pStyle w:val="Defstart"/>
        <w:rPr>
          <w:del w:id="378" w:author="Master Repository Process" w:date="2021-08-29T03:28:00Z"/>
        </w:rPr>
      </w:pPr>
      <w:del w:id="379" w:author="Master Repository Process" w:date="2021-08-29T03:28:00Z">
        <w:r>
          <w:tab/>
        </w:r>
        <w:r>
          <w:rPr>
            <w:rStyle w:val="CharDefText"/>
          </w:rPr>
          <w:delText>designated employee</w:delText>
        </w:r>
        <w:r>
          <w:delText xml:space="preserve"> has the meaning given in section 5.74(1);</w:delText>
        </w:r>
      </w:del>
    </w:p>
    <w:p>
      <w:pPr>
        <w:pStyle w:val="Defstart"/>
        <w:rPr>
          <w:del w:id="380" w:author="Master Repository Process" w:date="2021-08-29T03:28:00Z"/>
        </w:rPr>
      </w:pPr>
      <w:del w:id="381" w:author="Master Repository Process" w:date="2021-08-29T03:28:00Z">
        <w:r>
          <w:tab/>
        </w:r>
        <w:r>
          <w:rPr>
            <w:rStyle w:val="CharDefText"/>
          </w:rPr>
          <w:delText>gift</w:delText>
        </w:r>
        <w:r>
          <w:delText xml:space="preserve"> has the meaning given in section 5.82(4);</w:delText>
        </w:r>
      </w:del>
    </w:p>
    <w:p>
      <w:pPr>
        <w:pStyle w:val="Defstart"/>
        <w:rPr>
          <w:del w:id="382" w:author="Master Repository Process" w:date="2021-08-29T03:28:00Z"/>
        </w:rPr>
      </w:pPr>
      <w:del w:id="383" w:author="Master Repository Process" w:date="2021-08-29T03:28:00Z">
        <w:r>
          <w:tab/>
        </w:r>
        <w:r>
          <w:rPr>
            <w:rStyle w:val="CharDefText"/>
          </w:rPr>
          <w:delText>political party</w:delText>
        </w:r>
        <w:r>
          <w:delText xml:space="preserve"> has the meaning given in section 5.83(4);</w:delText>
        </w:r>
      </w:del>
    </w:p>
    <w:p>
      <w:pPr>
        <w:pStyle w:val="Defstart"/>
        <w:rPr>
          <w:del w:id="384" w:author="Master Repository Process" w:date="2021-08-29T03:28:00Z"/>
        </w:rPr>
      </w:pPr>
      <w:del w:id="385" w:author="Master Repository Process" w:date="2021-08-29T03:28:00Z">
        <w:r>
          <w:tab/>
        </w:r>
        <w:r>
          <w:rPr>
            <w:rStyle w:val="CharDefText"/>
          </w:rPr>
          <w:delText>relative</w:delText>
        </w:r>
        <w:r>
          <w:delText xml:space="preserve"> has the meaning given in section 5.74(1);</w:delText>
        </w:r>
      </w:del>
    </w:p>
    <w:p>
      <w:pPr>
        <w:pStyle w:val="Defstart"/>
        <w:rPr>
          <w:del w:id="386" w:author="Master Repository Process" w:date="2021-08-29T03:28:00Z"/>
        </w:rPr>
      </w:pPr>
      <w:del w:id="387" w:author="Master Repository Process" w:date="2021-08-29T03:28:00Z">
        <w:r>
          <w:tab/>
        </w:r>
        <w:r>
          <w:rPr>
            <w:rStyle w:val="CharDefText"/>
          </w:rPr>
          <w:delText>transitional period</w:delText>
        </w:r>
        <w:r>
          <w:delText xml:space="preserve"> means the period beginning on 1 July 2015 and ending at the close of assent day;</w:delText>
        </w:r>
      </w:del>
    </w:p>
    <w:p>
      <w:pPr>
        <w:pStyle w:val="Defstart"/>
        <w:rPr>
          <w:del w:id="388" w:author="Master Repository Process" w:date="2021-08-29T03:28:00Z"/>
        </w:rPr>
      </w:pPr>
      <w:del w:id="389" w:author="Master Repository Process" w:date="2021-08-29T03:28:00Z">
        <w:r>
          <w:tab/>
        </w:r>
        <w:r>
          <w:rPr>
            <w:rStyle w:val="CharDefText"/>
          </w:rPr>
          <w:delText>travel</w:delText>
        </w:r>
        <w:r>
          <w:delText xml:space="preserve"> has the meaning given in section 5.83(4);</w:delText>
        </w:r>
      </w:del>
    </w:p>
    <w:p>
      <w:pPr>
        <w:pStyle w:val="Defstart"/>
        <w:rPr>
          <w:del w:id="390" w:author="Master Repository Process" w:date="2021-08-29T03:28:00Z"/>
        </w:rPr>
      </w:pPr>
      <w:del w:id="391" w:author="Master Repository Process" w:date="2021-08-29T03:28:00Z">
        <w:r>
          <w:tab/>
        </w:r>
        <w:r>
          <w:rPr>
            <w:rStyle w:val="CharDefText"/>
          </w:rPr>
          <w:delText>travel contribution</w:delText>
        </w:r>
        <w:r>
          <w:delText>, in relation to a person, means a financial or other contribution that has been made to any travel undertaken by the person.</w:delText>
        </w:r>
      </w:del>
    </w:p>
    <w:p>
      <w:pPr>
        <w:pStyle w:val="Footnotesection"/>
        <w:rPr>
          <w:del w:id="392" w:author="Master Repository Process" w:date="2021-08-29T03:28:00Z"/>
        </w:rPr>
      </w:pPr>
      <w:del w:id="393" w:author="Master Repository Process" w:date="2021-08-29T03:28:00Z">
        <w:r>
          <w:tab/>
          <w:delText>[Regulation 34D inserted: Gazette 4 Mar 2016 p. 652</w:delText>
        </w:r>
        <w:r>
          <w:noBreakHyphen/>
          <w:delText>3.]</w:delText>
        </w:r>
      </w:del>
    </w:p>
    <w:p>
      <w:pPr>
        <w:pStyle w:val="Heading5"/>
        <w:rPr>
          <w:del w:id="394" w:author="Master Repository Process" w:date="2021-08-29T03:28:00Z"/>
        </w:rPr>
      </w:pPr>
      <w:bookmarkStart w:id="395" w:name="_Toc19185652"/>
      <w:del w:id="396" w:author="Master Repository Process" w:date="2021-08-29T03:28:00Z">
        <w:r>
          <w:rPr>
            <w:rStyle w:val="CharSectno"/>
          </w:rPr>
          <w:delText>34E</w:delText>
        </w:r>
        <w:r>
          <w:delText>.</w:delText>
        </w:r>
        <w:r>
          <w:tab/>
          <w:delText>Code of conduct prescribed</w:delText>
        </w:r>
        <w:bookmarkEnd w:id="395"/>
      </w:del>
    </w:p>
    <w:p>
      <w:pPr>
        <w:pStyle w:val="Subsection"/>
        <w:rPr>
          <w:del w:id="397" w:author="Master Repository Process" w:date="2021-08-29T03:28:00Z"/>
        </w:rPr>
      </w:pPr>
      <w:del w:id="398" w:author="Master Repository Process" w:date="2021-08-29T03:28:00Z">
        <w:r>
          <w:tab/>
        </w:r>
        <w:r>
          <w:tab/>
          <w:delText>Regulations 34F and 34G are prescribed as a code of conduct for the purposes of section 5.103(3).</w:delText>
        </w:r>
      </w:del>
    </w:p>
    <w:p>
      <w:pPr>
        <w:pStyle w:val="Footnotesection"/>
        <w:rPr>
          <w:del w:id="399" w:author="Master Repository Process" w:date="2021-08-29T03:28:00Z"/>
        </w:rPr>
      </w:pPr>
      <w:del w:id="400" w:author="Master Repository Process" w:date="2021-08-29T03:28:00Z">
        <w:r>
          <w:tab/>
          <w:delText>[Regulation 34E inserted: Gazette 4 Mar 2016 p. 653.]</w:delText>
        </w:r>
      </w:del>
    </w:p>
    <w:p>
      <w:pPr>
        <w:pStyle w:val="Heading5"/>
        <w:rPr>
          <w:del w:id="401" w:author="Master Repository Process" w:date="2021-08-29T03:28:00Z"/>
        </w:rPr>
      </w:pPr>
      <w:bookmarkStart w:id="402" w:name="_Toc19185653"/>
      <w:del w:id="403" w:author="Master Repository Process" w:date="2021-08-29T03:28:00Z">
        <w:r>
          <w:rPr>
            <w:rStyle w:val="CharSectno"/>
          </w:rPr>
          <w:delText>34F</w:delText>
        </w:r>
        <w:r>
          <w:delText>.</w:delText>
        </w:r>
        <w:r>
          <w:tab/>
          <w:delText>Disclosure of gifts</w:delText>
        </w:r>
        <w:bookmarkEnd w:id="402"/>
      </w:del>
    </w:p>
    <w:p>
      <w:pPr>
        <w:pStyle w:val="Subsection"/>
        <w:rPr>
          <w:del w:id="404" w:author="Master Repository Process" w:date="2021-08-29T03:28:00Z"/>
        </w:rPr>
      </w:pPr>
      <w:del w:id="405" w:author="Master Repository Process" w:date="2021-08-29T03:28:00Z">
        <w:r>
          <w:tab/>
          <w:delText>(1)</w:delText>
        </w:r>
        <w:r>
          <w:tab/>
          <w:delText>A person who is a designated employee must disclose each gift received by the person during the transitional period.</w:delText>
        </w:r>
      </w:del>
    </w:p>
    <w:p>
      <w:pPr>
        <w:pStyle w:val="Subsection"/>
        <w:rPr>
          <w:del w:id="406" w:author="Master Repository Process" w:date="2021-08-29T03:28:00Z"/>
        </w:rPr>
      </w:pPr>
      <w:del w:id="407" w:author="Master Repository Process" w:date="2021-08-29T03:28:00Z">
        <w:r>
          <w:tab/>
          <w:delText>(2)</w:delText>
        </w:r>
        <w:r>
          <w:tab/>
          <w:delText>The disclosure is to be made in writing to the CEO.</w:delText>
        </w:r>
      </w:del>
    </w:p>
    <w:p>
      <w:pPr>
        <w:pStyle w:val="Subsection"/>
        <w:rPr>
          <w:del w:id="408" w:author="Master Repository Process" w:date="2021-08-29T03:28:00Z"/>
        </w:rPr>
      </w:pPr>
      <w:del w:id="409" w:author="Master Repository Process" w:date="2021-08-29T03:28:00Z">
        <w:r>
          <w:tab/>
          <w:delText>(3)</w:delText>
        </w:r>
        <w:r>
          <w:tab/>
          <w:delText>The disclosure is to be made within 28 days after assent day.</w:delText>
        </w:r>
      </w:del>
    </w:p>
    <w:p>
      <w:pPr>
        <w:pStyle w:val="Subsection"/>
        <w:rPr>
          <w:del w:id="410" w:author="Master Repository Process" w:date="2021-08-29T03:28:00Z"/>
        </w:rPr>
      </w:pPr>
      <w:del w:id="411" w:author="Master Repository Process" w:date="2021-08-29T03:28:00Z">
        <w:r>
          <w:tab/>
          <w:delText>(4)</w:delText>
        </w:r>
        <w:r>
          <w:tab/>
          <w:delText xml:space="preserve">The disclosure is to include the following — </w:delText>
        </w:r>
      </w:del>
    </w:p>
    <w:p>
      <w:pPr>
        <w:pStyle w:val="Indenta"/>
        <w:rPr>
          <w:del w:id="412" w:author="Master Repository Process" w:date="2021-08-29T03:28:00Z"/>
        </w:rPr>
      </w:pPr>
      <w:del w:id="413" w:author="Master Repository Process" w:date="2021-08-29T03:28:00Z">
        <w:r>
          <w:tab/>
          <w:delText>(a)</w:delText>
        </w:r>
        <w:r>
          <w:tab/>
          <w:delText>a description of the gift;</w:delText>
        </w:r>
      </w:del>
    </w:p>
    <w:p>
      <w:pPr>
        <w:pStyle w:val="Indenta"/>
        <w:rPr>
          <w:del w:id="414" w:author="Master Repository Process" w:date="2021-08-29T03:28:00Z"/>
        </w:rPr>
      </w:pPr>
      <w:del w:id="415" w:author="Master Repository Process" w:date="2021-08-29T03:28:00Z">
        <w:r>
          <w:tab/>
          <w:delText>(b)</w:delText>
        </w:r>
        <w:r>
          <w:tab/>
          <w:delText>the name and address of the person who made the gift;</w:delText>
        </w:r>
      </w:del>
    </w:p>
    <w:p>
      <w:pPr>
        <w:pStyle w:val="Indenta"/>
        <w:rPr>
          <w:del w:id="416" w:author="Master Repository Process" w:date="2021-08-29T03:28:00Z"/>
        </w:rPr>
      </w:pPr>
      <w:del w:id="417" w:author="Master Repository Process" w:date="2021-08-29T03:28:00Z">
        <w:r>
          <w:tab/>
          <w:delText>(c)</w:delText>
        </w:r>
        <w:r>
          <w:tab/>
          <w:delText>the date on which the gift was received;</w:delText>
        </w:r>
      </w:del>
    </w:p>
    <w:p>
      <w:pPr>
        <w:pStyle w:val="Indenta"/>
        <w:rPr>
          <w:del w:id="418" w:author="Master Repository Process" w:date="2021-08-29T03:28:00Z"/>
        </w:rPr>
      </w:pPr>
      <w:del w:id="419" w:author="Master Repository Process" w:date="2021-08-29T03:28:00Z">
        <w:r>
          <w:tab/>
          <w:delText>(d)</w:delText>
        </w:r>
        <w:r>
          <w:tab/>
          <w:delText>the estimated value of the gift at the time it was made;</w:delText>
        </w:r>
      </w:del>
    </w:p>
    <w:p>
      <w:pPr>
        <w:pStyle w:val="Indenta"/>
        <w:rPr>
          <w:del w:id="420" w:author="Master Repository Process" w:date="2021-08-29T03:28:00Z"/>
        </w:rPr>
      </w:pPr>
      <w:del w:id="421" w:author="Master Repository Process" w:date="2021-08-29T03:28:00Z">
        <w:r>
          <w:tab/>
          <w:delText>(e)</w:delText>
        </w:r>
        <w:r>
          <w:tab/>
          <w:delText>the nature of the relationship between the person who is a designated employee and the person who made the gift.</w:delText>
        </w:r>
      </w:del>
    </w:p>
    <w:p>
      <w:pPr>
        <w:pStyle w:val="Subsection"/>
        <w:rPr>
          <w:del w:id="422" w:author="Master Repository Process" w:date="2021-08-29T03:28:00Z"/>
        </w:rPr>
      </w:pPr>
      <w:del w:id="423" w:author="Master Repository Process" w:date="2021-08-29T03:28:00Z">
        <w:r>
          <w:tab/>
          <w:delText>(5)</w:delText>
        </w:r>
        <w:r>
          <w:tab/>
          <w:delText xml:space="preserve">Nothing in this regulation requires a person to disclose a gift received by the person if — </w:delText>
        </w:r>
      </w:del>
    </w:p>
    <w:p>
      <w:pPr>
        <w:pStyle w:val="Indenta"/>
        <w:rPr>
          <w:del w:id="424" w:author="Master Repository Process" w:date="2021-08-29T03:28:00Z"/>
        </w:rPr>
      </w:pPr>
      <w:del w:id="425" w:author="Master Repository Process" w:date="2021-08-29T03:28:00Z">
        <w:r>
          <w:tab/>
          <w:delText>(a)</w:delText>
        </w:r>
        <w:r>
          <w:tab/>
          <w:delText xml:space="preserve">the amount of the gift did not exceed $200 unless — </w:delText>
        </w:r>
      </w:del>
    </w:p>
    <w:p>
      <w:pPr>
        <w:pStyle w:val="Indenti"/>
        <w:rPr>
          <w:del w:id="426" w:author="Master Repository Process" w:date="2021-08-29T03:28:00Z"/>
        </w:rPr>
      </w:pPr>
      <w:del w:id="427" w:author="Master Repository Process" w:date="2021-08-29T03:28:00Z">
        <w:r>
          <w:tab/>
          <w:delText>(i)</w:delText>
        </w:r>
        <w:r>
          <w:tab/>
          <w:delText>the gift was one of 2 or more gifts made by one person at any time during the year; and</w:delText>
        </w:r>
      </w:del>
    </w:p>
    <w:p>
      <w:pPr>
        <w:pStyle w:val="Indenti"/>
        <w:rPr>
          <w:del w:id="428" w:author="Master Repository Process" w:date="2021-08-29T03:28:00Z"/>
        </w:rPr>
      </w:pPr>
      <w:del w:id="429" w:author="Master Repository Process" w:date="2021-08-29T03:28:00Z">
        <w:r>
          <w:tab/>
          <w:delText>(ii)</w:delText>
        </w:r>
        <w:r>
          <w:tab/>
          <w:delText>the sum of those 2 or more gifts exceeded $200;</w:delText>
        </w:r>
      </w:del>
    </w:p>
    <w:p>
      <w:pPr>
        <w:pStyle w:val="Indenta"/>
        <w:rPr>
          <w:del w:id="430" w:author="Master Repository Process" w:date="2021-08-29T03:28:00Z"/>
        </w:rPr>
      </w:pPr>
      <w:del w:id="431" w:author="Master Repository Process" w:date="2021-08-29T03:28:00Z">
        <w:r>
          <w:tab/>
        </w:r>
        <w:r>
          <w:tab/>
          <w:delText>or</w:delText>
        </w:r>
      </w:del>
    </w:p>
    <w:p>
      <w:pPr>
        <w:pStyle w:val="Indenta"/>
        <w:rPr>
          <w:del w:id="432" w:author="Master Repository Process" w:date="2021-08-29T03:28:00Z"/>
        </w:rPr>
      </w:pPr>
      <w:del w:id="433" w:author="Master Repository Process" w:date="2021-08-29T03:28:00Z">
        <w:r>
          <w:tab/>
          <w:delText>(b)</w:delText>
        </w:r>
        <w:r>
          <w:tab/>
          <w:delText>the donor was a relative of the person.</w:delText>
        </w:r>
      </w:del>
    </w:p>
    <w:p>
      <w:pPr>
        <w:pStyle w:val="Subsection"/>
        <w:rPr>
          <w:del w:id="434" w:author="Master Repository Process" w:date="2021-08-29T03:28:00Z"/>
        </w:rPr>
      </w:pPr>
      <w:del w:id="435" w:author="Master Repository Process" w:date="2021-08-29T03:28:00Z">
        <w:r>
          <w:tab/>
          <w:delText>(6)</w:delText>
        </w:r>
        <w:r>
          <w:tab/>
          <w:delText>For the purposes of subregulation (5)(a), the amount of a gift comprising property, other than money, or the conferral of a financial benefit is to be treated as being an amount equal to the value of the property or the financial benefit at the time the gift was made.</w:delText>
        </w:r>
      </w:del>
    </w:p>
    <w:p>
      <w:pPr>
        <w:pStyle w:val="Subsection"/>
        <w:rPr>
          <w:del w:id="436" w:author="Master Repository Process" w:date="2021-08-29T03:28:00Z"/>
          <w:szCs w:val="24"/>
        </w:rPr>
      </w:pPr>
      <w:del w:id="437" w:author="Master Repository Process" w:date="2021-08-29T03:28:00Z">
        <w:r>
          <w:tab/>
          <w:delText>(7)</w:delText>
        </w:r>
        <w:r>
          <w:tab/>
          <w:delText>The CEO must maintain a register of gifts received during the transitional period in which details of disclosures made under this regulation are recorded.</w:delText>
        </w:r>
      </w:del>
    </w:p>
    <w:p>
      <w:pPr>
        <w:pStyle w:val="Footnotesection"/>
        <w:rPr>
          <w:del w:id="438" w:author="Master Repository Process" w:date="2021-08-29T03:28:00Z"/>
        </w:rPr>
      </w:pPr>
      <w:del w:id="439" w:author="Master Repository Process" w:date="2021-08-29T03:28:00Z">
        <w:r>
          <w:tab/>
          <w:delText>[Regulation 34F inserted: Gazette 4 Mar 2016 p. 653</w:delText>
        </w:r>
        <w:r>
          <w:noBreakHyphen/>
          <w:delText>4.]</w:delText>
        </w:r>
      </w:del>
    </w:p>
    <w:p>
      <w:pPr>
        <w:pStyle w:val="Heading5"/>
        <w:rPr>
          <w:del w:id="440" w:author="Master Repository Process" w:date="2021-08-29T03:28:00Z"/>
        </w:rPr>
      </w:pPr>
      <w:bookmarkStart w:id="441" w:name="_Toc19185654"/>
      <w:del w:id="442" w:author="Master Repository Process" w:date="2021-08-29T03:28:00Z">
        <w:r>
          <w:rPr>
            <w:rStyle w:val="CharSectno"/>
          </w:rPr>
          <w:delText>34G</w:delText>
        </w:r>
        <w:r>
          <w:delText>.</w:delText>
        </w:r>
        <w:r>
          <w:tab/>
          <w:delText>Disclosure of travel contributions</w:delText>
        </w:r>
        <w:bookmarkEnd w:id="441"/>
      </w:del>
    </w:p>
    <w:p>
      <w:pPr>
        <w:pStyle w:val="Subsection"/>
        <w:rPr>
          <w:del w:id="443" w:author="Master Repository Process" w:date="2021-08-29T03:28:00Z"/>
        </w:rPr>
      </w:pPr>
      <w:del w:id="444" w:author="Master Repository Process" w:date="2021-08-29T03:28:00Z">
        <w:r>
          <w:tab/>
          <w:delText>(1)</w:delText>
        </w:r>
        <w:r>
          <w:tab/>
          <w:delText>A person who is a designated employee must disclose each travel contribution received by the person during the transitional period.</w:delText>
        </w:r>
      </w:del>
    </w:p>
    <w:p>
      <w:pPr>
        <w:pStyle w:val="Subsection"/>
        <w:rPr>
          <w:del w:id="445" w:author="Master Repository Process" w:date="2021-08-29T03:28:00Z"/>
        </w:rPr>
      </w:pPr>
      <w:del w:id="446" w:author="Master Repository Process" w:date="2021-08-29T03:28:00Z">
        <w:r>
          <w:tab/>
          <w:delText>(2)</w:delText>
        </w:r>
        <w:r>
          <w:tab/>
          <w:delText>The disclosure is to be made in writing to the CEO.</w:delText>
        </w:r>
      </w:del>
    </w:p>
    <w:p>
      <w:pPr>
        <w:pStyle w:val="Subsection"/>
        <w:rPr>
          <w:del w:id="447" w:author="Master Repository Process" w:date="2021-08-29T03:28:00Z"/>
        </w:rPr>
      </w:pPr>
      <w:del w:id="448" w:author="Master Repository Process" w:date="2021-08-29T03:28:00Z">
        <w:r>
          <w:tab/>
          <w:delText>(3)</w:delText>
        </w:r>
        <w:r>
          <w:tab/>
          <w:delText>The disclosure is to be made within 28 days after assent day.</w:delText>
        </w:r>
      </w:del>
    </w:p>
    <w:p>
      <w:pPr>
        <w:pStyle w:val="Subsection"/>
        <w:rPr>
          <w:del w:id="449" w:author="Master Repository Process" w:date="2021-08-29T03:28:00Z"/>
        </w:rPr>
      </w:pPr>
      <w:del w:id="450" w:author="Master Repository Process" w:date="2021-08-29T03:28:00Z">
        <w:r>
          <w:tab/>
          <w:delText>(4)</w:delText>
        </w:r>
        <w:r>
          <w:tab/>
          <w:delText xml:space="preserve">The disclosure is to include the following — </w:delText>
        </w:r>
      </w:del>
    </w:p>
    <w:p>
      <w:pPr>
        <w:pStyle w:val="Indenta"/>
        <w:rPr>
          <w:del w:id="451" w:author="Master Repository Process" w:date="2021-08-29T03:28:00Z"/>
        </w:rPr>
      </w:pPr>
      <w:del w:id="452" w:author="Master Repository Process" w:date="2021-08-29T03:28:00Z">
        <w:r>
          <w:tab/>
          <w:delText>(a)</w:delText>
        </w:r>
        <w:r>
          <w:tab/>
          <w:delText>a description of the contribution;</w:delText>
        </w:r>
      </w:del>
    </w:p>
    <w:p>
      <w:pPr>
        <w:pStyle w:val="Indenta"/>
        <w:rPr>
          <w:del w:id="453" w:author="Master Repository Process" w:date="2021-08-29T03:28:00Z"/>
        </w:rPr>
      </w:pPr>
      <w:del w:id="454" w:author="Master Repository Process" w:date="2021-08-29T03:28:00Z">
        <w:r>
          <w:tab/>
          <w:delText>(b)</w:delText>
        </w:r>
        <w:r>
          <w:tab/>
          <w:delText>the name and address of the person who made the contribution;</w:delText>
        </w:r>
      </w:del>
    </w:p>
    <w:p>
      <w:pPr>
        <w:pStyle w:val="Indenta"/>
        <w:rPr>
          <w:del w:id="455" w:author="Master Repository Process" w:date="2021-08-29T03:28:00Z"/>
        </w:rPr>
      </w:pPr>
      <w:del w:id="456" w:author="Master Repository Process" w:date="2021-08-29T03:28:00Z">
        <w:r>
          <w:tab/>
          <w:delText>(c)</w:delText>
        </w:r>
        <w:r>
          <w:tab/>
          <w:delText>the date on which the contribution was received;</w:delText>
        </w:r>
      </w:del>
    </w:p>
    <w:p>
      <w:pPr>
        <w:pStyle w:val="Indenta"/>
        <w:rPr>
          <w:del w:id="457" w:author="Master Repository Process" w:date="2021-08-29T03:28:00Z"/>
        </w:rPr>
      </w:pPr>
      <w:del w:id="458" w:author="Master Repository Process" w:date="2021-08-29T03:28:00Z">
        <w:r>
          <w:tab/>
          <w:delText>(d)</w:delText>
        </w:r>
        <w:r>
          <w:tab/>
          <w:delText>the estimated value of the contribution at the time it was made;</w:delText>
        </w:r>
      </w:del>
    </w:p>
    <w:p>
      <w:pPr>
        <w:pStyle w:val="Indenta"/>
        <w:rPr>
          <w:del w:id="459" w:author="Master Repository Process" w:date="2021-08-29T03:28:00Z"/>
        </w:rPr>
      </w:pPr>
      <w:del w:id="460" w:author="Master Repository Process" w:date="2021-08-29T03:28:00Z">
        <w:r>
          <w:tab/>
          <w:delText>(e)</w:delText>
        </w:r>
        <w:r>
          <w:tab/>
          <w:delText>the nature of the relationship between the person who is a designated employee and the person who made the contribution;</w:delText>
        </w:r>
      </w:del>
    </w:p>
    <w:p>
      <w:pPr>
        <w:pStyle w:val="Indenta"/>
        <w:rPr>
          <w:del w:id="461" w:author="Master Repository Process" w:date="2021-08-29T03:28:00Z"/>
        </w:rPr>
      </w:pPr>
      <w:del w:id="462" w:author="Master Repository Process" w:date="2021-08-29T03:28:00Z">
        <w:r>
          <w:tab/>
          <w:delText>(f)</w:delText>
        </w:r>
        <w:r>
          <w:tab/>
          <w:delText>a description of the travel;</w:delText>
        </w:r>
      </w:del>
    </w:p>
    <w:p>
      <w:pPr>
        <w:pStyle w:val="Indenta"/>
        <w:rPr>
          <w:del w:id="463" w:author="Master Repository Process" w:date="2021-08-29T03:28:00Z"/>
        </w:rPr>
      </w:pPr>
      <w:del w:id="464" w:author="Master Repository Process" w:date="2021-08-29T03:28:00Z">
        <w:r>
          <w:tab/>
          <w:delText>(g)</w:delText>
        </w:r>
        <w:r>
          <w:tab/>
          <w:delText>the date of travel.</w:delText>
        </w:r>
      </w:del>
    </w:p>
    <w:p>
      <w:pPr>
        <w:pStyle w:val="Subsection"/>
        <w:rPr>
          <w:del w:id="465" w:author="Master Repository Process" w:date="2021-08-29T03:28:00Z"/>
        </w:rPr>
      </w:pPr>
      <w:del w:id="466" w:author="Master Repository Process" w:date="2021-08-29T03:28:00Z">
        <w:r>
          <w:tab/>
          <w:delText>(5)</w:delText>
        </w:r>
        <w:r>
          <w:tab/>
          <w:delText xml:space="preserve">Nothing in this regulation requires a person to disclose a travel contribution if — </w:delText>
        </w:r>
      </w:del>
    </w:p>
    <w:p>
      <w:pPr>
        <w:pStyle w:val="Indenta"/>
        <w:rPr>
          <w:del w:id="467" w:author="Master Repository Process" w:date="2021-08-29T03:28:00Z"/>
        </w:rPr>
      </w:pPr>
      <w:del w:id="468" w:author="Master Repository Process" w:date="2021-08-29T03:28:00Z">
        <w:r>
          <w:tab/>
          <w:delText>(a)</w:delText>
        </w:r>
        <w:r>
          <w:tab/>
          <w:delText>the contribution was made from Commonwealth, State or local government funds; or</w:delText>
        </w:r>
      </w:del>
    </w:p>
    <w:p>
      <w:pPr>
        <w:pStyle w:val="Indenta"/>
        <w:rPr>
          <w:del w:id="469" w:author="Master Repository Process" w:date="2021-08-29T03:28:00Z"/>
        </w:rPr>
      </w:pPr>
      <w:del w:id="470" w:author="Master Repository Process" w:date="2021-08-29T03:28:00Z">
        <w:r>
          <w:tab/>
          <w:delText>(b)</w:delText>
        </w:r>
        <w:r>
          <w:tab/>
          <w:delText>the contribution was made by a relative of the person; or</w:delText>
        </w:r>
      </w:del>
    </w:p>
    <w:p>
      <w:pPr>
        <w:pStyle w:val="Indenta"/>
        <w:rPr>
          <w:del w:id="471" w:author="Master Repository Process" w:date="2021-08-29T03:28:00Z"/>
        </w:rPr>
      </w:pPr>
      <w:del w:id="472" w:author="Master Repository Process" w:date="2021-08-29T03:28:00Z">
        <w:r>
          <w:tab/>
          <w:delText>(c)</w:delText>
        </w:r>
        <w:r>
          <w:tab/>
          <w:delText>the contribution was made in the ordinary course of an occupation of the person which is not related to the person’s duties as a council member; or</w:delText>
        </w:r>
      </w:del>
    </w:p>
    <w:p>
      <w:pPr>
        <w:pStyle w:val="Indenta"/>
        <w:rPr>
          <w:del w:id="473" w:author="Master Repository Process" w:date="2021-08-29T03:28:00Z"/>
        </w:rPr>
      </w:pPr>
      <w:del w:id="474" w:author="Master Repository Process" w:date="2021-08-29T03:28:00Z">
        <w:r>
          <w:tab/>
          <w:delText>(d)</w:delText>
        </w:r>
        <w:r>
          <w:tab/>
          <w:delText xml:space="preserve">the amount of the contribution did not exceed $200 unless — </w:delText>
        </w:r>
      </w:del>
    </w:p>
    <w:p>
      <w:pPr>
        <w:pStyle w:val="Indenti"/>
        <w:rPr>
          <w:del w:id="475" w:author="Master Repository Process" w:date="2021-08-29T03:28:00Z"/>
        </w:rPr>
      </w:pPr>
      <w:del w:id="476" w:author="Master Repository Process" w:date="2021-08-29T03:28:00Z">
        <w:r>
          <w:tab/>
          <w:delText>(i)</w:delText>
        </w:r>
        <w:r>
          <w:tab/>
          <w:delText>the contribution was one of 2 or more contributions made by one person at any time during the year; and</w:delText>
        </w:r>
      </w:del>
    </w:p>
    <w:p>
      <w:pPr>
        <w:pStyle w:val="Indenti"/>
        <w:rPr>
          <w:del w:id="477" w:author="Master Repository Process" w:date="2021-08-29T03:28:00Z"/>
        </w:rPr>
      </w:pPr>
      <w:del w:id="478" w:author="Master Repository Process" w:date="2021-08-29T03:28:00Z">
        <w:r>
          <w:tab/>
          <w:delText>(ii)</w:delText>
        </w:r>
        <w:r>
          <w:tab/>
          <w:delText>the sum of those 2 or more contributions exceeded $200;</w:delText>
        </w:r>
      </w:del>
    </w:p>
    <w:p>
      <w:pPr>
        <w:pStyle w:val="Indenta"/>
        <w:rPr>
          <w:del w:id="479" w:author="Master Repository Process" w:date="2021-08-29T03:28:00Z"/>
        </w:rPr>
      </w:pPr>
      <w:del w:id="480" w:author="Master Repository Process" w:date="2021-08-29T03:28:00Z">
        <w:r>
          <w:tab/>
        </w:r>
        <w:r>
          <w:tab/>
          <w:delText>or</w:delText>
        </w:r>
      </w:del>
    </w:p>
    <w:p>
      <w:pPr>
        <w:pStyle w:val="Indenta"/>
        <w:rPr>
          <w:del w:id="481" w:author="Master Repository Process" w:date="2021-08-29T03:28:00Z"/>
        </w:rPr>
      </w:pPr>
      <w:del w:id="482" w:author="Master Repository Process" w:date="2021-08-29T03:28:00Z">
        <w:r>
          <w:tab/>
          <w:delText>(e)</w:delText>
        </w:r>
        <w:r>
          <w:tab/>
          <w:delText>the contribution was made by a political party of which the person was a member and the travel was undertaken for the purpose of political activity of the party, or to enable the person to represent the party.</w:delText>
        </w:r>
      </w:del>
    </w:p>
    <w:p>
      <w:pPr>
        <w:pStyle w:val="Subsection"/>
        <w:rPr>
          <w:del w:id="483" w:author="Master Repository Process" w:date="2021-08-29T03:28:00Z"/>
        </w:rPr>
      </w:pPr>
      <w:del w:id="484" w:author="Master Repository Process" w:date="2021-08-29T03:28:00Z">
        <w:r>
          <w:tab/>
          <w:delText>(6)</w:delText>
        </w:r>
        <w:r>
          <w:tab/>
          <w:delText>For the purposes of subregulation (5)(d), the amount of a contribution (other than a financial contribution) is to be treated as being an amount equal to the value of the contribution at the time the contribution was made.</w:delText>
        </w:r>
      </w:del>
    </w:p>
    <w:p>
      <w:pPr>
        <w:pStyle w:val="Subsection"/>
        <w:rPr>
          <w:del w:id="485" w:author="Master Repository Process" w:date="2021-08-29T03:28:00Z"/>
          <w:szCs w:val="24"/>
        </w:rPr>
      </w:pPr>
      <w:del w:id="486" w:author="Master Repository Process" w:date="2021-08-29T03:28:00Z">
        <w:r>
          <w:tab/>
          <w:delText>(7)</w:delText>
        </w:r>
        <w:r>
          <w:tab/>
          <w:delText>The CEO must maintain a register of travel contributions received during the transitional period in which details of disclosures made under this regulation are recorded.</w:delText>
        </w:r>
      </w:del>
    </w:p>
    <w:p>
      <w:pPr>
        <w:pStyle w:val="Ednotedivision"/>
      </w:pPr>
      <w:del w:id="487" w:author="Master Repository Process" w:date="2021-08-29T03:28:00Z">
        <w:r>
          <w:tab/>
          <w:delText>[Regulation 34G inserted: Gazette 4 Mar 2016 p. 654</w:delText>
        </w:r>
        <w:r>
          <w:noBreakHyphen/>
          <w:delText>6</w:delText>
        </w:r>
      </w:del>
      <w:ins w:id="488" w:author="Master Repository Process" w:date="2021-08-29T03:28:00Z">
        <w:r>
          <w:t>3682</w:t>
        </w:r>
      </w:ins>
      <w:r>
        <w:t>.]</w:t>
      </w:r>
    </w:p>
    <w:p>
      <w:pPr>
        <w:pStyle w:val="Heading2"/>
      </w:pPr>
      <w:bookmarkStart w:id="489" w:name="_Toc19183912"/>
      <w:bookmarkStart w:id="490" w:name="_Toc19185655"/>
      <w:bookmarkStart w:id="491" w:name="_Toc22207007"/>
      <w:bookmarkStart w:id="492" w:name="_Toc22208880"/>
      <w:bookmarkStart w:id="493" w:name="_Toc22217863"/>
      <w:bookmarkStart w:id="494" w:name="_Toc22217942"/>
      <w:bookmarkEnd w:id="357"/>
      <w:bookmarkEnd w:id="358"/>
      <w:bookmarkEnd w:id="359"/>
      <w:bookmarkEnd w:id="360"/>
      <w:r>
        <w:rPr>
          <w:rStyle w:val="CharPartNo"/>
        </w:rPr>
        <w:t>Part 10</w:t>
      </w:r>
      <w:r>
        <w:rPr>
          <w:rStyle w:val="CharDivNo"/>
        </w:rPr>
        <w:t> </w:t>
      </w:r>
      <w:r>
        <w:t>—</w:t>
      </w:r>
      <w:r>
        <w:rPr>
          <w:rStyle w:val="CharDivText"/>
        </w:rPr>
        <w:t> </w:t>
      </w:r>
      <w:r>
        <w:rPr>
          <w:rStyle w:val="CharPartText"/>
        </w:rPr>
        <w:t>Training</w:t>
      </w:r>
      <w:bookmarkEnd w:id="489"/>
      <w:bookmarkEnd w:id="490"/>
      <w:bookmarkEnd w:id="491"/>
      <w:bookmarkEnd w:id="492"/>
      <w:bookmarkEnd w:id="493"/>
      <w:bookmarkEnd w:id="494"/>
    </w:p>
    <w:p>
      <w:pPr>
        <w:pStyle w:val="Footnoteheading"/>
      </w:pPr>
      <w:r>
        <w:tab/>
        <w:t>[Heading inserted: Gazette 9 Aug 2019 p. 3022.]</w:t>
      </w:r>
    </w:p>
    <w:p>
      <w:pPr>
        <w:pStyle w:val="Heading5"/>
      </w:pPr>
      <w:bookmarkStart w:id="495" w:name="_Toc22217943"/>
      <w:bookmarkStart w:id="496" w:name="_Toc19185656"/>
      <w:r>
        <w:rPr>
          <w:rStyle w:val="CharSectno"/>
        </w:rPr>
        <w:t>35</w:t>
      </w:r>
      <w:r>
        <w:t>.</w:t>
      </w:r>
      <w:r>
        <w:tab/>
        <w:t>Training for council members (Act s. 5.126(1))</w:t>
      </w:r>
      <w:bookmarkEnd w:id="495"/>
      <w:bookmarkEnd w:id="496"/>
    </w:p>
    <w:p>
      <w:pPr>
        <w:pStyle w:val="Subsection"/>
      </w:pPr>
      <w:r>
        <w:tab/>
        <w:t>(1)</w:t>
      </w:r>
      <w:r>
        <w:tab/>
        <w:t>A council member completes training for the purposes of section 5.126(1) if the council member passes the course of training specified in subregulation (2) within the period specified in subregulation (3).</w:t>
      </w:r>
    </w:p>
    <w:p>
      <w:pPr>
        <w:pStyle w:val="Subsection"/>
      </w:pPr>
      <w:r>
        <w:tab/>
        <w:t>(2)</w:t>
      </w:r>
      <w:r>
        <w:tab/>
        <w:t xml:space="preserve">The course of training is the course titled </w:t>
      </w:r>
      <w:r>
        <w:rPr>
          <w:i/>
        </w:rPr>
        <w:t>Council Member Essentials</w:t>
      </w:r>
      <w:r>
        <w:t xml:space="preserve"> that — </w:t>
      </w:r>
    </w:p>
    <w:p>
      <w:pPr>
        <w:pStyle w:val="Indenta"/>
      </w:pPr>
      <w:r>
        <w:tab/>
        <w:t>(a)</w:t>
      </w:r>
      <w:r>
        <w:tab/>
        <w:t xml:space="preserve">consists of the following modules — </w:t>
      </w:r>
    </w:p>
    <w:p>
      <w:pPr>
        <w:pStyle w:val="Indenti"/>
      </w:pPr>
      <w:r>
        <w:tab/>
        <w:t>(i)</w:t>
      </w:r>
      <w:r>
        <w:tab/>
        <w:t>Understanding Local Government;</w:t>
      </w:r>
    </w:p>
    <w:p>
      <w:pPr>
        <w:pStyle w:val="Indenti"/>
      </w:pPr>
      <w:r>
        <w:tab/>
        <w:t>(ii)</w:t>
      </w:r>
      <w:r>
        <w:tab/>
        <w:t>Serving on Council;</w:t>
      </w:r>
    </w:p>
    <w:p>
      <w:pPr>
        <w:pStyle w:val="Indenti"/>
      </w:pPr>
      <w:r>
        <w:tab/>
        <w:t>(iii)</w:t>
      </w:r>
      <w:r>
        <w:tab/>
        <w:t>Meeting Procedures;</w:t>
      </w:r>
    </w:p>
    <w:p>
      <w:pPr>
        <w:pStyle w:val="Indenti"/>
      </w:pPr>
      <w:r>
        <w:tab/>
        <w:t>(iv)</w:t>
      </w:r>
      <w:r>
        <w:tab/>
        <w:t>Conflicts of Interest;</w:t>
      </w:r>
    </w:p>
    <w:p>
      <w:pPr>
        <w:pStyle w:val="Indenti"/>
      </w:pPr>
      <w:r>
        <w:tab/>
        <w:t>(v)</w:t>
      </w:r>
      <w:r>
        <w:tab/>
        <w:t>Understanding Financial Reports and Budgets;</w:t>
      </w:r>
    </w:p>
    <w:p>
      <w:pPr>
        <w:pStyle w:val="Indenta"/>
      </w:pPr>
      <w:r>
        <w:tab/>
      </w:r>
      <w:r>
        <w:tab/>
        <w:t>and</w:t>
      </w:r>
    </w:p>
    <w:p>
      <w:pPr>
        <w:pStyle w:val="Indenta"/>
      </w:pPr>
      <w:r>
        <w:tab/>
        <w:t>(b)</w:t>
      </w:r>
      <w:r>
        <w:tab/>
        <w:t xml:space="preserve">is provided by any of the following bodies — </w:t>
      </w:r>
    </w:p>
    <w:p>
      <w:pPr>
        <w:pStyle w:val="Indenti"/>
      </w:pPr>
      <w:r>
        <w:tab/>
        <w:t>(i)</w:t>
      </w:r>
      <w:r>
        <w:tab/>
        <w:t>North Metropolitan TAFE;</w:t>
      </w:r>
    </w:p>
    <w:p>
      <w:pPr>
        <w:pStyle w:val="Indenti"/>
      </w:pPr>
      <w:r>
        <w:tab/>
        <w:t>(ii)</w:t>
      </w:r>
      <w:r>
        <w:tab/>
        <w:t>South Metropolitan TAFE;</w:t>
      </w:r>
    </w:p>
    <w:p>
      <w:pPr>
        <w:pStyle w:val="Indenti"/>
      </w:pPr>
      <w:r>
        <w:tab/>
        <w:t>(iii)</w:t>
      </w:r>
      <w:r>
        <w:tab/>
        <w:t>WALGA.</w:t>
      </w:r>
    </w:p>
    <w:p>
      <w:pPr>
        <w:pStyle w:val="Subsection"/>
      </w:pPr>
      <w:r>
        <w:tab/>
        <w:t>(3)</w:t>
      </w:r>
      <w:r>
        <w:tab/>
        <w:t>The period within which the course of training must be passed is the period of 12 months beginning on the day on which the council member is elected.</w:t>
      </w:r>
    </w:p>
    <w:p>
      <w:pPr>
        <w:pStyle w:val="Footnotesection"/>
        <w:spacing w:before="80"/>
        <w:ind w:left="890" w:hanging="890"/>
      </w:pPr>
      <w:r>
        <w:tab/>
        <w:t>[Regulation 35 inserted: Gazette 9 Aug 2019 p. 3022</w:t>
      </w:r>
      <w:r>
        <w:noBreakHyphen/>
        <w:t>3.]</w:t>
      </w:r>
    </w:p>
    <w:p>
      <w:pPr>
        <w:pStyle w:val="Heading5"/>
      </w:pPr>
      <w:bookmarkStart w:id="497" w:name="_Toc22217944"/>
      <w:bookmarkStart w:id="498" w:name="_Toc19185657"/>
      <w:r>
        <w:rPr>
          <w:rStyle w:val="CharSectno"/>
        </w:rPr>
        <w:t>36</w:t>
      </w:r>
      <w:r>
        <w:t>.</w:t>
      </w:r>
      <w:r>
        <w:tab/>
        <w:t>Exemption from Act s. 5.126(1) requirement</w:t>
      </w:r>
      <w:bookmarkEnd w:id="497"/>
      <w:bookmarkEnd w:id="498"/>
    </w:p>
    <w:p>
      <w:pPr>
        <w:pStyle w:val="Subsection"/>
        <w:keepNext/>
      </w:pPr>
      <w:r>
        <w:tab/>
        <w:t>(1)</w:t>
      </w:r>
      <w:r>
        <w:tab/>
        <w:t xml:space="preserve">A council member is exempt from the requirement in section 5.126(1) if — </w:t>
      </w:r>
    </w:p>
    <w:p>
      <w:pPr>
        <w:pStyle w:val="Indenta"/>
      </w:pPr>
      <w:r>
        <w:tab/>
        <w:t>(a)</w:t>
      </w:r>
      <w:r>
        <w:tab/>
        <w:t xml:space="preserve">the council member passed either of the following courses within the period of 5 years ending immediately before the day on which the council member is elected — </w:t>
      </w:r>
    </w:p>
    <w:p>
      <w:pPr>
        <w:pStyle w:val="Indenti"/>
      </w:pPr>
      <w:r>
        <w:tab/>
        <w:t>(i)</w:t>
      </w:r>
      <w:r>
        <w:tab/>
        <w:t>the course of training specified in regulation 35(2);</w:t>
      </w:r>
    </w:p>
    <w:p>
      <w:pPr>
        <w:pStyle w:val="Indenti"/>
      </w:pPr>
      <w:r>
        <w:tab/>
        <w:t>(ii)</w:t>
      </w:r>
      <w:r>
        <w:tab/>
        <w:t xml:space="preserve">the course titled </w:t>
      </w:r>
      <w:r>
        <w:rPr>
          <w:i/>
        </w:rPr>
        <w:t>52756WA — Diploma of Local Government (Elected Member)</w:t>
      </w:r>
      <w:r>
        <w:t>;</w:t>
      </w:r>
    </w:p>
    <w:p>
      <w:pPr>
        <w:pStyle w:val="Indenta"/>
      </w:pPr>
      <w:r>
        <w:tab/>
      </w:r>
      <w:r>
        <w:tab/>
        <w:t>or</w:t>
      </w:r>
    </w:p>
    <w:p>
      <w:pPr>
        <w:pStyle w:val="Indenta"/>
      </w:pPr>
      <w:r>
        <w:tab/>
        <w:t>(b)</w:t>
      </w:r>
      <w:r>
        <w:tab/>
        <w:t xml:space="preserve">the council member passed the course titled </w:t>
      </w:r>
      <w:r>
        <w:rPr>
          <w:i/>
        </w:rPr>
        <w:t>LGASS00002 Elected Member Skill Set</w:t>
      </w:r>
      <w:r>
        <w:t xml:space="preserve"> before 1 July 2019 and within the period of 5 years ending immediately before the day on which the council member is elected.</w:t>
      </w:r>
    </w:p>
    <w:p>
      <w:pPr>
        <w:pStyle w:val="Subsection"/>
      </w:pPr>
      <w:r>
        <w:tab/>
        <w:t>(2)</w:t>
      </w:r>
      <w:r>
        <w:tab/>
        <w:t xml:space="preserve">A person who is a council member on the day on which the </w:t>
      </w:r>
      <w:r>
        <w:rPr>
          <w:i/>
        </w:rPr>
        <w:t>Local Government Regulations Amendment (Induction and Training) Regulations 2019</w:t>
      </w:r>
      <w:r>
        <w:t xml:space="preserve"> regulation 8 comes into operation is exempt from the requirement in section 5.126(1) until the end of their term of office.</w:t>
      </w:r>
    </w:p>
    <w:p>
      <w:pPr>
        <w:pStyle w:val="Footnotesection"/>
        <w:spacing w:before="80"/>
        <w:ind w:left="890" w:hanging="890"/>
      </w:pPr>
      <w:r>
        <w:tab/>
        <w:t>[Regulation 36 inserted: Gazette 9 Aug 2019 p. 3023.]</w:t>
      </w:r>
    </w:p>
    <w:p>
      <w:pPr>
        <w:pStyle w:val="Ednotesection"/>
        <w:rPr>
          <w:vertAlign w:val="superscrip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r>
        <w:t>[</w:t>
      </w:r>
      <w:r>
        <w:rPr>
          <w:b/>
        </w:rPr>
        <w:t>37</w:t>
      </w:r>
      <w:r>
        <w:rPr>
          <w:b/>
        </w:rPr>
        <w:noBreakHyphen/>
        <w:t>39.</w:t>
      </w:r>
      <w:r>
        <w:tab/>
        <w:t>Deleted: Gazette 9 Aug 2019 p. 3022.]</w:t>
      </w:r>
    </w:p>
    <w:p>
      <w:pPr>
        <w:pStyle w:val="yScheduleHeading"/>
      </w:pPr>
      <w:bookmarkStart w:id="499" w:name="_Toc19177947"/>
      <w:bookmarkStart w:id="500" w:name="_Toc19183915"/>
      <w:bookmarkStart w:id="501" w:name="_Toc19185658"/>
      <w:bookmarkStart w:id="502" w:name="_Toc22207010"/>
      <w:bookmarkStart w:id="503" w:name="_Toc22208883"/>
      <w:bookmarkStart w:id="504" w:name="_Toc22217866"/>
      <w:bookmarkStart w:id="505" w:name="_Toc22217945"/>
      <w:r>
        <w:rPr>
          <w:rStyle w:val="CharSchNo"/>
        </w:rPr>
        <w:t>Schedule 1</w:t>
      </w:r>
      <w:r>
        <w:t> — </w:t>
      </w:r>
      <w:r>
        <w:rPr>
          <w:rStyle w:val="CharSchText"/>
        </w:rPr>
        <w:t>Forms</w:t>
      </w:r>
      <w:bookmarkEnd w:id="499"/>
      <w:bookmarkEnd w:id="500"/>
      <w:bookmarkEnd w:id="501"/>
      <w:bookmarkEnd w:id="502"/>
      <w:bookmarkEnd w:id="503"/>
      <w:bookmarkEnd w:id="504"/>
      <w:bookmarkEnd w:id="505"/>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Gazette 20 Nov 2009 p. 4661; 4 Mar 2016 p  656</w:t>
      </w:r>
      <w:r>
        <w:noBreakHyphen/>
        <w:t>7.]</w:t>
      </w:r>
    </w:p>
    <w:p>
      <w:pPr>
        <w:pStyle w:val="yMiscellaneousBody"/>
        <w:rPr>
          <w:del w:id="506" w:author="Master Repository Process" w:date="2021-08-29T03:28:00Z"/>
          <w:snapToGrid w:val="0"/>
        </w:rPr>
      </w:pPr>
    </w:p>
    <w:p>
      <w:pPr>
        <w:pStyle w:val="yMiscellaneousBody"/>
        <w:keepNext/>
        <w:spacing w:before="60"/>
        <w:jc w:val="center"/>
        <w:rPr>
          <w:ins w:id="507" w:author="Master Repository Process" w:date="2021-08-29T03:28:00Z"/>
          <w:b/>
        </w:rPr>
      </w:pPr>
      <w:ins w:id="508" w:author="Master Repository Process" w:date="2021-08-29T03:28:00Z">
        <w:r>
          <w:rPr>
            <w:b/>
          </w:rPr>
          <w:t>Form 4</w:t>
        </w:r>
      </w:ins>
    </w:p>
    <w:p>
      <w:pPr>
        <w:pStyle w:val="yShoulderClause"/>
        <w:rPr>
          <w:ins w:id="509" w:author="Master Repository Process" w:date="2021-08-29T03:28:00Z"/>
        </w:rPr>
      </w:pPr>
      <w:ins w:id="510" w:author="Master Repository Process" w:date="2021-08-29T03:28:00Z">
        <w:r>
          <w:t>[r. 28A]</w:t>
        </w:r>
      </w:ins>
    </w:p>
    <w:p>
      <w:pPr>
        <w:pStyle w:val="yMiscellaneousBody"/>
        <w:keepNext/>
        <w:spacing w:before="120"/>
        <w:jc w:val="center"/>
        <w:rPr>
          <w:ins w:id="511" w:author="Master Repository Process" w:date="2021-08-29T03:28:00Z"/>
          <w:i/>
        </w:rPr>
      </w:pPr>
      <w:ins w:id="512" w:author="Master Repository Process" w:date="2021-08-29T03:28:00Z">
        <w:r>
          <w:rPr>
            <w:i/>
          </w:rPr>
          <w:t>Local Government Act 1995</w:t>
        </w:r>
      </w:ins>
    </w:p>
    <w:p>
      <w:pPr>
        <w:pStyle w:val="yMiscellaneousBody"/>
        <w:keepNext/>
        <w:spacing w:before="120"/>
        <w:jc w:val="center"/>
        <w:rPr>
          <w:ins w:id="513" w:author="Master Repository Process" w:date="2021-08-29T03:28:00Z"/>
          <w:i/>
        </w:rPr>
      </w:pPr>
      <w:ins w:id="514" w:author="Master Repository Process" w:date="2021-08-29T03:28:00Z">
        <w:r>
          <w:rPr>
            <w:i/>
          </w:rPr>
          <w:t>Local Government (Administration) Regulations 1996</w:t>
        </w:r>
      </w:ins>
    </w:p>
    <w:p>
      <w:pPr>
        <w:pStyle w:val="yMiscellaneousBody"/>
        <w:keepNext/>
        <w:spacing w:after="160"/>
        <w:jc w:val="center"/>
        <w:rPr>
          <w:ins w:id="515" w:author="Master Repository Process" w:date="2021-08-29T03:28:00Z"/>
          <w:b/>
        </w:rPr>
      </w:pPr>
      <w:ins w:id="516" w:author="Master Repository Process" w:date="2021-08-29T03:28:00Z">
        <w:r>
          <w:rPr>
            <w:b/>
          </w:rPr>
          <w:t>REGISTER OF GIFTS</w:t>
        </w:r>
      </w:ins>
    </w:p>
    <w:tbl>
      <w:tblPr>
        <w:tblStyle w:val="TableGrid"/>
        <w:tblW w:w="6753" w:type="dxa"/>
        <w:tblInd w:w="250" w:type="dxa"/>
        <w:tblLayout w:type="fixed"/>
        <w:tblLook w:val="04A0" w:firstRow="1" w:lastRow="0" w:firstColumn="1" w:lastColumn="0" w:noHBand="0" w:noVBand="1"/>
      </w:tblPr>
      <w:tblGrid>
        <w:gridCol w:w="2552"/>
        <w:gridCol w:w="1134"/>
        <w:gridCol w:w="425"/>
        <w:gridCol w:w="941"/>
        <w:gridCol w:w="1276"/>
        <w:gridCol w:w="425"/>
      </w:tblGrid>
      <w:tr>
        <w:trPr>
          <w:cantSplit/>
          <w:trHeight w:val="708"/>
          <w:del w:id="517" w:author="Master Repository Process" w:date="2021-08-29T03:28:00Z"/>
        </w:trPr>
        <w:tc>
          <w:tcPr>
            <w:tcW w:w="2552" w:type="dxa"/>
            <w:vMerge w:val="restart"/>
            <w:tcBorders>
              <w:top w:val="nil"/>
              <w:left w:val="nil"/>
              <w:bottom w:val="nil"/>
              <w:right w:val="nil"/>
            </w:tcBorders>
            <w:textDirection w:val="btLr"/>
          </w:tcPr>
          <w:p>
            <w:pPr>
              <w:pStyle w:val="yTableNAm"/>
              <w:jc w:val="center"/>
              <w:rPr>
                <w:del w:id="518" w:author="Master Repository Process" w:date="2021-08-29T03:28:00Z"/>
                <w:snapToGrid w:val="0"/>
                <w:sz w:val="20"/>
              </w:rPr>
            </w:pPr>
            <w:del w:id="519" w:author="Master Repository Process" w:date="2021-08-29T03:28:00Z">
              <w:r>
                <w:rPr>
                  <w:b/>
                  <w:snapToGrid w:val="0"/>
                  <w:sz w:val="20"/>
                </w:rPr>
                <w:delText>Form 4</w:delText>
              </w:r>
            </w:del>
          </w:p>
          <w:p>
            <w:pPr>
              <w:pStyle w:val="yTableNAm"/>
              <w:jc w:val="right"/>
              <w:rPr>
                <w:del w:id="520" w:author="Master Repository Process" w:date="2021-08-29T03:28:00Z"/>
                <w:snapToGrid w:val="0"/>
                <w:sz w:val="20"/>
              </w:rPr>
            </w:pPr>
            <w:del w:id="521" w:author="Master Repository Process" w:date="2021-08-29T03:28:00Z">
              <w:r>
                <w:rPr>
                  <w:snapToGrid w:val="0"/>
                  <w:sz w:val="20"/>
                </w:rPr>
                <w:delText>[r. 28A]</w:delText>
              </w:r>
            </w:del>
          </w:p>
          <w:p>
            <w:pPr>
              <w:pStyle w:val="yTableNAm"/>
              <w:spacing w:before="0"/>
              <w:jc w:val="center"/>
              <w:rPr>
                <w:del w:id="522" w:author="Master Repository Process" w:date="2021-08-29T03:28:00Z"/>
                <w:i/>
                <w:snapToGrid w:val="0"/>
                <w:sz w:val="20"/>
              </w:rPr>
            </w:pPr>
            <w:del w:id="523" w:author="Master Repository Process" w:date="2021-08-29T03:28:00Z">
              <w:r>
                <w:rPr>
                  <w:i/>
                  <w:snapToGrid w:val="0"/>
                  <w:sz w:val="20"/>
                </w:rPr>
                <w:delText>Local Government Act 1995</w:delText>
              </w:r>
            </w:del>
          </w:p>
          <w:p>
            <w:pPr>
              <w:pStyle w:val="yTableNAm"/>
              <w:jc w:val="center"/>
              <w:rPr>
                <w:del w:id="524" w:author="Master Repository Process" w:date="2021-08-29T03:28:00Z"/>
                <w:i/>
                <w:snapToGrid w:val="0"/>
                <w:sz w:val="20"/>
              </w:rPr>
            </w:pPr>
            <w:del w:id="525" w:author="Master Repository Process" w:date="2021-08-29T03:28:00Z">
              <w:r>
                <w:rPr>
                  <w:i/>
                  <w:snapToGrid w:val="0"/>
                  <w:sz w:val="20"/>
                </w:rPr>
                <w:delText>Local Government (Administration) Regulation 1996</w:delText>
              </w:r>
            </w:del>
          </w:p>
          <w:p>
            <w:pPr>
              <w:pStyle w:val="yTableNAm"/>
              <w:jc w:val="center"/>
              <w:rPr>
                <w:del w:id="526" w:author="Master Repository Process" w:date="2021-08-29T03:28:00Z"/>
                <w:b/>
                <w:snapToGrid w:val="0"/>
                <w:sz w:val="20"/>
              </w:rPr>
            </w:pPr>
            <w:del w:id="527" w:author="Master Repository Process" w:date="2021-08-29T03:28:00Z">
              <w:r>
                <w:rPr>
                  <w:b/>
                  <w:snapToGrid w:val="0"/>
                  <w:sz w:val="20"/>
                </w:rPr>
                <w:delText>REGISTER OF GIFTS AND CONTRIBUTIONS TO TRAVEL</w:delText>
              </w:r>
            </w:del>
          </w:p>
          <w:p>
            <w:pPr>
              <w:pStyle w:val="yTableNAm"/>
              <w:rPr>
                <w:del w:id="528" w:author="Master Repository Process" w:date="2021-08-29T03:28:00Z"/>
                <w:b/>
                <w:snapToGrid w:val="0"/>
                <w:sz w:val="20"/>
              </w:rPr>
            </w:pPr>
            <w:del w:id="529" w:author="Master Repository Process" w:date="2021-08-29T03:28:00Z">
              <w:r>
                <w:rPr>
                  <w:b/>
                  <w:snapToGrid w:val="0"/>
                  <w:sz w:val="20"/>
                </w:rPr>
                <w:delText>1.</w:delText>
              </w:r>
              <w:r>
                <w:rPr>
                  <w:b/>
                  <w:snapToGrid w:val="0"/>
                  <w:sz w:val="20"/>
                </w:rPr>
                <w:tab/>
                <w:delText>Gifts</w:delText>
              </w:r>
            </w:del>
          </w:p>
          <w:p>
            <w:pPr>
              <w:pStyle w:val="yTableNAm"/>
              <w:rPr>
                <w:del w:id="530" w:author="Master Repository Process" w:date="2021-08-29T03:28:00Z"/>
                <w:b/>
                <w:snapToGrid w:val="0"/>
                <w:sz w:val="20"/>
              </w:rPr>
            </w:pPr>
            <w:del w:id="531" w:author="Master Repository Process" w:date="2021-08-29T03:28:00Z">
              <w:r>
                <w:rPr>
                  <w:snapToGrid w:val="0"/>
                  <w:sz w:val="20"/>
                </w:rPr>
                <w:tab/>
                <w:delText>Section 5.82 of the Act</w:delText>
              </w:r>
            </w:del>
          </w:p>
        </w:tc>
        <w:tc>
          <w:tcPr>
            <w:tcW w:w="1134" w:type="dxa"/>
            <w:tcBorders>
              <w:top w:val="nil"/>
              <w:left w:val="nil"/>
              <w:bottom w:val="nil"/>
              <w:right w:val="nil"/>
            </w:tcBorders>
            <w:textDirection w:val="btLr"/>
          </w:tcPr>
          <w:p>
            <w:pPr>
              <w:pStyle w:val="zyTableNAm"/>
              <w:pageBreakBefore/>
              <w:widowControl w:val="0"/>
              <w:ind w:left="113" w:right="113"/>
              <w:rPr>
                <w:del w:id="532" w:author="Master Repository Process" w:date="2021-08-29T03:28:00Z"/>
                <w:snapToGrid w:val="0"/>
                <w:sz w:val="16"/>
                <w:szCs w:val="16"/>
              </w:rPr>
            </w:pPr>
          </w:p>
        </w:tc>
        <w:tc>
          <w:tcPr>
            <w:tcW w:w="425" w:type="dxa"/>
            <w:tcBorders>
              <w:top w:val="nil"/>
              <w:left w:val="nil"/>
              <w:bottom w:val="nil"/>
              <w:right w:val="nil"/>
            </w:tcBorders>
            <w:textDirection w:val="btLr"/>
          </w:tcPr>
          <w:p>
            <w:pPr>
              <w:pStyle w:val="zyTableNAm"/>
              <w:pageBreakBefore/>
              <w:widowControl w:val="0"/>
              <w:spacing w:before="60" w:after="60"/>
              <w:ind w:left="113" w:right="113"/>
              <w:rPr>
                <w:del w:id="533" w:author="Master Repository Process" w:date="2021-08-29T03:28:00Z"/>
                <w:b/>
                <w:snapToGrid w:val="0"/>
                <w:szCs w:val="22"/>
              </w:rPr>
            </w:pPr>
          </w:p>
        </w:tc>
        <w:tc>
          <w:tcPr>
            <w:tcW w:w="941" w:type="dxa"/>
            <w:vMerge w:val="restart"/>
            <w:tcBorders>
              <w:top w:val="nil"/>
              <w:left w:val="nil"/>
              <w:bottom w:val="nil"/>
            </w:tcBorders>
            <w:textDirection w:val="btLr"/>
          </w:tcPr>
          <w:p>
            <w:pPr>
              <w:pStyle w:val="yTableNAm"/>
              <w:rPr>
                <w:del w:id="534" w:author="Master Repository Process" w:date="2021-08-29T03:28:00Z"/>
                <w:b/>
                <w:snapToGrid w:val="0"/>
                <w:sz w:val="20"/>
              </w:rPr>
            </w:pPr>
            <w:del w:id="535" w:author="Master Repository Process" w:date="2021-08-29T03:28:00Z">
              <w:r>
                <w:rPr>
                  <w:b/>
                  <w:snapToGrid w:val="0"/>
                  <w:sz w:val="20"/>
                </w:rPr>
                <w:delText>2.</w:delText>
              </w:r>
              <w:r>
                <w:rPr>
                  <w:b/>
                  <w:snapToGrid w:val="0"/>
                  <w:sz w:val="20"/>
                </w:rPr>
                <w:tab/>
                <w:delText>Contributions to travel</w:delText>
              </w:r>
            </w:del>
          </w:p>
          <w:p>
            <w:pPr>
              <w:pStyle w:val="yTableNAm"/>
              <w:rPr>
                <w:del w:id="536" w:author="Master Repository Process" w:date="2021-08-29T03:28:00Z"/>
                <w:snapToGrid w:val="0"/>
              </w:rPr>
            </w:pPr>
            <w:del w:id="537" w:author="Master Repository Process" w:date="2021-08-29T03:28:00Z">
              <w:r>
                <w:rPr>
                  <w:snapToGrid w:val="0"/>
                  <w:sz w:val="20"/>
                </w:rPr>
                <w:tab/>
                <w:delText>Section 5.83 of the Act</w:delText>
              </w:r>
            </w:del>
          </w:p>
        </w:tc>
        <w:tc>
          <w:tcPr>
            <w:tcW w:w="1276" w:type="dxa"/>
            <w:shd w:val="clear" w:color="auto" w:fill="F2F2F2" w:themeFill="background1" w:themeFillShade="F2"/>
            <w:textDirection w:val="btLr"/>
          </w:tcPr>
          <w:p>
            <w:pPr>
              <w:pStyle w:val="yTableNAm"/>
              <w:jc w:val="center"/>
              <w:rPr>
                <w:del w:id="538" w:author="Master Repository Process" w:date="2021-08-29T03:28:00Z"/>
                <w:snapToGrid w:val="0"/>
              </w:rPr>
            </w:pPr>
            <w:del w:id="539" w:author="Master Repository Process" w:date="2021-08-29T03:28:00Z">
              <w:r>
                <w:rPr>
                  <w:snapToGrid w:val="0"/>
                  <w:sz w:val="16"/>
                  <w:szCs w:val="16"/>
                </w:rPr>
                <w:delText>Date of travel</w:delText>
              </w:r>
            </w:del>
          </w:p>
        </w:tc>
        <w:tc>
          <w:tcPr>
            <w:tcW w:w="425" w:type="dxa"/>
          </w:tcPr>
          <w:p>
            <w:pPr>
              <w:pStyle w:val="yTableNAm"/>
              <w:rPr>
                <w:del w:id="540" w:author="Master Repository Process" w:date="2021-08-29T03:28:00Z"/>
                <w:snapToGrid w:val="0"/>
              </w:rPr>
            </w:pPr>
          </w:p>
        </w:tc>
      </w:tr>
      <w:tr>
        <w:trPr>
          <w:cantSplit/>
          <w:trHeight w:val="1034"/>
          <w:del w:id="541" w:author="Master Repository Process" w:date="2021-08-29T03:28:00Z"/>
        </w:trPr>
        <w:tc>
          <w:tcPr>
            <w:tcW w:w="2552" w:type="dxa"/>
            <w:vMerge/>
            <w:tcBorders>
              <w:left w:val="nil"/>
              <w:bottom w:val="nil"/>
              <w:right w:val="nil"/>
            </w:tcBorders>
          </w:tcPr>
          <w:p>
            <w:pPr>
              <w:pStyle w:val="zyTableNAm"/>
              <w:widowControl w:val="0"/>
              <w:jc w:val="center"/>
              <w:rPr>
                <w:del w:id="542" w:author="Master Repository Process" w:date="2021-08-29T03:28:00Z"/>
                <w:b/>
                <w:snapToGrid w:val="0"/>
              </w:rPr>
            </w:pPr>
          </w:p>
        </w:tc>
        <w:tc>
          <w:tcPr>
            <w:tcW w:w="1134" w:type="dxa"/>
            <w:tcBorders>
              <w:top w:val="nil"/>
              <w:left w:val="nil"/>
              <w:right w:val="nil"/>
            </w:tcBorders>
            <w:textDirection w:val="btLr"/>
          </w:tcPr>
          <w:p>
            <w:pPr>
              <w:pStyle w:val="zyTableNAm"/>
              <w:pageBreakBefore/>
              <w:widowControl w:val="0"/>
              <w:ind w:left="113" w:right="113"/>
              <w:rPr>
                <w:del w:id="543" w:author="Master Repository Process" w:date="2021-08-29T03:28:00Z"/>
                <w:snapToGrid w:val="0"/>
                <w:sz w:val="16"/>
                <w:szCs w:val="16"/>
              </w:rPr>
            </w:pPr>
          </w:p>
        </w:tc>
        <w:tc>
          <w:tcPr>
            <w:tcW w:w="425" w:type="dxa"/>
            <w:tcBorders>
              <w:top w:val="nil"/>
              <w:left w:val="nil"/>
              <w:right w:val="nil"/>
            </w:tcBorders>
          </w:tcPr>
          <w:p>
            <w:pPr>
              <w:pStyle w:val="zyTableNAm"/>
              <w:pageBreakBefore/>
              <w:widowControl w:val="0"/>
              <w:jc w:val="center"/>
              <w:rPr>
                <w:del w:id="544" w:author="Master Repository Process" w:date="2021-08-29T03:28:00Z"/>
                <w:b/>
                <w:snapToGrid w:val="0"/>
              </w:rPr>
            </w:pPr>
          </w:p>
        </w:tc>
        <w:tc>
          <w:tcPr>
            <w:tcW w:w="941" w:type="dxa"/>
            <w:vMerge/>
            <w:tcBorders>
              <w:left w:val="nil"/>
              <w:bottom w:val="nil"/>
            </w:tcBorders>
          </w:tcPr>
          <w:p>
            <w:pPr>
              <w:pStyle w:val="zyTableNAm"/>
              <w:pageBreakBefore/>
              <w:widowControl w:val="0"/>
              <w:jc w:val="center"/>
              <w:rPr>
                <w:del w:id="545" w:author="Master Repository Process" w:date="2021-08-29T03:28:00Z"/>
                <w:b/>
                <w:snapToGrid w:val="0"/>
              </w:rPr>
            </w:pPr>
          </w:p>
        </w:tc>
        <w:tc>
          <w:tcPr>
            <w:tcW w:w="1276" w:type="dxa"/>
            <w:shd w:val="clear" w:color="auto" w:fill="F2F2F2" w:themeFill="background1" w:themeFillShade="F2"/>
            <w:textDirection w:val="btLr"/>
          </w:tcPr>
          <w:p>
            <w:pPr>
              <w:pStyle w:val="yTableNAm"/>
              <w:jc w:val="center"/>
              <w:rPr>
                <w:del w:id="546" w:author="Master Repository Process" w:date="2021-08-29T03:28:00Z"/>
                <w:snapToGrid w:val="0"/>
              </w:rPr>
            </w:pPr>
            <w:del w:id="547" w:author="Master Repository Process" w:date="2021-08-29T03:28:00Z">
              <w:r>
                <w:rPr>
                  <w:snapToGrid w:val="0"/>
                  <w:sz w:val="16"/>
                  <w:szCs w:val="16"/>
                </w:rPr>
                <w:delText>Description of travel</w:delText>
              </w:r>
            </w:del>
          </w:p>
        </w:tc>
        <w:tc>
          <w:tcPr>
            <w:tcW w:w="425" w:type="dxa"/>
          </w:tcPr>
          <w:p>
            <w:pPr>
              <w:pStyle w:val="yTableNAm"/>
              <w:rPr>
                <w:del w:id="548" w:author="Master Repository Process" w:date="2021-08-29T03:28:00Z"/>
                <w:snapToGrid w:val="0"/>
              </w:rPr>
            </w:pPr>
          </w:p>
        </w:tc>
      </w:tr>
    </w:tbl>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834"/>
        <w:gridCol w:w="867"/>
        <w:gridCol w:w="766"/>
        <w:gridCol w:w="709"/>
        <w:gridCol w:w="709"/>
        <w:gridCol w:w="1077"/>
        <w:gridCol w:w="992"/>
        <w:gridCol w:w="1134"/>
      </w:tblGrid>
      <w:tr>
        <w:tc>
          <w:tcPr>
            <w:tcW w:w="834" w:type="dxa"/>
            <w:shd w:val="clear" w:color="auto" w:fill="F2F2F2" w:themeFill="background1" w:themeFillShade="F2"/>
            <w:cellMerge w:id="549" w:author="Master Repository Process" w:date="2021-08-29T03:28:00Z" w:vMergeOrig="cont"/>
          </w:tcPr>
          <w:p>
            <w:pPr>
              <w:pStyle w:val="yTableNAm"/>
              <w:keepNext/>
              <w:jc w:val="center"/>
              <w:rPr>
                <w:snapToGrid w:val="0"/>
                <w:spacing w:val="-6"/>
              </w:rPr>
            </w:pPr>
            <w:ins w:id="550" w:author="Master Repository Process" w:date="2021-08-29T03:28:00Z">
              <w:r>
                <w:rPr>
                  <w:snapToGrid w:val="0"/>
                  <w:spacing w:val="-6"/>
                  <w:sz w:val="16"/>
                  <w:szCs w:val="16"/>
                </w:rPr>
                <w:t>Name of person making disclosure</w:t>
              </w:r>
            </w:ins>
          </w:p>
        </w:tc>
        <w:tc>
          <w:tcPr>
            <w:tcW w:w="867" w:type="dxa"/>
            <w:shd w:val="clear" w:color="auto" w:fill="F2F2F2" w:themeFill="background1" w:themeFillShade="F2"/>
            <w:cellIns w:id="551" w:author="Master Repository Process" w:date="2021-08-29T03:28:00Z"/>
          </w:tcPr>
          <w:p>
            <w:pPr>
              <w:pStyle w:val="yTableNAm"/>
              <w:keepNext/>
              <w:jc w:val="center"/>
              <w:rPr>
                <w:snapToGrid w:val="0"/>
                <w:spacing w:val="-6"/>
              </w:rPr>
            </w:pPr>
            <w:ins w:id="552" w:author="Master Repository Process" w:date="2021-08-29T03:28:00Z">
              <w:r>
                <w:rPr>
                  <w:snapToGrid w:val="0"/>
                  <w:spacing w:val="-6"/>
                  <w:sz w:val="16"/>
                  <w:szCs w:val="16"/>
                </w:rPr>
                <w:t>Description of gift</w:t>
              </w:r>
            </w:ins>
          </w:p>
        </w:tc>
        <w:tc>
          <w:tcPr>
            <w:tcW w:w="766" w:type="dxa"/>
            <w:shd w:val="clear" w:color="auto" w:fill="F2F2F2" w:themeFill="background1" w:themeFillShade="F2"/>
          </w:tcPr>
          <w:p>
            <w:pPr>
              <w:pStyle w:val="yTableNAm"/>
              <w:keepNext/>
              <w:jc w:val="center"/>
              <w:rPr>
                <w:snapToGrid w:val="0"/>
                <w:spacing w:val="-6"/>
              </w:rPr>
            </w:pPr>
            <w:del w:id="553" w:author="Master Repository Process" w:date="2021-08-29T03:28:00Z">
              <w:r>
                <w:rPr>
                  <w:snapToGrid w:val="0"/>
                  <w:sz w:val="16"/>
                  <w:szCs w:val="16"/>
                </w:rPr>
                <w:delText>Nature of relationship between relevant person</w:delText>
              </w:r>
            </w:del>
            <w:ins w:id="554" w:author="Master Repository Process" w:date="2021-08-29T03:28:00Z">
              <w:r>
                <w:rPr>
                  <w:snapToGrid w:val="0"/>
                  <w:spacing w:val="-6"/>
                  <w:sz w:val="16"/>
                  <w:szCs w:val="16"/>
                </w:rPr>
                <w:t>Name</w:t>
              </w:r>
            </w:ins>
            <w:r>
              <w:rPr>
                <w:snapToGrid w:val="0"/>
                <w:spacing w:val="-6"/>
                <w:sz w:val="16"/>
                <w:szCs w:val="16"/>
              </w:rPr>
              <w:t xml:space="preserve"> and </w:t>
            </w:r>
            <w:ins w:id="555" w:author="Master Repository Process" w:date="2021-08-29T03:28:00Z">
              <w:r>
                <w:rPr>
                  <w:snapToGrid w:val="0"/>
                  <w:spacing w:val="-6"/>
                  <w:sz w:val="16"/>
                  <w:szCs w:val="16"/>
                </w:rPr>
                <w:t xml:space="preserve">address of </w:t>
              </w:r>
            </w:ins>
            <w:r>
              <w:rPr>
                <w:snapToGrid w:val="0"/>
                <w:spacing w:val="-6"/>
                <w:sz w:val="16"/>
                <w:szCs w:val="16"/>
              </w:rPr>
              <w:t>person who made gift</w:t>
            </w:r>
            <w:ins w:id="556" w:author="Master Repository Process" w:date="2021-08-29T03:28:00Z">
              <w:r>
                <w:rPr>
                  <w:snapToGrid w:val="0"/>
                  <w:spacing w:val="-6"/>
                  <w:sz w:val="16"/>
                  <w:szCs w:val="16"/>
                </w:rPr>
                <w:t xml:space="preserve"> </w:t>
              </w:r>
            </w:ins>
          </w:p>
        </w:tc>
        <w:tc>
          <w:tcPr>
            <w:tcW w:w="709" w:type="dxa"/>
            <w:shd w:val="clear" w:color="auto" w:fill="F2F2F2" w:themeFill="background1" w:themeFillShade="F2"/>
          </w:tcPr>
          <w:p>
            <w:pPr>
              <w:pStyle w:val="yTableNAm"/>
              <w:keepNext/>
              <w:jc w:val="center"/>
              <w:rPr>
                <w:snapToGrid w:val="0"/>
                <w:spacing w:val="-6"/>
              </w:rPr>
            </w:pPr>
            <w:ins w:id="557" w:author="Master Repository Process" w:date="2021-08-29T03:28:00Z">
              <w:r>
                <w:rPr>
                  <w:snapToGrid w:val="0"/>
                  <w:spacing w:val="-6"/>
                  <w:sz w:val="16"/>
                  <w:szCs w:val="16"/>
                </w:rPr>
                <w:t>Date gift was received</w:t>
              </w:r>
            </w:ins>
          </w:p>
        </w:tc>
        <w:tc>
          <w:tcPr>
            <w:tcW w:w="709" w:type="dxa"/>
            <w:shd w:val="clear" w:color="auto" w:fill="F2F2F2" w:themeFill="background1" w:themeFillShade="F2"/>
            <w:cellMerge w:id="558" w:author="Master Repository Process" w:date="2021-08-29T03:28:00Z" w:vMergeOrig="cont"/>
          </w:tcPr>
          <w:p>
            <w:pPr>
              <w:pStyle w:val="yTableNAm"/>
              <w:keepNext/>
              <w:jc w:val="center"/>
              <w:rPr>
                <w:snapToGrid w:val="0"/>
                <w:spacing w:val="-6"/>
              </w:rPr>
            </w:pPr>
            <w:ins w:id="559" w:author="Master Repository Process" w:date="2021-08-29T03:28:00Z">
              <w:r>
                <w:rPr>
                  <w:snapToGrid w:val="0"/>
                  <w:spacing w:val="-6"/>
                  <w:sz w:val="16"/>
                  <w:szCs w:val="16"/>
                </w:rPr>
                <w:t>Estimated value of gift at time it was made</w:t>
              </w:r>
            </w:ins>
          </w:p>
        </w:tc>
        <w:tc>
          <w:tcPr>
            <w:tcW w:w="1077" w:type="dxa"/>
            <w:shd w:val="clear" w:color="auto" w:fill="F2F2F2" w:themeFill="background1" w:themeFillShade="F2"/>
          </w:tcPr>
          <w:p>
            <w:pPr>
              <w:pStyle w:val="yTableNAm"/>
              <w:keepNext/>
              <w:jc w:val="center"/>
              <w:rPr>
                <w:snapToGrid w:val="0"/>
                <w:spacing w:val="-6"/>
              </w:rPr>
            </w:pPr>
            <w:r>
              <w:rPr>
                <w:snapToGrid w:val="0"/>
                <w:spacing w:val="-6"/>
                <w:sz w:val="16"/>
                <w:szCs w:val="16"/>
              </w:rPr>
              <w:t xml:space="preserve">Nature of relationship between </w:t>
            </w:r>
            <w:del w:id="560" w:author="Master Repository Process" w:date="2021-08-29T03:28:00Z">
              <w:r>
                <w:rPr>
                  <w:snapToGrid w:val="0"/>
                  <w:sz w:val="16"/>
                  <w:szCs w:val="16"/>
                </w:rPr>
                <w:delText xml:space="preserve">relevant </w:delText>
              </w:r>
            </w:del>
            <w:r>
              <w:rPr>
                <w:snapToGrid w:val="0"/>
                <w:spacing w:val="-6"/>
                <w:sz w:val="16"/>
                <w:szCs w:val="16"/>
              </w:rPr>
              <w:t>person</w:t>
            </w:r>
            <w:ins w:id="561" w:author="Master Repository Process" w:date="2021-08-29T03:28:00Z">
              <w:r>
                <w:rPr>
                  <w:snapToGrid w:val="0"/>
                  <w:spacing w:val="-6"/>
                  <w:sz w:val="16"/>
                  <w:szCs w:val="16"/>
                </w:rPr>
                <w:t xml:space="preserve"> who made gift</w:t>
              </w:r>
            </w:ins>
            <w:r>
              <w:rPr>
                <w:snapToGrid w:val="0"/>
                <w:spacing w:val="-6"/>
                <w:sz w:val="16"/>
                <w:szCs w:val="16"/>
              </w:rPr>
              <w:t xml:space="preserve"> and person who </w:t>
            </w:r>
            <w:del w:id="562" w:author="Master Repository Process" w:date="2021-08-29T03:28:00Z">
              <w:r>
                <w:rPr>
                  <w:snapToGrid w:val="0"/>
                  <w:sz w:val="16"/>
                  <w:szCs w:val="16"/>
                </w:rPr>
                <w:delText>made contribution</w:delText>
              </w:r>
            </w:del>
            <w:ins w:id="563" w:author="Master Repository Process" w:date="2021-08-29T03:28:00Z">
              <w:r>
                <w:rPr>
                  <w:snapToGrid w:val="0"/>
                  <w:spacing w:val="-6"/>
                  <w:sz w:val="16"/>
                  <w:szCs w:val="16"/>
                </w:rPr>
                <w:t>received gift</w:t>
              </w:r>
            </w:ins>
          </w:p>
        </w:tc>
        <w:tc>
          <w:tcPr>
            <w:tcW w:w="992" w:type="dxa"/>
            <w:shd w:val="clear" w:color="auto" w:fill="F2F2F2" w:themeFill="background1" w:themeFillShade="F2"/>
          </w:tcPr>
          <w:p>
            <w:pPr>
              <w:pStyle w:val="yTableNAm"/>
              <w:keepNext/>
              <w:jc w:val="center"/>
              <w:rPr>
                <w:snapToGrid w:val="0"/>
                <w:spacing w:val="-6"/>
                <w:sz w:val="16"/>
                <w:szCs w:val="16"/>
              </w:rPr>
            </w:pPr>
            <w:ins w:id="564" w:author="Master Repository Process" w:date="2021-08-29T03:28:00Z">
              <w:r>
                <w:rPr>
                  <w:snapToGrid w:val="0"/>
                  <w:spacing w:val="-6"/>
                  <w:sz w:val="16"/>
                  <w:szCs w:val="16"/>
                </w:rPr>
                <w:t>For a gift that is a travel contribution — description and date of travel</w:t>
              </w:r>
            </w:ins>
          </w:p>
        </w:tc>
        <w:tc>
          <w:tcPr>
            <w:tcW w:w="1134" w:type="dxa"/>
            <w:shd w:val="clear" w:color="auto" w:fill="F2F2F2" w:themeFill="background1" w:themeFillShade="F2"/>
            <w:cellIns w:id="565" w:author="Master Repository Process" w:date="2021-08-29T03:28:00Z"/>
          </w:tcPr>
          <w:p>
            <w:pPr>
              <w:pStyle w:val="yTableNAm"/>
              <w:keepNext/>
              <w:jc w:val="center"/>
              <w:rPr>
                <w:snapToGrid w:val="0"/>
                <w:spacing w:val="-6"/>
                <w:sz w:val="16"/>
                <w:szCs w:val="16"/>
              </w:rPr>
            </w:pPr>
            <w:ins w:id="566" w:author="Master Repository Process" w:date="2021-08-29T03:28:00Z">
              <w:r>
                <w:rPr>
                  <w:snapToGrid w:val="0"/>
                  <w:spacing w:val="-6"/>
                  <w:sz w:val="16"/>
                  <w:szCs w:val="16"/>
                </w:rPr>
                <w:t xml:space="preserve">For an excluded gift under s. 5.62(1B)(a) — </w:t>
              </w:r>
              <w:r>
                <w:rPr>
                  <w:snapToGrid w:val="0"/>
                  <w:spacing w:val="-6"/>
                  <w:sz w:val="16"/>
                  <w:szCs w:val="16"/>
                </w:rPr>
                <w:br/>
                <w:t>the date of the approval referred to in s. 5.62(1B)(a)(ii) and the reasons for the approval</w:t>
              </w:r>
            </w:ins>
          </w:p>
        </w:tc>
      </w:tr>
      <w:tr>
        <w:trPr>
          <w:trHeight w:val="1027"/>
        </w:trPr>
        <w:tc>
          <w:tcPr>
            <w:tcW w:w="834" w:type="dxa"/>
            <w:cellMerge w:id="567" w:author="Master Repository Process" w:date="2021-08-29T03:28:00Z" w:vMergeOrig="cont"/>
          </w:tcPr>
          <w:p>
            <w:pPr>
              <w:pStyle w:val="yTableNAm"/>
            </w:pPr>
          </w:p>
        </w:tc>
        <w:tc>
          <w:tcPr>
            <w:tcW w:w="867" w:type="dxa"/>
          </w:tcPr>
          <w:p>
            <w:pPr>
              <w:pStyle w:val="yTableNAm"/>
            </w:pPr>
            <w:del w:id="568" w:author="Master Repository Process" w:date="2021-08-29T03:28:00Z">
              <w:r>
                <w:rPr>
                  <w:snapToGrid w:val="0"/>
                  <w:sz w:val="16"/>
                  <w:szCs w:val="16"/>
                </w:rPr>
                <w:delText>Estimated value of gift at time it was made</w:delText>
              </w:r>
            </w:del>
          </w:p>
        </w:tc>
        <w:tc>
          <w:tcPr>
            <w:tcW w:w="766" w:type="dxa"/>
          </w:tcPr>
          <w:p>
            <w:pPr>
              <w:pStyle w:val="yTableNAm"/>
            </w:pPr>
          </w:p>
        </w:tc>
        <w:tc>
          <w:tcPr>
            <w:tcW w:w="709" w:type="dxa"/>
            <w:cellMerge w:id="569" w:author="Master Repository Process" w:date="2021-08-29T03:28:00Z" w:vMergeOrig="cont"/>
          </w:tcPr>
          <w:p>
            <w:pPr>
              <w:pStyle w:val="yTableNAm"/>
            </w:pPr>
          </w:p>
        </w:tc>
        <w:tc>
          <w:tcPr>
            <w:tcW w:w="709" w:type="dxa"/>
          </w:tcPr>
          <w:p>
            <w:pPr>
              <w:pStyle w:val="yTableNAm"/>
            </w:pPr>
            <w:del w:id="570" w:author="Master Repository Process" w:date="2021-08-29T03:28:00Z">
              <w:r>
                <w:rPr>
                  <w:snapToGrid w:val="0"/>
                  <w:sz w:val="16"/>
                  <w:szCs w:val="16"/>
                </w:rPr>
                <w:delText>Estimated value of contribution at time it was made</w:delText>
              </w:r>
            </w:del>
          </w:p>
        </w:tc>
        <w:tc>
          <w:tcPr>
            <w:tcW w:w="1077" w:type="dxa"/>
          </w:tcPr>
          <w:p>
            <w:pPr>
              <w:pStyle w:val="yTableNAm"/>
            </w:pPr>
          </w:p>
        </w:tc>
        <w:tc>
          <w:tcPr>
            <w:tcW w:w="992" w:type="dxa"/>
            <w:cellIns w:id="571" w:author="Master Repository Process" w:date="2021-08-29T03:28:00Z"/>
          </w:tcPr>
          <w:p>
            <w:pPr>
              <w:pStyle w:val="yTableNAm"/>
            </w:pPr>
          </w:p>
        </w:tc>
        <w:tc>
          <w:tcPr>
            <w:tcW w:w="1134" w:type="dxa"/>
            <w:cellIns w:id="572" w:author="Master Repository Process" w:date="2021-08-29T03:28:00Z"/>
          </w:tcPr>
          <w:p>
            <w:pPr>
              <w:pStyle w:val="yTableNAm"/>
            </w:pPr>
          </w:p>
        </w:tc>
      </w:tr>
    </w:tbl>
    <w:tbl>
      <w:tblPr>
        <w:tblStyle w:val="TableGrid"/>
        <w:tblW w:w="6753" w:type="dxa"/>
        <w:tblInd w:w="250" w:type="dxa"/>
        <w:tblLayout w:type="fixed"/>
        <w:tblLook w:val="04A0" w:firstRow="1" w:lastRow="0" w:firstColumn="1" w:lastColumn="0" w:noHBand="0" w:noVBand="1"/>
      </w:tblPr>
      <w:tblGrid>
        <w:gridCol w:w="2552"/>
        <w:gridCol w:w="1134"/>
        <w:gridCol w:w="425"/>
        <w:gridCol w:w="941"/>
        <w:gridCol w:w="1276"/>
        <w:gridCol w:w="425"/>
      </w:tblGrid>
      <w:tr>
        <w:trPr>
          <w:cantSplit/>
          <w:trHeight w:val="1047"/>
          <w:del w:id="573" w:author="Master Repository Process" w:date="2021-08-29T03:28:00Z"/>
        </w:trPr>
        <w:tc>
          <w:tcPr>
            <w:tcW w:w="2552" w:type="dxa"/>
            <w:tcBorders>
              <w:left w:val="nil"/>
              <w:bottom w:val="nil"/>
            </w:tcBorders>
          </w:tcPr>
          <w:p>
            <w:pPr>
              <w:pStyle w:val="zyTableNAm"/>
              <w:widowControl w:val="0"/>
              <w:jc w:val="center"/>
              <w:rPr>
                <w:del w:id="574" w:author="Master Repository Process" w:date="2021-08-29T03:28:00Z"/>
                <w:b/>
                <w:snapToGrid w:val="0"/>
              </w:rPr>
            </w:pPr>
          </w:p>
        </w:tc>
        <w:tc>
          <w:tcPr>
            <w:tcW w:w="1134" w:type="dxa"/>
            <w:shd w:val="clear" w:color="auto" w:fill="F2F2F2" w:themeFill="background1" w:themeFillShade="F2"/>
            <w:textDirection w:val="btLr"/>
          </w:tcPr>
          <w:p>
            <w:pPr>
              <w:pStyle w:val="yTableNAm"/>
              <w:jc w:val="center"/>
              <w:rPr>
                <w:del w:id="575" w:author="Master Repository Process" w:date="2021-08-29T03:28:00Z"/>
                <w:snapToGrid w:val="0"/>
              </w:rPr>
            </w:pPr>
            <w:del w:id="576" w:author="Master Repository Process" w:date="2021-08-29T03:28:00Z">
              <w:r>
                <w:rPr>
                  <w:snapToGrid w:val="0"/>
                  <w:sz w:val="16"/>
                  <w:szCs w:val="16"/>
                </w:rPr>
                <w:delText>Date gift was received</w:delText>
              </w:r>
            </w:del>
          </w:p>
        </w:tc>
        <w:tc>
          <w:tcPr>
            <w:tcW w:w="425" w:type="dxa"/>
          </w:tcPr>
          <w:p>
            <w:pPr>
              <w:pStyle w:val="zyTableNAm"/>
              <w:pageBreakBefore/>
              <w:widowControl w:val="0"/>
              <w:spacing w:before="60"/>
              <w:jc w:val="center"/>
              <w:rPr>
                <w:del w:id="577" w:author="Master Repository Process" w:date="2021-08-29T03:28:00Z"/>
                <w:b/>
                <w:snapToGrid w:val="0"/>
              </w:rPr>
            </w:pPr>
          </w:p>
        </w:tc>
        <w:tc>
          <w:tcPr>
            <w:tcW w:w="941" w:type="dxa"/>
            <w:tcBorders>
              <w:bottom w:val="nil"/>
            </w:tcBorders>
          </w:tcPr>
          <w:p>
            <w:pPr>
              <w:pStyle w:val="zyTableNAm"/>
              <w:pageBreakBefore/>
              <w:widowControl w:val="0"/>
              <w:jc w:val="center"/>
              <w:rPr>
                <w:del w:id="578" w:author="Master Repository Process" w:date="2021-08-29T03:28:00Z"/>
                <w:b/>
                <w:snapToGrid w:val="0"/>
              </w:rPr>
            </w:pPr>
          </w:p>
        </w:tc>
        <w:tc>
          <w:tcPr>
            <w:tcW w:w="1276" w:type="dxa"/>
            <w:shd w:val="clear" w:color="auto" w:fill="F2F2F2" w:themeFill="background1" w:themeFillShade="F2"/>
            <w:textDirection w:val="btLr"/>
          </w:tcPr>
          <w:p>
            <w:pPr>
              <w:pStyle w:val="yTableNAm"/>
              <w:jc w:val="center"/>
              <w:rPr>
                <w:del w:id="579" w:author="Master Repository Process" w:date="2021-08-29T03:28:00Z"/>
                <w:snapToGrid w:val="0"/>
              </w:rPr>
            </w:pPr>
            <w:del w:id="580" w:author="Master Repository Process" w:date="2021-08-29T03:28:00Z">
              <w:r>
                <w:rPr>
                  <w:snapToGrid w:val="0"/>
                  <w:sz w:val="16"/>
                  <w:szCs w:val="16"/>
                </w:rPr>
                <w:delText>Date contribution was received</w:delText>
              </w:r>
            </w:del>
          </w:p>
        </w:tc>
        <w:tc>
          <w:tcPr>
            <w:tcW w:w="425" w:type="dxa"/>
          </w:tcPr>
          <w:p>
            <w:pPr>
              <w:pStyle w:val="yTableNAm"/>
              <w:rPr>
                <w:del w:id="581" w:author="Master Repository Process" w:date="2021-08-29T03:28:00Z"/>
                <w:snapToGrid w:val="0"/>
              </w:rPr>
            </w:pPr>
          </w:p>
        </w:tc>
      </w:tr>
      <w:tr>
        <w:trPr>
          <w:cantSplit/>
          <w:trHeight w:val="1061"/>
          <w:del w:id="582" w:author="Master Repository Process" w:date="2021-08-29T03:28:00Z"/>
        </w:trPr>
        <w:tc>
          <w:tcPr>
            <w:tcW w:w="2552" w:type="dxa"/>
            <w:tcBorders>
              <w:left w:val="nil"/>
              <w:bottom w:val="nil"/>
            </w:tcBorders>
          </w:tcPr>
          <w:p>
            <w:pPr>
              <w:pStyle w:val="zyTableNAm"/>
              <w:widowControl w:val="0"/>
              <w:jc w:val="center"/>
              <w:rPr>
                <w:del w:id="583" w:author="Master Repository Process" w:date="2021-08-29T03:28:00Z"/>
                <w:b/>
                <w:snapToGrid w:val="0"/>
              </w:rPr>
            </w:pPr>
          </w:p>
        </w:tc>
        <w:tc>
          <w:tcPr>
            <w:tcW w:w="1134" w:type="dxa"/>
            <w:shd w:val="clear" w:color="auto" w:fill="F2F2F2" w:themeFill="background1" w:themeFillShade="F2"/>
            <w:textDirection w:val="btLr"/>
          </w:tcPr>
          <w:p>
            <w:pPr>
              <w:pStyle w:val="yTableNAm"/>
              <w:jc w:val="center"/>
              <w:rPr>
                <w:del w:id="584" w:author="Master Repository Process" w:date="2021-08-29T03:28:00Z"/>
                <w:snapToGrid w:val="0"/>
              </w:rPr>
            </w:pPr>
            <w:del w:id="585" w:author="Master Repository Process" w:date="2021-08-29T03:28:00Z">
              <w:r>
                <w:rPr>
                  <w:snapToGrid w:val="0"/>
                  <w:sz w:val="16"/>
                  <w:szCs w:val="16"/>
                </w:rPr>
                <w:delText>Address of person who made gift</w:delText>
              </w:r>
            </w:del>
          </w:p>
        </w:tc>
        <w:tc>
          <w:tcPr>
            <w:tcW w:w="425" w:type="dxa"/>
          </w:tcPr>
          <w:p>
            <w:pPr>
              <w:pStyle w:val="zyTableNAm"/>
              <w:pageBreakBefore/>
              <w:widowControl w:val="0"/>
              <w:spacing w:before="60"/>
              <w:jc w:val="center"/>
              <w:rPr>
                <w:del w:id="586" w:author="Master Repository Process" w:date="2021-08-29T03:28:00Z"/>
                <w:b/>
                <w:snapToGrid w:val="0"/>
              </w:rPr>
            </w:pPr>
          </w:p>
        </w:tc>
        <w:tc>
          <w:tcPr>
            <w:tcW w:w="941" w:type="dxa"/>
            <w:tcBorders>
              <w:bottom w:val="nil"/>
            </w:tcBorders>
          </w:tcPr>
          <w:p>
            <w:pPr>
              <w:pStyle w:val="zyTableNAm"/>
              <w:pageBreakBefore/>
              <w:widowControl w:val="0"/>
              <w:jc w:val="center"/>
              <w:rPr>
                <w:del w:id="587" w:author="Master Repository Process" w:date="2021-08-29T03:28:00Z"/>
                <w:b/>
                <w:snapToGrid w:val="0"/>
              </w:rPr>
            </w:pPr>
          </w:p>
        </w:tc>
        <w:tc>
          <w:tcPr>
            <w:tcW w:w="1276" w:type="dxa"/>
            <w:shd w:val="clear" w:color="auto" w:fill="F2F2F2" w:themeFill="background1" w:themeFillShade="F2"/>
            <w:textDirection w:val="btLr"/>
          </w:tcPr>
          <w:p>
            <w:pPr>
              <w:pStyle w:val="yTableNAm"/>
              <w:jc w:val="center"/>
              <w:rPr>
                <w:del w:id="588" w:author="Master Repository Process" w:date="2021-08-29T03:28:00Z"/>
                <w:snapToGrid w:val="0"/>
              </w:rPr>
            </w:pPr>
            <w:del w:id="589" w:author="Master Repository Process" w:date="2021-08-29T03:28:00Z">
              <w:r>
                <w:rPr>
                  <w:snapToGrid w:val="0"/>
                  <w:sz w:val="16"/>
                  <w:szCs w:val="16"/>
                </w:rPr>
                <w:delText>Address of person who made contribution</w:delText>
              </w:r>
            </w:del>
          </w:p>
        </w:tc>
        <w:tc>
          <w:tcPr>
            <w:tcW w:w="425" w:type="dxa"/>
          </w:tcPr>
          <w:p>
            <w:pPr>
              <w:pStyle w:val="yTableNAm"/>
              <w:rPr>
                <w:del w:id="590" w:author="Master Repository Process" w:date="2021-08-29T03:28:00Z"/>
                <w:snapToGrid w:val="0"/>
              </w:rPr>
            </w:pPr>
          </w:p>
        </w:tc>
      </w:tr>
      <w:tr>
        <w:trPr>
          <w:cantSplit/>
          <w:trHeight w:val="1075"/>
          <w:del w:id="591" w:author="Master Repository Process" w:date="2021-08-29T03:28:00Z"/>
        </w:trPr>
        <w:tc>
          <w:tcPr>
            <w:tcW w:w="2552" w:type="dxa"/>
            <w:tcBorders>
              <w:left w:val="nil"/>
              <w:bottom w:val="nil"/>
            </w:tcBorders>
          </w:tcPr>
          <w:p>
            <w:pPr>
              <w:pStyle w:val="zyTableNAm"/>
              <w:widowControl w:val="0"/>
              <w:jc w:val="center"/>
              <w:rPr>
                <w:del w:id="592" w:author="Master Repository Process" w:date="2021-08-29T03:28:00Z"/>
                <w:b/>
                <w:snapToGrid w:val="0"/>
              </w:rPr>
            </w:pPr>
          </w:p>
        </w:tc>
        <w:tc>
          <w:tcPr>
            <w:tcW w:w="1134" w:type="dxa"/>
            <w:shd w:val="clear" w:color="auto" w:fill="F2F2F2" w:themeFill="background1" w:themeFillShade="F2"/>
            <w:textDirection w:val="btLr"/>
          </w:tcPr>
          <w:p>
            <w:pPr>
              <w:pStyle w:val="yTableNAm"/>
              <w:jc w:val="center"/>
              <w:rPr>
                <w:del w:id="593" w:author="Master Repository Process" w:date="2021-08-29T03:28:00Z"/>
                <w:snapToGrid w:val="0"/>
              </w:rPr>
            </w:pPr>
            <w:del w:id="594" w:author="Master Repository Process" w:date="2021-08-29T03:28:00Z">
              <w:r>
                <w:rPr>
                  <w:snapToGrid w:val="0"/>
                  <w:sz w:val="16"/>
                  <w:szCs w:val="16"/>
                </w:rPr>
                <w:delText>Name of person who made gift</w:delText>
              </w:r>
            </w:del>
          </w:p>
        </w:tc>
        <w:tc>
          <w:tcPr>
            <w:tcW w:w="425" w:type="dxa"/>
          </w:tcPr>
          <w:p>
            <w:pPr>
              <w:pStyle w:val="zyTableNAm"/>
              <w:pageBreakBefore/>
              <w:widowControl w:val="0"/>
              <w:spacing w:before="60"/>
              <w:jc w:val="center"/>
              <w:rPr>
                <w:del w:id="595" w:author="Master Repository Process" w:date="2021-08-29T03:28:00Z"/>
                <w:b/>
                <w:snapToGrid w:val="0"/>
              </w:rPr>
            </w:pPr>
          </w:p>
        </w:tc>
        <w:tc>
          <w:tcPr>
            <w:tcW w:w="941" w:type="dxa"/>
            <w:tcBorders>
              <w:bottom w:val="nil"/>
            </w:tcBorders>
          </w:tcPr>
          <w:p>
            <w:pPr>
              <w:pStyle w:val="zyTableNAm"/>
              <w:pageBreakBefore/>
              <w:widowControl w:val="0"/>
              <w:jc w:val="center"/>
              <w:rPr>
                <w:del w:id="596" w:author="Master Repository Process" w:date="2021-08-29T03:28:00Z"/>
                <w:b/>
                <w:snapToGrid w:val="0"/>
              </w:rPr>
            </w:pPr>
          </w:p>
        </w:tc>
        <w:tc>
          <w:tcPr>
            <w:tcW w:w="1276" w:type="dxa"/>
            <w:shd w:val="clear" w:color="auto" w:fill="F2F2F2" w:themeFill="background1" w:themeFillShade="F2"/>
            <w:textDirection w:val="btLr"/>
          </w:tcPr>
          <w:p>
            <w:pPr>
              <w:pStyle w:val="yTableNAm"/>
              <w:jc w:val="center"/>
              <w:rPr>
                <w:del w:id="597" w:author="Master Repository Process" w:date="2021-08-29T03:28:00Z"/>
                <w:snapToGrid w:val="0"/>
              </w:rPr>
            </w:pPr>
            <w:del w:id="598" w:author="Master Repository Process" w:date="2021-08-29T03:28:00Z">
              <w:r>
                <w:rPr>
                  <w:snapToGrid w:val="0"/>
                  <w:sz w:val="16"/>
                  <w:szCs w:val="16"/>
                </w:rPr>
                <w:delText>Name of person who made contribution</w:delText>
              </w:r>
            </w:del>
          </w:p>
        </w:tc>
        <w:tc>
          <w:tcPr>
            <w:tcW w:w="425" w:type="dxa"/>
          </w:tcPr>
          <w:p>
            <w:pPr>
              <w:pStyle w:val="yTableNAm"/>
              <w:rPr>
                <w:del w:id="599" w:author="Master Repository Process" w:date="2021-08-29T03:28:00Z"/>
                <w:snapToGrid w:val="0"/>
              </w:rPr>
            </w:pPr>
          </w:p>
        </w:tc>
      </w:tr>
      <w:tr>
        <w:trPr>
          <w:cantSplit/>
          <w:trHeight w:val="1075"/>
          <w:del w:id="600" w:author="Master Repository Process" w:date="2021-08-29T03:28:00Z"/>
        </w:trPr>
        <w:tc>
          <w:tcPr>
            <w:tcW w:w="2552" w:type="dxa"/>
            <w:tcBorders>
              <w:left w:val="nil"/>
              <w:bottom w:val="nil"/>
            </w:tcBorders>
          </w:tcPr>
          <w:p>
            <w:pPr>
              <w:pStyle w:val="zyTableNAm"/>
              <w:widowControl w:val="0"/>
              <w:jc w:val="center"/>
              <w:rPr>
                <w:del w:id="601" w:author="Master Repository Process" w:date="2021-08-29T03:28:00Z"/>
                <w:b/>
                <w:snapToGrid w:val="0"/>
              </w:rPr>
            </w:pPr>
          </w:p>
        </w:tc>
        <w:tc>
          <w:tcPr>
            <w:tcW w:w="1134" w:type="dxa"/>
            <w:shd w:val="clear" w:color="auto" w:fill="F2F2F2" w:themeFill="background1" w:themeFillShade="F2"/>
            <w:textDirection w:val="btLr"/>
          </w:tcPr>
          <w:p>
            <w:pPr>
              <w:pStyle w:val="yTableNAm"/>
              <w:jc w:val="center"/>
              <w:rPr>
                <w:del w:id="602" w:author="Master Repository Process" w:date="2021-08-29T03:28:00Z"/>
                <w:snapToGrid w:val="0"/>
              </w:rPr>
            </w:pPr>
            <w:del w:id="603" w:author="Master Repository Process" w:date="2021-08-29T03:28:00Z">
              <w:r>
                <w:rPr>
                  <w:snapToGrid w:val="0"/>
                  <w:sz w:val="16"/>
                  <w:szCs w:val="16"/>
                </w:rPr>
                <w:delText>Description of gift</w:delText>
              </w:r>
            </w:del>
          </w:p>
        </w:tc>
        <w:tc>
          <w:tcPr>
            <w:tcW w:w="425" w:type="dxa"/>
          </w:tcPr>
          <w:p>
            <w:pPr>
              <w:pStyle w:val="zyTableNAm"/>
              <w:pageBreakBefore/>
              <w:widowControl w:val="0"/>
              <w:spacing w:before="60"/>
              <w:jc w:val="center"/>
              <w:rPr>
                <w:del w:id="604" w:author="Master Repository Process" w:date="2021-08-29T03:28:00Z"/>
                <w:b/>
                <w:snapToGrid w:val="0"/>
              </w:rPr>
            </w:pPr>
          </w:p>
        </w:tc>
        <w:tc>
          <w:tcPr>
            <w:tcW w:w="941" w:type="dxa"/>
            <w:tcBorders>
              <w:bottom w:val="nil"/>
            </w:tcBorders>
          </w:tcPr>
          <w:p>
            <w:pPr>
              <w:pStyle w:val="zyTableNAm"/>
              <w:pageBreakBefore/>
              <w:widowControl w:val="0"/>
              <w:jc w:val="center"/>
              <w:rPr>
                <w:del w:id="605" w:author="Master Repository Process" w:date="2021-08-29T03:28:00Z"/>
                <w:b/>
                <w:snapToGrid w:val="0"/>
              </w:rPr>
            </w:pPr>
          </w:p>
        </w:tc>
        <w:tc>
          <w:tcPr>
            <w:tcW w:w="1276" w:type="dxa"/>
            <w:shd w:val="clear" w:color="auto" w:fill="F2F2F2" w:themeFill="background1" w:themeFillShade="F2"/>
            <w:textDirection w:val="btLr"/>
          </w:tcPr>
          <w:p>
            <w:pPr>
              <w:pStyle w:val="yTableNAm"/>
              <w:jc w:val="center"/>
              <w:rPr>
                <w:del w:id="606" w:author="Master Repository Process" w:date="2021-08-29T03:28:00Z"/>
                <w:snapToGrid w:val="0"/>
              </w:rPr>
            </w:pPr>
            <w:del w:id="607" w:author="Master Repository Process" w:date="2021-08-29T03:28:00Z">
              <w:r>
                <w:rPr>
                  <w:snapToGrid w:val="0"/>
                  <w:sz w:val="16"/>
                  <w:szCs w:val="16"/>
                </w:rPr>
                <w:delText>Description of contribution</w:delText>
              </w:r>
            </w:del>
          </w:p>
        </w:tc>
        <w:tc>
          <w:tcPr>
            <w:tcW w:w="425" w:type="dxa"/>
          </w:tcPr>
          <w:p>
            <w:pPr>
              <w:pStyle w:val="yTableNAm"/>
              <w:rPr>
                <w:del w:id="608" w:author="Master Repository Process" w:date="2021-08-29T03:28:00Z"/>
                <w:snapToGrid w:val="0"/>
              </w:rPr>
            </w:pPr>
          </w:p>
        </w:tc>
      </w:tr>
      <w:tr>
        <w:trPr>
          <w:cantSplit/>
          <w:trHeight w:val="1231"/>
          <w:del w:id="609" w:author="Master Repository Process" w:date="2021-08-29T03:28:00Z"/>
        </w:trPr>
        <w:tc>
          <w:tcPr>
            <w:tcW w:w="2552" w:type="dxa"/>
            <w:tcBorders>
              <w:left w:val="nil"/>
              <w:bottom w:val="nil"/>
            </w:tcBorders>
          </w:tcPr>
          <w:p>
            <w:pPr>
              <w:pStyle w:val="zyTableNAm"/>
              <w:widowControl w:val="0"/>
              <w:jc w:val="center"/>
              <w:rPr>
                <w:del w:id="610" w:author="Master Repository Process" w:date="2021-08-29T03:28:00Z"/>
                <w:b/>
                <w:snapToGrid w:val="0"/>
              </w:rPr>
            </w:pPr>
          </w:p>
        </w:tc>
        <w:tc>
          <w:tcPr>
            <w:tcW w:w="1134" w:type="dxa"/>
            <w:shd w:val="clear" w:color="auto" w:fill="F2F2F2" w:themeFill="background1" w:themeFillShade="F2"/>
            <w:textDirection w:val="btLr"/>
          </w:tcPr>
          <w:p>
            <w:pPr>
              <w:pStyle w:val="yTableNAm"/>
              <w:jc w:val="center"/>
              <w:rPr>
                <w:del w:id="611" w:author="Master Repository Process" w:date="2021-08-29T03:28:00Z"/>
                <w:snapToGrid w:val="0"/>
              </w:rPr>
            </w:pPr>
            <w:del w:id="612" w:author="Master Repository Process" w:date="2021-08-29T03:28:00Z">
              <w:r>
                <w:rPr>
                  <w:snapToGrid w:val="0"/>
                  <w:sz w:val="16"/>
                  <w:szCs w:val="16"/>
                </w:rPr>
                <w:delText>Name of relevant person making disclosure</w:delText>
              </w:r>
            </w:del>
          </w:p>
        </w:tc>
        <w:tc>
          <w:tcPr>
            <w:tcW w:w="425" w:type="dxa"/>
          </w:tcPr>
          <w:p>
            <w:pPr>
              <w:pStyle w:val="zyTableNAm"/>
              <w:pageBreakBefore/>
              <w:widowControl w:val="0"/>
              <w:jc w:val="center"/>
              <w:rPr>
                <w:del w:id="613" w:author="Master Repository Process" w:date="2021-08-29T03:28:00Z"/>
                <w:b/>
                <w:snapToGrid w:val="0"/>
              </w:rPr>
            </w:pPr>
          </w:p>
        </w:tc>
        <w:tc>
          <w:tcPr>
            <w:tcW w:w="941" w:type="dxa"/>
            <w:tcBorders>
              <w:bottom w:val="nil"/>
            </w:tcBorders>
          </w:tcPr>
          <w:p>
            <w:pPr>
              <w:pStyle w:val="zyTableNAm"/>
              <w:pageBreakBefore/>
              <w:widowControl w:val="0"/>
              <w:jc w:val="center"/>
              <w:rPr>
                <w:del w:id="614" w:author="Master Repository Process" w:date="2021-08-29T03:28:00Z"/>
                <w:b/>
                <w:snapToGrid w:val="0"/>
              </w:rPr>
            </w:pPr>
          </w:p>
        </w:tc>
        <w:tc>
          <w:tcPr>
            <w:tcW w:w="1276" w:type="dxa"/>
            <w:shd w:val="clear" w:color="auto" w:fill="F2F2F2" w:themeFill="background1" w:themeFillShade="F2"/>
            <w:textDirection w:val="btLr"/>
          </w:tcPr>
          <w:p>
            <w:pPr>
              <w:pStyle w:val="yTableNAm"/>
              <w:jc w:val="center"/>
              <w:rPr>
                <w:del w:id="615" w:author="Master Repository Process" w:date="2021-08-29T03:28:00Z"/>
                <w:snapToGrid w:val="0"/>
              </w:rPr>
            </w:pPr>
            <w:del w:id="616" w:author="Master Repository Process" w:date="2021-08-29T03:28:00Z">
              <w:r>
                <w:rPr>
                  <w:snapToGrid w:val="0"/>
                  <w:sz w:val="16"/>
                  <w:szCs w:val="16"/>
                </w:rPr>
                <w:delText>Name of relevant person making disclosure</w:delText>
              </w:r>
            </w:del>
          </w:p>
        </w:tc>
        <w:tc>
          <w:tcPr>
            <w:tcW w:w="425" w:type="dxa"/>
            <w:textDirection w:val="btLr"/>
          </w:tcPr>
          <w:p>
            <w:pPr>
              <w:pStyle w:val="yTableNAm"/>
              <w:rPr>
                <w:del w:id="617" w:author="Master Repository Process" w:date="2021-08-29T03:28:00Z"/>
                <w:snapToGrid w:val="0"/>
              </w:rPr>
            </w:pPr>
          </w:p>
        </w:tc>
      </w:tr>
    </w:tbl>
    <w:p>
      <w:pPr>
        <w:pStyle w:val="BlankClose"/>
        <w:rPr>
          <w:ins w:id="618" w:author="Master Repository Process" w:date="2021-08-29T03:28:00Z"/>
        </w:rPr>
      </w:pPr>
    </w:p>
    <w:p>
      <w:pPr>
        <w:pStyle w:val="yFootnotesection"/>
        <w:rPr>
          <w:ins w:id="619" w:author="Master Repository Process" w:date="2021-08-29T03:28:00Z"/>
        </w:rPr>
      </w:pPr>
      <w:r>
        <w:tab/>
        <w:t xml:space="preserve">[Form 4 inserted: Gazette </w:t>
      </w:r>
      <w:del w:id="620" w:author="Master Repository Process" w:date="2021-08-29T03:28:00Z">
        <w:r>
          <w:delText>4 Mar 2016</w:delText>
        </w:r>
      </w:del>
      <w:ins w:id="621" w:author="Master Repository Process" w:date="2021-08-29T03:28:00Z">
        <w:r>
          <w:t>18 Oct 2019</w:t>
        </w:r>
      </w:ins>
      <w:r>
        <w:t xml:space="preserve"> p. </w:t>
      </w:r>
      <w:del w:id="622" w:author="Master Repository Process" w:date="2021-08-29T03:28:00Z">
        <w:r>
          <w:delText>657-8.]</w:delText>
        </w:r>
      </w:del>
      <w:ins w:id="623" w:author="Master Repository Process" w:date="2021-08-29T03:28:00Z">
        <w:r>
          <w:t>3683.]</w:t>
        </w:r>
      </w:ins>
    </w:p>
    <w:p>
      <w:pPr>
        <w:pStyle w:val="yMiscellaneousBody"/>
        <w:rPr>
          <w:snapToGrid w:val="0"/>
        </w:rPr>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625" w:name="_Toc19177948"/>
      <w:bookmarkStart w:id="626" w:name="_Toc19183916"/>
      <w:bookmarkStart w:id="627" w:name="_Toc19185659"/>
      <w:bookmarkStart w:id="628" w:name="_Toc22207011"/>
      <w:bookmarkStart w:id="629" w:name="_Toc22208884"/>
      <w:bookmarkStart w:id="630" w:name="_Toc22217867"/>
      <w:bookmarkStart w:id="631" w:name="_Toc22217946"/>
      <w:r>
        <w:t>Notes</w:t>
      </w:r>
      <w:bookmarkEnd w:id="625"/>
      <w:bookmarkEnd w:id="626"/>
      <w:bookmarkEnd w:id="627"/>
      <w:bookmarkEnd w:id="628"/>
      <w:bookmarkEnd w:id="629"/>
      <w:bookmarkEnd w:id="630"/>
      <w:bookmarkEnd w:id="631"/>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(Administration)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32" w:name="_Toc22217947"/>
      <w:bookmarkStart w:id="633" w:name="_Toc19185660"/>
      <w:r>
        <w:rPr>
          <w:snapToGrid w:val="0"/>
        </w:rPr>
        <w:t>Compilation table</w:t>
      </w:r>
      <w:bookmarkEnd w:id="632"/>
      <w:bookmarkEnd w:id="6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Local Government (Administration) Regulations 1996</w:t>
            </w:r>
          </w:p>
        </w:tc>
        <w:tc>
          <w:tcPr>
            <w:tcW w:w="1276" w:type="dxa"/>
          </w:tcPr>
          <w:p>
            <w:pPr>
              <w:pStyle w:val="nTable"/>
              <w:spacing w:after="40"/>
            </w:pPr>
            <w:r>
              <w:t>24 Jun 1996 p. 2799</w:t>
            </w:r>
            <w:r>
              <w:noBreakHyphen/>
              <w:t>826</w:t>
            </w:r>
          </w:p>
        </w:tc>
        <w:tc>
          <w:tcPr>
            <w:tcW w:w="2693" w:type="dxa"/>
          </w:tcPr>
          <w:p>
            <w:pPr>
              <w:pStyle w:val="nTable"/>
              <w:spacing w:after="40"/>
            </w:pPr>
            <w:r>
              <w:t>1 Jul 1996 (see r. 2)</w:t>
            </w:r>
          </w:p>
        </w:tc>
      </w:tr>
      <w:tr>
        <w:tc>
          <w:tcPr>
            <w:tcW w:w="3118" w:type="dxa"/>
          </w:tcPr>
          <w:p>
            <w:pPr>
              <w:pStyle w:val="nTable"/>
              <w:spacing w:after="40"/>
            </w:pPr>
            <w:r>
              <w:rPr>
                <w:i/>
              </w:rPr>
              <w:t>Local Government (Administration) Amendment Regulations 1996</w:t>
            </w:r>
          </w:p>
        </w:tc>
        <w:tc>
          <w:tcPr>
            <w:tcW w:w="1276" w:type="dxa"/>
          </w:tcPr>
          <w:p>
            <w:pPr>
              <w:pStyle w:val="nTable"/>
              <w:spacing w:after="40"/>
            </w:pPr>
            <w:r>
              <w:t>28 Jun 1996 p. 3171</w:t>
            </w:r>
          </w:p>
        </w:tc>
        <w:tc>
          <w:tcPr>
            <w:tcW w:w="2693" w:type="dxa"/>
          </w:tcPr>
          <w:p>
            <w:pPr>
              <w:pStyle w:val="nTable"/>
              <w:spacing w:after="40"/>
            </w:pPr>
            <w:r>
              <w:t>1 Jul 1996</w:t>
            </w:r>
            <w:r>
              <w:rPr>
                <w:iCs/>
                <w:vertAlign w:val="superscript"/>
              </w:rPr>
              <w:t> 2</w:t>
            </w:r>
          </w:p>
        </w:tc>
      </w:tr>
      <w:tr>
        <w:tc>
          <w:tcPr>
            <w:tcW w:w="3118" w:type="dxa"/>
          </w:tcPr>
          <w:p>
            <w:pPr>
              <w:pStyle w:val="nTable"/>
              <w:spacing w:after="40"/>
              <w:rPr>
                <w:i/>
              </w:rPr>
            </w:pPr>
            <w:r>
              <w:rPr>
                <w:i/>
              </w:rPr>
              <w:t>Local Government (Administration) Amendment Regulations 1999</w:t>
            </w:r>
          </w:p>
        </w:tc>
        <w:tc>
          <w:tcPr>
            <w:tcW w:w="1276" w:type="dxa"/>
          </w:tcPr>
          <w:p>
            <w:pPr>
              <w:pStyle w:val="nTable"/>
              <w:spacing w:after="40"/>
            </w:pPr>
            <w:r>
              <w:t>23 Apr 1999 p. 1717</w:t>
            </w:r>
            <w:r>
              <w:noBreakHyphen/>
              <w:t>21</w:t>
            </w:r>
          </w:p>
        </w:tc>
        <w:tc>
          <w:tcPr>
            <w:tcW w:w="2693" w:type="dxa"/>
          </w:tcPr>
          <w:p>
            <w:pPr>
              <w:pStyle w:val="nTable"/>
              <w:spacing w:after="40"/>
            </w:pPr>
            <w:r>
              <w:t>23 Apr 1999</w:t>
            </w:r>
          </w:p>
        </w:tc>
      </w:tr>
      <w:tr>
        <w:tc>
          <w:tcPr>
            <w:tcW w:w="3118" w:type="dxa"/>
          </w:tcPr>
          <w:p>
            <w:pPr>
              <w:pStyle w:val="nTable"/>
              <w:spacing w:after="40"/>
              <w:rPr>
                <w:i/>
              </w:rPr>
            </w:pPr>
            <w:r>
              <w:rPr>
                <w:i/>
              </w:rPr>
              <w:t>Local Government (Administration) Amendment Regulations 2000</w:t>
            </w:r>
          </w:p>
        </w:tc>
        <w:tc>
          <w:tcPr>
            <w:tcW w:w="1276" w:type="dxa"/>
          </w:tcPr>
          <w:p>
            <w:pPr>
              <w:pStyle w:val="nTable"/>
              <w:spacing w:after="40"/>
            </w:pPr>
            <w:r>
              <w:t>25 Feb 2000 p. 969</w:t>
            </w:r>
          </w:p>
        </w:tc>
        <w:tc>
          <w:tcPr>
            <w:tcW w:w="2693" w:type="dxa"/>
          </w:tcPr>
          <w:p>
            <w:pPr>
              <w:pStyle w:val="nTable"/>
              <w:spacing w:after="40"/>
            </w:pPr>
            <w:r>
              <w:t xml:space="preserve">25 Feb 2000 (see r. 2 and </w:t>
            </w:r>
            <w:r>
              <w:rPr>
                <w:i/>
              </w:rPr>
              <w:t>Gazette</w:t>
            </w:r>
            <w:r>
              <w:t xml:space="preserve"> 25 Feb 2000 p. 970)</w:t>
            </w:r>
          </w:p>
        </w:tc>
      </w:tr>
      <w:tr>
        <w:tc>
          <w:tcPr>
            <w:tcW w:w="3118" w:type="dxa"/>
          </w:tcPr>
          <w:p>
            <w:pPr>
              <w:pStyle w:val="nTable"/>
              <w:spacing w:after="40"/>
              <w:rPr>
                <w:i/>
              </w:rPr>
            </w:pPr>
            <w:r>
              <w:rPr>
                <w:i/>
              </w:rPr>
              <w:t>Local Government (Administration) Amendment Regulations 2002</w:t>
            </w:r>
          </w:p>
        </w:tc>
        <w:tc>
          <w:tcPr>
            <w:tcW w:w="1276" w:type="dxa"/>
          </w:tcPr>
          <w:p>
            <w:pPr>
              <w:pStyle w:val="nTable"/>
              <w:spacing w:after="40"/>
            </w:pPr>
            <w:r>
              <w:t>28 Jun 2002 p. 3079</w:t>
            </w:r>
            <w:r>
              <w:noBreakHyphen/>
              <w:t>81</w:t>
            </w:r>
          </w:p>
        </w:tc>
        <w:tc>
          <w:tcPr>
            <w:tcW w:w="2693" w:type="dxa"/>
          </w:tcPr>
          <w:p>
            <w:pPr>
              <w:pStyle w:val="nTable"/>
              <w:spacing w:after="40"/>
            </w:pPr>
            <w:r>
              <w:t>28 Jun 2002</w:t>
            </w:r>
          </w:p>
        </w:tc>
      </w:tr>
      <w:tr>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c>
          <w:tcPr>
            <w:tcW w:w="3118" w:type="dxa"/>
          </w:tcPr>
          <w:p>
            <w:pPr>
              <w:pStyle w:val="nTable"/>
              <w:spacing w:after="40"/>
              <w:rPr>
                <w:iCs/>
              </w:rPr>
            </w:pPr>
            <w:r>
              <w:rPr>
                <w:i/>
              </w:rPr>
              <w:t>Local Government (Administration) Amendment Regulations 2005</w:t>
            </w:r>
            <w:r>
              <w:rPr>
                <w:iCs/>
                <w:vertAlign w:val="superscript"/>
              </w:rPr>
              <w:t> 3</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c>
          <w:tcPr>
            <w:tcW w:w="3118" w:type="dxa"/>
          </w:tcPr>
          <w:p>
            <w:pPr>
              <w:pStyle w:val="nTable"/>
              <w:spacing w:after="40"/>
              <w:rPr>
                <w:i/>
              </w:rPr>
            </w:pPr>
            <w:r>
              <w:rPr>
                <w:i/>
              </w:rPr>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c>
          <w:tcPr>
            <w:tcW w:w="3118" w:type="dxa"/>
          </w:tcPr>
          <w:p>
            <w:pPr>
              <w:pStyle w:val="nTable"/>
              <w:spacing w:after="40"/>
              <w:rPr>
                <w:i/>
              </w:rPr>
            </w:pPr>
            <w:r>
              <w:rPr>
                <w:i/>
              </w:rPr>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snapToGrid w:val="0"/>
              </w:rPr>
              <w:t>r. 1 and 2: 28 Feb 2014 (see r. 2(a));</w:t>
            </w:r>
            <w:r>
              <w:rPr>
                <w:snapToGrid w:val="0"/>
              </w:rPr>
              <w:br/>
              <w:t>Regulations other than r. 1 and 2: 1 Mar 2014 (see r. 2(b))</w:t>
            </w:r>
          </w:p>
        </w:tc>
      </w:tr>
      <w:tr>
        <w:tc>
          <w:tcPr>
            <w:tcW w:w="3118" w:type="dxa"/>
            <w:shd w:val="clear" w:color="auto" w:fill="auto"/>
          </w:tcPr>
          <w:p>
            <w:pPr>
              <w:pStyle w:val="nTable"/>
              <w:spacing w:after="40"/>
              <w:rPr>
                <w:i/>
              </w:rPr>
            </w:pPr>
            <w:r>
              <w:rPr>
                <w:i/>
              </w:rPr>
              <w:t>Local Government (Administration) Amendment Regulations 2016</w:t>
            </w:r>
          </w:p>
        </w:tc>
        <w:tc>
          <w:tcPr>
            <w:tcW w:w="1276" w:type="dxa"/>
            <w:shd w:val="clear" w:color="auto" w:fill="auto"/>
          </w:tcPr>
          <w:p>
            <w:pPr>
              <w:pStyle w:val="nTable"/>
              <w:keepNext/>
              <w:keepLines/>
              <w:spacing w:after="40"/>
            </w:pPr>
            <w:r>
              <w:t>4 Mar 2016 p. 649</w:t>
            </w:r>
            <w:r>
              <w:noBreakHyphen/>
              <w:t>58</w:t>
            </w:r>
          </w:p>
        </w:tc>
        <w:tc>
          <w:tcPr>
            <w:tcW w:w="2693" w:type="dxa"/>
            <w:shd w:val="clear" w:color="auto" w:fill="auto"/>
          </w:tcPr>
          <w:p>
            <w:pPr>
              <w:pStyle w:val="nTable"/>
              <w:keepNext/>
              <w:keepLines/>
              <w:spacing w:after="40"/>
              <w:rPr>
                <w:snapToGrid w:val="0"/>
              </w:rPr>
            </w:pPr>
            <w:r>
              <w:rPr>
                <w:snapToGrid w:val="0"/>
              </w:rPr>
              <w:t>r. 1 and 2: 4 Mar 2016 (see r. 2(a));</w:t>
            </w:r>
            <w:r>
              <w:rPr>
                <w:snapToGrid w:val="0"/>
              </w:rPr>
              <w:br/>
              <w:t>Regulations other than r. 1 and 2: 5 Mar 2016 (see r. 2(b))</w:t>
            </w:r>
          </w:p>
        </w:tc>
      </w:tr>
      <w:tr>
        <w:tc>
          <w:tcPr>
            <w:tcW w:w="3118" w:type="dxa"/>
            <w:shd w:val="clear" w:color="auto" w:fill="auto"/>
          </w:tcPr>
          <w:p>
            <w:pPr>
              <w:pStyle w:val="nTable"/>
              <w:spacing w:after="40"/>
              <w:rPr>
                <w:i/>
              </w:rPr>
            </w:pPr>
            <w:r>
              <w:rPr>
                <w:i/>
              </w:rPr>
              <w:t xml:space="preserve">Local Government Regulations Amendment (Gifts) Regulations 2017 </w:t>
            </w:r>
            <w:r>
              <w:t>Pt. 2</w:t>
            </w:r>
          </w:p>
        </w:tc>
        <w:tc>
          <w:tcPr>
            <w:tcW w:w="1276" w:type="dxa"/>
            <w:shd w:val="clear" w:color="auto" w:fill="auto"/>
          </w:tcPr>
          <w:p>
            <w:pPr>
              <w:pStyle w:val="nTable"/>
              <w:keepNext/>
              <w:keepLines/>
              <w:spacing w:after="40"/>
            </w:pPr>
            <w:r>
              <w:t>20 Jan 2017 p. 648</w:t>
            </w:r>
            <w:r>
              <w:noBreakHyphen/>
              <w:t>50</w:t>
            </w:r>
          </w:p>
        </w:tc>
        <w:tc>
          <w:tcPr>
            <w:tcW w:w="2693" w:type="dxa"/>
            <w:shd w:val="clear" w:color="auto" w:fill="auto"/>
          </w:tcPr>
          <w:p>
            <w:pPr>
              <w:pStyle w:val="nTable"/>
              <w:keepNext/>
              <w:keepLines/>
              <w:spacing w:after="40"/>
              <w:rPr>
                <w:snapToGrid w:val="0"/>
              </w:rPr>
            </w:pPr>
            <w:r>
              <w:rPr>
                <w:snapToGrid w:val="0"/>
              </w:rPr>
              <w:t>21 Jan 2017 (see r. 2(b))</w:t>
            </w:r>
          </w:p>
        </w:tc>
      </w:tr>
      <w:tr>
        <w:tc>
          <w:tcPr>
            <w:tcW w:w="3118" w:type="dxa"/>
            <w:shd w:val="clear" w:color="auto" w:fill="auto"/>
          </w:tcPr>
          <w:p>
            <w:pPr>
              <w:pStyle w:val="nTable"/>
              <w:spacing w:after="40"/>
            </w:pPr>
            <w:r>
              <w:rPr>
                <w:i/>
              </w:rPr>
              <w:t>Local Government Regulations Amendment (Recovery of Advance Payments) Regulations 2018</w:t>
            </w:r>
            <w:r>
              <w:t xml:space="preserve"> Pt. 2</w:t>
            </w:r>
          </w:p>
        </w:tc>
        <w:tc>
          <w:tcPr>
            <w:tcW w:w="1276" w:type="dxa"/>
            <w:shd w:val="clear" w:color="auto" w:fill="auto"/>
          </w:tcPr>
          <w:p>
            <w:pPr>
              <w:pStyle w:val="nTable"/>
              <w:keepNext/>
              <w:keepLines/>
              <w:spacing w:after="40"/>
            </w:pPr>
            <w:r>
              <w:t>14 Dec 2018 p. 4805</w:t>
            </w:r>
            <w:r>
              <w:noBreakHyphen/>
              <w:t>6</w:t>
            </w:r>
          </w:p>
        </w:tc>
        <w:tc>
          <w:tcPr>
            <w:tcW w:w="2693" w:type="dxa"/>
            <w:shd w:val="clear" w:color="auto" w:fill="auto"/>
          </w:tcPr>
          <w:p>
            <w:pPr>
              <w:pStyle w:val="nTable"/>
              <w:keepNext/>
              <w:keepLines/>
              <w:spacing w:after="40"/>
              <w:rPr>
                <w:snapToGrid w:val="0"/>
              </w:rPr>
            </w:pPr>
            <w:r>
              <w:rPr>
                <w:snapToGrid w:val="0"/>
              </w:rPr>
              <w:t>15 Dec 2018 (see r. 2(b))</w:t>
            </w:r>
          </w:p>
        </w:tc>
      </w:tr>
      <w:tr>
        <w:tc>
          <w:tcPr>
            <w:tcW w:w="3118" w:type="dxa"/>
            <w:shd w:val="clear" w:color="auto" w:fill="auto"/>
          </w:tcPr>
          <w:p>
            <w:pPr>
              <w:pStyle w:val="nTable"/>
              <w:spacing w:after="40"/>
              <w:rPr>
                <w:i/>
              </w:rPr>
            </w:pPr>
            <w:r>
              <w:rPr>
                <w:i/>
              </w:rPr>
              <w:t xml:space="preserve">Local Government Regulations Amendment (Induction and Training) Regulations 2019 </w:t>
            </w:r>
            <w:r>
              <w:t>Pt. 3</w:t>
            </w:r>
          </w:p>
        </w:tc>
        <w:tc>
          <w:tcPr>
            <w:tcW w:w="1276" w:type="dxa"/>
            <w:shd w:val="clear" w:color="auto" w:fill="auto"/>
          </w:tcPr>
          <w:p>
            <w:pPr>
              <w:pStyle w:val="nTable"/>
              <w:keepNext/>
              <w:keepLines/>
              <w:spacing w:after="40"/>
            </w:pPr>
            <w:r>
              <w:t>9 Aug 2019 p. 3020</w:t>
            </w:r>
            <w:r>
              <w:noBreakHyphen/>
              <w:t xml:space="preserve">3 </w:t>
            </w:r>
          </w:p>
        </w:tc>
        <w:tc>
          <w:tcPr>
            <w:tcW w:w="2693" w:type="dxa"/>
            <w:shd w:val="clear" w:color="auto" w:fill="auto"/>
          </w:tcPr>
          <w:p>
            <w:pPr>
              <w:pStyle w:val="nTable"/>
              <w:keepNext/>
              <w:keepLines/>
              <w:spacing w:after="40"/>
              <w:rPr>
                <w:snapToGrid w:val="0"/>
              </w:rPr>
            </w:pPr>
            <w:r>
              <w:rPr>
                <w:snapToGrid w:val="0"/>
                <w:spacing w:val="-2"/>
              </w:rPr>
              <w:t xml:space="preserve">16 Sep 2019 (see r. 2(c) and </w:t>
            </w:r>
            <w:r>
              <w:rPr>
                <w:i/>
                <w:snapToGrid w:val="0"/>
                <w:spacing w:val="-2"/>
              </w:rPr>
              <w:t>Gazette</w:t>
            </w:r>
            <w:r>
              <w:rPr>
                <w:snapToGrid w:val="0"/>
                <w:spacing w:val="-2"/>
              </w:rPr>
              <w:t xml:space="preserve"> 9 Aug 2019 p. 3019)</w:t>
            </w:r>
          </w:p>
        </w:tc>
      </w:tr>
      <w:tr>
        <w:trPr>
          <w:ins w:id="634" w:author="Master Repository Process" w:date="2021-08-29T03:28:00Z"/>
        </w:trPr>
        <w:tc>
          <w:tcPr>
            <w:tcW w:w="3118" w:type="dxa"/>
            <w:tcBorders>
              <w:bottom w:val="single" w:sz="8" w:space="0" w:color="auto"/>
            </w:tcBorders>
            <w:shd w:val="clear" w:color="auto" w:fill="auto"/>
          </w:tcPr>
          <w:p>
            <w:pPr>
              <w:pStyle w:val="nTable"/>
              <w:rPr>
                <w:ins w:id="635" w:author="Master Repository Process" w:date="2021-08-29T03:28:00Z"/>
                <w:bCs/>
                <w:iCs/>
              </w:rPr>
            </w:pPr>
            <w:ins w:id="636" w:author="Master Repository Process" w:date="2021-08-29T03:28:00Z">
              <w:r>
                <w:rPr>
                  <w:bCs/>
                  <w:i/>
                  <w:iCs/>
                </w:rPr>
                <w:t>Local Government Regulations Amendment (Gifts) Regulations 2019</w:t>
              </w:r>
              <w:r>
                <w:rPr>
                  <w:bCs/>
                  <w:iCs/>
                </w:rPr>
                <w:t xml:space="preserve"> Pt. 2</w:t>
              </w:r>
            </w:ins>
          </w:p>
        </w:tc>
        <w:tc>
          <w:tcPr>
            <w:tcW w:w="1276" w:type="dxa"/>
            <w:tcBorders>
              <w:bottom w:val="single" w:sz="8" w:space="0" w:color="auto"/>
            </w:tcBorders>
            <w:shd w:val="clear" w:color="auto" w:fill="auto"/>
          </w:tcPr>
          <w:p>
            <w:pPr>
              <w:pStyle w:val="nTable"/>
              <w:keepNext/>
              <w:keepLines/>
              <w:spacing w:after="40"/>
              <w:rPr>
                <w:ins w:id="637" w:author="Master Repository Process" w:date="2021-08-29T03:28:00Z"/>
              </w:rPr>
            </w:pPr>
            <w:ins w:id="638" w:author="Master Repository Process" w:date="2021-08-29T03:28:00Z">
              <w:r>
                <w:t>18 Oct 2019 p. 3679-84</w:t>
              </w:r>
            </w:ins>
          </w:p>
        </w:tc>
        <w:tc>
          <w:tcPr>
            <w:tcW w:w="2693" w:type="dxa"/>
            <w:tcBorders>
              <w:bottom w:val="single" w:sz="8" w:space="0" w:color="auto"/>
            </w:tcBorders>
            <w:shd w:val="clear" w:color="auto" w:fill="auto"/>
          </w:tcPr>
          <w:p>
            <w:pPr>
              <w:pStyle w:val="nTable"/>
              <w:keepNext/>
              <w:keepLines/>
              <w:spacing w:after="40"/>
              <w:rPr>
                <w:ins w:id="639" w:author="Master Repository Process" w:date="2021-08-29T03:28:00Z"/>
                <w:snapToGrid w:val="0"/>
                <w:spacing w:val="-2"/>
              </w:rPr>
            </w:pPr>
            <w:ins w:id="640" w:author="Master Repository Process" w:date="2021-08-29T03:28:00Z">
              <w:r>
                <w:rPr>
                  <w:snapToGrid w:val="0"/>
                  <w:spacing w:val="-2"/>
                </w:rPr>
                <w:t xml:space="preserve">19 Oct 2019 (see r. 2(b) and </w:t>
              </w:r>
              <w:r>
                <w:rPr>
                  <w:i/>
                  <w:snapToGrid w:val="0"/>
                  <w:spacing w:val="-2"/>
                </w:rPr>
                <w:t xml:space="preserve">Gazette </w:t>
              </w:r>
              <w:r>
                <w:rPr>
                  <w:snapToGrid w:val="0"/>
                  <w:spacing w:val="-2"/>
                </w:rPr>
                <w:t>18 Oct 2019 p. 3673)</w:t>
              </w:r>
            </w:ins>
          </w:p>
        </w:tc>
      </w:tr>
    </w:tbl>
    <w:p>
      <w:pPr>
        <w:pStyle w:val="nSubsection"/>
      </w:pPr>
      <w:r>
        <w:rPr>
          <w:vertAlign w:val="superscript"/>
        </w:rPr>
        <w:t>2</w:t>
      </w:r>
      <w:r>
        <w:tab/>
        <w:t xml:space="preserve">The </w:t>
      </w:r>
      <w:r>
        <w:rPr>
          <w:iCs/>
        </w:rPr>
        <w:t>commencement date of 1 Jul 1996 is the commencement date of the principal regulations</w:t>
      </w:r>
      <w:r>
        <w:t>.</w:t>
      </w:r>
    </w:p>
    <w:p>
      <w:pPr>
        <w:pStyle w:val="nSubsection"/>
      </w:pPr>
      <w:r>
        <w:rPr>
          <w:vertAlign w:val="superscript"/>
        </w:rPr>
        <w:t>3</w:t>
      </w:r>
      <w:r>
        <w:tab/>
        <w:t xml:space="preserve">The </w:t>
      </w:r>
      <w:r>
        <w:rPr>
          <w:i/>
          <w:iCs/>
        </w:rPr>
        <w:t>Local Government (Administration) Amendment Regulations 2005</w:t>
      </w:r>
      <w:r>
        <w:t xml:space="preserve"> r. 15 is a transitional provision that is of no further effect.</w:t>
      </w:r>
    </w:p>
    <w:p>
      <w:pPr>
        <w:rPr>
          <w:del w:id="641" w:author="Master Repository Process" w:date="2021-08-29T03:28:00Z"/>
        </w:rPr>
      </w:pP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24" w:name="Schedule"/>
    <w:bookmarkEnd w:id="6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42" w:name="Compilation"/>
    <w:bookmarkEnd w:id="6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3" w:name="Coversheet"/>
    <w:bookmarkEnd w:id="6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912104601"/>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 w:name="WAFER_20190808144556" w:val="RemoveTocBookmarks,RemoveUnusedBookmarks,RemoveLanguageTags,ResetPageSize,RunningHeaders,UpdateStyles,UsedStyles"/>
    <w:docVar w:name="WAFER_20190808144556_GUID" w:val="b939268d-59b5-4681-b0ef-6088fa2806be"/>
    <w:docVar w:name="WAFER_20190912104601" w:val="RemoveTocBookmarks,RemoveUnusedBookmarks,RemoveLanguageTags,ResetPageSize,RunningHeaders,UpdateStyles,UsedStyles"/>
    <w:docVar w:name="WAFER_20190912104601_GUID" w:val="416a39af-9ee1-4ee9-b8ea-6295d695c7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7ED2ED3-54F1-41AF-AB60-7BDA38173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Heading">
    <w:name w:val="Heading"/>
    <w:basedOn w:val="Heading2"/>
  </w:style>
  <w:style w:type="paragraph" w:customStyle="1" w:styleId="v">
    <w:name w:val="v"/>
    <w:basedOn w:val="Heading5"/>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EDF4AC-E5C6-4DA5-B547-893E71E3C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12230</Words>
  <Characters>62374</Characters>
  <Application>Microsoft Office Word</Application>
  <DocSecurity>0</DocSecurity>
  <Lines>2150</Lines>
  <Paragraphs>1050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03-i0-01 - 03-j0-00</dc:title>
  <dc:subject/>
  <dc:creator/>
  <cp:keywords/>
  <dc:description/>
  <cp:lastModifiedBy>Master Repository Process</cp:lastModifiedBy>
  <cp:revision>2</cp:revision>
  <cp:lastPrinted>2019-10-17T07:04:00Z</cp:lastPrinted>
  <dcterms:created xsi:type="dcterms:W3CDTF">2021-08-28T19:28:00Z</dcterms:created>
  <dcterms:modified xsi:type="dcterms:W3CDTF">2021-08-28T19:28:00Z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DocumentType">
    <vt:lpwstr>Reg</vt:lpwstr>
  </property>
  <property fmtid="{D5CDD505-2E9C-101B-9397-08002B2CF9AE}" pid="4" name="OwlsUID">
    <vt:i4>4572</vt:i4>
  </property>
  <property fmtid="{D5CDD505-2E9C-101B-9397-08002B2CF9AE}" pid="5" name="ReprintNo">
    <vt:lpwstr>3</vt:lpwstr>
  </property>
  <property fmtid="{D5CDD505-2E9C-101B-9397-08002B2CF9AE}" pid="6" name="ReprintedAsAt">
    <vt:filetime>2012-02-02T16:00:00Z</vt:filetime>
  </property>
  <property fmtid="{D5CDD505-2E9C-101B-9397-08002B2CF9AE}" pid="7" name="CommencementDate">
    <vt:lpwstr>20191019</vt:lpwstr>
  </property>
  <property fmtid="{D5CDD505-2E9C-101B-9397-08002B2CF9AE}" pid="8" name="FromSuffix">
    <vt:lpwstr>03-i0-01</vt:lpwstr>
  </property>
  <property fmtid="{D5CDD505-2E9C-101B-9397-08002B2CF9AE}" pid="9" name="FromAsAtDate">
    <vt:lpwstr>16 Sep 2019</vt:lpwstr>
  </property>
  <property fmtid="{D5CDD505-2E9C-101B-9397-08002B2CF9AE}" pid="10" name="ToSuffix">
    <vt:lpwstr>03-j0-00</vt:lpwstr>
  </property>
  <property fmtid="{D5CDD505-2E9C-101B-9397-08002B2CF9AE}" pid="11" name="ToAsAtDate">
    <vt:lpwstr>19 Oct 2019</vt:lpwstr>
  </property>
</Properties>
</file>