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2019</w:t>
      </w:r>
      <w:r>
        <w:fldChar w:fldCharType="end"/>
      </w:r>
      <w:r>
        <w:t xml:space="preserve">, </w:t>
      </w:r>
      <w:r>
        <w:fldChar w:fldCharType="begin"/>
      </w:r>
      <w:r>
        <w:instrText xml:space="preserve"> DocProperty FromSuffix </w:instrText>
      </w:r>
      <w:r>
        <w:fldChar w:fldCharType="separate"/>
      </w:r>
      <w:r>
        <w:t>04-f0-00</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04-g0-02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440"/>
      </w:pPr>
      <w:r>
        <w:t>Land Valuers Licensing Act 1978</w:t>
      </w:r>
    </w:p>
    <w:p>
      <w:pPr>
        <w:pStyle w:val="LongTitle"/>
        <w:rPr>
          <w:snapToGrid w:val="0"/>
        </w:rPr>
      </w:pPr>
      <w:r>
        <w:rPr>
          <w:snapToGrid w:val="0"/>
        </w:rPr>
        <w:t>A</w:t>
      </w:r>
      <w:bookmarkStart w:id="1" w:name="_GoBack"/>
      <w:bookmarkEnd w:id="1"/>
      <w:r>
        <w:rPr>
          <w:snapToGrid w:val="0"/>
        </w:rPr>
        <w:t>n Act to provide for the licensing of land valuers and for related purposes.</w:t>
      </w:r>
    </w:p>
    <w:p>
      <w:pPr>
        <w:pStyle w:val="Heading2"/>
      </w:pPr>
      <w:bookmarkStart w:id="2" w:name="_Toc32243029"/>
      <w:bookmarkStart w:id="3" w:name="_Toc32243077"/>
      <w:bookmarkStart w:id="4" w:name="_Toc32246768"/>
      <w:bookmarkStart w:id="5" w:name="_Toc404158414"/>
      <w:bookmarkStart w:id="6" w:name="_Toc419816024"/>
      <w:bookmarkStart w:id="7" w:name="_Toc419816070"/>
      <w:bookmarkStart w:id="8" w:name="_Toc468700395"/>
      <w:bookmarkStart w:id="9" w:name="_Toc486575279"/>
      <w:bookmarkStart w:id="10" w:name="_Toc2291528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32246769"/>
      <w:bookmarkStart w:id="12" w:name="_Toc404158415"/>
      <w:bookmarkStart w:id="13" w:name="_Toc22915289"/>
      <w:r>
        <w:rPr>
          <w:rStyle w:val="CharSectno"/>
        </w:rPr>
        <w:t>1</w:t>
      </w:r>
      <w:r>
        <w:rPr>
          <w:snapToGrid w:val="0"/>
        </w:rPr>
        <w:t>.</w:t>
      </w:r>
      <w:r>
        <w:rPr>
          <w:snapToGrid w:val="0"/>
        </w:rPr>
        <w:tab/>
        <w:t>Short title</w:t>
      </w:r>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Land Valuers Licensing Act 1978</w:t>
      </w:r>
      <w:del w:id="14" w:author="svcMRProcess" w:date="2020-02-11T15:47:00Z">
        <w:r>
          <w:rPr>
            <w:i/>
            <w:snapToGrid w:val="0"/>
          </w:rPr>
          <w:delText> </w:delText>
        </w:r>
        <w:r>
          <w:rPr>
            <w:snapToGrid w:val="0"/>
            <w:vertAlign w:val="superscript"/>
          </w:rPr>
          <w:delText>1</w:delText>
        </w:r>
      </w:del>
      <w:r>
        <w:rPr>
          <w:snapToGrid w:val="0"/>
        </w:rPr>
        <w:t>.</w:t>
      </w:r>
    </w:p>
    <w:p>
      <w:pPr>
        <w:pStyle w:val="Heading5"/>
        <w:spacing w:before="240"/>
        <w:rPr>
          <w:snapToGrid w:val="0"/>
        </w:rPr>
      </w:pPr>
      <w:bookmarkStart w:id="15" w:name="_Toc32246770"/>
      <w:bookmarkStart w:id="16" w:name="_Toc404158416"/>
      <w:bookmarkStart w:id="17" w:name="_Toc22915290"/>
      <w:r>
        <w:rPr>
          <w:rStyle w:val="CharSectno"/>
        </w:rPr>
        <w:t>2</w:t>
      </w:r>
      <w:r>
        <w:rPr>
          <w:snapToGrid w:val="0"/>
        </w:rPr>
        <w:t>.</w:t>
      </w:r>
      <w:r>
        <w:rPr>
          <w:snapToGrid w:val="0"/>
        </w:rPr>
        <w:tab/>
        <w:t>Commencement</w:t>
      </w:r>
      <w:bookmarkEnd w:id="15"/>
      <w:bookmarkEnd w:id="16"/>
      <w:bookmarkEnd w:id="17"/>
    </w:p>
    <w:p>
      <w:pPr>
        <w:pStyle w:val="Subsection"/>
        <w:rPr>
          <w:snapToGrid w:val="0"/>
        </w:rPr>
      </w:pPr>
      <w:r>
        <w:rPr>
          <w:snapToGrid w:val="0"/>
        </w:rPr>
        <w:tab/>
      </w:r>
      <w:r>
        <w:rPr>
          <w:snapToGrid w:val="0"/>
        </w:rPr>
        <w:tab/>
        <w:t>This Act shall come into operation on a date to be fixed by proclamation</w:t>
      </w:r>
      <w:del w:id="18" w:author="svcMRProcess" w:date="2020-02-11T15:47:00Z">
        <w:r>
          <w:rPr>
            <w:snapToGrid w:val="0"/>
            <w:vertAlign w:val="superscript"/>
          </w:rPr>
          <w:delText xml:space="preserve"> 1</w:delText>
        </w:r>
      </w:del>
      <w:r>
        <w:rPr>
          <w:snapToGrid w:val="0"/>
        </w:rPr>
        <w:t>.</w:t>
      </w:r>
    </w:p>
    <w:p>
      <w:pPr>
        <w:pStyle w:val="Ednotesection"/>
        <w:spacing w:before="240"/>
      </w:pPr>
      <w:r>
        <w:t>[</w:t>
      </w:r>
      <w:r>
        <w:rPr>
          <w:b/>
        </w:rPr>
        <w:t>3.</w:t>
      </w:r>
      <w:r>
        <w:tab/>
        <w:t>Deleted: No. 56 of 1995 s. 26.]</w:t>
      </w:r>
    </w:p>
    <w:p>
      <w:pPr>
        <w:pStyle w:val="Heading5"/>
        <w:spacing w:before="240"/>
        <w:rPr>
          <w:snapToGrid w:val="0"/>
        </w:rPr>
      </w:pPr>
      <w:bookmarkStart w:id="19" w:name="_Toc32246771"/>
      <w:bookmarkStart w:id="20" w:name="_Toc404158417"/>
      <w:bookmarkStart w:id="21" w:name="_Toc22915291"/>
      <w:r>
        <w:rPr>
          <w:rStyle w:val="CharSectno"/>
        </w:rPr>
        <w:t>4</w:t>
      </w:r>
      <w:r>
        <w:rPr>
          <w:snapToGrid w:val="0"/>
        </w:rPr>
        <w:t>.</w:t>
      </w:r>
      <w:r>
        <w:rPr>
          <w:snapToGrid w:val="0"/>
        </w:rPr>
        <w:tab/>
        <w:t>Terms used</w:t>
      </w:r>
      <w:bookmarkEnd w:id="19"/>
      <w:bookmarkEnd w:id="20"/>
      <w:bookmarkEnd w:id="21"/>
    </w:p>
    <w:p>
      <w:pPr>
        <w:pStyle w:val="Subsection"/>
        <w:keepNext/>
        <w:rPr>
          <w:snapToGrid w:val="0"/>
        </w:rPr>
      </w:pPr>
      <w:r>
        <w:rPr>
          <w:snapToGrid w:val="0"/>
        </w:rPr>
        <w:tab/>
      </w:r>
      <w:r>
        <w:rPr>
          <w:snapToGrid w:val="0"/>
        </w:rPr>
        <w:tab/>
        <w:t>In this Act unless the context otherwise requires —</w:t>
      </w:r>
    </w:p>
    <w:p>
      <w:pPr>
        <w:pStyle w:val="Defstart"/>
        <w:spacing w:before="100"/>
      </w:pPr>
      <w:r>
        <w:rPr>
          <w:b/>
        </w:rPr>
        <w:tab/>
      </w:r>
      <w:r>
        <w:rPr>
          <w:rStyle w:val="CharDefText"/>
        </w:rPr>
        <w:t>approved</w:t>
      </w:r>
      <w:r>
        <w:t xml:space="preserve"> means approved by the Commissioner;</w:t>
      </w:r>
    </w:p>
    <w:p>
      <w:pPr>
        <w:pStyle w:val="Defstart"/>
        <w:spacing w:before="100"/>
      </w:pPr>
      <w:r>
        <w:tab/>
      </w:r>
      <w:r>
        <w:rPr>
          <w:rStyle w:val="CharDefText"/>
        </w:rPr>
        <w:t>Australian Property Institute</w:t>
      </w:r>
      <w:r>
        <w:t xml:space="preserve"> means the incorporated association known as the Australian Property Institute;</w:t>
      </w:r>
    </w:p>
    <w:p>
      <w:pPr>
        <w:pStyle w:val="Defstart"/>
        <w:spacing w:before="100"/>
      </w:pPr>
      <w:r>
        <w:tab/>
      </w:r>
      <w:r>
        <w:rPr>
          <w:rStyle w:val="CharDefText"/>
        </w:rPr>
        <w:t>Commissioner</w:t>
      </w:r>
      <w:r>
        <w:t xml:space="preserve"> has the meaning given in the </w:t>
      </w:r>
      <w:r>
        <w:rPr>
          <w:i/>
          <w:iCs/>
        </w:rPr>
        <w:t>Fair Trading Act 2010</w:t>
      </w:r>
      <w:r>
        <w:t xml:space="preserve"> section 6;</w:t>
      </w:r>
    </w:p>
    <w:p>
      <w:pPr>
        <w:pStyle w:val="Defstart"/>
        <w:spacing w:before="100"/>
      </w:pPr>
      <w:r>
        <w:rPr>
          <w:b/>
        </w:rPr>
        <w:tab/>
      </w:r>
      <w:r>
        <w:rPr>
          <w:rStyle w:val="CharDefText"/>
        </w:rPr>
        <w:t>corporation</w:t>
      </w:r>
      <w:r>
        <w:t xml:space="preserve"> means any body corporate;</w:t>
      </w:r>
    </w:p>
    <w:p>
      <w:pPr>
        <w:pStyle w:val="Defstart"/>
        <w:spacing w:before="100"/>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land</w:t>
      </w:r>
      <w:r>
        <w:t xml:space="preserve"> includes any estate or interest in land;</w:t>
      </w:r>
    </w:p>
    <w:p>
      <w:pPr>
        <w:pStyle w:val="Defstart"/>
        <w:spacing w:before="10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10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a licence under this Act;</w:t>
      </w:r>
    </w:p>
    <w:p>
      <w:pPr>
        <w:pStyle w:val="Defstart"/>
        <w:spacing w:before="100"/>
      </w:pPr>
      <w:r>
        <w:rPr>
          <w:b/>
        </w:rPr>
        <w:tab/>
      </w:r>
      <w:r>
        <w:rPr>
          <w:rStyle w:val="CharDefText"/>
        </w:rPr>
        <w:t>licensed valuer</w:t>
      </w:r>
      <w:r>
        <w:t xml:space="preserve"> means a person licensed under this Act;</w:t>
      </w:r>
    </w:p>
    <w:p>
      <w:pPr>
        <w:pStyle w:val="Defstart"/>
        <w:keepNext/>
      </w:pPr>
      <w:r>
        <w:rPr>
          <w:b/>
        </w:rPr>
        <w:lastRenderedPageBreak/>
        <w:tab/>
      </w:r>
      <w:r>
        <w:rPr>
          <w:rStyle w:val="CharDefText"/>
        </w:rPr>
        <w:t>licensed valuers code of conduct</w:t>
      </w:r>
      <w:r>
        <w:t xml:space="preserve"> means the code published under section 26;</w:t>
      </w:r>
    </w:p>
    <w:p>
      <w:pPr>
        <w:pStyle w:val="Defstart"/>
        <w:keepNext/>
      </w:pPr>
      <w:r>
        <w:rPr>
          <w:b/>
        </w:rPr>
        <w:tab/>
      </w:r>
      <w:r>
        <w:rPr>
          <w:rStyle w:val="CharDefText"/>
        </w:rPr>
        <w:t>officer</w:t>
      </w:r>
      <w:r>
        <w:t xml:space="preserve"> means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Footnotesection"/>
      </w:pPr>
      <w:r>
        <w:tab/>
        <w:t>[Section 4 amended: No. 15 of 1984 s. 3; No. 56 of 1995 s. 27; No. 65 of 2003 s. 44(2); No. 74 of 2003 s. 74(2); No. 55 of 2004 s. 586; No. 21 of 2008 s. 671(2); No. 58 of 2010 s. 14 and 31.]</w:t>
      </w:r>
    </w:p>
    <w:p>
      <w:pPr>
        <w:pStyle w:val="Footnoteheading"/>
      </w:pPr>
      <w:r>
        <w:tab/>
        <w:t>[Part II heading deleted: No. 58 of 2010 s. 15.]</w:t>
      </w:r>
    </w:p>
    <w:p>
      <w:pPr>
        <w:pStyle w:val="Footnoteheading"/>
      </w:pPr>
      <w:r>
        <w:tab/>
        <w:t>[Heading deleted: No. 58 of 2010 s. 16.]</w:t>
      </w:r>
    </w:p>
    <w:p>
      <w:pPr>
        <w:pStyle w:val="Ednotesection"/>
      </w:pPr>
      <w:r>
        <w:t>[</w:t>
      </w:r>
      <w:r>
        <w:rPr>
          <w:b/>
        </w:rPr>
        <w:t>5-11.</w:t>
      </w:r>
      <w:r>
        <w:tab/>
        <w:t>Deleted: No. 58 of 2010 s. 16.]</w:t>
      </w:r>
    </w:p>
    <w:p>
      <w:pPr>
        <w:pStyle w:val="Footnoteheading"/>
      </w:pPr>
      <w:r>
        <w:tab/>
        <w:t>[Heading deleted: No. 58 of 2010 s. 17.]</w:t>
      </w:r>
    </w:p>
    <w:p>
      <w:pPr>
        <w:pStyle w:val="Ednotesection"/>
      </w:pPr>
      <w:r>
        <w:t>[</w:t>
      </w:r>
      <w:r>
        <w:rPr>
          <w:b/>
        </w:rPr>
        <w:t>12-14.</w:t>
      </w:r>
      <w:r>
        <w:tab/>
        <w:t>Deleted: No. 58 of 2010 s. 18.]</w:t>
      </w:r>
    </w:p>
    <w:p>
      <w:pPr>
        <w:pStyle w:val="Heading5"/>
      </w:pPr>
      <w:bookmarkStart w:id="22" w:name="_Toc32246772"/>
      <w:bookmarkStart w:id="23" w:name="_Toc404158418"/>
      <w:bookmarkStart w:id="24" w:name="_Toc22915292"/>
      <w:r>
        <w:rPr>
          <w:rStyle w:val="CharSectno"/>
        </w:rPr>
        <w:t>15</w:t>
      </w:r>
      <w:r>
        <w:t>.</w:t>
      </w:r>
      <w:r>
        <w:tab/>
        <w:t>Powers of investigation</w:t>
      </w:r>
      <w:bookmarkEnd w:id="22"/>
      <w:bookmarkEnd w:id="23"/>
      <w:bookmarkEnd w:id="24"/>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15 inserted: No. 58 of 2010 s. 19.]</w:t>
      </w:r>
    </w:p>
    <w:p>
      <w:pPr>
        <w:pStyle w:val="Ednotesection"/>
      </w:pPr>
      <w:r>
        <w:t>[</w:t>
      </w:r>
      <w:r>
        <w:rPr>
          <w:b/>
        </w:rPr>
        <w:t>15A-15C.</w:t>
      </w:r>
      <w:r>
        <w:rPr>
          <w:b/>
        </w:rPr>
        <w:tab/>
      </w:r>
      <w:r>
        <w:t>Deleted: No. 58 of 2010 s. 20.]</w:t>
      </w:r>
    </w:p>
    <w:p>
      <w:pPr>
        <w:pStyle w:val="Heading5"/>
        <w:rPr>
          <w:snapToGrid w:val="0"/>
        </w:rPr>
      </w:pPr>
      <w:bookmarkStart w:id="25" w:name="_Toc32246773"/>
      <w:bookmarkStart w:id="26" w:name="_Toc404158419"/>
      <w:bookmarkStart w:id="27" w:name="_Toc22915293"/>
      <w:r>
        <w:rPr>
          <w:rStyle w:val="CharSectno"/>
        </w:rPr>
        <w:t>16</w:t>
      </w:r>
      <w:r>
        <w:rPr>
          <w:snapToGrid w:val="0"/>
        </w:rPr>
        <w:t>.</w:t>
      </w:r>
      <w:r>
        <w:rPr>
          <w:snapToGrid w:val="0"/>
        </w:rPr>
        <w:tab/>
        <w:t>Application for review by SAT of certain decisions under Part III</w:t>
      </w:r>
      <w:bookmarkEnd w:id="25"/>
      <w:bookmarkEnd w:id="26"/>
      <w:bookmarkEnd w:id="27"/>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Administrative Tribunal for a review of the decision.</w:t>
      </w:r>
    </w:p>
    <w:p>
      <w:pPr>
        <w:pStyle w:val="Subsection"/>
      </w:pPr>
      <w:r>
        <w:lastRenderedPageBreak/>
        <w:tab/>
        <w:t>(2)</w:t>
      </w:r>
      <w:r>
        <w:tab/>
        <w:t>In subsection (1) —</w:t>
      </w:r>
    </w:p>
    <w:p>
      <w:pPr>
        <w:pStyle w:val="Defstart"/>
      </w:pPr>
      <w:r>
        <w:rPr>
          <w:b/>
        </w:rPr>
        <w:tab/>
      </w:r>
      <w:r>
        <w:rPr>
          <w:rStyle w:val="CharDefText"/>
        </w:rPr>
        <w:t>person aggrieved</w:t>
      </w:r>
      <w:r>
        <w:t xml:space="preserve"> means a person whose licence is affected by a reviewable decision or who, under Part III, applies for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is to be made.</w:t>
      </w:r>
    </w:p>
    <w:p>
      <w:pPr>
        <w:pStyle w:val="Footnotesection"/>
      </w:pPr>
      <w:r>
        <w:tab/>
        <w:t>[Section 16 inserted: No. 55 of 2004 s. 592; amended: No. 58 of 2010 s. 31; No. 23 of 2014 s. 15.]</w:t>
      </w:r>
    </w:p>
    <w:p>
      <w:pPr>
        <w:pStyle w:val="Heading2"/>
      </w:pPr>
      <w:bookmarkStart w:id="28" w:name="_Toc32243035"/>
      <w:bookmarkStart w:id="29" w:name="_Toc32243083"/>
      <w:bookmarkStart w:id="30" w:name="_Toc32246774"/>
      <w:bookmarkStart w:id="31" w:name="_Toc404158420"/>
      <w:bookmarkStart w:id="32" w:name="_Toc419816030"/>
      <w:bookmarkStart w:id="33" w:name="_Toc419816076"/>
      <w:bookmarkStart w:id="34" w:name="_Toc468700401"/>
      <w:bookmarkStart w:id="35" w:name="_Toc486575285"/>
      <w:bookmarkStart w:id="36" w:name="_Toc22915294"/>
      <w:r>
        <w:rPr>
          <w:rStyle w:val="CharPartNo"/>
        </w:rPr>
        <w:t>Part III</w:t>
      </w:r>
      <w:r>
        <w:rPr>
          <w:rStyle w:val="CharDivNo"/>
        </w:rPr>
        <w:t> </w:t>
      </w:r>
      <w:r>
        <w:t>—</w:t>
      </w:r>
      <w:r>
        <w:rPr>
          <w:rStyle w:val="CharDivText"/>
        </w:rPr>
        <w:t> </w:t>
      </w:r>
      <w:r>
        <w:rPr>
          <w:rStyle w:val="CharPartText"/>
        </w:rPr>
        <w:t>Licensing</w:t>
      </w:r>
      <w:bookmarkEnd w:id="28"/>
      <w:bookmarkEnd w:id="29"/>
      <w:bookmarkEnd w:id="30"/>
      <w:bookmarkEnd w:id="31"/>
      <w:bookmarkEnd w:id="32"/>
      <w:bookmarkEnd w:id="33"/>
      <w:bookmarkEnd w:id="34"/>
      <w:bookmarkEnd w:id="35"/>
      <w:bookmarkEnd w:id="36"/>
    </w:p>
    <w:p>
      <w:pPr>
        <w:pStyle w:val="Heading5"/>
        <w:rPr>
          <w:snapToGrid w:val="0"/>
        </w:rPr>
      </w:pPr>
      <w:bookmarkStart w:id="37" w:name="_Toc32246775"/>
      <w:bookmarkStart w:id="38" w:name="_Toc404158421"/>
      <w:bookmarkStart w:id="39" w:name="_Toc22915295"/>
      <w:r>
        <w:rPr>
          <w:rStyle w:val="CharSectno"/>
        </w:rPr>
        <w:t>17</w:t>
      </w:r>
      <w:r>
        <w:rPr>
          <w:snapToGrid w:val="0"/>
        </w:rPr>
        <w:t>.</w:t>
      </w:r>
      <w:r>
        <w:rPr>
          <w:snapToGrid w:val="0"/>
        </w:rPr>
        <w:tab/>
        <w:t>Applications for licences</w:t>
      </w:r>
      <w:bookmarkEnd w:id="37"/>
      <w:bookmarkEnd w:id="38"/>
      <w:bookmarkEnd w:id="39"/>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17 amended: No. 58 of 2010 s. 21 and 31; correction to reprint in Gazette 24 Aug 2012 p. 3959; No. 23 of 2014 s. 16; No. 44 of 2016 s. 16.]</w:t>
      </w:r>
    </w:p>
    <w:p>
      <w:pPr>
        <w:pStyle w:val="Ednotesection"/>
      </w:pPr>
      <w:r>
        <w:t>[</w:t>
      </w:r>
      <w:r>
        <w:rPr>
          <w:b/>
        </w:rPr>
        <w:t>18.</w:t>
      </w:r>
      <w:r>
        <w:tab/>
        <w:t>Deleted: No. 23 of 2014 s. 17.]</w:t>
      </w:r>
    </w:p>
    <w:p>
      <w:pPr>
        <w:pStyle w:val="Heading5"/>
        <w:rPr>
          <w:snapToGrid w:val="0"/>
        </w:rPr>
      </w:pPr>
      <w:bookmarkStart w:id="40" w:name="_Toc32246776"/>
      <w:bookmarkStart w:id="41" w:name="_Toc404158422"/>
      <w:bookmarkStart w:id="42" w:name="_Toc22915296"/>
      <w:r>
        <w:rPr>
          <w:rStyle w:val="CharSectno"/>
        </w:rPr>
        <w:t>19</w:t>
      </w:r>
      <w:r>
        <w:rPr>
          <w:snapToGrid w:val="0"/>
        </w:rPr>
        <w:t>.</w:t>
      </w:r>
      <w:r>
        <w:rPr>
          <w:snapToGrid w:val="0"/>
        </w:rPr>
        <w:tab/>
        <w:t>Grant of licence</w:t>
      </w:r>
      <w:bookmarkEnd w:id="40"/>
      <w:bookmarkEnd w:id="41"/>
      <w:bookmarkEnd w:id="42"/>
    </w:p>
    <w:p>
      <w:pPr>
        <w:pStyle w:val="Subsection"/>
        <w:rPr>
          <w:snapToGrid w:val="0"/>
        </w:rPr>
      </w:pPr>
      <w:r>
        <w:rPr>
          <w:snapToGrid w:val="0"/>
        </w:rPr>
        <w:tab/>
      </w:r>
      <w:r>
        <w:rPr>
          <w:snapToGrid w:val="0"/>
        </w:rPr>
        <w:tab/>
        <w:t xml:space="preserve">The </w:t>
      </w:r>
      <w:r>
        <w:t>Commissioner</w:t>
      </w:r>
      <w:r>
        <w:rPr>
          <w:snapToGrid w:val="0"/>
        </w:rPr>
        <w:t xml:space="preserve"> may grant a licence to any person who </w:t>
      </w:r>
      <w:r>
        <w:t>pays to the Commissioner the prescribed fee and</w:t>
      </w:r>
      <w:r>
        <w:rPr>
          <w:snapToGrid w:val="0"/>
        </w:rPr>
        <w:t xml:space="preserve"> satisfies the </w:t>
      </w:r>
      <w:r>
        <w:t>Commissioner, by such evidence as the Commissioner</w:t>
      </w:r>
      <w:r>
        <w:rPr>
          <w:snapToGrid w:val="0"/>
        </w:rPr>
        <w:t xml:space="preserve"> may require that he is a person of good character and repute and is competent to carry out the duties of a licensed valuer and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w:t>
      </w:r>
      <w:r>
        <w:t xml:space="preserve"> Commissioner</w:t>
      </w:r>
      <w:r>
        <w:rPr>
          <w:snapToGrid w:val="0"/>
        </w:rPr>
        <w:t>,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a total of not less than 4 years’ satisfactory practical experience in the valuation of land within the period of 10 years immediately preceding the date of his application;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No. 74 of 2003 s. 74(3); No. 55 of 2004 s. 593; No. 58 of 2010 s. 31; No. 44 of 2016 s. 17.]</w:t>
      </w:r>
    </w:p>
    <w:p>
      <w:pPr>
        <w:pStyle w:val="Heading5"/>
      </w:pPr>
      <w:bookmarkStart w:id="43" w:name="_Toc32246777"/>
      <w:bookmarkStart w:id="44" w:name="_Toc404158423"/>
      <w:bookmarkStart w:id="45" w:name="_Toc22915297"/>
      <w:r>
        <w:rPr>
          <w:rStyle w:val="CharSectno"/>
        </w:rPr>
        <w:t>19A</w:t>
      </w:r>
      <w:r>
        <w:t>.</w:t>
      </w:r>
      <w:r>
        <w:tab/>
        <w:t>Commissioner may grant licence without notice to applicant</w:t>
      </w:r>
      <w:bookmarkEnd w:id="43"/>
      <w:bookmarkEnd w:id="44"/>
      <w:bookmarkEnd w:id="45"/>
    </w:p>
    <w:p>
      <w:pPr>
        <w:pStyle w:val="Subsection"/>
        <w:rPr>
          <w:snapToGrid w:val="0"/>
        </w:rPr>
      </w:pPr>
      <w:r>
        <w:rPr>
          <w:snapToGrid w:val="0"/>
        </w:rPr>
        <w:tab/>
        <w:t>(1)</w:t>
      </w:r>
      <w:r>
        <w:rPr>
          <w:snapToGrid w:val="0"/>
        </w:rPr>
        <w:tab/>
        <w:t xml:space="preserve">Subject to this Part, a licence may be granted by the </w:t>
      </w:r>
      <w:r>
        <w:t>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to the applicant.</w:t>
      </w:r>
    </w:p>
    <w:p>
      <w:pPr>
        <w:pStyle w:val="Footnotesection"/>
      </w:pPr>
      <w:r>
        <w:tab/>
        <w:t>[Section 19A inserted: No. 55 of 2004 s. 594; amended: No. 58 of 2010 s. 23 and 31; No. 23 of 2014 s. 18.]</w:t>
      </w:r>
    </w:p>
    <w:p>
      <w:pPr>
        <w:pStyle w:val="Heading5"/>
        <w:rPr>
          <w:del w:id="46" w:author="svcMRProcess" w:date="2020-02-11T15:47:00Z"/>
        </w:rPr>
      </w:pPr>
      <w:ins w:id="47" w:author="svcMRProcess" w:date="2020-02-11T15:47:00Z">
        <w:r>
          <w:t>[</w:t>
        </w:r>
      </w:ins>
      <w:bookmarkStart w:id="48" w:name="_Toc468453300"/>
      <w:bookmarkStart w:id="49" w:name="_Toc468458355"/>
      <w:bookmarkStart w:id="50" w:name="_Toc486510511"/>
      <w:bookmarkStart w:id="51" w:name="_Toc22915298"/>
      <w:bookmarkStart w:id="52" w:name="_Toc404158424"/>
      <w:r>
        <w:t>20.</w:t>
      </w:r>
      <w:r>
        <w:tab/>
      </w:r>
      <w:del w:id="53" w:author="svcMRProcess" w:date="2020-02-11T15:47:00Z">
        <w:r>
          <w:delText>Offence to give false or misleading information</w:delText>
        </w:r>
        <w:bookmarkEnd w:id="48"/>
        <w:bookmarkEnd w:id="49"/>
        <w:bookmarkEnd w:id="50"/>
        <w:bookmarkEnd w:id="51"/>
      </w:del>
    </w:p>
    <w:p>
      <w:pPr>
        <w:pStyle w:val="Subsection"/>
        <w:rPr>
          <w:del w:id="54" w:author="svcMRProcess" w:date="2020-02-11T15:47:00Z"/>
        </w:rPr>
      </w:pPr>
      <w:del w:id="55" w:author="svcMRProcess" w:date="2020-02-11T15:47:00Z">
        <w:r>
          <w:tab/>
          <w:delText>(1)</w:delText>
        </w:r>
        <w:r>
          <w:tab/>
          <w:delText>A person who gives false or misleading information in relation to an application under this Part for the grant or renewal of a licence commits an offence.</w:delText>
        </w:r>
      </w:del>
    </w:p>
    <w:p>
      <w:pPr>
        <w:pStyle w:val="Penstart"/>
        <w:rPr>
          <w:del w:id="56" w:author="svcMRProcess" w:date="2020-02-11T15:47:00Z"/>
        </w:rPr>
      </w:pPr>
      <w:del w:id="57" w:author="svcMRProcess" w:date="2020-02-11T15:47:00Z">
        <w:r>
          <w:tab/>
          <w:delText>Penalty for this subsection: a fine of $20 000.</w:delText>
        </w:r>
      </w:del>
    </w:p>
    <w:p>
      <w:pPr>
        <w:pStyle w:val="Subsection"/>
        <w:rPr>
          <w:del w:id="58" w:author="svcMRProcess" w:date="2020-02-11T15:47:00Z"/>
        </w:rPr>
      </w:pPr>
      <w:del w:id="59" w:author="svcMRProcess" w:date="2020-02-11T15:47:00Z">
        <w:r>
          <w:tab/>
          <w:delText>(2)</w:delText>
        </w:r>
        <w:r>
          <w:tab/>
          <w:delText>For the purposes of subsection (1), a person gives false or misleading information in relation to an application under this Part for the grant or renewal of a licence if the person does one or more of the following —</w:delText>
        </w:r>
      </w:del>
    </w:p>
    <w:p>
      <w:pPr>
        <w:pStyle w:val="Indenta"/>
        <w:rPr>
          <w:del w:id="60" w:author="svcMRProcess" w:date="2020-02-11T15:47:00Z"/>
        </w:rPr>
      </w:pPr>
      <w:del w:id="61" w:author="svcMRProcess" w:date="2020-02-11T15:47:00Z">
        <w:r>
          <w:tab/>
          <w:delText>(a)</w:delText>
        </w:r>
        <w:r>
          <w:tab/>
          <w:delText>states anything in relation to an application that the person knows is false or misleading in a material particular;</w:delText>
        </w:r>
      </w:del>
    </w:p>
    <w:p>
      <w:pPr>
        <w:pStyle w:val="Indenta"/>
        <w:rPr>
          <w:del w:id="62" w:author="svcMRProcess" w:date="2020-02-11T15:47:00Z"/>
        </w:rPr>
      </w:pPr>
      <w:del w:id="63" w:author="svcMRProcess" w:date="2020-02-11T15:47:00Z">
        <w:r>
          <w:tab/>
          <w:delText>(b)</w:delText>
        </w:r>
        <w:r>
          <w:tab/>
          <w:delText>omits anything from a statement made in relation to an application without which the statement is, to the person’s knowledge, misleading in a material particular;</w:delText>
        </w:r>
      </w:del>
    </w:p>
    <w:p>
      <w:pPr>
        <w:pStyle w:val="Indenta"/>
        <w:rPr>
          <w:del w:id="64" w:author="svcMRProcess" w:date="2020-02-11T15:47:00Z"/>
        </w:rPr>
      </w:pPr>
      <w:del w:id="65" w:author="svcMRProcess" w:date="2020-02-11T15:47:00Z">
        <w:r>
          <w:tab/>
          <w:delText>(c)</w:delText>
        </w:r>
        <w:r>
          <w:tab/>
          <w:delText>gives or produces any information in relation to an application that —</w:delText>
        </w:r>
      </w:del>
    </w:p>
    <w:p>
      <w:pPr>
        <w:pStyle w:val="Indenti"/>
        <w:rPr>
          <w:del w:id="66" w:author="svcMRProcess" w:date="2020-02-11T15:47:00Z"/>
        </w:rPr>
      </w:pPr>
      <w:del w:id="67" w:author="svcMRProcess" w:date="2020-02-11T15:47:00Z">
        <w:r>
          <w:tab/>
          <w:delText>(i)</w:delText>
        </w:r>
        <w:r>
          <w:tab/>
          <w:delText>the person knows is false or misleading in a material particular; or</w:delText>
        </w:r>
      </w:del>
    </w:p>
    <w:p>
      <w:pPr>
        <w:pStyle w:val="Indenti"/>
        <w:rPr>
          <w:del w:id="68" w:author="svcMRProcess" w:date="2020-02-11T15:47:00Z"/>
        </w:rPr>
      </w:pPr>
      <w:del w:id="69" w:author="svcMRProcess" w:date="2020-02-11T15:47:00Z">
        <w:r>
          <w:tab/>
          <w:delText>(ii)</w:delText>
        </w:r>
        <w:r>
          <w:tab/>
          <w:delText>omits anything without which the information is, to the person’s knowledge, misleading in a material particular.</w:delText>
        </w:r>
      </w:del>
    </w:p>
    <w:p>
      <w:pPr>
        <w:pStyle w:val="Ednotesection"/>
        <w:ind w:left="890" w:hanging="890"/>
      </w:pPr>
      <w:del w:id="70" w:author="svcMRProcess" w:date="2020-02-11T15:47:00Z">
        <w:r>
          <w:tab/>
          <w:delText>[Section 20 inserted</w:delText>
        </w:r>
      </w:del>
      <w:ins w:id="71" w:author="svcMRProcess" w:date="2020-02-11T15:47:00Z">
        <w:r>
          <w:t>Deleted</w:t>
        </w:r>
      </w:ins>
      <w:r>
        <w:t>: No. </w:t>
      </w:r>
      <w:del w:id="72" w:author="svcMRProcess" w:date="2020-02-11T15:47:00Z">
        <w:r>
          <w:delText>44</w:delText>
        </w:r>
      </w:del>
      <w:ins w:id="73" w:author="svcMRProcess" w:date="2020-02-11T15:47:00Z">
        <w:r>
          <w:t>25</w:t>
        </w:r>
      </w:ins>
      <w:r>
        <w:t xml:space="preserve"> of</w:t>
      </w:r>
      <w:del w:id="74" w:author="svcMRProcess" w:date="2020-02-11T15:47:00Z">
        <w:r>
          <w:delText> 2016</w:delText>
        </w:r>
      </w:del>
      <w:ins w:id="75" w:author="svcMRProcess" w:date="2020-02-11T15:47:00Z">
        <w:r>
          <w:t xml:space="preserve"> 2019</w:t>
        </w:r>
      </w:ins>
      <w:r>
        <w:t xml:space="preserve"> s. </w:t>
      </w:r>
      <w:del w:id="76" w:author="svcMRProcess" w:date="2020-02-11T15:47:00Z">
        <w:r>
          <w:delText>18</w:delText>
        </w:r>
      </w:del>
      <w:ins w:id="77" w:author="svcMRProcess" w:date="2020-02-11T15:47:00Z">
        <w:r>
          <w:t>34</w:t>
        </w:r>
      </w:ins>
      <w:r>
        <w:t>.]</w:t>
      </w:r>
    </w:p>
    <w:p>
      <w:pPr>
        <w:pStyle w:val="Heading5"/>
      </w:pPr>
      <w:bookmarkStart w:id="78" w:name="_Toc32246778"/>
      <w:bookmarkStart w:id="79" w:name="_Toc404158425"/>
      <w:bookmarkStart w:id="80" w:name="_Toc22915299"/>
      <w:bookmarkEnd w:id="52"/>
      <w:r>
        <w:rPr>
          <w:rStyle w:val="CharSectno"/>
        </w:rPr>
        <w:t>20A</w:t>
      </w:r>
      <w:r>
        <w:t>.</w:t>
      </w:r>
      <w:r>
        <w:tab/>
        <w:t>SAT may suspend licence in some cases</w:t>
      </w:r>
      <w:bookmarkEnd w:id="78"/>
      <w:bookmarkEnd w:id="79"/>
      <w:bookmarkEnd w:id="80"/>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No. 55 of 2004 s. 595.]</w:t>
      </w:r>
    </w:p>
    <w:p>
      <w:pPr>
        <w:pStyle w:val="Heading5"/>
        <w:rPr>
          <w:snapToGrid w:val="0"/>
        </w:rPr>
      </w:pPr>
      <w:bookmarkStart w:id="81" w:name="_Toc32246779"/>
      <w:bookmarkStart w:id="82" w:name="_Toc404158426"/>
      <w:bookmarkStart w:id="83" w:name="_Toc22915300"/>
      <w:r>
        <w:rPr>
          <w:rStyle w:val="CharSectno"/>
        </w:rPr>
        <w:t>21</w:t>
      </w:r>
      <w:r>
        <w:rPr>
          <w:snapToGrid w:val="0"/>
        </w:rPr>
        <w:t>.</w:t>
      </w:r>
      <w:r>
        <w:rPr>
          <w:snapToGrid w:val="0"/>
        </w:rPr>
        <w:tab/>
        <w:t>Expiry and surrender of licence</w:t>
      </w:r>
      <w:bookmarkEnd w:id="81"/>
      <w:bookmarkEnd w:id="82"/>
      <w:bookmarkEnd w:id="83"/>
    </w:p>
    <w:p>
      <w:pPr>
        <w:pStyle w:val="Subsection"/>
        <w:rPr>
          <w:snapToGrid w:val="0"/>
        </w:rPr>
      </w:pPr>
      <w:r>
        <w:rPr>
          <w:snapToGrid w:val="0"/>
        </w:rPr>
        <w:tab/>
        <w:t>(1)</w:t>
      </w:r>
      <w:r>
        <w:rPr>
          <w:snapToGrid w:val="0"/>
        </w:rPr>
        <w:tab/>
        <w:t xml:space="preserve">On granting a licence the </w:t>
      </w:r>
      <w:r>
        <w:t>Commissioner</w:t>
      </w:r>
      <w:r>
        <w:rPr>
          <w:snapToGrid w:val="0"/>
        </w:rPr>
        <w:t xml:space="preserve">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spacing w:before="150"/>
        <w:rPr>
          <w:snapToGrid w:val="0"/>
        </w:rPr>
      </w:pPr>
      <w:r>
        <w:rPr>
          <w:snapToGrid w:val="0"/>
        </w:rPr>
        <w:tab/>
        <w:t>(2)</w:t>
      </w:r>
      <w:r>
        <w:rPr>
          <w:snapToGrid w:val="0"/>
        </w:rPr>
        <w:tab/>
        <w:t>A person may at any time surrender a licence and the licence shall thereupon become and be void and of no effect.</w:t>
      </w:r>
    </w:p>
    <w:p>
      <w:pPr>
        <w:pStyle w:val="Subsection"/>
        <w:spacing w:before="150"/>
        <w:rPr>
          <w:snapToGrid w:val="0"/>
        </w:rPr>
      </w:pPr>
      <w:r>
        <w:rPr>
          <w:snapToGrid w:val="0"/>
        </w:rPr>
        <w:tab/>
        <w:t>(3)</w:t>
      </w:r>
      <w:r>
        <w:rPr>
          <w:snapToGrid w:val="0"/>
        </w:rPr>
        <w:tab/>
        <w:t xml:space="preserve">Despite the surrender by a person of a licence, this Act </w:t>
      </w:r>
      <w:r>
        <w:t xml:space="preserve">and the </w:t>
      </w:r>
      <w:r>
        <w:rPr>
          <w:i/>
          <w:iCs/>
        </w:rPr>
        <w:t>Fair Trading Act 2010</w:t>
      </w:r>
      <w:r>
        <w:t xml:space="preserve"> apply, </w:t>
      </w:r>
      <w:r>
        <w:rPr>
          <w:snapToGrid w:val="0"/>
        </w:rPr>
        <w:t>for the purpose of enabling the person to be investigated or otherwise dealt with for a matter arising before the surrender, as if the licence had not been surrendered.</w:t>
      </w:r>
    </w:p>
    <w:p>
      <w:pPr>
        <w:pStyle w:val="Footnotesection"/>
        <w:spacing w:before="100"/>
        <w:ind w:left="890" w:hanging="890"/>
      </w:pPr>
      <w:r>
        <w:tab/>
        <w:t>[Section 21 amended: No. 56 of 1995 s. 28; No. 55 of 2004 s. 596; No. 58 of 2010 s. 24 and 31.]</w:t>
      </w:r>
    </w:p>
    <w:p>
      <w:pPr>
        <w:pStyle w:val="Heading5"/>
        <w:rPr>
          <w:snapToGrid w:val="0"/>
        </w:rPr>
      </w:pPr>
      <w:bookmarkStart w:id="84" w:name="_Toc32246780"/>
      <w:bookmarkStart w:id="85" w:name="_Toc404158427"/>
      <w:bookmarkStart w:id="86" w:name="_Toc22915301"/>
      <w:r>
        <w:rPr>
          <w:rStyle w:val="CharSectno"/>
        </w:rPr>
        <w:t>22</w:t>
      </w:r>
      <w:r>
        <w:rPr>
          <w:snapToGrid w:val="0"/>
        </w:rPr>
        <w:t>.</w:t>
      </w:r>
      <w:r>
        <w:rPr>
          <w:snapToGrid w:val="0"/>
        </w:rPr>
        <w:tab/>
        <w:t>Renewal of licence</w:t>
      </w:r>
      <w:bookmarkEnd w:id="84"/>
      <w:bookmarkEnd w:id="85"/>
      <w:bookmarkEnd w:id="86"/>
    </w:p>
    <w:p>
      <w:pPr>
        <w:pStyle w:val="Subsection"/>
        <w:spacing w:before="140"/>
        <w:rPr>
          <w:snapToGrid w:val="0"/>
        </w:rPr>
      </w:pPr>
      <w:r>
        <w:rPr>
          <w:snapToGrid w:val="0"/>
        </w:rPr>
        <w:tab/>
        <w:t>(1)</w:t>
      </w:r>
      <w:r>
        <w:rPr>
          <w:snapToGrid w:val="0"/>
        </w:rPr>
        <w:tab/>
        <w:t xml:space="preserve">Where the holder of a licence applies to the </w:t>
      </w:r>
      <w:r>
        <w:t>Commissioner</w:t>
      </w:r>
      <w:r>
        <w:rPr>
          <w:snapToGrid w:val="0"/>
        </w:rPr>
        <w:t xml:space="preserve"> for the renewal of that licence and pays to the </w:t>
      </w:r>
      <w:r>
        <w:t>Commissioner</w:t>
      </w:r>
      <w:r>
        <w:rPr>
          <w:snapToGrid w:val="0"/>
        </w:rPr>
        <w:t xml:space="preserve"> the prescribed fee, the </w:t>
      </w:r>
      <w:r>
        <w:t>Commissioner may</w:t>
      </w:r>
      <w:r>
        <w:rPr>
          <w:snapToGrid w:val="0"/>
        </w:rPr>
        <w:t xml:space="preserve"> renew the licence for a further prescribed period.</w:t>
      </w:r>
    </w:p>
    <w:p>
      <w:pPr>
        <w:pStyle w:val="Subsection"/>
        <w:keepNext/>
        <w:spacing w:before="140"/>
        <w:rPr>
          <w:snapToGrid w:val="0"/>
        </w:rPr>
      </w:pPr>
      <w:r>
        <w:rPr>
          <w:snapToGrid w:val="0"/>
        </w:rPr>
        <w:tab/>
        <w:t>(2)</w:t>
      </w:r>
      <w:r>
        <w:rPr>
          <w:snapToGrid w:val="0"/>
        </w:rPr>
        <w:tab/>
        <w:t>If —</w:t>
      </w:r>
    </w:p>
    <w:p>
      <w:pPr>
        <w:pStyle w:val="Indenta"/>
      </w:pPr>
      <w:r>
        <w:tab/>
        <w:t>(a)</w:t>
      </w:r>
      <w:r>
        <w:tab/>
        <w:t xml:space="preserve">an application is made </w:t>
      </w:r>
      <w:del w:id="87" w:author="svcMRProcess" w:date="2020-02-11T15:47:00Z">
        <w:r>
          <w:rPr>
            <w:snapToGrid w:val="0"/>
          </w:rPr>
          <w:delText>after, but within</w:delText>
        </w:r>
      </w:del>
      <w:ins w:id="88" w:author="svcMRProcess" w:date="2020-02-11T15:47:00Z">
        <w:r>
          <w:t>during the period that begins on the day on which the licence expired and ends on the day that is</w:t>
        </w:r>
      </w:ins>
      <w:r>
        <w:t xml:space="preserve"> 28 days </w:t>
      </w:r>
      <w:del w:id="89" w:author="svcMRProcess" w:date="2020-02-11T15:47:00Z">
        <w:r>
          <w:rPr>
            <w:snapToGrid w:val="0"/>
          </w:rPr>
          <w:delText>of,</w:delText>
        </w:r>
      </w:del>
      <w:ins w:id="90" w:author="svcMRProcess" w:date="2020-02-11T15:47:00Z">
        <w:r>
          <w:t>after</w:t>
        </w:r>
      </w:ins>
      <w:r>
        <w:t xml:space="preserve"> the day on which the licence expired; and</w:t>
      </w:r>
    </w:p>
    <w:p>
      <w:pPr>
        <w:pStyle w:val="Indenta"/>
        <w:spacing w:before="60"/>
        <w:rPr>
          <w:snapToGrid w:val="0"/>
        </w:rPr>
      </w:pPr>
      <w:r>
        <w:rPr>
          <w:snapToGrid w:val="0"/>
        </w:rPr>
        <w:tab/>
        <w:t>(b)</w:t>
      </w:r>
      <w:r>
        <w:rPr>
          <w:snapToGrid w:val="0"/>
        </w:rPr>
        <w:tab/>
        <w:t>the prescribed fee and any amount prescribed by way of penalty for a late application are paid,</w:t>
      </w:r>
    </w:p>
    <w:p>
      <w:pPr>
        <w:pStyle w:val="Subsection"/>
        <w:spacing w:before="120"/>
        <w:rPr>
          <w:snapToGrid w:val="0"/>
        </w:rPr>
      </w:pPr>
      <w:r>
        <w:rPr>
          <w:snapToGrid w:val="0"/>
        </w:rPr>
        <w:tab/>
      </w:r>
      <w:r>
        <w:rPr>
          <w:snapToGrid w:val="0"/>
        </w:rPr>
        <w:tab/>
        <w:t xml:space="preserve">the </w:t>
      </w:r>
      <w:r>
        <w:t>Commissioner may</w:t>
      </w:r>
      <w:r>
        <w:rPr>
          <w:snapToGrid w:val="0"/>
        </w:rPr>
        <w:t xml:space="preserve"> renew that licence for the period prescribed.</w:t>
      </w:r>
    </w:p>
    <w:p>
      <w:pPr>
        <w:pStyle w:val="Subsection"/>
        <w:spacing w:before="140"/>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spacing w:before="140"/>
        <w:rPr>
          <w:snapToGrid w:val="0"/>
        </w:rPr>
      </w:pPr>
      <w:r>
        <w:rPr>
          <w:snapToGrid w:val="0"/>
        </w:rPr>
        <w:tab/>
        <w:t>(3)</w:t>
      </w:r>
      <w:r>
        <w:rPr>
          <w:snapToGrid w:val="0"/>
        </w:rPr>
        <w:tab/>
        <w:t xml:space="preserve">An application for the renewal of a licence shall be made in writing and in a manner and form determined by the </w:t>
      </w:r>
      <w:r>
        <w:t>Commissioner</w:t>
      </w:r>
      <w:r>
        <w:rPr>
          <w:snapToGrid w:val="0"/>
        </w:rPr>
        <w:t xml:space="preserve"> in respect of such an application.</w:t>
      </w:r>
    </w:p>
    <w:p>
      <w:pPr>
        <w:pStyle w:val="Subsection"/>
      </w:pPr>
      <w:r>
        <w:tab/>
        <w:t>(4)</w:t>
      </w:r>
      <w:r>
        <w:tab/>
        <w:t>Section 19 applies to an application under this section as if it were an application for a licence under section 17.</w:t>
      </w:r>
    </w:p>
    <w:p>
      <w:pPr>
        <w:pStyle w:val="Footnotesection"/>
        <w:spacing w:before="100"/>
        <w:ind w:left="890" w:hanging="890"/>
      </w:pPr>
      <w:r>
        <w:tab/>
        <w:t>[Section 22 amended: No. 56 of 1995 s. 29; No. 58 of 2010 s. 25 and 31; No. 23 of 2014 s. </w:t>
      </w:r>
      <w:del w:id="91" w:author="svcMRProcess" w:date="2020-02-11T15:47:00Z">
        <w:r>
          <w:delText>19</w:delText>
        </w:r>
      </w:del>
      <w:ins w:id="92" w:author="svcMRProcess" w:date="2020-02-11T15:47:00Z">
        <w:r>
          <w:t>19; No. 25 of 2019 s. 35</w:t>
        </w:r>
      </w:ins>
      <w:r>
        <w:t>.]</w:t>
      </w:r>
    </w:p>
    <w:p>
      <w:pPr>
        <w:pStyle w:val="Heading5"/>
      </w:pPr>
      <w:bookmarkStart w:id="93" w:name="_Toc32246781"/>
      <w:bookmarkStart w:id="94" w:name="_Toc404158428"/>
      <w:bookmarkStart w:id="95" w:name="_Toc22915302"/>
      <w:r>
        <w:rPr>
          <w:rStyle w:val="CharSectno"/>
        </w:rPr>
        <w:t>23A</w:t>
      </w:r>
      <w:r>
        <w:t>.</w:t>
      </w:r>
      <w:r>
        <w:tab/>
        <w:t>Duplicate licence</w:t>
      </w:r>
      <w:bookmarkEnd w:id="93"/>
      <w:bookmarkEnd w:id="94"/>
      <w:bookmarkEnd w:id="95"/>
    </w:p>
    <w:p>
      <w:pPr>
        <w:pStyle w:val="Subsection"/>
      </w:pPr>
      <w:r>
        <w:tab/>
      </w:r>
      <w:r>
        <w:tab/>
        <w:t>If a licence has been lost or destroyed, the Commissioner may issue a duplicate licence on payment by the holder of the prescribed fee.</w:t>
      </w:r>
    </w:p>
    <w:p>
      <w:pPr>
        <w:pStyle w:val="Footnotesection"/>
        <w:spacing w:before="100"/>
        <w:ind w:left="890" w:hanging="890"/>
      </w:pPr>
      <w:r>
        <w:tab/>
        <w:t>[Section 23A inserted: No. 23 of 2014 s. 20.]</w:t>
      </w:r>
    </w:p>
    <w:p>
      <w:pPr>
        <w:pStyle w:val="Heading2"/>
      </w:pPr>
      <w:bookmarkStart w:id="96" w:name="_Toc32243043"/>
      <w:bookmarkStart w:id="97" w:name="_Toc32243091"/>
      <w:bookmarkStart w:id="98" w:name="_Toc32246782"/>
      <w:bookmarkStart w:id="99" w:name="_Toc404158429"/>
      <w:bookmarkStart w:id="100" w:name="_Toc419816039"/>
      <w:bookmarkStart w:id="101" w:name="_Toc419816085"/>
      <w:bookmarkStart w:id="102" w:name="_Toc468700410"/>
      <w:bookmarkStart w:id="103" w:name="_Toc486575294"/>
      <w:bookmarkStart w:id="104" w:name="_Toc22915303"/>
      <w:r>
        <w:rPr>
          <w:rStyle w:val="CharPartNo"/>
        </w:rPr>
        <w:t>Part IV</w:t>
      </w:r>
      <w:r>
        <w:t> — </w:t>
      </w:r>
      <w:r>
        <w:rPr>
          <w:rStyle w:val="CharPartText"/>
        </w:rPr>
        <w:t>Control of the practice of valuation</w:t>
      </w:r>
      <w:bookmarkEnd w:id="96"/>
      <w:bookmarkEnd w:id="97"/>
      <w:bookmarkEnd w:id="98"/>
      <w:bookmarkEnd w:id="99"/>
      <w:bookmarkEnd w:id="100"/>
      <w:bookmarkEnd w:id="101"/>
      <w:bookmarkEnd w:id="102"/>
      <w:bookmarkEnd w:id="103"/>
      <w:bookmarkEnd w:id="104"/>
    </w:p>
    <w:p>
      <w:pPr>
        <w:pStyle w:val="Heading3"/>
      </w:pPr>
      <w:bookmarkStart w:id="105" w:name="_Toc32243044"/>
      <w:bookmarkStart w:id="106" w:name="_Toc32243092"/>
      <w:bookmarkStart w:id="107" w:name="_Toc32246783"/>
      <w:bookmarkStart w:id="108" w:name="_Toc404158430"/>
      <w:bookmarkStart w:id="109" w:name="_Toc419816040"/>
      <w:bookmarkStart w:id="110" w:name="_Toc419816086"/>
      <w:bookmarkStart w:id="111" w:name="_Toc468700411"/>
      <w:bookmarkStart w:id="112" w:name="_Toc486575295"/>
      <w:bookmarkStart w:id="113" w:name="_Toc22915304"/>
      <w:r>
        <w:rPr>
          <w:rStyle w:val="CharDivNo"/>
        </w:rPr>
        <w:t>Division 1</w:t>
      </w:r>
      <w:r>
        <w:rPr>
          <w:snapToGrid w:val="0"/>
        </w:rPr>
        <w:t> — </w:t>
      </w:r>
      <w:r>
        <w:rPr>
          <w:rStyle w:val="CharDivText"/>
        </w:rPr>
        <w:t>General</w:t>
      </w:r>
      <w:bookmarkEnd w:id="105"/>
      <w:bookmarkEnd w:id="106"/>
      <w:bookmarkEnd w:id="107"/>
      <w:bookmarkEnd w:id="108"/>
      <w:bookmarkEnd w:id="109"/>
      <w:bookmarkEnd w:id="110"/>
      <w:bookmarkEnd w:id="111"/>
      <w:bookmarkEnd w:id="112"/>
      <w:bookmarkEnd w:id="113"/>
    </w:p>
    <w:p>
      <w:pPr>
        <w:pStyle w:val="Heading5"/>
        <w:spacing w:before="180"/>
        <w:rPr>
          <w:snapToGrid w:val="0"/>
        </w:rPr>
      </w:pPr>
      <w:bookmarkStart w:id="114" w:name="_Toc32246784"/>
      <w:bookmarkStart w:id="115" w:name="_Toc404158431"/>
      <w:bookmarkStart w:id="116" w:name="_Toc22915305"/>
      <w:r>
        <w:rPr>
          <w:rStyle w:val="CharSectno"/>
        </w:rPr>
        <w:t>23</w:t>
      </w:r>
      <w:r>
        <w:rPr>
          <w:snapToGrid w:val="0"/>
        </w:rPr>
        <w:t>.</w:t>
      </w:r>
      <w:r>
        <w:rPr>
          <w:snapToGrid w:val="0"/>
        </w:rPr>
        <w:tab/>
        <w:t>Valuers to be licensed</w:t>
      </w:r>
      <w:bookmarkEnd w:id="114"/>
      <w:bookmarkEnd w:id="115"/>
      <w:bookmarkEnd w:id="116"/>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r>
      <w:r>
        <w:t>Penalty</w:t>
      </w:r>
      <w:del w:id="117" w:author="svcMRProcess" w:date="2020-02-11T15:47:00Z">
        <w:r>
          <w:rPr>
            <w:snapToGrid w:val="0"/>
          </w:rPr>
          <w:delText>:</w:delText>
        </w:r>
        <w:r>
          <w:delText xml:space="preserve"> $50</w:delText>
        </w:r>
      </w:del>
      <w:ins w:id="118" w:author="svcMRProcess" w:date="2020-02-11T15:47:00Z">
        <w:r>
          <w:t xml:space="preserve"> for this subsection: a fine of $100</w:t>
        </w:r>
      </w:ins>
      <w:r>
        <w:t> 000.</w:t>
      </w:r>
    </w:p>
    <w:p>
      <w:pPr>
        <w:pStyle w:val="Subsection"/>
        <w:spacing w:before="120"/>
        <w:rPr>
          <w:snapToGrid w:val="0"/>
        </w:rPr>
      </w:pPr>
      <w:r>
        <w:rPr>
          <w:snapToGrid w:val="0"/>
        </w:rPr>
        <w:tab/>
        <w:t>(2)</w:t>
      </w:r>
      <w:r>
        <w:rPr>
          <w:snapToGrid w:val="0"/>
        </w:rPr>
        <w:tab/>
        <w:t xml:space="preserve">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w:t>
      </w:r>
      <w:r>
        <w:t>a person</w:t>
      </w:r>
      <w:r>
        <w:rPr>
          <w:snapToGrid w:val="0"/>
        </w:rPr>
        <w:t xml:space="preserve"> who is licensed under this Act.</w:t>
      </w:r>
    </w:p>
    <w:p>
      <w:pPr>
        <w:pStyle w:val="Subsection"/>
        <w:keepNext/>
        <w:spacing w:before="120"/>
        <w:rPr>
          <w:snapToGrid w:val="0"/>
        </w:rPr>
      </w:pPr>
      <w:r>
        <w:rPr>
          <w:snapToGrid w:val="0"/>
        </w:rPr>
        <w:tab/>
        <w:t>(3)</w:t>
      </w:r>
      <w:r>
        <w:rPr>
          <w:snapToGrid w:val="0"/>
        </w:rPr>
        <w:tab/>
        <w:t>Subsection (1) does not prevent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[Section 23 amended: No. 15 of 1984 s. 5; No. 69 of 2006 s. 17; No. 23 of 2014 s. </w:t>
      </w:r>
      <w:del w:id="119" w:author="svcMRProcess" w:date="2020-02-11T15:47:00Z">
        <w:r>
          <w:delText>21</w:delText>
        </w:r>
      </w:del>
      <w:ins w:id="120" w:author="svcMRProcess" w:date="2020-02-11T15:47:00Z">
        <w:r>
          <w:t>21; No. 25 of 2019 s. 37</w:t>
        </w:r>
      </w:ins>
      <w:r>
        <w:t>.]</w:t>
      </w:r>
    </w:p>
    <w:p>
      <w:pPr>
        <w:pStyle w:val="Heading5"/>
        <w:spacing w:before="180"/>
        <w:rPr>
          <w:snapToGrid w:val="0"/>
        </w:rPr>
      </w:pPr>
      <w:bookmarkStart w:id="121" w:name="_Toc32246785"/>
      <w:bookmarkStart w:id="122" w:name="_Toc404158432"/>
      <w:bookmarkStart w:id="123" w:name="_Toc22915306"/>
      <w:r>
        <w:rPr>
          <w:rStyle w:val="CharSectno"/>
        </w:rPr>
        <w:t>24</w:t>
      </w:r>
      <w:r>
        <w:rPr>
          <w:snapToGrid w:val="0"/>
        </w:rPr>
        <w:t>.</w:t>
      </w:r>
      <w:r>
        <w:rPr>
          <w:snapToGrid w:val="0"/>
        </w:rPr>
        <w:tab/>
        <w:t>False claim of being licensed</w:t>
      </w:r>
      <w:bookmarkEnd w:id="121"/>
      <w:bookmarkEnd w:id="122"/>
      <w:bookmarkEnd w:id="123"/>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r>
      <w:r>
        <w:t>Penalty</w:t>
      </w:r>
      <w:del w:id="124" w:author="svcMRProcess" w:date="2020-02-11T15:47:00Z">
        <w:r>
          <w:rPr>
            <w:snapToGrid w:val="0"/>
          </w:rPr>
          <w:delText>:</w:delText>
        </w:r>
        <w:r>
          <w:delText xml:space="preserve"> $50</w:delText>
        </w:r>
      </w:del>
      <w:ins w:id="125" w:author="svcMRProcess" w:date="2020-02-11T15:47:00Z">
        <w:r>
          <w:t xml:space="preserve"> for this subsection: a fine of $100</w:t>
        </w:r>
      </w:ins>
      <w:r>
        <w:t>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r>
        <w:tab/>
        <w:t>[Section 24 amended: No. 69 of 2006 s. </w:t>
      </w:r>
      <w:del w:id="126" w:author="svcMRProcess" w:date="2020-02-11T15:47:00Z">
        <w:r>
          <w:delText>18</w:delText>
        </w:r>
      </w:del>
      <w:ins w:id="127" w:author="svcMRProcess" w:date="2020-02-11T15:47:00Z">
        <w:r>
          <w:t>18; No. 25 of 2019 s. 37</w:t>
        </w:r>
      </w:ins>
      <w:r>
        <w:t>.]</w:t>
      </w:r>
    </w:p>
    <w:p>
      <w:pPr>
        <w:pStyle w:val="Heading5"/>
        <w:spacing w:before="180"/>
        <w:rPr>
          <w:snapToGrid w:val="0"/>
        </w:rPr>
      </w:pPr>
      <w:bookmarkStart w:id="128" w:name="_Toc32246786"/>
      <w:bookmarkStart w:id="129" w:name="_Toc404158433"/>
      <w:bookmarkStart w:id="130" w:name="_Toc22915307"/>
      <w:r>
        <w:rPr>
          <w:rStyle w:val="CharSectno"/>
        </w:rPr>
        <w:t>25</w:t>
      </w:r>
      <w:r>
        <w:rPr>
          <w:snapToGrid w:val="0"/>
        </w:rPr>
        <w:t>.</w:t>
      </w:r>
      <w:r>
        <w:rPr>
          <w:snapToGrid w:val="0"/>
        </w:rPr>
        <w:tab/>
        <w:t>Remuneration of licensed valuers</w:t>
      </w:r>
      <w:bookmarkEnd w:id="128"/>
      <w:bookmarkEnd w:id="129"/>
      <w:bookmarkEnd w:id="130"/>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r>
      <w:r>
        <w:t>Penalty</w:t>
      </w:r>
      <w:del w:id="131" w:author="svcMRProcess" w:date="2020-02-11T15:47:00Z">
        <w:r>
          <w:rPr>
            <w:snapToGrid w:val="0"/>
          </w:rPr>
          <w:delText>:</w:delText>
        </w:r>
      </w:del>
      <w:ins w:id="132" w:author="svcMRProcess" w:date="2020-02-11T15:47:00Z">
        <w:r>
          <w:t xml:space="preserve"> for this subsection: a fine of</w:t>
        </w:r>
      </w:ins>
      <w:r>
        <w:t xml:space="preserve">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 xml:space="preserve">[Section 25 amended: No. 15 of 1984 s. 6; No. 69 of 2006 s. 19; No. 58 of 2010 s. </w:t>
      </w:r>
      <w:del w:id="133" w:author="svcMRProcess" w:date="2020-02-11T15:47:00Z">
        <w:r>
          <w:delText>31</w:delText>
        </w:r>
      </w:del>
      <w:ins w:id="134" w:author="svcMRProcess" w:date="2020-02-11T15:47:00Z">
        <w:r>
          <w:t>31; No. 25 of 2019 s. 37</w:t>
        </w:r>
      </w:ins>
      <w:r>
        <w:t>.]</w:t>
      </w:r>
    </w:p>
    <w:p>
      <w:pPr>
        <w:pStyle w:val="Heading3"/>
        <w:keepLines/>
        <w:spacing w:before="200"/>
      </w:pPr>
      <w:bookmarkStart w:id="135" w:name="_Toc32243048"/>
      <w:bookmarkStart w:id="136" w:name="_Toc32243096"/>
      <w:bookmarkStart w:id="137" w:name="_Toc32246787"/>
      <w:bookmarkStart w:id="138" w:name="_Toc404158434"/>
      <w:bookmarkStart w:id="139" w:name="_Toc419816044"/>
      <w:bookmarkStart w:id="140" w:name="_Toc419816090"/>
      <w:bookmarkStart w:id="141" w:name="_Toc468700415"/>
      <w:bookmarkStart w:id="142" w:name="_Toc486575299"/>
      <w:bookmarkStart w:id="143" w:name="_Toc22915308"/>
      <w:r>
        <w:rPr>
          <w:rStyle w:val="CharDivNo"/>
        </w:rPr>
        <w:t>Division 2</w:t>
      </w:r>
      <w:r>
        <w:rPr>
          <w:snapToGrid w:val="0"/>
        </w:rPr>
        <w:t> — </w:t>
      </w:r>
      <w:r>
        <w:rPr>
          <w:rStyle w:val="CharDivText"/>
        </w:rPr>
        <w:t>Discipline</w:t>
      </w:r>
      <w:bookmarkEnd w:id="135"/>
      <w:bookmarkEnd w:id="136"/>
      <w:bookmarkEnd w:id="137"/>
      <w:bookmarkEnd w:id="138"/>
      <w:bookmarkEnd w:id="139"/>
      <w:bookmarkEnd w:id="140"/>
      <w:bookmarkEnd w:id="141"/>
      <w:bookmarkEnd w:id="142"/>
      <w:bookmarkEnd w:id="143"/>
    </w:p>
    <w:p>
      <w:pPr>
        <w:pStyle w:val="Heading5"/>
        <w:spacing w:before="180"/>
        <w:rPr>
          <w:snapToGrid w:val="0"/>
        </w:rPr>
      </w:pPr>
      <w:bookmarkStart w:id="144" w:name="_Toc32246788"/>
      <w:bookmarkStart w:id="145" w:name="_Toc404158435"/>
      <w:bookmarkStart w:id="146" w:name="_Toc22915309"/>
      <w:r>
        <w:rPr>
          <w:rStyle w:val="CharSectno"/>
        </w:rPr>
        <w:t>26</w:t>
      </w:r>
      <w:r>
        <w:rPr>
          <w:snapToGrid w:val="0"/>
        </w:rPr>
        <w:t>.</w:t>
      </w:r>
      <w:r>
        <w:rPr>
          <w:snapToGrid w:val="0"/>
        </w:rPr>
        <w:tab/>
        <w:t>Licensed valuers’ code of conduct</w:t>
      </w:r>
      <w:bookmarkEnd w:id="144"/>
      <w:bookmarkEnd w:id="145"/>
      <w:bookmarkEnd w:id="146"/>
    </w:p>
    <w:p>
      <w:pPr>
        <w:pStyle w:val="Subsection"/>
        <w:spacing w:before="120"/>
        <w:rPr>
          <w:snapToGrid w:val="0"/>
        </w:rPr>
      </w:pPr>
      <w:r>
        <w:rPr>
          <w:snapToGrid w:val="0"/>
        </w:rPr>
        <w:tab/>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[Section 26 inserted: No. 15 of 1984 s. 7; amended: No. 58 of 2010 s. 31.]</w:t>
      </w:r>
    </w:p>
    <w:p>
      <w:pPr>
        <w:pStyle w:val="Heading5"/>
        <w:rPr>
          <w:snapToGrid w:val="0"/>
        </w:rPr>
      </w:pPr>
      <w:bookmarkStart w:id="147" w:name="_Toc32246789"/>
      <w:bookmarkStart w:id="148" w:name="_Toc404158436"/>
      <w:bookmarkStart w:id="149" w:name="_Toc22915310"/>
      <w:r>
        <w:rPr>
          <w:rStyle w:val="CharSectno"/>
        </w:rPr>
        <w:t>27</w:t>
      </w:r>
      <w:r>
        <w:rPr>
          <w:snapToGrid w:val="0"/>
        </w:rPr>
        <w:t>.</w:t>
      </w:r>
      <w:r>
        <w:rPr>
          <w:snapToGrid w:val="0"/>
        </w:rPr>
        <w:tab/>
        <w:t>Disciplinary proceedings against licensed valuers</w:t>
      </w:r>
      <w:bookmarkEnd w:id="147"/>
      <w:bookmarkEnd w:id="148"/>
      <w:bookmarkEnd w:id="149"/>
    </w:p>
    <w:p>
      <w:pPr>
        <w:pStyle w:val="Subsection"/>
        <w:rPr>
          <w:snapToGrid w:val="0"/>
        </w:rPr>
      </w:pPr>
      <w:r>
        <w:rPr>
          <w:snapToGrid w:val="0"/>
        </w:rPr>
        <w:tab/>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No. 55 of 2004 s. 597; amended: No. 58 of 2010 s. 31.]</w:t>
      </w:r>
    </w:p>
    <w:p>
      <w:pPr>
        <w:pStyle w:val="Heading5"/>
        <w:rPr>
          <w:snapToGrid w:val="0"/>
        </w:rPr>
      </w:pPr>
      <w:bookmarkStart w:id="150" w:name="_Toc32246790"/>
      <w:bookmarkStart w:id="151" w:name="_Toc404158437"/>
      <w:bookmarkStart w:id="152" w:name="_Toc22915311"/>
      <w:r>
        <w:rPr>
          <w:rStyle w:val="CharSectno"/>
        </w:rPr>
        <w:t>28</w:t>
      </w:r>
      <w:r>
        <w:rPr>
          <w:snapToGrid w:val="0"/>
        </w:rPr>
        <w:t>.</w:t>
      </w:r>
      <w:r>
        <w:rPr>
          <w:snapToGrid w:val="0"/>
        </w:rPr>
        <w:tab/>
        <w:t>SAT’s powers on disciplinary proceedings</w:t>
      </w:r>
      <w:bookmarkEnd w:id="150"/>
      <w:bookmarkEnd w:id="151"/>
      <w:bookmarkEnd w:id="152"/>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w:t>
      </w:r>
    </w:p>
    <w:p>
      <w:pPr>
        <w:pStyle w:val="Indenta"/>
        <w:rPr>
          <w:snapToGrid w:val="0"/>
        </w:rPr>
      </w:pPr>
      <w:r>
        <w:rPr>
          <w:snapToGrid w:val="0"/>
        </w:rPr>
        <w:tab/>
        <w:t>(a)</w:t>
      </w:r>
      <w:r>
        <w:rPr>
          <w:snapToGrid w:val="0"/>
        </w:rPr>
        <w:tab/>
        <w:t>the licensed valuer improperly obtained a licence; or</w:t>
      </w:r>
    </w:p>
    <w:p>
      <w:pPr>
        <w:pStyle w:val="Indenta"/>
        <w:rPr>
          <w:snapToGrid w:val="0"/>
        </w:rPr>
      </w:pPr>
      <w:r>
        <w:rPr>
          <w:snapToGrid w:val="0"/>
        </w:rPr>
        <w:tab/>
        <w:t>(b)</w:t>
      </w:r>
      <w:r>
        <w:rPr>
          <w:snapToGrid w:val="0"/>
        </w:rPr>
        <w:tab/>
        <w:t>the licensed valuer has been guilty of negligence or incompetence in making a valuation of land; or</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No. 55 of 2004 s. 598; No. 69 of 2006 s. 20.]</w:t>
      </w:r>
    </w:p>
    <w:p>
      <w:pPr>
        <w:pStyle w:val="Heading2"/>
      </w:pPr>
      <w:bookmarkStart w:id="153" w:name="_Toc32243052"/>
      <w:bookmarkStart w:id="154" w:name="_Toc32243100"/>
      <w:bookmarkStart w:id="155" w:name="_Toc32246791"/>
      <w:bookmarkStart w:id="156" w:name="_Toc404158438"/>
      <w:bookmarkStart w:id="157" w:name="_Toc419816048"/>
      <w:bookmarkStart w:id="158" w:name="_Toc419816094"/>
      <w:bookmarkStart w:id="159" w:name="_Toc468700419"/>
      <w:bookmarkStart w:id="160" w:name="_Toc486575303"/>
      <w:bookmarkStart w:id="161" w:name="_Toc22915312"/>
      <w:r>
        <w:rPr>
          <w:rStyle w:val="CharPartNo"/>
        </w:rPr>
        <w:t>Part V</w:t>
      </w:r>
      <w:r>
        <w:rPr>
          <w:rStyle w:val="CharDivNo"/>
        </w:rPr>
        <w:t> </w:t>
      </w:r>
      <w:r>
        <w:t>—</w:t>
      </w:r>
      <w:r>
        <w:rPr>
          <w:rStyle w:val="CharDivText"/>
        </w:rPr>
        <w:t> </w:t>
      </w:r>
      <w:r>
        <w:rPr>
          <w:rStyle w:val="CharPartText"/>
        </w:rPr>
        <w:t>Miscellaneous</w:t>
      </w:r>
      <w:bookmarkEnd w:id="153"/>
      <w:bookmarkEnd w:id="154"/>
      <w:bookmarkEnd w:id="155"/>
      <w:bookmarkEnd w:id="156"/>
      <w:bookmarkEnd w:id="157"/>
      <w:bookmarkEnd w:id="158"/>
      <w:bookmarkEnd w:id="159"/>
      <w:bookmarkEnd w:id="160"/>
      <w:bookmarkEnd w:id="161"/>
    </w:p>
    <w:p>
      <w:pPr>
        <w:pStyle w:val="Heading5"/>
        <w:spacing w:before="120"/>
        <w:rPr>
          <w:snapToGrid w:val="0"/>
        </w:rPr>
      </w:pPr>
      <w:bookmarkStart w:id="162" w:name="_Toc32246792"/>
      <w:bookmarkStart w:id="163" w:name="_Toc404158439"/>
      <w:bookmarkStart w:id="164" w:name="_Toc22915313"/>
      <w:r>
        <w:rPr>
          <w:rStyle w:val="CharSectno"/>
        </w:rPr>
        <w:t>29</w:t>
      </w:r>
      <w:r>
        <w:rPr>
          <w:snapToGrid w:val="0"/>
        </w:rPr>
        <w:t>.</w:t>
      </w:r>
      <w:r>
        <w:rPr>
          <w:snapToGrid w:val="0"/>
        </w:rPr>
        <w:tab/>
        <w:t>Register of licensed valuers</w:t>
      </w:r>
      <w:bookmarkEnd w:id="162"/>
      <w:bookmarkEnd w:id="163"/>
      <w:bookmarkEnd w:id="164"/>
    </w:p>
    <w:p>
      <w:pPr>
        <w:pStyle w:val="Subsection"/>
        <w:rPr>
          <w:snapToGrid w:val="0"/>
        </w:rPr>
      </w:pPr>
      <w:r>
        <w:rPr>
          <w:snapToGrid w:val="0"/>
        </w:rPr>
        <w:tab/>
        <w:t>(1)</w:t>
      </w:r>
      <w:r>
        <w:rPr>
          <w:snapToGrid w:val="0"/>
        </w:rPr>
        <w:tab/>
        <w:t xml:space="preserve">The </w:t>
      </w:r>
      <w:r>
        <w:t>Commissioner</w:t>
      </w:r>
      <w:r>
        <w:rPr>
          <w:snapToGrid w:val="0"/>
        </w:rPr>
        <w:t xml:space="preserve"> shall keep a register of licensed valuers.</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 any prescribed particulars.</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 make it available for the inspection of that person.</w:t>
      </w:r>
    </w:p>
    <w:p>
      <w:pPr>
        <w:pStyle w:val="Footnotesection"/>
      </w:pPr>
      <w:r>
        <w:tab/>
        <w:t>[Section 29 amended: No. 58 of 2010 s. 31.]</w:t>
      </w:r>
    </w:p>
    <w:p>
      <w:pPr>
        <w:pStyle w:val="Heading5"/>
        <w:spacing w:before="120"/>
        <w:rPr>
          <w:snapToGrid w:val="0"/>
        </w:rPr>
      </w:pPr>
      <w:bookmarkStart w:id="165" w:name="_Toc32246793"/>
      <w:bookmarkStart w:id="166" w:name="_Toc404158440"/>
      <w:bookmarkStart w:id="167" w:name="_Toc22915314"/>
      <w:r>
        <w:rPr>
          <w:rStyle w:val="CharSectno"/>
        </w:rPr>
        <w:t>29A</w:t>
      </w:r>
      <w:r>
        <w:rPr>
          <w:snapToGrid w:val="0"/>
        </w:rPr>
        <w:t>.</w:t>
      </w:r>
      <w:r>
        <w:rPr>
          <w:snapToGrid w:val="0"/>
        </w:rPr>
        <w:tab/>
        <w:t>Change of particulars, licensee to notify Commissioner</w:t>
      </w:r>
      <w:bookmarkEnd w:id="165"/>
      <w:bookmarkEnd w:id="166"/>
      <w:bookmarkEnd w:id="167"/>
    </w:p>
    <w:p>
      <w:pPr>
        <w:pStyle w:val="Subsection"/>
        <w:rPr>
          <w:snapToGrid w:val="0"/>
        </w:rPr>
      </w:pPr>
      <w:r>
        <w:rPr>
          <w:snapToGrid w:val="0"/>
        </w:rPr>
        <w:tab/>
        <w:t>(1)</w:t>
      </w:r>
      <w:r>
        <w:rPr>
          <w:snapToGrid w:val="0"/>
        </w:rPr>
        <w:tab/>
        <w:t xml:space="preserve">A licensed valuer shall give written notice to the </w:t>
      </w:r>
      <w:r>
        <w:t>Commissioner</w:t>
      </w:r>
      <w:r>
        <w:rPr>
          <w:snapToGrid w:val="0"/>
        </w:rPr>
        <w:t xml:space="preserve"> of any change in the particulars specified in the register in respect of that valuer as soon as practicable after that change takes place.</w:t>
      </w:r>
    </w:p>
    <w:p>
      <w:pPr>
        <w:pStyle w:val="Penstart"/>
        <w:rPr>
          <w:snapToGrid w:val="0"/>
        </w:rPr>
      </w:pPr>
      <w:r>
        <w:rPr>
          <w:snapToGrid w:val="0"/>
        </w:rPr>
        <w:tab/>
      </w:r>
      <w:r>
        <w:t>Penalty</w:t>
      </w:r>
      <w:del w:id="168" w:author="svcMRProcess" w:date="2020-02-11T15:47:00Z">
        <w:r>
          <w:rPr>
            <w:snapToGrid w:val="0"/>
          </w:rPr>
          <w:delText>:</w:delText>
        </w:r>
      </w:del>
      <w:ins w:id="169" w:author="svcMRProcess" w:date="2020-02-11T15:47:00Z">
        <w:r>
          <w:t xml:space="preserve"> for this subsection: a fine of</w:t>
        </w:r>
      </w:ins>
      <w:r>
        <w:t xml:space="preserve"> $2 000.</w:t>
      </w:r>
    </w:p>
    <w:p>
      <w:pPr>
        <w:pStyle w:val="Subsection"/>
        <w:rPr>
          <w:snapToGrid w:val="0"/>
        </w:rPr>
      </w:pPr>
      <w:r>
        <w:rPr>
          <w:snapToGrid w:val="0"/>
        </w:rPr>
        <w:tab/>
        <w:t>(2)</w:t>
      </w:r>
      <w:r>
        <w:rPr>
          <w:snapToGrid w:val="0"/>
        </w:rPr>
        <w:tab/>
        <w:t xml:space="preserve">The </w:t>
      </w:r>
      <w:r>
        <w:t>Commissioner</w:t>
      </w:r>
      <w:r>
        <w:rPr>
          <w:snapToGrid w:val="0"/>
        </w:rPr>
        <w:t xml:space="preserve"> shall enter in the register details of any change notified under subsection (1).</w:t>
      </w:r>
    </w:p>
    <w:p>
      <w:pPr>
        <w:pStyle w:val="Footnotesection"/>
      </w:pPr>
      <w:r>
        <w:tab/>
        <w:t xml:space="preserve">[Section 29A inserted: No. 56 of 1995 s. 30; amended: No. 69 of 2006 s. 21; No. 58 of 2010 s. </w:t>
      </w:r>
      <w:del w:id="170" w:author="svcMRProcess" w:date="2020-02-11T15:47:00Z">
        <w:r>
          <w:delText>31</w:delText>
        </w:r>
      </w:del>
      <w:ins w:id="171" w:author="svcMRProcess" w:date="2020-02-11T15:47:00Z">
        <w:r>
          <w:t>31; No. 25 of 2019 s. 37</w:t>
        </w:r>
      </w:ins>
      <w:r>
        <w:t>.]</w:t>
      </w:r>
    </w:p>
    <w:p>
      <w:pPr>
        <w:pStyle w:val="Heading5"/>
        <w:spacing w:before="120"/>
        <w:rPr>
          <w:snapToGrid w:val="0"/>
        </w:rPr>
      </w:pPr>
      <w:bookmarkStart w:id="172" w:name="_Toc32246794"/>
      <w:bookmarkStart w:id="173" w:name="_Toc404158441"/>
      <w:bookmarkStart w:id="174" w:name="_Toc22915315"/>
      <w:r>
        <w:rPr>
          <w:rStyle w:val="CharSectno"/>
        </w:rPr>
        <w:t>30</w:t>
      </w:r>
      <w:r>
        <w:rPr>
          <w:snapToGrid w:val="0"/>
        </w:rPr>
        <w:t>.</w:t>
      </w:r>
      <w:r>
        <w:rPr>
          <w:snapToGrid w:val="0"/>
        </w:rPr>
        <w:tab/>
        <w:t>Commissioner’s certificate</w:t>
      </w:r>
      <w:bookmarkEnd w:id="172"/>
      <w:bookmarkEnd w:id="173"/>
      <w:bookmarkEnd w:id="174"/>
    </w:p>
    <w:p>
      <w:pPr>
        <w:pStyle w:val="Ednotesubsection"/>
      </w:pPr>
      <w:r>
        <w:tab/>
        <w:t>[(1), (2)</w:t>
      </w:r>
      <w:r>
        <w:tab/>
        <w:t>deleted]</w:t>
      </w:r>
    </w:p>
    <w:p>
      <w:pPr>
        <w:pStyle w:val="Subsection"/>
        <w:keepLines/>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spacing w:before="140"/>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spacing w:before="100"/>
        <w:ind w:left="890" w:hanging="890"/>
      </w:pPr>
      <w:r>
        <w:tab/>
        <w:t>[Section 30 amended: No. 58 of 2010 s. 31; No. 23 of 2014 s. 22.]</w:t>
      </w:r>
    </w:p>
    <w:p>
      <w:pPr>
        <w:pStyle w:val="Heading5"/>
        <w:rPr>
          <w:snapToGrid w:val="0"/>
        </w:rPr>
      </w:pPr>
      <w:bookmarkStart w:id="175" w:name="_Toc32246795"/>
      <w:bookmarkStart w:id="176" w:name="_Toc404158442"/>
      <w:bookmarkStart w:id="177" w:name="_Toc22915316"/>
      <w:r>
        <w:rPr>
          <w:rStyle w:val="CharSectno"/>
        </w:rPr>
        <w:t>31</w:t>
      </w:r>
      <w:r>
        <w:rPr>
          <w:snapToGrid w:val="0"/>
        </w:rPr>
        <w:t>.</w:t>
      </w:r>
      <w:r>
        <w:rPr>
          <w:snapToGrid w:val="0"/>
        </w:rPr>
        <w:tab/>
        <w:t>Annual report by department</w:t>
      </w:r>
      <w:bookmarkEnd w:id="175"/>
      <w:bookmarkEnd w:id="176"/>
      <w:bookmarkEnd w:id="177"/>
    </w:p>
    <w:p>
      <w:pPr>
        <w:pStyle w:val="Subsection"/>
        <w:spacing w:before="140"/>
      </w:pPr>
      <w:r>
        <w:tab/>
        <w:t>(1)</w:t>
      </w:r>
      <w:r>
        <w:tab/>
        <w:t>The chief executive officer is to ensure that the matters set out in subsection (1a) are included in the department’s annual report.</w:t>
      </w:r>
    </w:p>
    <w:p>
      <w:pPr>
        <w:pStyle w:val="Subsection"/>
        <w:spacing w:before="140"/>
      </w:pPr>
      <w:r>
        <w:tab/>
        <w:t>(1a)</w:t>
      </w:r>
      <w:r>
        <w:tab/>
        <w:t>The department’s annual report is to include details of —</w:t>
      </w:r>
    </w:p>
    <w:p>
      <w:pPr>
        <w:pStyle w:val="Indenta"/>
        <w:spacing w:before="60"/>
      </w:pPr>
      <w:r>
        <w:tab/>
        <w:t>(a)</w:t>
      </w:r>
      <w:r>
        <w:tab/>
        <w:t>the number, nature, and outcome, of —</w:t>
      </w:r>
    </w:p>
    <w:p>
      <w:pPr>
        <w:pStyle w:val="Indenti"/>
        <w:spacing w:before="60"/>
      </w:pPr>
      <w:r>
        <w:tab/>
        <w:t>(i)</w:t>
      </w:r>
      <w:r>
        <w:tab/>
        <w:t>investigations and inquiries undertaken by, or at the direction of, the Commissioner; and</w:t>
      </w:r>
    </w:p>
    <w:p>
      <w:pPr>
        <w:pStyle w:val="Indenti"/>
        <w:spacing w:before="60"/>
      </w:pPr>
      <w:r>
        <w:tab/>
        <w:t>(ii)</w:t>
      </w:r>
      <w:r>
        <w:tab/>
        <w:t xml:space="preserve">matters that have been brought before the </w:t>
      </w:r>
      <w:r>
        <w:rPr>
          <w:snapToGrid w:val="0"/>
        </w:rPr>
        <w:t>State Administrative Tribunal by the</w:t>
      </w:r>
      <w:r>
        <w:t xml:space="preserve"> Commissioner;</w:t>
      </w:r>
    </w:p>
    <w:p>
      <w:pPr>
        <w:pStyle w:val="Indenta"/>
        <w:spacing w:before="60"/>
      </w:pPr>
      <w:r>
        <w:tab/>
      </w:r>
      <w:r>
        <w:tab/>
        <w:t>and</w:t>
      </w:r>
    </w:p>
    <w:p>
      <w:pPr>
        <w:pStyle w:val="Indenta"/>
        <w:spacing w:before="60"/>
      </w:pPr>
      <w:r>
        <w:tab/>
        <w:t>(b)</w:t>
      </w:r>
      <w:r>
        <w:tab/>
        <w:t>the number and nature of matters referred to in paragraph (a) that are outstanding; and</w:t>
      </w:r>
    </w:p>
    <w:p>
      <w:pPr>
        <w:pStyle w:val="Indenta"/>
        <w:spacing w:before="60"/>
      </w:pPr>
      <w:r>
        <w:tab/>
        <w:t>(c)</w:t>
      </w:r>
      <w:r>
        <w:tab/>
        <w:t>any trends or special problems that may have emerged; and</w:t>
      </w:r>
    </w:p>
    <w:p>
      <w:pPr>
        <w:pStyle w:val="Indenta"/>
        <w:spacing w:before="60"/>
      </w:pPr>
      <w:r>
        <w:tab/>
        <w:t>(d)</w:t>
      </w:r>
      <w:r>
        <w:tab/>
        <w:t>forecasts of the workload of the Commissioner in the year after the year to which the report relates; and</w:t>
      </w:r>
    </w:p>
    <w:p>
      <w:pPr>
        <w:pStyle w:val="Indenta"/>
        <w:spacing w:before="60"/>
      </w:pPr>
      <w:r>
        <w:tab/>
        <w:t>(e)</w:t>
      </w:r>
      <w:r>
        <w:tab/>
        <w:t>any proposals for improving the performance of the  Commissioner’s functions.</w:t>
      </w:r>
    </w:p>
    <w:p>
      <w:pPr>
        <w:pStyle w:val="Ednotesubsection"/>
      </w:pPr>
      <w:r>
        <w:tab/>
        <w:t>[(2)</w:t>
      </w:r>
      <w:r>
        <w:tab/>
        <w:t>deleted]</w:t>
      </w:r>
    </w:p>
    <w:p>
      <w:pPr>
        <w:pStyle w:val="Footnotesection"/>
        <w:spacing w:before="100"/>
        <w:ind w:left="890" w:hanging="890"/>
      </w:pPr>
      <w:r>
        <w:tab/>
        <w:t>[Section 31 amended: No. 55 of 2004 s. 599; No. 58 of 2010 s. 26 and 31.]</w:t>
      </w:r>
    </w:p>
    <w:p>
      <w:pPr>
        <w:pStyle w:val="Ednotesection"/>
      </w:pPr>
      <w:r>
        <w:t>[</w:t>
      </w:r>
      <w:r>
        <w:rPr>
          <w:b/>
        </w:rPr>
        <w:t>32.</w:t>
      </w:r>
      <w:r>
        <w:tab/>
        <w:t>Deleted: No. 58 of 2010 s. 27.]</w:t>
      </w:r>
    </w:p>
    <w:p>
      <w:pPr>
        <w:pStyle w:val="Heading5"/>
      </w:pPr>
      <w:bookmarkStart w:id="178" w:name="_Toc32246796"/>
      <w:bookmarkStart w:id="179" w:name="_Toc404158443"/>
      <w:bookmarkStart w:id="180" w:name="_Toc22915317"/>
      <w:r>
        <w:rPr>
          <w:rStyle w:val="CharSectno"/>
        </w:rPr>
        <w:t>33</w:t>
      </w:r>
      <w:r>
        <w:t>.</w:t>
      </w:r>
      <w:r>
        <w:tab/>
        <w:t>Confidentiality of information officially obtained</w:t>
      </w:r>
      <w:bookmarkEnd w:id="178"/>
      <w:bookmarkEnd w:id="179"/>
      <w:bookmarkEnd w:id="180"/>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33 inserted: No. 58 of 2010 s. 28.]</w:t>
      </w:r>
    </w:p>
    <w:p>
      <w:pPr>
        <w:pStyle w:val="Heading5"/>
        <w:rPr>
          <w:ins w:id="181" w:author="svcMRProcess" w:date="2020-02-11T15:47:00Z"/>
        </w:rPr>
      </w:pPr>
      <w:bookmarkStart w:id="182" w:name="_Toc32246797"/>
      <w:ins w:id="183" w:author="svcMRProcess" w:date="2020-02-11T15:47:00Z">
        <w:r>
          <w:rPr>
            <w:rStyle w:val="CharSectno"/>
          </w:rPr>
          <w:t>33A</w:t>
        </w:r>
        <w:r>
          <w:t>.</w:t>
        </w:r>
        <w:r>
          <w:tab/>
          <w:t>Offence of giving false or misleading information</w:t>
        </w:r>
        <w:bookmarkEnd w:id="182"/>
      </w:ins>
    </w:p>
    <w:p>
      <w:pPr>
        <w:pStyle w:val="Subsection"/>
        <w:rPr>
          <w:ins w:id="184" w:author="svcMRProcess" w:date="2020-02-11T15:47:00Z"/>
        </w:rPr>
      </w:pPr>
      <w:ins w:id="185" w:author="svcMRProcess" w:date="2020-02-11T15:47:00Z">
        <w:r>
          <w:tab/>
          <w:t>(1)</w:t>
        </w:r>
        <w:r>
          <w:tab/>
          <w:t>A person who gives false or misleading information to the Commissioner when required to give information to the Commissioner under this Act commits an offence.</w:t>
        </w:r>
      </w:ins>
    </w:p>
    <w:p>
      <w:pPr>
        <w:pStyle w:val="Penstart"/>
        <w:rPr>
          <w:ins w:id="186" w:author="svcMRProcess" w:date="2020-02-11T15:47:00Z"/>
        </w:rPr>
      </w:pPr>
      <w:ins w:id="187" w:author="svcMRProcess" w:date="2020-02-11T15:47:00Z">
        <w:r>
          <w:tab/>
          <w:t>Penalty for this subsection: a fine of $20 000.</w:t>
        </w:r>
      </w:ins>
    </w:p>
    <w:p>
      <w:pPr>
        <w:pStyle w:val="Subsection"/>
        <w:rPr>
          <w:ins w:id="188" w:author="svcMRProcess" w:date="2020-02-11T15:47:00Z"/>
        </w:rPr>
      </w:pPr>
      <w:ins w:id="189" w:author="svcMRProcess" w:date="2020-02-11T15:47:00Z">
        <w:r>
          <w:tab/>
          <w:t>(2)</w:t>
        </w:r>
        <w:r>
          <w:tab/>
          <w:t>For the purposes of subsection (1), a person gives false or misleading information if the person does 1 or more of the following —</w:t>
        </w:r>
      </w:ins>
    </w:p>
    <w:p>
      <w:pPr>
        <w:pStyle w:val="Indenta"/>
        <w:rPr>
          <w:ins w:id="190" w:author="svcMRProcess" w:date="2020-02-11T15:47:00Z"/>
        </w:rPr>
      </w:pPr>
      <w:ins w:id="191" w:author="svcMRProcess" w:date="2020-02-11T15:47:00Z">
        <w:r>
          <w:tab/>
          <w:t>(a)</w:t>
        </w:r>
        <w:r>
          <w:tab/>
          <w:t>states anything that the person knows is false or misleading in a material particular;</w:t>
        </w:r>
      </w:ins>
    </w:p>
    <w:p>
      <w:pPr>
        <w:pStyle w:val="Indenta"/>
        <w:rPr>
          <w:ins w:id="192" w:author="svcMRProcess" w:date="2020-02-11T15:47:00Z"/>
        </w:rPr>
      </w:pPr>
      <w:ins w:id="193" w:author="svcMRProcess" w:date="2020-02-11T15:47:00Z">
        <w:r>
          <w:tab/>
          <w:t>(b)</w:t>
        </w:r>
        <w:r>
          <w:tab/>
          <w:t>omits anything from a statement without which the statement is, to the person’s knowledge, misleading in a material particular;</w:t>
        </w:r>
      </w:ins>
    </w:p>
    <w:p>
      <w:pPr>
        <w:pStyle w:val="Indenta"/>
        <w:rPr>
          <w:ins w:id="194" w:author="svcMRProcess" w:date="2020-02-11T15:47:00Z"/>
        </w:rPr>
      </w:pPr>
      <w:ins w:id="195" w:author="svcMRProcess" w:date="2020-02-11T15:47:00Z">
        <w:r>
          <w:tab/>
          <w:t>(c)</w:t>
        </w:r>
        <w:r>
          <w:tab/>
          <w:t>gives or produces any information that —</w:t>
        </w:r>
      </w:ins>
    </w:p>
    <w:p>
      <w:pPr>
        <w:pStyle w:val="Indenti"/>
        <w:rPr>
          <w:ins w:id="196" w:author="svcMRProcess" w:date="2020-02-11T15:47:00Z"/>
        </w:rPr>
      </w:pPr>
      <w:ins w:id="197" w:author="svcMRProcess" w:date="2020-02-11T15:47:00Z">
        <w:r>
          <w:tab/>
          <w:t>(i)</w:t>
        </w:r>
        <w:r>
          <w:tab/>
          <w:t>the person knows is false or misleading in a material particular; or</w:t>
        </w:r>
      </w:ins>
    </w:p>
    <w:p>
      <w:pPr>
        <w:pStyle w:val="Indenti"/>
        <w:rPr>
          <w:ins w:id="198" w:author="svcMRProcess" w:date="2020-02-11T15:47:00Z"/>
        </w:rPr>
      </w:pPr>
      <w:ins w:id="199" w:author="svcMRProcess" w:date="2020-02-11T15:47:00Z">
        <w:r>
          <w:tab/>
          <w:t>(ii)</w:t>
        </w:r>
        <w:r>
          <w:tab/>
          <w:t>omits anything without which the information is, to the person’s knowledge, misleading in a material particular.</w:t>
        </w:r>
      </w:ins>
    </w:p>
    <w:p>
      <w:pPr>
        <w:pStyle w:val="Footnotesection"/>
        <w:rPr>
          <w:ins w:id="200" w:author="svcMRProcess" w:date="2020-02-11T15:47:00Z"/>
        </w:rPr>
      </w:pPr>
      <w:ins w:id="201" w:author="svcMRProcess" w:date="2020-02-11T15:47:00Z">
        <w:r>
          <w:tab/>
          <w:t>[Section 33A inserted: No. 25 of 2019 s. 36.]</w:t>
        </w:r>
      </w:ins>
    </w:p>
    <w:p>
      <w:pPr>
        <w:pStyle w:val="Heading5"/>
        <w:rPr>
          <w:snapToGrid w:val="0"/>
        </w:rPr>
      </w:pPr>
      <w:bookmarkStart w:id="202" w:name="_Toc32246798"/>
      <w:bookmarkStart w:id="203" w:name="_Toc404158444"/>
      <w:bookmarkStart w:id="204" w:name="_Toc22915318"/>
      <w:r>
        <w:rPr>
          <w:rStyle w:val="CharSectno"/>
        </w:rPr>
        <w:t>34</w:t>
      </w:r>
      <w:r>
        <w:rPr>
          <w:snapToGrid w:val="0"/>
        </w:rPr>
        <w:t>.</w:t>
      </w:r>
      <w:r>
        <w:rPr>
          <w:snapToGrid w:val="0"/>
        </w:rPr>
        <w:tab/>
        <w:t>Offences by corporations</w:t>
      </w:r>
      <w:bookmarkEnd w:id="202"/>
      <w:bookmarkEnd w:id="203"/>
      <w:bookmarkEnd w:id="204"/>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205" w:name="_Toc32246799"/>
      <w:bookmarkStart w:id="206" w:name="_Toc404158445"/>
      <w:bookmarkStart w:id="207" w:name="_Toc22915319"/>
      <w:r>
        <w:rPr>
          <w:rStyle w:val="CharSectno"/>
        </w:rPr>
        <w:t>35</w:t>
      </w:r>
      <w:r>
        <w:rPr>
          <w:snapToGrid w:val="0"/>
        </w:rPr>
        <w:t>.</w:t>
      </w:r>
      <w:r>
        <w:rPr>
          <w:snapToGrid w:val="0"/>
        </w:rPr>
        <w:tab/>
        <w:t>Proceedings for offences</w:t>
      </w:r>
      <w:bookmarkEnd w:id="205"/>
      <w:bookmarkEnd w:id="206"/>
      <w:bookmarkEnd w:id="207"/>
    </w:p>
    <w:p>
      <w:pPr>
        <w:pStyle w:val="Subsection"/>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[Section 35 amended: No. 59 of 2004 s. 141; No. 84 of 2004 s. 78; No. 58 of 2010 s. 31.]</w:t>
      </w:r>
    </w:p>
    <w:p>
      <w:pPr>
        <w:pStyle w:val="Heading5"/>
        <w:rPr>
          <w:snapToGrid w:val="0"/>
        </w:rPr>
      </w:pPr>
      <w:bookmarkStart w:id="208" w:name="_Toc32246800"/>
      <w:bookmarkStart w:id="209" w:name="_Toc404158446"/>
      <w:bookmarkStart w:id="210" w:name="_Toc22915320"/>
      <w:r>
        <w:rPr>
          <w:rStyle w:val="CharSectno"/>
        </w:rPr>
        <w:t>36</w:t>
      </w:r>
      <w:r>
        <w:rPr>
          <w:snapToGrid w:val="0"/>
        </w:rPr>
        <w:t>.</w:t>
      </w:r>
      <w:r>
        <w:rPr>
          <w:snapToGrid w:val="0"/>
        </w:rPr>
        <w:tab/>
        <w:t>Regulations</w:t>
      </w:r>
      <w:bookmarkEnd w:id="208"/>
      <w:bookmarkEnd w:id="209"/>
      <w:bookmarkEnd w:id="210"/>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36 amended: No. 65 of 1987 s. 38; No. 56 of 1995 s. 31; No. 55 of 2004 s. 600; No. 69 of 2006 s. 23; No. 58 of 2010 s. 29.]</w:t>
      </w:r>
    </w:p>
    <w:p>
      <w:pPr>
        <w:pStyle w:val="Heading2"/>
      </w:pPr>
      <w:bookmarkStart w:id="211" w:name="_Toc32243062"/>
      <w:bookmarkStart w:id="212" w:name="_Toc32243110"/>
      <w:bookmarkStart w:id="213" w:name="_Toc32246801"/>
      <w:bookmarkStart w:id="214" w:name="_Toc404158447"/>
      <w:bookmarkStart w:id="215" w:name="_Toc419816057"/>
      <w:bookmarkStart w:id="216" w:name="_Toc419816103"/>
      <w:bookmarkStart w:id="217" w:name="_Toc468700428"/>
      <w:bookmarkStart w:id="218" w:name="_Toc486575312"/>
      <w:bookmarkStart w:id="219" w:name="_Toc22915321"/>
      <w:r>
        <w:rPr>
          <w:rStyle w:val="CharPartNo"/>
        </w:rPr>
        <w:t>Part VI</w:t>
      </w:r>
      <w:r>
        <w:rPr>
          <w:b w:val="0"/>
        </w:rPr>
        <w:t> </w:t>
      </w:r>
      <w:r>
        <w:t>—</w:t>
      </w:r>
      <w:r>
        <w:rPr>
          <w:b w:val="0"/>
        </w:rPr>
        <w:t> </w:t>
      </w:r>
      <w:r>
        <w:rPr>
          <w:rStyle w:val="CharPartText"/>
        </w:rPr>
        <w:t>Miscellaneous transitional matters</w:t>
      </w:r>
      <w:bookmarkEnd w:id="211"/>
      <w:bookmarkEnd w:id="212"/>
      <w:bookmarkEnd w:id="213"/>
      <w:bookmarkEnd w:id="214"/>
      <w:bookmarkEnd w:id="215"/>
      <w:bookmarkEnd w:id="216"/>
      <w:bookmarkEnd w:id="217"/>
      <w:bookmarkEnd w:id="218"/>
      <w:bookmarkEnd w:id="219"/>
    </w:p>
    <w:p>
      <w:pPr>
        <w:pStyle w:val="Footnotesection"/>
        <w:spacing w:before="100"/>
        <w:ind w:left="890" w:hanging="890"/>
      </w:pPr>
      <w:r>
        <w:tab/>
        <w:t>[Heading inserted: No. 58 of 2010 s. 30.]</w:t>
      </w:r>
    </w:p>
    <w:p>
      <w:pPr>
        <w:pStyle w:val="Heading5"/>
      </w:pPr>
      <w:bookmarkStart w:id="220" w:name="_Toc32246802"/>
      <w:bookmarkStart w:id="221" w:name="_Toc404158448"/>
      <w:bookmarkStart w:id="222" w:name="_Toc22915322"/>
      <w:r>
        <w:rPr>
          <w:rStyle w:val="CharSectno"/>
        </w:rPr>
        <w:t>37</w:t>
      </w:r>
      <w:r>
        <w:t>.</w:t>
      </w:r>
      <w:r>
        <w:tab/>
        <w:t>Terms used</w:t>
      </w:r>
      <w:bookmarkEnd w:id="220"/>
      <w:bookmarkEnd w:id="221"/>
      <w:bookmarkEnd w:id="222"/>
    </w:p>
    <w:p>
      <w:pPr>
        <w:pStyle w:val="Subsection"/>
      </w:pPr>
      <w:r>
        <w:tab/>
      </w:r>
      <w:r>
        <w:tab/>
        <w:t>In this Part —</w:t>
      </w:r>
    </w:p>
    <w:p>
      <w:pPr>
        <w:pStyle w:val="Defstart"/>
      </w:pPr>
      <w:r>
        <w:tab/>
      </w:r>
      <w:r>
        <w:rPr>
          <w:rStyle w:val="CharDefText"/>
        </w:rPr>
        <w:t>commencement day</w:t>
      </w:r>
      <w:r>
        <w:t xml:space="preserve"> means the day on which the </w:t>
      </w:r>
      <w:r>
        <w:rPr>
          <w:i/>
          <w:iCs/>
        </w:rPr>
        <w:t>Acts Amendment</w:t>
      </w:r>
      <w:r>
        <w:rPr>
          <w:i/>
        </w:rPr>
        <w:t xml:space="preserve"> (</w:t>
      </w:r>
      <w:r>
        <w:rPr>
          <w:i/>
          <w:iCs/>
        </w:rPr>
        <w:t>Fair Trading) Act 2010</w:t>
      </w:r>
      <w:r>
        <w:t xml:space="preserve"> Part 3 comes into operation;</w:t>
      </w:r>
    </w:p>
    <w:p>
      <w:pPr>
        <w:pStyle w:val="Defstart"/>
      </w:pPr>
      <w:r>
        <w:tab/>
      </w:r>
      <w:r>
        <w:rPr>
          <w:rStyle w:val="CharDefText"/>
        </w:rPr>
        <w:t>former Board</w:t>
      </w:r>
      <w:r>
        <w:t xml:space="preserve"> means the Land Valuers Licensing Board established by section 5 of this Act immediately prior to the commencement day;</w:t>
      </w:r>
    </w:p>
    <w:p>
      <w:pPr>
        <w:pStyle w:val="Defstart"/>
      </w:pPr>
      <w:r>
        <w:tab/>
      </w:r>
      <w:r>
        <w:rPr>
          <w:rStyle w:val="CharDefText"/>
        </w:rPr>
        <w:t>former Registrar</w:t>
      </w:r>
      <w:r>
        <w:t xml:space="preserve"> means the Registrar of the former Board immediately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37 inserted: No. 58 of 2010 s. 30.]</w:t>
      </w:r>
    </w:p>
    <w:p>
      <w:pPr>
        <w:pStyle w:val="Heading5"/>
      </w:pPr>
      <w:bookmarkStart w:id="223" w:name="_Toc32246803"/>
      <w:bookmarkStart w:id="224" w:name="_Toc404158449"/>
      <w:bookmarkStart w:id="225" w:name="_Toc22915323"/>
      <w:r>
        <w:rPr>
          <w:rStyle w:val="CharSectno"/>
        </w:rPr>
        <w:t>38</w:t>
      </w:r>
      <w:r>
        <w:t>.</w:t>
      </w:r>
      <w:r>
        <w:tab/>
        <w:t>Former Board abolished</w:t>
      </w:r>
      <w:bookmarkEnd w:id="223"/>
      <w:bookmarkEnd w:id="224"/>
      <w:bookmarkEnd w:id="225"/>
    </w:p>
    <w:p>
      <w:pPr>
        <w:pStyle w:val="Subsection"/>
      </w:pPr>
      <w:r>
        <w:tab/>
      </w:r>
      <w:r>
        <w:tab/>
        <w:t>Subject to sections 44 and 45, at the beginning of the commencement day, the former Board is abolished and its members go out of office.</w:t>
      </w:r>
    </w:p>
    <w:p>
      <w:pPr>
        <w:pStyle w:val="Footnotesection"/>
      </w:pPr>
      <w:r>
        <w:tab/>
        <w:t>[Section 38 inserted: No. 58 of 2010 s. 30.]</w:t>
      </w:r>
    </w:p>
    <w:p>
      <w:pPr>
        <w:pStyle w:val="Heading5"/>
      </w:pPr>
      <w:bookmarkStart w:id="226" w:name="_Toc32246804"/>
      <w:bookmarkStart w:id="227" w:name="_Toc404158450"/>
      <w:bookmarkStart w:id="228" w:name="_Toc22915324"/>
      <w:r>
        <w:rPr>
          <w:rStyle w:val="CharSectno"/>
        </w:rPr>
        <w:t>39</w:t>
      </w:r>
      <w:r>
        <w:t>.</w:t>
      </w:r>
      <w:r>
        <w:tab/>
        <w:t>References to former Board or Registrar</w:t>
      </w:r>
      <w:bookmarkEnd w:id="226"/>
      <w:bookmarkEnd w:id="227"/>
      <w:bookmarkEnd w:id="228"/>
    </w:p>
    <w:p>
      <w:pPr>
        <w:pStyle w:val="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Footnotesection"/>
      </w:pPr>
      <w:r>
        <w:tab/>
        <w:t>[Section 39 inserted: No. 58 of 2010 s. 30.]</w:t>
      </w:r>
    </w:p>
    <w:p>
      <w:pPr>
        <w:pStyle w:val="Heading5"/>
      </w:pPr>
      <w:bookmarkStart w:id="229" w:name="_Toc32246805"/>
      <w:bookmarkStart w:id="230" w:name="_Toc404158451"/>
      <w:bookmarkStart w:id="231" w:name="_Toc22915325"/>
      <w:r>
        <w:rPr>
          <w:rStyle w:val="CharSectno"/>
        </w:rPr>
        <w:t>40</w:t>
      </w:r>
      <w:r>
        <w:t>.</w:t>
      </w:r>
      <w:r>
        <w:tab/>
        <w:t>Immunity continues</w:t>
      </w:r>
      <w:bookmarkEnd w:id="229"/>
      <w:bookmarkEnd w:id="230"/>
      <w:bookmarkEnd w:id="231"/>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40 inserted: No. 58 of 2010 s. 30.]</w:t>
      </w:r>
    </w:p>
    <w:p>
      <w:pPr>
        <w:pStyle w:val="Heading5"/>
      </w:pPr>
      <w:bookmarkStart w:id="232" w:name="_Toc32246806"/>
      <w:bookmarkStart w:id="233" w:name="_Toc404158452"/>
      <w:bookmarkStart w:id="234" w:name="_Toc22915326"/>
      <w:r>
        <w:rPr>
          <w:rStyle w:val="CharSectno"/>
        </w:rPr>
        <w:t>41</w:t>
      </w:r>
      <w:r>
        <w:t>.</w:t>
      </w:r>
      <w:r>
        <w:tab/>
        <w:t>Notices of maximum amounts of remuneration</w:t>
      </w:r>
      <w:bookmarkEnd w:id="232"/>
      <w:bookmarkEnd w:id="233"/>
      <w:bookmarkEnd w:id="234"/>
    </w:p>
    <w:p>
      <w:pPr>
        <w:pStyle w:val="Subsection"/>
      </w:pPr>
      <w:r>
        <w:tab/>
      </w:r>
      <w:r>
        <w:tab/>
        <w:t xml:space="preserve">A notice published in the </w:t>
      </w:r>
      <w:r>
        <w:rPr>
          <w:i/>
          <w:iCs/>
        </w:rPr>
        <w:t>Gazette</w:t>
      </w:r>
      <w:r>
        <w:t xml:space="preserve"> by the Board under section 25 is taken to have been published by the Commissioner.</w:t>
      </w:r>
    </w:p>
    <w:p>
      <w:pPr>
        <w:pStyle w:val="Footnotesection"/>
      </w:pPr>
      <w:r>
        <w:tab/>
        <w:t>[Section 41 inserted: No. 58 of 2010 s. 30.]</w:t>
      </w:r>
    </w:p>
    <w:p>
      <w:pPr>
        <w:pStyle w:val="Heading5"/>
      </w:pPr>
      <w:bookmarkStart w:id="235" w:name="_Toc32246807"/>
      <w:bookmarkStart w:id="236" w:name="_Toc404158453"/>
      <w:bookmarkStart w:id="237" w:name="_Toc22915327"/>
      <w:r>
        <w:rPr>
          <w:rStyle w:val="CharSectno"/>
        </w:rPr>
        <w:t>42</w:t>
      </w:r>
      <w:r>
        <w:t>.</w:t>
      </w:r>
      <w:r>
        <w:tab/>
        <w:t>Unfinished proceedings by former Registrar</w:t>
      </w:r>
      <w:bookmarkEnd w:id="235"/>
      <w:bookmarkEnd w:id="236"/>
      <w:bookmarkEnd w:id="237"/>
    </w:p>
    <w:p>
      <w:pPr>
        <w:pStyle w:val="Subsection"/>
      </w:pPr>
      <w:r>
        <w:tab/>
      </w:r>
      <w:r>
        <w:tab/>
        <w:t>Proceedings taken by the former Registrar under section 35 that are not complete at the commencement day are to continue under the direction and control of the Commissioner.</w:t>
      </w:r>
    </w:p>
    <w:p>
      <w:pPr>
        <w:pStyle w:val="Footnotesection"/>
      </w:pPr>
      <w:r>
        <w:tab/>
        <w:t>[Section 42 inserted: No. 58 of 2010 s. 30.]</w:t>
      </w:r>
    </w:p>
    <w:p>
      <w:pPr>
        <w:pStyle w:val="Heading5"/>
      </w:pPr>
      <w:bookmarkStart w:id="238" w:name="_Toc32246808"/>
      <w:bookmarkStart w:id="239" w:name="_Toc404158454"/>
      <w:bookmarkStart w:id="240" w:name="_Toc22915328"/>
      <w:r>
        <w:rPr>
          <w:rStyle w:val="CharSectno"/>
        </w:rPr>
        <w:t>43</w:t>
      </w:r>
      <w:r>
        <w:t>.</w:t>
      </w:r>
      <w:r>
        <w:tab/>
        <w:t>Unfinished proceedings by former Board</w:t>
      </w:r>
      <w:bookmarkEnd w:id="238"/>
      <w:bookmarkEnd w:id="239"/>
      <w:bookmarkEnd w:id="240"/>
    </w:p>
    <w:p>
      <w:pPr>
        <w:pStyle w:val="Subsection"/>
      </w:pPr>
      <w:r>
        <w:tab/>
        <w:t>(1)</w:t>
      </w:r>
      <w:r>
        <w:tab/>
        <w:t>Proceedings before the former Board under Part II Division 2 of the Act as it was prior to the commencement day that are not complete by the commencement day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Proceedings before the State Administrative Tribunal or another court commenced by allegation against a licensed valuer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43 inserted: No. 58 of 2010 s. 30.]</w:t>
      </w:r>
    </w:p>
    <w:p>
      <w:pPr>
        <w:pStyle w:val="Heading5"/>
      </w:pPr>
      <w:bookmarkStart w:id="241" w:name="_Toc32246809"/>
      <w:bookmarkStart w:id="242" w:name="_Toc404158455"/>
      <w:bookmarkStart w:id="243" w:name="_Toc22915329"/>
      <w:r>
        <w:rPr>
          <w:rStyle w:val="CharSectno"/>
        </w:rPr>
        <w:t>44</w:t>
      </w:r>
      <w:r>
        <w:t>.</w:t>
      </w:r>
      <w:r>
        <w:tab/>
        <w:t>Winding</w:t>
      </w:r>
      <w:r>
        <w:noBreakHyphen/>
        <w:t>up by former Board</w:t>
      </w:r>
      <w:bookmarkEnd w:id="241"/>
      <w:bookmarkEnd w:id="242"/>
      <w:bookmarkEnd w:id="243"/>
    </w:p>
    <w:p>
      <w:pPr>
        <w:pStyle w:val="Subsection"/>
      </w:pPr>
      <w:r>
        <w:tab/>
      </w:r>
      <w:r>
        <w:tab/>
        <w:t>As soon as reasonably practicable after the commencement day, the Board is to wind</w:t>
      </w:r>
      <w:r>
        <w:noBreakHyphen/>
        <w:t>up its affairs and in particular, but without limiting what may be done to wind</w:t>
      </w:r>
      <w:r>
        <w:noBreakHyphen/>
        <w:t>up its affairs, the Board is to apply its assets, together with any moneys in hand, in —</w:t>
      </w:r>
    </w:p>
    <w:p>
      <w:pPr>
        <w:pStyle w:val="Indenta"/>
      </w:pPr>
      <w:r>
        <w:tab/>
        <w:t>(a)</w:t>
      </w:r>
      <w:r>
        <w:tab/>
        <w:t>discharging its liabilities; and</w:t>
      </w:r>
    </w:p>
    <w:p>
      <w:pPr>
        <w:pStyle w:val="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Footnotesection"/>
      </w:pPr>
      <w:r>
        <w:tab/>
        <w:t>[Section 44 inserted: No. 58 of 2010 s. 30.]</w:t>
      </w:r>
    </w:p>
    <w:p>
      <w:pPr>
        <w:pStyle w:val="Heading5"/>
      </w:pPr>
      <w:bookmarkStart w:id="244" w:name="_Toc32246810"/>
      <w:bookmarkStart w:id="245" w:name="_Toc404158456"/>
      <w:bookmarkStart w:id="246" w:name="_Toc22915330"/>
      <w:r>
        <w:rPr>
          <w:rStyle w:val="CharSectno"/>
        </w:rPr>
        <w:t>45</w:t>
      </w:r>
      <w:r>
        <w:t>.</w:t>
      </w:r>
      <w:r>
        <w:tab/>
        <w:t>Final report by former Board</w:t>
      </w:r>
      <w:bookmarkEnd w:id="244"/>
      <w:bookmarkEnd w:id="245"/>
      <w:bookmarkEnd w:id="246"/>
    </w:p>
    <w:p>
      <w:pPr>
        <w:pStyle w:val="Subsection"/>
      </w:pPr>
      <w:r>
        <w:tab/>
        <w:t>(1)</w:t>
      </w:r>
      <w:r>
        <w:tab/>
        <w:t>As soon as reasonably practical after the Board is satisfied that the winding</w:t>
      </w:r>
      <w:r>
        <w:noBreakHyphen/>
        <w:t>up of its affairs is concluded, it is to —</w:t>
      </w:r>
    </w:p>
    <w:p>
      <w:pPr>
        <w:pStyle w:val="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Indenta"/>
      </w:pPr>
      <w:r>
        <w:tab/>
        <w:t>(b)</w:t>
      </w:r>
      <w:r>
        <w:tab/>
        <w:t>deliver to the chief executive officer all records and information in its possession or under its control.</w:t>
      </w:r>
    </w:p>
    <w:p>
      <w:pPr>
        <w:pStyle w:val="Subsection"/>
      </w:pPr>
      <w:r>
        <w:tab/>
        <w:t>(2)</w:t>
      </w:r>
      <w:r>
        <w:tab/>
        <w:t>The chief executive officer is to include the final report submitted under subsection (1) in the department’s annual report for that financial year.</w:t>
      </w:r>
    </w:p>
    <w:p>
      <w:pPr>
        <w:pStyle w:val="Footnotesection"/>
      </w:pPr>
      <w:r>
        <w:tab/>
        <w:t>[Section 45 inserted: No. 58 of 2010 s. 30.]</w:t>
      </w:r>
    </w:p>
    <w:p>
      <w:pPr>
        <w:pStyle w:val="Heading5"/>
      </w:pPr>
      <w:bookmarkStart w:id="247" w:name="_Toc32246811"/>
      <w:bookmarkStart w:id="248" w:name="_Toc404158457"/>
      <w:bookmarkStart w:id="249" w:name="_Toc22915331"/>
      <w:r>
        <w:rPr>
          <w:rStyle w:val="CharSectno"/>
        </w:rPr>
        <w:t>46</w:t>
      </w:r>
      <w:r>
        <w:t>.</w:t>
      </w:r>
      <w:r>
        <w:tab/>
        <w:t>Transitional regulations</w:t>
      </w:r>
      <w:bookmarkEnd w:id="247"/>
      <w:bookmarkEnd w:id="248"/>
      <w:bookmarkEnd w:id="249"/>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46 inserted: No. 58 of 2010 s. 30.]</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250" w:name="_Toc32243073"/>
      <w:bookmarkStart w:id="251" w:name="_Toc32243121"/>
      <w:bookmarkStart w:id="252" w:name="_Toc32246812"/>
      <w:bookmarkStart w:id="253" w:name="_Toc404158458"/>
      <w:bookmarkStart w:id="254" w:name="_Toc419816068"/>
      <w:bookmarkStart w:id="255" w:name="_Toc419816114"/>
      <w:bookmarkStart w:id="256" w:name="_Toc468700439"/>
      <w:bookmarkStart w:id="257" w:name="_Toc486575323"/>
      <w:bookmarkStart w:id="258" w:name="_Toc22915332"/>
      <w:r>
        <w:t>Notes</w:t>
      </w:r>
      <w:bookmarkEnd w:id="250"/>
      <w:bookmarkEnd w:id="251"/>
      <w:bookmarkEnd w:id="252"/>
      <w:bookmarkEnd w:id="253"/>
      <w:bookmarkEnd w:id="254"/>
      <w:bookmarkEnd w:id="255"/>
      <w:bookmarkEnd w:id="256"/>
      <w:bookmarkEnd w:id="257"/>
      <w:bookmarkEnd w:id="258"/>
    </w:p>
    <w:p>
      <w:pPr>
        <w:pStyle w:val="nStatement"/>
      </w:pPr>
      <w:del w:id="259" w:author="svcMRProcess" w:date="2020-02-11T15:47:00Z">
        <w:r>
          <w:rPr>
            <w:snapToGrid w:val="0"/>
            <w:vertAlign w:val="superscript"/>
          </w:rPr>
          <w:delText>1</w:delText>
        </w:r>
        <w:r>
          <w:rPr>
            <w:snapToGrid w:val="0"/>
          </w:rPr>
          <w:tab/>
        </w:r>
      </w:del>
      <w:r>
        <w:t xml:space="preserve">This is a compilation of the </w:t>
      </w:r>
      <w:r>
        <w:rPr>
          <w:i/>
          <w:noProof/>
        </w:rPr>
        <w:t>Land Valuers Licensing Act 1978</w:t>
      </w:r>
      <w:r>
        <w:t xml:space="preserve"> and includes </w:t>
      </w:r>
      <w:del w:id="260" w:author="svcMRProcess" w:date="2020-02-11T15:47:00Z">
        <w:r>
          <w:rPr>
            <w:snapToGrid w:val="0"/>
          </w:rPr>
          <w:delText xml:space="preserve">the </w:delText>
        </w:r>
      </w:del>
      <w:r>
        <w:t xml:space="preserve">amendments made by </w:t>
      </w:r>
      <w:del w:id="261" w:author="svcMRProcess" w:date="2020-02-11T15:47:00Z">
        <w:r>
          <w:rPr>
            <w:snapToGrid w:val="0"/>
          </w:rPr>
          <w:delText xml:space="preserve">the </w:delText>
        </w:r>
      </w:del>
      <w:r>
        <w:t>other written laws</w:t>
      </w:r>
      <w:del w:id="262" w:author="svcMRProcess" w:date="2020-02-11T15:47:00Z">
        <w:r>
          <w:rPr>
            <w:snapToGrid w:val="0"/>
          </w:rPr>
          <w:delText xml:space="preserve"> referred to in the following table </w:delText>
        </w:r>
        <w:r>
          <w:rPr>
            <w:snapToGrid w:val="0"/>
            <w:vertAlign w:val="superscript"/>
          </w:rPr>
          <w:delText>1a</w:delText>
        </w:r>
        <w:r>
          <w:rPr>
            <w:snapToGrid w:val="0"/>
          </w:rPr>
          <w:delText>.  The table also contains</w:delText>
        </w:r>
      </w:del>
      <w:ins w:id="263" w:author="svcMRProcess" w:date="2020-02-11T15:47:00Z">
        <w:r>
          <w:t>. For provisions that have come into operation, and for</w:t>
        </w:r>
      </w:ins>
      <w:r>
        <w:t xml:space="preserve"> information about any </w:t>
      </w:r>
      <w:del w:id="264" w:author="svcMRProcess" w:date="2020-02-11T15:47:00Z">
        <w:r>
          <w:rPr>
            <w:snapToGrid w:val="0"/>
          </w:rPr>
          <w:delText>reprint</w:delText>
        </w:r>
      </w:del>
      <w:ins w:id="265" w:author="svcMRProcess" w:date="2020-02-11T15:47:00Z">
        <w:r>
          <w:t>reprints, see the compilation table</w:t>
        </w:r>
      </w:ins>
      <w:r>
        <w:t>.</w:t>
      </w:r>
    </w:p>
    <w:p>
      <w:pPr>
        <w:pStyle w:val="nHeading3"/>
      </w:pPr>
      <w:bookmarkStart w:id="266" w:name="_Toc32246813"/>
      <w:bookmarkStart w:id="267" w:name="_Toc404158459"/>
      <w:bookmarkStart w:id="268" w:name="_Toc22915333"/>
      <w:r>
        <w:t>Compilation table</w:t>
      </w:r>
      <w:bookmarkEnd w:id="266"/>
      <w:bookmarkEnd w:id="267"/>
      <w:bookmarkEnd w:id="26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Land Valuers Licensing Act 1978</w:t>
            </w:r>
          </w:p>
        </w:tc>
        <w:tc>
          <w:tcPr>
            <w:tcW w:w="1134" w:type="dxa"/>
            <w:tcBorders>
              <w:top w:val="single" w:sz="8" w:space="0" w:color="auto"/>
            </w:tcBorders>
          </w:tcPr>
          <w:p>
            <w:pPr>
              <w:pStyle w:val="nTable"/>
              <w:spacing w:after="40"/>
            </w:pPr>
            <w:r>
              <w:t>55 of 1978</w:t>
            </w:r>
          </w:p>
        </w:tc>
        <w:tc>
          <w:tcPr>
            <w:tcW w:w="1134" w:type="dxa"/>
            <w:tcBorders>
              <w:top w:val="single" w:sz="8" w:space="0" w:color="auto"/>
            </w:tcBorders>
          </w:tcPr>
          <w:p>
            <w:pPr>
              <w:pStyle w:val="nTable"/>
              <w:spacing w:after="40"/>
            </w:pPr>
            <w:r>
              <w:t>6 Sep 1978</w:t>
            </w:r>
          </w:p>
        </w:tc>
        <w:tc>
          <w:tcPr>
            <w:tcW w:w="2552" w:type="dxa"/>
            <w:tcBorders>
              <w:top w:val="single" w:sz="8" w:space="0" w:color="auto"/>
            </w:tcBorders>
          </w:tcPr>
          <w:p>
            <w:pPr>
              <w:pStyle w:val="nTable"/>
              <w:spacing w:after="40"/>
            </w:pPr>
            <w:r>
              <w:t xml:space="preserve">1 Jul 1979 (see s. 2 and </w:t>
            </w:r>
            <w:r>
              <w:rPr>
                <w:i/>
              </w:rPr>
              <w:t>Gazette</w:t>
            </w:r>
            <w:r>
              <w:t xml:space="preserve"> 22 Jun 1979 p. 1677)</w:t>
            </w:r>
          </w:p>
        </w:tc>
      </w:tr>
      <w:tr>
        <w:trPr>
          <w:cantSplit/>
        </w:trPr>
        <w:tc>
          <w:tcPr>
            <w:tcW w:w="2269" w:type="dxa"/>
          </w:tcPr>
          <w:p>
            <w:pPr>
              <w:pStyle w:val="nTable"/>
              <w:spacing w:after="40"/>
              <w:ind w:right="113"/>
              <w:rPr>
                <w:i/>
                <w:vertAlign w:val="superscript"/>
              </w:rPr>
            </w:pPr>
            <w:r>
              <w:rPr>
                <w:i/>
              </w:rPr>
              <w:t>Land Valuers Licensing Amendment Act 1984</w:t>
            </w:r>
            <w:r>
              <w:rPr>
                <w:i/>
                <w:vertAlign w:val="superscript"/>
              </w:rPr>
              <w:t> </w:t>
            </w:r>
            <w:del w:id="269" w:author="svcMRProcess" w:date="2020-02-11T15:47:00Z">
              <w:r>
                <w:rPr>
                  <w:vertAlign w:val="superscript"/>
                </w:rPr>
                <w:delText>2</w:delText>
              </w:r>
            </w:del>
            <w:ins w:id="270" w:author="svcMRProcess" w:date="2020-02-11T15:47:00Z">
              <w:r>
                <w:rPr>
                  <w:vertAlign w:val="superscript"/>
                </w:rPr>
                <w:t>1</w:t>
              </w:r>
            </w:ins>
          </w:p>
        </w:tc>
        <w:tc>
          <w:tcPr>
            <w:tcW w:w="1134" w:type="dxa"/>
          </w:tcPr>
          <w:p>
            <w:pPr>
              <w:pStyle w:val="nTable"/>
              <w:spacing w:after="40"/>
            </w:pPr>
            <w:r>
              <w:t>15 of 1984</w:t>
            </w:r>
          </w:p>
        </w:tc>
        <w:tc>
          <w:tcPr>
            <w:tcW w:w="1134" w:type="dxa"/>
          </w:tcPr>
          <w:p>
            <w:pPr>
              <w:pStyle w:val="nTable"/>
              <w:spacing w:after="40"/>
            </w:pPr>
            <w:r>
              <w:t>31 May 1984</w:t>
            </w:r>
          </w:p>
        </w:tc>
        <w:tc>
          <w:tcPr>
            <w:tcW w:w="2552" w:type="dxa"/>
          </w:tcPr>
          <w:p>
            <w:pPr>
              <w:pStyle w:val="nTable"/>
              <w:spacing w:after="40"/>
            </w:pPr>
            <w:r>
              <w:t>Act other than s. 3 and 7: 28 Jun 1984 (see s. 2(1));</w:t>
            </w:r>
            <w:r>
              <w:br/>
              <w:t xml:space="preserve">s. 3 and 7: 26 Jul 1985 (see s. 2(2) and </w:t>
            </w:r>
            <w:r>
              <w:rPr>
                <w:i/>
              </w:rPr>
              <w:t>Gazette</w:t>
            </w:r>
            <w:r>
              <w:t xml:space="preserve"> 26 Jul 1985 p. 2639)</w:t>
            </w:r>
          </w:p>
        </w:tc>
      </w:tr>
      <w:tr>
        <w:trPr>
          <w:cantSplit/>
        </w:trPr>
        <w:tc>
          <w:tcPr>
            <w:tcW w:w="2269" w:type="dxa"/>
          </w:tcPr>
          <w:p>
            <w:pPr>
              <w:pStyle w:val="nTable"/>
              <w:spacing w:after="40"/>
              <w:ind w:right="113"/>
            </w:pPr>
            <w:r>
              <w:rPr>
                <w:i/>
              </w:rPr>
              <w:t>Acts Amendment (Legal Practitioners, Costs and Taxation) Act 1987</w:t>
            </w:r>
            <w:r>
              <w:t xml:space="preserve"> Pt. XI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13"/>
            </w:pPr>
            <w:r>
              <w:rPr>
                <w:i/>
              </w:rPr>
              <w:t xml:space="preserve">Acts Amendment (Public Sector Management) Act 1994 </w:t>
            </w:r>
            <w:r>
              <w:t>s. 3(1)</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rPr>
                <w:vertAlign w:val="superscript"/>
              </w:rPr>
            </w:pPr>
            <w:r>
              <w:rPr>
                <w:i/>
              </w:rPr>
              <w:t xml:space="preserve">Business Licensing Amendment Act 1995 </w:t>
            </w:r>
            <w:r>
              <w:t>Pt. 6</w:t>
            </w:r>
            <w:r>
              <w:rPr>
                <w:vertAlign w:val="superscript"/>
              </w:rPr>
              <w:t> </w:t>
            </w:r>
            <w:del w:id="271" w:author="svcMRProcess" w:date="2020-02-11T15:47:00Z">
              <w:r>
                <w:rPr>
                  <w:vertAlign w:val="superscript"/>
                </w:rPr>
                <w:delText>3</w:delText>
              </w:r>
            </w:del>
            <w:ins w:id="272" w:author="svcMRProcess" w:date="2020-02-11T15:47:00Z">
              <w:r>
                <w:rPr>
                  <w:vertAlign w:val="superscript"/>
                </w:rPr>
                <w:t>2</w:t>
              </w:r>
            </w:ins>
          </w:p>
        </w:tc>
        <w:tc>
          <w:tcPr>
            <w:tcW w:w="1134" w:type="dxa"/>
          </w:tcPr>
          <w:p>
            <w:pPr>
              <w:pStyle w:val="nTable"/>
              <w:spacing w:after="40"/>
            </w:pPr>
            <w:r>
              <w:t>56 of 1995</w:t>
            </w:r>
          </w:p>
        </w:tc>
        <w:tc>
          <w:tcPr>
            <w:tcW w:w="1134" w:type="dxa"/>
          </w:tcPr>
          <w:p>
            <w:pPr>
              <w:pStyle w:val="nTable"/>
              <w:spacing w:after="40"/>
            </w:pPr>
            <w:r>
              <w:t>20 Dec 1995</w:t>
            </w:r>
          </w:p>
        </w:tc>
        <w:tc>
          <w:tcPr>
            <w:tcW w:w="2552" w:type="dxa"/>
          </w:tcPr>
          <w:p>
            <w:pPr>
              <w:pStyle w:val="nTable"/>
              <w:spacing w:after="40"/>
            </w:pPr>
            <w:r>
              <w:t xml:space="preserve">1 Jul 1996 (see s. 2(2) and </w:t>
            </w:r>
            <w:r>
              <w:rPr>
                <w:i/>
              </w:rPr>
              <w:t>Gazette</w:t>
            </w:r>
            <w:r>
              <w:t xml:space="preserve"> 1 Jul 1996 p. 3179)</w:t>
            </w:r>
          </w:p>
        </w:tc>
      </w:tr>
      <w:tr>
        <w:trPr>
          <w:cantSplit/>
        </w:trPr>
        <w:tc>
          <w:tcPr>
            <w:tcW w:w="7089" w:type="dxa"/>
            <w:gridSpan w:val="4"/>
          </w:tcPr>
          <w:p>
            <w:pPr>
              <w:pStyle w:val="nTable"/>
              <w:spacing w:after="40"/>
            </w:pPr>
            <w:r>
              <w:rPr>
                <w:b/>
              </w:rPr>
              <w:t xml:space="preserve">Reprint of the </w:t>
            </w:r>
            <w:r>
              <w:rPr>
                <w:b/>
                <w:i/>
              </w:rPr>
              <w:t>Land Valuers Licensing Act 1978</w:t>
            </w:r>
            <w:r>
              <w:rPr>
                <w:b/>
              </w:rPr>
              <w:t xml:space="preserve"> as at 3 May 2002</w:t>
            </w:r>
            <w:r>
              <w:br/>
              <w:t>(includes amendments listed above)</w:t>
            </w:r>
          </w:p>
        </w:tc>
      </w:tr>
      <w:tr>
        <w:trPr>
          <w:cantSplit/>
        </w:trPr>
        <w:tc>
          <w:tcPr>
            <w:tcW w:w="2269" w:type="dxa"/>
          </w:tcPr>
          <w:p>
            <w:pPr>
              <w:pStyle w:val="nTable"/>
              <w:spacing w:after="40"/>
              <w:ind w:right="113"/>
            </w:pPr>
            <w:r>
              <w:rPr>
                <w:i/>
              </w:rPr>
              <w:t xml:space="preserve">Acts Amendment and Repeal (Courts and Legal Practice) Act 2003 </w:t>
            </w:r>
            <w:r>
              <w:t>s. 44 and 115</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9" w:type="dxa"/>
          </w:tcPr>
          <w:p>
            <w:pPr>
              <w:pStyle w:val="nTable"/>
              <w:spacing w:after="40"/>
              <w:ind w:right="113"/>
              <w:rPr>
                <w:vertAlign w:val="superscript"/>
              </w:rPr>
            </w:pPr>
            <w:r>
              <w:rPr>
                <w:i/>
              </w:rPr>
              <w:t>Statutes (Repeals and Minor Amendments) Act 2003</w:t>
            </w:r>
            <w:r>
              <w:t xml:space="preserve"> s. 74</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9"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70</w:t>
            </w:r>
            <w:r>
              <w:rPr>
                <w:snapToGrid w:val="0"/>
                <w:vertAlign w:val="superscript"/>
              </w:rPr>
              <w:t> </w:t>
            </w:r>
            <w:del w:id="273" w:author="svcMRProcess" w:date="2020-02-11T15:47:00Z">
              <w:r>
                <w:rPr>
                  <w:snapToGrid w:val="0"/>
                  <w:vertAlign w:val="superscript"/>
                </w:rPr>
                <w:delText>4</w:delText>
              </w:r>
            </w:del>
            <w:ins w:id="274" w:author="svcMRProcess" w:date="2020-02-11T15:47:00Z">
              <w:r>
                <w:rPr>
                  <w:snapToGrid w:val="0"/>
                  <w:vertAlign w:val="superscript"/>
                </w:rPr>
                <w:t>3</w:t>
              </w:r>
            </w:ins>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9" w:type="dxa"/>
          </w:tcPr>
          <w:p>
            <w:pPr>
              <w:pStyle w:val="nTable"/>
              <w:spacing w:after="40"/>
              <w:ind w:right="113"/>
              <w:rPr>
                <w:i/>
                <w:snapToGrid w:val="0"/>
                <w:vertAlign w:val="superscript"/>
              </w:rPr>
            </w:pPr>
            <w:r>
              <w:rPr>
                <w:i/>
                <w:snapToGrid w:val="0"/>
              </w:rPr>
              <w:t>Criminal Procedure and Appeals (Consequential and Other Provisions) Act 2004</w:t>
            </w:r>
            <w:r>
              <w:rPr>
                <w:snapToGrid w:val="0"/>
              </w:rPr>
              <w:t xml:space="preserve"> s. 78 </w:t>
            </w:r>
            <w:del w:id="275" w:author="svcMRProcess" w:date="2020-02-11T15:47:00Z">
              <w:r>
                <w:rPr>
                  <w:snapToGrid w:val="0"/>
                  <w:vertAlign w:val="superscript"/>
                </w:rPr>
                <w:delText>5</w:delText>
              </w:r>
            </w:del>
            <w:ins w:id="276" w:author="svcMRProcess" w:date="2020-02-11T15:47:00Z">
              <w:r>
                <w:rPr>
                  <w:snapToGrid w:val="0"/>
                  <w:vertAlign w:val="superscript"/>
                </w:rPr>
                <w:t>4</w:t>
              </w:r>
            </w:ins>
          </w:p>
        </w:tc>
        <w:tc>
          <w:tcPr>
            <w:tcW w:w="1134" w:type="dxa"/>
          </w:tcPr>
          <w:p>
            <w:pPr>
              <w:pStyle w:val="nTable"/>
              <w:spacing w:after="40"/>
            </w:pPr>
            <w:r>
              <w:rPr>
                <w:snapToGrid w:val="0"/>
              </w:rPr>
              <w:t>84 of 2004 (as amended by No. 2 of 2008 s. 78(2)(b))</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2:  The </w:t>
            </w:r>
            <w:r>
              <w:rPr>
                <w:b/>
                <w:i/>
              </w:rPr>
              <w:t>Land Valuers Licensing Act 1978</w:t>
            </w:r>
            <w:r>
              <w:rPr>
                <w:b/>
              </w:rPr>
              <w:t xml:space="preserve"> as at 12 May 2006</w:t>
            </w:r>
            <w:r>
              <w:br/>
              <w:t>(includes amendments listed above)</w:t>
            </w:r>
          </w:p>
        </w:tc>
      </w:tr>
      <w:tr>
        <w:trPr>
          <w:cantSplit/>
        </w:trPr>
        <w:tc>
          <w:tcPr>
            <w:tcW w:w="2269" w:type="dxa"/>
          </w:tcPr>
          <w:p>
            <w:pPr>
              <w:pStyle w:val="nTable"/>
              <w:spacing w:after="40"/>
              <w:ind w:right="113"/>
              <w:rPr>
                <w:iCs/>
                <w:snapToGrid w:val="0"/>
              </w:rPr>
            </w:pPr>
            <w:r>
              <w:rPr>
                <w:i/>
                <w:snapToGrid w:val="0"/>
              </w:rPr>
              <w:t>Consumer Protection Legislation Amendment and Repeal Act 2006</w:t>
            </w:r>
            <w:r>
              <w:rPr>
                <w:iCs/>
                <w:snapToGrid w:val="0"/>
              </w:rPr>
              <w:t xml:space="preserve"> Pt. 6</w:t>
            </w:r>
          </w:p>
        </w:tc>
        <w:tc>
          <w:tcPr>
            <w:tcW w:w="1134" w:type="dxa"/>
          </w:tcPr>
          <w:p>
            <w:pPr>
              <w:pStyle w:val="nTable"/>
              <w:spacing w:after="40"/>
            </w:pPr>
            <w:r>
              <w:rPr>
                <w:snapToGrid w:val="0"/>
              </w:rPr>
              <w:t>69 of 2006</w:t>
            </w:r>
          </w:p>
        </w:tc>
        <w:tc>
          <w:tcPr>
            <w:tcW w:w="1134" w:type="dxa"/>
          </w:tcPr>
          <w:p>
            <w:pPr>
              <w:pStyle w:val="nTable"/>
              <w:spacing w:after="40"/>
            </w:pPr>
            <w:r>
              <w:t>13 Dec 2006</w:t>
            </w:r>
          </w:p>
        </w:tc>
        <w:tc>
          <w:tcPr>
            <w:tcW w:w="2552" w:type="dxa"/>
          </w:tcPr>
          <w:p>
            <w:pPr>
              <w:pStyle w:val="nTable"/>
              <w:spacing w:after="40"/>
              <w:rPr>
                <w:spacing w:val="-2"/>
              </w:rPr>
            </w:pPr>
            <w:r>
              <w:rPr>
                <w:snapToGrid w:val="0"/>
              </w:rPr>
              <w:t xml:space="preserve">14 Jul 2007 (see s. 2 and </w:t>
            </w:r>
            <w:r>
              <w:rPr>
                <w:i/>
                <w:iCs/>
                <w:snapToGrid w:val="0"/>
              </w:rPr>
              <w:t>Gazette</w:t>
            </w:r>
            <w:r>
              <w:rPr>
                <w:snapToGrid w:val="0"/>
              </w:rPr>
              <w:t xml:space="preserve"> 13 Jul 2007 p. 3453)</w:t>
            </w:r>
          </w:p>
        </w:tc>
      </w:tr>
      <w:tr>
        <w:trPr>
          <w:cantSplit/>
        </w:trPr>
        <w:tc>
          <w:tcPr>
            <w:tcW w:w="2269" w:type="dxa"/>
          </w:tcPr>
          <w:p>
            <w:pPr>
              <w:pStyle w:val="nTable"/>
              <w:spacing w:after="40"/>
              <w:ind w:right="113"/>
              <w:rPr>
                <w:i/>
                <w:snapToGrid w:val="0"/>
                <w:vertAlign w:val="superscript"/>
              </w:rPr>
            </w:pPr>
            <w:r>
              <w:rPr>
                <w:i/>
                <w:snapToGrid w:val="0"/>
              </w:rPr>
              <w:t>Criminal Law and Evidence Amendment Act 2008</w:t>
            </w:r>
            <w:r>
              <w:rPr>
                <w:iCs/>
                <w:snapToGrid w:val="0"/>
              </w:rPr>
              <w:t xml:space="preserve"> s. 65</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right="113"/>
              <w:rPr>
                <w:i/>
                <w:snapToGrid w:val="0"/>
              </w:rPr>
            </w:pPr>
            <w:r>
              <w:rPr>
                <w:i/>
                <w:iCs/>
                <w:snapToGrid w:val="0"/>
              </w:rPr>
              <w:t>Legal Profession Act 2008</w:t>
            </w:r>
            <w:r>
              <w:rPr>
                <w:snapToGrid w:val="0"/>
              </w:rPr>
              <w:t xml:space="preserve"> s. 671</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9" w:type="dxa"/>
            <w:gridSpan w:val="4"/>
          </w:tcPr>
          <w:p>
            <w:pPr>
              <w:pStyle w:val="nTable"/>
              <w:spacing w:after="40"/>
              <w:rPr>
                <w:snapToGrid w:val="0"/>
                <w:spacing w:val="-2"/>
              </w:rPr>
            </w:pPr>
            <w:r>
              <w:rPr>
                <w:b/>
              </w:rPr>
              <w:t xml:space="preserve">Reprint 3:  The </w:t>
            </w:r>
            <w:r>
              <w:rPr>
                <w:b/>
                <w:i/>
              </w:rPr>
              <w:t>Land Valuers Licensing Act 1978</w:t>
            </w:r>
            <w:r>
              <w:rPr>
                <w:b/>
              </w:rPr>
              <w:t xml:space="preserve"> as at 17 Jul 2009</w:t>
            </w:r>
            <w:r>
              <w:b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49</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shd w:val="clear" w:color="auto" w:fill="auto"/>
          </w:tcPr>
          <w:p>
            <w:pPr>
              <w:pStyle w:val="nTable"/>
              <w:spacing w:after="40"/>
              <w:rPr>
                <w:i/>
                <w:snapToGrid w:val="0"/>
              </w:rPr>
            </w:pPr>
            <w:r>
              <w:rPr>
                <w:i/>
                <w:snapToGrid w:val="0"/>
              </w:rPr>
              <w:t>Acts Amendment (Fair Trading) Act 2010</w:t>
            </w:r>
            <w:r>
              <w:rPr>
                <w:snapToGrid w:val="0"/>
              </w:rPr>
              <w:t xml:space="preserve"> Pt. 3</w:t>
            </w:r>
          </w:p>
        </w:tc>
        <w:tc>
          <w:tcPr>
            <w:tcW w:w="1134" w:type="dxa"/>
            <w:shd w:val="clear" w:color="auto" w:fill="auto"/>
          </w:tcPr>
          <w:p>
            <w:pPr>
              <w:pStyle w:val="nTable"/>
              <w:spacing w:after="40"/>
            </w:pPr>
            <w:r>
              <w:t>58 of 2010</w:t>
            </w:r>
          </w:p>
        </w:tc>
        <w:tc>
          <w:tcPr>
            <w:tcW w:w="1134" w:type="dxa"/>
            <w:shd w:val="clear" w:color="auto" w:fill="auto"/>
          </w:tcPr>
          <w:p>
            <w:pPr>
              <w:pStyle w:val="nTable"/>
              <w:spacing w:after="40"/>
            </w:pPr>
            <w:r>
              <w:t>8 Dec 2010</w:t>
            </w:r>
          </w:p>
        </w:tc>
        <w:tc>
          <w:tcPr>
            <w:tcW w:w="2552" w:type="dxa"/>
            <w:shd w:val="clear" w:color="auto" w:fill="auto"/>
          </w:tcPr>
          <w:p>
            <w:pPr>
              <w:pStyle w:val="nTable"/>
              <w:spacing w:after="40"/>
            </w:pPr>
            <w:r>
              <w:t xml:space="preserve">1 Jul 2011 (see s. 2(c) and </w:t>
            </w:r>
            <w:r>
              <w:rPr>
                <w:i/>
              </w:rPr>
              <w:t>Gazette</w:t>
            </w:r>
            <w:r>
              <w:t xml:space="preserve"> 7 Jun 2011 p. 2057)</w:t>
            </w:r>
          </w:p>
        </w:tc>
      </w:tr>
      <w:tr>
        <w:trPr>
          <w:cantSplit/>
        </w:trPr>
        <w:tc>
          <w:tcPr>
            <w:tcW w:w="7089" w:type="dxa"/>
            <w:gridSpan w:val="4"/>
            <w:shd w:val="clear" w:color="auto" w:fill="auto"/>
          </w:tcPr>
          <w:p>
            <w:pPr>
              <w:pStyle w:val="nTable"/>
              <w:spacing w:after="40"/>
            </w:pPr>
            <w:r>
              <w:rPr>
                <w:b/>
              </w:rPr>
              <w:t xml:space="preserve">Reprint 4:  The </w:t>
            </w:r>
            <w:r>
              <w:rPr>
                <w:b/>
                <w:i/>
              </w:rPr>
              <w:t>Land Valuers Licensing Act 1978</w:t>
            </w:r>
            <w:r>
              <w:rPr>
                <w:b/>
              </w:rPr>
              <w:t xml:space="preserve"> as at 14 Oct  2011</w:t>
            </w:r>
            <w:r>
              <w:br/>
              <w:t xml:space="preserve">(includes amendments listed above) (correction to reprint in </w:t>
            </w:r>
            <w:r>
              <w:rPr>
                <w:i/>
              </w:rPr>
              <w:t>Gazette</w:t>
            </w:r>
            <w:r>
              <w:t xml:space="preserve"> 24 Aug 2012 p. 3959)</w:t>
            </w:r>
          </w:p>
        </w:tc>
      </w:tr>
      <w:tr>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5</w:t>
            </w:r>
          </w:p>
        </w:tc>
        <w:tc>
          <w:tcPr>
            <w:tcW w:w="1134" w:type="dxa"/>
            <w:shd w:val="clear" w:color="auto" w:fill="auto"/>
          </w:tcPr>
          <w:p>
            <w:pPr>
              <w:pStyle w:val="nTable"/>
              <w:spacing w:after="40"/>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2269" w:type="dxa"/>
            <w:shd w:val="clear" w:color="auto" w:fill="auto"/>
          </w:tcPr>
          <w:p>
            <w:pPr>
              <w:pStyle w:val="nTable"/>
              <w:spacing w:after="40"/>
              <w:rPr>
                <w:i/>
                <w:snapToGrid w:val="0"/>
              </w:rPr>
            </w:pPr>
            <w:r>
              <w:rPr>
                <w:i/>
              </w:rPr>
              <w:t>Licensing Provisions Amendment Act 2016</w:t>
            </w:r>
            <w:r>
              <w:t xml:space="preserve"> Pt. 4</w:t>
            </w:r>
            <w:r>
              <w:rPr>
                <w:vertAlign w:val="superscript"/>
              </w:rPr>
              <w:t> </w:t>
            </w:r>
          </w:p>
        </w:tc>
        <w:tc>
          <w:tcPr>
            <w:tcW w:w="1134" w:type="dxa"/>
            <w:shd w:val="clear" w:color="auto" w:fill="auto"/>
          </w:tcPr>
          <w:p>
            <w:pPr>
              <w:pStyle w:val="nTable"/>
              <w:spacing w:after="40"/>
              <w:rPr>
                <w:snapToGrid w:val="0"/>
              </w:rPr>
            </w:pPr>
            <w:r>
              <w:t>44 of 2016</w:t>
            </w:r>
          </w:p>
        </w:tc>
        <w:tc>
          <w:tcPr>
            <w:tcW w:w="1134" w:type="dxa"/>
            <w:shd w:val="clear" w:color="auto" w:fill="auto"/>
          </w:tcPr>
          <w:p>
            <w:pPr>
              <w:pStyle w:val="nTable"/>
              <w:spacing w:after="40"/>
              <w:rPr>
                <w:snapToGrid w:val="0"/>
              </w:rPr>
            </w:pPr>
            <w:r>
              <w:t>1 Dec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 xml:space="preserve">Gazette </w:t>
            </w:r>
            <w:r>
              <w:rPr>
                <w:snapToGrid w:val="0"/>
              </w:rPr>
              <w:t>30 Jun 2017 p. 3551)</w:t>
            </w:r>
          </w:p>
        </w:tc>
      </w:tr>
    </w:tbl>
    <w:p>
      <w:pPr>
        <w:pStyle w:val="nSubsection"/>
        <w:spacing w:before="360"/>
        <w:rPr>
          <w:del w:id="277" w:author="svcMRProcess" w:date="2020-02-11T15:47:00Z"/>
        </w:rPr>
      </w:pPr>
      <w:del w:id="278" w:author="svcMRProcess" w:date="2020-02-11T15:4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9" w:author="svcMRProcess" w:date="2020-02-11T15:47:00Z"/>
        </w:rPr>
      </w:pPr>
      <w:bookmarkStart w:id="280" w:name="_Toc22915334"/>
      <w:del w:id="281" w:author="svcMRProcess" w:date="2020-02-11T15:47:00Z">
        <w:r>
          <w:delText>Provisions that have not come into operation</w:delText>
        </w:r>
        <w:bookmarkEnd w:id="280"/>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4"/>
        <w:gridCol w:w="2553"/>
      </w:tblGrid>
      <w:tr>
        <w:trPr>
          <w:tblHeader/>
          <w:del w:id="282" w:author="svcMRProcess" w:date="2020-02-11T15:47:00Z"/>
        </w:trPr>
        <w:tc>
          <w:tcPr>
            <w:tcW w:w="2273" w:type="dxa"/>
          </w:tcPr>
          <w:p>
            <w:pPr>
              <w:pStyle w:val="nTable"/>
              <w:keepNext/>
              <w:spacing w:after="40"/>
              <w:rPr>
                <w:del w:id="283" w:author="svcMRProcess" w:date="2020-02-11T15:47:00Z"/>
                <w:b/>
              </w:rPr>
            </w:pPr>
            <w:del w:id="284" w:author="svcMRProcess" w:date="2020-02-11T15:47:00Z">
              <w:r>
                <w:rPr>
                  <w:b/>
                </w:rPr>
                <w:delText>Short title</w:delText>
              </w:r>
            </w:del>
          </w:p>
        </w:tc>
        <w:tc>
          <w:tcPr>
            <w:tcW w:w="1139" w:type="dxa"/>
          </w:tcPr>
          <w:p>
            <w:pPr>
              <w:pStyle w:val="nTable"/>
              <w:keepNext/>
              <w:spacing w:after="40"/>
              <w:rPr>
                <w:del w:id="285" w:author="svcMRProcess" w:date="2020-02-11T15:47:00Z"/>
                <w:b/>
              </w:rPr>
            </w:pPr>
            <w:del w:id="286" w:author="svcMRProcess" w:date="2020-02-11T15:47:00Z">
              <w:r>
                <w:rPr>
                  <w:b/>
                </w:rPr>
                <w:delText>Number and year</w:delText>
              </w:r>
            </w:del>
          </w:p>
        </w:tc>
        <w:tc>
          <w:tcPr>
            <w:tcW w:w="1134" w:type="dxa"/>
          </w:tcPr>
          <w:p>
            <w:pPr>
              <w:pStyle w:val="nTable"/>
              <w:keepNext/>
              <w:spacing w:after="40"/>
              <w:rPr>
                <w:del w:id="287" w:author="svcMRProcess" w:date="2020-02-11T15:47:00Z"/>
                <w:b/>
              </w:rPr>
            </w:pPr>
            <w:del w:id="288" w:author="svcMRProcess" w:date="2020-02-11T15:47:00Z">
              <w:r>
                <w:rPr>
                  <w:b/>
                </w:rPr>
                <w:delText>Assent</w:delText>
              </w:r>
            </w:del>
          </w:p>
        </w:tc>
        <w:tc>
          <w:tcPr>
            <w:tcW w:w="2553" w:type="dxa"/>
          </w:tcPr>
          <w:p>
            <w:pPr>
              <w:pStyle w:val="nTable"/>
              <w:keepNext/>
              <w:spacing w:after="40"/>
              <w:rPr>
                <w:del w:id="289" w:author="svcMRProcess" w:date="2020-02-11T15:47:00Z"/>
                <w:b/>
              </w:rPr>
            </w:pPr>
            <w:del w:id="290" w:author="svcMRProcess" w:date="2020-02-11T15:47:00Z">
              <w:r>
                <w:rPr>
                  <w:b/>
                </w:rPr>
                <w:delText>Commencement</w:delText>
              </w:r>
            </w:del>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shd w:val="clear" w:color="auto" w:fill="auto"/>
          </w:tcPr>
          <w:p>
            <w:pPr>
              <w:pStyle w:val="nTable"/>
              <w:spacing w:after="40"/>
            </w:pPr>
            <w:r>
              <w:rPr>
                <w:i/>
              </w:rPr>
              <w:t xml:space="preserve">Consumer Protection Legislation Amendment Act 2019 </w:t>
            </w:r>
            <w:r>
              <w:t>Pt.</w:t>
            </w:r>
            <w:del w:id="291" w:author="svcMRProcess" w:date="2020-02-11T15:47:00Z">
              <w:r>
                <w:delText xml:space="preserve"> </w:delText>
              </w:r>
            </w:del>
            <w:ins w:id="292" w:author="svcMRProcess" w:date="2020-02-11T15:47:00Z">
              <w:r>
                <w:t> </w:t>
              </w:r>
            </w:ins>
            <w:r>
              <w:t>7</w:t>
            </w:r>
            <w:del w:id="293" w:author="svcMRProcess" w:date="2020-02-11T15:47:00Z">
              <w:r>
                <w:delText> </w:delText>
              </w:r>
              <w:r>
                <w:rPr>
                  <w:vertAlign w:val="superscript"/>
                </w:rPr>
                <w:delText>6</w:delText>
              </w:r>
            </w:del>
          </w:p>
        </w:tc>
        <w:tc>
          <w:tcPr>
            <w:tcW w:w="1134" w:type="dxa"/>
            <w:tcBorders>
              <w:bottom w:val="single" w:sz="4" w:space="0" w:color="auto"/>
            </w:tcBorders>
            <w:shd w:val="clear" w:color="auto" w:fill="auto"/>
          </w:tcPr>
          <w:p>
            <w:pPr>
              <w:pStyle w:val="nTable"/>
              <w:spacing w:after="40"/>
            </w:pPr>
            <w:r>
              <w:t>25 of</w:t>
            </w:r>
            <w:del w:id="294" w:author="svcMRProcess" w:date="2020-02-11T15:47:00Z">
              <w:r>
                <w:delText xml:space="preserve"> </w:delText>
              </w:r>
            </w:del>
            <w:ins w:id="295" w:author="svcMRProcess" w:date="2020-02-11T15:47:00Z">
              <w:r>
                <w:t> </w:t>
              </w:r>
            </w:ins>
            <w:r>
              <w:t>2019</w:t>
            </w:r>
          </w:p>
        </w:tc>
        <w:tc>
          <w:tcPr>
            <w:tcW w:w="1134" w:type="dxa"/>
            <w:tcBorders>
              <w:bottom w:val="single" w:sz="4" w:space="0" w:color="auto"/>
            </w:tcBorders>
            <w:shd w:val="clear" w:color="auto" w:fill="auto"/>
          </w:tcPr>
          <w:p>
            <w:pPr>
              <w:pStyle w:val="nTable"/>
              <w:spacing w:after="40"/>
            </w:pPr>
            <w:r>
              <w:t>24</w:t>
            </w:r>
            <w:del w:id="296" w:author="svcMRProcess" w:date="2020-02-11T15:47:00Z">
              <w:r>
                <w:delText xml:space="preserve"> </w:delText>
              </w:r>
            </w:del>
            <w:ins w:id="297" w:author="svcMRProcess" w:date="2020-02-11T15:47:00Z">
              <w:r>
                <w:t> </w:t>
              </w:r>
            </w:ins>
            <w:r>
              <w:t>Oct</w:t>
            </w:r>
            <w:del w:id="298" w:author="svcMRProcess" w:date="2020-02-11T15:47:00Z">
              <w:r>
                <w:delText xml:space="preserve"> </w:delText>
              </w:r>
            </w:del>
            <w:ins w:id="299" w:author="svcMRProcess" w:date="2020-02-11T15:47:00Z">
              <w:r>
                <w:t> </w:t>
              </w:r>
            </w:ins>
            <w:r>
              <w:t>2019</w:t>
            </w:r>
          </w:p>
        </w:tc>
        <w:tc>
          <w:tcPr>
            <w:tcW w:w="2552" w:type="dxa"/>
            <w:tcBorders>
              <w:bottom w:val="single" w:sz="4" w:space="0" w:color="auto"/>
            </w:tcBorders>
            <w:shd w:val="clear" w:color="auto" w:fill="auto"/>
          </w:tcPr>
          <w:p>
            <w:pPr>
              <w:pStyle w:val="nTable"/>
              <w:spacing w:after="40"/>
              <w:rPr>
                <w:snapToGrid w:val="0"/>
              </w:rPr>
            </w:pPr>
            <w:del w:id="300" w:author="svcMRProcess" w:date="2020-02-11T15:47:00Z">
              <w:r>
                <w:rPr>
                  <w:snapToGrid w:val="0"/>
                </w:rPr>
                <w:delText>To be proclaimed</w:delText>
              </w:r>
            </w:del>
            <w:ins w:id="301" w:author="svcMRProcess" w:date="2020-02-11T15:47:00Z">
              <w:r>
                <w:rPr>
                  <w:snapToGrid w:val="0"/>
                </w:rPr>
                <w:t>1 Jan 2020</w:t>
              </w:r>
            </w:ins>
            <w:r>
              <w:rPr>
                <w:snapToGrid w:val="0"/>
              </w:rPr>
              <w:t xml:space="preserve"> (see s. 2(b</w:t>
            </w:r>
            <w:del w:id="302" w:author="svcMRProcess" w:date="2020-02-11T15:47:00Z">
              <w:r>
                <w:rPr>
                  <w:snapToGrid w:val="0"/>
                </w:rPr>
                <w:delText>))</w:delText>
              </w:r>
            </w:del>
            <w:ins w:id="303" w:author="svcMRProcess" w:date="2020-02-11T15:47:00Z">
              <w:r>
                <w:rPr>
                  <w:snapToGrid w:val="0"/>
                </w:rPr>
                <w:t xml:space="preserve">) and </w:t>
              </w:r>
              <w:r>
                <w:rPr>
                  <w:i/>
                  <w:snapToGrid w:val="0"/>
                </w:rPr>
                <w:t>Gazette</w:t>
              </w:r>
              <w:r>
                <w:rPr>
                  <w:snapToGrid w:val="0"/>
                </w:rPr>
                <w:t xml:space="preserve"> 24 Dec 2019 p. 4415)</w:t>
              </w:r>
            </w:ins>
          </w:p>
        </w:tc>
      </w:tr>
    </w:tbl>
    <w:p>
      <w:pPr>
        <w:pStyle w:val="nHeading3"/>
        <w:rPr>
          <w:ins w:id="304" w:author="svcMRProcess" w:date="2020-02-11T15:47:00Z"/>
        </w:rPr>
      </w:pPr>
      <w:bookmarkStart w:id="305" w:name="_Toc32246814"/>
      <w:del w:id="306" w:author="svcMRProcess" w:date="2020-02-11T15:47:00Z">
        <w:r>
          <w:rPr>
            <w:snapToGrid w:val="0"/>
            <w:vertAlign w:val="superscript"/>
          </w:rPr>
          <w:delText>2</w:delText>
        </w:r>
      </w:del>
      <w:ins w:id="307" w:author="svcMRProcess" w:date="2020-02-11T15:47:00Z">
        <w:r>
          <w:t>Other notes</w:t>
        </w:r>
        <w:bookmarkEnd w:id="305"/>
      </w:ins>
    </w:p>
    <w:p>
      <w:pPr>
        <w:pStyle w:val="nNote"/>
        <w:keepNext/>
        <w:keepLines/>
        <w:spacing w:before="120"/>
        <w:rPr>
          <w:snapToGrid w:val="0"/>
        </w:rPr>
      </w:pPr>
      <w:ins w:id="308" w:author="svcMRProcess" w:date="2020-02-11T15:47:00Z">
        <w:r>
          <w:rPr>
            <w:snapToGrid w:val="0"/>
            <w:vertAlign w:val="superscript"/>
          </w:rPr>
          <w:t>1</w:t>
        </w:r>
      </w:ins>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Note"/>
        <w:spacing w:before="120"/>
        <w:ind w:left="459" w:hanging="459"/>
        <w:rPr>
          <w:snapToGrid w:val="0"/>
        </w:rPr>
      </w:pPr>
      <w:del w:id="309" w:author="svcMRProcess" w:date="2020-02-11T15:47:00Z">
        <w:r>
          <w:rPr>
            <w:snapToGrid w:val="0"/>
            <w:vertAlign w:val="superscript"/>
          </w:rPr>
          <w:delText>3</w:delText>
        </w:r>
      </w:del>
      <w:ins w:id="310" w:author="svcMRProcess" w:date="2020-02-11T15:47:00Z">
        <w:r>
          <w:rPr>
            <w:snapToGrid w:val="0"/>
            <w:vertAlign w:val="superscript"/>
          </w:rPr>
          <w:t>2</w:t>
        </w:r>
      </w:ins>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Note"/>
        <w:spacing w:before="120"/>
      </w:pPr>
      <w:del w:id="311" w:author="svcMRProcess" w:date="2020-02-11T15:47:00Z">
        <w:r>
          <w:rPr>
            <w:vertAlign w:val="superscript"/>
          </w:rPr>
          <w:delText>4</w:delText>
        </w:r>
      </w:del>
      <w:ins w:id="312" w:author="svcMRProcess" w:date="2020-02-11T15:47:00Z">
        <w:r>
          <w:rPr>
            <w:vertAlign w:val="superscript"/>
          </w:rPr>
          <w:t>3</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spacing w:before="120"/>
        <w:rPr>
          <w:snapToGrid w:val="0"/>
        </w:rPr>
      </w:pPr>
      <w:del w:id="313" w:author="svcMRProcess" w:date="2020-02-11T15:47:00Z">
        <w:r>
          <w:rPr>
            <w:vertAlign w:val="superscript"/>
          </w:rPr>
          <w:delText>5</w:delText>
        </w:r>
      </w:del>
      <w:ins w:id="314" w:author="svcMRProcess" w:date="2020-02-11T15:47:00Z">
        <w:r>
          <w:rPr>
            <w:vertAlign w:val="superscript"/>
          </w:rPr>
          <w:t>4</w:t>
        </w:r>
      </w:ins>
      <w:r>
        <w:tab/>
      </w:r>
      <w:r>
        <w:rPr>
          <w:snapToGrid w:val="0"/>
        </w:rPr>
        <w:t xml:space="preserve">The </w:t>
      </w:r>
      <w:r>
        <w:rPr>
          <w:i/>
          <w:snapToGrid w:val="0"/>
        </w:rPr>
        <w:t xml:space="preserve">Criminal Procedure and Appeals (Consequential and Other Provisions) Act 2004 </w:t>
      </w:r>
      <w:r>
        <w:rPr>
          <w:snapToGrid w:val="0"/>
        </w:rPr>
        <w:t xml:space="preserve">s. 82, to the extent it amends this Act, was deleted by the </w:t>
      </w:r>
      <w:r>
        <w:rPr>
          <w:i/>
          <w:iCs/>
          <w:snapToGrid w:val="0"/>
        </w:rPr>
        <w:t>Criminal Law and Evidence Amendment Act 2008</w:t>
      </w:r>
      <w:r>
        <w:rPr>
          <w:snapToGrid w:val="0"/>
        </w:rPr>
        <w:t xml:space="preserve"> s. 78(2)(b).</w:t>
      </w:r>
    </w:p>
    <w:p>
      <w:pPr>
        <w:pStyle w:val="nSubsection"/>
        <w:rPr>
          <w:del w:id="315" w:author="svcMRProcess" w:date="2020-02-11T15:47:00Z"/>
          <w:snapToGrid w:val="0"/>
        </w:rPr>
      </w:pPr>
      <w:del w:id="316" w:author="svcMRProcess" w:date="2020-02-11T15:47:00Z">
        <w:r>
          <w:rPr>
            <w:vertAlign w:val="superscript"/>
          </w:rPr>
          <w:delText>6</w:delText>
        </w:r>
        <w:r>
          <w:tab/>
          <w:delText>On the date as at which this compilation was prepared</w:delText>
        </w:r>
        <w:r>
          <w:rPr>
            <w:i/>
          </w:rPr>
          <w:delText xml:space="preserve"> </w:delText>
        </w:r>
        <w:r>
          <w:delText xml:space="preserve">the </w:delText>
        </w:r>
        <w:r>
          <w:rPr>
            <w:i/>
          </w:rPr>
          <w:delText xml:space="preserve">Consumer Protection Legislation Amendment Act 2019 </w:delText>
        </w:r>
        <w:r>
          <w:delText xml:space="preserve">Pt. 7 </w:delText>
        </w:r>
        <w:r>
          <w:rPr>
            <w:snapToGrid w:val="0"/>
          </w:rPr>
          <w:delText>had not come into operation.  It reads as follows:</w:delText>
        </w:r>
      </w:del>
    </w:p>
    <w:p>
      <w:pPr>
        <w:pStyle w:val="BlankOpen"/>
        <w:rPr>
          <w:del w:id="317" w:author="svcMRProcess" w:date="2020-02-11T15:47:00Z"/>
        </w:rPr>
      </w:pPr>
    </w:p>
    <w:p>
      <w:pPr>
        <w:pStyle w:val="nzHeading2"/>
        <w:rPr>
          <w:del w:id="318" w:author="svcMRProcess" w:date="2020-02-11T15:47:00Z"/>
        </w:rPr>
      </w:pPr>
      <w:del w:id="319" w:author="svcMRProcess" w:date="2020-02-11T15:47:00Z">
        <w:r>
          <w:rPr>
            <w:rStyle w:val="CharPartNo"/>
          </w:rPr>
          <w:delText>Part 7</w:delText>
        </w:r>
        <w:r>
          <w:rPr>
            <w:rStyle w:val="CharDivNo"/>
          </w:rPr>
          <w:delText> </w:delText>
        </w:r>
        <w:r>
          <w:delText>—</w:delText>
        </w:r>
        <w:r>
          <w:rPr>
            <w:rStyle w:val="CharDivText"/>
          </w:rPr>
          <w:delText> </w:delText>
        </w:r>
        <w:r>
          <w:rPr>
            <w:rStyle w:val="CharPartText"/>
            <w:i/>
          </w:rPr>
          <w:delText>Land Valuers Licensing Act 1978</w:delText>
        </w:r>
        <w:r>
          <w:rPr>
            <w:rStyle w:val="CharPartText"/>
          </w:rPr>
          <w:delText xml:space="preserve"> amended</w:delText>
        </w:r>
      </w:del>
    </w:p>
    <w:p>
      <w:pPr>
        <w:pStyle w:val="nzHeading5"/>
        <w:rPr>
          <w:del w:id="320" w:author="svcMRProcess" w:date="2020-02-11T15:47:00Z"/>
        </w:rPr>
      </w:pPr>
      <w:del w:id="321" w:author="svcMRProcess" w:date="2020-02-11T15:47:00Z">
        <w:r>
          <w:rPr>
            <w:rStyle w:val="CharSectno"/>
          </w:rPr>
          <w:delText>33</w:delText>
        </w:r>
        <w:r>
          <w:delText>.</w:delText>
        </w:r>
        <w:r>
          <w:tab/>
          <w:delText>Act amended</w:delText>
        </w:r>
      </w:del>
    </w:p>
    <w:p>
      <w:pPr>
        <w:pStyle w:val="nzSubsection"/>
        <w:rPr>
          <w:del w:id="322" w:author="svcMRProcess" w:date="2020-02-11T15:47:00Z"/>
        </w:rPr>
      </w:pPr>
      <w:del w:id="323" w:author="svcMRProcess" w:date="2020-02-11T15:47:00Z">
        <w:r>
          <w:tab/>
        </w:r>
        <w:r>
          <w:tab/>
          <w:delText xml:space="preserve">This Part amends the </w:delText>
        </w:r>
        <w:r>
          <w:rPr>
            <w:i/>
          </w:rPr>
          <w:delText>Land Valuers Licensing Act 1978</w:delText>
        </w:r>
        <w:r>
          <w:delText>.</w:delText>
        </w:r>
      </w:del>
    </w:p>
    <w:p>
      <w:pPr>
        <w:pStyle w:val="nzHeading5"/>
        <w:rPr>
          <w:del w:id="324" w:author="svcMRProcess" w:date="2020-02-11T15:47:00Z"/>
        </w:rPr>
      </w:pPr>
      <w:del w:id="325" w:author="svcMRProcess" w:date="2020-02-11T15:47:00Z">
        <w:r>
          <w:rPr>
            <w:rStyle w:val="CharSectno"/>
          </w:rPr>
          <w:delText>34</w:delText>
        </w:r>
        <w:r>
          <w:delText>.</w:delText>
        </w:r>
        <w:r>
          <w:tab/>
          <w:delText>Section 20 deleted</w:delText>
        </w:r>
      </w:del>
    </w:p>
    <w:p>
      <w:pPr>
        <w:pStyle w:val="nzSubsection"/>
        <w:rPr>
          <w:del w:id="326" w:author="svcMRProcess" w:date="2020-02-11T15:47:00Z"/>
        </w:rPr>
      </w:pPr>
      <w:del w:id="327" w:author="svcMRProcess" w:date="2020-02-11T15:47:00Z">
        <w:r>
          <w:tab/>
        </w:r>
        <w:r>
          <w:tab/>
          <w:delText>Delete section 20.</w:delText>
        </w:r>
      </w:del>
    </w:p>
    <w:p>
      <w:pPr>
        <w:pStyle w:val="nzHeading5"/>
        <w:rPr>
          <w:del w:id="328" w:author="svcMRProcess" w:date="2020-02-11T15:47:00Z"/>
        </w:rPr>
      </w:pPr>
      <w:del w:id="329" w:author="svcMRProcess" w:date="2020-02-11T15:47:00Z">
        <w:r>
          <w:rPr>
            <w:rStyle w:val="CharSectno"/>
          </w:rPr>
          <w:delText>35</w:delText>
        </w:r>
        <w:r>
          <w:delText>.</w:delText>
        </w:r>
        <w:r>
          <w:tab/>
          <w:delText>Section 22 amended</w:delText>
        </w:r>
      </w:del>
    </w:p>
    <w:p>
      <w:pPr>
        <w:pStyle w:val="nzSubsection"/>
        <w:rPr>
          <w:del w:id="330" w:author="svcMRProcess" w:date="2020-02-11T15:47:00Z"/>
        </w:rPr>
      </w:pPr>
      <w:del w:id="331" w:author="svcMRProcess" w:date="2020-02-11T15:47:00Z">
        <w:r>
          <w:tab/>
        </w:r>
        <w:r>
          <w:tab/>
          <w:delText>Delete section 22(2)(a) and insert:</w:delText>
        </w:r>
      </w:del>
    </w:p>
    <w:p>
      <w:pPr>
        <w:pStyle w:val="BlankOpen"/>
        <w:rPr>
          <w:del w:id="332" w:author="svcMRProcess" w:date="2020-02-11T15:47:00Z"/>
        </w:rPr>
      </w:pPr>
    </w:p>
    <w:p>
      <w:pPr>
        <w:pStyle w:val="nzIndenta"/>
        <w:rPr>
          <w:del w:id="333" w:author="svcMRProcess" w:date="2020-02-11T15:47:00Z"/>
        </w:rPr>
      </w:pPr>
      <w:del w:id="334" w:author="svcMRProcess" w:date="2020-02-11T15:47:00Z">
        <w:r>
          <w:tab/>
          <w:delText>(a)</w:delText>
        </w:r>
        <w:r>
          <w:tab/>
          <w:delText>an application is made during the period that begins on the day on which the licence expired and ends on the day that is 28 days after the day on which the licence expired; and</w:delText>
        </w:r>
      </w:del>
    </w:p>
    <w:p>
      <w:pPr>
        <w:pStyle w:val="BlankClose"/>
        <w:rPr>
          <w:del w:id="335" w:author="svcMRProcess" w:date="2020-02-11T15:47:00Z"/>
        </w:rPr>
      </w:pPr>
    </w:p>
    <w:p>
      <w:pPr>
        <w:pStyle w:val="nzHeading5"/>
        <w:rPr>
          <w:del w:id="336" w:author="svcMRProcess" w:date="2020-02-11T15:47:00Z"/>
        </w:rPr>
      </w:pPr>
      <w:del w:id="337" w:author="svcMRProcess" w:date="2020-02-11T15:47:00Z">
        <w:r>
          <w:rPr>
            <w:rStyle w:val="CharSectno"/>
          </w:rPr>
          <w:delText>36</w:delText>
        </w:r>
        <w:r>
          <w:delText>.</w:delText>
        </w:r>
        <w:r>
          <w:tab/>
          <w:delText>Section 33A inserted</w:delText>
        </w:r>
      </w:del>
    </w:p>
    <w:p>
      <w:pPr>
        <w:pStyle w:val="nzSubsection"/>
        <w:rPr>
          <w:del w:id="338" w:author="svcMRProcess" w:date="2020-02-11T15:47:00Z"/>
        </w:rPr>
      </w:pPr>
      <w:del w:id="339" w:author="svcMRProcess" w:date="2020-02-11T15:47:00Z">
        <w:r>
          <w:tab/>
        </w:r>
        <w:r>
          <w:tab/>
          <w:delText>After section 33 insert:</w:delText>
        </w:r>
      </w:del>
    </w:p>
    <w:p>
      <w:pPr>
        <w:pStyle w:val="BlankOpen"/>
        <w:rPr>
          <w:del w:id="340" w:author="svcMRProcess" w:date="2020-02-11T15:47:00Z"/>
        </w:rPr>
      </w:pPr>
    </w:p>
    <w:p>
      <w:pPr>
        <w:pStyle w:val="nzHeading5"/>
        <w:rPr>
          <w:del w:id="341" w:author="svcMRProcess" w:date="2020-02-11T15:47:00Z"/>
        </w:rPr>
      </w:pPr>
      <w:del w:id="342" w:author="svcMRProcess" w:date="2020-02-11T15:47:00Z">
        <w:r>
          <w:delText>33A.</w:delText>
        </w:r>
        <w:r>
          <w:tab/>
          <w:delText>Offence of giving false or misleading information</w:delText>
        </w:r>
      </w:del>
    </w:p>
    <w:p>
      <w:pPr>
        <w:pStyle w:val="nzSubsection"/>
        <w:rPr>
          <w:del w:id="343" w:author="svcMRProcess" w:date="2020-02-11T15:47:00Z"/>
        </w:rPr>
      </w:pPr>
      <w:del w:id="344" w:author="svcMRProcess" w:date="2020-02-11T15:47:00Z">
        <w:r>
          <w:tab/>
          <w:delText>(1)</w:delText>
        </w:r>
        <w:r>
          <w:tab/>
          <w:delText>A person who gives false or misleading information to the Commissioner when required to give information to the Commissioner under this Act commits an offence.</w:delText>
        </w:r>
      </w:del>
    </w:p>
    <w:p>
      <w:pPr>
        <w:pStyle w:val="nzPenstart"/>
        <w:rPr>
          <w:del w:id="345" w:author="svcMRProcess" w:date="2020-02-11T15:47:00Z"/>
        </w:rPr>
      </w:pPr>
      <w:del w:id="346" w:author="svcMRProcess" w:date="2020-02-11T15:47:00Z">
        <w:r>
          <w:tab/>
          <w:delText>Penalty for this subsection: a fine of $20 000.</w:delText>
        </w:r>
      </w:del>
    </w:p>
    <w:p>
      <w:pPr>
        <w:pStyle w:val="nzSubsection"/>
        <w:rPr>
          <w:del w:id="347" w:author="svcMRProcess" w:date="2020-02-11T15:47:00Z"/>
        </w:rPr>
      </w:pPr>
      <w:del w:id="348" w:author="svcMRProcess" w:date="2020-02-11T15:47:00Z">
        <w:r>
          <w:tab/>
          <w:delText>(2)</w:delText>
        </w:r>
        <w:r>
          <w:tab/>
          <w:delText>For the purposes of subsection (1), a person gives false or misleading information if the person does 1 or more of the following —</w:delText>
        </w:r>
      </w:del>
    </w:p>
    <w:p>
      <w:pPr>
        <w:pStyle w:val="nzIndenta"/>
        <w:rPr>
          <w:del w:id="349" w:author="svcMRProcess" w:date="2020-02-11T15:47:00Z"/>
        </w:rPr>
      </w:pPr>
      <w:del w:id="350" w:author="svcMRProcess" w:date="2020-02-11T15:47:00Z">
        <w:r>
          <w:tab/>
          <w:delText>(a)</w:delText>
        </w:r>
        <w:r>
          <w:tab/>
          <w:delText>states anything that the person knows is false or misleading in a material particular;</w:delText>
        </w:r>
      </w:del>
    </w:p>
    <w:p>
      <w:pPr>
        <w:pStyle w:val="nzIndenta"/>
        <w:rPr>
          <w:del w:id="351" w:author="svcMRProcess" w:date="2020-02-11T15:47:00Z"/>
        </w:rPr>
      </w:pPr>
      <w:del w:id="352" w:author="svcMRProcess" w:date="2020-02-11T15:47:00Z">
        <w:r>
          <w:tab/>
          <w:delText>(b)</w:delText>
        </w:r>
        <w:r>
          <w:tab/>
          <w:delText>omits anything from a statement without which the statement is, to the person’s knowledge, misleading in a material particular;</w:delText>
        </w:r>
      </w:del>
    </w:p>
    <w:p>
      <w:pPr>
        <w:pStyle w:val="nzIndenta"/>
        <w:rPr>
          <w:del w:id="353" w:author="svcMRProcess" w:date="2020-02-11T15:47:00Z"/>
        </w:rPr>
      </w:pPr>
      <w:del w:id="354" w:author="svcMRProcess" w:date="2020-02-11T15:47:00Z">
        <w:r>
          <w:tab/>
          <w:delText>(c)</w:delText>
        </w:r>
        <w:r>
          <w:tab/>
          <w:delText>gives or produces any information that —</w:delText>
        </w:r>
      </w:del>
    </w:p>
    <w:p>
      <w:pPr>
        <w:pStyle w:val="nzIndenti"/>
        <w:rPr>
          <w:del w:id="355" w:author="svcMRProcess" w:date="2020-02-11T15:47:00Z"/>
        </w:rPr>
      </w:pPr>
      <w:del w:id="356" w:author="svcMRProcess" w:date="2020-02-11T15:47:00Z">
        <w:r>
          <w:tab/>
          <w:delText>(i)</w:delText>
        </w:r>
        <w:r>
          <w:tab/>
          <w:delText>the person knows is false or misleading in a material particular; or</w:delText>
        </w:r>
      </w:del>
    </w:p>
    <w:p>
      <w:pPr>
        <w:pStyle w:val="nzIndenti"/>
        <w:rPr>
          <w:del w:id="357" w:author="svcMRProcess" w:date="2020-02-11T15:47:00Z"/>
        </w:rPr>
      </w:pPr>
      <w:del w:id="358" w:author="svcMRProcess" w:date="2020-02-11T15:47:00Z">
        <w:r>
          <w:tab/>
          <w:delText>(ii)</w:delText>
        </w:r>
        <w:r>
          <w:tab/>
          <w:delText>omits anything without which the information is, to the person’s knowledge, misleading in a material particular.</w:delText>
        </w:r>
      </w:del>
    </w:p>
    <w:p>
      <w:pPr>
        <w:pStyle w:val="BlankClose"/>
        <w:rPr>
          <w:del w:id="359" w:author="svcMRProcess" w:date="2020-02-11T15:47:00Z"/>
        </w:rPr>
      </w:pPr>
    </w:p>
    <w:p>
      <w:pPr>
        <w:pStyle w:val="nzHeading5"/>
        <w:rPr>
          <w:del w:id="360" w:author="svcMRProcess" w:date="2020-02-11T15:47:00Z"/>
        </w:rPr>
      </w:pPr>
      <w:del w:id="361" w:author="svcMRProcess" w:date="2020-02-11T15:47:00Z">
        <w:r>
          <w:rPr>
            <w:rStyle w:val="CharSectno"/>
          </w:rPr>
          <w:delText>37</w:delText>
        </w:r>
        <w:r>
          <w:delText>.</w:delText>
        </w:r>
        <w:r>
          <w:tab/>
          <w:delText>Various penalties amended</w:delText>
        </w:r>
      </w:del>
    </w:p>
    <w:p>
      <w:pPr>
        <w:pStyle w:val="nzSubsection"/>
        <w:rPr>
          <w:del w:id="362" w:author="svcMRProcess" w:date="2020-02-11T15:47:00Z"/>
        </w:rPr>
      </w:pPr>
      <w:del w:id="363" w:author="svcMRProcess" w:date="2020-02-11T15:47:00Z">
        <w:r>
          <w:tab/>
        </w:r>
        <w:r>
          <w:tab/>
          <w:delText>Amend the provisions listed in the Table as set out in the Table.</w:delText>
        </w:r>
      </w:del>
    </w:p>
    <w:p>
      <w:pPr>
        <w:pStyle w:val="nzTHeading"/>
        <w:rPr>
          <w:del w:id="364" w:author="svcMRProcess" w:date="2020-02-11T15:47:00Z"/>
        </w:rPr>
      </w:pPr>
      <w:del w:id="365" w:author="svcMRProcess" w:date="2020-02-11T15:47: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366" w:author="svcMRProcess" w:date="2020-02-11T15:47:00Z"/>
        </w:trPr>
        <w:tc>
          <w:tcPr>
            <w:tcW w:w="2268" w:type="dxa"/>
          </w:tcPr>
          <w:p>
            <w:pPr>
              <w:pStyle w:val="nzTableAm"/>
              <w:keepNext/>
              <w:jc w:val="center"/>
              <w:rPr>
                <w:del w:id="367" w:author="svcMRProcess" w:date="2020-02-11T15:47:00Z"/>
                <w:b/>
                <w:bCs/>
              </w:rPr>
            </w:pPr>
            <w:del w:id="368" w:author="svcMRProcess" w:date="2020-02-11T15:47:00Z">
              <w:r>
                <w:rPr>
                  <w:b/>
                  <w:bCs/>
                </w:rPr>
                <w:delText>Provision</w:delText>
              </w:r>
            </w:del>
          </w:p>
        </w:tc>
        <w:tc>
          <w:tcPr>
            <w:tcW w:w="2268" w:type="dxa"/>
          </w:tcPr>
          <w:p>
            <w:pPr>
              <w:pStyle w:val="nzTableAm"/>
              <w:keepNext/>
              <w:jc w:val="center"/>
              <w:rPr>
                <w:del w:id="369" w:author="svcMRProcess" w:date="2020-02-11T15:47:00Z"/>
                <w:b/>
                <w:bCs/>
              </w:rPr>
            </w:pPr>
            <w:del w:id="370" w:author="svcMRProcess" w:date="2020-02-11T15:47:00Z">
              <w:r>
                <w:rPr>
                  <w:b/>
                  <w:bCs/>
                </w:rPr>
                <w:delText>Delete</w:delText>
              </w:r>
            </w:del>
          </w:p>
        </w:tc>
        <w:tc>
          <w:tcPr>
            <w:tcW w:w="2268" w:type="dxa"/>
          </w:tcPr>
          <w:p>
            <w:pPr>
              <w:pStyle w:val="nzTableAm"/>
              <w:keepNext/>
              <w:jc w:val="center"/>
              <w:rPr>
                <w:del w:id="371" w:author="svcMRProcess" w:date="2020-02-11T15:47:00Z"/>
                <w:b/>
                <w:bCs/>
              </w:rPr>
            </w:pPr>
            <w:del w:id="372" w:author="svcMRProcess" w:date="2020-02-11T15:47:00Z">
              <w:r>
                <w:rPr>
                  <w:b/>
                  <w:bCs/>
                </w:rPr>
                <w:delText>Insert</w:delText>
              </w:r>
            </w:del>
          </w:p>
        </w:tc>
      </w:tr>
      <w:tr>
        <w:trPr>
          <w:cantSplit/>
          <w:jc w:val="center"/>
          <w:del w:id="373" w:author="svcMRProcess" w:date="2020-02-11T15:47:00Z"/>
        </w:trPr>
        <w:tc>
          <w:tcPr>
            <w:tcW w:w="2268" w:type="dxa"/>
          </w:tcPr>
          <w:p>
            <w:pPr>
              <w:pStyle w:val="nzTableAm"/>
              <w:rPr>
                <w:del w:id="374" w:author="svcMRProcess" w:date="2020-02-11T15:47:00Z"/>
              </w:rPr>
            </w:pPr>
            <w:del w:id="375" w:author="svcMRProcess" w:date="2020-02-11T15:47:00Z">
              <w:r>
                <w:delText>s. 23(1)</w:delText>
              </w:r>
            </w:del>
          </w:p>
        </w:tc>
        <w:tc>
          <w:tcPr>
            <w:tcW w:w="2268" w:type="dxa"/>
          </w:tcPr>
          <w:p>
            <w:pPr>
              <w:pStyle w:val="nzTableAm"/>
              <w:rPr>
                <w:del w:id="376" w:author="svcMRProcess" w:date="2020-02-11T15:47:00Z"/>
              </w:rPr>
            </w:pPr>
            <w:del w:id="377" w:author="svcMRProcess" w:date="2020-02-11T15:47:00Z">
              <w:r>
                <w:delText>Penalty: $50 000.</w:delText>
              </w:r>
            </w:del>
          </w:p>
        </w:tc>
        <w:tc>
          <w:tcPr>
            <w:tcW w:w="2268" w:type="dxa"/>
          </w:tcPr>
          <w:p>
            <w:pPr>
              <w:pStyle w:val="nzTableAm"/>
              <w:rPr>
                <w:del w:id="378" w:author="svcMRProcess" w:date="2020-02-11T15:47:00Z"/>
              </w:rPr>
            </w:pPr>
            <w:del w:id="379" w:author="svcMRProcess" w:date="2020-02-11T15:47:00Z">
              <w:r>
                <w:delText>Penalty for this subsection: a fine of $100 000.</w:delText>
              </w:r>
            </w:del>
          </w:p>
        </w:tc>
      </w:tr>
      <w:tr>
        <w:trPr>
          <w:cantSplit/>
          <w:jc w:val="center"/>
          <w:del w:id="380" w:author="svcMRProcess" w:date="2020-02-11T15:47:00Z"/>
        </w:trPr>
        <w:tc>
          <w:tcPr>
            <w:tcW w:w="2268" w:type="dxa"/>
          </w:tcPr>
          <w:p>
            <w:pPr>
              <w:pStyle w:val="nzTableAm"/>
              <w:rPr>
                <w:del w:id="381" w:author="svcMRProcess" w:date="2020-02-11T15:47:00Z"/>
              </w:rPr>
            </w:pPr>
            <w:del w:id="382" w:author="svcMRProcess" w:date="2020-02-11T15:47:00Z">
              <w:r>
                <w:delText>s. 24(1)</w:delText>
              </w:r>
            </w:del>
          </w:p>
        </w:tc>
        <w:tc>
          <w:tcPr>
            <w:tcW w:w="2268" w:type="dxa"/>
          </w:tcPr>
          <w:p>
            <w:pPr>
              <w:pStyle w:val="nzTableAm"/>
              <w:rPr>
                <w:del w:id="383" w:author="svcMRProcess" w:date="2020-02-11T15:47:00Z"/>
              </w:rPr>
            </w:pPr>
            <w:del w:id="384" w:author="svcMRProcess" w:date="2020-02-11T15:47:00Z">
              <w:r>
                <w:delText>Penalty: $50 000.</w:delText>
              </w:r>
            </w:del>
          </w:p>
        </w:tc>
        <w:tc>
          <w:tcPr>
            <w:tcW w:w="2268" w:type="dxa"/>
          </w:tcPr>
          <w:p>
            <w:pPr>
              <w:pStyle w:val="nzTableAm"/>
              <w:rPr>
                <w:del w:id="385" w:author="svcMRProcess" w:date="2020-02-11T15:47:00Z"/>
              </w:rPr>
            </w:pPr>
            <w:del w:id="386" w:author="svcMRProcess" w:date="2020-02-11T15:47:00Z">
              <w:r>
                <w:delText>Penalty for this subsection: a fine of $100 000.</w:delText>
              </w:r>
            </w:del>
          </w:p>
        </w:tc>
      </w:tr>
      <w:tr>
        <w:trPr>
          <w:cantSplit/>
          <w:jc w:val="center"/>
          <w:del w:id="387" w:author="svcMRProcess" w:date="2020-02-11T15:47:00Z"/>
        </w:trPr>
        <w:tc>
          <w:tcPr>
            <w:tcW w:w="2268" w:type="dxa"/>
          </w:tcPr>
          <w:p>
            <w:pPr>
              <w:pStyle w:val="nzTableAm"/>
              <w:rPr>
                <w:del w:id="388" w:author="svcMRProcess" w:date="2020-02-11T15:47:00Z"/>
              </w:rPr>
            </w:pPr>
            <w:del w:id="389" w:author="svcMRProcess" w:date="2020-02-11T15:47:00Z">
              <w:r>
                <w:delText>s. 25(3)</w:delText>
              </w:r>
            </w:del>
          </w:p>
        </w:tc>
        <w:tc>
          <w:tcPr>
            <w:tcW w:w="2268" w:type="dxa"/>
          </w:tcPr>
          <w:p>
            <w:pPr>
              <w:pStyle w:val="nzTableAm"/>
              <w:rPr>
                <w:del w:id="390" w:author="svcMRProcess" w:date="2020-02-11T15:47:00Z"/>
              </w:rPr>
            </w:pPr>
            <w:del w:id="391" w:author="svcMRProcess" w:date="2020-02-11T15:47:00Z">
              <w:r>
                <w:delText>Penalty: $5 000.</w:delText>
              </w:r>
            </w:del>
          </w:p>
        </w:tc>
        <w:tc>
          <w:tcPr>
            <w:tcW w:w="2268" w:type="dxa"/>
          </w:tcPr>
          <w:p>
            <w:pPr>
              <w:pStyle w:val="nzTableAm"/>
              <w:rPr>
                <w:del w:id="392" w:author="svcMRProcess" w:date="2020-02-11T15:47:00Z"/>
              </w:rPr>
            </w:pPr>
            <w:del w:id="393" w:author="svcMRProcess" w:date="2020-02-11T15:47:00Z">
              <w:r>
                <w:delText>Penalty for this subsection: a fine of $5 000.</w:delText>
              </w:r>
            </w:del>
          </w:p>
        </w:tc>
      </w:tr>
      <w:tr>
        <w:trPr>
          <w:cantSplit/>
          <w:jc w:val="center"/>
          <w:del w:id="394" w:author="svcMRProcess" w:date="2020-02-11T15:47:00Z"/>
        </w:trPr>
        <w:tc>
          <w:tcPr>
            <w:tcW w:w="2268" w:type="dxa"/>
          </w:tcPr>
          <w:p>
            <w:pPr>
              <w:pStyle w:val="nzTableAm"/>
              <w:rPr>
                <w:del w:id="395" w:author="svcMRProcess" w:date="2020-02-11T15:47:00Z"/>
              </w:rPr>
            </w:pPr>
            <w:del w:id="396" w:author="svcMRProcess" w:date="2020-02-11T15:47:00Z">
              <w:r>
                <w:delText>s. 29A(1)</w:delText>
              </w:r>
            </w:del>
          </w:p>
        </w:tc>
        <w:tc>
          <w:tcPr>
            <w:tcW w:w="2268" w:type="dxa"/>
          </w:tcPr>
          <w:p>
            <w:pPr>
              <w:pStyle w:val="nzTableAm"/>
              <w:rPr>
                <w:del w:id="397" w:author="svcMRProcess" w:date="2020-02-11T15:47:00Z"/>
              </w:rPr>
            </w:pPr>
            <w:del w:id="398" w:author="svcMRProcess" w:date="2020-02-11T15:47:00Z">
              <w:r>
                <w:delText>Penalty: $2 000.</w:delText>
              </w:r>
            </w:del>
          </w:p>
        </w:tc>
        <w:tc>
          <w:tcPr>
            <w:tcW w:w="2268" w:type="dxa"/>
          </w:tcPr>
          <w:p>
            <w:pPr>
              <w:pStyle w:val="nzTableAm"/>
              <w:rPr>
                <w:del w:id="399" w:author="svcMRProcess" w:date="2020-02-11T15:47:00Z"/>
              </w:rPr>
            </w:pPr>
            <w:del w:id="400" w:author="svcMRProcess" w:date="2020-02-11T15:47:00Z">
              <w:r>
                <w:delText>Penalty for this subsection: a fine of $2 000.</w:delText>
              </w:r>
            </w:del>
          </w:p>
        </w:tc>
      </w:tr>
    </w:tbl>
    <w:p>
      <w:pPr>
        <w:pStyle w:val="BlankClose"/>
        <w:rPr>
          <w:del w:id="401" w:author="svcMRProcess" w:date="2020-02-11T15:47:00Z"/>
          <w:snapToGrid w:val="0"/>
        </w:rPr>
      </w:pP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02" w:name="Compilation"/>
    <w:bookmarkEnd w:id="40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3" w:name="Coversheet"/>
    <w:bookmarkEnd w:id="4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60034"/>
    <w:docVar w:name="WAFER_20140131152219" w:val="RemoveTocBookmarks,RemoveUnusedBookmarks,RemoveLanguageTags,UsedStyles,ResetPageSize,UpdateArrangement"/>
    <w:docVar w:name="WAFER_20140131152219_GUID" w:val="01dce1c1-e568-4d50-9d72-9eb359b2d17a"/>
    <w:docVar w:name="WAFER_20140131152224" w:val="RemoveTocBookmarks,RunningHeaders"/>
    <w:docVar w:name="WAFER_20140131152224_GUID" w:val="f9d73887-275d-4ed4-8b43-259db01532c3"/>
    <w:docVar w:name="WAFER_20141015123343" w:val="RemoveTocBookmarks,RemoveUnusedBookmarks,RemoveLanguageTags,UsedStyles,ResetPageSize,UpdateArrangement"/>
    <w:docVar w:name="WAFER_20141015123343_GUID" w:val="75154785-d0a0-44ac-b583-bd76b9de1cef"/>
    <w:docVar w:name="WAFER_20141119103312" w:val="RemoveTocBookmarks,RunningHeaders"/>
    <w:docVar w:name="WAFER_20141119103312_GUID" w:val="e6f6b6fa-b544-4564-866e-047962d15f5f"/>
    <w:docVar w:name="WAFER_20150519160733" w:val="ResetPageSize,UpdateArrangement,UpdateNTable"/>
    <w:docVar w:name="WAFER_20150519160733_GUID" w:val="db0eb6a1-859c-460f-bf5b-2ea4e6d0f742"/>
    <w:docVar w:name="WAFER_20151105140916" w:val="UpdateStyles,UsedStyles"/>
    <w:docVar w:name="WAFER_20151105140916_GUID" w:val="fdd3cd7c-6974-4d65-a3cf-4a942fc85e67"/>
    <w:docVar w:name="WAFER_20191219140659" w:val="RemoveTocBookmarks,RemoveUnusedBookmarks,RemoveLanguageTags,ResetPageSize,RunningHeaders,UpdateStyles,UsedStyles"/>
    <w:docVar w:name="WAFER_20191219140659_GUID" w:val="7314a8e8-3dfc-4622-b4a6-b7477c491c41"/>
    <w:docVar w:name="WAFER_202002101600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0034_GUID" w:val="c00711b0-bfe0-42ba-86af-0f294d7794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5789</Words>
  <Characters>26864</Characters>
  <Application>Microsoft Office Word</Application>
  <DocSecurity>0</DocSecurity>
  <Lines>814</Lines>
  <Paragraphs>466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04-f0-00 - 04-g0-02</dc:title>
  <dc:subject/>
  <dc:creator/>
  <cp:keywords/>
  <dc:description/>
  <cp:lastModifiedBy>svcMRProcess</cp:lastModifiedBy>
  <cp:revision>2</cp:revision>
  <cp:lastPrinted>2011-11-07T07:27:00Z</cp:lastPrinted>
  <dcterms:created xsi:type="dcterms:W3CDTF">2020-02-11T07:47:00Z</dcterms:created>
  <dcterms:modified xsi:type="dcterms:W3CDTF">2020-02-11T07:47:00Z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DocumentType">
    <vt:lpwstr>Act</vt:lpwstr>
  </property>
  <property fmtid="{D5CDD505-2E9C-101B-9397-08002B2CF9AE}" pid="4" name="OwlsUID">
    <vt:i4>436</vt:i4>
  </property>
  <property fmtid="{D5CDD505-2E9C-101B-9397-08002B2CF9AE}" pid="5" name="ReprintNo">
    <vt:lpwstr>4</vt:lpwstr>
  </property>
  <property fmtid="{D5CDD505-2E9C-101B-9397-08002B2CF9AE}" pid="6" name="ReprintedAsAt">
    <vt:filetime>2011-10-13T16:00:00Z</vt:filetime>
  </property>
  <property fmtid="{D5CDD505-2E9C-101B-9397-08002B2CF9AE}" pid="7" name="CommencementDate">
    <vt:lpwstr>20200101</vt:lpwstr>
  </property>
  <property fmtid="{D5CDD505-2E9C-101B-9397-08002B2CF9AE}" pid="8" name="FromSuffix">
    <vt:lpwstr>04-f0-00</vt:lpwstr>
  </property>
  <property fmtid="{D5CDD505-2E9C-101B-9397-08002B2CF9AE}" pid="9" name="FromAsAtDate">
    <vt:lpwstr>24 Oct 2019</vt:lpwstr>
  </property>
  <property fmtid="{D5CDD505-2E9C-101B-9397-08002B2CF9AE}" pid="10" name="ToSuffix">
    <vt:lpwstr>04-g0-02</vt:lpwstr>
  </property>
  <property fmtid="{D5CDD505-2E9C-101B-9397-08002B2CF9AE}" pid="11" name="ToAsAtDate">
    <vt:lpwstr>01 Jan 2020</vt:lpwstr>
  </property>
</Properties>
</file>