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2019</w:t>
      </w:r>
      <w:r>
        <w:fldChar w:fldCharType="end"/>
      </w:r>
      <w:r>
        <w:t xml:space="preserve">, </w:t>
      </w:r>
      <w:r>
        <w:fldChar w:fldCharType="begin"/>
      </w:r>
      <w:r>
        <w:instrText xml:space="preserve"> DocProperty FromSuffix </w:instrText>
      </w:r>
      <w:r>
        <w:fldChar w:fldCharType="separate"/>
      </w:r>
      <w:r>
        <w:t>06-h0-00</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06-i0-03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1" w:name="_GoBack"/>
      <w:bookmarkEnd w:id="1"/>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w:t>
      </w:r>
      <w:del w:id="2" w:author="svcMRProcess" w:date="2020-04-17T17:55:00Z">
        <w:r>
          <w:rPr>
            <w:snapToGrid w:val="0"/>
            <w:vertAlign w:val="superscript"/>
          </w:rPr>
          <w:delText>2</w:delText>
        </w:r>
      </w:del>
      <w:ins w:id="3" w:author="svcMRProcess" w:date="2020-04-17T17:55:00Z">
        <w:r>
          <w:rPr>
            <w:snapToGrid w:val="0"/>
            <w:vertAlign w:val="superscript"/>
          </w:rPr>
          <w:t>1</w:t>
        </w:r>
      </w:ins>
      <w:r>
        <w:rPr>
          <w:snapToGrid w:val="0"/>
        </w:rPr>
        <w:t xml:space="preserve">, and for connected purposes. </w:t>
      </w:r>
    </w:p>
    <w:p>
      <w:pPr>
        <w:pStyle w:val="Footnotelongtitle"/>
      </w:pPr>
      <w:r>
        <w:tab/>
        <w:t xml:space="preserve">[Long title amended: No. 60 of 2011 s. 4.] </w:t>
      </w:r>
    </w:p>
    <w:p>
      <w:pPr>
        <w:pStyle w:val="Heading2"/>
      </w:pPr>
      <w:bookmarkStart w:id="4" w:name="_Toc38006726"/>
      <w:bookmarkStart w:id="5" w:name="_Toc38006929"/>
      <w:bookmarkStart w:id="6" w:name="_Toc2153279"/>
      <w:bookmarkStart w:id="7" w:name="_Toc2160113"/>
      <w:bookmarkStart w:id="8" w:name="_Toc2160837"/>
      <w:bookmarkStart w:id="9" w:name="_Toc5621460"/>
      <w:bookmarkStart w:id="10" w:name="_Toc5632867"/>
      <w:bookmarkStart w:id="11" w:name="_Toc5719246"/>
      <w:bookmarkStart w:id="12" w:name="_Toc22915760"/>
      <w:bookmarkStart w:id="13" w:name="_Toc22915960"/>
      <w:bookmarkStart w:id="14" w:name="_Toc25842892"/>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38006930"/>
      <w:bookmarkStart w:id="16" w:name="_Toc25842893"/>
      <w:r>
        <w:rPr>
          <w:rStyle w:val="CharSectno"/>
        </w:rPr>
        <w:t>1</w:t>
      </w:r>
      <w:r>
        <w:rPr>
          <w:snapToGrid w:val="0"/>
        </w:rPr>
        <w:t>.</w:t>
      </w:r>
      <w:r>
        <w:rPr>
          <w:snapToGrid w:val="0"/>
        </w:rPr>
        <w:tab/>
        <w:t>Short title</w:t>
      </w:r>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del w:id="17" w:author="svcMRProcess" w:date="2020-04-17T17:55: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8" w:name="_Toc38006931"/>
      <w:bookmarkStart w:id="19" w:name="_Toc25842894"/>
      <w:r>
        <w:rPr>
          <w:rStyle w:val="CharSectno"/>
        </w:rPr>
        <w:t>2</w:t>
      </w:r>
      <w:r>
        <w:rPr>
          <w:snapToGrid w:val="0"/>
        </w:rPr>
        <w:t>.</w:t>
      </w:r>
      <w:r>
        <w:rPr>
          <w:snapToGrid w:val="0"/>
        </w:rPr>
        <w:tab/>
        <w:t>Commencement</w:t>
      </w:r>
      <w:bookmarkEnd w:id="18"/>
      <w:bookmarkEnd w:id="19"/>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del w:id="20" w:author="svcMRProcess" w:date="2020-04-17T17:55:00Z">
        <w:r>
          <w:rPr>
            <w:snapToGrid w:val="0"/>
            <w:vertAlign w:val="superscript"/>
          </w:rPr>
          <w:delText xml:space="preserve"> 1</w:delText>
        </w:r>
      </w:del>
      <w:r>
        <w:rPr>
          <w:snapToGrid w:val="0"/>
        </w:rPr>
        <w:t>.</w:t>
      </w:r>
    </w:p>
    <w:p>
      <w:pPr>
        <w:pStyle w:val="Heading5"/>
        <w:rPr>
          <w:snapToGrid w:val="0"/>
        </w:rPr>
      </w:pPr>
      <w:bookmarkStart w:id="21" w:name="_Toc38006932"/>
      <w:bookmarkStart w:id="22" w:name="_Toc25842895"/>
      <w:r>
        <w:rPr>
          <w:rStyle w:val="CharSectno"/>
        </w:rPr>
        <w:t>3</w:t>
      </w:r>
      <w:r>
        <w:rPr>
          <w:snapToGrid w:val="0"/>
        </w:rPr>
        <w:t>.</w:t>
      </w:r>
      <w:r>
        <w:rPr>
          <w:snapToGrid w:val="0"/>
        </w:rPr>
        <w:tab/>
        <w:t>Terms used</w:t>
      </w:r>
      <w:bookmarkEnd w:id="21"/>
      <w:bookmarkEnd w:id="22"/>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rPr>
          <w:ins w:id="23" w:author="svcMRProcess" w:date="2020-04-17T17:55:00Z"/>
        </w:rPr>
      </w:pPr>
      <w:ins w:id="24" w:author="svcMRProcess" w:date="2020-04-17T17:55:00Z">
        <w:r>
          <w:tab/>
        </w:r>
        <w:r>
          <w:rPr>
            <w:rStyle w:val="CharDefText"/>
          </w:rPr>
          <w:t>common area</w:t>
        </w:r>
        <w:r>
          <w:t xml:space="preserve"> — </w:t>
        </w:r>
      </w:ins>
    </w:p>
    <w:p>
      <w:pPr>
        <w:pStyle w:val="Defpara"/>
        <w:rPr>
          <w:ins w:id="25" w:author="svcMRProcess" w:date="2020-04-17T17:55:00Z"/>
        </w:rPr>
      </w:pPr>
      <w:ins w:id="26" w:author="svcMRProcess" w:date="2020-04-17T17:55:00Z">
        <w:r>
          <w:tab/>
          <w:t>(a)</w:t>
        </w:r>
        <w:r>
          <w:tab/>
          <w:t>means an area accessible to, or provided for the common use of, tenants; and</w:t>
        </w:r>
      </w:ins>
    </w:p>
    <w:p>
      <w:pPr>
        <w:pStyle w:val="Defpara"/>
        <w:rPr>
          <w:ins w:id="27" w:author="svcMRProcess" w:date="2020-04-17T17:55:00Z"/>
        </w:rPr>
      </w:pPr>
      <w:ins w:id="28" w:author="svcMRProcess" w:date="2020-04-17T17:55:00Z">
        <w:r>
          <w:tab/>
          <w:t>(b)</w:t>
        </w:r>
        <w:r>
          <w:tab/>
          <w:t xml:space="preserve">includes common property (as defined in the </w:t>
        </w:r>
        <w:r>
          <w:rPr>
            <w:i/>
          </w:rPr>
          <w:t>Strata Titles Act 1985</w:t>
        </w:r>
        <w:r>
          <w:t xml:space="preserve"> section 3) of a strata scheme or survey strata scheme;</w:t>
        </w:r>
      </w:ins>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lastRenderedPageBreak/>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lastRenderedPageBreak/>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[Section 3 amended: No. 50 of 1988 s. 4; No. 57 of 1997 s. 39(10); No. 59 of 2004 s. 118; No. 28 of 2006 s. 133; No. 60 of 2011 s. 5 and 90; No. 23 of 2014 s. 87; No. 3 of 2019 s. </w:t>
      </w:r>
      <w:del w:id="29" w:author="svcMRProcess" w:date="2020-04-17T17:55:00Z">
        <w:r>
          <w:delText>4</w:delText>
        </w:r>
      </w:del>
      <w:ins w:id="30" w:author="svcMRProcess" w:date="2020-04-17T17:55:00Z">
        <w:r>
          <w:t>4; No. 25 of 2019 s. 64</w:t>
        </w:r>
      </w:ins>
      <w:r>
        <w:t xml:space="preserve">.] </w:t>
      </w:r>
    </w:p>
    <w:p>
      <w:pPr>
        <w:pStyle w:val="Heading5"/>
        <w:rPr>
          <w:snapToGrid w:val="0"/>
        </w:rPr>
      </w:pPr>
      <w:bookmarkStart w:id="31" w:name="_Toc38006933"/>
      <w:bookmarkStart w:id="32" w:name="_Toc25842896"/>
      <w:r>
        <w:rPr>
          <w:rStyle w:val="CharSectno"/>
        </w:rPr>
        <w:t>4</w:t>
      </w:r>
      <w:r>
        <w:rPr>
          <w:snapToGrid w:val="0"/>
        </w:rPr>
        <w:t>.</w:t>
      </w:r>
      <w:r>
        <w:rPr>
          <w:snapToGrid w:val="0"/>
        </w:rPr>
        <w:tab/>
        <w:t>Position of Crown</w:t>
      </w:r>
      <w:bookmarkEnd w:id="31"/>
      <w:bookmarkEnd w:id="32"/>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33" w:name="_Toc38006934"/>
      <w:bookmarkStart w:id="34" w:name="_Toc25842897"/>
      <w:r>
        <w:rPr>
          <w:rStyle w:val="CharSectno"/>
        </w:rPr>
        <w:t>5</w:t>
      </w:r>
      <w:r>
        <w:rPr>
          <w:snapToGrid w:val="0"/>
        </w:rPr>
        <w:t>.</w:t>
      </w:r>
      <w:r>
        <w:rPr>
          <w:snapToGrid w:val="0"/>
        </w:rPr>
        <w:tab/>
        <w:t>Application of Act</w:t>
      </w:r>
      <w:bookmarkEnd w:id="33"/>
      <w:bookmarkEnd w:id="34"/>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w:t>
      </w:r>
    </w:p>
    <w:p>
      <w:pPr>
        <w:pStyle w:val="Heading5"/>
        <w:rPr>
          <w:snapToGrid w:val="0"/>
        </w:rPr>
      </w:pPr>
      <w:bookmarkStart w:id="35" w:name="_Toc38006935"/>
      <w:bookmarkStart w:id="36" w:name="_Toc25842898"/>
      <w:r>
        <w:rPr>
          <w:rStyle w:val="CharSectno"/>
        </w:rPr>
        <w:t>6</w:t>
      </w:r>
      <w:r>
        <w:rPr>
          <w:snapToGrid w:val="0"/>
        </w:rPr>
        <w:t>.</w:t>
      </w:r>
      <w:r>
        <w:rPr>
          <w:snapToGrid w:val="0"/>
        </w:rPr>
        <w:tab/>
        <w:t>Modification of application of Act by regulation</w:t>
      </w:r>
      <w:bookmarkEnd w:id="35"/>
      <w:bookmarkEnd w:id="36"/>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37" w:name="_Toc38006936"/>
      <w:bookmarkStart w:id="38" w:name="_Toc25842899"/>
      <w:r>
        <w:rPr>
          <w:rStyle w:val="CharSectno"/>
        </w:rPr>
        <w:t>7</w:t>
      </w:r>
      <w:r>
        <w:rPr>
          <w:snapToGrid w:val="0"/>
        </w:rPr>
        <w:t>.</w:t>
      </w:r>
      <w:r>
        <w:rPr>
          <w:snapToGrid w:val="0"/>
        </w:rPr>
        <w:tab/>
      </w:r>
      <w:r>
        <w:rPr>
          <w:bCs/>
        </w:rPr>
        <w:t>Transitional provisions relating to commencement of this Act</w:t>
      </w:r>
      <w:bookmarkEnd w:id="37"/>
      <w:bookmarkEnd w:id="3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39" w:name="_Toc38006734"/>
      <w:bookmarkStart w:id="40" w:name="_Toc38006937"/>
      <w:bookmarkStart w:id="41" w:name="_Toc2153287"/>
      <w:bookmarkStart w:id="42" w:name="_Toc2160121"/>
      <w:bookmarkStart w:id="43" w:name="_Toc2160845"/>
      <w:bookmarkStart w:id="44" w:name="_Toc5621468"/>
      <w:bookmarkStart w:id="45" w:name="_Toc5632875"/>
      <w:bookmarkStart w:id="46" w:name="_Toc5719254"/>
      <w:bookmarkStart w:id="47" w:name="_Toc22915768"/>
      <w:bookmarkStart w:id="48" w:name="_Toc22915968"/>
      <w:bookmarkStart w:id="49" w:name="_Toc25842900"/>
      <w:r>
        <w:rPr>
          <w:rStyle w:val="CharPartNo"/>
        </w:rPr>
        <w:t>Part II</w:t>
      </w:r>
      <w:r>
        <w:rPr>
          <w:rStyle w:val="CharDivNo"/>
        </w:rPr>
        <w:t> </w:t>
      </w:r>
      <w:r>
        <w:t>—</w:t>
      </w:r>
      <w:r>
        <w:rPr>
          <w:rStyle w:val="CharDivText"/>
        </w:rPr>
        <w:t> </w:t>
      </w:r>
      <w:r>
        <w:rPr>
          <w:rStyle w:val="CharPartText"/>
        </w:rPr>
        <w:t>Administration</w:t>
      </w:r>
      <w:bookmarkEnd w:id="39"/>
      <w:bookmarkEnd w:id="40"/>
      <w:bookmarkEnd w:id="41"/>
      <w:bookmarkEnd w:id="42"/>
      <w:bookmarkEnd w:id="43"/>
      <w:bookmarkEnd w:id="44"/>
      <w:bookmarkEnd w:id="45"/>
      <w:bookmarkEnd w:id="46"/>
      <w:bookmarkEnd w:id="47"/>
      <w:bookmarkEnd w:id="48"/>
      <w:bookmarkEnd w:id="49"/>
    </w:p>
    <w:p>
      <w:pPr>
        <w:pStyle w:val="Heading5"/>
      </w:pPr>
      <w:bookmarkStart w:id="50" w:name="_Toc38006938"/>
      <w:bookmarkStart w:id="51" w:name="_Toc25842901"/>
      <w:r>
        <w:rPr>
          <w:rStyle w:val="CharSectno"/>
        </w:rPr>
        <w:t>7A</w:t>
      </w:r>
      <w:r>
        <w:t>.</w:t>
      </w:r>
      <w:r>
        <w:tab/>
        <w:t>Commissioner</w:t>
      </w:r>
      <w:bookmarkEnd w:id="50"/>
      <w:bookmarkEnd w:id="5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52" w:name="_Toc38006939"/>
      <w:bookmarkStart w:id="53" w:name="_Toc25842902"/>
      <w:r>
        <w:rPr>
          <w:rStyle w:val="CharSectno"/>
        </w:rPr>
        <w:t>8</w:t>
      </w:r>
      <w:r>
        <w:rPr>
          <w:snapToGrid w:val="0"/>
        </w:rPr>
        <w:t>.</w:t>
      </w:r>
      <w:r>
        <w:rPr>
          <w:snapToGrid w:val="0"/>
        </w:rPr>
        <w:tab/>
        <w:t>Functions of Commissioner</w:t>
      </w:r>
      <w:bookmarkEnd w:id="52"/>
      <w:bookmarkEnd w:id="53"/>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54" w:name="_Toc38006940"/>
      <w:bookmarkStart w:id="55" w:name="_Toc25842903"/>
      <w:r>
        <w:rPr>
          <w:rStyle w:val="CharSectno"/>
        </w:rPr>
        <w:t>9</w:t>
      </w:r>
      <w:r>
        <w:rPr>
          <w:snapToGrid w:val="0"/>
        </w:rPr>
        <w:t>.</w:t>
      </w:r>
      <w:r>
        <w:rPr>
          <w:snapToGrid w:val="0"/>
        </w:rPr>
        <w:tab/>
        <w:t>Commissioner may institute or defend proceedings for party</w:t>
      </w:r>
      <w:bookmarkEnd w:id="54"/>
      <w:bookmarkEnd w:id="55"/>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56" w:name="_Toc38006941"/>
      <w:bookmarkStart w:id="57" w:name="_Toc25842904"/>
      <w:r>
        <w:rPr>
          <w:rStyle w:val="CharSectno"/>
        </w:rPr>
        <w:t>10</w:t>
      </w:r>
      <w:r>
        <w:rPr>
          <w:snapToGrid w:val="0"/>
        </w:rPr>
        <w:t>.</w:t>
      </w:r>
      <w:r>
        <w:rPr>
          <w:snapToGrid w:val="0"/>
        </w:rPr>
        <w:tab/>
        <w:t>Delegation by Commissioner</w:t>
      </w:r>
      <w:bookmarkEnd w:id="56"/>
      <w:bookmarkEnd w:id="57"/>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58" w:name="_Toc38006942"/>
      <w:bookmarkStart w:id="59" w:name="_Toc25842905"/>
      <w:r>
        <w:rPr>
          <w:rStyle w:val="CharSectno"/>
        </w:rPr>
        <w:t>11</w:t>
      </w:r>
      <w:r>
        <w:rPr>
          <w:snapToGrid w:val="0"/>
        </w:rPr>
        <w:t>.</w:t>
      </w:r>
      <w:r>
        <w:rPr>
          <w:snapToGrid w:val="0"/>
        </w:rPr>
        <w:tab/>
        <w:t>Protection of officers</w:t>
      </w:r>
      <w:bookmarkEnd w:id="58"/>
      <w:bookmarkEnd w:id="59"/>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60" w:name="_Toc38006943"/>
      <w:bookmarkStart w:id="61" w:name="_Toc25842906"/>
      <w:r>
        <w:rPr>
          <w:rStyle w:val="CharSectno"/>
        </w:rPr>
        <w:t>11A</w:t>
      </w:r>
      <w:r>
        <w:t>.</w:t>
      </w:r>
      <w:r>
        <w:tab/>
        <w:t>Information officially obtained to be confidential</w:t>
      </w:r>
      <w:bookmarkEnd w:id="60"/>
      <w:bookmarkEnd w:id="6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62" w:name="_Toc38006944"/>
      <w:bookmarkStart w:id="63" w:name="_Toc25842907"/>
      <w:r>
        <w:rPr>
          <w:rStyle w:val="CharSectno"/>
        </w:rPr>
        <w:t>11B</w:t>
      </w:r>
      <w:r>
        <w:t>.</w:t>
      </w:r>
      <w:r>
        <w:tab/>
        <w:t>Powers of investigation</w:t>
      </w:r>
      <w:bookmarkEnd w:id="62"/>
      <w:bookmarkEnd w:id="63"/>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64" w:name="_Toc38006742"/>
      <w:bookmarkStart w:id="65" w:name="_Toc38006945"/>
      <w:bookmarkStart w:id="66" w:name="_Toc2153295"/>
      <w:bookmarkStart w:id="67" w:name="_Toc2160129"/>
      <w:bookmarkStart w:id="68" w:name="_Toc2160853"/>
      <w:bookmarkStart w:id="69" w:name="_Toc5621476"/>
      <w:bookmarkStart w:id="70" w:name="_Toc5632883"/>
      <w:bookmarkStart w:id="71" w:name="_Toc5719262"/>
      <w:bookmarkStart w:id="72" w:name="_Toc22915776"/>
      <w:bookmarkStart w:id="73" w:name="_Toc22915976"/>
      <w:bookmarkStart w:id="74" w:name="_Toc25842908"/>
      <w:r>
        <w:rPr>
          <w:rStyle w:val="CharPartNo"/>
        </w:rPr>
        <w:t>Part III</w:t>
      </w:r>
      <w:r>
        <w:rPr>
          <w:rStyle w:val="CharDivNo"/>
        </w:rPr>
        <w:t> </w:t>
      </w:r>
      <w:r>
        <w:t>—</w:t>
      </w:r>
      <w:r>
        <w:rPr>
          <w:rStyle w:val="CharDivText"/>
        </w:rPr>
        <w:t> </w:t>
      </w:r>
      <w:r>
        <w:rPr>
          <w:rStyle w:val="CharPartText"/>
        </w:rPr>
        <w:t>Determination of disputes</w:t>
      </w:r>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5"/>
      </w:pPr>
      <w:bookmarkStart w:id="75" w:name="_Toc38006946"/>
      <w:bookmarkStart w:id="76" w:name="_Toc25842909"/>
      <w:r>
        <w:rPr>
          <w:rStyle w:val="CharSectno"/>
        </w:rPr>
        <w:t>12</w:t>
      </w:r>
      <w:r>
        <w:t>.</w:t>
      </w:r>
      <w:r>
        <w:tab/>
        <w:t>Terms used</w:t>
      </w:r>
      <w:bookmarkEnd w:id="75"/>
      <w:bookmarkEnd w:id="76"/>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77" w:name="_Toc38006947"/>
      <w:bookmarkStart w:id="78" w:name="_Toc25842910"/>
      <w:r>
        <w:rPr>
          <w:rStyle w:val="CharSectno"/>
        </w:rPr>
        <w:t>12A</w:t>
      </w:r>
      <w:r>
        <w:t>.</w:t>
      </w:r>
      <w:r>
        <w:tab/>
      </w:r>
      <w:r>
        <w:rPr>
          <w:snapToGrid w:val="0"/>
        </w:rPr>
        <w:t>Jurisdiction</w:t>
      </w:r>
      <w:r>
        <w:t xml:space="preserve"> over </w:t>
      </w:r>
      <w:r>
        <w:rPr>
          <w:snapToGrid w:val="0"/>
        </w:rPr>
        <w:t>prescribed</w:t>
      </w:r>
      <w:r>
        <w:t xml:space="preserve"> disputes</w:t>
      </w:r>
      <w:bookmarkEnd w:id="77"/>
      <w:bookmarkEnd w:id="78"/>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79" w:name="_Toc38006948"/>
      <w:bookmarkStart w:id="80" w:name="_Toc25842911"/>
      <w:r>
        <w:rPr>
          <w:rStyle w:val="CharSectno"/>
        </w:rPr>
        <w:t>13</w:t>
      </w:r>
      <w:r>
        <w:t>.</w:t>
      </w:r>
      <w:r>
        <w:tab/>
        <w:t>Jurisdiction over other disputes</w:t>
      </w:r>
      <w:bookmarkEnd w:id="79"/>
      <w:bookmarkEnd w:id="80"/>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81" w:name="_Toc38006949"/>
      <w:bookmarkStart w:id="82" w:name="_Toc25842912"/>
      <w:r>
        <w:rPr>
          <w:rStyle w:val="CharSectno"/>
        </w:rPr>
        <w:t>13A</w:t>
      </w:r>
      <w:r>
        <w:t>.</w:t>
      </w:r>
      <w:r>
        <w:tab/>
      </w:r>
      <w:r>
        <w:rPr>
          <w:snapToGrid w:val="0"/>
        </w:rPr>
        <w:t>Magistrates</w:t>
      </w:r>
      <w:r>
        <w:t xml:space="preserve"> Court’s jurisdiction</w:t>
      </w:r>
      <w:bookmarkEnd w:id="81"/>
      <w:bookmarkEnd w:id="82"/>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83" w:name="_Toc38006950"/>
      <w:bookmarkStart w:id="84" w:name="_Toc25842913"/>
      <w:r>
        <w:rPr>
          <w:rStyle w:val="CharSectno"/>
        </w:rPr>
        <w:t>13B</w:t>
      </w:r>
      <w:r>
        <w:t>.</w:t>
      </w:r>
      <w:r>
        <w:tab/>
        <w:t>Appeals from decisions of registrar</w:t>
      </w:r>
      <w:bookmarkEnd w:id="83"/>
      <w:bookmarkEnd w:id="84"/>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rPr>
          <w:snapToGrid w:val="0"/>
        </w:rPr>
      </w:pPr>
      <w:bookmarkStart w:id="85" w:name="_Toc38006951"/>
      <w:bookmarkStart w:id="86" w:name="_Toc25842914"/>
      <w:r>
        <w:rPr>
          <w:rStyle w:val="CharSectno"/>
        </w:rPr>
        <w:t>14</w:t>
      </w:r>
      <w:r>
        <w:rPr>
          <w:snapToGrid w:val="0"/>
        </w:rPr>
        <w:t>.</w:t>
      </w:r>
      <w:r>
        <w:rPr>
          <w:snapToGrid w:val="0"/>
        </w:rPr>
        <w:tab/>
        <w:t>Time for determination of proceedings</w:t>
      </w:r>
      <w:bookmarkEnd w:id="85"/>
      <w:bookmarkEnd w:id="86"/>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87" w:name="_Toc38006952"/>
      <w:bookmarkStart w:id="88" w:name="_Toc25842915"/>
      <w:r>
        <w:rPr>
          <w:rStyle w:val="CharSectno"/>
        </w:rPr>
        <w:t>15</w:t>
      </w:r>
      <w:r>
        <w:rPr>
          <w:snapToGrid w:val="0"/>
        </w:rPr>
        <w:t>.</w:t>
      </w:r>
      <w:r>
        <w:rPr>
          <w:snapToGrid w:val="0"/>
        </w:rPr>
        <w:tab/>
        <w:t>Applications for relief and orders that may be made</w:t>
      </w:r>
      <w:bookmarkEnd w:id="87"/>
      <w:bookmarkEnd w:id="88"/>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89" w:name="_Toc38006953"/>
      <w:bookmarkStart w:id="90" w:name="_Toc25842916"/>
      <w:r>
        <w:rPr>
          <w:rStyle w:val="CharSectno"/>
        </w:rPr>
        <w:t>16</w:t>
      </w:r>
      <w:r>
        <w:rPr>
          <w:snapToGrid w:val="0"/>
        </w:rPr>
        <w:t>.</w:t>
      </w:r>
      <w:r>
        <w:rPr>
          <w:snapToGrid w:val="0"/>
        </w:rPr>
        <w:tab/>
        <w:t>Enforcement</w:t>
      </w:r>
      <w:bookmarkEnd w:id="89"/>
      <w:bookmarkEnd w:id="90"/>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91" w:name="_Toc38006954"/>
      <w:bookmarkStart w:id="92" w:name="_Toc25842917"/>
      <w:r>
        <w:rPr>
          <w:rStyle w:val="CharSectno"/>
        </w:rPr>
        <w:t>17A</w:t>
      </w:r>
      <w:r>
        <w:t>.</w:t>
      </w:r>
      <w:r>
        <w:tab/>
        <w:t>Disputes between tenants</w:t>
      </w:r>
      <w:bookmarkEnd w:id="91"/>
      <w:bookmarkEnd w:id="92"/>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93" w:name="_Toc38006955"/>
      <w:bookmarkStart w:id="94" w:name="_Toc25842918"/>
      <w:r>
        <w:rPr>
          <w:rStyle w:val="CharSectno"/>
        </w:rPr>
        <w:t>17B</w:t>
      </w:r>
      <w:r>
        <w:t>.</w:t>
      </w:r>
      <w:r>
        <w:tab/>
        <w:t>Determination of rights and liabilities after termination of tenant’s interest on grounds of family violence</w:t>
      </w:r>
      <w:bookmarkEnd w:id="93"/>
      <w:bookmarkEnd w:id="94"/>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95" w:name="_Toc38006956"/>
      <w:bookmarkStart w:id="96" w:name="_Toc25842919"/>
      <w:r>
        <w:rPr>
          <w:rStyle w:val="CharSectno"/>
        </w:rPr>
        <w:t>17</w:t>
      </w:r>
      <w:r>
        <w:rPr>
          <w:snapToGrid w:val="0"/>
        </w:rPr>
        <w:t>.</w:t>
      </w:r>
      <w:r>
        <w:rPr>
          <w:snapToGrid w:val="0"/>
        </w:rPr>
        <w:tab/>
        <w:t>Application to vary or set aside order</w:t>
      </w:r>
      <w:bookmarkEnd w:id="95"/>
      <w:bookmarkEnd w:id="96"/>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97" w:name="_Toc38006957"/>
      <w:bookmarkStart w:id="98" w:name="_Toc25842920"/>
      <w:r>
        <w:rPr>
          <w:rStyle w:val="CharSectno"/>
        </w:rPr>
        <w:t>18</w:t>
      </w:r>
      <w:r>
        <w:rPr>
          <w:snapToGrid w:val="0"/>
        </w:rPr>
        <w:t>.</w:t>
      </w:r>
      <w:r>
        <w:rPr>
          <w:snapToGrid w:val="0"/>
        </w:rPr>
        <w:tab/>
        <w:t>Form of applications and notice of hearing</w:t>
      </w:r>
      <w:bookmarkEnd w:id="97"/>
      <w:bookmarkEnd w:id="98"/>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99" w:name="_Toc38006958"/>
      <w:bookmarkStart w:id="100" w:name="_Toc25842921"/>
      <w:r>
        <w:rPr>
          <w:rStyle w:val="CharSectno"/>
        </w:rPr>
        <w:t>19</w:t>
      </w:r>
      <w:r>
        <w:rPr>
          <w:snapToGrid w:val="0"/>
        </w:rPr>
        <w:t>.</w:t>
      </w:r>
      <w:r>
        <w:rPr>
          <w:snapToGrid w:val="0"/>
        </w:rPr>
        <w:tab/>
        <w:t>Witnesses and inspection of documents</w:t>
      </w:r>
      <w:bookmarkEnd w:id="99"/>
      <w:bookmarkEnd w:id="100"/>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101" w:name="_Toc38006959"/>
      <w:bookmarkStart w:id="102" w:name="_Toc25842922"/>
      <w:r>
        <w:rPr>
          <w:rStyle w:val="CharSectno"/>
        </w:rPr>
        <w:t>20</w:t>
      </w:r>
      <w:r>
        <w:rPr>
          <w:snapToGrid w:val="0"/>
        </w:rPr>
        <w:t>.</w:t>
      </w:r>
      <w:r>
        <w:rPr>
          <w:snapToGrid w:val="0"/>
        </w:rPr>
        <w:tab/>
        <w:t>General powers in proceedings</w:t>
      </w:r>
      <w:bookmarkEnd w:id="101"/>
      <w:bookmarkEnd w:id="102"/>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103" w:name="_Toc38006960"/>
      <w:bookmarkStart w:id="104" w:name="_Toc25842923"/>
      <w:r>
        <w:rPr>
          <w:rStyle w:val="CharSectno"/>
        </w:rPr>
        <w:t>21</w:t>
      </w:r>
      <w:r>
        <w:t>.</w:t>
      </w:r>
      <w:r>
        <w:tab/>
        <w:t>Evidence</w:t>
      </w:r>
      <w:bookmarkEnd w:id="103"/>
      <w:bookmarkEnd w:id="104"/>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105" w:name="_Toc38006961"/>
      <w:bookmarkStart w:id="106" w:name="_Toc25842924"/>
      <w:r>
        <w:rPr>
          <w:rStyle w:val="CharSectno"/>
        </w:rPr>
        <w:t>22</w:t>
      </w:r>
      <w:r>
        <w:rPr>
          <w:snapToGrid w:val="0"/>
        </w:rPr>
        <w:t>.</w:t>
      </w:r>
      <w:r>
        <w:rPr>
          <w:snapToGrid w:val="0"/>
        </w:rPr>
        <w:tab/>
        <w:t>Presentation of cases</w:t>
      </w:r>
      <w:bookmarkEnd w:id="105"/>
      <w:bookmarkEnd w:id="106"/>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A party to any proceedings may be represented or assisted by an agent in the presentation of the party’s case if</w:t>
      </w:r>
      <w:del w:id="107" w:author="svcMRProcess" w:date="2020-04-17T17:55:00Z">
        <w:r>
          <w:delText xml:space="preserve"> the agent is authorised by the party to do so and is</w:delText>
        </w:r>
      </w:del>
      <w:r>
        <w:t xml:space="preserve"> — </w:t>
      </w:r>
    </w:p>
    <w:p>
      <w:pPr>
        <w:pStyle w:val="Indenta"/>
        <w:rPr>
          <w:ins w:id="108" w:author="svcMRProcess" w:date="2020-04-17T17:55:00Z"/>
        </w:rPr>
      </w:pPr>
      <w:r>
        <w:tab/>
        <w:t>(a)</w:t>
      </w:r>
      <w:r>
        <w:tab/>
        <w:t xml:space="preserve">the </w:t>
      </w:r>
      <w:ins w:id="109" w:author="svcMRProcess" w:date="2020-04-17T17:55:00Z">
        <w:r>
          <w:t xml:space="preserve">agent is authorised by the party to do so and is — </w:t>
        </w:r>
      </w:ins>
    </w:p>
    <w:p>
      <w:pPr>
        <w:pStyle w:val="Indenti"/>
      </w:pPr>
      <w:ins w:id="110" w:author="svcMRProcess" w:date="2020-04-17T17:55:00Z">
        <w:r>
          <w:tab/>
          <w:t>(i)</w:t>
        </w:r>
        <w:r>
          <w:tab/>
          <w:t xml:space="preserve">the </w:t>
        </w:r>
      </w:ins>
      <w:r>
        <w:t>property manager of the premises the subject of the proceedings; or</w:t>
      </w:r>
    </w:p>
    <w:p>
      <w:pPr>
        <w:pStyle w:val="Indenti"/>
      </w:pPr>
      <w:r>
        <w:tab/>
        <w:t>(</w:t>
      </w:r>
      <w:del w:id="111" w:author="svcMRProcess" w:date="2020-04-17T17:55:00Z">
        <w:r>
          <w:delText>b</w:delText>
        </w:r>
      </w:del>
      <w:ins w:id="112" w:author="svcMRProcess" w:date="2020-04-17T17:55:00Z">
        <w:r>
          <w:t>ii</w:t>
        </w:r>
      </w:ins>
      <w:r>
        <w:t>)</w:t>
      </w:r>
      <w:r>
        <w:tab/>
        <w:t>employed or engaged by a non</w:t>
      </w:r>
      <w:r>
        <w:noBreakHyphen/>
        <w:t>profit association or similar body to act as an advocate for tenants or lessors in proceedings</w:t>
      </w:r>
      <w:del w:id="113" w:author="svcMRProcess" w:date="2020-04-17T17:55:00Z">
        <w:r>
          <w:delText>.</w:delText>
        </w:r>
      </w:del>
      <w:ins w:id="114" w:author="svcMRProcess" w:date="2020-04-17T17:55:00Z">
        <w:r>
          <w:t>;</w:t>
        </w:r>
      </w:ins>
    </w:p>
    <w:p>
      <w:pPr>
        <w:pStyle w:val="Indenta"/>
        <w:rPr>
          <w:ins w:id="115" w:author="svcMRProcess" w:date="2020-04-17T17:55:00Z"/>
        </w:rPr>
      </w:pPr>
      <w:ins w:id="116" w:author="svcMRProcess" w:date="2020-04-17T17:55:00Z">
        <w:r>
          <w:tab/>
        </w:r>
        <w:r>
          <w:tab/>
          <w:t>or</w:t>
        </w:r>
      </w:ins>
    </w:p>
    <w:p>
      <w:pPr>
        <w:pStyle w:val="Indenta"/>
        <w:rPr>
          <w:ins w:id="117" w:author="svcMRProcess" w:date="2020-04-17T17:55:00Z"/>
        </w:rPr>
      </w:pPr>
      <w:ins w:id="118" w:author="svcMRProcess" w:date="2020-04-17T17:55:00Z">
        <w:r>
          <w:tab/>
          <w:t>(b)</w:t>
        </w:r>
        <w:r>
          <w:tab/>
          <w:t>the court makes an order under subsection (3C).</w:t>
        </w:r>
      </w:ins>
    </w:p>
    <w:p>
      <w:pPr>
        <w:pStyle w:val="Subsection"/>
      </w:pPr>
      <w:r>
        <w:tab/>
        <w:t>(3A)</w:t>
      </w:r>
      <w:r>
        <w:tab/>
        <w:t xml:space="preserve">The authorisation </w:t>
      </w:r>
      <w:ins w:id="119" w:author="svcMRProcess" w:date="2020-04-17T17:55:00Z">
        <w:r>
          <w:t xml:space="preserve">mentioned in subsection (2)(a) </w:t>
        </w:r>
      </w:ins>
      <w:r>
        <w:t xml:space="preserve">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ins w:id="120" w:author="svcMRProcess" w:date="2020-04-17T17:55:00Z"/>
        </w:rPr>
      </w:pPr>
      <w:ins w:id="121" w:author="svcMRProcess" w:date="2020-04-17T17:55:00Z">
        <w:r>
          <w:tab/>
          <w:t>(3B)</w:t>
        </w:r>
        <w:r>
          <w:tab/>
          <w:t xml:space="preserve">Without limiting how an agent representing or assisting a party under subsection (2)(a) may represent or assist the party, the agent may initiate proceedings on behalf of the party. </w:t>
        </w:r>
      </w:ins>
    </w:p>
    <w:p>
      <w:pPr>
        <w:pStyle w:val="Subsection"/>
        <w:keepNext/>
        <w:rPr>
          <w:ins w:id="122" w:author="svcMRProcess" w:date="2020-04-17T17:55:00Z"/>
        </w:rPr>
      </w:pPr>
      <w:ins w:id="123" w:author="svcMRProcess" w:date="2020-04-17T17:55:00Z">
        <w:r>
          <w:tab/>
          <w:t>(3C)</w:t>
        </w:r>
        <w:r>
          <w:tab/>
          <w:t xml:space="preserve">The court may order that a party to proceedings may be represented or assisted by an agent in the presentation of the party’s case if the court hearing the proceeding is satisfied that — </w:t>
        </w:r>
      </w:ins>
    </w:p>
    <w:p>
      <w:pPr>
        <w:pStyle w:val="Indenta"/>
        <w:rPr>
          <w:ins w:id="124" w:author="svcMRProcess" w:date="2020-04-17T17:55:00Z"/>
        </w:rPr>
      </w:pPr>
      <w:ins w:id="125" w:author="svcMRProcess" w:date="2020-04-17T17:55:00Z">
        <w:r>
          <w:tab/>
          <w:t>(a)</w:t>
        </w:r>
        <w:r>
          <w:tab/>
          <w:t>the party is unable to appear personally or conduct the proceedings on the party’s own behalf; and</w:t>
        </w:r>
      </w:ins>
    </w:p>
    <w:p>
      <w:pPr>
        <w:pStyle w:val="Indenta"/>
        <w:rPr>
          <w:ins w:id="126" w:author="svcMRProcess" w:date="2020-04-17T17:55:00Z"/>
        </w:rPr>
      </w:pPr>
      <w:ins w:id="127" w:author="svcMRProcess" w:date="2020-04-17T17:55:00Z">
        <w:r>
          <w:tab/>
          <w:t>(b)</w:t>
        </w:r>
        <w:r>
          <w:tab/>
          <w:t>another party to the proceedings will not be disadvantaged by the party being represented by, or assisted by, the agent.</w:t>
        </w:r>
      </w:ins>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[Section 22 amended: No. 50 of 1988 s. 18; No. 65 of 2003 s. 61; No. 59 of 2004 s. 120(3); No. 21 of 2008 s. 698; No. 60 of 2011 s. 19; No. 3 of 2019 s. </w:t>
      </w:r>
      <w:del w:id="128" w:author="svcMRProcess" w:date="2020-04-17T17:55:00Z">
        <w:r>
          <w:delText>25</w:delText>
        </w:r>
      </w:del>
      <w:ins w:id="129" w:author="svcMRProcess" w:date="2020-04-17T17:55:00Z">
        <w:r>
          <w:t>25; No. 25 of 2019 s. 65</w:t>
        </w:r>
      </w:ins>
      <w:r>
        <w:t xml:space="preserve">.] </w:t>
      </w:r>
    </w:p>
    <w:p>
      <w:pPr>
        <w:pStyle w:val="Heading5"/>
        <w:rPr>
          <w:snapToGrid w:val="0"/>
        </w:rPr>
      </w:pPr>
      <w:bookmarkStart w:id="130" w:name="_Toc38006962"/>
      <w:bookmarkStart w:id="131" w:name="_Toc25842925"/>
      <w:r>
        <w:rPr>
          <w:rStyle w:val="CharSectno"/>
        </w:rPr>
        <w:t>23</w:t>
      </w:r>
      <w:r>
        <w:rPr>
          <w:snapToGrid w:val="0"/>
        </w:rPr>
        <w:t>.</w:t>
      </w:r>
      <w:r>
        <w:rPr>
          <w:snapToGrid w:val="0"/>
        </w:rPr>
        <w:tab/>
        <w:t>Settlement by conciliation</w:t>
      </w:r>
      <w:bookmarkEnd w:id="130"/>
      <w:bookmarkEnd w:id="131"/>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132" w:name="_Toc38006963"/>
      <w:bookmarkStart w:id="133" w:name="_Toc25842926"/>
      <w:r>
        <w:rPr>
          <w:rStyle w:val="CharSectno"/>
        </w:rPr>
        <w:t>24</w:t>
      </w:r>
      <w:r>
        <w:rPr>
          <w:snapToGrid w:val="0"/>
        </w:rPr>
        <w:t>.</w:t>
      </w:r>
      <w:r>
        <w:rPr>
          <w:snapToGrid w:val="0"/>
        </w:rPr>
        <w:tab/>
        <w:t>Costs</w:t>
      </w:r>
      <w:bookmarkEnd w:id="132"/>
      <w:bookmarkEnd w:id="133"/>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134" w:name="_Toc38006964"/>
      <w:bookmarkStart w:id="135" w:name="_Toc25842927"/>
      <w:r>
        <w:rPr>
          <w:rStyle w:val="CharSectno"/>
        </w:rPr>
        <w:t>25</w:t>
      </w:r>
      <w:r>
        <w:rPr>
          <w:snapToGrid w:val="0"/>
        </w:rPr>
        <w:t>.</w:t>
      </w:r>
      <w:r>
        <w:rPr>
          <w:snapToGrid w:val="0"/>
        </w:rPr>
        <w:tab/>
        <w:t>Reservation of question of law</w:t>
      </w:r>
      <w:bookmarkEnd w:id="134"/>
      <w:bookmarkEnd w:id="13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136" w:name="_Toc38006965"/>
      <w:bookmarkStart w:id="137" w:name="_Toc25842928"/>
      <w:r>
        <w:rPr>
          <w:rStyle w:val="CharSectno"/>
        </w:rPr>
        <w:t>26</w:t>
      </w:r>
      <w:r>
        <w:rPr>
          <w:snapToGrid w:val="0"/>
        </w:rPr>
        <w:t>.</w:t>
      </w:r>
      <w:r>
        <w:rPr>
          <w:snapToGrid w:val="0"/>
        </w:rPr>
        <w:tab/>
        <w:t>Finality of proceedings</w:t>
      </w:r>
      <w:bookmarkEnd w:id="136"/>
      <w:bookmarkEnd w:id="137"/>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2"/>
      </w:pPr>
      <w:bookmarkStart w:id="138" w:name="_Toc38006763"/>
      <w:bookmarkStart w:id="139" w:name="_Toc38006966"/>
      <w:bookmarkStart w:id="140" w:name="_Toc2153315"/>
      <w:bookmarkStart w:id="141" w:name="_Toc2160149"/>
      <w:bookmarkStart w:id="142" w:name="_Toc2160873"/>
      <w:bookmarkStart w:id="143" w:name="_Toc5621496"/>
      <w:bookmarkStart w:id="144" w:name="_Toc5632904"/>
      <w:bookmarkStart w:id="145" w:name="_Toc5719283"/>
      <w:bookmarkStart w:id="146" w:name="_Toc22915797"/>
      <w:bookmarkStart w:id="147" w:name="_Toc22915997"/>
      <w:bookmarkStart w:id="148" w:name="_Toc25842929"/>
      <w:r>
        <w:rPr>
          <w:rStyle w:val="CharPartNo"/>
        </w:rPr>
        <w:t>Part IV</w:t>
      </w:r>
      <w:r>
        <w:t> — </w:t>
      </w:r>
      <w:r>
        <w:rPr>
          <w:rStyle w:val="CharPartText"/>
        </w:rPr>
        <w:t>Residential tenancy agreements</w:t>
      </w:r>
      <w:bookmarkEnd w:id="138"/>
      <w:bookmarkEnd w:id="139"/>
      <w:bookmarkEnd w:id="140"/>
      <w:bookmarkEnd w:id="141"/>
      <w:bookmarkEnd w:id="142"/>
      <w:bookmarkEnd w:id="143"/>
      <w:bookmarkEnd w:id="144"/>
      <w:bookmarkEnd w:id="145"/>
      <w:bookmarkEnd w:id="146"/>
      <w:bookmarkEnd w:id="147"/>
      <w:bookmarkEnd w:id="148"/>
    </w:p>
    <w:p>
      <w:pPr>
        <w:pStyle w:val="Footnoteheading"/>
      </w:pPr>
      <w:r>
        <w:tab/>
        <w:t>[Heading inserted: No. 60 of 2011 s. 21.]</w:t>
      </w:r>
    </w:p>
    <w:p>
      <w:pPr>
        <w:pStyle w:val="Heading3"/>
      </w:pPr>
      <w:bookmarkStart w:id="149" w:name="_Toc38006764"/>
      <w:bookmarkStart w:id="150" w:name="_Toc38006967"/>
      <w:bookmarkStart w:id="151" w:name="_Toc2153316"/>
      <w:bookmarkStart w:id="152" w:name="_Toc2160150"/>
      <w:bookmarkStart w:id="153" w:name="_Toc2160874"/>
      <w:bookmarkStart w:id="154" w:name="_Toc5621497"/>
      <w:bookmarkStart w:id="155" w:name="_Toc5632905"/>
      <w:bookmarkStart w:id="156" w:name="_Toc5719284"/>
      <w:bookmarkStart w:id="157" w:name="_Toc22915798"/>
      <w:bookmarkStart w:id="158" w:name="_Toc22915998"/>
      <w:bookmarkStart w:id="159" w:name="_Toc25842930"/>
      <w:r>
        <w:rPr>
          <w:rStyle w:val="CharDivNo"/>
        </w:rPr>
        <w:t>Division 1A</w:t>
      </w:r>
      <w:r>
        <w:t> — </w:t>
      </w:r>
      <w:r>
        <w:rPr>
          <w:rStyle w:val="CharDivText"/>
        </w:rPr>
        <w:t>Form of residential tenancy agreement and associated documents</w:t>
      </w:r>
      <w:bookmarkEnd w:id="149"/>
      <w:bookmarkEnd w:id="150"/>
      <w:bookmarkEnd w:id="151"/>
      <w:bookmarkEnd w:id="152"/>
      <w:bookmarkEnd w:id="153"/>
      <w:bookmarkEnd w:id="154"/>
      <w:bookmarkEnd w:id="155"/>
      <w:bookmarkEnd w:id="156"/>
      <w:bookmarkEnd w:id="157"/>
      <w:bookmarkEnd w:id="158"/>
      <w:bookmarkEnd w:id="159"/>
    </w:p>
    <w:p>
      <w:pPr>
        <w:pStyle w:val="Footnoteheading"/>
      </w:pPr>
      <w:r>
        <w:tab/>
        <w:t>[Heading inserted: No. 60 of 2011 s. 22.]</w:t>
      </w:r>
    </w:p>
    <w:p>
      <w:pPr>
        <w:pStyle w:val="Heading5"/>
      </w:pPr>
      <w:bookmarkStart w:id="160" w:name="_Toc38006968"/>
      <w:bookmarkStart w:id="161" w:name="_Toc25842931"/>
      <w:r>
        <w:rPr>
          <w:rStyle w:val="CharSectno"/>
        </w:rPr>
        <w:t>27A</w:t>
      </w:r>
      <w:r>
        <w:t>.</w:t>
      </w:r>
      <w:r>
        <w:tab/>
        <w:t>Written residential tenancy agreement to be in prescribed form</w:t>
      </w:r>
      <w:bookmarkEnd w:id="160"/>
      <w:bookmarkEnd w:id="161"/>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162" w:name="_Toc38006969"/>
      <w:bookmarkStart w:id="163" w:name="_Toc25842932"/>
      <w:r>
        <w:rPr>
          <w:rStyle w:val="CharSectno"/>
        </w:rPr>
        <w:t>27B</w:t>
      </w:r>
      <w:r>
        <w:t>.</w:t>
      </w:r>
      <w:r>
        <w:tab/>
        <w:t>Information to be given to tenant by lessor</w:t>
      </w:r>
      <w:bookmarkEnd w:id="162"/>
      <w:bookmarkEnd w:id="163"/>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164" w:name="_Toc38006970"/>
      <w:bookmarkStart w:id="165" w:name="_Toc25842933"/>
      <w:r>
        <w:rPr>
          <w:rStyle w:val="CharSectno"/>
        </w:rPr>
        <w:t>27C</w:t>
      </w:r>
      <w:r>
        <w:t>.</w:t>
      </w:r>
      <w:r>
        <w:tab/>
      </w:r>
      <w:r>
        <w:rPr>
          <w:snapToGrid w:val="0"/>
        </w:rPr>
        <w:t>Property condition report at start and end of tenancy</w:t>
      </w:r>
      <w:bookmarkEnd w:id="164"/>
      <w:bookmarkEnd w:id="165"/>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166" w:name="_Toc38006768"/>
      <w:bookmarkStart w:id="167" w:name="_Toc38006971"/>
      <w:bookmarkStart w:id="168" w:name="_Toc2153320"/>
      <w:bookmarkStart w:id="169" w:name="_Toc2160154"/>
      <w:bookmarkStart w:id="170" w:name="_Toc2160878"/>
      <w:bookmarkStart w:id="171" w:name="_Toc5621501"/>
      <w:bookmarkStart w:id="172" w:name="_Toc5632909"/>
      <w:bookmarkStart w:id="173" w:name="_Toc5719288"/>
      <w:bookmarkStart w:id="174" w:name="_Toc22915802"/>
      <w:bookmarkStart w:id="175" w:name="_Toc22916002"/>
      <w:bookmarkStart w:id="176" w:name="_Toc25842934"/>
      <w:r>
        <w:rPr>
          <w:rStyle w:val="CharDivNo"/>
        </w:rPr>
        <w:t>Division 1</w:t>
      </w:r>
      <w:r>
        <w:rPr>
          <w:snapToGrid w:val="0"/>
        </w:rPr>
        <w:t> — </w:t>
      </w:r>
      <w:r>
        <w:rPr>
          <w:rStyle w:val="CharDivText"/>
        </w:rPr>
        <w:t>Rent and security bonds</w:t>
      </w:r>
      <w:bookmarkEnd w:id="166"/>
      <w:bookmarkEnd w:id="167"/>
      <w:bookmarkEnd w:id="168"/>
      <w:bookmarkEnd w:id="169"/>
      <w:bookmarkEnd w:id="170"/>
      <w:bookmarkEnd w:id="171"/>
      <w:bookmarkEnd w:id="172"/>
      <w:bookmarkEnd w:id="173"/>
      <w:bookmarkEnd w:id="174"/>
      <w:bookmarkEnd w:id="175"/>
      <w:bookmarkEnd w:id="176"/>
    </w:p>
    <w:p>
      <w:pPr>
        <w:pStyle w:val="Heading5"/>
        <w:spacing w:before="160"/>
        <w:rPr>
          <w:snapToGrid w:val="0"/>
        </w:rPr>
      </w:pPr>
      <w:bookmarkStart w:id="177" w:name="_Toc38006972"/>
      <w:bookmarkStart w:id="178" w:name="_Toc25842935"/>
      <w:r>
        <w:rPr>
          <w:rStyle w:val="CharSectno"/>
        </w:rPr>
        <w:t>27</w:t>
      </w:r>
      <w:r>
        <w:rPr>
          <w:snapToGrid w:val="0"/>
        </w:rPr>
        <w:t>.</w:t>
      </w:r>
      <w:r>
        <w:rPr>
          <w:snapToGrid w:val="0"/>
        </w:rPr>
        <w:tab/>
        <w:t>Restriction on consideration for tenancy agreement</w:t>
      </w:r>
      <w:bookmarkEnd w:id="177"/>
      <w:bookmarkEnd w:id="178"/>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179" w:name="_Toc38006973"/>
      <w:bookmarkStart w:id="180" w:name="_Toc25842936"/>
      <w:r>
        <w:rPr>
          <w:rStyle w:val="CharSectno"/>
        </w:rPr>
        <w:t>28</w:t>
      </w:r>
      <w:r>
        <w:rPr>
          <w:snapToGrid w:val="0"/>
        </w:rPr>
        <w:t>.</w:t>
      </w:r>
      <w:r>
        <w:rPr>
          <w:snapToGrid w:val="0"/>
        </w:rPr>
        <w:tab/>
        <w:t>Rent in advance</w:t>
      </w:r>
      <w:bookmarkEnd w:id="179"/>
      <w:bookmarkEnd w:id="180"/>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181" w:name="_Toc38006974"/>
      <w:bookmarkStart w:id="182" w:name="_Toc25842937"/>
      <w:r>
        <w:rPr>
          <w:rStyle w:val="CharSectno"/>
        </w:rPr>
        <w:t>29</w:t>
      </w:r>
      <w:r>
        <w:rPr>
          <w:snapToGrid w:val="0"/>
        </w:rPr>
        <w:t>.</w:t>
      </w:r>
      <w:r>
        <w:rPr>
          <w:snapToGrid w:val="0"/>
        </w:rPr>
        <w:tab/>
        <w:t>Security bonds</w:t>
      </w:r>
      <w:bookmarkEnd w:id="181"/>
      <w:bookmarkEnd w:id="182"/>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183" w:name="_Toc38006975"/>
      <w:bookmarkStart w:id="184" w:name="_Toc25842938"/>
      <w:r>
        <w:rPr>
          <w:rStyle w:val="CharSectno"/>
        </w:rPr>
        <w:t>30</w:t>
      </w:r>
      <w:r>
        <w:rPr>
          <w:snapToGrid w:val="0"/>
        </w:rPr>
        <w:t>.</w:t>
      </w:r>
      <w:r>
        <w:rPr>
          <w:snapToGrid w:val="0"/>
        </w:rPr>
        <w:tab/>
        <w:t>Variation of rent (except where calculated by reference to tenant’s income)</w:t>
      </w:r>
      <w:bookmarkEnd w:id="183"/>
      <w:bookmarkEnd w:id="184"/>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185" w:name="_Toc38006976"/>
      <w:bookmarkStart w:id="186" w:name="_Toc25842939"/>
      <w:r>
        <w:rPr>
          <w:rStyle w:val="CharSectno"/>
        </w:rPr>
        <w:t>31A</w:t>
      </w:r>
      <w:r>
        <w:t>.</w:t>
      </w:r>
      <w:r>
        <w:tab/>
        <w:t>Variation of rent where calculated by reference to tenant’s income</w:t>
      </w:r>
      <w:bookmarkEnd w:id="185"/>
      <w:bookmarkEnd w:id="186"/>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187" w:name="_Toc38006977"/>
      <w:bookmarkStart w:id="188" w:name="_Toc25842940"/>
      <w:r>
        <w:rPr>
          <w:rStyle w:val="CharSectno"/>
        </w:rPr>
        <w:t>31B</w:t>
      </w:r>
      <w:r>
        <w:t>.</w:t>
      </w:r>
      <w:r>
        <w:tab/>
        <w:t>Increase in rent after renegotiating lease</w:t>
      </w:r>
      <w:bookmarkEnd w:id="187"/>
      <w:bookmarkEnd w:id="188"/>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189" w:name="_Toc38006978"/>
      <w:bookmarkStart w:id="190" w:name="_Toc25842941"/>
      <w:r>
        <w:rPr>
          <w:rStyle w:val="CharSectno"/>
        </w:rPr>
        <w:t>31</w:t>
      </w:r>
      <w:r>
        <w:rPr>
          <w:snapToGrid w:val="0"/>
        </w:rPr>
        <w:t>.</w:t>
      </w:r>
      <w:r>
        <w:rPr>
          <w:snapToGrid w:val="0"/>
        </w:rPr>
        <w:tab/>
        <w:t>Increase in security bond</w:t>
      </w:r>
      <w:bookmarkEnd w:id="189"/>
      <w:bookmarkEnd w:id="190"/>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191" w:name="_Toc38006979"/>
      <w:bookmarkStart w:id="192" w:name="_Toc25842942"/>
      <w:r>
        <w:rPr>
          <w:rStyle w:val="CharSectno"/>
        </w:rPr>
        <w:t>32</w:t>
      </w:r>
      <w:r>
        <w:rPr>
          <w:snapToGrid w:val="0"/>
        </w:rPr>
        <w:t>.</w:t>
      </w:r>
      <w:r>
        <w:rPr>
          <w:snapToGrid w:val="0"/>
        </w:rPr>
        <w:tab/>
        <w:t>Limitation of excessive rents in certain circumstances</w:t>
      </w:r>
      <w:bookmarkEnd w:id="191"/>
      <w:bookmarkEnd w:id="192"/>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193" w:name="_Toc38006980"/>
      <w:bookmarkStart w:id="194" w:name="_Toc25842943"/>
      <w:r>
        <w:rPr>
          <w:rStyle w:val="CharSectno"/>
        </w:rPr>
        <w:t>33</w:t>
      </w:r>
      <w:r>
        <w:rPr>
          <w:snapToGrid w:val="0"/>
        </w:rPr>
        <w:t>.</w:t>
      </w:r>
      <w:r>
        <w:rPr>
          <w:snapToGrid w:val="0"/>
        </w:rPr>
        <w:tab/>
        <w:t>Duty to give receipt for rent</w:t>
      </w:r>
      <w:bookmarkEnd w:id="193"/>
      <w:bookmarkEnd w:id="194"/>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195" w:name="_Toc38006981"/>
      <w:bookmarkStart w:id="196" w:name="_Toc25842944"/>
      <w:r>
        <w:rPr>
          <w:rStyle w:val="CharSectno"/>
        </w:rPr>
        <w:t>34A</w:t>
      </w:r>
      <w:r>
        <w:t>.</w:t>
      </w:r>
      <w:r>
        <w:tab/>
        <w:t>Manner of payment of rent</w:t>
      </w:r>
      <w:bookmarkEnd w:id="195"/>
      <w:bookmarkEnd w:id="196"/>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197" w:name="_Toc38006982"/>
      <w:bookmarkStart w:id="198" w:name="_Toc25842945"/>
      <w:r>
        <w:rPr>
          <w:rStyle w:val="CharSectno"/>
        </w:rPr>
        <w:t>34</w:t>
      </w:r>
      <w:r>
        <w:rPr>
          <w:snapToGrid w:val="0"/>
        </w:rPr>
        <w:t>.</w:t>
      </w:r>
      <w:r>
        <w:rPr>
          <w:snapToGrid w:val="0"/>
        </w:rPr>
        <w:tab/>
        <w:t>Proper records of rent to be kept</w:t>
      </w:r>
      <w:bookmarkEnd w:id="197"/>
      <w:bookmarkEnd w:id="198"/>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199" w:name="_Toc38006983"/>
      <w:bookmarkStart w:id="200" w:name="_Toc25842946"/>
      <w:r>
        <w:rPr>
          <w:rStyle w:val="CharSectno"/>
        </w:rPr>
        <w:t>35</w:t>
      </w:r>
      <w:r>
        <w:rPr>
          <w:snapToGrid w:val="0"/>
        </w:rPr>
        <w:t>.</w:t>
      </w:r>
      <w:r>
        <w:rPr>
          <w:snapToGrid w:val="0"/>
        </w:rPr>
        <w:tab/>
        <w:t>Payment of rent by post</w:t>
      </w:r>
      <w:r>
        <w:rPr>
          <w:snapToGrid w:val="0"/>
        </w:rPr>
        <w:noBreakHyphen/>
        <w:t>dated cheques etc. prohibited</w:t>
      </w:r>
      <w:bookmarkEnd w:id="199"/>
      <w:bookmarkEnd w:id="200"/>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201" w:name="_Toc38006984"/>
      <w:bookmarkStart w:id="202" w:name="_Toc25842947"/>
      <w:r>
        <w:rPr>
          <w:rStyle w:val="CharSectno"/>
        </w:rPr>
        <w:t>36</w:t>
      </w:r>
      <w:r>
        <w:rPr>
          <w:snapToGrid w:val="0"/>
        </w:rPr>
        <w:t>.</w:t>
      </w:r>
      <w:r>
        <w:rPr>
          <w:snapToGrid w:val="0"/>
        </w:rPr>
        <w:tab/>
        <w:t>Apportionment of rent</w:t>
      </w:r>
      <w:bookmarkEnd w:id="201"/>
      <w:bookmarkEnd w:id="202"/>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203" w:name="_Toc38006782"/>
      <w:bookmarkStart w:id="204" w:name="_Toc38006985"/>
      <w:bookmarkStart w:id="205" w:name="_Toc2153334"/>
      <w:bookmarkStart w:id="206" w:name="_Toc2160168"/>
      <w:bookmarkStart w:id="207" w:name="_Toc2160892"/>
      <w:bookmarkStart w:id="208" w:name="_Toc5621515"/>
      <w:bookmarkStart w:id="209" w:name="_Toc5632923"/>
      <w:bookmarkStart w:id="210" w:name="_Toc5719302"/>
      <w:bookmarkStart w:id="211" w:name="_Toc22915816"/>
      <w:bookmarkStart w:id="212" w:name="_Toc22916016"/>
      <w:bookmarkStart w:id="213" w:name="_Toc25842948"/>
      <w:r>
        <w:rPr>
          <w:rStyle w:val="CharDivNo"/>
        </w:rPr>
        <w:t>Division 2</w:t>
      </w:r>
      <w:r>
        <w:rPr>
          <w:snapToGrid w:val="0"/>
        </w:rPr>
        <w:t> — </w:t>
      </w:r>
      <w:r>
        <w:rPr>
          <w:rStyle w:val="CharDivText"/>
        </w:rPr>
        <w:t>Standard terms</w:t>
      </w:r>
      <w:bookmarkEnd w:id="203"/>
      <w:bookmarkEnd w:id="204"/>
      <w:bookmarkEnd w:id="205"/>
      <w:bookmarkEnd w:id="206"/>
      <w:bookmarkEnd w:id="207"/>
      <w:bookmarkEnd w:id="208"/>
      <w:bookmarkEnd w:id="209"/>
      <w:bookmarkEnd w:id="210"/>
      <w:bookmarkEnd w:id="211"/>
      <w:bookmarkEnd w:id="212"/>
      <w:bookmarkEnd w:id="213"/>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214" w:name="_Toc38006986"/>
      <w:bookmarkStart w:id="215" w:name="_Toc25842949"/>
      <w:r>
        <w:rPr>
          <w:rStyle w:val="CharSectno"/>
        </w:rPr>
        <w:t>38</w:t>
      </w:r>
      <w:r>
        <w:rPr>
          <w:snapToGrid w:val="0"/>
        </w:rPr>
        <w:t>.</w:t>
      </w:r>
      <w:r>
        <w:rPr>
          <w:snapToGrid w:val="0"/>
        </w:rPr>
        <w:tab/>
        <w:t>Tenant’s responsibility for cleanliness and damage</w:t>
      </w:r>
      <w:bookmarkEnd w:id="214"/>
      <w:bookmarkEnd w:id="215"/>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shall not intentionally or negligently cause or permit damage to the premises</w:t>
      </w:r>
      <w:ins w:id="216" w:author="svcMRProcess" w:date="2020-04-17T17:55:00Z">
        <w:r>
          <w:rPr>
            <w:snapToGrid w:val="0"/>
          </w:rPr>
          <w:t xml:space="preserve"> or, where relevant, a </w:t>
        </w:r>
        <w:r>
          <w:t>common area or chattels in the common area</w:t>
        </w:r>
      </w:ins>
      <w:r>
        <w:t>.</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w:t>
      </w:r>
      <w:ins w:id="217" w:author="svcMRProcess" w:date="2020-04-17T17:55:00Z">
        <w:r>
          <w:t>; No. 25 of 2019 s. 66</w:t>
        </w:r>
      </w:ins>
      <w:r>
        <w:t>.]</w:t>
      </w:r>
    </w:p>
    <w:p>
      <w:pPr>
        <w:pStyle w:val="Heading5"/>
        <w:rPr>
          <w:snapToGrid w:val="0"/>
        </w:rPr>
      </w:pPr>
      <w:bookmarkStart w:id="218" w:name="_Toc38006987"/>
      <w:bookmarkStart w:id="219" w:name="_Toc25842950"/>
      <w:r>
        <w:rPr>
          <w:rStyle w:val="CharSectno"/>
        </w:rPr>
        <w:t>39</w:t>
      </w:r>
      <w:r>
        <w:rPr>
          <w:snapToGrid w:val="0"/>
        </w:rPr>
        <w:t>.</w:t>
      </w:r>
      <w:r>
        <w:rPr>
          <w:snapToGrid w:val="0"/>
        </w:rPr>
        <w:tab/>
        <w:t>Tenant’s conduct on premises</w:t>
      </w:r>
      <w:bookmarkEnd w:id="218"/>
      <w:bookmarkEnd w:id="219"/>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220" w:name="_Toc38006988"/>
      <w:bookmarkStart w:id="221" w:name="_Toc25842951"/>
      <w:r>
        <w:rPr>
          <w:rStyle w:val="CharSectno"/>
        </w:rPr>
        <w:t>40</w:t>
      </w:r>
      <w:r>
        <w:t>.</w:t>
      </w:r>
      <w:r>
        <w:tab/>
        <w:t>Vacant possession</w:t>
      </w:r>
      <w:bookmarkEnd w:id="220"/>
      <w:bookmarkEnd w:id="221"/>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222" w:name="_Toc38006989"/>
      <w:bookmarkStart w:id="223" w:name="_Toc25842952"/>
      <w:r>
        <w:rPr>
          <w:rStyle w:val="CharSectno"/>
        </w:rPr>
        <w:t>41</w:t>
      </w:r>
      <w:r>
        <w:rPr>
          <w:snapToGrid w:val="0"/>
        </w:rPr>
        <w:t>.</w:t>
      </w:r>
      <w:r>
        <w:rPr>
          <w:snapToGrid w:val="0"/>
        </w:rPr>
        <w:tab/>
        <w:t>Legal impediments to occupation as residence</w:t>
      </w:r>
      <w:bookmarkEnd w:id="222"/>
      <w:bookmarkEnd w:id="223"/>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224" w:name="_Toc38006990"/>
      <w:bookmarkStart w:id="225" w:name="_Toc25842953"/>
      <w:r>
        <w:rPr>
          <w:rStyle w:val="CharSectno"/>
        </w:rPr>
        <w:t>42</w:t>
      </w:r>
      <w:r>
        <w:t>.</w:t>
      </w:r>
      <w:r>
        <w:tab/>
        <w:t>Lessor’s responsibility for cleanliness and repairs</w:t>
      </w:r>
      <w:bookmarkEnd w:id="224"/>
      <w:bookmarkEnd w:id="225"/>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226" w:name="_Toc38006991"/>
      <w:bookmarkStart w:id="227" w:name="_Toc25842954"/>
      <w:r>
        <w:rPr>
          <w:rStyle w:val="CharSectno"/>
        </w:rPr>
        <w:t>43</w:t>
      </w:r>
      <w:r>
        <w:t>.</w:t>
      </w:r>
      <w:r>
        <w:tab/>
        <w:t>Urgent repairs</w:t>
      </w:r>
      <w:bookmarkEnd w:id="226"/>
      <w:bookmarkEnd w:id="227"/>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228" w:name="_Toc38006992"/>
      <w:bookmarkStart w:id="229" w:name="_Toc25842955"/>
      <w:r>
        <w:rPr>
          <w:rStyle w:val="CharSectno"/>
        </w:rPr>
        <w:t>44</w:t>
      </w:r>
      <w:r>
        <w:t>.</w:t>
      </w:r>
      <w:r>
        <w:tab/>
        <w:t>Quiet enjoyment</w:t>
      </w:r>
      <w:bookmarkEnd w:id="228"/>
      <w:bookmarkEnd w:id="229"/>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230" w:name="_Toc38006993"/>
      <w:bookmarkStart w:id="231" w:name="_Toc25842956"/>
      <w:r>
        <w:rPr>
          <w:rStyle w:val="CharSectno"/>
        </w:rPr>
        <w:t>45</w:t>
      </w:r>
      <w:r>
        <w:t>.</w:t>
      </w:r>
      <w:r>
        <w:tab/>
        <w:t>Securing premises</w:t>
      </w:r>
      <w:bookmarkEnd w:id="230"/>
      <w:bookmarkEnd w:id="231"/>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232" w:name="_Toc38006994"/>
      <w:bookmarkStart w:id="233" w:name="_Toc25842957"/>
      <w:r>
        <w:rPr>
          <w:rStyle w:val="CharSectno"/>
        </w:rPr>
        <w:t>46</w:t>
      </w:r>
      <w:r>
        <w:t>.</w:t>
      </w:r>
      <w:r>
        <w:tab/>
        <w:t>Lessor’s right of entry</w:t>
      </w:r>
      <w:bookmarkEnd w:id="232"/>
      <w:bookmarkEnd w:id="233"/>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234" w:name="_Toc38006995"/>
      <w:bookmarkStart w:id="235" w:name="_Toc25842958"/>
      <w:r>
        <w:rPr>
          <w:rStyle w:val="CharSectno"/>
        </w:rPr>
        <w:t>47</w:t>
      </w:r>
      <w:r>
        <w:t>.</w:t>
      </w:r>
      <w:r>
        <w:tab/>
        <w:t>Right of tenant to affix and remove fixtures etc.</w:t>
      </w:r>
      <w:bookmarkEnd w:id="234"/>
      <w:bookmarkEnd w:id="235"/>
    </w:p>
    <w:p>
      <w:pPr>
        <w:pStyle w:val="Subsection"/>
      </w:pPr>
      <w:r>
        <w:tab/>
        <w:t>(1A)</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rPr>
          <w:snapToGrid w:val="0"/>
        </w:rPr>
      </w:pPr>
      <w:r>
        <w:rPr>
          <w:snapToGrid w:val="0"/>
        </w:rPr>
        <w:tab/>
        <w:t>(1)</w:t>
      </w:r>
      <w:r>
        <w:rPr>
          <w:snapToGrid w:val="0"/>
        </w:rPr>
        <w:tab/>
      </w:r>
      <w:r>
        <w:t>Except as provided in subsections (2A) and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(2A)</w:t>
      </w:r>
      <w:r>
        <w:tab/>
        <w:t>It is a term of every residential tenancy agreement that —</w:t>
      </w:r>
    </w:p>
    <w:p>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Indenti"/>
      </w:pPr>
      <w:r>
        <w:tab/>
        <w:t>(i)</w:t>
      </w:r>
      <w:r>
        <w:tab/>
        <w:t xml:space="preserve">furniture; </w:t>
      </w:r>
    </w:p>
    <w:p>
      <w:pPr>
        <w:pStyle w:val="Indenti"/>
      </w:pPr>
      <w:r>
        <w:tab/>
        <w:t>(ii)</w:t>
      </w:r>
      <w:r>
        <w:tab/>
        <w:t>a thing to affix the furniture to the wall;</w:t>
      </w:r>
    </w:p>
    <w:p>
      <w:pPr>
        <w:pStyle w:val="Indenta"/>
      </w:pPr>
      <w:r>
        <w:tab/>
      </w:r>
      <w:r>
        <w:tab/>
        <w:t>and</w:t>
      </w:r>
    </w:p>
    <w:p>
      <w:pPr>
        <w:pStyle w:val="Indenta"/>
        <w:keepNext/>
      </w:pPr>
      <w:r>
        <w:tab/>
        <w:t>(b)</w:t>
      </w:r>
      <w:r>
        <w:tab/>
        <w:t xml:space="preserve">the lessor may only refuse consent — </w:t>
      </w:r>
    </w:p>
    <w:p>
      <w:pPr>
        <w:pStyle w:val="Indenti"/>
      </w:pPr>
      <w:r>
        <w:tab/>
        <w:t>(i)</w:t>
      </w:r>
      <w:r>
        <w:tab/>
        <w:t>if affixing the item to the wall would disturb material containing asbestos; or</w:t>
      </w:r>
    </w:p>
    <w:p>
      <w:pPr>
        <w:pStyle w:val="Indenti"/>
      </w:pPr>
      <w:r>
        <w:tab/>
        <w:t>(ii)</w:t>
      </w:r>
      <w:r>
        <w:tab/>
        <w:t xml:space="preserve">if the premises are entered in the Register of Heritage Places compiled under the </w:t>
      </w:r>
      <w:r>
        <w:rPr>
          <w:i/>
        </w:rPr>
        <w:t>Heritage of Western Australia Act 1990</w:t>
      </w:r>
      <w:r>
        <w:t xml:space="preserve"> section 46; or</w:t>
      </w:r>
    </w:p>
    <w:p>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Indenti"/>
      </w:pPr>
      <w:r>
        <w:tab/>
        <w:t>(iv)</w:t>
      </w:r>
      <w:r>
        <w:tab/>
        <w:t>for a prescribed reason;</w:t>
      </w:r>
    </w:p>
    <w:p>
      <w:pPr>
        <w:pStyle w:val="Indenta"/>
      </w:pPr>
      <w:r>
        <w:tab/>
      </w:r>
      <w:r>
        <w:tab/>
        <w:t>and</w:t>
      </w:r>
    </w:p>
    <w:p>
      <w:pPr>
        <w:pStyle w:val="Indenta"/>
      </w:pPr>
      <w:r>
        <w:tab/>
        <w:t>(c)</w:t>
      </w:r>
      <w:r>
        <w:tab/>
        <w:t xml:space="preserve">unless the lessor agrees otherwise in writing, the tenant must remove the item from the wall when the tenant vacates the premises and either — </w:t>
      </w:r>
    </w:p>
    <w:p>
      <w:pPr>
        <w:pStyle w:val="Indenti"/>
      </w:pPr>
      <w:r>
        <w:tab/>
        <w:t>(i)</w:t>
      </w:r>
      <w:r>
        <w:tab/>
        <w:t>restore the wall to its original condition; or</w:t>
      </w:r>
    </w:p>
    <w:p>
      <w:pPr>
        <w:pStyle w:val="Indenti"/>
      </w:pPr>
      <w:r>
        <w:tab/>
        <w:t>(ii)</w:t>
      </w:r>
      <w:r>
        <w:tab/>
        <w:t>compensate the lessor for any reasonable expenses incurred by the lessor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premises when affixing or removing the item or restoring the wall to its original condition — </w:t>
      </w:r>
    </w:p>
    <w:p>
      <w:pPr>
        <w:pStyle w:val="Indenti"/>
      </w:pPr>
      <w:r>
        <w:tab/>
        <w:t>(i)</w:t>
      </w:r>
      <w:r>
        <w:tab/>
        <w:t>the tenant must notify the lessor in writing that damage has been caused to the premises; and</w:t>
      </w:r>
    </w:p>
    <w:p>
      <w:pPr>
        <w:pStyle w:val="Indenti"/>
      </w:pPr>
      <w:r>
        <w:tab/>
        <w:t>(ii)</w:t>
      </w:r>
      <w:r>
        <w:tab/>
        <w:t>the lessor may require the tenant to repair the damage and restore the premises to their original condition or compensate the lessor for the reasonable expenses incurred in doing the repair and restoration.</w:t>
      </w:r>
    </w:p>
    <w:p>
      <w:pPr>
        <w:pStyle w:val="Subsection"/>
      </w:pPr>
      <w:r>
        <w:tab/>
        <w:t>(2B)</w:t>
      </w:r>
      <w:r>
        <w:tab/>
        <w:t xml:space="preserve">The lessor is taken to have consented to affixing the furniture or thing to the wall of the premises under subsection (2A)(a) if, and only if — </w:t>
      </w:r>
    </w:p>
    <w:p>
      <w:pPr>
        <w:pStyle w:val="Indenta"/>
      </w:pPr>
      <w:r>
        <w:tab/>
        <w:t>(a)</w:t>
      </w:r>
      <w:r>
        <w:tab/>
        <w:t>the tenant has given the lessor a request, in a form approved by the Commissioner, seeking the lessor’s consent to affix the item to the wall; and</w:t>
      </w:r>
    </w:p>
    <w:p>
      <w:pPr>
        <w:pStyle w:val="Indenta"/>
      </w:pPr>
      <w:r>
        <w:tab/>
        <w:t>(b)</w:t>
      </w:r>
      <w:r>
        <w:tab/>
        <w:t>the lessor has not refused consent under subsection (2A)(b) within 14 days after the day on which the lessor receives the request.</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work on the prescribed alterations must be undertaken by a qualified tradesperson, a copy of whose invoice the 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No. 25 of 2019 s. 67.] </w:t>
      </w:r>
    </w:p>
    <w:p>
      <w:pPr>
        <w:pStyle w:val="Heading5"/>
        <w:rPr>
          <w:snapToGrid w:val="0"/>
        </w:rPr>
      </w:pPr>
      <w:bookmarkStart w:id="236" w:name="_Toc38006996"/>
      <w:bookmarkStart w:id="237" w:name="_Toc25842959"/>
      <w:r>
        <w:rPr>
          <w:rStyle w:val="CharSectno"/>
        </w:rPr>
        <w:t>48</w:t>
      </w:r>
      <w:r>
        <w:rPr>
          <w:snapToGrid w:val="0"/>
        </w:rPr>
        <w:t>.</w:t>
      </w:r>
      <w:r>
        <w:rPr>
          <w:snapToGrid w:val="0"/>
        </w:rPr>
        <w:tab/>
        <w:t>Lessor to bear outgoings in respect of premises</w:t>
      </w:r>
      <w:bookmarkEnd w:id="236"/>
      <w:bookmarkEnd w:id="237"/>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No. 73 of 1995 s. 188; No. 14 of 1996 s. 4; No. 45 of 2002 s. 21; No. 60 of 2011 s. 43 and 89.] </w:t>
      </w:r>
    </w:p>
    <w:p>
      <w:pPr>
        <w:pStyle w:val="Heading5"/>
      </w:pPr>
      <w:bookmarkStart w:id="238" w:name="_Toc38006997"/>
      <w:bookmarkStart w:id="239" w:name="_Toc25842960"/>
      <w:r>
        <w:rPr>
          <w:rStyle w:val="CharSectno"/>
        </w:rPr>
        <w:t>49A</w:t>
      </w:r>
      <w:r>
        <w:t>.</w:t>
      </w:r>
      <w:r>
        <w:tab/>
        <w:t>Lessor’s and tenant’s responsibilities in respect of public utility services</w:t>
      </w:r>
      <w:bookmarkEnd w:id="238"/>
      <w:bookmarkEnd w:id="239"/>
    </w:p>
    <w:p>
      <w:pPr>
        <w:pStyle w:val="Subsection"/>
        <w:keepNext/>
      </w:pPr>
      <w:r>
        <w:tab/>
        <w:t>(1)</w:t>
      </w:r>
      <w:r>
        <w:tab/>
        <w:t xml:space="preserve">In this section — </w:t>
      </w:r>
    </w:p>
    <w:p>
      <w:pPr>
        <w:pStyle w:val="Defstart"/>
        <w:rPr>
          <w:ins w:id="240" w:author="svcMRProcess" w:date="2020-04-17T17:55:00Z"/>
        </w:rPr>
      </w:pPr>
      <w:ins w:id="241" w:author="svcMRProcess" w:date="2020-04-17T17:55:00Z">
        <w:r>
          <w:tab/>
        </w:r>
        <w:r>
          <w:rPr>
            <w:rStyle w:val="CharDefText"/>
          </w:rPr>
          <w:t>consumption</w:t>
        </w:r>
        <w:r>
          <w:t>, in relation to a public utility service, means consumption of the utility that is calculated by metered unit;</w:t>
        </w:r>
      </w:ins>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del w:id="242" w:author="svcMRProcess" w:date="2020-04-17T17:55:00Z">
        <w:r>
          <w:delText>).</w:delText>
        </w:r>
      </w:del>
      <w:ins w:id="243" w:author="svcMRProcess" w:date="2020-04-17T17:55:00Z">
        <w:r>
          <w:t>);</w:t>
        </w:r>
      </w:ins>
    </w:p>
    <w:p>
      <w:pPr>
        <w:pStyle w:val="Defstart"/>
        <w:rPr>
          <w:ins w:id="244" w:author="svcMRProcess" w:date="2020-04-17T17:55:00Z"/>
        </w:rPr>
      </w:pPr>
      <w:ins w:id="245" w:author="svcMRProcess" w:date="2020-04-17T17:55:00Z">
        <w:r>
          <w:tab/>
        </w:r>
        <w:r>
          <w:rPr>
            <w:rStyle w:val="CharDefText"/>
          </w:rPr>
          <w:t>strata company</w:t>
        </w:r>
        <w:r>
          <w:t xml:space="preserve"> has the meaning given in the </w:t>
        </w:r>
        <w:r>
          <w:rPr>
            <w:i/>
          </w:rPr>
          <w:t>Strata Titles Act 1985</w:t>
        </w:r>
        <w:r>
          <w:t xml:space="preserve"> section 3(1).</w:t>
        </w:r>
      </w:ins>
    </w:p>
    <w:p>
      <w:pPr>
        <w:pStyle w:val="Subsection"/>
        <w:rPr>
          <w:ins w:id="246" w:author="svcMRProcess" w:date="2020-04-17T17:55:00Z"/>
        </w:rPr>
      </w:pPr>
      <w:r>
        <w:tab/>
        <w:t>(2)</w:t>
      </w:r>
      <w:r>
        <w:tab/>
        <w:t xml:space="preserve">It is a term of every residential tenancy agreement that </w:t>
      </w:r>
      <w:del w:id="247" w:author="svcMRProcess" w:date="2020-04-17T17:55:00Z">
        <w:r>
          <w:delText xml:space="preserve">the tenant must pay a charge in relation to </w:delText>
        </w:r>
      </w:del>
      <w:ins w:id="248" w:author="svcMRProcess" w:date="2020-04-17T17:55:00Z">
        <w:r>
          <w:t xml:space="preserve">subsections (3) to (5) are terms of the agreement if — </w:t>
        </w:r>
      </w:ins>
    </w:p>
    <w:p>
      <w:pPr>
        <w:pStyle w:val="Indenta"/>
      </w:pPr>
      <w:ins w:id="249" w:author="svcMRProcess" w:date="2020-04-17T17:55:00Z">
        <w:r>
          <w:tab/>
          <w:t>(a)</w:t>
        </w:r>
        <w:r>
          <w:tab/>
        </w:r>
      </w:ins>
      <w:r>
        <w:t xml:space="preserve">a public utility service </w:t>
      </w:r>
      <w:ins w:id="250" w:author="svcMRProcess" w:date="2020-04-17T17:55:00Z">
        <w:r>
          <w:t xml:space="preserve">is </w:t>
        </w:r>
      </w:ins>
      <w:r>
        <w:t xml:space="preserve">provided </w:t>
      </w:r>
      <w:ins w:id="251" w:author="svcMRProcess" w:date="2020-04-17T17:55:00Z">
        <w:r>
          <w:t xml:space="preserve">in relation </w:t>
        </w:r>
      </w:ins>
      <w:r>
        <w:t xml:space="preserve">to the premises </w:t>
      </w:r>
      <w:del w:id="252" w:author="svcMRProcess" w:date="2020-04-17T17:55:00Z">
        <w:r>
          <w:delText>only if —</w:delText>
        </w:r>
      </w:del>
      <w:ins w:id="253" w:author="svcMRProcess" w:date="2020-04-17T17:55:00Z">
        <w:r>
          <w:t xml:space="preserve">the subject of the agreement; and </w:t>
        </w:r>
      </w:ins>
    </w:p>
    <w:p>
      <w:pPr>
        <w:pStyle w:val="Indenta"/>
        <w:spacing w:before="60"/>
        <w:rPr>
          <w:del w:id="254" w:author="svcMRProcess" w:date="2020-04-17T17:55:00Z"/>
        </w:rPr>
      </w:pPr>
      <w:del w:id="255" w:author="svcMRProcess" w:date="2020-04-17T17:55:00Z">
        <w:r>
          <w:rPr>
            <w:snapToGrid w:val="0"/>
          </w:rPr>
          <w:tab/>
          <w:delText>(a)</w:delText>
        </w:r>
        <w:r>
          <w:rPr>
            <w:snapToGrid w:val="0"/>
          </w:rPr>
          <w:tab/>
          <w:delText>the charge is calculated by reference to consumption at the residential premises by the tenant; and</w:delText>
        </w:r>
      </w:del>
    </w:p>
    <w:p>
      <w:pPr>
        <w:pStyle w:val="Indenta"/>
        <w:spacing w:before="60"/>
        <w:rPr>
          <w:del w:id="256" w:author="svcMRProcess" w:date="2020-04-17T17:55:00Z"/>
        </w:rPr>
      </w:pPr>
      <w:r>
        <w:tab/>
        <w:t>(b)</w:t>
      </w:r>
      <w:r>
        <w:tab/>
        <w:t xml:space="preserve">the </w:t>
      </w:r>
      <w:del w:id="257" w:author="svcMRProcess" w:date="2020-04-17T17:55:00Z">
        <w:r>
          <w:rPr>
            <w:snapToGrid w:val="0"/>
          </w:rPr>
          <w:delText xml:space="preserve">tenant is given notice in writing of the charge in relation to the </w:delText>
        </w:r>
      </w:del>
      <w:r>
        <w:t>public utility service</w:t>
      </w:r>
      <w:del w:id="258" w:author="svcMRProcess" w:date="2020-04-17T17:55:00Z">
        <w:r>
          <w:rPr>
            <w:snapToGrid w:val="0"/>
          </w:rPr>
          <w:delText>, specifying —</w:delText>
        </w:r>
      </w:del>
    </w:p>
    <w:p>
      <w:pPr>
        <w:pStyle w:val="Indenti"/>
        <w:spacing w:before="60"/>
        <w:rPr>
          <w:del w:id="259" w:author="svcMRProcess" w:date="2020-04-17T17:55:00Z"/>
        </w:rPr>
      </w:pPr>
      <w:del w:id="260" w:author="svcMRProcess" w:date="2020-04-17T17:55:00Z">
        <w:r>
          <w:tab/>
          <w:delText>(i)</w:delText>
        </w:r>
        <w:r>
          <w:tab/>
        </w:r>
        <w:r>
          <w:rPr>
            <w:snapToGrid w:val="0"/>
          </w:rPr>
          <w:delText>if consumption at the premises is metered — the relevant meter reading, or readings, and the charge per metered unit; or</w:delText>
        </w:r>
      </w:del>
    </w:p>
    <w:p>
      <w:pPr>
        <w:pStyle w:val="Indenti"/>
        <w:spacing w:before="60"/>
        <w:rPr>
          <w:del w:id="261" w:author="svcMRProcess" w:date="2020-04-17T17:55:00Z"/>
        </w:rPr>
      </w:pPr>
      <w:del w:id="262" w:author="svcMRProcess" w:date="2020-04-17T17:55:00Z">
        <w:r>
          <w:tab/>
          <w:delText>(ii)</w:delText>
        </w:r>
        <w:r>
          <w:tab/>
        </w:r>
        <w:r>
          <w:rPr>
            <w:snapToGrid w:val="0"/>
          </w:rPr>
          <w:delText xml:space="preserve">if consumption at the premises is not metered and </w:delText>
        </w:r>
        <w:r>
          <w:delText>the lessor and tenant have agreed in writing to an alternative method of calculating the charge to be paid by the tenant</w:delText>
        </w:r>
        <w:r>
          <w:rPr>
            <w:snapToGrid w:val="0"/>
          </w:rPr>
          <w:delText xml:space="preserve"> — </w:delText>
        </w:r>
        <w:r>
          <w:delText>the charge calculated in accordance with the agreed method;</w:delText>
        </w:r>
      </w:del>
    </w:p>
    <w:p>
      <w:pPr>
        <w:pStyle w:val="Indenta"/>
        <w:spacing w:before="60"/>
        <w:rPr>
          <w:del w:id="263" w:author="svcMRProcess" w:date="2020-04-17T17:55:00Z"/>
        </w:rPr>
      </w:pPr>
      <w:del w:id="264" w:author="svcMRProcess" w:date="2020-04-17T17:55:00Z">
        <w:r>
          <w:tab/>
        </w:r>
        <w:r>
          <w:tab/>
          <w:delText>and</w:delText>
        </w:r>
      </w:del>
    </w:p>
    <w:p>
      <w:pPr>
        <w:pStyle w:val="Indenta"/>
        <w:rPr>
          <w:ins w:id="265" w:author="svcMRProcess" w:date="2020-04-17T17:55:00Z"/>
        </w:rPr>
      </w:pPr>
      <w:del w:id="266" w:author="svcMRProcess" w:date="2020-04-17T17:55:00Z">
        <w:r>
          <w:tab/>
          <w:delText>(c)</w:delText>
        </w:r>
        <w:r>
          <w:tab/>
          <w:delText>the tenant</w:delText>
        </w:r>
      </w:del>
      <w:r>
        <w:t xml:space="preserve"> is provided </w:t>
      </w:r>
      <w:del w:id="267" w:author="svcMRProcess" w:date="2020-04-17T17:55:00Z">
        <w:r>
          <w:delText>with</w:delText>
        </w:r>
      </w:del>
      <w:ins w:id="268" w:author="svcMRProcess" w:date="2020-04-17T17:55:00Z">
        <w:r>
          <w:t>under a contract between the provider of the public utility service and the lessor or a strata company.</w:t>
        </w:r>
      </w:ins>
    </w:p>
    <w:p>
      <w:pPr>
        <w:pStyle w:val="Subsection"/>
        <w:rPr>
          <w:ins w:id="269" w:author="svcMRProcess" w:date="2020-04-17T17:55:00Z"/>
        </w:rPr>
      </w:pPr>
      <w:ins w:id="270" w:author="svcMRProcess" w:date="2020-04-17T17:55:00Z">
        <w:r>
          <w:tab/>
          <w:t>(3)</w:t>
        </w:r>
        <w:r>
          <w:tab/>
          <w:t xml:space="preserve">The tenant must pay a charge for the provision of the service only if — </w:t>
        </w:r>
      </w:ins>
    </w:p>
    <w:p>
      <w:pPr>
        <w:pStyle w:val="Indenta"/>
        <w:rPr>
          <w:ins w:id="271" w:author="svcMRProcess" w:date="2020-04-17T17:55:00Z"/>
        </w:rPr>
      </w:pPr>
      <w:ins w:id="272" w:author="svcMRProcess" w:date="2020-04-17T17:55:00Z">
        <w:r>
          <w:tab/>
          <w:t>(a)</w:t>
        </w:r>
        <w:r>
          <w:tab/>
          <w:t xml:space="preserve">the charge is for the tenant’s consumption of the utility at the premises; and </w:t>
        </w:r>
      </w:ins>
    </w:p>
    <w:p>
      <w:pPr>
        <w:pStyle w:val="Indenta"/>
        <w:rPr>
          <w:ins w:id="273" w:author="svcMRProcess" w:date="2020-04-17T17:55:00Z"/>
        </w:rPr>
      </w:pPr>
      <w:ins w:id="274" w:author="svcMRProcess" w:date="2020-04-17T17:55:00Z">
        <w:r>
          <w:tab/>
          <w:t>(b)</w:t>
        </w:r>
        <w:r>
          <w:tab/>
          <w:t xml:space="preserve">either — </w:t>
        </w:r>
      </w:ins>
    </w:p>
    <w:p>
      <w:pPr>
        <w:pStyle w:val="Indenti"/>
        <w:rPr>
          <w:ins w:id="275" w:author="svcMRProcess" w:date="2020-04-17T17:55:00Z"/>
        </w:rPr>
      </w:pPr>
      <w:ins w:id="276" w:author="svcMRProcess" w:date="2020-04-17T17:55:00Z">
        <w:r>
          <w:tab/>
          <w:t>(i)</w:t>
        </w:r>
        <w:r>
          <w:tab/>
          <w:t>the tenant’s consumption of the utility is separately metered; or</w:t>
        </w:r>
      </w:ins>
    </w:p>
    <w:p>
      <w:pPr>
        <w:pStyle w:val="Indenti"/>
        <w:rPr>
          <w:ins w:id="277" w:author="svcMRProcess" w:date="2020-04-17T17:55:00Z"/>
        </w:rPr>
      </w:pPr>
      <w:ins w:id="278" w:author="svcMRProcess" w:date="2020-04-17T17:55:00Z">
        <w:r>
          <w:tab/>
          <w:t>(ii)</w:t>
        </w:r>
        <w:r>
          <w:tab/>
          <w:t>although consumption at the premises is not separately metered, the charge is calculated in accordance with a method previously agreed to in writing by the lessor and the tenant;</w:t>
        </w:r>
      </w:ins>
    </w:p>
    <w:p>
      <w:pPr>
        <w:pStyle w:val="Indenta"/>
        <w:rPr>
          <w:ins w:id="279" w:author="svcMRProcess" w:date="2020-04-17T17:55:00Z"/>
        </w:rPr>
      </w:pPr>
      <w:ins w:id="280" w:author="svcMRProcess" w:date="2020-04-17T17:55:00Z">
        <w:r>
          <w:tab/>
        </w:r>
        <w:r>
          <w:tab/>
          <w:t>and</w:t>
        </w:r>
      </w:ins>
    </w:p>
    <w:p>
      <w:pPr>
        <w:pStyle w:val="Indenta"/>
        <w:rPr>
          <w:ins w:id="281" w:author="svcMRProcess" w:date="2020-04-17T17:55:00Z"/>
        </w:rPr>
      </w:pPr>
      <w:ins w:id="282" w:author="svcMRProcess" w:date="2020-04-17T17:55:00Z">
        <w:r>
          <w:tab/>
          <w:t>(c)</w:t>
        </w:r>
        <w:r>
          <w:tab/>
          <w:t xml:space="preserve">the lessor gives the tenant a written notice under subsection (4) within 30 days after the lessor receives an invoice for the public utility service. </w:t>
        </w:r>
      </w:ins>
    </w:p>
    <w:p>
      <w:pPr>
        <w:pStyle w:val="Subsection"/>
      </w:pPr>
      <w:ins w:id="283" w:author="svcMRProcess" w:date="2020-04-17T17:55:00Z">
        <w:r>
          <w:tab/>
          <w:t>(4)</w:t>
        </w:r>
        <w:r>
          <w:tab/>
          <w:t>The notice must be in writing and set out the</w:t>
        </w:r>
      </w:ins>
      <w:r>
        <w:t xml:space="preserve"> full details of the account for the charge</w:t>
      </w:r>
      <w:ins w:id="284" w:author="svcMRProcess" w:date="2020-04-17T17:55:00Z">
        <w:r>
          <w:t>,</w:t>
        </w:r>
      </w:ins>
      <w:r>
        <w:t xml:space="preserve"> including —</w:t>
      </w:r>
      <w:ins w:id="285" w:author="svcMRProcess" w:date="2020-04-17T17:55:00Z">
        <w:r>
          <w:t xml:space="preserve"> </w:t>
        </w:r>
      </w:ins>
    </w:p>
    <w:p>
      <w:pPr>
        <w:pStyle w:val="Indenta"/>
        <w:rPr>
          <w:ins w:id="286" w:author="svcMRProcess" w:date="2020-04-17T17:55:00Z"/>
        </w:rPr>
      </w:pPr>
      <w:ins w:id="287" w:author="svcMRProcess" w:date="2020-04-17T17:55:00Z">
        <w:r>
          <w:tab/>
          <w:t>(a)</w:t>
        </w:r>
        <w:r>
          <w:tab/>
          <w:t>the total charge for the tenant’s consumption of the utility; and</w:t>
        </w:r>
      </w:ins>
    </w:p>
    <w:p>
      <w:pPr>
        <w:pStyle w:val="Indenta"/>
        <w:rPr>
          <w:ins w:id="288" w:author="svcMRProcess" w:date="2020-04-17T17:55:00Z"/>
        </w:rPr>
      </w:pPr>
      <w:ins w:id="289" w:author="svcMRProcess" w:date="2020-04-17T17:55:00Z">
        <w:r>
          <w:tab/>
          <w:t>(b)</w:t>
        </w:r>
        <w:r>
          <w:tab/>
          <w:t xml:space="preserve">if consumption at the premises is metered — </w:t>
        </w:r>
      </w:ins>
    </w:p>
    <w:p>
      <w:pPr>
        <w:pStyle w:val="Indenti"/>
      </w:pPr>
      <w:r>
        <w:tab/>
        <w:t>(i)</w:t>
      </w:r>
      <w:r>
        <w:tab/>
      </w:r>
      <w:del w:id="290" w:author="svcMRProcess" w:date="2020-04-17T17:55:00Z">
        <w:r>
          <w:delText>any</w:delText>
        </w:r>
      </w:del>
      <w:ins w:id="291" w:author="svcMRProcess" w:date="2020-04-17T17:55:00Z">
        <w:r>
          <w:t>the</w:t>
        </w:r>
      </w:ins>
      <w:r>
        <w:t xml:space="preserve"> meter readings</w:t>
      </w:r>
      <w:ins w:id="292" w:author="svcMRProcess" w:date="2020-04-17T17:55:00Z">
        <w:r>
          <w:t>;</w:t>
        </w:r>
      </w:ins>
      <w:r>
        <w:t xml:space="preserve"> and </w:t>
      </w:r>
      <w:del w:id="293" w:author="svcMRProcess" w:date="2020-04-17T17:55:00Z">
        <w:r>
          <w:delText>the charge per metered unit; or</w:delText>
        </w:r>
      </w:del>
    </w:p>
    <w:p>
      <w:pPr>
        <w:pStyle w:val="Indenti"/>
      </w:pPr>
      <w:r>
        <w:tab/>
        <w:t>(ii)</w:t>
      </w:r>
      <w:r>
        <w:tab/>
        <w:t xml:space="preserve">the </w:t>
      </w:r>
      <w:del w:id="294" w:author="svcMRProcess" w:date="2020-04-17T17:55:00Z">
        <w:r>
          <w:delText>agreed method of calculating referred to in paragraph (b)(ii),</w:delText>
        </w:r>
      </w:del>
      <w:ins w:id="295" w:author="svcMRProcess" w:date="2020-04-17T17:55:00Z">
        <w:r>
          <w:t xml:space="preserve">charge per metered unit; </w:t>
        </w:r>
      </w:ins>
    </w:p>
    <w:p>
      <w:pPr>
        <w:pStyle w:val="Indenta"/>
        <w:rPr>
          <w:ins w:id="296" w:author="svcMRProcess" w:date="2020-04-17T17:55:00Z"/>
        </w:rPr>
      </w:pPr>
      <w:r>
        <w:tab/>
      </w:r>
      <w:r>
        <w:tab/>
        <w:t xml:space="preserve">and </w:t>
      </w:r>
    </w:p>
    <w:p>
      <w:pPr>
        <w:pStyle w:val="Indenta"/>
        <w:rPr>
          <w:ins w:id="297" w:author="svcMRProcess" w:date="2020-04-17T17:55:00Z"/>
        </w:rPr>
      </w:pPr>
      <w:ins w:id="298" w:author="svcMRProcess" w:date="2020-04-17T17:55:00Z">
        <w:r>
          <w:tab/>
          <w:t>(c)</w:t>
        </w:r>
        <w:r>
          <w:tab/>
          <w:t>if consumption at the premises is not metered — the charge calculated by the method agreed to under subsection (3)(b)(ii); and</w:t>
        </w:r>
      </w:ins>
    </w:p>
    <w:p>
      <w:pPr>
        <w:pStyle w:val="Indenta"/>
      </w:pPr>
      <w:ins w:id="299" w:author="svcMRProcess" w:date="2020-04-17T17:55:00Z">
        <w:r>
          <w:tab/>
          <w:t>(d)</w:t>
        </w:r>
        <w:r>
          <w:tab/>
        </w:r>
      </w:ins>
      <w:r>
        <w:t xml:space="preserve">the amount of GST payable in respect of the provision of the </w:t>
      </w:r>
      <w:del w:id="300" w:author="svcMRProcess" w:date="2020-04-17T17:55:00Z">
        <w:r>
          <w:delText xml:space="preserve">public utility </w:delText>
        </w:r>
      </w:del>
      <w:r>
        <w:t>service to the</w:t>
      </w:r>
      <w:del w:id="301" w:author="svcMRProcess" w:date="2020-04-17T17:55:00Z">
        <w:r>
          <w:delText xml:space="preserve"> residential</w:delText>
        </w:r>
      </w:del>
      <w:r>
        <w:t xml:space="preserve"> premises.</w:t>
      </w:r>
    </w:p>
    <w:p>
      <w:pPr>
        <w:pStyle w:val="Subsection"/>
        <w:rPr>
          <w:ins w:id="302" w:author="svcMRProcess" w:date="2020-04-17T17:55:00Z"/>
        </w:rPr>
      </w:pPr>
      <w:ins w:id="303" w:author="svcMRProcess" w:date="2020-04-17T17:55:00Z">
        <w:r>
          <w:tab/>
          <w:t>(5)</w:t>
        </w:r>
        <w:r>
          <w:tab/>
          <w:t xml:space="preserve">However, despite subsection (3)(c), if the tenancy ends within 30 days after the lessor receives an invoice for the public utility service, or the lessor receives the invoice after the tenancy has ended, the lessor — </w:t>
        </w:r>
      </w:ins>
    </w:p>
    <w:p>
      <w:pPr>
        <w:pStyle w:val="Indenta"/>
        <w:rPr>
          <w:ins w:id="304" w:author="svcMRProcess" w:date="2020-04-17T17:55:00Z"/>
        </w:rPr>
      </w:pPr>
      <w:ins w:id="305" w:author="svcMRProcess" w:date="2020-04-17T17:55:00Z">
        <w:r>
          <w:tab/>
          <w:t>(a)</w:t>
        </w:r>
        <w:r>
          <w:tab/>
          <w:t xml:space="preserve">is not required to give the written notice under subsection (4) within 30 days after the lessor receives the invoice; and </w:t>
        </w:r>
      </w:ins>
    </w:p>
    <w:p>
      <w:pPr>
        <w:pStyle w:val="Indenta"/>
        <w:rPr>
          <w:ins w:id="306" w:author="svcMRProcess" w:date="2020-04-17T17:55:00Z"/>
        </w:rPr>
      </w:pPr>
      <w:ins w:id="307" w:author="svcMRProcess" w:date="2020-04-17T17:55:00Z">
        <w:r>
          <w:tab/>
          <w:t>(b)</w:t>
        </w:r>
        <w:r>
          <w:tab/>
          <w:t>may give the notice to the tenant (or former tenant) as soon as practicable after the lessor receives the notice and locates the tenant.</w:t>
        </w:r>
      </w:ins>
    </w:p>
    <w:p>
      <w:pPr>
        <w:pStyle w:val="Footnotesection"/>
      </w:pPr>
      <w:r>
        <w:tab/>
        <w:t>[Section 49A inserted: No. 60 of 2011 s. </w:t>
      </w:r>
      <w:del w:id="308" w:author="svcMRProcess" w:date="2020-04-17T17:55:00Z">
        <w:r>
          <w:delText>44</w:delText>
        </w:r>
      </w:del>
      <w:ins w:id="309" w:author="svcMRProcess" w:date="2020-04-17T17:55:00Z">
        <w:r>
          <w:t>44; amended: No. 25 of 2019 s. 68</w:t>
        </w:r>
      </w:ins>
      <w:r>
        <w:t xml:space="preserve">.] </w:t>
      </w:r>
    </w:p>
    <w:p>
      <w:pPr>
        <w:pStyle w:val="Heading5"/>
        <w:rPr>
          <w:snapToGrid w:val="0"/>
        </w:rPr>
      </w:pPr>
      <w:bookmarkStart w:id="310" w:name="_Toc38006998"/>
      <w:bookmarkStart w:id="311" w:name="_Toc25842961"/>
      <w:r>
        <w:rPr>
          <w:rStyle w:val="CharSectno"/>
        </w:rPr>
        <w:t>49</w:t>
      </w:r>
      <w:r>
        <w:rPr>
          <w:snapToGrid w:val="0"/>
        </w:rPr>
        <w:t>.</w:t>
      </w:r>
      <w:r>
        <w:rPr>
          <w:snapToGrid w:val="0"/>
        </w:rPr>
        <w:tab/>
        <w:t>Right of tenant to assign or sub</w:t>
      </w:r>
      <w:r>
        <w:rPr>
          <w:snapToGrid w:val="0"/>
        </w:rPr>
        <w:noBreakHyphen/>
        <w:t>let</w:t>
      </w:r>
      <w:bookmarkEnd w:id="310"/>
      <w:bookmarkEnd w:id="311"/>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312" w:name="_Toc38006999"/>
      <w:bookmarkStart w:id="313" w:name="_Toc25842962"/>
      <w:r>
        <w:rPr>
          <w:rStyle w:val="CharSectno"/>
        </w:rPr>
        <w:t>50</w:t>
      </w:r>
      <w:r>
        <w:rPr>
          <w:snapToGrid w:val="0"/>
        </w:rPr>
        <w:t>.</w:t>
      </w:r>
      <w:r>
        <w:rPr>
          <w:snapToGrid w:val="0"/>
        </w:rPr>
        <w:tab/>
        <w:t>Vicarious responsibility of tenant for breach by other person lawfully on premises</w:t>
      </w:r>
      <w:bookmarkEnd w:id="312"/>
      <w:bookmarkEnd w:id="313"/>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314" w:name="_Toc38006797"/>
      <w:bookmarkStart w:id="315" w:name="_Toc38007000"/>
      <w:bookmarkStart w:id="316" w:name="_Toc2153349"/>
      <w:bookmarkStart w:id="317" w:name="_Toc2160183"/>
      <w:bookmarkStart w:id="318" w:name="_Toc2160907"/>
      <w:bookmarkStart w:id="319" w:name="_Toc5621530"/>
      <w:bookmarkStart w:id="320" w:name="_Toc5632938"/>
      <w:bookmarkStart w:id="321" w:name="_Toc5719317"/>
      <w:bookmarkStart w:id="322" w:name="_Toc22915831"/>
      <w:bookmarkStart w:id="323" w:name="_Toc22916031"/>
      <w:bookmarkStart w:id="324" w:name="_Toc25842963"/>
      <w:r>
        <w:rPr>
          <w:rStyle w:val="CharDivNo"/>
        </w:rPr>
        <w:t>Division 3</w:t>
      </w:r>
      <w:r>
        <w:t> — </w:t>
      </w:r>
      <w:r>
        <w:rPr>
          <w:rStyle w:val="CharDivText"/>
        </w:rPr>
        <w:t>General</w:t>
      </w:r>
      <w:bookmarkEnd w:id="314"/>
      <w:bookmarkEnd w:id="315"/>
      <w:bookmarkEnd w:id="316"/>
      <w:bookmarkEnd w:id="317"/>
      <w:bookmarkEnd w:id="318"/>
      <w:bookmarkEnd w:id="319"/>
      <w:bookmarkEnd w:id="320"/>
      <w:bookmarkEnd w:id="321"/>
      <w:bookmarkEnd w:id="322"/>
      <w:bookmarkEnd w:id="323"/>
      <w:bookmarkEnd w:id="324"/>
    </w:p>
    <w:p>
      <w:pPr>
        <w:pStyle w:val="Footnoteheading"/>
      </w:pPr>
      <w:r>
        <w:tab/>
        <w:t xml:space="preserve">[Heading inserted: No. 60 of 2011 s. 47.] </w:t>
      </w:r>
    </w:p>
    <w:p>
      <w:pPr>
        <w:pStyle w:val="Heading5"/>
      </w:pPr>
      <w:bookmarkStart w:id="325" w:name="_Toc38007001"/>
      <w:bookmarkStart w:id="326" w:name="_Toc25842964"/>
      <w:r>
        <w:rPr>
          <w:rStyle w:val="CharSectno"/>
        </w:rPr>
        <w:t>51</w:t>
      </w:r>
      <w:r>
        <w:t>.</w:t>
      </w:r>
      <w:r>
        <w:tab/>
        <w:t>Tenant to be notified of lessor’s name and address</w:t>
      </w:r>
      <w:bookmarkEnd w:id="325"/>
      <w:bookmarkEnd w:id="326"/>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327" w:name="_Toc38007002"/>
      <w:bookmarkStart w:id="328" w:name="_Toc25842965"/>
      <w:r>
        <w:rPr>
          <w:rStyle w:val="CharSectno"/>
        </w:rPr>
        <w:t>52</w:t>
      </w:r>
      <w:r>
        <w:rPr>
          <w:snapToGrid w:val="0"/>
        </w:rPr>
        <w:t>.</w:t>
      </w:r>
      <w:r>
        <w:rPr>
          <w:snapToGrid w:val="0"/>
        </w:rPr>
        <w:tab/>
        <w:t>Failure to pay rent with intention it be recovered from security bond</w:t>
      </w:r>
      <w:bookmarkEnd w:id="327"/>
      <w:bookmarkEnd w:id="328"/>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329" w:name="_Toc38007003"/>
      <w:bookmarkStart w:id="330" w:name="_Toc25842966"/>
      <w:r>
        <w:rPr>
          <w:rStyle w:val="CharSectno"/>
        </w:rPr>
        <w:t>53</w:t>
      </w:r>
      <w:r>
        <w:t>.</w:t>
      </w:r>
      <w:r>
        <w:tab/>
        <w:t>Tenant’s name, place of employment and forwarding address</w:t>
      </w:r>
      <w:bookmarkEnd w:id="329"/>
      <w:bookmarkEnd w:id="330"/>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331" w:name="_Toc38007004"/>
      <w:bookmarkStart w:id="332" w:name="_Toc25842967"/>
      <w:r>
        <w:rPr>
          <w:rStyle w:val="CharSectno"/>
        </w:rPr>
        <w:t>54</w:t>
      </w:r>
      <w:r>
        <w:rPr>
          <w:snapToGrid w:val="0"/>
        </w:rPr>
        <w:t>.</w:t>
      </w:r>
      <w:r>
        <w:rPr>
          <w:snapToGrid w:val="0"/>
        </w:rPr>
        <w:tab/>
        <w:t>Lessor to deliver copy of agreement to tenant</w:t>
      </w:r>
      <w:bookmarkEnd w:id="331"/>
      <w:bookmarkEnd w:id="332"/>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333" w:name="_Toc38007005"/>
      <w:bookmarkStart w:id="334" w:name="_Toc25842968"/>
      <w:r>
        <w:rPr>
          <w:rStyle w:val="CharSectno"/>
        </w:rPr>
        <w:t>55</w:t>
      </w:r>
      <w:r>
        <w:t>.</w:t>
      </w:r>
      <w:r>
        <w:tab/>
        <w:t>Cost of written agreement to be borne by lessor</w:t>
      </w:r>
      <w:bookmarkEnd w:id="333"/>
      <w:bookmarkEnd w:id="334"/>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335" w:name="_Toc38007006"/>
      <w:bookmarkStart w:id="336" w:name="_Toc25842969"/>
      <w:r>
        <w:rPr>
          <w:rStyle w:val="CharSectno"/>
        </w:rPr>
        <w:t>56</w:t>
      </w:r>
      <w:r>
        <w:rPr>
          <w:snapToGrid w:val="0"/>
        </w:rPr>
        <w:t>.</w:t>
      </w:r>
      <w:r>
        <w:rPr>
          <w:snapToGrid w:val="0"/>
        </w:rPr>
        <w:tab/>
        <w:t>Discrimination against tenants with children</w:t>
      </w:r>
      <w:bookmarkEnd w:id="335"/>
      <w:bookmarkEnd w:id="336"/>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337" w:name="_Toc38007007"/>
      <w:bookmarkStart w:id="338" w:name="_Toc25842970"/>
      <w:r>
        <w:rPr>
          <w:rStyle w:val="CharSectno"/>
        </w:rPr>
        <w:t>56A</w:t>
      </w:r>
      <w:r>
        <w:t>.</w:t>
      </w:r>
      <w:r>
        <w:tab/>
        <w:t>Discrimination against tenants subjected or exposed to family violence</w:t>
      </w:r>
      <w:bookmarkEnd w:id="337"/>
      <w:bookmarkEnd w:id="338"/>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339" w:name="_Toc38007008"/>
      <w:bookmarkStart w:id="340" w:name="_Toc25842971"/>
      <w:r>
        <w:rPr>
          <w:rStyle w:val="CharSectno"/>
        </w:rPr>
        <w:t>57</w:t>
      </w:r>
      <w:r>
        <w:rPr>
          <w:snapToGrid w:val="0"/>
        </w:rPr>
        <w:t>.</w:t>
      </w:r>
      <w:r>
        <w:rPr>
          <w:snapToGrid w:val="0"/>
        </w:rPr>
        <w:tab/>
        <w:t>Accelerated rent and liquidated damages prohibited</w:t>
      </w:r>
      <w:bookmarkEnd w:id="339"/>
      <w:bookmarkEnd w:id="340"/>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341" w:name="_Toc38007009"/>
      <w:bookmarkStart w:id="342" w:name="_Toc25842972"/>
      <w:r>
        <w:rPr>
          <w:rStyle w:val="CharSectno"/>
        </w:rPr>
        <w:t>58</w:t>
      </w:r>
      <w:r>
        <w:rPr>
          <w:snapToGrid w:val="0"/>
        </w:rPr>
        <w:t>.</w:t>
      </w:r>
      <w:r>
        <w:rPr>
          <w:snapToGrid w:val="0"/>
        </w:rPr>
        <w:tab/>
        <w:t>Duty of mitigation</w:t>
      </w:r>
      <w:bookmarkEnd w:id="341"/>
      <w:bookmarkEnd w:id="342"/>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343" w:name="_Toc38007010"/>
      <w:bookmarkStart w:id="344" w:name="_Toc25842973"/>
      <w:r>
        <w:rPr>
          <w:rStyle w:val="CharSectno"/>
        </w:rPr>
        <w:t>59A</w:t>
      </w:r>
      <w:r>
        <w:t>.</w:t>
      </w:r>
      <w:r>
        <w:tab/>
        <w:t>Minors</w:t>
      </w:r>
      <w:bookmarkEnd w:id="343"/>
      <w:bookmarkEnd w:id="344"/>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345" w:name="_Toc38007011"/>
      <w:bookmarkStart w:id="346" w:name="_Toc25842974"/>
      <w:r>
        <w:rPr>
          <w:rStyle w:val="CharSectno"/>
        </w:rPr>
        <w:t>59B</w:t>
      </w:r>
      <w:r>
        <w:t>.</w:t>
      </w:r>
      <w:r>
        <w:tab/>
        <w:t>Death of one of 2 or more tenants</w:t>
      </w:r>
      <w:bookmarkEnd w:id="345"/>
      <w:bookmarkEnd w:id="346"/>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347" w:name="_Toc38007012"/>
      <w:bookmarkStart w:id="348" w:name="_Toc25842975"/>
      <w:r>
        <w:rPr>
          <w:rStyle w:val="CharSectno"/>
        </w:rPr>
        <w:t>59C</w:t>
      </w:r>
      <w:r>
        <w:t>.</w:t>
      </w:r>
      <w:r>
        <w:tab/>
        <w:t>Recognition of certain persons as tenants</w:t>
      </w:r>
      <w:bookmarkEnd w:id="347"/>
      <w:bookmarkEnd w:id="348"/>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349" w:name="_Toc38007013"/>
      <w:bookmarkStart w:id="350" w:name="_Toc25842976"/>
      <w:r>
        <w:rPr>
          <w:rStyle w:val="CharSectno"/>
        </w:rPr>
        <w:t>59D</w:t>
      </w:r>
      <w:r>
        <w:t>.</w:t>
      </w:r>
      <w:r>
        <w:tab/>
        <w:t>Tenant compensation bonds</w:t>
      </w:r>
      <w:bookmarkEnd w:id="349"/>
      <w:bookmarkEnd w:id="350"/>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351" w:name="_Toc38007014"/>
      <w:bookmarkStart w:id="352" w:name="_Toc25842977"/>
      <w:r>
        <w:rPr>
          <w:rStyle w:val="CharSectno"/>
        </w:rPr>
        <w:t>59E</w:t>
      </w:r>
      <w:r>
        <w:t>.</w:t>
      </w:r>
      <w:r>
        <w:tab/>
      </w:r>
      <w:r>
        <w:rPr>
          <w:snapToGrid w:val="0"/>
        </w:rPr>
        <w:t>Interference with quiet enjoyment</w:t>
      </w:r>
      <w:bookmarkEnd w:id="351"/>
      <w:bookmarkEnd w:id="352"/>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353" w:name="_Toc38007015"/>
      <w:bookmarkStart w:id="354" w:name="_Toc25842978"/>
      <w:r>
        <w:rPr>
          <w:rStyle w:val="CharSectno"/>
        </w:rPr>
        <w:t>59F</w:t>
      </w:r>
      <w:r>
        <w:t>.</w:t>
      </w:r>
      <w:r>
        <w:tab/>
      </w:r>
      <w:r>
        <w:rPr>
          <w:snapToGrid w:val="0"/>
        </w:rPr>
        <w:t>Offences relating to security of residential premises</w:t>
      </w:r>
      <w:bookmarkEnd w:id="353"/>
      <w:bookmarkEnd w:id="354"/>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355" w:name="_Toc38006813"/>
      <w:bookmarkStart w:id="356" w:name="_Toc38007016"/>
      <w:bookmarkStart w:id="357" w:name="_Toc2153364"/>
      <w:bookmarkStart w:id="358" w:name="_Toc2160198"/>
      <w:bookmarkStart w:id="359" w:name="_Toc2160922"/>
      <w:bookmarkStart w:id="360" w:name="_Toc5621545"/>
      <w:bookmarkStart w:id="361" w:name="_Toc5632954"/>
      <w:bookmarkStart w:id="362" w:name="_Toc5719333"/>
      <w:bookmarkStart w:id="363" w:name="_Toc22915847"/>
      <w:bookmarkStart w:id="364" w:name="_Toc22916047"/>
      <w:bookmarkStart w:id="365" w:name="_Toc25842979"/>
      <w:r>
        <w:rPr>
          <w:rStyle w:val="CharPartNo"/>
        </w:rPr>
        <w:t>Part V</w:t>
      </w:r>
      <w:r>
        <w:t> — </w:t>
      </w:r>
      <w:r>
        <w:rPr>
          <w:rStyle w:val="CharPartText"/>
        </w:rPr>
        <w:t>Termination of residential tenancy agreements</w:t>
      </w:r>
      <w:bookmarkEnd w:id="355"/>
      <w:bookmarkEnd w:id="356"/>
      <w:bookmarkEnd w:id="357"/>
      <w:bookmarkEnd w:id="358"/>
      <w:bookmarkEnd w:id="359"/>
      <w:bookmarkEnd w:id="360"/>
      <w:bookmarkEnd w:id="361"/>
      <w:bookmarkEnd w:id="362"/>
      <w:bookmarkEnd w:id="363"/>
      <w:bookmarkEnd w:id="364"/>
      <w:bookmarkEnd w:id="365"/>
    </w:p>
    <w:p>
      <w:pPr>
        <w:pStyle w:val="Heading3"/>
      </w:pPr>
      <w:bookmarkStart w:id="366" w:name="_Toc38006814"/>
      <w:bookmarkStart w:id="367" w:name="_Toc38007017"/>
      <w:bookmarkStart w:id="368" w:name="_Toc2153365"/>
      <w:bookmarkStart w:id="369" w:name="_Toc2160199"/>
      <w:bookmarkStart w:id="370" w:name="_Toc2160923"/>
      <w:bookmarkStart w:id="371" w:name="_Toc5621546"/>
      <w:bookmarkStart w:id="372" w:name="_Toc5632955"/>
      <w:bookmarkStart w:id="373" w:name="_Toc5719334"/>
      <w:bookmarkStart w:id="374" w:name="_Toc22915848"/>
      <w:bookmarkStart w:id="375" w:name="_Toc22916048"/>
      <w:bookmarkStart w:id="376" w:name="_Toc25842980"/>
      <w:r>
        <w:rPr>
          <w:rStyle w:val="CharDivNo"/>
        </w:rPr>
        <w:t>Division 1</w:t>
      </w:r>
      <w:r>
        <w:t> — </w:t>
      </w:r>
      <w:r>
        <w:rPr>
          <w:rStyle w:val="CharDivText"/>
        </w:rPr>
        <w:t>How residential tenancy agreements are terminated</w:t>
      </w:r>
      <w:bookmarkEnd w:id="366"/>
      <w:bookmarkEnd w:id="367"/>
      <w:bookmarkEnd w:id="368"/>
      <w:bookmarkEnd w:id="369"/>
      <w:bookmarkEnd w:id="370"/>
      <w:bookmarkEnd w:id="371"/>
      <w:bookmarkEnd w:id="372"/>
      <w:bookmarkEnd w:id="373"/>
      <w:bookmarkEnd w:id="374"/>
      <w:bookmarkEnd w:id="375"/>
      <w:bookmarkEnd w:id="376"/>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377" w:name="_Toc38007018"/>
      <w:bookmarkStart w:id="378" w:name="_Toc25842981"/>
      <w:r>
        <w:rPr>
          <w:rStyle w:val="CharSectno"/>
        </w:rPr>
        <w:t>60</w:t>
      </w:r>
      <w:r>
        <w:rPr>
          <w:snapToGrid w:val="0"/>
        </w:rPr>
        <w:t>.</w:t>
      </w:r>
      <w:r>
        <w:rPr>
          <w:snapToGrid w:val="0"/>
        </w:rPr>
        <w:tab/>
        <w:t>How residential tenancy agreements and tenant’s interests in agreements are terminated</w:t>
      </w:r>
      <w:bookmarkEnd w:id="377"/>
      <w:bookmarkEnd w:id="378"/>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379" w:name="_Toc38006816"/>
      <w:bookmarkStart w:id="380" w:name="_Toc38007019"/>
      <w:bookmarkStart w:id="381" w:name="_Toc2153367"/>
      <w:bookmarkStart w:id="382" w:name="_Toc2160201"/>
      <w:bookmarkStart w:id="383" w:name="_Toc2160925"/>
      <w:bookmarkStart w:id="384" w:name="_Toc5621548"/>
      <w:bookmarkStart w:id="385" w:name="_Toc5632957"/>
      <w:bookmarkStart w:id="386" w:name="_Toc5719336"/>
      <w:bookmarkStart w:id="387" w:name="_Toc22915850"/>
      <w:bookmarkStart w:id="388" w:name="_Toc22916050"/>
      <w:bookmarkStart w:id="389" w:name="_Toc25842982"/>
      <w:r>
        <w:rPr>
          <w:rStyle w:val="CharDivNo"/>
        </w:rPr>
        <w:t>Division 2</w:t>
      </w:r>
      <w:r>
        <w:t> — </w:t>
      </w:r>
      <w:r>
        <w:rPr>
          <w:rStyle w:val="CharDivText"/>
        </w:rPr>
        <w:t>Notices of termination</w:t>
      </w:r>
      <w:bookmarkEnd w:id="379"/>
      <w:bookmarkEnd w:id="380"/>
      <w:bookmarkEnd w:id="381"/>
      <w:bookmarkEnd w:id="382"/>
      <w:bookmarkEnd w:id="383"/>
      <w:bookmarkEnd w:id="384"/>
      <w:bookmarkEnd w:id="385"/>
      <w:bookmarkEnd w:id="386"/>
      <w:bookmarkEnd w:id="387"/>
      <w:bookmarkEnd w:id="388"/>
      <w:bookmarkEnd w:id="389"/>
    </w:p>
    <w:p>
      <w:pPr>
        <w:pStyle w:val="Footnoteheading"/>
      </w:pPr>
      <w:r>
        <w:tab/>
        <w:t>[Heading inserted: No. 60 of 2011 s. 60.]</w:t>
      </w:r>
    </w:p>
    <w:p>
      <w:pPr>
        <w:pStyle w:val="Heading5"/>
      </w:pPr>
      <w:bookmarkStart w:id="390" w:name="_Toc38007020"/>
      <w:bookmarkStart w:id="391" w:name="_Toc25842983"/>
      <w:r>
        <w:rPr>
          <w:rStyle w:val="CharSectno"/>
        </w:rPr>
        <w:t>61</w:t>
      </w:r>
      <w:r>
        <w:t>.</w:t>
      </w:r>
      <w:r>
        <w:tab/>
        <w:t>Form of notice of termination by lessor</w:t>
      </w:r>
      <w:bookmarkEnd w:id="390"/>
      <w:bookmarkEnd w:id="391"/>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392" w:name="_Toc38007021"/>
      <w:bookmarkStart w:id="393" w:name="_Toc25842984"/>
      <w:r>
        <w:rPr>
          <w:rStyle w:val="CharSectno"/>
        </w:rPr>
        <w:t>62</w:t>
      </w:r>
      <w:r>
        <w:rPr>
          <w:snapToGrid w:val="0"/>
        </w:rPr>
        <w:t>.</w:t>
      </w:r>
      <w:r>
        <w:rPr>
          <w:snapToGrid w:val="0"/>
        </w:rPr>
        <w:tab/>
        <w:t>Notice of termination by lessor upon ground of breach of term of agreement</w:t>
      </w:r>
      <w:bookmarkEnd w:id="392"/>
      <w:bookmarkEnd w:id="393"/>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394" w:name="_Toc38007022"/>
      <w:bookmarkStart w:id="395" w:name="_Toc25842985"/>
      <w:r>
        <w:rPr>
          <w:rStyle w:val="CharSectno"/>
        </w:rPr>
        <w:t>63</w:t>
      </w:r>
      <w:r>
        <w:t>.</w:t>
      </w:r>
      <w:r>
        <w:tab/>
        <w:t>Notice of termination by lessor who has entered into contract of sale</w:t>
      </w:r>
      <w:bookmarkEnd w:id="394"/>
      <w:bookmarkEnd w:id="395"/>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396" w:name="_Toc38007023"/>
      <w:bookmarkStart w:id="397" w:name="_Toc25842986"/>
      <w:r>
        <w:rPr>
          <w:rStyle w:val="CharSectno"/>
        </w:rPr>
        <w:t>64</w:t>
      </w:r>
      <w:r>
        <w:t>.</w:t>
      </w:r>
      <w:r>
        <w:tab/>
        <w:t>Notice of termination by lessor without any ground</w:t>
      </w:r>
      <w:bookmarkEnd w:id="396"/>
      <w:bookmarkEnd w:id="397"/>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398" w:name="_Toc38007024"/>
      <w:bookmarkStart w:id="399" w:name="_Toc25842987"/>
      <w:r>
        <w:rPr>
          <w:rStyle w:val="CharSectno"/>
        </w:rPr>
        <w:t>65</w:t>
      </w:r>
      <w:r>
        <w:rPr>
          <w:snapToGrid w:val="0"/>
        </w:rPr>
        <w:t>.</w:t>
      </w:r>
      <w:r>
        <w:rPr>
          <w:snapToGrid w:val="0"/>
        </w:rPr>
        <w:tab/>
        <w:t>Termination by lessor where s. 32 invoked</w:t>
      </w:r>
      <w:bookmarkEnd w:id="398"/>
      <w:bookmarkEnd w:id="399"/>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400" w:name="_Toc38007025"/>
      <w:bookmarkStart w:id="401" w:name="_Toc25842988"/>
      <w:r>
        <w:rPr>
          <w:rStyle w:val="CharSectno"/>
        </w:rPr>
        <w:t>66</w:t>
      </w:r>
      <w:r>
        <w:rPr>
          <w:snapToGrid w:val="0"/>
        </w:rPr>
        <w:t>.</w:t>
      </w:r>
      <w:r>
        <w:rPr>
          <w:snapToGrid w:val="0"/>
        </w:rPr>
        <w:tab/>
        <w:t>Notice by lessor not waived by acceptance of rent</w:t>
      </w:r>
      <w:bookmarkEnd w:id="400"/>
      <w:bookmarkEnd w:id="401"/>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402" w:name="_Toc38007026"/>
      <w:bookmarkStart w:id="403" w:name="_Toc25842989"/>
      <w:r>
        <w:rPr>
          <w:rStyle w:val="CharSectno"/>
        </w:rPr>
        <w:t>67</w:t>
      </w:r>
      <w:r>
        <w:rPr>
          <w:snapToGrid w:val="0"/>
        </w:rPr>
        <w:t>.</w:t>
      </w:r>
      <w:r>
        <w:rPr>
          <w:snapToGrid w:val="0"/>
        </w:rPr>
        <w:tab/>
        <w:t>Form of notice of termination by tenant</w:t>
      </w:r>
      <w:bookmarkEnd w:id="402"/>
      <w:bookmarkEnd w:id="403"/>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404" w:name="_Toc38007027"/>
      <w:bookmarkStart w:id="405" w:name="_Toc25842990"/>
      <w:r>
        <w:rPr>
          <w:rStyle w:val="CharSectno"/>
        </w:rPr>
        <w:t>68</w:t>
      </w:r>
      <w:r>
        <w:rPr>
          <w:snapToGrid w:val="0"/>
        </w:rPr>
        <w:t>.</w:t>
      </w:r>
      <w:r>
        <w:rPr>
          <w:snapToGrid w:val="0"/>
        </w:rPr>
        <w:tab/>
        <w:t>Notice of termination by tenant</w:t>
      </w:r>
      <w:bookmarkEnd w:id="404"/>
      <w:bookmarkEnd w:id="405"/>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406" w:name="_Toc38007028"/>
      <w:bookmarkStart w:id="407" w:name="_Toc25842991"/>
      <w:r>
        <w:rPr>
          <w:rStyle w:val="CharSectno"/>
        </w:rPr>
        <w:t>69</w:t>
      </w:r>
      <w:r>
        <w:rPr>
          <w:snapToGrid w:val="0"/>
        </w:rPr>
        <w:t>.</w:t>
      </w:r>
      <w:r>
        <w:rPr>
          <w:snapToGrid w:val="0"/>
        </w:rPr>
        <w:tab/>
        <w:t>Notice of termination by lessor or tenant where agreement frustrated</w:t>
      </w:r>
      <w:bookmarkEnd w:id="406"/>
      <w:bookmarkEnd w:id="407"/>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408" w:name="_Toc38007029"/>
      <w:bookmarkStart w:id="409" w:name="_Toc25842992"/>
      <w:r>
        <w:rPr>
          <w:rStyle w:val="CharSectno"/>
        </w:rPr>
        <w:t>70A</w:t>
      </w:r>
      <w:r>
        <w:t>.</w:t>
      </w:r>
      <w:r>
        <w:tab/>
        <w:t>Notice of termination by lessor or tenant at end of fixed term tenancy</w:t>
      </w:r>
      <w:bookmarkEnd w:id="408"/>
      <w:bookmarkEnd w:id="409"/>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410" w:name="_Toc38007030"/>
      <w:bookmarkStart w:id="411" w:name="_Toc25842993"/>
      <w:r>
        <w:rPr>
          <w:rStyle w:val="CharSectno"/>
        </w:rPr>
        <w:t>70</w:t>
      </w:r>
      <w:r>
        <w:rPr>
          <w:snapToGrid w:val="0"/>
        </w:rPr>
        <w:t>.</w:t>
      </w:r>
      <w:r>
        <w:rPr>
          <w:snapToGrid w:val="0"/>
        </w:rPr>
        <w:tab/>
        <w:t>Effect of notice of termination of periodic tenancy</w:t>
      </w:r>
      <w:bookmarkEnd w:id="410"/>
      <w:bookmarkEnd w:id="411"/>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412" w:name="_Toc38006828"/>
      <w:bookmarkStart w:id="413" w:name="_Toc38007031"/>
      <w:bookmarkStart w:id="414" w:name="_Toc5632969"/>
      <w:bookmarkStart w:id="415" w:name="_Toc5719348"/>
      <w:bookmarkStart w:id="416" w:name="_Toc22915862"/>
      <w:bookmarkStart w:id="417" w:name="_Toc22916062"/>
      <w:bookmarkStart w:id="418" w:name="_Toc25842994"/>
      <w:bookmarkStart w:id="419" w:name="_Toc2153379"/>
      <w:bookmarkStart w:id="420" w:name="_Toc2160213"/>
      <w:bookmarkStart w:id="421" w:name="_Toc2160937"/>
      <w:bookmarkStart w:id="422" w:name="_Toc5621560"/>
      <w:r>
        <w:rPr>
          <w:rStyle w:val="CharDivNo"/>
        </w:rPr>
        <w:t>Division 2A</w:t>
      </w:r>
      <w:r>
        <w:t> — </w:t>
      </w:r>
      <w:r>
        <w:rPr>
          <w:rStyle w:val="CharDivText"/>
        </w:rPr>
        <w:t>Special provisions about terminating tenant’s interest on grounds of family violence</w:t>
      </w:r>
      <w:bookmarkEnd w:id="412"/>
      <w:bookmarkEnd w:id="413"/>
      <w:bookmarkEnd w:id="414"/>
      <w:bookmarkEnd w:id="415"/>
      <w:bookmarkEnd w:id="416"/>
      <w:bookmarkEnd w:id="417"/>
      <w:bookmarkEnd w:id="418"/>
    </w:p>
    <w:p>
      <w:pPr>
        <w:pStyle w:val="Footnoteheading"/>
      </w:pPr>
      <w:r>
        <w:tab/>
        <w:t xml:space="preserve">[Heading inserted: No. 3 of 2019 s. 18.] </w:t>
      </w:r>
    </w:p>
    <w:p>
      <w:pPr>
        <w:pStyle w:val="Heading5"/>
      </w:pPr>
      <w:bookmarkStart w:id="423" w:name="_Toc38007032"/>
      <w:bookmarkStart w:id="424" w:name="_Toc25842995"/>
      <w:r>
        <w:rPr>
          <w:rStyle w:val="CharSectno"/>
        </w:rPr>
        <w:t>71AA</w:t>
      </w:r>
      <w:r>
        <w:t>.</w:t>
      </w:r>
      <w:r>
        <w:tab/>
        <w:t>Terms used</w:t>
      </w:r>
      <w:bookmarkEnd w:id="423"/>
      <w:bookmarkEnd w:id="424"/>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425" w:name="_Toc38007033"/>
      <w:bookmarkStart w:id="426" w:name="_Toc25842996"/>
      <w:r>
        <w:rPr>
          <w:rStyle w:val="CharSectno"/>
        </w:rPr>
        <w:t>71AB</w:t>
      </w:r>
      <w:r>
        <w:t>.</w:t>
      </w:r>
      <w:r>
        <w:tab/>
        <w:t>Notice of termination of tenant’s interest on ground that tenant subject to family violence</w:t>
      </w:r>
      <w:bookmarkEnd w:id="425"/>
      <w:bookmarkEnd w:id="426"/>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427" w:name="_Toc38007034"/>
      <w:bookmarkStart w:id="428" w:name="_Toc25842997"/>
      <w:r>
        <w:rPr>
          <w:rStyle w:val="CharSectno"/>
        </w:rPr>
        <w:t>71AC</w:t>
      </w:r>
      <w:r>
        <w:t>.</w:t>
      </w:r>
      <w:r>
        <w:tab/>
        <w:t>Review of notice of termination under s. 71AB</w:t>
      </w:r>
      <w:bookmarkEnd w:id="427"/>
      <w:bookmarkEnd w:id="428"/>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429" w:name="_Toc38007035"/>
      <w:bookmarkStart w:id="430" w:name="_Toc25842998"/>
      <w:r>
        <w:rPr>
          <w:rStyle w:val="CharSectno"/>
        </w:rPr>
        <w:t>71AD</w:t>
      </w:r>
      <w:r>
        <w:t>.</w:t>
      </w:r>
      <w:r>
        <w:tab/>
        <w:t>Rights of co</w:t>
      </w:r>
      <w:r>
        <w:noBreakHyphen/>
        <w:t>tenants after notice under s. 71AB</w:t>
      </w:r>
      <w:bookmarkEnd w:id="429"/>
      <w:bookmarkEnd w:id="430"/>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431" w:name="_Toc38007036"/>
      <w:bookmarkStart w:id="432" w:name="_Toc25842999"/>
      <w:r>
        <w:rPr>
          <w:rStyle w:val="CharSectno"/>
        </w:rPr>
        <w:t>71AE</w:t>
      </w:r>
      <w:r>
        <w:t>.</w:t>
      </w:r>
      <w:r>
        <w:tab/>
        <w:t>Termination of tenant’s interest by court on grounds of family violence</w:t>
      </w:r>
      <w:bookmarkEnd w:id="431"/>
      <w:bookmarkEnd w:id="432"/>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433" w:name="_Toc38007037"/>
      <w:bookmarkStart w:id="434" w:name="_Toc25843000"/>
      <w:r>
        <w:rPr>
          <w:rStyle w:val="CharSectno"/>
        </w:rPr>
        <w:t>71AF</w:t>
      </w:r>
      <w:r>
        <w:t>.</w:t>
      </w:r>
      <w:r>
        <w:tab/>
        <w:t>Review of Division</w:t>
      </w:r>
      <w:bookmarkEnd w:id="433"/>
      <w:bookmarkEnd w:id="434"/>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435" w:name="_Toc38006835"/>
      <w:bookmarkStart w:id="436" w:name="_Toc38007038"/>
      <w:bookmarkStart w:id="437" w:name="_Toc5632976"/>
      <w:bookmarkStart w:id="438" w:name="_Toc5719355"/>
      <w:bookmarkStart w:id="439" w:name="_Toc22915869"/>
      <w:bookmarkStart w:id="440" w:name="_Toc22916069"/>
      <w:bookmarkStart w:id="441" w:name="_Toc25843001"/>
      <w:r>
        <w:rPr>
          <w:rStyle w:val="CharDivNo"/>
        </w:rPr>
        <w:t>Division 3</w:t>
      </w:r>
      <w:r>
        <w:t> — </w:t>
      </w:r>
      <w:r>
        <w:rPr>
          <w:rStyle w:val="CharDivText"/>
        </w:rPr>
        <w:t>Special provisions about terminating social housing tenancy agreements</w:t>
      </w:r>
      <w:bookmarkEnd w:id="435"/>
      <w:bookmarkEnd w:id="436"/>
      <w:bookmarkEnd w:id="419"/>
      <w:bookmarkEnd w:id="420"/>
      <w:bookmarkEnd w:id="421"/>
      <w:bookmarkEnd w:id="422"/>
      <w:bookmarkEnd w:id="437"/>
      <w:bookmarkEnd w:id="438"/>
      <w:bookmarkEnd w:id="439"/>
      <w:bookmarkEnd w:id="440"/>
      <w:bookmarkEnd w:id="441"/>
    </w:p>
    <w:p>
      <w:pPr>
        <w:pStyle w:val="Footnoteheading"/>
      </w:pPr>
      <w:r>
        <w:tab/>
        <w:t>[Heading inserted: No. 60 of 2011 s. 92.]</w:t>
      </w:r>
    </w:p>
    <w:p>
      <w:pPr>
        <w:pStyle w:val="Heading4"/>
      </w:pPr>
      <w:bookmarkStart w:id="442" w:name="_Toc38006836"/>
      <w:bookmarkStart w:id="443" w:name="_Toc38007039"/>
      <w:bookmarkStart w:id="444" w:name="_Toc2153380"/>
      <w:bookmarkStart w:id="445" w:name="_Toc2160214"/>
      <w:bookmarkStart w:id="446" w:name="_Toc2160938"/>
      <w:bookmarkStart w:id="447" w:name="_Toc5621561"/>
      <w:bookmarkStart w:id="448" w:name="_Toc5632977"/>
      <w:bookmarkStart w:id="449" w:name="_Toc5719356"/>
      <w:bookmarkStart w:id="450" w:name="_Toc22915870"/>
      <w:bookmarkStart w:id="451" w:name="_Toc22916070"/>
      <w:bookmarkStart w:id="452" w:name="_Toc25843002"/>
      <w:r>
        <w:t>Subdivision 1 — Preliminary</w:t>
      </w:r>
      <w:bookmarkEnd w:id="442"/>
      <w:bookmarkEnd w:id="443"/>
      <w:bookmarkEnd w:id="444"/>
      <w:bookmarkEnd w:id="445"/>
      <w:bookmarkEnd w:id="446"/>
      <w:bookmarkEnd w:id="447"/>
      <w:bookmarkEnd w:id="448"/>
      <w:bookmarkEnd w:id="449"/>
      <w:bookmarkEnd w:id="450"/>
      <w:bookmarkEnd w:id="451"/>
      <w:bookmarkEnd w:id="452"/>
    </w:p>
    <w:p>
      <w:pPr>
        <w:pStyle w:val="Footnoteheading"/>
      </w:pPr>
      <w:r>
        <w:tab/>
        <w:t>[Heading inserted: No. 60 of 2011 s. 92.]</w:t>
      </w:r>
    </w:p>
    <w:p>
      <w:pPr>
        <w:pStyle w:val="Heading5"/>
      </w:pPr>
      <w:bookmarkStart w:id="453" w:name="_Toc38007040"/>
      <w:bookmarkStart w:id="454" w:name="_Toc25843003"/>
      <w:r>
        <w:rPr>
          <w:rStyle w:val="CharSectno"/>
        </w:rPr>
        <w:t>71A</w:t>
      </w:r>
      <w:r>
        <w:t>.</w:t>
      </w:r>
      <w:r>
        <w:tab/>
        <w:t>Terms used</w:t>
      </w:r>
      <w:bookmarkEnd w:id="453"/>
      <w:bookmarkEnd w:id="454"/>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455" w:name="_Toc38007041"/>
      <w:bookmarkStart w:id="456" w:name="_Toc25843004"/>
      <w:r>
        <w:rPr>
          <w:rStyle w:val="CharSectno"/>
        </w:rPr>
        <w:t>71B</w:t>
      </w:r>
      <w:r>
        <w:t>.</w:t>
      </w:r>
      <w:r>
        <w:tab/>
        <w:t>Application of Division</w:t>
      </w:r>
      <w:bookmarkEnd w:id="455"/>
      <w:bookmarkEnd w:id="456"/>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457" w:name="_Toc38006839"/>
      <w:bookmarkStart w:id="458" w:name="_Toc38007042"/>
      <w:bookmarkStart w:id="459" w:name="_Toc2153383"/>
      <w:bookmarkStart w:id="460" w:name="_Toc2160217"/>
      <w:bookmarkStart w:id="461" w:name="_Toc2160941"/>
      <w:bookmarkStart w:id="462" w:name="_Toc5621564"/>
      <w:bookmarkStart w:id="463" w:name="_Toc5632980"/>
      <w:bookmarkStart w:id="464" w:name="_Toc5719359"/>
      <w:bookmarkStart w:id="465" w:name="_Toc22915873"/>
      <w:bookmarkStart w:id="466" w:name="_Toc22916073"/>
      <w:bookmarkStart w:id="467" w:name="_Toc25843005"/>
      <w:r>
        <w:t>Subdivision 2 — Notice of termination where tenant not eligible for social housing premises</w:t>
      </w:r>
      <w:bookmarkEnd w:id="457"/>
      <w:bookmarkEnd w:id="458"/>
      <w:bookmarkEnd w:id="459"/>
      <w:bookmarkEnd w:id="460"/>
      <w:bookmarkEnd w:id="461"/>
      <w:bookmarkEnd w:id="462"/>
      <w:bookmarkEnd w:id="463"/>
      <w:bookmarkEnd w:id="464"/>
      <w:bookmarkEnd w:id="465"/>
      <w:bookmarkEnd w:id="466"/>
      <w:bookmarkEnd w:id="467"/>
    </w:p>
    <w:p>
      <w:pPr>
        <w:pStyle w:val="Footnoteheading"/>
      </w:pPr>
      <w:r>
        <w:tab/>
        <w:t>[Heading inserted: No. 60 of 2011 s. 92.]</w:t>
      </w:r>
    </w:p>
    <w:p>
      <w:pPr>
        <w:pStyle w:val="Heading5"/>
        <w:rPr>
          <w:snapToGrid w:val="0"/>
        </w:rPr>
      </w:pPr>
      <w:bookmarkStart w:id="468" w:name="_Toc38007043"/>
      <w:bookmarkStart w:id="469" w:name="_Toc25843006"/>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468"/>
      <w:bookmarkEnd w:id="469"/>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470" w:name="_Toc38007044"/>
      <w:bookmarkStart w:id="471" w:name="_Toc25843007"/>
      <w:r>
        <w:rPr>
          <w:rStyle w:val="CharSectno"/>
        </w:rPr>
        <w:t>71D</w:t>
      </w:r>
      <w:r>
        <w:t>.</w:t>
      </w:r>
      <w:r>
        <w:tab/>
        <w:t>Assessment of tenants eligibility for social housing premises</w:t>
      </w:r>
      <w:bookmarkEnd w:id="470"/>
      <w:bookmarkEnd w:id="471"/>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472" w:name="_Toc38007045"/>
      <w:bookmarkStart w:id="473" w:name="_Toc25843008"/>
      <w:r>
        <w:rPr>
          <w:rStyle w:val="CharSectno"/>
        </w:rPr>
        <w:t>71E</w:t>
      </w:r>
      <w:r>
        <w:t>.</w:t>
      </w:r>
      <w:r>
        <w:tab/>
        <w:t>Criteria for assessing eligibility of tenants for social housing premises under s. 71D</w:t>
      </w:r>
      <w:bookmarkEnd w:id="472"/>
      <w:bookmarkEnd w:id="473"/>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474" w:name="_Toc38007046"/>
      <w:bookmarkStart w:id="475" w:name="_Toc25843009"/>
      <w:r>
        <w:rPr>
          <w:rStyle w:val="CharSectno"/>
        </w:rPr>
        <w:t>71F</w:t>
      </w:r>
      <w:r>
        <w:t>.</w:t>
      </w:r>
      <w:r>
        <w:tab/>
        <w:t>Review of decision to give notice on ground that tenant not eligible for social housing premises</w:t>
      </w:r>
      <w:bookmarkEnd w:id="474"/>
      <w:bookmarkEnd w:id="475"/>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476" w:name="_Toc38007047"/>
      <w:bookmarkStart w:id="477" w:name="_Toc25843010"/>
      <w:r>
        <w:rPr>
          <w:rStyle w:val="CharSectno"/>
        </w:rPr>
        <w:t>71G</w:t>
      </w:r>
      <w:r>
        <w:t>.</w:t>
      </w:r>
      <w:r>
        <w:tab/>
        <w:t xml:space="preserve">Time </w:t>
      </w:r>
      <w:r>
        <w:rPr>
          <w:snapToGrid w:val="0"/>
        </w:rPr>
        <w:t>periods to be observed where notice of termination given under this Subdivision</w:t>
      </w:r>
      <w:bookmarkEnd w:id="476"/>
      <w:bookmarkEnd w:id="477"/>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478" w:name="_Toc38006845"/>
      <w:bookmarkStart w:id="479" w:name="_Toc38007048"/>
      <w:bookmarkStart w:id="480" w:name="_Toc2153389"/>
      <w:bookmarkStart w:id="481" w:name="_Toc2160223"/>
      <w:bookmarkStart w:id="482" w:name="_Toc2160947"/>
      <w:bookmarkStart w:id="483" w:name="_Toc5621570"/>
      <w:bookmarkStart w:id="484" w:name="_Toc5632986"/>
      <w:bookmarkStart w:id="485" w:name="_Toc5719365"/>
      <w:bookmarkStart w:id="486" w:name="_Toc22915879"/>
      <w:bookmarkStart w:id="487" w:name="_Toc22916079"/>
      <w:bookmarkStart w:id="488" w:name="_Toc25843011"/>
      <w:r>
        <w:t>Subdivision 3 — Notice of termination where tenant offered alternative social housing premises</w:t>
      </w:r>
      <w:bookmarkEnd w:id="478"/>
      <w:bookmarkEnd w:id="479"/>
      <w:bookmarkEnd w:id="480"/>
      <w:bookmarkEnd w:id="481"/>
      <w:bookmarkEnd w:id="482"/>
      <w:bookmarkEnd w:id="483"/>
      <w:bookmarkEnd w:id="484"/>
      <w:bookmarkEnd w:id="485"/>
      <w:bookmarkEnd w:id="486"/>
      <w:bookmarkEnd w:id="487"/>
      <w:bookmarkEnd w:id="488"/>
    </w:p>
    <w:p>
      <w:pPr>
        <w:pStyle w:val="Footnoteheading"/>
        <w:spacing w:before="100"/>
      </w:pPr>
      <w:r>
        <w:tab/>
        <w:t>[Heading inserted: No. 60 of 2011 s. 92.]</w:t>
      </w:r>
    </w:p>
    <w:p>
      <w:pPr>
        <w:pStyle w:val="Heading5"/>
        <w:rPr>
          <w:snapToGrid w:val="0"/>
        </w:rPr>
      </w:pPr>
      <w:bookmarkStart w:id="489" w:name="_Toc38007049"/>
      <w:bookmarkStart w:id="490" w:name="_Toc25843012"/>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489"/>
      <w:bookmarkEnd w:id="490"/>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491" w:name="_Toc38007050"/>
      <w:bookmarkStart w:id="492" w:name="_Toc25843013"/>
      <w:r>
        <w:rPr>
          <w:rStyle w:val="CharSectno"/>
        </w:rPr>
        <w:t>71I</w:t>
      </w:r>
      <w:r>
        <w:t>.</w:t>
      </w:r>
      <w:r>
        <w:tab/>
        <w:t>Review of decision to give notice on ground that tenant offered alternative social housing premises</w:t>
      </w:r>
      <w:bookmarkEnd w:id="491"/>
      <w:bookmarkEnd w:id="492"/>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493" w:name="_Toc38007051"/>
      <w:bookmarkStart w:id="494" w:name="_Toc25843014"/>
      <w:r>
        <w:rPr>
          <w:rStyle w:val="CharSectno"/>
        </w:rPr>
        <w:t>71J</w:t>
      </w:r>
      <w:r>
        <w:t>.</w:t>
      </w:r>
      <w:r>
        <w:tab/>
        <w:t xml:space="preserve">Time periods to be observed </w:t>
      </w:r>
      <w:r>
        <w:rPr>
          <w:snapToGrid w:val="0"/>
        </w:rPr>
        <w:t xml:space="preserve">where notice of termination given </w:t>
      </w:r>
      <w:r>
        <w:t>under this Subdivision</w:t>
      </w:r>
      <w:bookmarkEnd w:id="493"/>
      <w:bookmarkEnd w:id="494"/>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495" w:name="_Toc38006849"/>
      <w:bookmarkStart w:id="496" w:name="_Toc38007052"/>
      <w:bookmarkStart w:id="497" w:name="_Toc2153393"/>
      <w:bookmarkStart w:id="498" w:name="_Toc2160227"/>
      <w:bookmarkStart w:id="499" w:name="_Toc2160951"/>
      <w:bookmarkStart w:id="500" w:name="_Toc5621574"/>
      <w:bookmarkStart w:id="501" w:name="_Toc5632990"/>
      <w:bookmarkStart w:id="502" w:name="_Toc5719369"/>
      <w:bookmarkStart w:id="503" w:name="_Toc22915883"/>
      <w:bookmarkStart w:id="504" w:name="_Toc22916083"/>
      <w:bookmarkStart w:id="505" w:name="_Toc25843015"/>
      <w:r>
        <w:rPr>
          <w:rStyle w:val="CharDivNo"/>
        </w:rPr>
        <w:t>Division 4</w:t>
      </w:r>
      <w:r>
        <w:t> — </w:t>
      </w:r>
      <w:r>
        <w:rPr>
          <w:rStyle w:val="CharDivText"/>
        </w:rPr>
        <w:t>Orders for termination of residential tenancy agreement</w:t>
      </w:r>
      <w:bookmarkEnd w:id="495"/>
      <w:bookmarkEnd w:id="496"/>
      <w:bookmarkEnd w:id="497"/>
      <w:bookmarkEnd w:id="498"/>
      <w:bookmarkEnd w:id="499"/>
      <w:bookmarkEnd w:id="500"/>
      <w:bookmarkEnd w:id="501"/>
      <w:bookmarkEnd w:id="502"/>
      <w:bookmarkEnd w:id="503"/>
      <w:bookmarkEnd w:id="504"/>
      <w:bookmarkEnd w:id="505"/>
    </w:p>
    <w:p>
      <w:pPr>
        <w:pStyle w:val="Footnoteheading"/>
      </w:pPr>
      <w:r>
        <w:tab/>
        <w:t>[Heading inserted: No. 60 of 2011 s. 69.]</w:t>
      </w:r>
    </w:p>
    <w:p>
      <w:pPr>
        <w:pStyle w:val="Heading5"/>
        <w:rPr>
          <w:snapToGrid w:val="0"/>
        </w:rPr>
      </w:pPr>
      <w:bookmarkStart w:id="506" w:name="_Toc38007053"/>
      <w:bookmarkStart w:id="507" w:name="_Toc25843016"/>
      <w:r>
        <w:rPr>
          <w:rStyle w:val="CharSectno"/>
        </w:rPr>
        <w:t>71</w:t>
      </w:r>
      <w:r>
        <w:rPr>
          <w:snapToGrid w:val="0"/>
        </w:rPr>
        <w:t>.</w:t>
      </w:r>
      <w:r>
        <w:rPr>
          <w:snapToGrid w:val="0"/>
        </w:rPr>
        <w:tab/>
        <w:t>Application by lessor for termination and order for possession</w:t>
      </w:r>
      <w:bookmarkEnd w:id="506"/>
      <w:bookmarkEnd w:id="507"/>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508" w:name="_Toc38007054"/>
      <w:bookmarkStart w:id="509" w:name="_Toc25843017"/>
      <w:r>
        <w:rPr>
          <w:rStyle w:val="CharSectno"/>
        </w:rPr>
        <w:t>72</w:t>
      </w:r>
      <w:r>
        <w:rPr>
          <w:snapToGrid w:val="0"/>
        </w:rPr>
        <w:t>.</w:t>
      </w:r>
      <w:r>
        <w:rPr>
          <w:snapToGrid w:val="0"/>
        </w:rPr>
        <w:tab/>
        <w:t>Application for termination and order for possession in relation to fixed term agreements</w:t>
      </w:r>
      <w:bookmarkEnd w:id="508"/>
      <w:bookmarkEnd w:id="509"/>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510" w:name="_Toc38007055"/>
      <w:bookmarkStart w:id="511" w:name="_Toc25843018"/>
      <w:r>
        <w:rPr>
          <w:rStyle w:val="CharSectno"/>
        </w:rPr>
        <w:t>73A</w:t>
      </w:r>
      <w:r>
        <w:t>.</w:t>
      </w:r>
      <w:r>
        <w:tab/>
        <w:t>Notice of termination not required in certain cases</w:t>
      </w:r>
      <w:bookmarkEnd w:id="510"/>
      <w:bookmarkEnd w:id="511"/>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512" w:name="_Toc38007056"/>
      <w:bookmarkStart w:id="513" w:name="_Toc25843019"/>
      <w:r>
        <w:rPr>
          <w:rStyle w:val="CharSectno"/>
        </w:rPr>
        <w:t>73</w:t>
      </w:r>
      <w:r>
        <w:rPr>
          <w:snapToGrid w:val="0"/>
        </w:rPr>
        <w:t>.</w:t>
      </w:r>
      <w:r>
        <w:rPr>
          <w:snapToGrid w:val="0"/>
        </w:rPr>
        <w:tab/>
        <w:t>Termination of agreement where tenant causing serious damage or injury</w:t>
      </w:r>
      <w:bookmarkEnd w:id="512"/>
      <w:bookmarkEnd w:id="51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terminate the agreement if it is satisfied that the tenant has intentionally or recklessly caused or permitted, or is likely intentionally or recklessly to cause or permit</w:t>
      </w:r>
      <w:del w:id="514" w:author="svcMRProcess" w:date="2020-04-17T17:55:00Z">
        <w:r>
          <w:rPr>
            <w:snapToGrid w:val="0"/>
          </w:rPr>
          <w:delText xml:space="preserve">, serious damage to the premises or injury to </w:delText>
        </w:r>
        <w:r>
          <w:delText>the lessor or the property manager of the premises</w:delText>
        </w:r>
        <w:r>
          <w:rPr>
            <w:snapToGrid w:val="0"/>
          </w:rPr>
          <w:delText xml:space="preserve"> or any person in occupation of or permitted on adjacent premises.</w:delText>
        </w:r>
      </w:del>
      <w:ins w:id="515" w:author="svcMRProcess" w:date="2020-04-17T17:55:00Z">
        <w:r>
          <w:rPr>
            <w:snapToGrid w:val="0"/>
          </w:rPr>
          <w:t xml:space="preserve"> — </w:t>
        </w:r>
      </w:ins>
    </w:p>
    <w:p>
      <w:pPr>
        <w:pStyle w:val="Indenta"/>
        <w:rPr>
          <w:ins w:id="516" w:author="svcMRProcess" w:date="2020-04-17T17:55:00Z"/>
          <w:snapToGrid w:val="0"/>
        </w:rPr>
      </w:pPr>
      <w:ins w:id="517" w:author="svcMRProcess" w:date="2020-04-17T17:55:00Z">
        <w:r>
          <w:rPr>
            <w:snapToGrid w:val="0"/>
          </w:rPr>
          <w:tab/>
          <w:t>(a)</w:t>
        </w:r>
        <w:r>
          <w:rPr>
            <w:snapToGrid w:val="0"/>
          </w:rPr>
          <w:tab/>
          <w:t xml:space="preserve">serious damage to the premises or, where relevant, a </w:t>
        </w:r>
        <w:r>
          <w:t>common area or chattels in the common area</w:t>
        </w:r>
        <w:r>
          <w:rPr>
            <w:snapToGrid w:val="0"/>
          </w:rPr>
          <w:t>; or</w:t>
        </w:r>
      </w:ins>
    </w:p>
    <w:p>
      <w:pPr>
        <w:pStyle w:val="Indenta"/>
        <w:rPr>
          <w:ins w:id="518" w:author="svcMRProcess" w:date="2020-04-17T17:55:00Z"/>
          <w:snapToGrid w:val="0"/>
        </w:rPr>
      </w:pPr>
      <w:ins w:id="519" w:author="svcMRProcess" w:date="2020-04-17T17:55:00Z">
        <w:r>
          <w:rPr>
            <w:snapToGrid w:val="0"/>
          </w:rPr>
          <w:tab/>
          <w:t>(b)</w:t>
        </w:r>
        <w:r>
          <w:rPr>
            <w:snapToGrid w:val="0"/>
          </w:rPr>
          <w:tab/>
          <w:t xml:space="preserve">injury to — </w:t>
        </w:r>
      </w:ins>
    </w:p>
    <w:p>
      <w:pPr>
        <w:pStyle w:val="Indenti"/>
        <w:rPr>
          <w:ins w:id="520" w:author="svcMRProcess" w:date="2020-04-17T17:55:00Z"/>
        </w:rPr>
      </w:pPr>
      <w:ins w:id="521" w:author="svcMRProcess" w:date="2020-04-17T17:55:00Z">
        <w:r>
          <w:tab/>
          <w:t>(i)</w:t>
        </w:r>
        <w:r>
          <w:tab/>
        </w:r>
        <w:r>
          <w:rPr>
            <w:snapToGrid w:val="0"/>
          </w:rPr>
          <w:t>the</w:t>
        </w:r>
        <w:r>
          <w:t xml:space="preserve"> lessor; or </w:t>
        </w:r>
      </w:ins>
    </w:p>
    <w:p>
      <w:pPr>
        <w:pStyle w:val="Indenti"/>
        <w:rPr>
          <w:ins w:id="522" w:author="svcMRProcess" w:date="2020-04-17T17:55:00Z"/>
          <w:snapToGrid w:val="0"/>
        </w:rPr>
      </w:pPr>
      <w:ins w:id="523" w:author="svcMRProcess" w:date="2020-04-17T17:55:00Z">
        <w:r>
          <w:tab/>
          <w:t>(ii)</w:t>
        </w:r>
        <w:r>
          <w:tab/>
          <w:t>the property manager of the premises;</w:t>
        </w:r>
        <w:r>
          <w:rPr>
            <w:snapToGrid w:val="0"/>
          </w:rPr>
          <w:t xml:space="preserve"> or </w:t>
        </w:r>
      </w:ins>
    </w:p>
    <w:p>
      <w:pPr>
        <w:pStyle w:val="Indenti"/>
        <w:rPr>
          <w:ins w:id="524" w:author="svcMRProcess" w:date="2020-04-17T17:55:00Z"/>
          <w:snapToGrid w:val="0"/>
        </w:rPr>
      </w:pPr>
      <w:ins w:id="525" w:author="svcMRProcess" w:date="2020-04-17T17:55:00Z">
        <w:r>
          <w:rPr>
            <w:snapToGrid w:val="0"/>
          </w:rPr>
          <w:tab/>
          <w:t>(iii)</w:t>
        </w:r>
        <w:r>
          <w:rPr>
            <w:snapToGrid w:val="0"/>
          </w:rPr>
          <w:tab/>
          <w:t>any person in occupation of or permitted on adjacent premises.</w:t>
        </w:r>
      </w:ins>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[Section 73 amended: No. 50 of 1988 s. 18; No. 59 of 2004 s. 120; No. 60 of 2011 s. 72, 88 and 89</w:t>
      </w:r>
      <w:del w:id="526" w:author="svcMRProcess" w:date="2020-04-17T17:55:00Z">
        <w:r>
          <w:delText>.]</w:delText>
        </w:r>
      </w:del>
      <w:ins w:id="527" w:author="svcMRProcess" w:date="2020-04-17T17:55:00Z">
        <w:r>
          <w:t>; No. 25 of 2019 s. 69.]</w:t>
        </w:r>
      </w:ins>
      <w:r>
        <w:t xml:space="preserve"> </w:t>
      </w:r>
    </w:p>
    <w:p>
      <w:pPr>
        <w:pStyle w:val="Heading5"/>
        <w:rPr>
          <w:snapToGrid w:val="0"/>
        </w:rPr>
      </w:pPr>
      <w:bookmarkStart w:id="528" w:name="_Toc38007057"/>
      <w:bookmarkStart w:id="529" w:name="_Toc25843020"/>
      <w:r>
        <w:rPr>
          <w:rStyle w:val="CharSectno"/>
        </w:rPr>
        <w:t>74</w:t>
      </w:r>
      <w:r>
        <w:rPr>
          <w:snapToGrid w:val="0"/>
        </w:rPr>
        <w:t>.</w:t>
      </w:r>
      <w:r>
        <w:rPr>
          <w:snapToGrid w:val="0"/>
        </w:rPr>
        <w:tab/>
        <w:t>Termination of agreement where lessor or tenant would otherwise suffer undue hardship</w:t>
      </w:r>
      <w:bookmarkEnd w:id="528"/>
      <w:bookmarkEnd w:id="529"/>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530" w:name="_Toc38007058"/>
      <w:bookmarkStart w:id="531" w:name="_Toc25843021"/>
      <w:r>
        <w:rPr>
          <w:rStyle w:val="CharSectno"/>
        </w:rPr>
        <w:t>75A</w:t>
      </w:r>
      <w:r>
        <w:t>.</w:t>
      </w:r>
      <w:r>
        <w:tab/>
        <w:t>Termination of social housing tenancy agreement due to objectionable behaviour</w:t>
      </w:r>
      <w:bookmarkEnd w:id="530"/>
      <w:bookmarkEnd w:id="531"/>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532" w:name="_Toc38007059"/>
      <w:bookmarkStart w:id="533" w:name="_Toc25843022"/>
      <w:r>
        <w:rPr>
          <w:rStyle w:val="CharSectno"/>
        </w:rPr>
        <w:t>75</w:t>
      </w:r>
      <w:r>
        <w:rPr>
          <w:snapToGrid w:val="0"/>
        </w:rPr>
        <w:t>.</w:t>
      </w:r>
      <w:r>
        <w:rPr>
          <w:snapToGrid w:val="0"/>
        </w:rPr>
        <w:tab/>
        <w:t>Termination of agreement for breach by lessor</w:t>
      </w:r>
      <w:bookmarkEnd w:id="532"/>
      <w:bookmarkEnd w:id="533"/>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534" w:name="_Toc38007060"/>
      <w:bookmarkStart w:id="535" w:name="_Toc25843023"/>
      <w:r>
        <w:rPr>
          <w:rStyle w:val="CharSectno"/>
        </w:rPr>
        <w:t>76A</w:t>
      </w:r>
      <w:r>
        <w:t>.</w:t>
      </w:r>
      <w:r>
        <w:tab/>
        <w:t>Termination of agreement by lessor if premises abandoned</w:t>
      </w:r>
      <w:bookmarkEnd w:id="534"/>
      <w:bookmarkEnd w:id="535"/>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536" w:name="_Toc38007061"/>
      <w:bookmarkStart w:id="537" w:name="_Toc25843024"/>
      <w:r>
        <w:rPr>
          <w:rStyle w:val="CharSectno"/>
        </w:rPr>
        <w:t>76B</w:t>
      </w:r>
      <w:r>
        <w:t>.</w:t>
      </w:r>
      <w:r>
        <w:tab/>
        <w:t>Dispute about s. 76A notice</w:t>
      </w:r>
      <w:bookmarkEnd w:id="536"/>
      <w:bookmarkEnd w:id="537"/>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538" w:name="_Toc38006859"/>
      <w:bookmarkStart w:id="539" w:name="_Toc38007062"/>
      <w:bookmarkStart w:id="540" w:name="_Toc2153403"/>
      <w:bookmarkStart w:id="541" w:name="_Toc2160237"/>
      <w:bookmarkStart w:id="542" w:name="_Toc2160961"/>
      <w:bookmarkStart w:id="543" w:name="_Toc5621584"/>
      <w:bookmarkStart w:id="544" w:name="_Toc5633000"/>
      <w:bookmarkStart w:id="545" w:name="_Toc5719379"/>
      <w:bookmarkStart w:id="546" w:name="_Toc22915893"/>
      <w:bookmarkStart w:id="547" w:name="_Toc22916093"/>
      <w:bookmarkStart w:id="548" w:name="_Toc25843025"/>
      <w:r>
        <w:rPr>
          <w:rStyle w:val="CharDivNo"/>
        </w:rPr>
        <w:t>Division 5</w:t>
      </w:r>
      <w:r>
        <w:t> — </w:t>
      </w:r>
      <w:r>
        <w:rPr>
          <w:rStyle w:val="CharDivText"/>
        </w:rPr>
        <w:t>General</w:t>
      </w:r>
      <w:bookmarkEnd w:id="538"/>
      <w:bookmarkEnd w:id="539"/>
      <w:bookmarkEnd w:id="540"/>
      <w:bookmarkEnd w:id="541"/>
      <w:bookmarkEnd w:id="542"/>
      <w:bookmarkEnd w:id="543"/>
      <w:bookmarkEnd w:id="544"/>
      <w:bookmarkEnd w:id="545"/>
      <w:bookmarkEnd w:id="546"/>
      <w:bookmarkEnd w:id="547"/>
      <w:bookmarkEnd w:id="548"/>
    </w:p>
    <w:p>
      <w:pPr>
        <w:pStyle w:val="Footnoteheading"/>
        <w:spacing w:before="80"/>
      </w:pPr>
      <w:r>
        <w:tab/>
        <w:t>[Heading inserted: No. 60 of 2011 s. 74.]</w:t>
      </w:r>
    </w:p>
    <w:p>
      <w:pPr>
        <w:pStyle w:val="Heading5"/>
      </w:pPr>
      <w:bookmarkStart w:id="549" w:name="_Toc38007063"/>
      <w:bookmarkStart w:id="550" w:name="_Toc25843026"/>
      <w:r>
        <w:rPr>
          <w:rStyle w:val="CharSectno"/>
        </w:rPr>
        <w:t>76C</w:t>
      </w:r>
      <w:r>
        <w:t>.</w:t>
      </w:r>
      <w:r>
        <w:tab/>
        <w:t>Fixed term tenancies continued as periodic tenancies</w:t>
      </w:r>
      <w:bookmarkEnd w:id="549"/>
      <w:bookmarkEnd w:id="550"/>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551" w:name="_Toc38007064"/>
      <w:bookmarkStart w:id="552" w:name="_Toc25843027"/>
      <w:r>
        <w:rPr>
          <w:rStyle w:val="CharSectno"/>
        </w:rPr>
        <w:t>76</w:t>
      </w:r>
      <w:r>
        <w:rPr>
          <w:snapToGrid w:val="0"/>
        </w:rPr>
        <w:t>.</w:t>
      </w:r>
      <w:r>
        <w:rPr>
          <w:snapToGrid w:val="0"/>
        </w:rPr>
        <w:tab/>
        <w:t>Compensation to lessor for holding over</w:t>
      </w:r>
      <w:bookmarkEnd w:id="551"/>
      <w:bookmarkEnd w:id="552"/>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553" w:name="_Toc38007065"/>
      <w:bookmarkStart w:id="554" w:name="_Toc25843028"/>
      <w:r>
        <w:rPr>
          <w:rStyle w:val="CharSectno"/>
        </w:rPr>
        <w:t>77</w:t>
      </w:r>
      <w:r>
        <w:t>.</w:t>
      </w:r>
      <w:r>
        <w:tab/>
        <w:t>Abandonment of premises</w:t>
      </w:r>
      <w:bookmarkEnd w:id="553"/>
      <w:bookmarkEnd w:id="554"/>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555" w:name="_Toc38007066"/>
      <w:bookmarkStart w:id="556" w:name="_Toc25843029"/>
      <w:r>
        <w:rPr>
          <w:rStyle w:val="CharSectno"/>
        </w:rPr>
        <w:t>78A</w:t>
      </w:r>
      <w:r>
        <w:t>.</w:t>
      </w:r>
      <w:r>
        <w:tab/>
        <w:t>Order about abandonment</w:t>
      </w:r>
      <w:bookmarkEnd w:id="555"/>
      <w:bookmarkEnd w:id="556"/>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557" w:name="_Toc38007067"/>
      <w:bookmarkStart w:id="558" w:name="_Toc25843030"/>
      <w:r>
        <w:rPr>
          <w:rStyle w:val="CharSectno"/>
        </w:rPr>
        <w:t>78B</w:t>
      </w:r>
      <w:r>
        <w:t>.</w:t>
      </w:r>
      <w:r>
        <w:tab/>
        <w:t>Review of abandonment order</w:t>
      </w:r>
      <w:bookmarkEnd w:id="557"/>
      <w:bookmarkEnd w:id="558"/>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559" w:name="_Toc38007068"/>
      <w:bookmarkStart w:id="560" w:name="_Toc25843031"/>
      <w:r>
        <w:rPr>
          <w:rStyle w:val="CharSectno"/>
        </w:rPr>
        <w:t>78</w:t>
      </w:r>
      <w:r>
        <w:rPr>
          <w:snapToGrid w:val="0"/>
        </w:rPr>
        <w:t>.</w:t>
      </w:r>
      <w:r>
        <w:rPr>
          <w:snapToGrid w:val="0"/>
        </w:rPr>
        <w:tab/>
      </w:r>
      <w:r>
        <w:rPr>
          <w:bCs/>
        </w:rPr>
        <w:t>Right of lessor to compensation where tenant abandons premises</w:t>
      </w:r>
      <w:bookmarkEnd w:id="559"/>
      <w:bookmarkEnd w:id="560"/>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561" w:name="_Toc38007069"/>
      <w:bookmarkStart w:id="562" w:name="_Toc25843032"/>
      <w:r>
        <w:rPr>
          <w:rStyle w:val="CharSectno"/>
        </w:rPr>
        <w:t>79</w:t>
      </w:r>
      <w:r>
        <w:rPr>
          <w:snapToGrid w:val="0"/>
        </w:rPr>
        <w:t>.</w:t>
      </w:r>
      <w:r>
        <w:rPr>
          <w:snapToGrid w:val="0"/>
        </w:rPr>
        <w:tab/>
        <w:t>Abandoned goods</w:t>
      </w:r>
      <w:bookmarkEnd w:id="561"/>
      <w:bookmarkEnd w:id="562"/>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563" w:name="_Toc38007070"/>
      <w:bookmarkStart w:id="564" w:name="_Toc25843033"/>
      <w:r>
        <w:rPr>
          <w:rStyle w:val="CharSectno"/>
        </w:rPr>
        <w:t>80A</w:t>
      </w:r>
      <w:r>
        <w:t>.</w:t>
      </w:r>
      <w:r>
        <w:tab/>
        <w:t>Abandoned documents</w:t>
      </w:r>
      <w:bookmarkEnd w:id="563"/>
      <w:bookmarkEnd w:id="564"/>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565" w:name="_Toc38007071"/>
      <w:bookmarkStart w:id="566" w:name="_Toc25843034"/>
      <w:r>
        <w:rPr>
          <w:rStyle w:val="CharSectno"/>
        </w:rPr>
        <w:t>80</w:t>
      </w:r>
      <w:r>
        <w:rPr>
          <w:snapToGrid w:val="0"/>
        </w:rPr>
        <w:t>.</w:t>
      </w:r>
      <w:r>
        <w:rPr>
          <w:snapToGrid w:val="0"/>
        </w:rPr>
        <w:tab/>
        <w:t>Recovery of possession of premises prohibited except by court order</w:t>
      </w:r>
      <w:bookmarkEnd w:id="565"/>
      <w:bookmarkEnd w:id="566"/>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567" w:name="_Toc38007072"/>
      <w:bookmarkStart w:id="568" w:name="_Toc25843035"/>
      <w:r>
        <w:rPr>
          <w:rStyle w:val="CharSectno"/>
        </w:rPr>
        <w:t>81A</w:t>
      </w:r>
      <w:r>
        <w:t>.</w:t>
      </w:r>
      <w:r>
        <w:tab/>
        <w:t>Mortgagee repossessions of rented properties</w:t>
      </w:r>
      <w:bookmarkEnd w:id="567"/>
      <w:bookmarkEnd w:id="568"/>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569" w:name="_Toc38007073"/>
      <w:bookmarkStart w:id="570" w:name="_Toc25843036"/>
      <w:r>
        <w:rPr>
          <w:rStyle w:val="CharSectno"/>
        </w:rPr>
        <w:t>81B</w:t>
      </w:r>
      <w:r>
        <w:t>.</w:t>
      </w:r>
      <w:r>
        <w:tab/>
        <w:t>Notice of proposed recovery of premises by person with superior title</w:t>
      </w:r>
      <w:bookmarkEnd w:id="569"/>
      <w:bookmarkEnd w:id="570"/>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571" w:name="_Toc38007074"/>
      <w:bookmarkStart w:id="572" w:name="_Toc25843037"/>
      <w:r>
        <w:rPr>
          <w:rStyle w:val="CharSectno"/>
        </w:rPr>
        <w:t>81</w:t>
      </w:r>
      <w:r>
        <w:t>.</w:t>
      </w:r>
      <w:r>
        <w:tab/>
        <w:t>Order for tenancy against person with superior title</w:t>
      </w:r>
      <w:bookmarkEnd w:id="571"/>
      <w:bookmarkEnd w:id="572"/>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573" w:name="_Toc38006872"/>
      <w:bookmarkStart w:id="574" w:name="_Toc38007075"/>
      <w:bookmarkStart w:id="575" w:name="_Toc2153416"/>
      <w:bookmarkStart w:id="576" w:name="_Toc2160250"/>
      <w:bookmarkStart w:id="577" w:name="_Toc2160974"/>
      <w:bookmarkStart w:id="578" w:name="_Toc5621597"/>
      <w:bookmarkStart w:id="579" w:name="_Toc5633013"/>
      <w:bookmarkStart w:id="580" w:name="_Toc5719392"/>
      <w:bookmarkStart w:id="581" w:name="_Toc22915906"/>
      <w:bookmarkStart w:id="582" w:name="_Toc22916106"/>
      <w:bookmarkStart w:id="583" w:name="_Toc25843038"/>
      <w:r>
        <w:rPr>
          <w:rStyle w:val="CharPartNo"/>
        </w:rPr>
        <w:t>Part VIA</w:t>
      </w:r>
      <w:r>
        <w:t> — </w:t>
      </w:r>
      <w:r>
        <w:rPr>
          <w:rStyle w:val="CharPartText"/>
        </w:rPr>
        <w:t>Residential tenancy databases</w:t>
      </w:r>
      <w:bookmarkEnd w:id="573"/>
      <w:bookmarkEnd w:id="574"/>
      <w:bookmarkEnd w:id="575"/>
      <w:bookmarkEnd w:id="576"/>
      <w:bookmarkEnd w:id="577"/>
      <w:bookmarkEnd w:id="578"/>
      <w:bookmarkEnd w:id="579"/>
      <w:bookmarkEnd w:id="580"/>
      <w:bookmarkEnd w:id="581"/>
      <w:bookmarkEnd w:id="582"/>
      <w:bookmarkEnd w:id="583"/>
    </w:p>
    <w:p>
      <w:pPr>
        <w:pStyle w:val="Footnoteheading"/>
      </w:pPr>
      <w:r>
        <w:tab/>
        <w:t xml:space="preserve">[Heading inserted: No. 60 of 2011 s. 96.] </w:t>
      </w:r>
    </w:p>
    <w:p>
      <w:pPr>
        <w:pStyle w:val="Heading3"/>
      </w:pPr>
      <w:bookmarkStart w:id="584" w:name="_Toc38006873"/>
      <w:bookmarkStart w:id="585" w:name="_Toc38007076"/>
      <w:bookmarkStart w:id="586" w:name="_Toc2153417"/>
      <w:bookmarkStart w:id="587" w:name="_Toc2160251"/>
      <w:bookmarkStart w:id="588" w:name="_Toc2160975"/>
      <w:bookmarkStart w:id="589" w:name="_Toc5621598"/>
      <w:bookmarkStart w:id="590" w:name="_Toc5633014"/>
      <w:bookmarkStart w:id="591" w:name="_Toc5719393"/>
      <w:bookmarkStart w:id="592" w:name="_Toc22915907"/>
      <w:bookmarkStart w:id="593" w:name="_Toc22916107"/>
      <w:bookmarkStart w:id="594" w:name="_Toc25843039"/>
      <w:r>
        <w:rPr>
          <w:rStyle w:val="CharDivNo"/>
        </w:rPr>
        <w:t>Division 1</w:t>
      </w:r>
      <w:r>
        <w:t> — </w:t>
      </w:r>
      <w:r>
        <w:rPr>
          <w:rStyle w:val="CharDivText"/>
        </w:rPr>
        <w:t>Preliminary</w:t>
      </w:r>
      <w:bookmarkEnd w:id="584"/>
      <w:bookmarkEnd w:id="585"/>
      <w:bookmarkEnd w:id="586"/>
      <w:bookmarkEnd w:id="587"/>
      <w:bookmarkEnd w:id="588"/>
      <w:bookmarkEnd w:id="589"/>
      <w:bookmarkEnd w:id="590"/>
      <w:bookmarkEnd w:id="591"/>
      <w:bookmarkEnd w:id="592"/>
      <w:bookmarkEnd w:id="593"/>
      <w:bookmarkEnd w:id="594"/>
    </w:p>
    <w:p>
      <w:pPr>
        <w:pStyle w:val="Footnoteheading"/>
      </w:pPr>
      <w:r>
        <w:tab/>
        <w:t xml:space="preserve">[Heading inserted: No. 60 of 2011 s. 96.] </w:t>
      </w:r>
    </w:p>
    <w:p>
      <w:pPr>
        <w:pStyle w:val="Heading5"/>
      </w:pPr>
      <w:bookmarkStart w:id="595" w:name="_Toc38007077"/>
      <w:bookmarkStart w:id="596" w:name="_Toc25843040"/>
      <w:r>
        <w:rPr>
          <w:rStyle w:val="CharSectno"/>
        </w:rPr>
        <w:t>82A</w:t>
      </w:r>
      <w:r>
        <w:t>.</w:t>
      </w:r>
      <w:r>
        <w:tab/>
        <w:t>Terms used</w:t>
      </w:r>
      <w:bookmarkEnd w:id="595"/>
      <w:bookmarkEnd w:id="596"/>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597" w:name="_Toc38007078"/>
      <w:bookmarkStart w:id="598" w:name="_Toc25843041"/>
      <w:r>
        <w:rPr>
          <w:rStyle w:val="CharSectno"/>
        </w:rPr>
        <w:t>82B</w:t>
      </w:r>
      <w:r>
        <w:t>.</w:t>
      </w:r>
      <w:r>
        <w:tab/>
        <w:t>Application of Part</w:t>
      </w:r>
      <w:bookmarkEnd w:id="597"/>
      <w:bookmarkEnd w:id="598"/>
    </w:p>
    <w:p>
      <w:pPr>
        <w:pStyle w:val="Subsection"/>
      </w:pPr>
      <w:r>
        <w:tab/>
      </w:r>
      <w:ins w:id="599" w:author="svcMRProcess" w:date="2020-04-17T17:55:00Z">
        <w:r>
          <w:t>(1)</w:t>
        </w:r>
      </w:ins>
      <w:r>
        <w:tab/>
        <w:t>This Part does not apply to a residential tenancy database kept by an entity (including a government department of this State, another State or a Territory) for use only by that entity or its officers, employees or agents.</w:t>
      </w:r>
    </w:p>
    <w:p>
      <w:pPr>
        <w:pStyle w:val="Subsection"/>
        <w:rPr>
          <w:ins w:id="600" w:author="svcMRProcess" w:date="2020-04-17T17:55:00Z"/>
        </w:rPr>
      </w:pPr>
      <w:ins w:id="601" w:author="svcMRProcess" w:date="2020-04-17T17:55:00Z">
        <w:r>
          <w:tab/>
          <w:t>(2)</w:t>
        </w:r>
        <w:r>
          <w:tab/>
          <w:t xml:space="preserve">This Part applies to a database operator, regardless of whether the database operator is inside or outside of the State, if the database operator operates a residential tenancy database containing personal information — </w:t>
        </w:r>
      </w:ins>
    </w:p>
    <w:p>
      <w:pPr>
        <w:pStyle w:val="Indenta"/>
        <w:rPr>
          <w:ins w:id="602" w:author="svcMRProcess" w:date="2020-04-17T17:55:00Z"/>
        </w:rPr>
      </w:pPr>
      <w:ins w:id="603" w:author="svcMRProcess" w:date="2020-04-17T17:55:00Z">
        <w:r>
          <w:tab/>
          <w:t>(a)</w:t>
        </w:r>
        <w:r>
          <w:tab/>
          <w:t>about a person who resides in the State; or</w:t>
        </w:r>
      </w:ins>
    </w:p>
    <w:p>
      <w:pPr>
        <w:pStyle w:val="Indenta"/>
        <w:rPr>
          <w:ins w:id="604" w:author="svcMRProcess" w:date="2020-04-17T17:55:00Z"/>
        </w:rPr>
      </w:pPr>
      <w:ins w:id="605" w:author="svcMRProcess" w:date="2020-04-17T17:55:00Z">
        <w:r>
          <w:tab/>
          <w:t>(b)</w:t>
        </w:r>
        <w:r>
          <w:tab/>
          <w:t>relating to, or arising from, the occupation of residential premises under a residential tenancy agreement within the State.</w:t>
        </w:r>
      </w:ins>
    </w:p>
    <w:p>
      <w:pPr>
        <w:pStyle w:val="Footnotesection"/>
        <w:spacing w:before="100"/>
      </w:pPr>
      <w:r>
        <w:tab/>
        <w:t>[Section 82B inserted: No. 60 of 2011 s. </w:t>
      </w:r>
      <w:del w:id="606" w:author="svcMRProcess" w:date="2020-04-17T17:55:00Z">
        <w:r>
          <w:delText>96</w:delText>
        </w:r>
      </w:del>
      <w:ins w:id="607" w:author="svcMRProcess" w:date="2020-04-17T17:55:00Z">
        <w:r>
          <w:t>96; amended: No. 25 of 2019 s. 70</w:t>
        </w:r>
      </w:ins>
      <w:r>
        <w:t xml:space="preserve">.] </w:t>
      </w:r>
    </w:p>
    <w:p>
      <w:pPr>
        <w:pStyle w:val="Heading3"/>
      </w:pPr>
      <w:bookmarkStart w:id="608" w:name="_Toc38006876"/>
      <w:bookmarkStart w:id="609" w:name="_Toc38007079"/>
      <w:bookmarkStart w:id="610" w:name="_Toc2153420"/>
      <w:bookmarkStart w:id="611" w:name="_Toc2160254"/>
      <w:bookmarkStart w:id="612" w:name="_Toc2160978"/>
      <w:bookmarkStart w:id="613" w:name="_Toc5621601"/>
      <w:bookmarkStart w:id="614" w:name="_Toc5633017"/>
      <w:bookmarkStart w:id="615" w:name="_Toc5719396"/>
      <w:bookmarkStart w:id="616" w:name="_Toc22915910"/>
      <w:bookmarkStart w:id="617" w:name="_Toc22916110"/>
      <w:bookmarkStart w:id="618" w:name="_Toc25843042"/>
      <w:r>
        <w:rPr>
          <w:rStyle w:val="CharDivNo"/>
        </w:rPr>
        <w:t>Division 2</w:t>
      </w:r>
      <w:r>
        <w:t> — </w:t>
      </w:r>
      <w:r>
        <w:rPr>
          <w:rStyle w:val="CharDivText"/>
        </w:rPr>
        <w:t>Tenancy database information</w:t>
      </w:r>
      <w:bookmarkEnd w:id="608"/>
      <w:bookmarkEnd w:id="609"/>
      <w:bookmarkEnd w:id="610"/>
      <w:bookmarkEnd w:id="611"/>
      <w:bookmarkEnd w:id="612"/>
      <w:bookmarkEnd w:id="613"/>
      <w:bookmarkEnd w:id="614"/>
      <w:bookmarkEnd w:id="615"/>
      <w:bookmarkEnd w:id="616"/>
      <w:bookmarkEnd w:id="617"/>
      <w:bookmarkEnd w:id="618"/>
    </w:p>
    <w:p>
      <w:pPr>
        <w:pStyle w:val="Footnoteheading"/>
        <w:spacing w:before="100"/>
      </w:pPr>
      <w:r>
        <w:tab/>
        <w:t xml:space="preserve">[Heading inserted: No. 60 of 2011 s. 96.] </w:t>
      </w:r>
    </w:p>
    <w:p>
      <w:pPr>
        <w:pStyle w:val="Heading5"/>
      </w:pPr>
      <w:bookmarkStart w:id="619" w:name="_Toc38007080"/>
      <w:bookmarkStart w:id="620" w:name="_Toc25843043"/>
      <w:r>
        <w:rPr>
          <w:rStyle w:val="CharSectno"/>
        </w:rPr>
        <w:t>82C</w:t>
      </w:r>
      <w:r>
        <w:t>.</w:t>
      </w:r>
      <w:r>
        <w:tab/>
        <w:t>Notice of usual use of database</w:t>
      </w:r>
      <w:bookmarkEnd w:id="619"/>
      <w:bookmarkEnd w:id="620"/>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621" w:name="_Toc38007081"/>
      <w:bookmarkStart w:id="622" w:name="_Toc25843044"/>
      <w:r>
        <w:rPr>
          <w:rStyle w:val="CharSectno"/>
        </w:rPr>
        <w:t>82D</w:t>
      </w:r>
      <w:r>
        <w:t>.</w:t>
      </w:r>
      <w:r>
        <w:tab/>
        <w:t>Notice of listing if database used</w:t>
      </w:r>
      <w:bookmarkEnd w:id="621"/>
      <w:bookmarkEnd w:id="622"/>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623" w:name="_Toc38007082"/>
      <w:bookmarkStart w:id="624" w:name="_Toc25843045"/>
      <w:r>
        <w:rPr>
          <w:rStyle w:val="CharSectno"/>
        </w:rPr>
        <w:t>82E</w:t>
      </w:r>
      <w:r>
        <w:t>.</w:t>
      </w:r>
      <w:r>
        <w:tab/>
        <w:t>Listing can be made only for particular breaches by particular persons</w:t>
      </w:r>
      <w:bookmarkEnd w:id="623"/>
      <w:bookmarkEnd w:id="624"/>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w:t>
      </w:r>
    </w:p>
    <w:p>
      <w:pPr>
        <w:pStyle w:val="Heading5"/>
      </w:pPr>
      <w:bookmarkStart w:id="625" w:name="_Toc38007083"/>
      <w:bookmarkStart w:id="626" w:name="_Toc25843046"/>
      <w:r>
        <w:rPr>
          <w:rStyle w:val="CharSectno"/>
        </w:rPr>
        <w:t>82F</w:t>
      </w:r>
      <w:r>
        <w:t>.</w:t>
      </w:r>
      <w:r>
        <w:tab/>
        <w:t>Further restriction on listing</w:t>
      </w:r>
      <w:bookmarkEnd w:id="625"/>
      <w:bookmarkEnd w:id="626"/>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627" w:name="_Toc38007084"/>
      <w:bookmarkStart w:id="628" w:name="_Toc25843047"/>
      <w:r>
        <w:rPr>
          <w:rStyle w:val="CharSectno"/>
        </w:rPr>
        <w:t>82G</w:t>
      </w:r>
      <w:r>
        <w:t>.</w:t>
      </w:r>
      <w:r>
        <w:tab/>
        <w:t>Ensuring quality of listing — lessor’s or agent’s obligation</w:t>
      </w:r>
      <w:bookmarkEnd w:id="627"/>
      <w:bookmarkEnd w:id="628"/>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629" w:name="_Toc38007085"/>
      <w:bookmarkStart w:id="630" w:name="_Toc25843048"/>
      <w:r>
        <w:rPr>
          <w:rStyle w:val="CharSectno"/>
        </w:rPr>
        <w:t>82H</w:t>
      </w:r>
      <w:r>
        <w:t>.</w:t>
      </w:r>
      <w:r>
        <w:tab/>
        <w:t>Ensuring quality of listing — database operator’s obligation</w:t>
      </w:r>
      <w:bookmarkEnd w:id="629"/>
      <w:bookmarkEnd w:id="630"/>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631" w:name="_Toc38007086"/>
      <w:bookmarkStart w:id="632" w:name="_Toc25843049"/>
      <w:r>
        <w:rPr>
          <w:rStyle w:val="CharSectno"/>
        </w:rPr>
        <w:t>82I</w:t>
      </w:r>
      <w:r>
        <w:t>.</w:t>
      </w:r>
      <w:r>
        <w:tab/>
        <w:t>Providing copy of personal information listed</w:t>
      </w:r>
      <w:bookmarkEnd w:id="631"/>
      <w:bookmarkEnd w:id="632"/>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633" w:name="_Toc38007087"/>
      <w:bookmarkStart w:id="634" w:name="_Toc25843050"/>
      <w:r>
        <w:rPr>
          <w:rStyle w:val="CharSectno"/>
        </w:rPr>
        <w:t>82J</w:t>
      </w:r>
      <w:r>
        <w:t>.</w:t>
      </w:r>
      <w:r>
        <w:tab/>
        <w:t>Disputes about listings</w:t>
      </w:r>
      <w:bookmarkEnd w:id="633"/>
      <w:bookmarkEnd w:id="634"/>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635" w:name="_Toc38007088"/>
      <w:bookmarkStart w:id="636" w:name="_Toc25843051"/>
      <w:r>
        <w:rPr>
          <w:rStyle w:val="CharSectno"/>
        </w:rPr>
        <w:t>82K</w:t>
      </w:r>
      <w:r>
        <w:t>.</w:t>
      </w:r>
      <w:r>
        <w:tab/>
        <w:t>Keeping personal information listed</w:t>
      </w:r>
      <w:bookmarkEnd w:id="635"/>
      <w:bookmarkEnd w:id="636"/>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637" w:name="_Toc38006886"/>
      <w:bookmarkStart w:id="638" w:name="_Toc38007089"/>
      <w:bookmarkStart w:id="639" w:name="_Toc2153430"/>
      <w:bookmarkStart w:id="640" w:name="_Toc2160264"/>
      <w:bookmarkStart w:id="641" w:name="_Toc2160988"/>
      <w:bookmarkStart w:id="642" w:name="_Toc5621611"/>
      <w:bookmarkStart w:id="643" w:name="_Toc5633027"/>
      <w:bookmarkStart w:id="644" w:name="_Toc5719406"/>
      <w:bookmarkStart w:id="645" w:name="_Toc22915920"/>
      <w:bookmarkStart w:id="646" w:name="_Toc22916120"/>
      <w:bookmarkStart w:id="647" w:name="_Toc25843052"/>
      <w:r>
        <w:rPr>
          <w:rStyle w:val="CharPartNo"/>
        </w:rPr>
        <w:t>Part VI</w:t>
      </w:r>
      <w:r>
        <w:rPr>
          <w:rStyle w:val="CharDivNo"/>
        </w:rPr>
        <w:t> </w:t>
      </w:r>
      <w:r>
        <w:t>—</w:t>
      </w:r>
      <w:r>
        <w:rPr>
          <w:rStyle w:val="CharDivText"/>
        </w:rPr>
        <w:t> </w:t>
      </w:r>
      <w:r>
        <w:rPr>
          <w:rStyle w:val="CharPartText"/>
        </w:rPr>
        <w:t>Miscellaneous</w:t>
      </w:r>
      <w:bookmarkEnd w:id="637"/>
      <w:bookmarkEnd w:id="638"/>
      <w:bookmarkEnd w:id="639"/>
      <w:bookmarkEnd w:id="640"/>
      <w:bookmarkEnd w:id="641"/>
      <w:bookmarkEnd w:id="642"/>
      <w:bookmarkEnd w:id="643"/>
      <w:bookmarkEnd w:id="644"/>
      <w:bookmarkEnd w:id="645"/>
      <w:bookmarkEnd w:id="646"/>
      <w:bookmarkEnd w:id="647"/>
    </w:p>
    <w:p>
      <w:pPr>
        <w:pStyle w:val="Heading5"/>
        <w:spacing w:before="200"/>
        <w:rPr>
          <w:snapToGrid w:val="0"/>
        </w:rPr>
      </w:pPr>
      <w:bookmarkStart w:id="648" w:name="_Toc38007090"/>
      <w:bookmarkStart w:id="649" w:name="_Toc25843053"/>
      <w:r>
        <w:rPr>
          <w:rStyle w:val="CharSectno"/>
        </w:rPr>
        <w:t>82</w:t>
      </w:r>
      <w:r>
        <w:rPr>
          <w:snapToGrid w:val="0"/>
        </w:rPr>
        <w:t>.</w:t>
      </w:r>
      <w:r>
        <w:rPr>
          <w:snapToGrid w:val="0"/>
        </w:rPr>
        <w:tab/>
        <w:t>Contracting out</w:t>
      </w:r>
      <w:bookmarkEnd w:id="648"/>
      <w:bookmarkEnd w:id="649"/>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650" w:name="_Toc38007091"/>
      <w:bookmarkStart w:id="651" w:name="_Toc25843054"/>
      <w:r>
        <w:rPr>
          <w:rStyle w:val="CharSectno"/>
        </w:rPr>
        <w:t>83</w:t>
      </w:r>
      <w:r>
        <w:rPr>
          <w:snapToGrid w:val="0"/>
        </w:rPr>
        <w:t>.</w:t>
      </w:r>
      <w:r>
        <w:rPr>
          <w:snapToGrid w:val="0"/>
        </w:rPr>
        <w:tab/>
        <w:t>Recovery of amounts paid under mistake of law or fact</w:t>
      </w:r>
      <w:bookmarkEnd w:id="650"/>
      <w:bookmarkEnd w:id="651"/>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652" w:name="_Toc38007092"/>
      <w:bookmarkStart w:id="653" w:name="_Toc25843055"/>
      <w:r>
        <w:rPr>
          <w:rStyle w:val="CharSectno"/>
        </w:rPr>
        <w:t>84</w:t>
      </w:r>
      <w:r>
        <w:rPr>
          <w:snapToGrid w:val="0"/>
        </w:rPr>
        <w:t>.</w:t>
      </w:r>
      <w:r>
        <w:rPr>
          <w:snapToGrid w:val="0"/>
        </w:rPr>
        <w:tab/>
        <w:t>Exemption of tenancy agreement or premises from provision of Act</w:t>
      </w:r>
      <w:bookmarkEnd w:id="652"/>
      <w:bookmarkEnd w:id="653"/>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654" w:name="_Toc38007093"/>
      <w:bookmarkStart w:id="655" w:name="_Toc25843056"/>
      <w:r>
        <w:rPr>
          <w:rStyle w:val="CharSectno"/>
        </w:rPr>
        <w:t>85</w:t>
      </w:r>
      <w:r>
        <w:rPr>
          <w:snapToGrid w:val="0"/>
        </w:rPr>
        <w:t>.</w:t>
      </w:r>
      <w:r>
        <w:rPr>
          <w:snapToGrid w:val="0"/>
        </w:rPr>
        <w:tab/>
        <w:t>Service</w:t>
      </w:r>
      <w:bookmarkEnd w:id="654"/>
      <w:bookmarkEnd w:id="655"/>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656" w:name="_Toc38007094"/>
      <w:bookmarkStart w:id="657" w:name="_Toc25843057"/>
      <w:r>
        <w:rPr>
          <w:rStyle w:val="CharSectno"/>
        </w:rPr>
        <w:t>86</w:t>
      </w:r>
      <w:r>
        <w:t>.</w:t>
      </w:r>
      <w:r>
        <w:tab/>
        <w:t>Court may refer matter to Commissioner for investigation</w:t>
      </w:r>
      <w:bookmarkEnd w:id="656"/>
      <w:bookmarkEnd w:id="657"/>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658" w:name="_Toc38007095"/>
      <w:bookmarkStart w:id="659" w:name="_Toc25843058"/>
      <w:r>
        <w:rPr>
          <w:rStyle w:val="CharSectno"/>
        </w:rPr>
        <w:t>87A</w:t>
      </w:r>
      <w:r>
        <w:t>.</w:t>
      </w:r>
      <w:r>
        <w:tab/>
        <w:t>Defence where lessor and property manager are both charged with the same offence</w:t>
      </w:r>
      <w:bookmarkEnd w:id="658"/>
      <w:bookmarkEnd w:id="659"/>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660" w:name="_Toc38007096"/>
      <w:bookmarkStart w:id="661" w:name="_Toc25843059"/>
      <w:r>
        <w:rPr>
          <w:rStyle w:val="CharSectno"/>
        </w:rPr>
        <w:t>87</w:t>
      </w:r>
      <w:r>
        <w:rPr>
          <w:snapToGrid w:val="0"/>
        </w:rPr>
        <w:t>.</w:t>
      </w:r>
      <w:r>
        <w:rPr>
          <w:snapToGrid w:val="0"/>
        </w:rPr>
        <w:tab/>
        <w:t>Time for bringing proceedings</w:t>
      </w:r>
      <w:bookmarkEnd w:id="660"/>
      <w:bookmarkEnd w:id="661"/>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662" w:name="_Toc38007097"/>
      <w:bookmarkStart w:id="663" w:name="_Toc25843060"/>
      <w:r>
        <w:rPr>
          <w:rStyle w:val="CharSectno"/>
        </w:rPr>
        <w:t>88A</w:t>
      </w:r>
      <w:r>
        <w:t>.</w:t>
      </w:r>
      <w:r>
        <w:tab/>
        <w:t>Infringement notices</w:t>
      </w:r>
      <w:bookmarkEnd w:id="662"/>
      <w:bookmarkEnd w:id="663"/>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664" w:name="_Toc38007098"/>
      <w:bookmarkStart w:id="665" w:name="_Toc25843061"/>
      <w:r>
        <w:rPr>
          <w:rStyle w:val="CharSectno"/>
        </w:rPr>
        <w:t>88B</w:t>
      </w:r>
      <w:r>
        <w:t>.</w:t>
      </w:r>
      <w:r>
        <w:tab/>
        <w:t>Cross</w:t>
      </w:r>
      <w:r>
        <w:noBreakHyphen/>
        <w:t>examination of persons in proceedings involving family violence</w:t>
      </w:r>
      <w:bookmarkEnd w:id="664"/>
      <w:bookmarkEnd w:id="665"/>
    </w:p>
    <w:p>
      <w:pPr>
        <w:pStyle w:val="Subsection"/>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pPr>
      <w:r>
        <w:tab/>
        <w:t xml:space="preserve">[Section 88B inserted: No. 3 of 2019 s. 22.] </w:t>
      </w:r>
    </w:p>
    <w:p>
      <w:pPr>
        <w:pStyle w:val="Heading5"/>
        <w:rPr>
          <w:snapToGrid w:val="0"/>
        </w:rPr>
      </w:pPr>
      <w:bookmarkStart w:id="666" w:name="_Toc38007099"/>
      <w:bookmarkStart w:id="667" w:name="_Toc25843062"/>
      <w:r>
        <w:rPr>
          <w:rStyle w:val="CharSectno"/>
        </w:rPr>
        <w:t>88</w:t>
      </w:r>
      <w:r>
        <w:rPr>
          <w:snapToGrid w:val="0"/>
        </w:rPr>
        <w:t>.</w:t>
      </w:r>
      <w:r>
        <w:rPr>
          <w:snapToGrid w:val="0"/>
        </w:rPr>
        <w:tab/>
        <w:t>Regulations</w:t>
      </w:r>
      <w:bookmarkEnd w:id="666"/>
      <w:bookmarkEnd w:id="66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668" w:name="_Toc38007100"/>
      <w:bookmarkStart w:id="669" w:name="_Toc25843063"/>
      <w:r>
        <w:rPr>
          <w:rStyle w:val="CharSectno"/>
        </w:rPr>
        <w:t>90</w:t>
      </w:r>
      <w:r>
        <w:rPr>
          <w:snapToGrid w:val="0"/>
        </w:rPr>
        <w:t>.</w:t>
      </w:r>
      <w:r>
        <w:rPr>
          <w:snapToGrid w:val="0"/>
        </w:rPr>
        <w:tab/>
        <w:t>Review of Act</w:t>
      </w:r>
      <w:bookmarkEnd w:id="668"/>
      <w:bookmarkEnd w:id="669"/>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del w:id="670" w:author="svcMRProcess" w:date="2020-04-17T17:55:00Z">
        <w:r>
          <w:rPr>
            <w:snapToGrid w:val="0"/>
            <w:vertAlign w:val="superscript"/>
          </w:rPr>
          <w:delText> 1</w:delText>
        </w:r>
      </w:del>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671" w:name="_Toc38006898"/>
      <w:bookmarkStart w:id="672" w:name="_Toc38007101"/>
      <w:bookmarkStart w:id="673" w:name="_Toc2153441"/>
      <w:bookmarkStart w:id="674" w:name="_Toc2160275"/>
      <w:bookmarkStart w:id="675" w:name="_Toc2160999"/>
      <w:bookmarkStart w:id="676" w:name="_Toc5621622"/>
      <w:bookmarkStart w:id="677" w:name="_Toc5633039"/>
      <w:bookmarkStart w:id="678" w:name="_Toc5719418"/>
      <w:bookmarkStart w:id="679" w:name="_Toc22915932"/>
      <w:bookmarkStart w:id="680" w:name="_Toc22916132"/>
      <w:bookmarkStart w:id="681" w:name="_Toc25843064"/>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671"/>
      <w:bookmarkEnd w:id="672"/>
      <w:bookmarkEnd w:id="673"/>
      <w:bookmarkEnd w:id="674"/>
      <w:bookmarkEnd w:id="675"/>
      <w:bookmarkEnd w:id="676"/>
      <w:bookmarkEnd w:id="677"/>
      <w:bookmarkEnd w:id="678"/>
      <w:bookmarkEnd w:id="679"/>
      <w:bookmarkEnd w:id="680"/>
      <w:bookmarkEnd w:id="681"/>
    </w:p>
    <w:p>
      <w:pPr>
        <w:pStyle w:val="Footnoteheading"/>
      </w:pPr>
      <w:r>
        <w:tab/>
        <w:t xml:space="preserve">[Heading inserted: No. 60 of 2011 s. 86.] </w:t>
      </w:r>
    </w:p>
    <w:p>
      <w:pPr>
        <w:pStyle w:val="Heading3"/>
      </w:pPr>
      <w:bookmarkStart w:id="682" w:name="_Toc38006899"/>
      <w:bookmarkStart w:id="683" w:name="_Toc38007102"/>
      <w:bookmarkStart w:id="684" w:name="_Toc2153442"/>
      <w:bookmarkStart w:id="685" w:name="_Toc2160276"/>
      <w:bookmarkStart w:id="686" w:name="_Toc2161000"/>
      <w:bookmarkStart w:id="687" w:name="_Toc5621623"/>
      <w:bookmarkStart w:id="688" w:name="_Toc5633040"/>
      <w:bookmarkStart w:id="689" w:name="_Toc5719419"/>
      <w:bookmarkStart w:id="690" w:name="_Toc22915933"/>
      <w:bookmarkStart w:id="691" w:name="_Toc22916133"/>
      <w:bookmarkStart w:id="692" w:name="_Toc25843065"/>
      <w:r>
        <w:rPr>
          <w:rStyle w:val="CharDivNo"/>
        </w:rPr>
        <w:t>Division 1</w:t>
      </w:r>
      <w:r>
        <w:t> — </w:t>
      </w:r>
      <w:r>
        <w:rPr>
          <w:rStyle w:val="CharDivText"/>
        </w:rPr>
        <w:t>Contracting out</w:t>
      </w:r>
      <w:bookmarkEnd w:id="682"/>
      <w:bookmarkEnd w:id="683"/>
      <w:bookmarkEnd w:id="684"/>
      <w:bookmarkEnd w:id="685"/>
      <w:bookmarkEnd w:id="686"/>
      <w:bookmarkEnd w:id="687"/>
      <w:bookmarkEnd w:id="688"/>
      <w:bookmarkEnd w:id="689"/>
      <w:bookmarkEnd w:id="690"/>
      <w:bookmarkEnd w:id="691"/>
      <w:bookmarkEnd w:id="692"/>
    </w:p>
    <w:p>
      <w:pPr>
        <w:pStyle w:val="Footnoteheading"/>
      </w:pPr>
      <w:r>
        <w:tab/>
        <w:t xml:space="preserve">[Heading inserted: No. 60 of 2011 s. 86.] </w:t>
      </w:r>
    </w:p>
    <w:p>
      <w:pPr>
        <w:pStyle w:val="Heading5"/>
      </w:pPr>
      <w:bookmarkStart w:id="693" w:name="_Toc38007103"/>
      <w:bookmarkStart w:id="694" w:name="_Toc25843066"/>
      <w:r>
        <w:rPr>
          <w:rStyle w:val="CharSectno"/>
        </w:rPr>
        <w:t>91</w:t>
      </w:r>
      <w:r>
        <w:t>.</w:t>
      </w:r>
      <w:r>
        <w:tab/>
        <w:t>Savings in relation to contracting out of standard terms</w:t>
      </w:r>
      <w:bookmarkEnd w:id="693"/>
      <w:bookmarkEnd w:id="69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del w:id="695" w:author="svcMRProcess" w:date="2020-04-17T17:55:00Z">
        <w:r>
          <w:rPr>
            <w:vertAlign w:val="superscript"/>
          </w:rPr>
          <w:delText> 1</w:delText>
        </w:r>
      </w:del>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696" w:name="_Toc38006901"/>
      <w:bookmarkStart w:id="697" w:name="_Toc38007104"/>
      <w:bookmarkStart w:id="698" w:name="_Toc2153444"/>
      <w:bookmarkStart w:id="699" w:name="_Toc2160278"/>
      <w:bookmarkStart w:id="700" w:name="_Toc2161002"/>
      <w:bookmarkStart w:id="701" w:name="_Toc5621625"/>
      <w:bookmarkStart w:id="702" w:name="_Toc5633042"/>
      <w:bookmarkStart w:id="703" w:name="_Toc5719421"/>
      <w:bookmarkStart w:id="704" w:name="_Toc22915935"/>
      <w:bookmarkStart w:id="705" w:name="_Toc22916135"/>
      <w:bookmarkStart w:id="706" w:name="_Toc25843067"/>
      <w:r>
        <w:rPr>
          <w:rStyle w:val="CharDivNo"/>
        </w:rPr>
        <w:t>Division 2</w:t>
      </w:r>
      <w:r>
        <w:t> — </w:t>
      </w:r>
      <w:r>
        <w:rPr>
          <w:rStyle w:val="CharDivText"/>
        </w:rPr>
        <w:t>Security bonds held in AFI</w:t>
      </w:r>
      <w:bookmarkEnd w:id="696"/>
      <w:bookmarkEnd w:id="697"/>
      <w:bookmarkEnd w:id="698"/>
      <w:bookmarkEnd w:id="699"/>
      <w:bookmarkEnd w:id="700"/>
      <w:bookmarkEnd w:id="701"/>
      <w:bookmarkEnd w:id="702"/>
      <w:bookmarkEnd w:id="703"/>
      <w:bookmarkEnd w:id="704"/>
      <w:bookmarkEnd w:id="705"/>
      <w:bookmarkEnd w:id="706"/>
    </w:p>
    <w:p>
      <w:pPr>
        <w:pStyle w:val="Footnoteheading"/>
      </w:pPr>
      <w:r>
        <w:tab/>
        <w:t xml:space="preserve">[Heading inserted: No. 60 of 2011 s. 86.] </w:t>
      </w:r>
    </w:p>
    <w:p>
      <w:pPr>
        <w:pStyle w:val="Heading5"/>
      </w:pPr>
      <w:bookmarkStart w:id="707" w:name="_Toc38007105"/>
      <w:bookmarkStart w:id="708" w:name="_Toc25843068"/>
      <w:r>
        <w:rPr>
          <w:rStyle w:val="CharSectno"/>
        </w:rPr>
        <w:t>92</w:t>
      </w:r>
      <w:r>
        <w:t>.</w:t>
      </w:r>
      <w:r>
        <w:tab/>
        <w:t>Terms used</w:t>
      </w:r>
      <w:bookmarkEnd w:id="707"/>
      <w:bookmarkEnd w:id="708"/>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del w:id="709" w:author="svcMRProcess" w:date="2020-04-17T17:55:00Z">
        <w:r>
          <w:rPr>
            <w:vertAlign w:val="superscript"/>
          </w:rPr>
          <w:delText> 1</w:delText>
        </w:r>
      </w:del>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710" w:name="_Toc38007106"/>
      <w:bookmarkStart w:id="711" w:name="_Toc25843069"/>
      <w:r>
        <w:rPr>
          <w:rStyle w:val="CharSectno"/>
        </w:rPr>
        <w:t>93</w:t>
      </w:r>
      <w:r>
        <w:t>.</w:t>
      </w:r>
      <w:r>
        <w:tab/>
        <w:t>All security bonds to be transferred to bond administrator after renewal of agreement or within 18 months</w:t>
      </w:r>
      <w:bookmarkEnd w:id="710"/>
      <w:bookmarkEnd w:id="711"/>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712" w:name="_Toc38007107"/>
      <w:bookmarkStart w:id="713" w:name="_Toc25843070"/>
      <w:r>
        <w:rPr>
          <w:rStyle w:val="CharSectno"/>
        </w:rPr>
        <w:t>94</w:t>
      </w:r>
      <w:r>
        <w:t>.</w:t>
      </w:r>
      <w:r>
        <w:tab/>
        <w:t>Requirements for AFI holding security bonds</w:t>
      </w:r>
      <w:bookmarkEnd w:id="712"/>
      <w:bookmarkEnd w:id="713"/>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714" w:name="_Toc38007108"/>
      <w:bookmarkStart w:id="715" w:name="_Toc25843071"/>
      <w:r>
        <w:rPr>
          <w:rStyle w:val="CharSectno"/>
        </w:rPr>
        <w:t>95</w:t>
      </w:r>
      <w:r>
        <w:t>.</w:t>
      </w:r>
      <w:r>
        <w:tab/>
        <w:t>Power of Commissioner to obtain information relating to AFI security bond accounts</w:t>
      </w:r>
      <w:bookmarkEnd w:id="714"/>
      <w:bookmarkEnd w:id="715"/>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716" w:name="_Toc38007109"/>
      <w:bookmarkStart w:id="717" w:name="_Toc25843072"/>
      <w:r>
        <w:rPr>
          <w:rStyle w:val="CharSectno"/>
        </w:rPr>
        <w:t>96</w:t>
      </w:r>
      <w:r>
        <w:t>.</w:t>
      </w:r>
      <w:r>
        <w:tab/>
        <w:t>Disposal of security bond held in AFIs</w:t>
      </w:r>
      <w:bookmarkEnd w:id="716"/>
      <w:bookmarkEnd w:id="717"/>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718" w:name="_Toc38006907"/>
      <w:bookmarkStart w:id="719" w:name="_Toc38007110"/>
      <w:bookmarkStart w:id="720" w:name="_Toc2153450"/>
      <w:bookmarkStart w:id="721" w:name="_Toc2160284"/>
      <w:bookmarkStart w:id="722" w:name="_Toc2161008"/>
      <w:bookmarkStart w:id="723" w:name="_Toc5621631"/>
      <w:bookmarkStart w:id="724" w:name="_Toc5633048"/>
      <w:bookmarkStart w:id="725" w:name="_Toc5719427"/>
      <w:bookmarkStart w:id="726" w:name="_Toc22915941"/>
      <w:bookmarkStart w:id="727" w:name="_Toc22916141"/>
      <w:bookmarkStart w:id="728" w:name="_Toc25843073"/>
      <w:r>
        <w:rPr>
          <w:rStyle w:val="CharDivNo"/>
        </w:rPr>
        <w:t>Division 3</w:t>
      </w:r>
      <w:r>
        <w:t> — </w:t>
      </w:r>
      <w:r>
        <w:rPr>
          <w:rStyle w:val="CharDivText"/>
        </w:rPr>
        <w:t>Residential tenancy databases</w:t>
      </w:r>
      <w:bookmarkEnd w:id="718"/>
      <w:bookmarkEnd w:id="719"/>
      <w:bookmarkEnd w:id="720"/>
      <w:bookmarkEnd w:id="721"/>
      <w:bookmarkEnd w:id="722"/>
      <w:bookmarkEnd w:id="723"/>
      <w:bookmarkEnd w:id="724"/>
      <w:bookmarkEnd w:id="725"/>
      <w:bookmarkEnd w:id="726"/>
      <w:bookmarkEnd w:id="727"/>
      <w:bookmarkEnd w:id="728"/>
    </w:p>
    <w:p>
      <w:pPr>
        <w:pStyle w:val="Footnoteheading"/>
        <w:keepNext/>
      </w:pPr>
      <w:r>
        <w:tab/>
        <w:t xml:space="preserve">[Heading inserted: No. 60 of 2011 s. 86.] </w:t>
      </w:r>
    </w:p>
    <w:p>
      <w:pPr>
        <w:pStyle w:val="Heading5"/>
      </w:pPr>
      <w:bookmarkStart w:id="729" w:name="_Toc38007111"/>
      <w:bookmarkStart w:id="730" w:name="_Toc25843074"/>
      <w:r>
        <w:rPr>
          <w:rStyle w:val="CharSectno"/>
        </w:rPr>
        <w:t>97</w:t>
      </w:r>
      <w:r>
        <w:t>.</w:t>
      </w:r>
      <w:r>
        <w:tab/>
        <w:t>Application of Part VIA to listings existing before commencement day</w:t>
      </w:r>
      <w:bookmarkEnd w:id="729"/>
      <w:bookmarkEnd w:id="730"/>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del w:id="731" w:author="svcMRProcess" w:date="2020-04-17T17:55:00Z">
        <w:r>
          <w:rPr>
            <w:vertAlign w:val="superscript"/>
          </w:rPr>
          <w:delText> 1</w:delText>
        </w:r>
      </w:del>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Heading2"/>
        <w:rPr>
          <w:ins w:id="732" w:author="svcMRProcess" w:date="2020-04-17T17:55:00Z"/>
        </w:rPr>
      </w:pPr>
      <w:bookmarkStart w:id="733" w:name="_Toc38006909"/>
      <w:bookmarkStart w:id="734" w:name="_Toc38007112"/>
      <w:ins w:id="735" w:author="svcMRProcess" w:date="2020-04-17T17:55:00Z">
        <w:r>
          <w:rPr>
            <w:rStyle w:val="CharPartNo"/>
          </w:rPr>
          <w:t>Part 8</w:t>
        </w:r>
        <w:r>
          <w:rPr>
            <w:rStyle w:val="CharDivNo"/>
          </w:rPr>
          <w:t> </w:t>
        </w:r>
        <w:r>
          <w:t>—</w:t>
        </w:r>
        <w:r>
          <w:rPr>
            <w:rStyle w:val="CharDivText"/>
          </w:rPr>
          <w:t> </w:t>
        </w:r>
        <w:r>
          <w:rPr>
            <w:rStyle w:val="CharPartText"/>
          </w:rPr>
          <w:t xml:space="preserve">Transitional provision relating to the </w:t>
        </w:r>
        <w:r>
          <w:rPr>
            <w:rStyle w:val="CharPartText"/>
            <w:i/>
          </w:rPr>
          <w:t>Consumer Protection Legislation Amendment Act 2019</w:t>
        </w:r>
        <w:bookmarkEnd w:id="733"/>
        <w:bookmarkEnd w:id="734"/>
      </w:ins>
    </w:p>
    <w:p>
      <w:pPr>
        <w:pStyle w:val="Footnoteheading"/>
        <w:rPr>
          <w:ins w:id="736" w:author="svcMRProcess" w:date="2020-04-17T17:55:00Z"/>
        </w:rPr>
      </w:pPr>
      <w:ins w:id="737" w:author="svcMRProcess" w:date="2020-04-17T17:55:00Z">
        <w:r>
          <w:tab/>
          <w:t>[Heading inserted: No. 25 of 2019 s. 71.]</w:t>
        </w:r>
      </w:ins>
    </w:p>
    <w:p>
      <w:pPr>
        <w:pStyle w:val="Heading5"/>
        <w:rPr>
          <w:ins w:id="738" w:author="svcMRProcess" w:date="2020-04-17T17:55:00Z"/>
        </w:rPr>
      </w:pPr>
      <w:bookmarkStart w:id="739" w:name="_Toc38007113"/>
      <w:ins w:id="740" w:author="svcMRProcess" w:date="2020-04-17T17:55:00Z">
        <w:r>
          <w:rPr>
            <w:rStyle w:val="CharSectno"/>
          </w:rPr>
          <w:t>98</w:t>
        </w:r>
        <w:r>
          <w:t>.</w:t>
        </w:r>
        <w:r>
          <w:tab/>
          <w:t>Application of s. 49A to residential tenancy agreements and utility charges</w:t>
        </w:r>
        <w:bookmarkEnd w:id="739"/>
      </w:ins>
    </w:p>
    <w:p>
      <w:pPr>
        <w:pStyle w:val="Subsection"/>
        <w:rPr>
          <w:ins w:id="741" w:author="svcMRProcess" w:date="2020-04-17T17:55:00Z"/>
        </w:rPr>
      </w:pPr>
      <w:ins w:id="742" w:author="svcMRProcess" w:date="2020-04-17T17:55:00Z">
        <w:r>
          <w:tab/>
          <w:t>(1)</w:t>
        </w:r>
        <w:r>
          <w:tab/>
          <w:t xml:space="preserve">In this section — </w:t>
        </w:r>
      </w:ins>
    </w:p>
    <w:p>
      <w:pPr>
        <w:pStyle w:val="Defstart"/>
        <w:rPr>
          <w:ins w:id="743" w:author="svcMRProcess" w:date="2020-04-17T17:55:00Z"/>
        </w:rPr>
      </w:pPr>
      <w:ins w:id="744" w:author="svcMRProcess" w:date="2020-04-17T17:55:00Z">
        <w:r>
          <w:tab/>
        </w:r>
        <w:r>
          <w:rPr>
            <w:rStyle w:val="CharDefText"/>
          </w:rPr>
          <w:t>commencement day</w:t>
        </w:r>
        <w:r>
          <w:t xml:space="preserve"> means the day on which the </w:t>
        </w:r>
        <w:r>
          <w:rPr>
            <w:i/>
          </w:rPr>
          <w:t>Consumer Protection Legislation Amendment Act 2019</w:t>
        </w:r>
        <w:r>
          <w:t xml:space="preserve"> section 68 comes into operation;</w:t>
        </w:r>
      </w:ins>
    </w:p>
    <w:p>
      <w:pPr>
        <w:pStyle w:val="Defstart"/>
        <w:rPr>
          <w:ins w:id="745" w:author="svcMRProcess" w:date="2020-04-17T17:55:00Z"/>
        </w:rPr>
      </w:pPr>
      <w:ins w:id="746" w:author="svcMRProcess" w:date="2020-04-17T17:55:00Z">
        <w:r>
          <w:tab/>
        </w:r>
        <w:r>
          <w:rPr>
            <w:rStyle w:val="CharDefText"/>
          </w:rPr>
          <w:t>public utility services</w:t>
        </w:r>
        <w:r>
          <w:t xml:space="preserve"> has the meaning given in the </w:t>
        </w:r>
        <w:r>
          <w:rPr>
            <w:i/>
          </w:rPr>
          <w:t>Land Administration Act 1997</w:t>
        </w:r>
        <w:r>
          <w:t xml:space="preserve"> section 3(1).</w:t>
        </w:r>
      </w:ins>
    </w:p>
    <w:p>
      <w:pPr>
        <w:pStyle w:val="Subsection"/>
        <w:rPr>
          <w:ins w:id="747" w:author="svcMRProcess" w:date="2020-04-17T17:55:00Z"/>
        </w:rPr>
      </w:pPr>
      <w:ins w:id="748" w:author="svcMRProcess" w:date="2020-04-17T17:55:00Z">
        <w:r>
          <w:tab/>
          <w:t>(2)</w:t>
        </w:r>
        <w:r>
          <w:tab/>
          <w:t>Subject to subsections (3) and (4), section 49A, as in force on and after commencement day, applies to a residential tenancy agreement (to the extent relevant) even though it was entered into before commencement day.</w:t>
        </w:r>
      </w:ins>
    </w:p>
    <w:p>
      <w:pPr>
        <w:pStyle w:val="Subsection"/>
        <w:rPr>
          <w:ins w:id="749" w:author="svcMRProcess" w:date="2020-04-17T17:55:00Z"/>
        </w:rPr>
      </w:pPr>
      <w:ins w:id="750" w:author="svcMRProcess" w:date="2020-04-17T17:55:00Z">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ins>
    </w:p>
    <w:p>
      <w:pPr>
        <w:pStyle w:val="Subsection"/>
        <w:rPr>
          <w:ins w:id="751" w:author="svcMRProcess" w:date="2020-04-17T17:55:00Z"/>
        </w:rPr>
      </w:pPr>
      <w:ins w:id="752" w:author="svcMRProcess" w:date="2020-04-17T17:55:00Z">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ins>
    </w:p>
    <w:p>
      <w:pPr>
        <w:pStyle w:val="Footnotesection"/>
        <w:rPr>
          <w:ins w:id="753" w:author="svcMRProcess" w:date="2020-04-17T17:55:00Z"/>
        </w:rPr>
      </w:pPr>
      <w:ins w:id="754" w:author="svcMRProcess" w:date="2020-04-17T17:55:00Z">
        <w:r>
          <w:tab/>
          <w:t>[Section 98 inserted: No. 25 of 2019 s. 71.]</w:t>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755" w:name="_Toc38006911"/>
      <w:bookmarkStart w:id="756" w:name="_Toc38007114"/>
      <w:bookmarkStart w:id="757" w:name="_Toc2153452"/>
      <w:bookmarkStart w:id="758" w:name="_Toc2160286"/>
      <w:bookmarkStart w:id="759" w:name="_Toc2161010"/>
      <w:bookmarkStart w:id="760" w:name="_Toc5621633"/>
      <w:bookmarkStart w:id="761" w:name="_Toc5633050"/>
      <w:bookmarkStart w:id="762" w:name="_Toc5719429"/>
      <w:bookmarkStart w:id="763" w:name="_Toc22915943"/>
      <w:bookmarkStart w:id="764" w:name="_Toc22916143"/>
      <w:bookmarkStart w:id="765" w:name="_Toc25843075"/>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755"/>
      <w:bookmarkEnd w:id="756"/>
      <w:bookmarkEnd w:id="757"/>
      <w:bookmarkEnd w:id="758"/>
      <w:bookmarkEnd w:id="759"/>
      <w:bookmarkEnd w:id="760"/>
      <w:bookmarkEnd w:id="761"/>
      <w:bookmarkEnd w:id="762"/>
      <w:bookmarkEnd w:id="763"/>
      <w:bookmarkEnd w:id="764"/>
      <w:bookmarkEnd w:id="765"/>
    </w:p>
    <w:p>
      <w:pPr>
        <w:pStyle w:val="yShoulderClause"/>
      </w:pPr>
      <w:r>
        <w:t>[s. 3, 7(3), 12, 29(4), (7), (8), 59D(6), 79(5), (6), (11) and 80A(8)]</w:t>
      </w:r>
    </w:p>
    <w:p>
      <w:pPr>
        <w:pStyle w:val="yFootnoteheading"/>
      </w:pPr>
      <w:r>
        <w:tab/>
        <w:t xml:space="preserve">[Heading inserted: No. 60 of 2011 s. 87(1).] </w:t>
      </w:r>
    </w:p>
    <w:p>
      <w:pPr>
        <w:pStyle w:val="yHeading3"/>
      </w:pPr>
      <w:bookmarkStart w:id="766" w:name="_Toc38006912"/>
      <w:bookmarkStart w:id="767" w:name="_Toc38007115"/>
      <w:bookmarkStart w:id="768" w:name="_Toc2153453"/>
      <w:bookmarkStart w:id="769" w:name="_Toc2160287"/>
      <w:bookmarkStart w:id="770" w:name="_Toc2161011"/>
      <w:bookmarkStart w:id="771" w:name="_Toc5621634"/>
      <w:bookmarkStart w:id="772" w:name="_Toc5633051"/>
      <w:bookmarkStart w:id="773" w:name="_Toc5719430"/>
      <w:bookmarkStart w:id="774" w:name="_Toc22915944"/>
      <w:bookmarkStart w:id="775" w:name="_Toc22916144"/>
      <w:bookmarkStart w:id="776" w:name="_Toc25843076"/>
      <w:r>
        <w:rPr>
          <w:rStyle w:val="CharSDivNo"/>
        </w:rPr>
        <w:t>Division 1</w:t>
      </w:r>
      <w:r>
        <w:t> — </w:t>
      </w:r>
      <w:r>
        <w:rPr>
          <w:rStyle w:val="CharSDivText"/>
        </w:rPr>
        <w:t>General</w:t>
      </w:r>
      <w:bookmarkEnd w:id="766"/>
      <w:bookmarkEnd w:id="767"/>
      <w:bookmarkEnd w:id="768"/>
      <w:bookmarkEnd w:id="769"/>
      <w:bookmarkEnd w:id="770"/>
      <w:bookmarkEnd w:id="771"/>
      <w:bookmarkEnd w:id="772"/>
      <w:bookmarkEnd w:id="773"/>
      <w:bookmarkEnd w:id="774"/>
      <w:bookmarkEnd w:id="775"/>
      <w:bookmarkEnd w:id="776"/>
    </w:p>
    <w:p>
      <w:pPr>
        <w:pStyle w:val="yFootnoteheading"/>
      </w:pPr>
      <w:r>
        <w:tab/>
        <w:t>[Heading inserted: No. 60 of 2011 s. 87(2).]</w:t>
      </w:r>
    </w:p>
    <w:p>
      <w:pPr>
        <w:pStyle w:val="yHeading5"/>
        <w:rPr>
          <w:snapToGrid w:val="0"/>
        </w:rPr>
      </w:pPr>
      <w:bookmarkStart w:id="777" w:name="_Toc38007116"/>
      <w:bookmarkStart w:id="778" w:name="_Toc25843077"/>
      <w:r>
        <w:rPr>
          <w:rStyle w:val="CharSClsNo"/>
        </w:rPr>
        <w:t>1</w:t>
      </w:r>
      <w:r>
        <w:rPr>
          <w:snapToGrid w:val="0"/>
        </w:rPr>
        <w:t>.</w:t>
      </w:r>
      <w:r>
        <w:rPr>
          <w:snapToGrid w:val="0"/>
        </w:rPr>
        <w:tab/>
      </w:r>
      <w:r>
        <w:t>Term</w:t>
      </w:r>
      <w:r>
        <w:rPr>
          <w:snapToGrid w:val="0"/>
        </w:rPr>
        <w:t xml:space="preserve"> used: authorised agent</w:t>
      </w:r>
      <w:bookmarkEnd w:id="777"/>
      <w:bookmarkEnd w:id="778"/>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779" w:name="_Toc38007117"/>
      <w:bookmarkStart w:id="780" w:name="_Toc25843078"/>
      <w:r>
        <w:rPr>
          <w:rStyle w:val="CharSClsNo"/>
        </w:rPr>
        <w:t>3</w:t>
      </w:r>
      <w:r>
        <w:rPr>
          <w:snapToGrid w:val="0"/>
        </w:rPr>
        <w:t>.</w:t>
      </w:r>
      <w:r>
        <w:rPr>
          <w:snapToGrid w:val="0"/>
        </w:rPr>
        <w:tab/>
        <w:t>Rental Accommodation Account</w:t>
      </w:r>
      <w:bookmarkEnd w:id="779"/>
      <w:bookmarkEnd w:id="780"/>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781" w:name="_Toc38007118"/>
      <w:bookmarkStart w:id="782" w:name="_Toc25843079"/>
      <w:r>
        <w:rPr>
          <w:rStyle w:val="CharSClsNo"/>
        </w:rPr>
        <w:t>4</w:t>
      </w:r>
      <w:r>
        <w:rPr>
          <w:snapToGrid w:val="0"/>
        </w:rPr>
        <w:t>.</w:t>
      </w:r>
      <w:r>
        <w:rPr>
          <w:snapToGrid w:val="0"/>
        </w:rPr>
        <w:tab/>
        <w:t>Duties of bond administrator</w:t>
      </w:r>
      <w:bookmarkEnd w:id="781"/>
      <w:bookmarkEnd w:id="782"/>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783" w:name="_Toc38006916"/>
      <w:bookmarkStart w:id="784" w:name="_Toc38007119"/>
      <w:bookmarkStart w:id="785" w:name="_Toc2153457"/>
      <w:bookmarkStart w:id="786" w:name="_Toc2160291"/>
      <w:bookmarkStart w:id="787" w:name="_Toc2161015"/>
      <w:bookmarkStart w:id="788" w:name="_Toc5621638"/>
      <w:bookmarkStart w:id="789" w:name="_Toc5633055"/>
      <w:bookmarkStart w:id="790" w:name="_Toc5719434"/>
      <w:bookmarkStart w:id="791" w:name="_Toc22915948"/>
      <w:bookmarkStart w:id="792" w:name="_Toc22916148"/>
      <w:bookmarkStart w:id="793" w:name="_Toc25843080"/>
      <w:r>
        <w:rPr>
          <w:rStyle w:val="CharSDivNo"/>
        </w:rPr>
        <w:t>Division 2</w:t>
      </w:r>
      <w:r>
        <w:t> — </w:t>
      </w:r>
      <w:r>
        <w:rPr>
          <w:rStyle w:val="CharSDivText"/>
        </w:rPr>
        <w:t>Security bonds</w:t>
      </w:r>
      <w:bookmarkEnd w:id="783"/>
      <w:bookmarkEnd w:id="784"/>
      <w:bookmarkEnd w:id="785"/>
      <w:bookmarkEnd w:id="786"/>
      <w:bookmarkEnd w:id="787"/>
      <w:bookmarkEnd w:id="788"/>
      <w:bookmarkEnd w:id="789"/>
      <w:bookmarkEnd w:id="790"/>
      <w:bookmarkEnd w:id="791"/>
      <w:bookmarkEnd w:id="792"/>
      <w:bookmarkEnd w:id="793"/>
    </w:p>
    <w:p>
      <w:pPr>
        <w:pStyle w:val="yFootnoteheading"/>
      </w:pPr>
      <w:r>
        <w:tab/>
        <w:t>[Heading inserted: No. 60 of 2011 s. 87(11).]</w:t>
      </w:r>
    </w:p>
    <w:p>
      <w:pPr>
        <w:pStyle w:val="yHeading5"/>
      </w:pPr>
      <w:bookmarkStart w:id="794" w:name="_Toc38007120"/>
      <w:bookmarkStart w:id="795" w:name="_Toc25843081"/>
      <w:r>
        <w:rPr>
          <w:rStyle w:val="CharSClsNo"/>
        </w:rPr>
        <w:t>5A</w:t>
      </w:r>
      <w:r>
        <w:t>.</w:t>
      </w:r>
      <w:r>
        <w:tab/>
        <w:t>Security bond moneys to be paid to bond administrator</w:t>
      </w:r>
      <w:bookmarkEnd w:id="794"/>
      <w:bookmarkEnd w:id="795"/>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796" w:name="_Toc38007121"/>
      <w:bookmarkStart w:id="797" w:name="_Toc25843082"/>
      <w:r>
        <w:rPr>
          <w:rStyle w:val="CharSClsNo"/>
        </w:rPr>
        <w:t>5</w:t>
      </w:r>
      <w:r>
        <w:rPr>
          <w:snapToGrid w:val="0"/>
        </w:rPr>
        <w:t>.</w:t>
      </w:r>
      <w:r>
        <w:rPr>
          <w:snapToGrid w:val="0"/>
        </w:rPr>
        <w:tab/>
        <w:t xml:space="preserve">Disposal of </w:t>
      </w:r>
      <w:r>
        <w:t>security</w:t>
      </w:r>
      <w:r>
        <w:rPr>
          <w:snapToGrid w:val="0"/>
        </w:rPr>
        <w:t xml:space="preserve"> bond by bond administrator</w:t>
      </w:r>
      <w:bookmarkEnd w:id="796"/>
      <w:bookmarkEnd w:id="797"/>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798" w:name="_Toc38007122"/>
      <w:bookmarkStart w:id="799" w:name="_Toc25843083"/>
      <w:r>
        <w:rPr>
          <w:rStyle w:val="CharSClsNo"/>
        </w:rPr>
        <w:t>8</w:t>
      </w:r>
      <w:r>
        <w:rPr>
          <w:snapToGrid w:val="0"/>
        </w:rPr>
        <w:t>.</w:t>
      </w:r>
      <w:r>
        <w:rPr>
          <w:snapToGrid w:val="0"/>
        </w:rPr>
        <w:tab/>
      </w:r>
      <w:r>
        <w:t>Court</w:t>
      </w:r>
      <w:r>
        <w:rPr>
          <w:snapToGrid w:val="0"/>
        </w:rPr>
        <w:t xml:space="preserve"> may determine disposal of security bond</w:t>
      </w:r>
      <w:bookmarkEnd w:id="798"/>
      <w:bookmarkEnd w:id="799"/>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800" w:name="_Toc38006920"/>
      <w:bookmarkStart w:id="801" w:name="_Toc38007123"/>
      <w:bookmarkStart w:id="802" w:name="_Toc2153461"/>
      <w:bookmarkStart w:id="803" w:name="_Toc2160295"/>
      <w:bookmarkStart w:id="804" w:name="_Toc2161019"/>
      <w:bookmarkStart w:id="805" w:name="_Toc5621642"/>
      <w:bookmarkStart w:id="806" w:name="_Toc5633059"/>
      <w:bookmarkStart w:id="807" w:name="_Toc5719438"/>
      <w:bookmarkStart w:id="808" w:name="_Toc22915952"/>
      <w:bookmarkStart w:id="809" w:name="_Toc22916152"/>
      <w:bookmarkStart w:id="810" w:name="_Toc25843084"/>
      <w:r>
        <w:rPr>
          <w:rStyle w:val="CharSDivNo"/>
        </w:rPr>
        <w:t>Division 3</w:t>
      </w:r>
      <w:r>
        <w:t> — </w:t>
      </w:r>
      <w:r>
        <w:rPr>
          <w:rStyle w:val="CharSDivText"/>
        </w:rPr>
        <w:t>Tenant compensation bonds</w:t>
      </w:r>
      <w:bookmarkEnd w:id="800"/>
      <w:bookmarkEnd w:id="801"/>
      <w:bookmarkEnd w:id="802"/>
      <w:bookmarkEnd w:id="803"/>
      <w:bookmarkEnd w:id="804"/>
      <w:bookmarkEnd w:id="805"/>
      <w:bookmarkEnd w:id="806"/>
      <w:bookmarkEnd w:id="807"/>
      <w:bookmarkEnd w:id="808"/>
      <w:bookmarkEnd w:id="809"/>
      <w:bookmarkEnd w:id="810"/>
    </w:p>
    <w:p>
      <w:pPr>
        <w:pStyle w:val="yFootnoteheading"/>
      </w:pPr>
      <w:r>
        <w:tab/>
        <w:t>[Heading inserted: No. 60 of 2011 s. 87(23).]</w:t>
      </w:r>
    </w:p>
    <w:p>
      <w:pPr>
        <w:pStyle w:val="yHeading5"/>
      </w:pPr>
      <w:bookmarkStart w:id="811" w:name="_Toc38007124"/>
      <w:bookmarkStart w:id="812" w:name="_Toc25843085"/>
      <w:r>
        <w:rPr>
          <w:rStyle w:val="CharSClsNo"/>
        </w:rPr>
        <w:t>9</w:t>
      </w:r>
      <w:r>
        <w:t>.</w:t>
      </w:r>
      <w:r>
        <w:tab/>
        <w:t>Application of Division</w:t>
      </w:r>
      <w:bookmarkEnd w:id="811"/>
      <w:bookmarkEnd w:id="812"/>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813" w:name="_Toc38007125"/>
      <w:bookmarkStart w:id="814" w:name="_Toc25843086"/>
      <w:r>
        <w:rPr>
          <w:rStyle w:val="CharSClsNo"/>
        </w:rPr>
        <w:t>10</w:t>
      </w:r>
      <w:r>
        <w:t>.</w:t>
      </w:r>
      <w:r>
        <w:tab/>
        <w:t>Disposal of tenant compensation bond to tenant by bond administrator</w:t>
      </w:r>
      <w:bookmarkEnd w:id="813"/>
      <w:bookmarkEnd w:id="814"/>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815" w:name="_Toc38007126"/>
      <w:bookmarkStart w:id="816" w:name="_Toc25843087"/>
      <w:r>
        <w:rPr>
          <w:rStyle w:val="CharSClsNo"/>
        </w:rPr>
        <w:t>11</w:t>
      </w:r>
      <w:r>
        <w:t>.</w:t>
      </w:r>
      <w:r>
        <w:tab/>
        <w:t>Disposal of tenant compensation bond to lessor by bond administrator</w:t>
      </w:r>
      <w:bookmarkEnd w:id="815"/>
      <w:bookmarkEnd w:id="816"/>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818" w:name="_Toc38006924"/>
      <w:bookmarkStart w:id="819" w:name="_Toc38007127"/>
      <w:bookmarkStart w:id="820" w:name="_Toc2153465"/>
      <w:bookmarkStart w:id="821" w:name="_Toc2160299"/>
      <w:bookmarkStart w:id="822" w:name="_Toc2161023"/>
      <w:bookmarkStart w:id="823" w:name="_Toc5621646"/>
      <w:bookmarkStart w:id="824" w:name="_Toc5633063"/>
      <w:bookmarkStart w:id="825" w:name="_Toc5719442"/>
      <w:bookmarkStart w:id="826" w:name="_Toc22915956"/>
      <w:bookmarkStart w:id="827" w:name="_Toc22916156"/>
      <w:bookmarkStart w:id="828" w:name="_Toc25843088"/>
      <w:r>
        <w:t>Notes</w:t>
      </w:r>
      <w:bookmarkEnd w:id="818"/>
      <w:bookmarkEnd w:id="819"/>
      <w:bookmarkEnd w:id="820"/>
      <w:bookmarkEnd w:id="821"/>
      <w:bookmarkEnd w:id="822"/>
      <w:bookmarkEnd w:id="823"/>
      <w:bookmarkEnd w:id="824"/>
      <w:bookmarkEnd w:id="825"/>
      <w:bookmarkEnd w:id="826"/>
      <w:bookmarkEnd w:id="827"/>
      <w:bookmarkEnd w:id="828"/>
    </w:p>
    <w:p>
      <w:pPr>
        <w:pStyle w:val="nStatement"/>
      </w:pPr>
      <w:del w:id="829" w:author="svcMRProcess" w:date="2020-04-17T17:55:00Z">
        <w:r>
          <w:rPr>
            <w:snapToGrid w:val="0"/>
            <w:vertAlign w:val="superscript"/>
          </w:rPr>
          <w:delText>1</w:delText>
        </w:r>
        <w:r>
          <w:rPr>
            <w:snapToGrid w:val="0"/>
          </w:rPr>
          <w:tab/>
        </w:r>
      </w:del>
      <w:r>
        <w:t xml:space="preserve">This is a compilation of the </w:t>
      </w:r>
      <w:r>
        <w:rPr>
          <w:i/>
          <w:noProof/>
        </w:rPr>
        <w:t>Residential Tenancies Act</w:t>
      </w:r>
      <w:del w:id="830" w:author="svcMRProcess" w:date="2020-04-17T17:55:00Z">
        <w:r>
          <w:rPr>
            <w:i/>
            <w:noProof/>
            <w:snapToGrid w:val="0"/>
          </w:rPr>
          <w:delText> </w:delText>
        </w:r>
      </w:del>
      <w:ins w:id="831" w:author="svcMRProcess" w:date="2020-04-17T17:55:00Z">
        <w:r>
          <w:rPr>
            <w:i/>
            <w:noProof/>
          </w:rPr>
          <w:t xml:space="preserve"> </w:t>
        </w:r>
      </w:ins>
      <w:r>
        <w:rPr>
          <w:i/>
          <w:noProof/>
        </w:rPr>
        <w:t>1987</w:t>
      </w:r>
      <w:r>
        <w:t xml:space="preserve"> and includes </w:t>
      </w:r>
      <w:del w:id="832" w:author="svcMRProcess" w:date="2020-04-17T17:55:00Z">
        <w:r>
          <w:rPr>
            <w:snapToGrid w:val="0"/>
          </w:rPr>
          <w:delText xml:space="preserve">the </w:delText>
        </w:r>
      </w:del>
      <w:r>
        <w:t xml:space="preserve">amendments made by </w:t>
      </w:r>
      <w:del w:id="833" w:author="svcMRProcess" w:date="2020-04-17T17:55:00Z">
        <w:r>
          <w:rPr>
            <w:snapToGrid w:val="0"/>
          </w:rPr>
          <w:delText xml:space="preserve">the </w:delText>
        </w:r>
      </w:del>
      <w:r>
        <w:t>other written laws</w:t>
      </w:r>
      <w:del w:id="834" w:author="svcMRProcess" w:date="2020-04-17T17:55:00Z">
        <w:r>
          <w:rPr>
            <w:snapToGrid w:val="0"/>
          </w:rPr>
          <w:delText xml:space="preserve"> referred to in the following table</w:delText>
        </w:r>
        <w:r>
          <w:rPr>
            <w:snapToGrid w:val="0"/>
            <w:vertAlign w:val="superscript"/>
          </w:rPr>
          <w:delText> 1a</w:delText>
        </w:r>
        <w:r>
          <w:rPr>
            <w:snapToGrid w:val="0"/>
          </w:rPr>
          <w:delText>. The table also contains</w:delText>
        </w:r>
      </w:del>
      <w:ins w:id="835" w:author="svcMRProcess" w:date="2020-04-17T17:55:00Z">
        <w:r>
          <w:t>. For provisions that have come into operation, and for</w:t>
        </w:r>
      </w:ins>
      <w:r>
        <w:t xml:space="preserve"> information about any </w:t>
      </w:r>
      <w:del w:id="836" w:author="svcMRProcess" w:date="2020-04-17T17:55:00Z">
        <w:r>
          <w:rPr>
            <w:snapToGrid w:val="0"/>
          </w:rPr>
          <w:delText>reprint</w:delText>
        </w:r>
      </w:del>
      <w:ins w:id="837" w:author="svcMRProcess" w:date="2020-04-17T17:55:00Z">
        <w:r>
          <w:t>reprints, see the compilation table. For provisions that have not yet come into operation see the uncommenced provisions table</w:t>
        </w:r>
      </w:ins>
      <w:r>
        <w:t>.</w:t>
      </w:r>
    </w:p>
    <w:p>
      <w:pPr>
        <w:pStyle w:val="nHeading3"/>
      </w:pPr>
      <w:bookmarkStart w:id="838" w:name="_Toc38007128"/>
      <w:bookmarkStart w:id="839" w:name="_Toc25843089"/>
      <w:r>
        <w:t>Compilation table</w:t>
      </w:r>
      <w:bookmarkEnd w:id="838"/>
      <w:bookmarkEnd w:id="839"/>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1"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1"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del w:id="840" w:author="svcMRProcess" w:date="2020-04-17T17:55:00Z">
              <w:r>
                <w:rPr>
                  <w:snapToGrid w:val="0"/>
                  <w:vertAlign w:val="superscript"/>
                </w:rPr>
                <w:delText>3</w:delText>
              </w:r>
            </w:del>
            <w:ins w:id="841" w:author="svcMRProcess" w:date="2020-04-17T17:55:00Z">
              <w:r>
                <w:rPr>
                  <w:snapToGrid w:val="0"/>
                  <w:vertAlign w:val="superscript"/>
                </w:rPr>
                <w:t>2</w:t>
              </w:r>
            </w:ins>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w:t>
            </w:r>
            <w:ins w:id="842" w:author="svcMRProcess" w:date="2020-04-17T17:55:00Z">
              <w:r>
                <w:t> </w:t>
              </w:r>
              <w:r>
                <w:rPr>
                  <w:snapToGrid w:val="0"/>
                  <w:vertAlign w:val="superscript"/>
                </w:rPr>
                <w:t>3,</w:t>
              </w:r>
            </w:ins>
            <w:r>
              <w:rPr>
                <w:vertAlign w:val="superscript"/>
              </w:rPr>
              <w:t> 4</w:t>
            </w:r>
            <w:del w:id="843" w:author="svcMRProcess" w:date="2020-04-17T17:55:00Z">
              <w:r>
                <w:rPr>
                  <w:snapToGrid w:val="0"/>
                  <w:vertAlign w:val="superscript"/>
                </w:rPr>
                <w:delText>,</w:delText>
              </w:r>
              <w:r>
                <w:rPr>
                  <w:vertAlign w:val="superscript"/>
                </w:rPr>
                <w:delText> 5</w:delText>
              </w:r>
            </w:del>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1"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w:t>
            </w:r>
            <w:del w:id="844" w:author="svcMRProcess" w:date="2020-04-17T17:55:00Z">
              <w:r>
                <w:rPr>
                  <w:vertAlign w:val="superscript"/>
                </w:rPr>
                <w:delText>6</w:delText>
              </w:r>
            </w:del>
            <w:ins w:id="845" w:author="svcMRProcess" w:date="2020-04-17T17:55:00Z">
              <w:r>
                <w:rPr>
                  <w:vertAlign w:val="superscript"/>
                </w:rPr>
                <w:t>5</w:t>
              </w:r>
            </w:ins>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del w:id="846" w:author="svcMRProcess" w:date="2020-04-17T17:55:00Z">
              <w:r>
                <w:rPr>
                  <w:snapToGrid w:val="0"/>
                  <w:vertAlign w:val="superscript"/>
                </w:rPr>
                <w:delText>7</w:delText>
              </w:r>
            </w:del>
            <w:ins w:id="847" w:author="svcMRProcess" w:date="2020-04-17T17:55:00Z">
              <w:r>
                <w:rPr>
                  <w:snapToGrid w:val="0"/>
                  <w:vertAlign w:val="superscript"/>
                </w:rPr>
                <w:t>6</w:t>
              </w:r>
            </w:ins>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1"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1"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0" w:type="dxa"/>
            <w:gridSpan w:val="2"/>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Next/>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0"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keepNext/>
              <w:spacing w:after="40"/>
              <w:rPr>
                <w:i/>
              </w:rPr>
            </w:pPr>
            <w:r>
              <w:rPr>
                <w:i/>
              </w:rPr>
              <w:t xml:space="preserve">Consumer Protection Legislation Amendment Act 2019 </w:t>
            </w:r>
            <w:del w:id="848" w:author="svcMRProcess" w:date="2020-04-17T17:55:00Z">
              <w:r>
                <w:delText>s. 67</w:delText>
              </w:r>
            </w:del>
            <w:ins w:id="849" w:author="svcMRProcess" w:date="2020-04-17T17:55:00Z">
              <w:r>
                <w:t>Pt. 9</w:t>
              </w:r>
            </w:ins>
          </w:p>
        </w:tc>
        <w:tc>
          <w:tcPr>
            <w:tcW w:w="1134" w:type="dxa"/>
            <w:gridSpan w:val="2"/>
            <w:tcBorders>
              <w:top w:val="nil"/>
              <w:bottom w:val="single" w:sz="4" w:space="0" w:color="auto"/>
            </w:tcBorders>
          </w:tcPr>
          <w:p>
            <w:pPr>
              <w:pStyle w:val="nTable"/>
              <w:keepNext/>
              <w:spacing w:after="40"/>
            </w:pPr>
            <w:r>
              <w:t>25 of 2019</w:t>
            </w:r>
          </w:p>
        </w:tc>
        <w:tc>
          <w:tcPr>
            <w:tcW w:w="1134" w:type="dxa"/>
            <w:gridSpan w:val="2"/>
            <w:tcBorders>
              <w:top w:val="nil"/>
              <w:bottom w:val="single" w:sz="4" w:space="0" w:color="auto"/>
            </w:tcBorders>
          </w:tcPr>
          <w:p>
            <w:pPr>
              <w:pStyle w:val="nTable"/>
              <w:keepNext/>
              <w:spacing w:after="40"/>
            </w:pPr>
            <w:r>
              <w:t>24 Oct 2019</w:t>
            </w:r>
          </w:p>
        </w:tc>
        <w:tc>
          <w:tcPr>
            <w:tcW w:w="2580" w:type="dxa"/>
            <w:gridSpan w:val="2"/>
            <w:tcBorders>
              <w:top w:val="nil"/>
              <w:bottom w:val="single" w:sz="4" w:space="0" w:color="auto"/>
            </w:tcBorders>
          </w:tcPr>
          <w:p>
            <w:pPr>
              <w:pStyle w:val="nTable"/>
              <w:keepNext/>
              <w:spacing w:after="40"/>
            </w:pPr>
            <w:ins w:id="850" w:author="svcMRProcess" w:date="2020-04-17T17:55:00Z">
              <w:r>
                <w:rPr>
                  <w:snapToGrid w:val="0"/>
                </w:rPr>
                <w:t xml:space="preserve">s. 67: </w:t>
              </w:r>
            </w:ins>
            <w:r>
              <w:rPr>
                <w:snapToGrid w:val="0"/>
              </w:rPr>
              <w:t xml:space="preserve">30 Nov 2019 (see s. 2(b) and </w:t>
            </w:r>
            <w:r>
              <w:rPr>
                <w:i/>
                <w:snapToGrid w:val="0"/>
              </w:rPr>
              <w:t>Gazette</w:t>
            </w:r>
            <w:r>
              <w:rPr>
                <w:snapToGrid w:val="0"/>
              </w:rPr>
              <w:t xml:space="preserve"> 29 Nov 2019 p.</w:t>
            </w:r>
            <w:del w:id="851" w:author="svcMRProcess" w:date="2020-04-17T17:55:00Z">
              <w:r>
                <w:rPr>
                  <w:snapToGrid w:val="0"/>
                </w:rPr>
                <w:delText xml:space="preserve"> </w:delText>
              </w:r>
            </w:del>
            <w:ins w:id="852" w:author="svcMRProcess" w:date="2020-04-17T17:55:00Z">
              <w:r>
                <w:rPr>
                  <w:snapToGrid w:val="0"/>
                </w:rPr>
                <w:t> </w:t>
              </w:r>
            </w:ins>
            <w:r>
              <w:rPr>
                <w:snapToGrid w:val="0"/>
              </w:rPr>
              <w:t>4101</w:t>
            </w:r>
            <w:ins w:id="853" w:author="svcMRProcess" w:date="2020-04-17T17:55:00Z">
              <w:r>
                <w:rPr>
                  <w:snapToGrid w:val="0"/>
                </w:rPr>
                <w:t>);</w:t>
              </w:r>
              <w:r>
                <w:rPr>
                  <w:snapToGrid w:val="0"/>
                </w:rPr>
                <w:br/>
                <w:t xml:space="preserve">Pt. 9 other than s. 67: 1 Jan 2020 (see s. 2(b) and </w:t>
              </w:r>
              <w:r>
                <w:rPr>
                  <w:i/>
                  <w:snapToGrid w:val="0"/>
                </w:rPr>
                <w:t>Gazette</w:t>
              </w:r>
              <w:r>
                <w:rPr>
                  <w:snapToGrid w:val="0"/>
                </w:rPr>
                <w:t xml:space="preserve"> 24 Dec 2019 p. 4415</w:t>
              </w:r>
            </w:ins>
            <w:r>
              <w:rPr>
                <w:snapToGrid w:val="0"/>
              </w:rPr>
              <w:t>)</w:t>
            </w:r>
          </w:p>
        </w:tc>
      </w:tr>
    </w:tbl>
    <w:p>
      <w:pPr>
        <w:pStyle w:val="nHeading3"/>
        <w:rPr>
          <w:ins w:id="854" w:author="svcMRProcess" w:date="2020-04-17T17:55:00Z"/>
        </w:rPr>
      </w:pPr>
      <w:bookmarkStart w:id="855" w:name="_Toc38007129"/>
      <w:del w:id="856" w:author="svcMRProcess" w:date="2020-04-17T17:55:00Z">
        <w:r>
          <w:rPr>
            <w:vertAlign w:val="superscript"/>
          </w:rPr>
          <w:delText>1a</w:delText>
        </w:r>
        <w:r>
          <w:tab/>
          <w:delText>On the date as at which this compilation was prepared,</w:delText>
        </w:r>
      </w:del>
      <w:ins w:id="857" w:author="svcMRProcess" w:date="2020-04-17T17:55:00Z">
        <w:r>
          <w:t>Uncommenced</w:t>
        </w:r>
      </w:ins>
      <w:r>
        <w:t xml:space="preserve"> provisions </w:t>
      </w:r>
      <w:del w:id="858" w:author="svcMRProcess" w:date="2020-04-17T17:55:00Z">
        <w:r>
          <w:delText xml:space="preserve">referred to in the following </w:delText>
        </w:r>
      </w:del>
      <w:r>
        <w:t>table</w:t>
      </w:r>
      <w:bookmarkEnd w:id="855"/>
      <w:del w:id="859" w:author="svcMRProcess" w:date="2020-04-17T17:55:00Z">
        <w:r>
          <w:delText xml:space="preserve"> had not come into operation and were therefore not included in this compilation.  For</w:delText>
        </w:r>
      </w:del>
    </w:p>
    <w:p>
      <w:pPr>
        <w:pStyle w:val="nStatement"/>
        <w:keepNext/>
        <w:spacing w:after="240"/>
      </w:pPr>
      <w:ins w:id="860" w:author="svcMRProcess" w:date="2020-04-17T17:55:00Z">
        <w:r>
          <w:t>To view</w:t>
        </w:r>
      </w:ins>
      <w:r>
        <w:t xml:space="preserve"> the text of the </w:t>
      </w:r>
      <w:ins w:id="861" w:author="svcMRProcess" w:date="2020-04-17T17:55:00Z">
        <w:r>
          <w:t xml:space="preserve">uncommenced </w:t>
        </w:r>
      </w:ins>
      <w:r>
        <w:t xml:space="preserve">provisions see </w:t>
      </w:r>
      <w:del w:id="862" w:author="svcMRProcess" w:date="2020-04-17T17:55:00Z">
        <w:r>
          <w:delText>the endnotes referred to in the table</w:delText>
        </w:r>
      </w:del>
      <w:ins w:id="863" w:author="svcMRProcess" w:date="2020-04-17T17:55:00Z">
        <w:r>
          <w:rPr>
            <w:i/>
          </w:rPr>
          <w:t>Acts as passed</w:t>
        </w:r>
        <w:r>
          <w:t xml:space="preserve"> on the WA Legislation website</w:t>
        </w:r>
      </w:ins>
      <w:r>
        <w:t>.</w:t>
      </w:r>
    </w:p>
    <w:p>
      <w:pPr>
        <w:pStyle w:val="nHeading3"/>
        <w:spacing w:before="180"/>
        <w:rPr>
          <w:del w:id="864" w:author="svcMRProcess" w:date="2020-04-17T17:55:00Z"/>
          <w:snapToGrid w:val="0"/>
        </w:rPr>
      </w:pPr>
      <w:bookmarkStart w:id="865" w:name="_Toc25843090"/>
      <w:del w:id="866" w:author="svcMRProcess" w:date="2020-04-17T17:55:00Z">
        <w:r>
          <w:rPr>
            <w:snapToGrid w:val="0"/>
          </w:rPr>
          <w:delText>Provisions that have not come into operation</w:delText>
        </w:r>
        <w:bookmarkEnd w:id="865"/>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1134"/>
        <w:gridCol w:w="2524"/>
        <w:gridCol w:w="12"/>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3"/>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30" w:type="dxa"/>
        </w:trPr>
        <w:tc>
          <w:tcPr>
            <w:tcW w:w="2296" w:type="dxa"/>
            <w:gridSpan w:val="2"/>
            <w:tcBorders>
              <w:top w:val="nil"/>
              <w:bottom w:val="nil"/>
            </w:tcBorders>
          </w:tcPr>
          <w:p>
            <w:pPr>
              <w:pStyle w:val="nTable"/>
              <w:spacing w:after="40"/>
            </w:pPr>
            <w:r>
              <w:rPr>
                <w:i/>
              </w:rPr>
              <w:t>Strata Titles Amendment Act 2018</w:t>
            </w:r>
            <w:r>
              <w:t xml:space="preserve"> Pt. 3 Div 18</w:t>
            </w:r>
            <w:del w:id="867" w:author="svcMRProcess" w:date="2020-04-17T17:55:00Z">
              <w:r>
                <w:rPr>
                  <w:vertAlign w:val="superscript"/>
                </w:rPr>
                <w:delText> 8</w:delText>
              </w:r>
            </w:del>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24" w:type="dxa"/>
            <w:tcBorders>
              <w:top w:val="nil"/>
              <w:bottom w:val="nil"/>
            </w:tcBorders>
          </w:tcPr>
          <w:p>
            <w:pPr>
              <w:pStyle w:val="nTable"/>
              <w:spacing w:after="40"/>
            </w:pPr>
            <w:del w:id="868" w:author="svcMRProcess" w:date="2020-04-17T17:55:00Z">
              <w:r>
                <w:delText>To be proclaimed</w:delText>
              </w:r>
            </w:del>
            <w:ins w:id="869" w:author="svcMRProcess" w:date="2020-04-17T17:55:00Z">
              <w:r>
                <w:t>1 May 2020</w:t>
              </w:r>
            </w:ins>
            <w:r>
              <w:t xml:space="preserve"> (see s. 2(b</w:t>
            </w:r>
            <w:del w:id="870" w:author="svcMRProcess" w:date="2020-04-17T17:55:00Z">
              <w:r>
                <w:delText>))</w:delText>
              </w:r>
            </w:del>
            <w:ins w:id="871" w:author="svcMRProcess" w:date="2020-04-17T17:55:00Z">
              <w:r>
                <w:t>) and SL 2020/39 cl. 2)</w:t>
              </w:r>
            </w:ins>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30" w:type="dxa"/>
        </w:trPr>
        <w:tc>
          <w:tcPr>
            <w:tcW w:w="2296" w:type="dxa"/>
            <w:gridSpan w:val="2"/>
            <w:tcBorders>
              <w:top w:val="nil"/>
              <w:bottom w:val="single" w:sz="4" w:space="0" w:color="auto"/>
            </w:tcBorders>
          </w:tcPr>
          <w:p>
            <w:pPr>
              <w:pStyle w:val="nTable"/>
              <w:spacing w:after="40"/>
            </w:pPr>
            <w:r>
              <w:rPr>
                <w:i/>
              </w:rPr>
              <w:t>Community Titles Act 2018</w:t>
            </w:r>
            <w:r>
              <w:t xml:space="preserve"> Pt. 14 Div. 18</w:t>
            </w:r>
            <w:del w:id="872" w:author="svcMRProcess" w:date="2020-04-17T17:55:00Z">
              <w:r>
                <w:rPr>
                  <w:vertAlign w:val="superscript"/>
                </w:rPr>
                <w:delText> 9</w:delText>
              </w:r>
            </w:del>
          </w:p>
        </w:tc>
        <w:tc>
          <w:tcPr>
            <w:tcW w:w="1134" w:type="dxa"/>
            <w:tcBorders>
              <w:top w:val="nil"/>
              <w:bottom w:val="single" w:sz="4" w:space="0" w:color="auto"/>
            </w:tcBorders>
          </w:tcPr>
          <w:p>
            <w:pPr>
              <w:pStyle w:val="nTable"/>
              <w:spacing w:after="40"/>
            </w:pPr>
            <w:r>
              <w:t>32 of 2018</w:t>
            </w:r>
          </w:p>
        </w:tc>
        <w:tc>
          <w:tcPr>
            <w:tcW w:w="1134" w:type="dxa"/>
            <w:tcBorders>
              <w:top w:val="nil"/>
              <w:bottom w:val="single" w:sz="4" w:space="0" w:color="auto"/>
            </w:tcBorders>
          </w:tcPr>
          <w:p>
            <w:pPr>
              <w:pStyle w:val="nTable"/>
              <w:spacing w:after="40"/>
            </w:pPr>
            <w:r>
              <w:t>19 Nov 2018</w:t>
            </w:r>
          </w:p>
        </w:tc>
        <w:tc>
          <w:tcPr>
            <w:tcW w:w="2524" w:type="dxa"/>
            <w:tcBorders>
              <w:top w:val="nil"/>
              <w:bottom w:val="single" w:sz="4" w:space="0" w:color="auto"/>
            </w:tcBorders>
          </w:tcPr>
          <w:p>
            <w:pPr>
              <w:pStyle w:val="nTable"/>
              <w:spacing w:after="40"/>
            </w:pPr>
            <w:r>
              <w:t>To be proclaimed (see s. 2(b))</w:t>
            </w:r>
          </w:p>
        </w:tc>
      </w:tr>
      <w:tr>
        <w:trPr>
          <w:gridAfter w:val="1"/>
          <w:wAfter w:w="12" w:type="dxa"/>
          <w:cantSplit/>
          <w:del w:id="873" w:author="svcMRProcess" w:date="2020-04-17T17:55:00Z"/>
        </w:trPr>
        <w:tc>
          <w:tcPr>
            <w:tcW w:w="2273" w:type="dxa"/>
            <w:tcBorders>
              <w:bottom w:val="single" w:sz="4" w:space="0" w:color="auto"/>
            </w:tcBorders>
          </w:tcPr>
          <w:p>
            <w:pPr>
              <w:pStyle w:val="nTable"/>
              <w:spacing w:after="40"/>
              <w:rPr>
                <w:del w:id="874" w:author="svcMRProcess" w:date="2020-04-17T17:55:00Z"/>
                <w:snapToGrid w:val="0"/>
                <w:vertAlign w:val="superscript"/>
              </w:rPr>
            </w:pPr>
            <w:bookmarkStart w:id="875" w:name="_Toc38007130"/>
            <w:del w:id="876" w:author="svcMRProcess" w:date="2020-04-17T17:55:00Z">
              <w:r>
                <w:rPr>
                  <w:i/>
                </w:rPr>
                <w:delText xml:space="preserve">Consumer Protection Legislation Amendment Act 2019 </w:delText>
              </w:r>
              <w:r>
                <w:delText>Pt. 9 (other than s. 67) </w:delText>
              </w:r>
              <w:r>
                <w:rPr>
                  <w:vertAlign w:val="superscript"/>
                </w:rPr>
                <w:delText>10</w:delText>
              </w:r>
            </w:del>
          </w:p>
        </w:tc>
        <w:tc>
          <w:tcPr>
            <w:tcW w:w="1139" w:type="dxa"/>
            <w:tcBorders>
              <w:bottom w:val="single" w:sz="4" w:space="0" w:color="auto"/>
            </w:tcBorders>
          </w:tcPr>
          <w:p>
            <w:pPr>
              <w:pStyle w:val="nTable"/>
              <w:spacing w:after="40"/>
              <w:rPr>
                <w:del w:id="877" w:author="svcMRProcess" w:date="2020-04-17T17:55:00Z"/>
              </w:rPr>
            </w:pPr>
            <w:del w:id="878" w:author="svcMRProcess" w:date="2020-04-17T17:55:00Z">
              <w:r>
                <w:delText>25 of 2019</w:delText>
              </w:r>
            </w:del>
          </w:p>
        </w:tc>
        <w:tc>
          <w:tcPr>
            <w:tcW w:w="1138" w:type="dxa"/>
            <w:tcBorders>
              <w:bottom w:val="single" w:sz="4" w:space="0" w:color="auto"/>
            </w:tcBorders>
          </w:tcPr>
          <w:p>
            <w:pPr>
              <w:pStyle w:val="nTable"/>
              <w:spacing w:after="40"/>
              <w:rPr>
                <w:del w:id="879" w:author="svcMRProcess" w:date="2020-04-17T17:55:00Z"/>
              </w:rPr>
            </w:pPr>
            <w:del w:id="880" w:author="svcMRProcess" w:date="2020-04-17T17:55:00Z">
              <w:r>
                <w:delText>24 Oct 2019</w:delText>
              </w:r>
            </w:del>
          </w:p>
        </w:tc>
        <w:tc>
          <w:tcPr>
            <w:tcW w:w="2556" w:type="dxa"/>
            <w:gridSpan w:val="2"/>
            <w:tcBorders>
              <w:bottom w:val="single" w:sz="4" w:space="0" w:color="auto"/>
            </w:tcBorders>
          </w:tcPr>
          <w:p>
            <w:pPr>
              <w:pStyle w:val="nTable"/>
              <w:spacing w:after="40"/>
              <w:rPr>
                <w:del w:id="881" w:author="svcMRProcess" w:date="2020-04-17T17:55:00Z"/>
                <w:snapToGrid w:val="0"/>
              </w:rPr>
            </w:pPr>
            <w:del w:id="882" w:author="svcMRProcess" w:date="2020-04-17T17:55:00Z">
              <w:r>
                <w:rPr>
                  <w:snapToGrid w:val="0"/>
                </w:rPr>
                <w:delText>To be proclaimed (see s. 2(b))</w:delText>
              </w:r>
            </w:del>
          </w:p>
        </w:tc>
      </w:tr>
    </w:tbl>
    <w:p>
      <w:pPr>
        <w:pStyle w:val="nHeading3"/>
        <w:rPr>
          <w:ins w:id="883" w:author="svcMRProcess" w:date="2020-04-17T17:55:00Z"/>
        </w:rPr>
      </w:pPr>
      <w:del w:id="884" w:author="svcMRProcess" w:date="2020-04-17T17:55:00Z">
        <w:r>
          <w:rPr>
            <w:snapToGrid w:val="0"/>
            <w:vertAlign w:val="superscript"/>
          </w:rPr>
          <w:delText>2</w:delText>
        </w:r>
      </w:del>
      <w:ins w:id="885" w:author="svcMRProcess" w:date="2020-04-17T17:55:00Z">
        <w:r>
          <w:t>Other notes</w:t>
        </w:r>
        <w:bookmarkEnd w:id="875"/>
      </w:ins>
    </w:p>
    <w:p>
      <w:pPr>
        <w:pStyle w:val="nNote"/>
        <w:rPr>
          <w:snapToGrid w:val="0"/>
        </w:rPr>
      </w:pPr>
      <w:ins w:id="886" w:author="svcMRProcess" w:date="2020-04-17T17:55:00Z">
        <w:r>
          <w:rPr>
            <w:snapToGrid w:val="0"/>
            <w:vertAlign w:val="superscript"/>
          </w:rPr>
          <w:t>1</w:t>
        </w:r>
      </w:ins>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del w:id="887" w:author="svcMRProcess" w:date="2020-04-17T17:55:00Z">
        <w:r>
          <w:rPr>
            <w:snapToGrid w:val="0"/>
            <w:vertAlign w:val="superscript"/>
          </w:rPr>
          <w:delText>3</w:delText>
        </w:r>
      </w:del>
      <w:ins w:id="888" w:author="svcMRProcess" w:date="2020-04-17T17:55:00Z">
        <w:r>
          <w:rPr>
            <w:snapToGrid w:val="0"/>
            <w:vertAlign w:val="superscript"/>
          </w:rPr>
          <w:t>2</w:t>
        </w:r>
      </w:ins>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del w:id="889" w:author="svcMRProcess" w:date="2020-04-17T17:55:00Z">
        <w:r>
          <w:rPr>
            <w:snapToGrid w:val="0"/>
            <w:vertAlign w:val="superscript"/>
          </w:rPr>
          <w:delText>4</w:delText>
        </w:r>
      </w:del>
      <w:ins w:id="890" w:author="svcMRProcess" w:date="2020-04-17T17:55:00Z">
        <w:r>
          <w:rPr>
            <w:snapToGrid w:val="0"/>
            <w:vertAlign w:val="superscript"/>
          </w:rPr>
          <w:t>3</w:t>
        </w:r>
      </w:ins>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pPr>
      <w:del w:id="891" w:author="svcMRProcess" w:date="2020-04-17T17:55:00Z">
        <w:r>
          <w:rPr>
            <w:snapToGrid w:val="0"/>
            <w:vertAlign w:val="superscript"/>
          </w:rPr>
          <w:delText>5</w:delText>
        </w:r>
      </w:del>
      <w:ins w:id="892" w:author="svcMRProcess" w:date="2020-04-17T17:55:00Z">
        <w:r>
          <w:rPr>
            <w:snapToGrid w:val="0"/>
            <w:vertAlign w:val="superscript"/>
          </w:rPr>
          <w:t>4</w:t>
        </w:r>
      </w:ins>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del w:id="893" w:author="svcMRProcess" w:date="2020-04-17T17:55:00Z">
        <w:r>
          <w:rPr>
            <w:vertAlign w:val="superscript"/>
          </w:rPr>
          <w:delText>6</w:delText>
        </w:r>
      </w:del>
      <w:ins w:id="894" w:author="svcMRProcess" w:date="2020-04-17T17:55:00Z">
        <w:r>
          <w:rPr>
            <w:vertAlign w:val="superscript"/>
          </w:rPr>
          <w:t>5</w:t>
        </w:r>
      </w:ins>
      <w:r>
        <w:tab/>
        <w:t xml:space="preserve">The </w:t>
      </w:r>
      <w:r>
        <w:rPr>
          <w:i/>
        </w:rPr>
        <w:t>Taxation Administration (Consequential Provisions) Act 2002</w:t>
      </w:r>
      <w:r>
        <w:t xml:space="preserve"> s. 3 and 4 and Pt. 4 are transitional provisions that are of no further effect.</w:t>
      </w:r>
    </w:p>
    <w:p>
      <w:pPr>
        <w:pStyle w:val="nNote"/>
      </w:pPr>
      <w:del w:id="895" w:author="svcMRProcess" w:date="2020-04-17T17:55:00Z">
        <w:r>
          <w:rPr>
            <w:vertAlign w:val="superscript"/>
          </w:rPr>
          <w:delText>7</w:delText>
        </w:r>
      </w:del>
      <w:ins w:id="896" w:author="svcMRProcess" w:date="2020-04-17T17:55:00Z">
        <w:r>
          <w:rPr>
            <w:vertAlign w:val="superscript"/>
          </w:rPr>
          <w:t>6</w:t>
        </w:r>
      </w:ins>
      <w:r>
        <w:tab/>
        <w:t xml:space="preserve">The </w:t>
      </w:r>
      <w:r>
        <w:rPr>
          <w:i/>
        </w:rPr>
        <w:t>Machinery of Government (Miscellaneous Amendments) Act 2006</w:t>
      </w:r>
      <w:r>
        <w:t xml:space="preserve"> Pt. 4 Div. 23 is a transitional provision that is of no further effect.</w:t>
      </w:r>
    </w:p>
    <w:p>
      <w:pPr>
        <w:pStyle w:val="nSubsection"/>
        <w:rPr>
          <w:del w:id="897" w:author="svcMRProcess" w:date="2020-04-17T17:55:00Z"/>
        </w:rPr>
      </w:pPr>
      <w:del w:id="898" w:author="svcMRProcess" w:date="2020-04-17T17:55:00Z">
        <w:r>
          <w:rPr>
            <w:vertAlign w:val="superscript"/>
          </w:rPr>
          <w:delText>8</w:delText>
        </w:r>
        <w:r>
          <w:tab/>
          <w:delText xml:space="preserve">On the date as at which this compilation was prepared, the </w:delText>
        </w:r>
        <w:r>
          <w:rPr>
            <w:i/>
          </w:rPr>
          <w:delText>Strata Titles Amendment Act 2018</w:delText>
        </w:r>
        <w:r>
          <w:delText xml:space="preserve"> Pt. 3 Div. 18 had not come into operation.  It reads as follows:</w:delText>
        </w:r>
      </w:del>
    </w:p>
    <w:p>
      <w:pPr>
        <w:pStyle w:val="BlankOpen"/>
        <w:rPr>
          <w:del w:id="899" w:author="svcMRProcess" w:date="2020-04-17T17:55:00Z"/>
        </w:rPr>
      </w:pPr>
    </w:p>
    <w:p>
      <w:pPr>
        <w:pStyle w:val="nzHeading2"/>
        <w:rPr>
          <w:del w:id="900" w:author="svcMRProcess" w:date="2020-04-17T17:55:00Z"/>
        </w:rPr>
      </w:pPr>
      <w:del w:id="901" w:author="svcMRProcess" w:date="2020-04-17T17:55:00Z">
        <w:r>
          <w:rPr>
            <w:rStyle w:val="CharPartNo"/>
          </w:rPr>
          <w:delText>Part 3</w:delText>
        </w:r>
        <w:r>
          <w:delText> — </w:delText>
        </w:r>
        <w:r>
          <w:rPr>
            <w:rStyle w:val="CharPartText"/>
          </w:rPr>
          <w:delText>Other Acts amended</w:delText>
        </w:r>
      </w:del>
    </w:p>
    <w:p>
      <w:pPr>
        <w:pStyle w:val="nzHeading3"/>
        <w:rPr>
          <w:del w:id="902" w:author="svcMRProcess" w:date="2020-04-17T17:55:00Z"/>
        </w:rPr>
      </w:pPr>
      <w:del w:id="903" w:author="svcMRProcess" w:date="2020-04-17T17:55:00Z">
        <w:r>
          <w:rPr>
            <w:rStyle w:val="CharDivNo"/>
          </w:rPr>
          <w:delText>Division 18</w:delText>
        </w:r>
        <w:r>
          <w:delText> — </w:delText>
        </w:r>
        <w:r>
          <w:rPr>
            <w:rStyle w:val="CharDivText"/>
          </w:rPr>
          <w:delText>Residential Tenancies Act 1987 amended</w:delText>
        </w:r>
      </w:del>
    </w:p>
    <w:p>
      <w:pPr>
        <w:pStyle w:val="nzHeading5"/>
        <w:rPr>
          <w:del w:id="904" w:author="svcMRProcess" w:date="2020-04-17T17:55:00Z"/>
        </w:rPr>
      </w:pPr>
      <w:del w:id="905" w:author="svcMRProcess" w:date="2020-04-17T17:55:00Z">
        <w:r>
          <w:rPr>
            <w:rStyle w:val="CharSectno"/>
          </w:rPr>
          <w:delText>181</w:delText>
        </w:r>
        <w:r>
          <w:delText>.</w:delText>
        </w:r>
        <w:r>
          <w:tab/>
          <w:delText>Act amended</w:delText>
        </w:r>
      </w:del>
    </w:p>
    <w:p>
      <w:pPr>
        <w:pStyle w:val="nzSubsection"/>
        <w:rPr>
          <w:del w:id="906" w:author="svcMRProcess" w:date="2020-04-17T17:55:00Z"/>
        </w:rPr>
      </w:pPr>
      <w:del w:id="907" w:author="svcMRProcess" w:date="2020-04-17T17:55:00Z">
        <w:r>
          <w:tab/>
        </w:r>
        <w:r>
          <w:tab/>
          <w:delText xml:space="preserve">This Division amends the </w:delText>
        </w:r>
        <w:r>
          <w:rPr>
            <w:i/>
          </w:rPr>
          <w:delText>Residential Tenancies Act 1987.</w:delText>
        </w:r>
      </w:del>
    </w:p>
    <w:p>
      <w:pPr>
        <w:pStyle w:val="nzHeading5"/>
        <w:rPr>
          <w:del w:id="908" w:author="svcMRProcess" w:date="2020-04-17T17:55:00Z"/>
        </w:rPr>
      </w:pPr>
      <w:del w:id="909" w:author="svcMRProcess" w:date="2020-04-17T17:55:00Z">
        <w:r>
          <w:rPr>
            <w:rStyle w:val="CharSectno"/>
          </w:rPr>
          <w:delText>182</w:delText>
        </w:r>
        <w:r>
          <w:delText>.</w:delText>
        </w:r>
        <w:r>
          <w:tab/>
          <w:delText>Section 5 amended</w:delText>
        </w:r>
      </w:del>
    </w:p>
    <w:p>
      <w:pPr>
        <w:pStyle w:val="nzSubsection"/>
        <w:rPr>
          <w:del w:id="910" w:author="svcMRProcess" w:date="2020-04-17T17:55:00Z"/>
        </w:rPr>
      </w:pPr>
      <w:del w:id="911" w:author="svcMRProcess" w:date="2020-04-17T17:55:00Z">
        <w:r>
          <w:tab/>
        </w:r>
        <w:r>
          <w:tab/>
          <w:delText>After section 5(1) insert:</w:delText>
        </w:r>
      </w:del>
    </w:p>
    <w:p>
      <w:pPr>
        <w:pStyle w:val="BlankOpen"/>
        <w:rPr>
          <w:del w:id="912" w:author="svcMRProcess" w:date="2020-04-17T17:55:00Z"/>
        </w:rPr>
      </w:pPr>
    </w:p>
    <w:p>
      <w:pPr>
        <w:pStyle w:val="nzSubsection"/>
        <w:rPr>
          <w:del w:id="913" w:author="svcMRProcess" w:date="2020-04-17T17:55:00Z"/>
        </w:rPr>
      </w:pPr>
      <w:del w:id="914" w:author="svcMRProcess" w:date="2020-04-17T17:55:00Z">
        <w:r>
          <w:tab/>
          <w:delText>(1A)</w:delText>
        </w:r>
        <w:r>
          <w:tab/>
          <w:delText xml:space="preserve">This Act does not apply to a residential tenancy agreement that is a strata lease, within the meaning of the </w:delText>
        </w:r>
        <w:r>
          <w:rPr>
            <w:i/>
            <w:snapToGrid w:val="0"/>
          </w:rPr>
          <w:delText>Strata Titles Act 1985</w:delText>
        </w:r>
        <w:r>
          <w:delText>.</w:delText>
        </w:r>
      </w:del>
    </w:p>
    <w:p>
      <w:pPr>
        <w:pStyle w:val="nzPermNoteHeading"/>
        <w:rPr>
          <w:del w:id="915" w:author="svcMRProcess" w:date="2020-04-17T17:55:00Z"/>
        </w:rPr>
      </w:pPr>
      <w:del w:id="916" w:author="svcMRProcess" w:date="2020-04-17T17:55:00Z">
        <w:r>
          <w:tab/>
          <w:delText>Note for this subsection:</w:delText>
        </w:r>
      </w:del>
    </w:p>
    <w:p>
      <w:pPr>
        <w:pStyle w:val="nzPermNoteText"/>
        <w:rPr>
          <w:del w:id="917" w:author="svcMRProcess" w:date="2020-04-17T17:55:00Z"/>
        </w:rPr>
      </w:pPr>
      <w:del w:id="918" w:author="svcMRProcess" w:date="2020-04-17T17:55:00Z">
        <w:r>
          <w:tab/>
        </w:r>
        <w:r>
          <w:tab/>
          <w:delText>This subsection does not affect the application of this Act to a residential tenancy agreement that is a sublease of a strata lease.</w:delText>
        </w:r>
      </w:del>
    </w:p>
    <w:p>
      <w:pPr>
        <w:pStyle w:val="BlankClose"/>
        <w:rPr>
          <w:del w:id="919" w:author="svcMRProcess" w:date="2020-04-17T17:55:00Z"/>
        </w:rPr>
      </w:pPr>
    </w:p>
    <w:p>
      <w:pPr>
        <w:pStyle w:val="BlankClose"/>
        <w:rPr>
          <w:del w:id="920" w:author="svcMRProcess" w:date="2020-04-17T17:55:00Z"/>
        </w:rPr>
      </w:pPr>
    </w:p>
    <w:p>
      <w:pPr>
        <w:pStyle w:val="nSubsection"/>
        <w:rPr>
          <w:del w:id="921" w:author="svcMRProcess" w:date="2020-04-17T17:55:00Z"/>
        </w:rPr>
      </w:pPr>
      <w:del w:id="922" w:author="svcMRProcess" w:date="2020-04-17T17:55:00Z">
        <w:r>
          <w:rPr>
            <w:vertAlign w:val="superscript"/>
          </w:rPr>
          <w:delText>9</w:delText>
        </w:r>
        <w:r>
          <w:tab/>
          <w:delText xml:space="preserve">On the date as at which this compilation was prepared, the </w:delText>
        </w:r>
        <w:r>
          <w:rPr>
            <w:i/>
          </w:rPr>
          <w:delText>Community Titles Act 2018</w:delText>
        </w:r>
        <w:r>
          <w:delText xml:space="preserve"> Pt. 14 Div. 18 had not come into operation.  It reads as follows:</w:delText>
        </w:r>
      </w:del>
    </w:p>
    <w:p>
      <w:pPr>
        <w:pStyle w:val="BlankOpen"/>
        <w:rPr>
          <w:del w:id="923" w:author="svcMRProcess" w:date="2020-04-17T17:55:00Z"/>
        </w:rPr>
      </w:pPr>
    </w:p>
    <w:p>
      <w:pPr>
        <w:pStyle w:val="nzHeading2"/>
        <w:rPr>
          <w:del w:id="924" w:author="svcMRProcess" w:date="2020-04-17T17:55:00Z"/>
        </w:rPr>
      </w:pPr>
      <w:del w:id="925" w:author="svcMRProcess" w:date="2020-04-17T17:55:00Z">
        <w:r>
          <w:rPr>
            <w:rStyle w:val="CharPartNo"/>
          </w:rPr>
          <w:delText>Part 14</w:delText>
        </w:r>
        <w:r>
          <w:delText> — </w:delText>
        </w:r>
        <w:r>
          <w:rPr>
            <w:rStyle w:val="CharPartText"/>
          </w:rPr>
          <w:delText>Other Acts amended</w:delText>
        </w:r>
      </w:del>
    </w:p>
    <w:p>
      <w:pPr>
        <w:pStyle w:val="nzHeading3"/>
        <w:rPr>
          <w:del w:id="926" w:author="svcMRProcess" w:date="2020-04-17T17:55:00Z"/>
        </w:rPr>
      </w:pPr>
      <w:del w:id="927" w:author="svcMRProcess" w:date="2020-04-17T17:55:00Z">
        <w:r>
          <w:rPr>
            <w:rStyle w:val="CharDivNo"/>
          </w:rPr>
          <w:delText>Division 18</w:delText>
        </w:r>
        <w:r>
          <w:delText> — </w:delText>
        </w:r>
        <w:r>
          <w:rPr>
            <w:rStyle w:val="CharDivText"/>
          </w:rPr>
          <w:delText>Residential Tenancies Act 1987 amended</w:delText>
        </w:r>
      </w:del>
    </w:p>
    <w:p>
      <w:pPr>
        <w:pStyle w:val="nzHeading5"/>
        <w:rPr>
          <w:del w:id="928" w:author="svcMRProcess" w:date="2020-04-17T17:55:00Z"/>
          <w:snapToGrid w:val="0"/>
        </w:rPr>
      </w:pPr>
      <w:del w:id="929" w:author="svcMRProcess" w:date="2020-04-17T17:55:00Z">
        <w:r>
          <w:rPr>
            <w:rStyle w:val="CharSectno"/>
          </w:rPr>
          <w:delText>236</w:delText>
        </w:r>
        <w:r>
          <w:rPr>
            <w:snapToGrid w:val="0"/>
          </w:rPr>
          <w:delText>.</w:delText>
        </w:r>
        <w:r>
          <w:rPr>
            <w:snapToGrid w:val="0"/>
          </w:rPr>
          <w:tab/>
          <w:delText>Act amended</w:delText>
        </w:r>
      </w:del>
    </w:p>
    <w:p>
      <w:pPr>
        <w:pStyle w:val="nzSubsection"/>
        <w:rPr>
          <w:del w:id="930" w:author="svcMRProcess" w:date="2020-04-17T17:55:00Z"/>
        </w:rPr>
      </w:pPr>
      <w:del w:id="931" w:author="svcMRProcess" w:date="2020-04-17T17:55:00Z">
        <w:r>
          <w:tab/>
        </w:r>
        <w:r>
          <w:tab/>
          <w:delText xml:space="preserve">This Division amends the </w:delText>
        </w:r>
        <w:r>
          <w:rPr>
            <w:i/>
          </w:rPr>
          <w:delText>Residential Tenancies Act 1987</w:delText>
        </w:r>
        <w:r>
          <w:delText>.</w:delText>
        </w:r>
      </w:del>
    </w:p>
    <w:p>
      <w:pPr>
        <w:pStyle w:val="nzHeading5"/>
        <w:rPr>
          <w:del w:id="932" w:author="svcMRProcess" w:date="2020-04-17T17:55:00Z"/>
          <w:snapToGrid w:val="0"/>
        </w:rPr>
      </w:pPr>
      <w:del w:id="933" w:author="svcMRProcess" w:date="2020-04-17T17:55:00Z">
        <w:r>
          <w:rPr>
            <w:rStyle w:val="CharSectno"/>
          </w:rPr>
          <w:delText>237</w:delText>
        </w:r>
        <w:r>
          <w:rPr>
            <w:snapToGrid w:val="0"/>
          </w:rPr>
          <w:delText>.</w:delText>
        </w:r>
        <w:r>
          <w:rPr>
            <w:snapToGrid w:val="0"/>
          </w:rPr>
          <w:tab/>
          <w:delText>Section 48 amended</w:delText>
        </w:r>
      </w:del>
    </w:p>
    <w:p>
      <w:pPr>
        <w:pStyle w:val="nzSubsection"/>
        <w:rPr>
          <w:del w:id="934" w:author="svcMRProcess" w:date="2020-04-17T17:55:00Z"/>
        </w:rPr>
      </w:pPr>
      <w:del w:id="935" w:author="svcMRProcess" w:date="2020-04-17T17:55:00Z">
        <w:r>
          <w:tab/>
        </w:r>
        <w:r>
          <w:tab/>
          <w:delText>Delete section 48(2) and insert:</w:delText>
        </w:r>
      </w:del>
    </w:p>
    <w:p>
      <w:pPr>
        <w:pStyle w:val="BlankOpen"/>
        <w:rPr>
          <w:del w:id="936" w:author="svcMRProcess" w:date="2020-04-17T17:55:00Z"/>
          <w:sz w:val="20"/>
          <w:szCs w:val="20"/>
        </w:rPr>
      </w:pPr>
    </w:p>
    <w:p>
      <w:pPr>
        <w:pStyle w:val="nzSubsection"/>
        <w:rPr>
          <w:del w:id="937" w:author="svcMRProcess" w:date="2020-04-17T17:55:00Z"/>
        </w:rPr>
      </w:pPr>
      <w:del w:id="938" w:author="svcMRProcess" w:date="2020-04-17T17:55:00Z">
        <w:r>
          <w:tab/>
          <w:delText>(2)</w:delText>
        </w:r>
        <w:r>
          <w:tab/>
          <w:delText xml:space="preserve">It is a term of every residential tenancy agreement that contributions payable to a community corporation under the </w:delText>
        </w:r>
        <w:r>
          <w:rPr>
            <w:i/>
          </w:rPr>
          <w:delText>Community Titles Act 2018</w:delText>
        </w:r>
        <w:r>
          <w:delText xml:space="preserve"> or a strata company under the </w:delText>
        </w:r>
        <w:r>
          <w:rPr>
            <w:i/>
          </w:rPr>
          <w:delText>Strata Titles Act 1985</w:delText>
        </w:r>
        <w:r>
          <w:delText xml:space="preserve"> cannot be passed on to a tenant.</w:delText>
        </w:r>
      </w:del>
    </w:p>
    <w:p>
      <w:pPr>
        <w:pStyle w:val="BlankClose"/>
        <w:rPr>
          <w:del w:id="939" w:author="svcMRProcess" w:date="2020-04-17T17:55:00Z"/>
          <w:sz w:val="20"/>
          <w:szCs w:val="20"/>
        </w:rPr>
      </w:pPr>
    </w:p>
    <w:p>
      <w:pPr>
        <w:pStyle w:val="nSubsection"/>
        <w:rPr>
          <w:del w:id="940" w:author="svcMRProcess" w:date="2020-04-17T17:55:00Z"/>
          <w:snapToGrid w:val="0"/>
        </w:rPr>
      </w:pPr>
      <w:del w:id="941" w:author="svcMRProcess" w:date="2020-04-17T17:55:00Z">
        <w:r>
          <w:rPr>
            <w:vertAlign w:val="superscript"/>
          </w:rPr>
          <w:delText>10</w:delText>
        </w:r>
        <w:r>
          <w:tab/>
          <w:delText>On the date as at which this compilation was prepared</w:delText>
        </w:r>
        <w:r>
          <w:rPr>
            <w:i/>
          </w:rPr>
          <w:delText xml:space="preserve"> </w:delText>
        </w:r>
        <w:r>
          <w:delText xml:space="preserve">the </w:delText>
        </w:r>
        <w:r>
          <w:rPr>
            <w:i/>
          </w:rPr>
          <w:delText xml:space="preserve">Consumer Protection Legislation Amendment Act 2019 </w:delText>
        </w:r>
        <w:r>
          <w:delText xml:space="preserve">Pt. 9 (other than s. 67) </w:delText>
        </w:r>
        <w:r>
          <w:rPr>
            <w:snapToGrid w:val="0"/>
          </w:rPr>
          <w:delText>had not come into operation.  It reads as follows:</w:delText>
        </w:r>
      </w:del>
    </w:p>
    <w:p>
      <w:pPr>
        <w:pStyle w:val="BlankClose"/>
        <w:rPr>
          <w:del w:id="942" w:author="svcMRProcess" w:date="2020-04-17T17:55:00Z"/>
          <w:sz w:val="20"/>
          <w:szCs w:val="20"/>
        </w:rPr>
      </w:pPr>
    </w:p>
    <w:p>
      <w:pPr>
        <w:pStyle w:val="nzHeading2"/>
        <w:rPr>
          <w:del w:id="943" w:author="svcMRProcess" w:date="2020-04-17T17:55:00Z"/>
        </w:rPr>
      </w:pPr>
      <w:del w:id="944" w:author="svcMRProcess" w:date="2020-04-17T17:55:00Z">
        <w:r>
          <w:rPr>
            <w:rStyle w:val="CharPartNo"/>
          </w:rPr>
          <w:delText>Part 9</w:delText>
        </w:r>
        <w:r>
          <w:rPr>
            <w:rStyle w:val="CharDivNo"/>
          </w:rPr>
          <w:delText> </w:delText>
        </w:r>
        <w:r>
          <w:delText>—</w:delText>
        </w:r>
        <w:r>
          <w:rPr>
            <w:rStyle w:val="CharDivText"/>
          </w:rPr>
          <w:delText> </w:delText>
        </w:r>
        <w:r>
          <w:rPr>
            <w:rStyle w:val="CharPartText"/>
            <w:i/>
          </w:rPr>
          <w:delText>Residential Tenancies Act 1987</w:delText>
        </w:r>
        <w:r>
          <w:rPr>
            <w:rStyle w:val="CharPartText"/>
          </w:rPr>
          <w:delText xml:space="preserve"> amended</w:delText>
        </w:r>
      </w:del>
    </w:p>
    <w:p>
      <w:pPr>
        <w:pStyle w:val="nzHeading5"/>
        <w:rPr>
          <w:del w:id="945" w:author="svcMRProcess" w:date="2020-04-17T17:55:00Z"/>
        </w:rPr>
      </w:pPr>
      <w:del w:id="946" w:author="svcMRProcess" w:date="2020-04-17T17:55:00Z">
        <w:r>
          <w:rPr>
            <w:rStyle w:val="CharSectno"/>
          </w:rPr>
          <w:delText>63</w:delText>
        </w:r>
        <w:r>
          <w:delText>.</w:delText>
        </w:r>
        <w:r>
          <w:tab/>
          <w:delText>Act amended</w:delText>
        </w:r>
      </w:del>
    </w:p>
    <w:p>
      <w:pPr>
        <w:pStyle w:val="nzSubsection"/>
        <w:rPr>
          <w:del w:id="947" w:author="svcMRProcess" w:date="2020-04-17T17:55:00Z"/>
        </w:rPr>
      </w:pPr>
      <w:del w:id="948" w:author="svcMRProcess" w:date="2020-04-17T17:55:00Z">
        <w:r>
          <w:tab/>
        </w:r>
        <w:r>
          <w:tab/>
          <w:delText xml:space="preserve">This Part amends the </w:delText>
        </w:r>
        <w:r>
          <w:rPr>
            <w:i/>
          </w:rPr>
          <w:delText>Residential Tenancies Act 1987</w:delText>
        </w:r>
        <w:r>
          <w:delText>.</w:delText>
        </w:r>
      </w:del>
    </w:p>
    <w:p>
      <w:pPr>
        <w:pStyle w:val="nzHeading5"/>
        <w:rPr>
          <w:del w:id="949" w:author="svcMRProcess" w:date="2020-04-17T17:55:00Z"/>
        </w:rPr>
      </w:pPr>
      <w:del w:id="950" w:author="svcMRProcess" w:date="2020-04-17T17:55:00Z">
        <w:r>
          <w:rPr>
            <w:rStyle w:val="CharSectno"/>
          </w:rPr>
          <w:delText>64</w:delText>
        </w:r>
        <w:r>
          <w:delText>.</w:delText>
        </w:r>
        <w:r>
          <w:tab/>
          <w:delText>Section 3 amended</w:delText>
        </w:r>
      </w:del>
    </w:p>
    <w:p>
      <w:pPr>
        <w:pStyle w:val="nzSubsection"/>
        <w:rPr>
          <w:del w:id="951" w:author="svcMRProcess" w:date="2020-04-17T17:55:00Z"/>
        </w:rPr>
      </w:pPr>
      <w:del w:id="952" w:author="svcMRProcess" w:date="2020-04-17T17:55:00Z">
        <w:r>
          <w:tab/>
        </w:r>
        <w:r>
          <w:tab/>
          <w:delText>In section 3 insert in alphabetical order:</w:delText>
        </w:r>
      </w:del>
    </w:p>
    <w:p>
      <w:pPr>
        <w:pStyle w:val="BlankOpen"/>
        <w:rPr>
          <w:del w:id="953" w:author="svcMRProcess" w:date="2020-04-17T17:55:00Z"/>
        </w:rPr>
      </w:pPr>
    </w:p>
    <w:p>
      <w:pPr>
        <w:pStyle w:val="nzDefstart"/>
        <w:rPr>
          <w:del w:id="954" w:author="svcMRProcess" w:date="2020-04-17T17:55:00Z"/>
        </w:rPr>
      </w:pPr>
      <w:del w:id="955" w:author="svcMRProcess" w:date="2020-04-17T17:55:00Z">
        <w:r>
          <w:tab/>
        </w:r>
        <w:r>
          <w:rPr>
            <w:rStyle w:val="CharDefText"/>
          </w:rPr>
          <w:delText>common area</w:delText>
        </w:r>
        <w:r>
          <w:delText xml:space="preserve"> — </w:delText>
        </w:r>
      </w:del>
    </w:p>
    <w:p>
      <w:pPr>
        <w:pStyle w:val="nzDefpara"/>
        <w:rPr>
          <w:del w:id="956" w:author="svcMRProcess" w:date="2020-04-17T17:55:00Z"/>
        </w:rPr>
      </w:pPr>
      <w:del w:id="957" w:author="svcMRProcess" w:date="2020-04-17T17:55:00Z">
        <w:r>
          <w:tab/>
          <w:delText>(a)</w:delText>
        </w:r>
        <w:r>
          <w:tab/>
          <w:delText>means an area accessible to, or provided for the common use of, tenants; and</w:delText>
        </w:r>
      </w:del>
    </w:p>
    <w:p>
      <w:pPr>
        <w:pStyle w:val="nzDefpara"/>
        <w:rPr>
          <w:del w:id="958" w:author="svcMRProcess" w:date="2020-04-17T17:55:00Z"/>
        </w:rPr>
      </w:pPr>
      <w:del w:id="959" w:author="svcMRProcess" w:date="2020-04-17T17:55:00Z">
        <w:r>
          <w:tab/>
          <w:delText>(b)</w:delText>
        </w:r>
        <w:r>
          <w:tab/>
          <w:delText xml:space="preserve">includes common property (as defined in the </w:delText>
        </w:r>
        <w:r>
          <w:rPr>
            <w:i/>
          </w:rPr>
          <w:delText>Strata Titles Act 1985</w:delText>
        </w:r>
        <w:r>
          <w:delText xml:space="preserve"> section 3) of a strata scheme or survey strata scheme;</w:delText>
        </w:r>
      </w:del>
    </w:p>
    <w:p>
      <w:pPr>
        <w:pStyle w:val="BlankClose"/>
        <w:rPr>
          <w:del w:id="960" w:author="svcMRProcess" w:date="2020-04-17T17:55:00Z"/>
        </w:rPr>
      </w:pPr>
    </w:p>
    <w:p>
      <w:pPr>
        <w:pStyle w:val="nzHeading5"/>
        <w:rPr>
          <w:del w:id="961" w:author="svcMRProcess" w:date="2020-04-17T17:55:00Z"/>
        </w:rPr>
      </w:pPr>
      <w:del w:id="962" w:author="svcMRProcess" w:date="2020-04-17T17:55:00Z">
        <w:r>
          <w:rPr>
            <w:rStyle w:val="CharSectno"/>
          </w:rPr>
          <w:delText>65</w:delText>
        </w:r>
        <w:r>
          <w:delText>.</w:delText>
        </w:r>
        <w:r>
          <w:tab/>
          <w:delText>Section 22 amended</w:delText>
        </w:r>
      </w:del>
    </w:p>
    <w:p>
      <w:pPr>
        <w:pStyle w:val="nzSubsection"/>
        <w:rPr>
          <w:del w:id="963" w:author="svcMRProcess" w:date="2020-04-17T17:55:00Z"/>
        </w:rPr>
      </w:pPr>
      <w:del w:id="964" w:author="svcMRProcess" w:date="2020-04-17T17:55:00Z">
        <w:r>
          <w:tab/>
          <w:delText>(1)</w:delText>
        </w:r>
        <w:r>
          <w:tab/>
          <w:delText>Delete section 22(2) and insert:</w:delText>
        </w:r>
      </w:del>
    </w:p>
    <w:p>
      <w:pPr>
        <w:pStyle w:val="BlankOpen"/>
        <w:rPr>
          <w:del w:id="965" w:author="svcMRProcess" w:date="2020-04-17T17:55:00Z"/>
        </w:rPr>
      </w:pPr>
    </w:p>
    <w:p>
      <w:pPr>
        <w:pStyle w:val="nzSubsection"/>
        <w:rPr>
          <w:del w:id="966" w:author="svcMRProcess" w:date="2020-04-17T17:55:00Z"/>
        </w:rPr>
      </w:pPr>
      <w:del w:id="967" w:author="svcMRProcess" w:date="2020-04-17T17:55:00Z">
        <w:r>
          <w:tab/>
          <w:delText>(2)</w:delText>
        </w:r>
        <w:r>
          <w:tab/>
          <w:delText xml:space="preserve">A party to any proceedings may be represented or assisted by an agent in the presentation of the party’s case if — </w:delText>
        </w:r>
      </w:del>
    </w:p>
    <w:p>
      <w:pPr>
        <w:pStyle w:val="nzIndenta"/>
        <w:rPr>
          <w:del w:id="968" w:author="svcMRProcess" w:date="2020-04-17T17:55:00Z"/>
        </w:rPr>
      </w:pPr>
      <w:del w:id="969" w:author="svcMRProcess" w:date="2020-04-17T17:55:00Z">
        <w:r>
          <w:tab/>
          <w:delText>(a)</w:delText>
        </w:r>
        <w:r>
          <w:tab/>
          <w:delText xml:space="preserve">the agent is authorised by the party to do so and is — </w:delText>
        </w:r>
      </w:del>
    </w:p>
    <w:p>
      <w:pPr>
        <w:pStyle w:val="nzIndenti"/>
        <w:rPr>
          <w:del w:id="970" w:author="svcMRProcess" w:date="2020-04-17T17:55:00Z"/>
        </w:rPr>
      </w:pPr>
      <w:del w:id="971" w:author="svcMRProcess" w:date="2020-04-17T17:55:00Z">
        <w:r>
          <w:tab/>
          <w:delText>(i)</w:delText>
        </w:r>
        <w:r>
          <w:tab/>
          <w:delText>the property manager of the premises the subject of the proceedings; or</w:delText>
        </w:r>
      </w:del>
    </w:p>
    <w:p>
      <w:pPr>
        <w:pStyle w:val="nzIndenti"/>
        <w:rPr>
          <w:del w:id="972" w:author="svcMRProcess" w:date="2020-04-17T17:55:00Z"/>
        </w:rPr>
      </w:pPr>
      <w:del w:id="973" w:author="svcMRProcess" w:date="2020-04-17T17:55:00Z">
        <w:r>
          <w:tab/>
          <w:delText>(ii)</w:delText>
        </w:r>
        <w:r>
          <w:tab/>
          <w:delText>employed or engaged by a non</w:delText>
        </w:r>
        <w:r>
          <w:noBreakHyphen/>
          <w:delText>profit association or similar body to act as an advocate for tenants or lessors in proceedings;</w:delText>
        </w:r>
      </w:del>
    </w:p>
    <w:p>
      <w:pPr>
        <w:pStyle w:val="nzIndenta"/>
        <w:rPr>
          <w:del w:id="974" w:author="svcMRProcess" w:date="2020-04-17T17:55:00Z"/>
        </w:rPr>
      </w:pPr>
      <w:del w:id="975" w:author="svcMRProcess" w:date="2020-04-17T17:55:00Z">
        <w:r>
          <w:tab/>
        </w:r>
        <w:r>
          <w:tab/>
          <w:delText>or</w:delText>
        </w:r>
      </w:del>
    </w:p>
    <w:p>
      <w:pPr>
        <w:pStyle w:val="nzIndenta"/>
        <w:keepNext/>
        <w:rPr>
          <w:del w:id="976" w:author="svcMRProcess" w:date="2020-04-17T17:55:00Z"/>
        </w:rPr>
      </w:pPr>
      <w:del w:id="977" w:author="svcMRProcess" w:date="2020-04-17T17:55:00Z">
        <w:r>
          <w:tab/>
          <w:delText>(b)</w:delText>
        </w:r>
        <w:r>
          <w:tab/>
          <w:delText>the court makes an order under subsection (3C).</w:delText>
        </w:r>
      </w:del>
    </w:p>
    <w:p>
      <w:pPr>
        <w:pStyle w:val="BlankClose"/>
        <w:rPr>
          <w:del w:id="978" w:author="svcMRProcess" w:date="2020-04-17T17:55:00Z"/>
        </w:rPr>
      </w:pPr>
    </w:p>
    <w:p>
      <w:pPr>
        <w:pStyle w:val="nzSubsection"/>
        <w:rPr>
          <w:del w:id="979" w:author="svcMRProcess" w:date="2020-04-17T17:55:00Z"/>
        </w:rPr>
      </w:pPr>
      <w:del w:id="980" w:author="svcMRProcess" w:date="2020-04-17T17:55:00Z">
        <w:r>
          <w:tab/>
          <w:delText>(2)</w:delText>
        </w:r>
        <w:r>
          <w:tab/>
          <w:delText>In section 22(3A) after “authorisation” insert:</w:delText>
        </w:r>
      </w:del>
    </w:p>
    <w:p>
      <w:pPr>
        <w:pStyle w:val="BlankOpen"/>
        <w:rPr>
          <w:del w:id="981" w:author="svcMRProcess" w:date="2020-04-17T17:55:00Z"/>
        </w:rPr>
      </w:pPr>
    </w:p>
    <w:p>
      <w:pPr>
        <w:pStyle w:val="nzSubsection"/>
        <w:rPr>
          <w:del w:id="982" w:author="svcMRProcess" w:date="2020-04-17T17:55:00Z"/>
        </w:rPr>
      </w:pPr>
      <w:del w:id="983" w:author="svcMRProcess" w:date="2020-04-17T17:55:00Z">
        <w:r>
          <w:tab/>
        </w:r>
        <w:r>
          <w:tab/>
          <w:delText>mentioned in subsection (2)(a)</w:delText>
        </w:r>
      </w:del>
    </w:p>
    <w:p>
      <w:pPr>
        <w:pStyle w:val="BlankClose"/>
        <w:rPr>
          <w:del w:id="984" w:author="svcMRProcess" w:date="2020-04-17T17:55:00Z"/>
        </w:rPr>
      </w:pPr>
    </w:p>
    <w:p>
      <w:pPr>
        <w:pStyle w:val="nzSubsection"/>
        <w:rPr>
          <w:del w:id="985" w:author="svcMRProcess" w:date="2020-04-17T17:55:00Z"/>
        </w:rPr>
      </w:pPr>
      <w:del w:id="986" w:author="svcMRProcess" w:date="2020-04-17T17:55:00Z">
        <w:r>
          <w:tab/>
          <w:delText>(3)</w:delText>
        </w:r>
        <w:r>
          <w:tab/>
          <w:delText>After section 22(3A) insert:</w:delText>
        </w:r>
      </w:del>
    </w:p>
    <w:p>
      <w:pPr>
        <w:pStyle w:val="BlankOpen"/>
        <w:rPr>
          <w:del w:id="987" w:author="svcMRProcess" w:date="2020-04-17T17:55:00Z"/>
        </w:rPr>
      </w:pPr>
    </w:p>
    <w:p>
      <w:pPr>
        <w:pStyle w:val="nzSubsection"/>
        <w:rPr>
          <w:del w:id="988" w:author="svcMRProcess" w:date="2020-04-17T17:55:00Z"/>
        </w:rPr>
      </w:pPr>
      <w:del w:id="989" w:author="svcMRProcess" w:date="2020-04-17T17:55:00Z">
        <w:r>
          <w:tab/>
          <w:delText>(3B)</w:delText>
        </w:r>
        <w:r>
          <w:tab/>
          <w:delText xml:space="preserve">Without limiting how an agent representing or assisting a party under subsection (2)(a) may represent or assist the party, the agent may initiate proceedings on behalf of the party. </w:delText>
        </w:r>
      </w:del>
    </w:p>
    <w:p>
      <w:pPr>
        <w:pStyle w:val="nzSubsection"/>
        <w:rPr>
          <w:del w:id="990" w:author="svcMRProcess" w:date="2020-04-17T17:55:00Z"/>
        </w:rPr>
      </w:pPr>
      <w:del w:id="991" w:author="svcMRProcess" w:date="2020-04-17T17:55:00Z">
        <w:r>
          <w:tab/>
          <w:delText>(3C)</w:delText>
        </w:r>
        <w:r>
          <w:tab/>
          <w:delText xml:space="preserve">The court may order that a party to proceedings may be represented or assisted by an agent in the presentation of the party’s case if the court hearing the proceeding is satisfied that — </w:delText>
        </w:r>
      </w:del>
    </w:p>
    <w:p>
      <w:pPr>
        <w:pStyle w:val="nzIndenta"/>
        <w:rPr>
          <w:del w:id="992" w:author="svcMRProcess" w:date="2020-04-17T17:55:00Z"/>
        </w:rPr>
      </w:pPr>
      <w:del w:id="993" w:author="svcMRProcess" w:date="2020-04-17T17:55:00Z">
        <w:r>
          <w:tab/>
          <w:delText>(a)</w:delText>
        </w:r>
        <w:r>
          <w:tab/>
          <w:delText>the party is unable to appear personally or conduct the proceedings on the party’s own behalf; and</w:delText>
        </w:r>
      </w:del>
    </w:p>
    <w:p>
      <w:pPr>
        <w:pStyle w:val="nzIndenta"/>
        <w:rPr>
          <w:del w:id="994" w:author="svcMRProcess" w:date="2020-04-17T17:55:00Z"/>
        </w:rPr>
      </w:pPr>
      <w:del w:id="995" w:author="svcMRProcess" w:date="2020-04-17T17:55:00Z">
        <w:r>
          <w:tab/>
          <w:delText>(b)</w:delText>
        </w:r>
        <w:r>
          <w:tab/>
          <w:delText>another party to the proceedings will not be disadvantaged by the party being represented by, or assisted by, the agent.</w:delText>
        </w:r>
      </w:del>
    </w:p>
    <w:p>
      <w:pPr>
        <w:pStyle w:val="BlankClose"/>
        <w:rPr>
          <w:del w:id="996" w:author="svcMRProcess" w:date="2020-04-17T17:55:00Z"/>
        </w:rPr>
      </w:pPr>
    </w:p>
    <w:p>
      <w:pPr>
        <w:pStyle w:val="nzHeading5"/>
        <w:rPr>
          <w:del w:id="997" w:author="svcMRProcess" w:date="2020-04-17T17:55:00Z"/>
        </w:rPr>
      </w:pPr>
      <w:del w:id="998" w:author="svcMRProcess" w:date="2020-04-17T17:55:00Z">
        <w:r>
          <w:rPr>
            <w:rStyle w:val="CharSectno"/>
          </w:rPr>
          <w:delText>66</w:delText>
        </w:r>
        <w:r>
          <w:delText>.</w:delText>
        </w:r>
        <w:r>
          <w:tab/>
          <w:delText>Section 38 amended</w:delText>
        </w:r>
      </w:del>
    </w:p>
    <w:p>
      <w:pPr>
        <w:pStyle w:val="nzSubsection"/>
        <w:rPr>
          <w:del w:id="999" w:author="svcMRProcess" w:date="2020-04-17T17:55:00Z"/>
        </w:rPr>
      </w:pPr>
      <w:del w:id="1000" w:author="svcMRProcess" w:date="2020-04-17T17:55:00Z">
        <w:r>
          <w:tab/>
        </w:r>
        <w:r>
          <w:tab/>
          <w:delText>In section 38(1)(c) delete “premises.” and insert:</w:delText>
        </w:r>
      </w:del>
    </w:p>
    <w:p>
      <w:pPr>
        <w:pStyle w:val="BlankOpen"/>
        <w:rPr>
          <w:del w:id="1001" w:author="svcMRProcess" w:date="2020-04-17T17:55:00Z"/>
        </w:rPr>
      </w:pPr>
    </w:p>
    <w:p>
      <w:pPr>
        <w:pStyle w:val="nzSubsection"/>
        <w:rPr>
          <w:del w:id="1002" w:author="svcMRProcess" w:date="2020-04-17T17:55:00Z"/>
          <w:snapToGrid w:val="0"/>
        </w:rPr>
      </w:pPr>
      <w:del w:id="1003" w:author="svcMRProcess" w:date="2020-04-17T17:55:00Z">
        <w:r>
          <w:rPr>
            <w:snapToGrid w:val="0"/>
          </w:rPr>
          <w:tab/>
        </w:r>
        <w:r>
          <w:rPr>
            <w:snapToGrid w:val="0"/>
          </w:rPr>
          <w:tab/>
          <w:delText xml:space="preserve">premises or, where relevant, a </w:delText>
        </w:r>
        <w:r>
          <w:delText>common area or chattels in the common area.</w:delText>
        </w:r>
      </w:del>
    </w:p>
    <w:p>
      <w:pPr>
        <w:pStyle w:val="BlankClose"/>
        <w:rPr>
          <w:del w:id="1004" w:author="svcMRProcess" w:date="2020-04-17T17:55:00Z"/>
        </w:rPr>
      </w:pPr>
    </w:p>
    <w:p>
      <w:pPr>
        <w:pStyle w:val="nzHeading5"/>
        <w:rPr>
          <w:del w:id="1005" w:author="svcMRProcess" w:date="2020-04-17T17:55:00Z"/>
        </w:rPr>
      </w:pPr>
      <w:del w:id="1006" w:author="svcMRProcess" w:date="2020-04-17T17:55:00Z">
        <w:r>
          <w:rPr>
            <w:rStyle w:val="CharSectno"/>
          </w:rPr>
          <w:delText>68</w:delText>
        </w:r>
        <w:r>
          <w:delText>.</w:delText>
        </w:r>
        <w:r>
          <w:tab/>
          <w:delText>Section 49A amended</w:delText>
        </w:r>
      </w:del>
    </w:p>
    <w:p>
      <w:pPr>
        <w:pStyle w:val="nzSubsection"/>
        <w:rPr>
          <w:del w:id="1007" w:author="svcMRProcess" w:date="2020-04-17T17:55:00Z"/>
        </w:rPr>
      </w:pPr>
      <w:del w:id="1008" w:author="svcMRProcess" w:date="2020-04-17T17:55:00Z">
        <w:r>
          <w:tab/>
          <w:delText>(1)</w:delText>
        </w:r>
        <w:r>
          <w:tab/>
          <w:delText>In section 49A(1) insert in alphabetical order:</w:delText>
        </w:r>
      </w:del>
    </w:p>
    <w:p>
      <w:pPr>
        <w:pStyle w:val="BlankOpen"/>
        <w:rPr>
          <w:del w:id="1009" w:author="svcMRProcess" w:date="2020-04-17T17:55:00Z"/>
        </w:rPr>
      </w:pPr>
    </w:p>
    <w:p>
      <w:pPr>
        <w:pStyle w:val="nzDefstart"/>
        <w:rPr>
          <w:del w:id="1010" w:author="svcMRProcess" w:date="2020-04-17T17:55:00Z"/>
        </w:rPr>
      </w:pPr>
      <w:del w:id="1011" w:author="svcMRProcess" w:date="2020-04-17T17:55:00Z">
        <w:r>
          <w:tab/>
        </w:r>
        <w:r>
          <w:rPr>
            <w:rStyle w:val="CharDefText"/>
          </w:rPr>
          <w:delText>consumption</w:delText>
        </w:r>
        <w:r>
          <w:delText>, in relation to a public utility service, means consumption of the utility that is calculated by metered unit;</w:delText>
        </w:r>
      </w:del>
    </w:p>
    <w:p>
      <w:pPr>
        <w:pStyle w:val="nzDefstart"/>
        <w:rPr>
          <w:del w:id="1012" w:author="svcMRProcess" w:date="2020-04-17T17:55:00Z"/>
        </w:rPr>
      </w:pPr>
      <w:del w:id="1013" w:author="svcMRProcess" w:date="2020-04-17T17:55:00Z">
        <w:r>
          <w:tab/>
        </w:r>
        <w:r>
          <w:rPr>
            <w:rStyle w:val="CharDefText"/>
          </w:rPr>
          <w:delText>strata company</w:delText>
        </w:r>
        <w:r>
          <w:delText xml:space="preserve"> has the meaning given in the </w:delText>
        </w:r>
        <w:r>
          <w:rPr>
            <w:i/>
          </w:rPr>
          <w:delText>Strata Titles Act 1985</w:delText>
        </w:r>
        <w:r>
          <w:delText xml:space="preserve"> section 3(1).</w:delText>
        </w:r>
      </w:del>
    </w:p>
    <w:p>
      <w:pPr>
        <w:pStyle w:val="BlankClose"/>
        <w:rPr>
          <w:del w:id="1014" w:author="svcMRProcess" w:date="2020-04-17T17:55:00Z"/>
        </w:rPr>
      </w:pPr>
    </w:p>
    <w:p>
      <w:pPr>
        <w:pStyle w:val="nzSubsection"/>
        <w:rPr>
          <w:del w:id="1015" w:author="svcMRProcess" w:date="2020-04-17T17:55:00Z"/>
        </w:rPr>
      </w:pPr>
      <w:del w:id="1016" w:author="svcMRProcess" w:date="2020-04-17T17:55:00Z">
        <w:r>
          <w:tab/>
          <w:delText>(2)</w:delText>
        </w:r>
        <w:r>
          <w:tab/>
          <w:delText xml:space="preserve">In section 49A(1) in the definition of </w:delText>
        </w:r>
        <w:r>
          <w:rPr>
            <w:rStyle w:val="CharDefText"/>
          </w:rPr>
          <w:delText>public utility services</w:delText>
        </w:r>
        <w:r>
          <w:delText xml:space="preserve"> delete “3(1).” and insert:</w:delText>
        </w:r>
      </w:del>
    </w:p>
    <w:p>
      <w:pPr>
        <w:pStyle w:val="BlankOpen"/>
        <w:rPr>
          <w:del w:id="1017" w:author="svcMRProcess" w:date="2020-04-17T17:55:00Z"/>
        </w:rPr>
      </w:pPr>
    </w:p>
    <w:p>
      <w:pPr>
        <w:pStyle w:val="nzSubsection"/>
        <w:rPr>
          <w:del w:id="1018" w:author="svcMRProcess" w:date="2020-04-17T17:55:00Z"/>
        </w:rPr>
      </w:pPr>
      <w:del w:id="1019" w:author="svcMRProcess" w:date="2020-04-17T17:55:00Z">
        <w:r>
          <w:tab/>
        </w:r>
        <w:r>
          <w:tab/>
          <w:delText>3(1);</w:delText>
        </w:r>
      </w:del>
    </w:p>
    <w:p>
      <w:pPr>
        <w:pStyle w:val="BlankClose"/>
        <w:rPr>
          <w:del w:id="1020" w:author="svcMRProcess" w:date="2020-04-17T17:55:00Z"/>
        </w:rPr>
      </w:pPr>
    </w:p>
    <w:p>
      <w:pPr>
        <w:pStyle w:val="nzSubsection"/>
        <w:rPr>
          <w:del w:id="1021" w:author="svcMRProcess" w:date="2020-04-17T17:55:00Z"/>
        </w:rPr>
      </w:pPr>
      <w:del w:id="1022" w:author="svcMRProcess" w:date="2020-04-17T17:55:00Z">
        <w:r>
          <w:tab/>
          <w:delText>(3)</w:delText>
        </w:r>
        <w:r>
          <w:tab/>
          <w:delText>Delete section 49A(2) and insert:</w:delText>
        </w:r>
      </w:del>
    </w:p>
    <w:p>
      <w:pPr>
        <w:pStyle w:val="BlankOpen"/>
        <w:rPr>
          <w:del w:id="1023" w:author="svcMRProcess" w:date="2020-04-17T17:55:00Z"/>
        </w:rPr>
      </w:pPr>
    </w:p>
    <w:p>
      <w:pPr>
        <w:pStyle w:val="nzSubsection"/>
        <w:rPr>
          <w:del w:id="1024" w:author="svcMRProcess" w:date="2020-04-17T17:55:00Z"/>
        </w:rPr>
      </w:pPr>
      <w:del w:id="1025" w:author="svcMRProcess" w:date="2020-04-17T17:55:00Z">
        <w:r>
          <w:tab/>
          <w:delText>(2)</w:delText>
        </w:r>
        <w:r>
          <w:tab/>
          <w:delText xml:space="preserve">It is a term of every residential tenancy agreement that subsections (3) to (5) are terms of the agreement if — </w:delText>
        </w:r>
      </w:del>
    </w:p>
    <w:p>
      <w:pPr>
        <w:pStyle w:val="nzIndenta"/>
        <w:rPr>
          <w:del w:id="1026" w:author="svcMRProcess" w:date="2020-04-17T17:55:00Z"/>
        </w:rPr>
      </w:pPr>
      <w:del w:id="1027" w:author="svcMRProcess" w:date="2020-04-17T17:55:00Z">
        <w:r>
          <w:tab/>
          <w:delText>(a)</w:delText>
        </w:r>
        <w:r>
          <w:tab/>
          <w:delText xml:space="preserve">a public utility service is provided in relation to the premises the subject of the agreement; and </w:delText>
        </w:r>
      </w:del>
    </w:p>
    <w:p>
      <w:pPr>
        <w:pStyle w:val="nzIndenta"/>
        <w:rPr>
          <w:del w:id="1028" w:author="svcMRProcess" w:date="2020-04-17T17:55:00Z"/>
        </w:rPr>
      </w:pPr>
      <w:del w:id="1029" w:author="svcMRProcess" w:date="2020-04-17T17:55:00Z">
        <w:r>
          <w:tab/>
          <w:delText>(b)</w:delText>
        </w:r>
        <w:r>
          <w:tab/>
          <w:delText>the public utility service is provided under a contract between the provider of the public utility service and the lessor or a strata company.</w:delText>
        </w:r>
      </w:del>
    </w:p>
    <w:p>
      <w:pPr>
        <w:pStyle w:val="nzSubsection"/>
        <w:rPr>
          <w:del w:id="1030" w:author="svcMRProcess" w:date="2020-04-17T17:55:00Z"/>
        </w:rPr>
      </w:pPr>
      <w:del w:id="1031" w:author="svcMRProcess" w:date="2020-04-17T17:55:00Z">
        <w:r>
          <w:tab/>
          <w:delText>(3)</w:delText>
        </w:r>
        <w:r>
          <w:tab/>
          <w:delText xml:space="preserve">The tenant must pay a charge for the provision of the service only if — </w:delText>
        </w:r>
      </w:del>
    </w:p>
    <w:p>
      <w:pPr>
        <w:pStyle w:val="nzIndenta"/>
        <w:rPr>
          <w:del w:id="1032" w:author="svcMRProcess" w:date="2020-04-17T17:55:00Z"/>
        </w:rPr>
      </w:pPr>
      <w:del w:id="1033" w:author="svcMRProcess" w:date="2020-04-17T17:55:00Z">
        <w:r>
          <w:tab/>
          <w:delText>(a)</w:delText>
        </w:r>
        <w:r>
          <w:tab/>
          <w:delText xml:space="preserve">the charge is for the tenant’s consumption of the utility at the premises; and </w:delText>
        </w:r>
      </w:del>
    </w:p>
    <w:p>
      <w:pPr>
        <w:pStyle w:val="nzIndenta"/>
        <w:rPr>
          <w:del w:id="1034" w:author="svcMRProcess" w:date="2020-04-17T17:55:00Z"/>
        </w:rPr>
      </w:pPr>
      <w:del w:id="1035" w:author="svcMRProcess" w:date="2020-04-17T17:55:00Z">
        <w:r>
          <w:tab/>
          <w:delText>(b)</w:delText>
        </w:r>
        <w:r>
          <w:tab/>
          <w:delText xml:space="preserve">either — </w:delText>
        </w:r>
      </w:del>
    </w:p>
    <w:p>
      <w:pPr>
        <w:pStyle w:val="nzIndenti"/>
        <w:rPr>
          <w:del w:id="1036" w:author="svcMRProcess" w:date="2020-04-17T17:55:00Z"/>
        </w:rPr>
      </w:pPr>
      <w:del w:id="1037" w:author="svcMRProcess" w:date="2020-04-17T17:55:00Z">
        <w:r>
          <w:tab/>
          <w:delText>(i)</w:delText>
        </w:r>
        <w:r>
          <w:tab/>
          <w:delText>the tenant’s consumption of the utility is separately metered; or</w:delText>
        </w:r>
      </w:del>
    </w:p>
    <w:p>
      <w:pPr>
        <w:pStyle w:val="nzIndenti"/>
        <w:rPr>
          <w:del w:id="1038" w:author="svcMRProcess" w:date="2020-04-17T17:55:00Z"/>
        </w:rPr>
      </w:pPr>
      <w:del w:id="1039" w:author="svcMRProcess" w:date="2020-04-17T17:55:00Z">
        <w:r>
          <w:tab/>
          <w:delText>(ii)</w:delText>
        </w:r>
        <w:r>
          <w:tab/>
          <w:delText>although consumption at the premises is not separately metered, the charge is calculated in accordance with a method previously agreed to in writing by the lessor and the tenant;</w:delText>
        </w:r>
      </w:del>
    </w:p>
    <w:p>
      <w:pPr>
        <w:pStyle w:val="nzIndenta"/>
        <w:rPr>
          <w:del w:id="1040" w:author="svcMRProcess" w:date="2020-04-17T17:55:00Z"/>
        </w:rPr>
      </w:pPr>
      <w:del w:id="1041" w:author="svcMRProcess" w:date="2020-04-17T17:55:00Z">
        <w:r>
          <w:tab/>
        </w:r>
        <w:r>
          <w:tab/>
          <w:delText>and</w:delText>
        </w:r>
      </w:del>
    </w:p>
    <w:p>
      <w:pPr>
        <w:pStyle w:val="nzIndenta"/>
        <w:rPr>
          <w:del w:id="1042" w:author="svcMRProcess" w:date="2020-04-17T17:55:00Z"/>
        </w:rPr>
      </w:pPr>
      <w:del w:id="1043" w:author="svcMRProcess" w:date="2020-04-17T17:55:00Z">
        <w:r>
          <w:tab/>
          <w:delText>(c)</w:delText>
        </w:r>
        <w:r>
          <w:tab/>
          <w:delText xml:space="preserve">the lessor gives the tenant a written notice under subsection (4) within 30 days after the lessor receives an invoice for the public utility service. </w:delText>
        </w:r>
      </w:del>
    </w:p>
    <w:p>
      <w:pPr>
        <w:pStyle w:val="nzSubsection"/>
        <w:rPr>
          <w:del w:id="1044" w:author="svcMRProcess" w:date="2020-04-17T17:55:00Z"/>
        </w:rPr>
      </w:pPr>
      <w:del w:id="1045" w:author="svcMRProcess" w:date="2020-04-17T17:55:00Z">
        <w:r>
          <w:tab/>
          <w:delText>(4)</w:delText>
        </w:r>
        <w:r>
          <w:tab/>
          <w:delText xml:space="preserve">The notice must be in writing and set out the full details of the account for the charge, including — </w:delText>
        </w:r>
      </w:del>
    </w:p>
    <w:p>
      <w:pPr>
        <w:pStyle w:val="nzIndenta"/>
        <w:rPr>
          <w:del w:id="1046" w:author="svcMRProcess" w:date="2020-04-17T17:55:00Z"/>
        </w:rPr>
      </w:pPr>
      <w:del w:id="1047" w:author="svcMRProcess" w:date="2020-04-17T17:55:00Z">
        <w:r>
          <w:tab/>
          <w:delText>(a)</w:delText>
        </w:r>
        <w:r>
          <w:tab/>
          <w:delText>the total charge for the tenant’s consumption of the utility; and</w:delText>
        </w:r>
      </w:del>
    </w:p>
    <w:p>
      <w:pPr>
        <w:pStyle w:val="nzIndenta"/>
        <w:rPr>
          <w:del w:id="1048" w:author="svcMRProcess" w:date="2020-04-17T17:55:00Z"/>
        </w:rPr>
      </w:pPr>
      <w:del w:id="1049" w:author="svcMRProcess" w:date="2020-04-17T17:55:00Z">
        <w:r>
          <w:tab/>
          <w:delText>(b)</w:delText>
        </w:r>
        <w:r>
          <w:tab/>
          <w:delText xml:space="preserve">if consumption at the premises is metered — </w:delText>
        </w:r>
      </w:del>
    </w:p>
    <w:p>
      <w:pPr>
        <w:pStyle w:val="nzIndenti"/>
        <w:rPr>
          <w:del w:id="1050" w:author="svcMRProcess" w:date="2020-04-17T17:55:00Z"/>
        </w:rPr>
      </w:pPr>
      <w:del w:id="1051" w:author="svcMRProcess" w:date="2020-04-17T17:55:00Z">
        <w:r>
          <w:tab/>
          <w:delText>(i)</w:delText>
        </w:r>
        <w:r>
          <w:tab/>
          <w:delText xml:space="preserve">the meter readings; and </w:delText>
        </w:r>
      </w:del>
    </w:p>
    <w:p>
      <w:pPr>
        <w:pStyle w:val="nzIndenti"/>
        <w:rPr>
          <w:del w:id="1052" w:author="svcMRProcess" w:date="2020-04-17T17:55:00Z"/>
        </w:rPr>
      </w:pPr>
      <w:del w:id="1053" w:author="svcMRProcess" w:date="2020-04-17T17:55:00Z">
        <w:r>
          <w:tab/>
          <w:delText>(ii)</w:delText>
        </w:r>
        <w:r>
          <w:tab/>
          <w:delText xml:space="preserve">the charge per metered unit; </w:delText>
        </w:r>
      </w:del>
    </w:p>
    <w:p>
      <w:pPr>
        <w:pStyle w:val="nzIndenta"/>
        <w:rPr>
          <w:del w:id="1054" w:author="svcMRProcess" w:date="2020-04-17T17:55:00Z"/>
        </w:rPr>
      </w:pPr>
      <w:del w:id="1055" w:author="svcMRProcess" w:date="2020-04-17T17:55:00Z">
        <w:r>
          <w:tab/>
        </w:r>
        <w:r>
          <w:tab/>
          <w:delText xml:space="preserve">and </w:delText>
        </w:r>
      </w:del>
    </w:p>
    <w:p>
      <w:pPr>
        <w:pStyle w:val="nzIndenta"/>
        <w:rPr>
          <w:del w:id="1056" w:author="svcMRProcess" w:date="2020-04-17T17:55:00Z"/>
        </w:rPr>
      </w:pPr>
      <w:del w:id="1057" w:author="svcMRProcess" w:date="2020-04-17T17:55:00Z">
        <w:r>
          <w:tab/>
          <w:delText>(c)</w:delText>
        </w:r>
        <w:r>
          <w:tab/>
          <w:delText>if consumption at the premises is not metered — the charge calculated by the method agreed to under subsection (3)(b)(ii); and</w:delText>
        </w:r>
      </w:del>
    </w:p>
    <w:p>
      <w:pPr>
        <w:pStyle w:val="nzIndenta"/>
        <w:rPr>
          <w:del w:id="1058" w:author="svcMRProcess" w:date="2020-04-17T17:55:00Z"/>
        </w:rPr>
      </w:pPr>
      <w:del w:id="1059" w:author="svcMRProcess" w:date="2020-04-17T17:55:00Z">
        <w:r>
          <w:tab/>
          <w:delText>(d)</w:delText>
        </w:r>
        <w:r>
          <w:tab/>
          <w:delText>the amount of GST payable in respect of the provision of the service to the premises.</w:delText>
        </w:r>
      </w:del>
    </w:p>
    <w:p>
      <w:pPr>
        <w:pStyle w:val="nzSubsection"/>
        <w:rPr>
          <w:del w:id="1060" w:author="svcMRProcess" w:date="2020-04-17T17:55:00Z"/>
        </w:rPr>
      </w:pPr>
      <w:del w:id="1061" w:author="svcMRProcess" w:date="2020-04-17T17:55:00Z">
        <w:r>
          <w:tab/>
          <w:delText>(5)</w:delText>
        </w:r>
        <w:r>
          <w:tab/>
          <w:delText xml:space="preserve">However, despite subsection (3)(c), if the tenancy ends within 30 days after the lessor receives an invoice for the public utility service, or the lessor receives the invoice after the tenancy has ended, the lessor — </w:delText>
        </w:r>
      </w:del>
    </w:p>
    <w:p>
      <w:pPr>
        <w:pStyle w:val="nzIndenta"/>
        <w:rPr>
          <w:del w:id="1062" w:author="svcMRProcess" w:date="2020-04-17T17:55:00Z"/>
        </w:rPr>
      </w:pPr>
      <w:del w:id="1063" w:author="svcMRProcess" w:date="2020-04-17T17:55:00Z">
        <w:r>
          <w:tab/>
          <w:delText>(a)</w:delText>
        </w:r>
        <w:r>
          <w:tab/>
          <w:delText xml:space="preserve">is not required to give the written notice under subsection (4) within 30 days after the lessor receives the invoice; and </w:delText>
        </w:r>
      </w:del>
    </w:p>
    <w:p>
      <w:pPr>
        <w:pStyle w:val="nzIndenta"/>
        <w:rPr>
          <w:del w:id="1064" w:author="svcMRProcess" w:date="2020-04-17T17:55:00Z"/>
        </w:rPr>
      </w:pPr>
      <w:del w:id="1065" w:author="svcMRProcess" w:date="2020-04-17T17:55:00Z">
        <w:r>
          <w:tab/>
          <w:delText>(b)</w:delText>
        </w:r>
        <w:r>
          <w:tab/>
          <w:delText>may give the notice to the tenant (or former tenant) as soon as practicable after the lessor receives the notice and locates the tenant.</w:delText>
        </w:r>
      </w:del>
    </w:p>
    <w:p>
      <w:pPr>
        <w:pStyle w:val="BlankClose"/>
        <w:rPr>
          <w:del w:id="1066" w:author="svcMRProcess" w:date="2020-04-17T17:55:00Z"/>
        </w:rPr>
      </w:pPr>
    </w:p>
    <w:p>
      <w:pPr>
        <w:pStyle w:val="nzHeading5"/>
        <w:rPr>
          <w:del w:id="1067" w:author="svcMRProcess" w:date="2020-04-17T17:55:00Z"/>
        </w:rPr>
      </w:pPr>
      <w:del w:id="1068" w:author="svcMRProcess" w:date="2020-04-17T17:55:00Z">
        <w:r>
          <w:rPr>
            <w:rStyle w:val="CharSectno"/>
          </w:rPr>
          <w:delText>69</w:delText>
        </w:r>
        <w:r>
          <w:delText>.</w:delText>
        </w:r>
        <w:r>
          <w:tab/>
          <w:delText>Section 73 amended</w:delText>
        </w:r>
      </w:del>
    </w:p>
    <w:p>
      <w:pPr>
        <w:pStyle w:val="nzSubsection"/>
        <w:rPr>
          <w:del w:id="1069" w:author="svcMRProcess" w:date="2020-04-17T17:55:00Z"/>
        </w:rPr>
      </w:pPr>
      <w:del w:id="1070" w:author="svcMRProcess" w:date="2020-04-17T17:55:00Z">
        <w:r>
          <w:tab/>
        </w:r>
        <w:r>
          <w:tab/>
          <w:delText>In section 73(1) delete “permit, serious damage to the premises or injury to the lessor or the property manager of the premises or any person in occupation of or permitted on adjacent premises.” and insert:</w:delText>
        </w:r>
      </w:del>
    </w:p>
    <w:p>
      <w:pPr>
        <w:pStyle w:val="BlankOpen"/>
        <w:rPr>
          <w:del w:id="1071" w:author="svcMRProcess" w:date="2020-04-17T17:55:00Z"/>
        </w:rPr>
      </w:pPr>
    </w:p>
    <w:p>
      <w:pPr>
        <w:pStyle w:val="nzSubsection"/>
        <w:rPr>
          <w:del w:id="1072" w:author="svcMRProcess" w:date="2020-04-17T17:55:00Z"/>
          <w:snapToGrid w:val="0"/>
        </w:rPr>
      </w:pPr>
      <w:del w:id="1073" w:author="svcMRProcess" w:date="2020-04-17T17:55:00Z">
        <w:r>
          <w:rPr>
            <w:snapToGrid w:val="0"/>
          </w:rPr>
          <w:tab/>
        </w:r>
        <w:r>
          <w:rPr>
            <w:snapToGrid w:val="0"/>
          </w:rPr>
          <w:tab/>
          <w:delText xml:space="preserve">permit — </w:delText>
        </w:r>
      </w:del>
    </w:p>
    <w:p>
      <w:pPr>
        <w:pStyle w:val="nzIndenta"/>
        <w:rPr>
          <w:del w:id="1074" w:author="svcMRProcess" w:date="2020-04-17T17:55:00Z"/>
          <w:snapToGrid w:val="0"/>
        </w:rPr>
      </w:pPr>
      <w:del w:id="1075" w:author="svcMRProcess" w:date="2020-04-17T17:55:00Z">
        <w:r>
          <w:rPr>
            <w:snapToGrid w:val="0"/>
          </w:rPr>
          <w:tab/>
          <w:delText>(a)</w:delText>
        </w:r>
        <w:r>
          <w:rPr>
            <w:snapToGrid w:val="0"/>
          </w:rPr>
          <w:tab/>
          <w:delText xml:space="preserve">serious damage to the premises or, where relevant, a </w:delText>
        </w:r>
        <w:r>
          <w:delText>common area or chattels in the common area</w:delText>
        </w:r>
        <w:r>
          <w:rPr>
            <w:snapToGrid w:val="0"/>
          </w:rPr>
          <w:delText>; or</w:delText>
        </w:r>
      </w:del>
    </w:p>
    <w:p>
      <w:pPr>
        <w:pStyle w:val="nzIndenta"/>
        <w:rPr>
          <w:del w:id="1076" w:author="svcMRProcess" w:date="2020-04-17T17:55:00Z"/>
          <w:snapToGrid w:val="0"/>
        </w:rPr>
      </w:pPr>
      <w:del w:id="1077" w:author="svcMRProcess" w:date="2020-04-17T17:55:00Z">
        <w:r>
          <w:rPr>
            <w:snapToGrid w:val="0"/>
          </w:rPr>
          <w:tab/>
          <w:delText>(b)</w:delText>
        </w:r>
        <w:r>
          <w:rPr>
            <w:snapToGrid w:val="0"/>
          </w:rPr>
          <w:tab/>
          <w:delText xml:space="preserve">injury to — </w:delText>
        </w:r>
      </w:del>
    </w:p>
    <w:p>
      <w:pPr>
        <w:pStyle w:val="nzIndenti"/>
        <w:rPr>
          <w:del w:id="1078" w:author="svcMRProcess" w:date="2020-04-17T17:55:00Z"/>
        </w:rPr>
      </w:pPr>
      <w:del w:id="1079" w:author="svcMRProcess" w:date="2020-04-17T17:55:00Z">
        <w:r>
          <w:tab/>
          <w:delText>(i)</w:delText>
        </w:r>
        <w:r>
          <w:tab/>
        </w:r>
        <w:r>
          <w:rPr>
            <w:snapToGrid w:val="0"/>
          </w:rPr>
          <w:delText>the</w:delText>
        </w:r>
        <w:r>
          <w:delText xml:space="preserve"> lessor; or </w:delText>
        </w:r>
      </w:del>
    </w:p>
    <w:p>
      <w:pPr>
        <w:pStyle w:val="nzIndenti"/>
        <w:rPr>
          <w:del w:id="1080" w:author="svcMRProcess" w:date="2020-04-17T17:55:00Z"/>
          <w:snapToGrid w:val="0"/>
        </w:rPr>
      </w:pPr>
      <w:del w:id="1081" w:author="svcMRProcess" w:date="2020-04-17T17:55:00Z">
        <w:r>
          <w:tab/>
          <w:delText>(ii)</w:delText>
        </w:r>
        <w:r>
          <w:tab/>
          <w:delText>the property manager of the premises;</w:delText>
        </w:r>
        <w:r>
          <w:rPr>
            <w:snapToGrid w:val="0"/>
          </w:rPr>
          <w:delText xml:space="preserve"> or </w:delText>
        </w:r>
      </w:del>
    </w:p>
    <w:p>
      <w:pPr>
        <w:pStyle w:val="nzIndenti"/>
        <w:rPr>
          <w:del w:id="1082" w:author="svcMRProcess" w:date="2020-04-17T17:55:00Z"/>
          <w:snapToGrid w:val="0"/>
        </w:rPr>
      </w:pPr>
      <w:del w:id="1083" w:author="svcMRProcess" w:date="2020-04-17T17:55:00Z">
        <w:r>
          <w:rPr>
            <w:snapToGrid w:val="0"/>
          </w:rPr>
          <w:tab/>
          <w:delText>(iii)</w:delText>
        </w:r>
        <w:r>
          <w:rPr>
            <w:snapToGrid w:val="0"/>
          </w:rPr>
          <w:tab/>
          <w:delText>any person in occupation of or permitted on adjacent premises.</w:delText>
        </w:r>
      </w:del>
    </w:p>
    <w:p>
      <w:pPr>
        <w:pStyle w:val="BlankClose"/>
        <w:rPr>
          <w:del w:id="1084" w:author="svcMRProcess" w:date="2020-04-17T17:55:00Z"/>
        </w:rPr>
      </w:pPr>
    </w:p>
    <w:p>
      <w:pPr>
        <w:pStyle w:val="nzHeading5"/>
        <w:rPr>
          <w:del w:id="1085" w:author="svcMRProcess" w:date="2020-04-17T17:55:00Z"/>
        </w:rPr>
      </w:pPr>
      <w:del w:id="1086" w:author="svcMRProcess" w:date="2020-04-17T17:55:00Z">
        <w:r>
          <w:rPr>
            <w:rStyle w:val="CharSectno"/>
          </w:rPr>
          <w:delText>70</w:delText>
        </w:r>
        <w:r>
          <w:delText>.</w:delText>
        </w:r>
        <w:r>
          <w:tab/>
          <w:delText>Section 82B amended</w:delText>
        </w:r>
      </w:del>
    </w:p>
    <w:p>
      <w:pPr>
        <w:pStyle w:val="nzSubsection"/>
        <w:rPr>
          <w:del w:id="1087" w:author="svcMRProcess" w:date="2020-04-17T17:55:00Z"/>
        </w:rPr>
      </w:pPr>
      <w:del w:id="1088" w:author="svcMRProcess" w:date="2020-04-17T17:55:00Z">
        <w:r>
          <w:tab/>
          <w:delText>(1)</w:delText>
        </w:r>
        <w:r>
          <w:tab/>
          <w:delText>In section 82B delete “This” and insert:</w:delText>
        </w:r>
      </w:del>
    </w:p>
    <w:p>
      <w:pPr>
        <w:pStyle w:val="BlankOpen"/>
        <w:rPr>
          <w:del w:id="1089" w:author="svcMRProcess" w:date="2020-04-17T17:55:00Z"/>
        </w:rPr>
      </w:pPr>
    </w:p>
    <w:p>
      <w:pPr>
        <w:pStyle w:val="nzSubsection"/>
        <w:rPr>
          <w:del w:id="1090" w:author="svcMRProcess" w:date="2020-04-17T17:55:00Z"/>
        </w:rPr>
      </w:pPr>
      <w:del w:id="1091" w:author="svcMRProcess" w:date="2020-04-17T17:55:00Z">
        <w:r>
          <w:tab/>
          <w:delText>(1)</w:delText>
        </w:r>
        <w:r>
          <w:tab/>
          <w:delText>This</w:delText>
        </w:r>
      </w:del>
    </w:p>
    <w:p>
      <w:pPr>
        <w:pStyle w:val="BlankClose"/>
        <w:rPr>
          <w:del w:id="1092" w:author="svcMRProcess" w:date="2020-04-17T17:55:00Z"/>
        </w:rPr>
      </w:pPr>
    </w:p>
    <w:p>
      <w:pPr>
        <w:pStyle w:val="nzSubsection"/>
        <w:rPr>
          <w:del w:id="1093" w:author="svcMRProcess" w:date="2020-04-17T17:55:00Z"/>
        </w:rPr>
      </w:pPr>
      <w:del w:id="1094" w:author="svcMRProcess" w:date="2020-04-17T17:55:00Z">
        <w:r>
          <w:tab/>
          <w:delText>(2)</w:delText>
        </w:r>
        <w:r>
          <w:tab/>
          <w:delText>After section 82B(1) insert:</w:delText>
        </w:r>
      </w:del>
    </w:p>
    <w:p>
      <w:pPr>
        <w:pStyle w:val="BlankOpen"/>
        <w:rPr>
          <w:del w:id="1095" w:author="svcMRProcess" w:date="2020-04-17T17:55:00Z"/>
        </w:rPr>
      </w:pPr>
    </w:p>
    <w:p>
      <w:pPr>
        <w:pStyle w:val="nzSubsection"/>
        <w:rPr>
          <w:del w:id="1096" w:author="svcMRProcess" w:date="2020-04-17T17:55:00Z"/>
        </w:rPr>
      </w:pPr>
      <w:del w:id="1097" w:author="svcMRProcess" w:date="2020-04-17T17:55:00Z">
        <w:r>
          <w:tab/>
          <w:delText>(2)</w:delText>
        </w:r>
        <w:r>
          <w:tab/>
          <w:delText xml:space="preserve">This Part applies to a database operator, regardless of whether the database operator is inside or outside of the State, if the database operator operates a residential tenancy database containing personal information — </w:delText>
        </w:r>
      </w:del>
    </w:p>
    <w:p>
      <w:pPr>
        <w:pStyle w:val="nzIndenta"/>
        <w:rPr>
          <w:del w:id="1098" w:author="svcMRProcess" w:date="2020-04-17T17:55:00Z"/>
        </w:rPr>
      </w:pPr>
      <w:del w:id="1099" w:author="svcMRProcess" w:date="2020-04-17T17:55:00Z">
        <w:r>
          <w:tab/>
          <w:delText>(a)</w:delText>
        </w:r>
        <w:r>
          <w:tab/>
          <w:delText>about a person who resides in the State; or</w:delText>
        </w:r>
      </w:del>
    </w:p>
    <w:p>
      <w:pPr>
        <w:pStyle w:val="nzIndenta"/>
        <w:rPr>
          <w:del w:id="1100" w:author="svcMRProcess" w:date="2020-04-17T17:55:00Z"/>
        </w:rPr>
      </w:pPr>
      <w:del w:id="1101" w:author="svcMRProcess" w:date="2020-04-17T17:55:00Z">
        <w:r>
          <w:tab/>
          <w:delText>(b)</w:delText>
        </w:r>
        <w:r>
          <w:tab/>
          <w:delText>relating to, or arising from, the occupation of residential premises under a residential tenancy agreement within the State.</w:delText>
        </w:r>
      </w:del>
    </w:p>
    <w:p>
      <w:pPr>
        <w:pStyle w:val="BlankClose"/>
        <w:rPr>
          <w:del w:id="1102" w:author="svcMRProcess" w:date="2020-04-17T17:55:00Z"/>
        </w:rPr>
      </w:pPr>
    </w:p>
    <w:p>
      <w:pPr>
        <w:pStyle w:val="nzHeading5"/>
        <w:rPr>
          <w:del w:id="1103" w:author="svcMRProcess" w:date="2020-04-17T17:55:00Z"/>
        </w:rPr>
      </w:pPr>
      <w:del w:id="1104" w:author="svcMRProcess" w:date="2020-04-17T17:55:00Z">
        <w:r>
          <w:rPr>
            <w:rStyle w:val="CharSectno"/>
          </w:rPr>
          <w:delText>71</w:delText>
        </w:r>
        <w:r>
          <w:delText>.</w:delText>
        </w:r>
        <w:r>
          <w:tab/>
          <w:delText>Part 8 inserted</w:delText>
        </w:r>
      </w:del>
    </w:p>
    <w:p>
      <w:pPr>
        <w:pStyle w:val="nzSubsection"/>
        <w:rPr>
          <w:del w:id="1105" w:author="svcMRProcess" w:date="2020-04-17T17:55:00Z"/>
        </w:rPr>
      </w:pPr>
      <w:del w:id="1106" w:author="svcMRProcess" w:date="2020-04-17T17:55:00Z">
        <w:r>
          <w:tab/>
        </w:r>
        <w:r>
          <w:tab/>
          <w:delText>After section 97 insert:</w:delText>
        </w:r>
      </w:del>
    </w:p>
    <w:p>
      <w:pPr>
        <w:pStyle w:val="BlankOpen"/>
        <w:rPr>
          <w:del w:id="1107" w:author="svcMRProcess" w:date="2020-04-17T17:55:00Z"/>
        </w:rPr>
      </w:pPr>
    </w:p>
    <w:p>
      <w:pPr>
        <w:pStyle w:val="nzHeading2"/>
        <w:rPr>
          <w:del w:id="1108" w:author="svcMRProcess" w:date="2020-04-17T17:55:00Z"/>
        </w:rPr>
      </w:pPr>
      <w:del w:id="1109" w:author="svcMRProcess" w:date="2020-04-17T17:55:00Z">
        <w:r>
          <w:delText xml:space="preserve">Part 8 — Transitional provision relating to the </w:delText>
        </w:r>
        <w:r>
          <w:rPr>
            <w:i/>
          </w:rPr>
          <w:delText>Consumer Protection Legislation Amendment Act 2019</w:delText>
        </w:r>
      </w:del>
    </w:p>
    <w:p>
      <w:pPr>
        <w:pStyle w:val="nzHeading5"/>
        <w:rPr>
          <w:del w:id="1110" w:author="svcMRProcess" w:date="2020-04-17T17:55:00Z"/>
        </w:rPr>
      </w:pPr>
      <w:del w:id="1111" w:author="svcMRProcess" w:date="2020-04-17T17:55:00Z">
        <w:r>
          <w:delText>98.</w:delText>
        </w:r>
        <w:r>
          <w:tab/>
          <w:delText>Application of s. 49A to residential tenancy agreements and utility charges</w:delText>
        </w:r>
      </w:del>
    </w:p>
    <w:p>
      <w:pPr>
        <w:pStyle w:val="nzSubsection"/>
        <w:rPr>
          <w:del w:id="1112" w:author="svcMRProcess" w:date="2020-04-17T17:55:00Z"/>
        </w:rPr>
      </w:pPr>
      <w:del w:id="1113" w:author="svcMRProcess" w:date="2020-04-17T17:55:00Z">
        <w:r>
          <w:tab/>
          <w:delText>(1)</w:delText>
        </w:r>
        <w:r>
          <w:tab/>
          <w:delText xml:space="preserve">In this section — </w:delText>
        </w:r>
      </w:del>
    </w:p>
    <w:p>
      <w:pPr>
        <w:pStyle w:val="nzDefstart"/>
        <w:rPr>
          <w:del w:id="1114" w:author="svcMRProcess" w:date="2020-04-17T17:55:00Z"/>
        </w:rPr>
      </w:pPr>
      <w:del w:id="1115" w:author="svcMRProcess" w:date="2020-04-17T17:55:00Z">
        <w:r>
          <w:tab/>
        </w:r>
        <w:r>
          <w:rPr>
            <w:rStyle w:val="CharDefText"/>
          </w:rPr>
          <w:delText>commencement day</w:delText>
        </w:r>
        <w:r>
          <w:delText xml:space="preserve"> means the day on which the </w:delText>
        </w:r>
        <w:r>
          <w:rPr>
            <w:i/>
          </w:rPr>
          <w:delText>Consumer Protection Legislation Amendment Act 2019</w:delText>
        </w:r>
        <w:r>
          <w:delText xml:space="preserve"> section 68 comes into operation;</w:delText>
        </w:r>
      </w:del>
    </w:p>
    <w:p>
      <w:pPr>
        <w:pStyle w:val="nzDefstart"/>
        <w:rPr>
          <w:del w:id="1116" w:author="svcMRProcess" w:date="2020-04-17T17:55:00Z"/>
        </w:rPr>
      </w:pPr>
      <w:del w:id="1117" w:author="svcMRProcess" w:date="2020-04-17T17:55:00Z">
        <w:r>
          <w:tab/>
        </w:r>
        <w:r>
          <w:rPr>
            <w:rStyle w:val="CharDefText"/>
          </w:rPr>
          <w:delText>public utility services</w:delText>
        </w:r>
        <w:r>
          <w:delText xml:space="preserve"> has the meaning given in the </w:delText>
        </w:r>
        <w:r>
          <w:rPr>
            <w:i/>
          </w:rPr>
          <w:delText>Land Administration Act 1997</w:delText>
        </w:r>
        <w:r>
          <w:delText xml:space="preserve"> section 3(1).</w:delText>
        </w:r>
      </w:del>
    </w:p>
    <w:p>
      <w:pPr>
        <w:pStyle w:val="nzSubsection"/>
        <w:rPr>
          <w:del w:id="1118" w:author="svcMRProcess" w:date="2020-04-17T17:55:00Z"/>
        </w:rPr>
      </w:pPr>
      <w:del w:id="1119" w:author="svcMRProcess" w:date="2020-04-17T17:55:00Z">
        <w:r>
          <w:tab/>
          <w:delText>(2)</w:delText>
        </w:r>
        <w:r>
          <w:tab/>
          <w:delText>Subject to subsections (3) and (4), section 49A, as in force on and after commencement day, applies to a residential tenancy agreement (to the extent relevant) even though it was entered into before commencement day.</w:delText>
        </w:r>
      </w:del>
    </w:p>
    <w:p>
      <w:pPr>
        <w:pStyle w:val="nzSubsection"/>
        <w:rPr>
          <w:del w:id="1120" w:author="svcMRProcess" w:date="2020-04-17T17:55:00Z"/>
        </w:rPr>
      </w:pPr>
      <w:del w:id="1121" w:author="svcMRProcess" w:date="2020-04-17T17:55:00Z">
        <w:r>
          <w:tab/>
          <w:delText>(3)</w:delText>
        </w:r>
        <w:r>
          <w:tab/>
          <w:delTex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delText>
        </w:r>
      </w:del>
    </w:p>
    <w:p>
      <w:del w:id="1122" w:author="svcMRProcess" w:date="2020-04-17T17:55:00Z">
        <w:r>
          <w:tab/>
          <w:delText>(4)</w:delText>
        </w:r>
        <w:r>
          <w:tab/>
          <w:delTex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delText>
        </w:r>
      </w:del>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rPr>
          <w:rFonts w:ascii="Arial" w:hAnsi="Arial" w:cs="Arial"/>
          <w:szCs w:val="24"/>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17" w:name="Schedule"/>
    <w:bookmarkEnd w:id="81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23" w:name="Compilation"/>
    <w:bookmarkEnd w:id="11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4" w:name="Coversheet"/>
    <w:bookmarkEnd w:id="1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85503"/>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76314-CED1-409F-B034-7EC81E0AF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41570</Words>
  <Characters>194553</Characters>
  <Application>Microsoft Office Word</Application>
  <DocSecurity>0</DocSecurity>
  <Lines>4988</Lines>
  <Paragraphs>2594</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233529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06-h0-00 - 06-i0-03</dc:title>
  <dc:subject/>
  <dc:creator/>
  <cp:keywords/>
  <dc:description/>
  <cp:lastModifiedBy>svcMRProcess</cp:lastModifiedBy>
  <cp:revision>2</cp:revision>
  <cp:lastPrinted>2019-04-15T08:42:00Z</cp:lastPrinted>
  <dcterms:created xsi:type="dcterms:W3CDTF">2020-04-17T09:54:00Z</dcterms:created>
  <dcterms:modified xsi:type="dcterms:W3CDTF">2020-04-17T09:55:00Z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CommencementDate">
    <vt:lpwstr>20200101</vt:lpwstr>
  </property>
  <property fmtid="{D5CDD505-2E9C-101B-9397-08002B2CF9AE}" pid="8" name="FromSuffix">
    <vt:lpwstr>06-h0-00</vt:lpwstr>
  </property>
  <property fmtid="{D5CDD505-2E9C-101B-9397-08002B2CF9AE}" pid="9" name="FromAsAtDate">
    <vt:lpwstr>30 Nov 2019</vt:lpwstr>
  </property>
  <property fmtid="{D5CDD505-2E9C-101B-9397-08002B2CF9AE}" pid="10" name="ToSuffix">
    <vt:lpwstr>06-i0-03</vt:lpwstr>
  </property>
  <property fmtid="{D5CDD505-2E9C-101B-9397-08002B2CF9AE}" pid="11" name="ToAsAtDate">
    <vt:lpwstr>01 Jan 2020</vt:lpwstr>
  </property>
</Properties>
</file>