
<file path=[Content_Types].xml><?xml version="1.0" encoding="utf-8"?>
<Types xmlns="http://schemas.openxmlformats.org/package/2006/content-types">
  <Default Extension="png" ContentType="image/png"/>
  <Default Extension="wmf" ContentType="image/x-w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3.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bookmarkStart w:id="0" w:name="RuleErr_1"/>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Lotteries Commission (Authorised Lotteries) Rules 2016</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29 Nov 2019</w:t>
      </w:r>
      <w:r>
        <w:fldChar w:fldCharType="end"/>
      </w:r>
      <w:r>
        <w:t xml:space="preserve">, </w:t>
      </w:r>
      <w:r>
        <w:fldChar w:fldCharType="begin"/>
      </w:r>
      <w:r>
        <w:instrText xml:space="preserve"> DocProperty FromSuffix </w:instrText>
      </w:r>
      <w:r>
        <w:fldChar w:fldCharType="separate"/>
      </w:r>
      <w:r>
        <w:t>00-k0-00</w:t>
      </w:r>
      <w:r>
        <w:fldChar w:fldCharType="end"/>
      </w:r>
      <w:r>
        <w:t>] and [</w:t>
      </w:r>
      <w:r>
        <w:fldChar w:fldCharType="begin"/>
      </w:r>
      <w:r>
        <w:instrText xml:space="preserve"> DocProperty ToAsAtDate</w:instrText>
      </w:r>
      <w:r>
        <w:fldChar w:fldCharType="separate"/>
      </w:r>
      <w:r>
        <w:t>03 Mar 2020</w:t>
      </w:r>
      <w:r>
        <w:fldChar w:fldCharType="end"/>
      </w:r>
      <w:r>
        <w:t xml:space="preserve">, </w:t>
      </w:r>
      <w:r>
        <w:fldChar w:fldCharType="begin"/>
      </w:r>
      <w:r>
        <w:instrText xml:space="preserve"> DocProperty ToSuffix</w:instrText>
      </w:r>
      <w:r>
        <w:fldChar w:fldCharType="separate"/>
      </w:r>
      <w:r>
        <w:t>00-l0-02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PrincipalActReg"/>
      </w:pPr>
      <w:r>
        <w:t>Lotteries Commission Act 1990</w:t>
      </w:r>
    </w:p>
    <w:bookmarkEnd w:id="0"/>
    <w:p>
      <w:pPr>
        <w:pStyle w:val="NameofActReg"/>
      </w:pPr>
      <w:r>
        <w:t>Lotteries Commission (Authorised Lotteries) Rules 2016</w:t>
      </w:r>
    </w:p>
    <w:p>
      <w:pPr>
        <w:pStyle w:val="Heading2"/>
        <w:keepNext w:val="0"/>
        <w:pageBreakBefore w:val="0"/>
        <w:widowControl w:val="0"/>
        <w:spacing w:before="240"/>
      </w:pPr>
      <w:bookmarkStart w:id="2" w:name="_Toc34139443"/>
      <w:bookmarkStart w:id="3" w:name="_Toc34139655"/>
      <w:bookmarkStart w:id="4" w:name="_Toc34147832"/>
      <w:bookmarkStart w:id="5" w:name="_Toc34207385"/>
      <w:bookmarkStart w:id="6" w:name="_Toc34291380"/>
      <w:bookmarkStart w:id="7" w:name="_Toc25657288"/>
      <w:bookmarkStart w:id="8" w:name="_Toc25760754"/>
      <w:bookmarkStart w:id="9" w:name="_Toc25761083"/>
      <w:r>
        <w:rPr>
          <w:rStyle w:val="CharPartNo"/>
        </w:rPr>
        <w:t>P</w:t>
      </w:r>
      <w:bookmarkStart w:id="10" w:name="_GoBack"/>
      <w:bookmarkEnd w:id="10"/>
      <w:r>
        <w:rPr>
          <w:rStyle w:val="CharPartNo"/>
        </w:rPr>
        <w:t>art 1</w:t>
      </w:r>
      <w:r>
        <w:rPr>
          <w:rStyle w:val="CharDivNo"/>
        </w:rPr>
        <w:t> </w:t>
      </w:r>
      <w:r>
        <w:t>—</w:t>
      </w:r>
      <w:r>
        <w:rPr>
          <w:rStyle w:val="CharDivText"/>
        </w:rPr>
        <w:t> Preliminary</w:t>
      </w:r>
      <w:bookmarkEnd w:id="2"/>
      <w:bookmarkEnd w:id="3"/>
      <w:bookmarkEnd w:id="4"/>
      <w:bookmarkEnd w:id="5"/>
      <w:bookmarkEnd w:id="6"/>
      <w:bookmarkEnd w:id="7"/>
      <w:bookmarkEnd w:id="8"/>
      <w:bookmarkEnd w:id="9"/>
    </w:p>
    <w:p>
      <w:pPr>
        <w:pStyle w:val="Heading5"/>
      </w:pPr>
      <w:bookmarkStart w:id="11" w:name="_Toc34291381"/>
      <w:bookmarkStart w:id="12" w:name="_Toc25761084"/>
      <w:r>
        <w:rPr>
          <w:rStyle w:val="CharSectno"/>
        </w:rPr>
        <w:t>1</w:t>
      </w:r>
      <w:r>
        <w:t>.</w:t>
      </w:r>
      <w:r>
        <w:tab/>
        <w:t>Citation</w:t>
      </w:r>
      <w:bookmarkEnd w:id="11"/>
      <w:bookmarkEnd w:id="12"/>
    </w:p>
    <w:p>
      <w:pPr>
        <w:pStyle w:val="Subsection"/>
      </w:pPr>
      <w:r>
        <w:tab/>
      </w:r>
      <w:r>
        <w:tab/>
      </w:r>
      <w:r>
        <w:rPr>
          <w:spacing w:val="-2"/>
        </w:rPr>
        <w:t>These</w:t>
      </w:r>
      <w:r>
        <w:t xml:space="preserve"> </w:t>
      </w:r>
      <w:r>
        <w:rPr>
          <w:spacing w:val="-2"/>
        </w:rPr>
        <w:t>rules</w:t>
      </w:r>
      <w:r>
        <w:t xml:space="preserve"> are the </w:t>
      </w:r>
      <w:r>
        <w:rPr>
          <w:i/>
        </w:rPr>
        <w:t>Lotteries Commission (Authorised Lotteries) Rules 2016</w:t>
      </w:r>
      <w:r>
        <w:t>.</w:t>
      </w:r>
    </w:p>
    <w:p>
      <w:pPr>
        <w:pStyle w:val="Heading5"/>
        <w:rPr>
          <w:spacing w:val="-2"/>
        </w:rPr>
      </w:pPr>
      <w:bookmarkStart w:id="13" w:name="_Toc34291382"/>
      <w:bookmarkStart w:id="14" w:name="_Toc25761085"/>
      <w:r>
        <w:rPr>
          <w:rStyle w:val="CharSectno"/>
        </w:rPr>
        <w:t>2</w:t>
      </w:r>
      <w:r>
        <w:rPr>
          <w:spacing w:val="-2"/>
        </w:rPr>
        <w:t>.</w:t>
      </w:r>
      <w:r>
        <w:rPr>
          <w:spacing w:val="-2"/>
        </w:rPr>
        <w:tab/>
        <w:t>Commencement</w:t>
      </w:r>
      <w:bookmarkEnd w:id="13"/>
      <w:bookmarkEnd w:id="14"/>
    </w:p>
    <w:p>
      <w:pPr>
        <w:pStyle w:val="Subsection"/>
        <w:rPr>
          <w:spacing w:val="-2"/>
        </w:rPr>
      </w:pPr>
      <w:r>
        <w:rPr>
          <w:spacing w:val="-2"/>
        </w:rPr>
        <w:tab/>
      </w:r>
      <w:r>
        <w:rPr>
          <w:spacing w:val="-2"/>
        </w:rPr>
        <w:tab/>
        <w:t>These rules come into operation as follows</w:t>
      </w:r>
      <w:r>
        <w:t> —</w:t>
      </w:r>
    </w:p>
    <w:p>
      <w:pPr>
        <w:pStyle w:val="Indenta"/>
      </w:pPr>
      <w:r>
        <w:tab/>
        <w:t>(a)</w:t>
      </w:r>
      <w:r>
        <w:tab/>
      </w:r>
      <w:r>
        <w:rPr>
          <w:spacing w:val="-2"/>
        </w:rPr>
        <w:t>rules</w:t>
      </w:r>
      <w:r>
        <w:t xml:space="preserve"> 1 and 2 — on the day on which these </w:t>
      </w:r>
      <w:r>
        <w:rPr>
          <w:spacing w:val="-2"/>
        </w:rPr>
        <w:t>rules</w:t>
      </w:r>
      <w:r>
        <w:t xml:space="preserve"> are published in the </w:t>
      </w:r>
      <w:r>
        <w:rPr>
          <w:i/>
          <w:iCs/>
        </w:rPr>
        <w:t>Gazette</w:t>
      </w:r>
      <w:r>
        <w:t>;</w:t>
      </w:r>
    </w:p>
    <w:p>
      <w:pPr>
        <w:pStyle w:val="Indenta"/>
      </w:pPr>
      <w:r>
        <w:tab/>
        <w:t>(b)</w:t>
      </w:r>
      <w:r>
        <w:tab/>
        <w:t xml:space="preserve">the rest of the </w:t>
      </w:r>
      <w:r>
        <w:rPr>
          <w:spacing w:val="-2"/>
        </w:rPr>
        <w:t>rules</w:t>
      </w:r>
      <w:r>
        <w:t> — on the day after that day.</w:t>
      </w:r>
    </w:p>
    <w:p>
      <w:pPr>
        <w:pStyle w:val="Heading2"/>
      </w:pPr>
      <w:bookmarkStart w:id="15" w:name="_Toc34139446"/>
      <w:bookmarkStart w:id="16" w:name="_Toc34139658"/>
      <w:bookmarkStart w:id="17" w:name="_Toc34147835"/>
      <w:bookmarkStart w:id="18" w:name="_Toc34207388"/>
      <w:bookmarkStart w:id="19" w:name="_Toc34291383"/>
      <w:bookmarkStart w:id="20" w:name="_Toc25657291"/>
      <w:bookmarkStart w:id="21" w:name="_Toc25760757"/>
      <w:bookmarkStart w:id="22" w:name="_Toc25761086"/>
      <w:r>
        <w:rPr>
          <w:rStyle w:val="CharPartNo"/>
        </w:rPr>
        <w:t>Part 2</w:t>
      </w:r>
      <w:r>
        <w:t> — </w:t>
      </w:r>
      <w:r>
        <w:rPr>
          <w:rStyle w:val="CharPartText"/>
        </w:rPr>
        <w:t>General provisions</w:t>
      </w:r>
      <w:bookmarkEnd w:id="15"/>
      <w:bookmarkEnd w:id="16"/>
      <w:bookmarkEnd w:id="17"/>
      <w:bookmarkEnd w:id="18"/>
      <w:bookmarkEnd w:id="19"/>
      <w:bookmarkEnd w:id="20"/>
      <w:bookmarkEnd w:id="21"/>
      <w:bookmarkEnd w:id="22"/>
    </w:p>
    <w:p>
      <w:pPr>
        <w:pStyle w:val="Heading3"/>
      </w:pPr>
      <w:bookmarkStart w:id="23" w:name="_Toc34139447"/>
      <w:bookmarkStart w:id="24" w:name="_Toc34139659"/>
      <w:bookmarkStart w:id="25" w:name="_Toc34147836"/>
      <w:bookmarkStart w:id="26" w:name="_Toc34207389"/>
      <w:bookmarkStart w:id="27" w:name="_Toc34291384"/>
      <w:bookmarkStart w:id="28" w:name="_Toc25657292"/>
      <w:bookmarkStart w:id="29" w:name="_Toc25760758"/>
      <w:bookmarkStart w:id="30" w:name="_Toc25761087"/>
      <w:r>
        <w:rPr>
          <w:rStyle w:val="CharDivNo"/>
        </w:rPr>
        <w:t>Division 1</w:t>
      </w:r>
      <w:r>
        <w:t> — </w:t>
      </w:r>
      <w:r>
        <w:rPr>
          <w:rStyle w:val="CharDivText"/>
        </w:rPr>
        <w:t>General requirements of entry</w:t>
      </w:r>
      <w:bookmarkEnd w:id="23"/>
      <w:bookmarkEnd w:id="24"/>
      <w:bookmarkEnd w:id="25"/>
      <w:bookmarkEnd w:id="26"/>
      <w:bookmarkEnd w:id="27"/>
      <w:bookmarkEnd w:id="28"/>
      <w:bookmarkEnd w:id="29"/>
      <w:bookmarkEnd w:id="30"/>
    </w:p>
    <w:p>
      <w:pPr>
        <w:pStyle w:val="Heading5"/>
      </w:pPr>
      <w:bookmarkStart w:id="31" w:name="_Toc34291385"/>
      <w:bookmarkStart w:id="32" w:name="_Toc25761088"/>
      <w:r>
        <w:rPr>
          <w:rStyle w:val="CharSectno"/>
        </w:rPr>
        <w:t>3</w:t>
      </w:r>
      <w:r>
        <w:t>.</w:t>
      </w:r>
      <w:r>
        <w:tab/>
        <w:t>Terms used</w:t>
      </w:r>
      <w:bookmarkEnd w:id="31"/>
      <w:bookmarkEnd w:id="32"/>
    </w:p>
    <w:p>
      <w:pPr>
        <w:pStyle w:val="Subsection"/>
      </w:pPr>
      <w:r>
        <w:tab/>
      </w:r>
      <w:r>
        <w:tab/>
        <w:t>In these rules —</w:t>
      </w:r>
    </w:p>
    <w:p>
      <w:pPr>
        <w:pStyle w:val="Defstart"/>
      </w:pPr>
      <w:r>
        <w:tab/>
      </w:r>
      <w:r>
        <w:rPr>
          <w:rStyle w:val="CharDefText"/>
        </w:rPr>
        <w:t>advance play option</w:t>
      </w:r>
      <w:r>
        <w:t>, where offered, is where —</w:t>
      </w:r>
    </w:p>
    <w:p>
      <w:pPr>
        <w:pStyle w:val="Defpara"/>
      </w:pPr>
      <w:r>
        <w:tab/>
        <w:t>(a)</w:t>
      </w:r>
      <w:r>
        <w:tab/>
        <w:t>a subscriber using a playslip requests that the entry be valid for a particular day or sequence of days as specified on the playslip; or</w:t>
      </w:r>
    </w:p>
    <w:p>
      <w:pPr>
        <w:pStyle w:val="Defpara"/>
      </w:pPr>
      <w:r>
        <w:tab/>
        <w:t>(b)</w:t>
      </w:r>
      <w:r>
        <w:tab/>
        <w:t>an oral request is made for an entry to be valid for a specified day or sequence of days; or</w:t>
      </w:r>
    </w:p>
    <w:p>
      <w:pPr>
        <w:pStyle w:val="Defpara"/>
      </w:pPr>
      <w:r>
        <w:tab/>
        <w:t>(c)</w:t>
      </w:r>
      <w:r>
        <w:tab/>
        <w:t>a request for digital entry is made via Play Online, the Lotterywest App or a self</w:t>
      </w:r>
      <w:r>
        <w:noBreakHyphen/>
        <w:t>serve kiosk, to be valid for a specified day or sequence of days;</w:t>
      </w:r>
    </w:p>
    <w:p>
      <w:pPr>
        <w:pStyle w:val="Defstart"/>
      </w:pPr>
      <w:r>
        <w:tab/>
      </w:r>
      <w:r>
        <w:rPr>
          <w:rStyle w:val="CharDefText"/>
        </w:rPr>
        <w:t>agent</w:t>
      </w:r>
      <w:r>
        <w:t xml:space="preserve"> means a person appointed by the Commission as its agent for purposes associated with lotto, and includes any branch or section of the Commission;</w:t>
      </w:r>
    </w:p>
    <w:p>
      <w:pPr>
        <w:pStyle w:val="Defstart"/>
      </w:pPr>
      <w:r>
        <w:tab/>
      </w:r>
      <w:r>
        <w:rPr>
          <w:rStyle w:val="CharDefText"/>
        </w:rPr>
        <w:t>authorised financial institution account</w:t>
      </w:r>
      <w:r>
        <w:t xml:space="preserve"> means a transaction account at —</w:t>
      </w:r>
    </w:p>
    <w:p>
      <w:pPr>
        <w:pStyle w:val="Defpara"/>
      </w:pPr>
      <w:r>
        <w:tab/>
        <w:t>(a)</w:t>
      </w:r>
      <w:r>
        <w:tab/>
        <w:t>an ADI (authorised deposit</w:t>
      </w:r>
      <w:r>
        <w:noBreakHyphen/>
        <w:t xml:space="preserve">taking institution) as defined in the </w:t>
      </w:r>
      <w:r>
        <w:rPr>
          <w:i/>
        </w:rPr>
        <w:t>Banking Act 1959</w:t>
      </w:r>
      <w:r>
        <w:t xml:space="preserve"> (Commonwealth) section 5(1); or</w:t>
      </w:r>
    </w:p>
    <w:p>
      <w:pPr>
        <w:pStyle w:val="Defpara"/>
      </w:pPr>
      <w:r>
        <w:tab/>
        <w:t>(b)</w:t>
      </w:r>
      <w:r>
        <w:tab/>
        <w:t>a bank constituted by a law of a State, a Territory or the Commonwealth;</w:t>
      </w:r>
    </w:p>
    <w:p>
      <w:pPr>
        <w:pStyle w:val="Defstart"/>
      </w:pPr>
      <w:r>
        <w:tab/>
      </w:r>
      <w:r>
        <w:rPr>
          <w:rStyle w:val="CharDefText"/>
        </w:rPr>
        <w:t>Cash 3</w:t>
      </w:r>
      <w:r>
        <w:t xml:space="preserve"> means a game conducted in accordance with Part 3 of these rules when read with Part 2;</w:t>
      </w:r>
    </w:p>
    <w:p>
      <w:pPr>
        <w:pStyle w:val="Defstart"/>
      </w:pPr>
      <w:r>
        <w:tab/>
      </w:r>
      <w:r>
        <w:rPr>
          <w:rStyle w:val="CharDefText"/>
        </w:rPr>
        <w:t>digital entry</w:t>
      </w:r>
      <w:r>
        <w:t>, into a lotto draw, is entry by way of a successful request via —</w:t>
      </w:r>
    </w:p>
    <w:p>
      <w:pPr>
        <w:pStyle w:val="Defpara"/>
      </w:pPr>
      <w:r>
        <w:tab/>
        <w:t>(a)</w:t>
      </w:r>
      <w:r>
        <w:tab/>
        <w:t>Play Online; or</w:t>
      </w:r>
    </w:p>
    <w:p>
      <w:pPr>
        <w:pStyle w:val="Defpara"/>
      </w:pPr>
      <w:r>
        <w:tab/>
        <w:t>(b)</w:t>
      </w:r>
      <w:r>
        <w:tab/>
        <w:t>the Lotterywest App; or</w:t>
      </w:r>
    </w:p>
    <w:p>
      <w:pPr>
        <w:pStyle w:val="Defpara"/>
      </w:pPr>
      <w:r>
        <w:tab/>
        <w:t>(c)</w:t>
      </w:r>
      <w:r>
        <w:tab/>
        <w:t>a self</w:t>
      </w:r>
      <w:r>
        <w:noBreakHyphen/>
        <w:t>serve kiosk;</w:t>
      </w:r>
    </w:p>
    <w:p>
      <w:pPr>
        <w:pStyle w:val="Defstart"/>
      </w:pPr>
      <w:r>
        <w:tab/>
      </w:r>
      <w:r>
        <w:rPr>
          <w:rStyle w:val="CharDefText"/>
        </w:rPr>
        <w:t>game board</w:t>
      </w:r>
      <w:r>
        <w:t xml:space="preserve"> means that part of a playslip required to be filled out for one game of lotto to be entered, whether physically or in digital form;</w:t>
      </w:r>
    </w:p>
    <w:p>
      <w:pPr>
        <w:pStyle w:val="Defstart"/>
      </w:pPr>
      <w:r>
        <w:tab/>
      </w:r>
      <w:r>
        <w:rPr>
          <w:rStyle w:val="CharDefText"/>
        </w:rPr>
        <w:t>Lotterywest App</w:t>
      </w:r>
      <w:r>
        <w:t xml:space="preserve"> has the meaning given in rule 39;</w:t>
      </w:r>
    </w:p>
    <w:p>
      <w:pPr>
        <w:pStyle w:val="Defstart"/>
      </w:pPr>
      <w:r>
        <w:tab/>
      </w:r>
      <w:r>
        <w:rPr>
          <w:rStyle w:val="CharDefText"/>
        </w:rPr>
        <w:t>Lotterywest membership card</w:t>
      </w:r>
      <w:r>
        <w:t xml:space="preserve"> means a physical or virtual card issued following a request under rule 15;</w:t>
      </w:r>
    </w:p>
    <w:p>
      <w:pPr>
        <w:pStyle w:val="Defstart"/>
      </w:pPr>
      <w:r>
        <w:tab/>
      </w:r>
      <w:r>
        <w:rPr>
          <w:rStyle w:val="CharDefText"/>
        </w:rPr>
        <w:t>Lotterywest membership number</w:t>
      </w:r>
      <w:r>
        <w:t xml:space="preserve"> is a player membership number under rule 15 which may be printed on a receipted ticket, corresponding to an account through which a player may be identified;</w:t>
      </w:r>
    </w:p>
    <w:p>
      <w:pPr>
        <w:pStyle w:val="Defstart"/>
      </w:pPr>
      <w:r>
        <w:tab/>
      </w:r>
      <w:r>
        <w:rPr>
          <w:rStyle w:val="CharDefText"/>
        </w:rPr>
        <w:t>lotto</w:t>
      </w:r>
      <w:r>
        <w:t xml:space="preserve"> means any of the following —</w:t>
      </w:r>
    </w:p>
    <w:p>
      <w:pPr>
        <w:pStyle w:val="Defpara"/>
      </w:pPr>
      <w:r>
        <w:tab/>
        <w:t>(a)</w:t>
      </w:r>
      <w:r>
        <w:tab/>
        <w:t>Cash 3;</w:t>
      </w:r>
    </w:p>
    <w:p>
      <w:pPr>
        <w:pStyle w:val="Defpara"/>
      </w:pPr>
      <w:r>
        <w:tab/>
        <w:t>(b)</w:t>
      </w:r>
      <w:r>
        <w:tab/>
        <w:t>Monday Lotto;</w:t>
      </w:r>
    </w:p>
    <w:p>
      <w:pPr>
        <w:pStyle w:val="Defpara"/>
      </w:pPr>
      <w:r>
        <w:tab/>
        <w:t>(c)</w:t>
      </w:r>
      <w:r>
        <w:tab/>
        <w:t>OZ Lotto;</w:t>
      </w:r>
    </w:p>
    <w:p>
      <w:pPr>
        <w:pStyle w:val="Defpara"/>
      </w:pPr>
      <w:r>
        <w:tab/>
        <w:t>(d)</w:t>
      </w:r>
      <w:r>
        <w:tab/>
        <w:t>Powerball;</w:t>
      </w:r>
    </w:p>
    <w:p>
      <w:pPr>
        <w:pStyle w:val="Defpara"/>
      </w:pPr>
      <w:r>
        <w:tab/>
        <w:t>(e)</w:t>
      </w:r>
      <w:r>
        <w:tab/>
        <w:t>Saturday Lotto;</w:t>
      </w:r>
    </w:p>
    <w:p>
      <w:pPr>
        <w:pStyle w:val="Defpara"/>
      </w:pPr>
      <w:r>
        <w:tab/>
        <w:t>(f)</w:t>
      </w:r>
      <w:r>
        <w:tab/>
        <w:t>Set for Life;</w:t>
      </w:r>
    </w:p>
    <w:p>
      <w:pPr>
        <w:pStyle w:val="Defpara"/>
      </w:pPr>
      <w:r>
        <w:tab/>
        <w:t>(g)</w:t>
      </w:r>
      <w:r>
        <w:tab/>
        <w:t>Soccer Pools;</w:t>
      </w:r>
    </w:p>
    <w:p>
      <w:pPr>
        <w:pStyle w:val="Defpara"/>
      </w:pPr>
      <w:r>
        <w:tab/>
        <w:t>(h)</w:t>
      </w:r>
      <w:r>
        <w:tab/>
        <w:t>Super66;</w:t>
      </w:r>
    </w:p>
    <w:p>
      <w:pPr>
        <w:pStyle w:val="Defpara"/>
        <w:rPr>
          <w:rStyle w:val="DraftersNotes"/>
          <w:b w:val="0"/>
          <w:i w:val="0"/>
          <w:sz w:val="24"/>
        </w:rPr>
      </w:pPr>
      <w:r>
        <w:tab/>
        <w:t>(i)</w:t>
      </w:r>
      <w:r>
        <w:tab/>
        <w:t>Wednesday Lotto;</w:t>
      </w:r>
    </w:p>
    <w:p>
      <w:pPr>
        <w:pStyle w:val="Defstart"/>
      </w:pPr>
      <w:r>
        <w:tab/>
      </w:r>
      <w:r>
        <w:rPr>
          <w:rStyle w:val="CharDefText"/>
        </w:rPr>
        <w:t>Lotto Bloc</w:t>
      </w:r>
      <w:r>
        <w:t xml:space="preserve"> means the group that has entered into a Bloc Agreement, made up of the Commission and other designated authorities, for the promotion, conduct and sale of tickets in a particular type of lotto, when that term appears in the rules to that type of lotto;</w:t>
      </w:r>
    </w:p>
    <w:p>
      <w:pPr>
        <w:pStyle w:val="Defstart"/>
        <w:rPr>
          <w:u w:val="single"/>
        </w:rPr>
      </w:pPr>
      <w:r>
        <w:tab/>
      </w:r>
      <w:r>
        <w:rPr>
          <w:rStyle w:val="CharDefText"/>
        </w:rPr>
        <w:t>lotto draw</w:t>
      </w:r>
      <w:r>
        <w:t xml:space="preserve"> includes a Soccer Pools Game as described in Part 9;</w:t>
      </w:r>
    </w:p>
    <w:p>
      <w:pPr>
        <w:pStyle w:val="Defstart"/>
      </w:pPr>
      <w:r>
        <w:tab/>
      </w:r>
      <w:r>
        <w:rPr>
          <w:rStyle w:val="CharDefText"/>
        </w:rPr>
        <w:t>Monday and Wednesday Lotto Rules</w:t>
      </w:r>
      <w:r>
        <w:t xml:space="preserve"> means the rules in Part 4 of these rules when read with Part 2;</w:t>
      </w:r>
    </w:p>
    <w:p>
      <w:pPr>
        <w:pStyle w:val="Defstart"/>
      </w:pPr>
      <w:r>
        <w:tab/>
      </w:r>
      <w:r>
        <w:rPr>
          <w:rStyle w:val="CharDefText"/>
        </w:rPr>
        <w:t>Monday Lotto</w:t>
      </w:r>
      <w:r>
        <w:t xml:space="preserve"> means a game of lotto conducted in accordance with Part 4 of these rules when read with Part 2;</w:t>
      </w:r>
    </w:p>
    <w:p>
      <w:pPr>
        <w:pStyle w:val="Defstart"/>
      </w:pPr>
      <w:r>
        <w:tab/>
      </w:r>
      <w:r>
        <w:rPr>
          <w:rStyle w:val="CharDefText"/>
        </w:rPr>
        <w:t>OZ Lotto</w:t>
      </w:r>
      <w:r>
        <w:t xml:space="preserve"> means a game of lotto conducted in accordance with Part 5 of these rules when read with Part 2;</w:t>
      </w:r>
    </w:p>
    <w:p>
      <w:pPr>
        <w:pStyle w:val="Defstart"/>
      </w:pPr>
      <w:r>
        <w:tab/>
      </w:r>
      <w:r>
        <w:rPr>
          <w:rStyle w:val="CharDefText"/>
        </w:rPr>
        <w:t>payout period</w:t>
      </w:r>
      <w:r>
        <w:t xml:space="preserve"> means the period from the day of a particular lotto draw to the close of business on the day 12 months after that draw;</w:t>
      </w:r>
    </w:p>
    <w:p>
      <w:pPr>
        <w:pStyle w:val="Defstart"/>
      </w:pPr>
      <w:r>
        <w:tab/>
      </w:r>
      <w:r>
        <w:rPr>
          <w:rStyle w:val="CharDefText"/>
        </w:rPr>
        <w:t>Play Online</w:t>
      </w:r>
      <w:r>
        <w:t xml:space="preserve"> has the meaning given in rule 39;</w:t>
      </w:r>
    </w:p>
    <w:p>
      <w:pPr>
        <w:pStyle w:val="Defstart"/>
      </w:pPr>
      <w:r>
        <w:tab/>
      </w:r>
      <w:r>
        <w:rPr>
          <w:rStyle w:val="CharDefText"/>
        </w:rPr>
        <w:t>Play Online profile</w:t>
      </w:r>
      <w:r>
        <w:t xml:space="preserve"> means the profile established in accordance with rule 41(3);</w:t>
      </w:r>
    </w:p>
    <w:p>
      <w:pPr>
        <w:pStyle w:val="Defstart"/>
      </w:pPr>
      <w:r>
        <w:tab/>
      </w:r>
      <w:r>
        <w:rPr>
          <w:rStyle w:val="CharDefText"/>
        </w:rPr>
        <w:t>player</w:t>
      </w:r>
      <w:r>
        <w:t xml:space="preserve"> has the equivalent meaning to </w:t>
      </w:r>
      <w:r>
        <w:rPr>
          <w:rStyle w:val="CharDefText"/>
        </w:rPr>
        <w:t>subscriber</w:t>
      </w:r>
      <w:r>
        <w:t>;</w:t>
      </w:r>
    </w:p>
    <w:p>
      <w:pPr>
        <w:pStyle w:val="Defstart"/>
      </w:pPr>
      <w:r>
        <w:tab/>
      </w:r>
      <w:r>
        <w:rPr>
          <w:rStyle w:val="CharDefText"/>
        </w:rPr>
        <w:t>playslip</w:t>
      </w:r>
      <w:r>
        <w:t xml:space="preserve"> means an entry form, whether for a single game or multiple games and for all types of play;</w:t>
      </w:r>
    </w:p>
    <w:p>
      <w:pPr>
        <w:pStyle w:val="Defstart"/>
      </w:pPr>
      <w:r>
        <w:tab/>
      </w:r>
      <w:r>
        <w:rPr>
          <w:rStyle w:val="CharDefText"/>
        </w:rPr>
        <w:t>Pools Game</w:t>
      </w:r>
      <w:r>
        <w:t xml:space="preserve"> means a particular game of Soccer Pools designated by a number in accordance with rule 19;</w:t>
      </w:r>
    </w:p>
    <w:p>
      <w:pPr>
        <w:pStyle w:val="Defstart"/>
      </w:pPr>
      <w:r>
        <w:tab/>
      </w:r>
      <w:r>
        <w:rPr>
          <w:rStyle w:val="CharDefText"/>
        </w:rPr>
        <w:t>Powerball</w:t>
      </w:r>
      <w:r>
        <w:t xml:space="preserve"> means a game of lotto conducted in accordance with Part 6 of these rules when read with Part 2;</w:t>
      </w:r>
    </w:p>
    <w:p>
      <w:pPr>
        <w:pStyle w:val="Defstart"/>
      </w:pPr>
      <w:r>
        <w:tab/>
      </w:r>
      <w:r>
        <w:rPr>
          <w:rStyle w:val="CharDefText"/>
        </w:rPr>
        <w:t>promotional coupon</w:t>
      </w:r>
      <w:r>
        <w:t xml:space="preserve"> means a coupon or an offer initiated by the Commission that allows a receipted ticket to be produced for a subscriber or an entry to be made in a lotto draw without full payment being required;</w:t>
      </w:r>
    </w:p>
    <w:p>
      <w:pPr>
        <w:pStyle w:val="Defstart"/>
      </w:pPr>
      <w:r>
        <w:tab/>
      </w:r>
      <w:r>
        <w:rPr>
          <w:rStyle w:val="CharDefText"/>
        </w:rPr>
        <w:t>publish</w:t>
      </w:r>
      <w:r>
        <w:t xml:space="preserve"> means to disseminate to the public or a section of the public by any means, including — </w:t>
      </w:r>
    </w:p>
    <w:p>
      <w:pPr>
        <w:pStyle w:val="Defpara"/>
      </w:pPr>
      <w:r>
        <w:tab/>
        <w:t>(a)</w:t>
      </w:r>
      <w:r>
        <w:tab/>
        <w:t>in a newspaper or periodical publication; or</w:t>
      </w:r>
    </w:p>
    <w:p>
      <w:pPr>
        <w:pStyle w:val="Defpara"/>
      </w:pPr>
      <w:r>
        <w:tab/>
        <w:t>(b)</w:t>
      </w:r>
      <w:r>
        <w:tab/>
        <w:t>by radio broadcast, television, internet or other electronic or digital media;</w:t>
      </w:r>
    </w:p>
    <w:p>
      <w:pPr>
        <w:pStyle w:val="Defstart"/>
      </w:pPr>
      <w:r>
        <w:rPr>
          <w:b/>
        </w:rPr>
        <w:tab/>
      </w:r>
      <w:r>
        <w:rPr>
          <w:rStyle w:val="CharDefText"/>
        </w:rPr>
        <w:t>receipted ticket</w:t>
      </w:r>
      <w:r>
        <w:t xml:space="preserve"> means a ticket that is produced and issued by an agent as a result of processing a playslip, accepting a promotional coupon or as a response to an oral request for entry;</w:t>
      </w:r>
    </w:p>
    <w:p>
      <w:pPr>
        <w:pStyle w:val="Defstart"/>
      </w:pPr>
      <w:r>
        <w:rPr>
          <w:b/>
        </w:rPr>
        <w:tab/>
      </w:r>
      <w:r>
        <w:rPr>
          <w:rStyle w:val="CharDefText"/>
        </w:rPr>
        <w:t>Saturday Lotto</w:t>
      </w:r>
      <w:r>
        <w:t xml:space="preserve"> means a game of lotto conducted in accordance with Part 7 of these rules when read with Part 2;</w:t>
      </w:r>
    </w:p>
    <w:p>
      <w:pPr>
        <w:pStyle w:val="Defstart"/>
      </w:pPr>
      <w:r>
        <w:tab/>
      </w:r>
      <w:r>
        <w:rPr>
          <w:rStyle w:val="CharDefText"/>
        </w:rPr>
        <w:t>selected number</w:t>
      </w:r>
      <w:r>
        <w:t xml:space="preserve"> means one of the numbers —</w:t>
      </w:r>
    </w:p>
    <w:p>
      <w:pPr>
        <w:pStyle w:val="Defpara"/>
      </w:pPr>
      <w:r>
        <w:tab/>
        <w:t>(a)</w:t>
      </w:r>
      <w:r>
        <w:tab/>
        <w:t>selected on a game board; or</w:t>
      </w:r>
    </w:p>
    <w:p>
      <w:pPr>
        <w:pStyle w:val="Defpara"/>
      </w:pPr>
      <w:r>
        <w:tab/>
        <w:t>(b)</w:t>
      </w:r>
      <w:r>
        <w:tab/>
        <w:t>shown on a receipted ticket as a selected number; or</w:t>
      </w:r>
    </w:p>
    <w:p>
      <w:pPr>
        <w:pStyle w:val="Defpara"/>
      </w:pPr>
      <w:r>
        <w:tab/>
        <w:t>(c)</w:t>
      </w:r>
      <w:r>
        <w:tab/>
        <w:t>displayed as the result of a digital entry;</w:t>
      </w:r>
    </w:p>
    <w:p>
      <w:pPr>
        <w:pStyle w:val="Defstart"/>
      </w:pPr>
      <w:r>
        <w:tab/>
      </w:r>
      <w:r>
        <w:rPr>
          <w:rStyle w:val="CharDefText"/>
        </w:rPr>
        <w:t>self</w:t>
      </w:r>
      <w:r>
        <w:rPr>
          <w:rStyle w:val="CharDefText"/>
        </w:rPr>
        <w:noBreakHyphen/>
        <w:t>serve kiosk</w:t>
      </w:r>
      <w:r>
        <w:t xml:space="preserve"> means a self</w:t>
      </w:r>
      <w:r>
        <w:noBreakHyphen/>
        <w:t>contained processing station operated by the player, for digital entries into lotto;</w:t>
      </w:r>
    </w:p>
    <w:p>
      <w:pPr>
        <w:pStyle w:val="Defstart"/>
      </w:pPr>
      <w:r>
        <w:rPr>
          <w:b/>
        </w:rPr>
        <w:tab/>
      </w:r>
      <w:r>
        <w:rPr>
          <w:rStyle w:val="CharDefText"/>
        </w:rPr>
        <w:t>selling period</w:t>
      </w:r>
      <w:r>
        <w:t xml:space="preserve"> means the period before a particular lotto draw, Cash 3 draw or Soccer Pools Game, terminating at the time on the day of the draw or game specified by the Commission;</w:t>
      </w:r>
    </w:p>
    <w:p>
      <w:pPr>
        <w:pStyle w:val="Defstart"/>
      </w:pPr>
      <w:r>
        <w:tab/>
      </w:r>
      <w:r>
        <w:rPr>
          <w:rStyle w:val="CharDefText"/>
        </w:rPr>
        <w:t>Set for Life</w:t>
      </w:r>
      <w:r>
        <w:t xml:space="preserve"> means a game of lotto conducted in accordance with Part 8 of these rules when read with Part 2;</w:t>
      </w:r>
    </w:p>
    <w:p>
      <w:pPr>
        <w:pStyle w:val="Defstart"/>
      </w:pPr>
      <w:r>
        <w:tab/>
      </w:r>
      <w:r>
        <w:rPr>
          <w:rStyle w:val="CharDefText"/>
        </w:rPr>
        <w:t>Soccer Pools</w:t>
      </w:r>
      <w:r>
        <w:t xml:space="preserve"> means a game conducted in accordance with Part 9 of these rules when read with Part 2;</w:t>
      </w:r>
    </w:p>
    <w:p>
      <w:pPr>
        <w:pStyle w:val="Defstart"/>
      </w:pPr>
      <w:r>
        <w:tab/>
      </w:r>
      <w:r>
        <w:rPr>
          <w:rStyle w:val="CharDefText"/>
        </w:rPr>
        <w:t>subscriber</w:t>
      </w:r>
      <w:r>
        <w:t xml:space="preserve"> means a person who is entering, or has entered lotto;</w:t>
      </w:r>
    </w:p>
    <w:p>
      <w:pPr>
        <w:pStyle w:val="Defstart"/>
      </w:pPr>
      <w:r>
        <w:tab/>
      </w:r>
      <w:r>
        <w:rPr>
          <w:rStyle w:val="CharDefText"/>
        </w:rPr>
        <w:t>Super66</w:t>
      </w:r>
      <w:r>
        <w:t xml:space="preserve"> means a game of lotto conducted in accordance with Part 10 of these rules when read with Part 2;</w:t>
      </w:r>
    </w:p>
    <w:p>
      <w:pPr>
        <w:pStyle w:val="Defstart"/>
      </w:pPr>
      <w:r>
        <w:tab/>
      </w:r>
      <w:r>
        <w:rPr>
          <w:rStyle w:val="CharDefText"/>
        </w:rPr>
        <w:t>system entry</w:t>
      </w:r>
      <w:r>
        <w:t xml:space="preserve"> means a type of entry that gives rise to multiple combinations of game numbers, in accordance with the rules for each type of lotto;</w:t>
      </w:r>
    </w:p>
    <w:p>
      <w:pPr>
        <w:pStyle w:val="Defstart"/>
      </w:pPr>
      <w:r>
        <w:tab/>
      </w:r>
      <w:r>
        <w:rPr>
          <w:rStyle w:val="CharDefText"/>
        </w:rPr>
        <w:t>wager</w:t>
      </w:r>
      <w:r>
        <w:t xml:space="preserve"> means the amount tendered by the subscriber for entry into a game of lotto;</w:t>
      </w:r>
    </w:p>
    <w:p>
      <w:pPr>
        <w:pStyle w:val="Defstart"/>
      </w:pPr>
      <w:r>
        <w:tab/>
      </w:r>
      <w:r>
        <w:rPr>
          <w:rStyle w:val="CharDefText"/>
        </w:rPr>
        <w:t>Wednesday Lotto</w:t>
      </w:r>
      <w:r>
        <w:t xml:space="preserve"> means a game of lotto conducted in accordance with Part 4 of these rules when read with Part 2.</w:t>
      </w:r>
    </w:p>
    <w:p>
      <w:pPr>
        <w:pStyle w:val="Footnotesection"/>
      </w:pPr>
      <w:r>
        <w:tab/>
        <w:t>[Rule 3 amended: Gazette 4 Oct 2017 p. 5107</w:t>
      </w:r>
      <w:r>
        <w:noBreakHyphen/>
        <w:t>9.]</w:t>
      </w:r>
    </w:p>
    <w:p>
      <w:pPr>
        <w:pStyle w:val="Heading5"/>
        <w:rPr>
          <w:snapToGrid w:val="0"/>
        </w:rPr>
      </w:pPr>
      <w:bookmarkStart w:id="33" w:name="_Toc34291386"/>
      <w:bookmarkStart w:id="34" w:name="_Toc25761089"/>
      <w:r>
        <w:rPr>
          <w:rStyle w:val="CharSectno"/>
        </w:rPr>
        <w:t>4</w:t>
      </w:r>
      <w:r>
        <w:rPr>
          <w:snapToGrid w:val="0"/>
        </w:rPr>
        <w:t>.</w:t>
      </w:r>
      <w:r>
        <w:rPr>
          <w:snapToGrid w:val="0"/>
        </w:rPr>
        <w:tab/>
        <w:t>Methods of entry</w:t>
      </w:r>
      <w:bookmarkEnd w:id="33"/>
      <w:bookmarkEnd w:id="34"/>
    </w:p>
    <w:p>
      <w:pPr>
        <w:pStyle w:val="Subsection"/>
        <w:rPr>
          <w:snapToGrid w:val="0"/>
        </w:rPr>
      </w:pPr>
      <w:r>
        <w:rPr>
          <w:snapToGrid w:val="0"/>
        </w:rPr>
        <w:tab/>
      </w:r>
      <w:r>
        <w:t>(1)</w:t>
      </w:r>
      <w:r>
        <w:rPr>
          <w:snapToGrid w:val="0"/>
        </w:rPr>
        <w:tab/>
        <w:t xml:space="preserve">A person may enter lotto — </w:t>
      </w:r>
    </w:p>
    <w:p>
      <w:pPr>
        <w:pStyle w:val="Indenta"/>
      </w:pPr>
      <w:r>
        <w:tab/>
        <w:t>(a)</w:t>
      </w:r>
      <w:r>
        <w:tab/>
        <w:t xml:space="preserve">by filling out a playslip in accordance with the relevant rule in the Part relating to that type of lotto and </w:t>
      </w:r>
      <w:r>
        <w:rPr>
          <w:snapToGrid w:val="0"/>
        </w:rPr>
        <w:t>giving it to an agent; or</w:t>
      </w:r>
    </w:p>
    <w:p>
      <w:pPr>
        <w:pStyle w:val="Indenta"/>
      </w:pPr>
      <w:r>
        <w:tab/>
        <w:t>(b)</w:t>
      </w:r>
      <w:r>
        <w:tab/>
        <w:t xml:space="preserve">by </w:t>
      </w:r>
      <w:r>
        <w:rPr>
          <w:snapToGrid w:val="0"/>
        </w:rPr>
        <w:t xml:space="preserve">making an oral request for entry in accordance </w:t>
      </w:r>
      <w:r>
        <w:t>with the relevant rule in the Part relating to that type of lotto; or</w:t>
      </w:r>
    </w:p>
    <w:p>
      <w:pPr>
        <w:pStyle w:val="Indenta"/>
      </w:pPr>
      <w:r>
        <w:tab/>
        <w:t>(c)</w:t>
      </w:r>
      <w:r>
        <w:tab/>
        <w:t>by using the ticket repeat method set out in rule 6; or</w:t>
      </w:r>
    </w:p>
    <w:p>
      <w:pPr>
        <w:pStyle w:val="Indenta"/>
        <w:keepNext/>
        <w:rPr>
          <w:snapToGrid w:val="0"/>
        </w:rPr>
      </w:pPr>
      <w:r>
        <w:tab/>
        <w:t>(d)</w:t>
      </w:r>
      <w:r>
        <w:tab/>
        <w:t>otherwise in accordance with Division 5 of this Part,</w:t>
      </w:r>
    </w:p>
    <w:p>
      <w:pPr>
        <w:pStyle w:val="Subsection"/>
        <w:spacing w:before="120"/>
        <w:rPr>
          <w:snapToGrid w:val="0"/>
        </w:rPr>
      </w:pPr>
      <w:r>
        <w:rPr>
          <w:snapToGrid w:val="0"/>
        </w:rPr>
        <w:tab/>
      </w:r>
      <w:r>
        <w:rPr>
          <w:snapToGrid w:val="0"/>
        </w:rPr>
        <w:tab/>
        <w:t xml:space="preserve">and paying the appropriate amount as </w:t>
      </w:r>
      <w:r>
        <w:t>calculated using the formula</w:t>
      </w:r>
      <w:r>
        <w:rPr>
          <w:snapToGrid w:val="0"/>
        </w:rPr>
        <w:t xml:space="preserve"> set out in the Part, or Schedule to the Part, </w:t>
      </w:r>
      <w:r>
        <w:t>relating to that type of lotto</w:t>
      </w:r>
      <w:r>
        <w:rPr>
          <w:snapToGrid w:val="0"/>
        </w:rPr>
        <w:t>.</w:t>
      </w:r>
    </w:p>
    <w:p>
      <w:pPr>
        <w:pStyle w:val="Subsection"/>
      </w:pPr>
      <w:r>
        <w:tab/>
        <w:t>(2)</w:t>
      </w:r>
      <w:r>
        <w:tab/>
        <w:t>A person may enter lotto by redeeming a promotional coupon and, in that case, may be required to pay less than the amount payable under subrule (1).</w:t>
      </w:r>
    </w:p>
    <w:p>
      <w:pPr>
        <w:pStyle w:val="Subsection"/>
      </w:pPr>
      <w:r>
        <w:tab/>
        <w:t>(3)</w:t>
      </w:r>
      <w:r>
        <w:tab/>
        <w:t>A person may enter lotto as a part of a syndicate provided a syndicate entry is allowed for that type of lotto and the entry is in accordance with Division 3 of this Part.</w:t>
      </w:r>
    </w:p>
    <w:p>
      <w:pPr>
        <w:pStyle w:val="Subsection"/>
        <w:rPr>
          <w:snapToGrid w:val="0"/>
        </w:rPr>
      </w:pPr>
      <w:r>
        <w:rPr>
          <w:snapToGrid w:val="0"/>
        </w:rPr>
        <w:tab/>
      </w:r>
      <w:r>
        <w:t>(4)</w:t>
      </w:r>
      <w:r>
        <w:rPr>
          <w:snapToGrid w:val="0"/>
        </w:rPr>
        <w:tab/>
      </w:r>
      <w:r>
        <w:t>A playslip</w:t>
      </w:r>
      <w:r>
        <w:rPr>
          <w:snapToGrid w:val="0"/>
        </w:rPr>
        <w:t xml:space="preserve"> or oral request for entry is invalid, and is to be rejected by an agent, if it has not been completed or made in accordance with these rules.</w:t>
      </w:r>
    </w:p>
    <w:p>
      <w:pPr>
        <w:pStyle w:val="Subsection"/>
        <w:rPr>
          <w:snapToGrid w:val="0"/>
        </w:rPr>
      </w:pPr>
      <w:r>
        <w:rPr>
          <w:snapToGrid w:val="0"/>
        </w:rPr>
        <w:tab/>
        <w:t>(5)</w:t>
      </w:r>
      <w:r>
        <w:rPr>
          <w:snapToGrid w:val="0"/>
          <w:spacing w:val="-4"/>
        </w:rPr>
        <w:tab/>
      </w:r>
      <w:r>
        <w:t>A playslip</w:t>
      </w:r>
      <w:r>
        <w:rPr>
          <w:snapToGrid w:val="0"/>
        </w:rPr>
        <w:t xml:space="preserve"> may be rejected by the agent as an invalid entry, at the time of presentation by the subscriber, if —</w:t>
      </w:r>
    </w:p>
    <w:p>
      <w:pPr>
        <w:pStyle w:val="Indenta"/>
        <w:rPr>
          <w:snapToGrid w:val="0"/>
        </w:rPr>
      </w:pPr>
      <w:r>
        <w:rPr>
          <w:snapToGrid w:val="0"/>
        </w:rPr>
        <w:tab/>
        <w:t>(a)</w:t>
      </w:r>
      <w:r>
        <w:rPr>
          <w:snapToGrid w:val="0"/>
        </w:rPr>
        <w:tab/>
        <w:t xml:space="preserve">it has not been marked by hand in </w:t>
      </w:r>
      <w:r>
        <w:t>black or</w:t>
      </w:r>
      <w:r>
        <w:rPr>
          <w:snapToGrid w:val="0"/>
        </w:rPr>
        <w:t xml:space="preserve"> blue ball point pen in accordance with the conditions on that</w:t>
      </w:r>
      <w:r>
        <w:t xml:space="preserve"> playslip;</w:t>
      </w:r>
      <w:r>
        <w:rPr>
          <w:snapToGrid w:val="0"/>
        </w:rPr>
        <w:t xml:space="preserve"> or</w:t>
      </w:r>
    </w:p>
    <w:p>
      <w:pPr>
        <w:pStyle w:val="Indenta"/>
        <w:rPr>
          <w:snapToGrid w:val="0"/>
        </w:rPr>
      </w:pPr>
      <w:r>
        <w:rPr>
          <w:snapToGrid w:val="0"/>
        </w:rPr>
        <w:tab/>
        <w:t>(b)</w:t>
      </w:r>
      <w:r>
        <w:rPr>
          <w:snapToGrid w:val="0"/>
        </w:rPr>
        <w:tab/>
        <w:t>it has been generated or marked by mechanical or electronic means.</w:t>
      </w:r>
    </w:p>
    <w:p>
      <w:pPr>
        <w:pStyle w:val="Subsection"/>
        <w:rPr>
          <w:snapToGrid w:val="0"/>
        </w:rPr>
      </w:pPr>
      <w:r>
        <w:rPr>
          <w:snapToGrid w:val="0"/>
        </w:rPr>
        <w:tab/>
      </w:r>
      <w:r>
        <w:t>(6)</w:t>
      </w:r>
      <w:r>
        <w:rPr>
          <w:snapToGrid w:val="0"/>
        </w:rPr>
        <w:tab/>
        <w:t xml:space="preserve">Any money tendered with </w:t>
      </w:r>
      <w:r>
        <w:t>a playslip</w:t>
      </w:r>
      <w:r>
        <w:rPr>
          <w:snapToGrid w:val="0"/>
        </w:rPr>
        <w:t xml:space="preserve"> or oral request that is rejected is to be refunded to the subscriber.</w:t>
      </w:r>
    </w:p>
    <w:p>
      <w:pPr>
        <w:pStyle w:val="Footnotesection"/>
      </w:pPr>
      <w:r>
        <w:tab/>
        <w:t>[Rule 4 amended: Gazette 4 Oct 2017 p. 5109.]</w:t>
      </w:r>
    </w:p>
    <w:p>
      <w:pPr>
        <w:pStyle w:val="Heading5"/>
        <w:keepNext w:val="0"/>
        <w:keepLines w:val="0"/>
        <w:widowControl w:val="0"/>
      </w:pPr>
      <w:bookmarkStart w:id="35" w:name="_Toc34291387"/>
      <w:bookmarkStart w:id="36" w:name="_Toc25761090"/>
      <w:r>
        <w:rPr>
          <w:rStyle w:val="CharSectno"/>
        </w:rPr>
        <w:t>5</w:t>
      </w:r>
      <w:r>
        <w:t>.</w:t>
      </w:r>
      <w:r>
        <w:tab/>
        <w:t>Receipted tickets to be issued</w:t>
      </w:r>
      <w:bookmarkEnd w:id="35"/>
      <w:bookmarkEnd w:id="36"/>
    </w:p>
    <w:p>
      <w:pPr>
        <w:pStyle w:val="Subsection"/>
        <w:rPr>
          <w:spacing w:val="-2"/>
        </w:rPr>
      </w:pPr>
      <w:r>
        <w:rPr>
          <w:spacing w:val="-2"/>
        </w:rPr>
        <w:tab/>
      </w:r>
      <w:r>
        <w:t>(1)</w:t>
      </w:r>
      <w:r>
        <w:rPr>
          <w:spacing w:val="-2"/>
        </w:rPr>
        <w:tab/>
        <w:t>Where a person enters lotto in accordance with these rules, a receipted ticket or tickets must be generated and made available to the subscriber electronically or given to the subscriber (as the case requires).</w:t>
      </w:r>
    </w:p>
    <w:p>
      <w:pPr>
        <w:pStyle w:val="Ednotesubsection"/>
      </w:pPr>
      <w:r>
        <w:tab/>
        <w:t>[(2)</w:t>
      </w:r>
      <w:r>
        <w:tab/>
        <w:t>deleted]</w:t>
      </w:r>
    </w:p>
    <w:p>
      <w:pPr>
        <w:pStyle w:val="Footnotesection"/>
      </w:pPr>
      <w:r>
        <w:tab/>
        <w:t>[Rule 5 amended: Gazette 4 Oct 2017 p. 5109.]</w:t>
      </w:r>
    </w:p>
    <w:p>
      <w:pPr>
        <w:pStyle w:val="Heading5"/>
      </w:pPr>
      <w:bookmarkStart w:id="37" w:name="_Toc34291388"/>
      <w:bookmarkStart w:id="38" w:name="_Toc25761091"/>
      <w:r>
        <w:rPr>
          <w:rStyle w:val="CharSectno"/>
        </w:rPr>
        <w:t>6</w:t>
      </w:r>
      <w:r>
        <w:t>.</w:t>
      </w:r>
      <w:r>
        <w:tab/>
        <w:t>Ticket repeat method of entry</w:t>
      </w:r>
      <w:bookmarkEnd w:id="37"/>
      <w:bookmarkEnd w:id="38"/>
    </w:p>
    <w:p>
      <w:pPr>
        <w:pStyle w:val="Subsection"/>
      </w:pPr>
      <w:r>
        <w:tab/>
        <w:t>(1)</w:t>
      </w:r>
      <w:r>
        <w:tab/>
        <w:t>A person may select the numbers and game type required to enter a lotto draw by presenting an existing receipted ticket and requesting the same type of game entry and combination of numbers, or repeating a previously played digital entry.</w:t>
      </w:r>
    </w:p>
    <w:p>
      <w:pPr>
        <w:pStyle w:val="Subsection"/>
      </w:pPr>
      <w:r>
        <w:tab/>
        <w:t>(2)</w:t>
      </w:r>
      <w:r>
        <w:tab/>
        <w:t>If a receipted ticket linked to a Lotterywest membership card number is used to generate a repeat selection under subrule (1), that ticket does not continue to be linked to the number unless the subscriber’s Lotterywest membership card is presented as well.</w:t>
      </w:r>
    </w:p>
    <w:p>
      <w:pPr>
        <w:pStyle w:val="Subsection"/>
      </w:pPr>
      <w:r>
        <w:tab/>
        <w:t>(3)</w:t>
      </w:r>
      <w:r>
        <w:tab/>
        <w:t>This rule does not apply to a syndicate share receipted ticket or a syndicate master ticket.</w:t>
      </w:r>
    </w:p>
    <w:p>
      <w:pPr>
        <w:pStyle w:val="Footnotesection"/>
      </w:pPr>
      <w:r>
        <w:tab/>
        <w:t>[Rule 6 amended: Gazette 4 Oct 2017 p. 5110.]</w:t>
      </w:r>
    </w:p>
    <w:p>
      <w:pPr>
        <w:pStyle w:val="Heading5"/>
      </w:pPr>
      <w:bookmarkStart w:id="39" w:name="_Toc34291389"/>
      <w:bookmarkStart w:id="40" w:name="_Toc25761092"/>
      <w:r>
        <w:rPr>
          <w:rStyle w:val="CharSectno"/>
        </w:rPr>
        <w:t>7</w:t>
      </w:r>
      <w:r>
        <w:t>.</w:t>
      </w:r>
      <w:r>
        <w:tab/>
        <w:t>Favourite numbers</w:t>
      </w:r>
      <w:bookmarkEnd w:id="39"/>
      <w:bookmarkEnd w:id="40"/>
    </w:p>
    <w:p>
      <w:pPr>
        <w:pStyle w:val="Subsection"/>
      </w:pPr>
      <w:r>
        <w:tab/>
        <w:t>(1)</w:t>
      </w:r>
      <w:r>
        <w:tab/>
        <w:t>This rule does not apply to Super66.</w:t>
      </w:r>
    </w:p>
    <w:p>
      <w:pPr>
        <w:pStyle w:val="Subsection"/>
      </w:pPr>
      <w:r>
        <w:tab/>
        <w:t>(2)</w:t>
      </w:r>
      <w:r>
        <w:tab/>
        <w:t>A subscriber may register one or more sets of numbers against their Lotterywest membership number to be their “favourite numbers”.</w:t>
      </w:r>
    </w:p>
    <w:p>
      <w:pPr>
        <w:pStyle w:val="Subsection"/>
      </w:pPr>
      <w:r>
        <w:tab/>
        <w:t>(3)</w:t>
      </w:r>
      <w:r>
        <w:tab/>
        <w:t>A subscriber may specify particular types of game entry and register sets of numbers for those types of game entry against their Lotterywest membership number to be their “favourite numbers”.</w:t>
      </w:r>
    </w:p>
    <w:p>
      <w:pPr>
        <w:pStyle w:val="Subsection"/>
      </w:pPr>
      <w:r>
        <w:tab/>
        <w:t>(4)</w:t>
      </w:r>
      <w:r>
        <w:tab/>
        <w:t>The number of sets of numbers and types of game entry that may be registered under these rules may be fixed or varied by the Commission from time to time.</w:t>
      </w:r>
    </w:p>
    <w:p>
      <w:pPr>
        <w:pStyle w:val="Subsection"/>
      </w:pPr>
      <w:r>
        <w:tab/>
        <w:t>(5)</w:t>
      </w:r>
      <w:r>
        <w:tab/>
        <w:t>The selection of favourite numbers is subject to any variation within these rules for a particular type of lotto.</w:t>
      </w:r>
    </w:p>
    <w:p>
      <w:pPr>
        <w:pStyle w:val="Footnotesection"/>
      </w:pPr>
      <w:r>
        <w:tab/>
        <w:t>[Rule 7 amended: Gazette 4 Oct 2017 p. 5110.]</w:t>
      </w:r>
    </w:p>
    <w:p>
      <w:pPr>
        <w:pStyle w:val="Heading5"/>
      </w:pPr>
      <w:bookmarkStart w:id="41" w:name="_Toc34291390"/>
      <w:bookmarkStart w:id="42" w:name="_Toc25761093"/>
      <w:r>
        <w:rPr>
          <w:rStyle w:val="CharSectno"/>
        </w:rPr>
        <w:t>8</w:t>
      </w:r>
      <w:r>
        <w:t>.</w:t>
      </w:r>
      <w:r>
        <w:tab/>
        <w:t>Multiple weeks</w:t>
      </w:r>
      <w:bookmarkEnd w:id="41"/>
      <w:bookmarkEnd w:id="42"/>
    </w:p>
    <w:p>
      <w:pPr>
        <w:pStyle w:val="Subsection"/>
      </w:pPr>
      <w:r>
        <w:tab/>
        <w:t>(1)</w:t>
      </w:r>
      <w:r>
        <w:tab/>
        <w:t>For lotto other than Cash 3, an entry can be selected for up to 10 consecutive weeks and the subscriber must indicate, in the appropriate manner which (if any) of those options they wish to exercise.</w:t>
      </w:r>
    </w:p>
    <w:p>
      <w:pPr>
        <w:pStyle w:val="Ednotesubsection"/>
      </w:pPr>
      <w:r>
        <w:tab/>
        <w:t>[(2)</w:t>
      </w:r>
      <w:r>
        <w:tab/>
        <w:t>deleted]</w:t>
      </w:r>
    </w:p>
    <w:p>
      <w:pPr>
        <w:pStyle w:val="Subsection"/>
      </w:pPr>
      <w:r>
        <w:tab/>
        <w:t>(3)</w:t>
      </w:r>
      <w:r>
        <w:tab/>
        <w:t>For lotto other than Cash 3, favourite numbers can be selected for up to 10 consecutive weeks.</w:t>
      </w:r>
    </w:p>
    <w:p>
      <w:pPr>
        <w:pStyle w:val="Ednotesubsection"/>
      </w:pPr>
      <w:r>
        <w:tab/>
        <w:t>[(4)</w:t>
      </w:r>
      <w:r>
        <w:tab/>
        <w:t>deleted]</w:t>
      </w:r>
    </w:p>
    <w:p>
      <w:pPr>
        <w:pStyle w:val="Footnotesection"/>
      </w:pPr>
      <w:r>
        <w:tab/>
        <w:t>[Rule 8 amended: Gazette 4 Oct 2017 p. 5110</w:t>
      </w:r>
      <w:r>
        <w:noBreakHyphen/>
        <w:t>11.]</w:t>
      </w:r>
    </w:p>
    <w:p>
      <w:pPr>
        <w:pStyle w:val="Heading5"/>
      </w:pPr>
      <w:bookmarkStart w:id="43" w:name="_Toc34291391"/>
      <w:bookmarkStart w:id="44" w:name="_Toc25761094"/>
      <w:r>
        <w:rPr>
          <w:rStyle w:val="CharSectno"/>
        </w:rPr>
        <w:t>9</w:t>
      </w:r>
      <w:r>
        <w:t>.</w:t>
      </w:r>
      <w:r>
        <w:tab/>
        <w:t>Limitations on entries by a person</w:t>
      </w:r>
      <w:bookmarkEnd w:id="43"/>
      <w:bookmarkEnd w:id="44"/>
    </w:p>
    <w:p>
      <w:pPr>
        <w:pStyle w:val="Subsection"/>
      </w:pPr>
      <w:r>
        <w:tab/>
        <w:t>(1)</w:t>
      </w:r>
      <w:r>
        <w:tab/>
        <w:t>Subject to this rule, there is no limit on the number of entries a person may make in a lotto draw.</w:t>
      </w:r>
    </w:p>
    <w:p>
      <w:pPr>
        <w:pStyle w:val="Subsection"/>
      </w:pPr>
      <w:r>
        <w:tab/>
        <w:t>(2)</w:t>
      </w:r>
      <w:r>
        <w:tab/>
        <w:t>A person will not be able to enter a particular game of lotto with a system entry that costs in excess of $100 000 for that single entry.</w:t>
      </w:r>
    </w:p>
    <w:p>
      <w:pPr>
        <w:pStyle w:val="Subsection"/>
      </w:pPr>
      <w:r>
        <w:tab/>
        <w:t>(3)</w:t>
      </w:r>
      <w:r>
        <w:tab/>
        <w:t>A person will not be able to enter a game of lotto using Play Online, a self</w:t>
      </w:r>
      <w:r>
        <w:noBreakHyphen/>
        <w:t xml:space="preserve">serve kiosk or the Lotterywest App if to do so would result in that person exceeding — </w:t>
      </w:r>
    </w:p>
    <w:p>
      <w:pPr>
        <w:pStyle w:val="Indenta"/>
      </w:pPr>
      <w:r>
        <w:tab/>
        <w:t>(a)</w:t>
      </w:r>
      <w:r>
        <w:tab/>
        <w:t>the 7 day spending limit, imposed under rule 43, in a 7 day period; or</w:t>
      </w:r>
    </w:p>
    <w:p>
      <w:pPr>
        <w:pStyle w:val="Indenta"/>
      </w:pPr>
      <w:r>
        <w:tab/>
        <w:t>(b)</w:t>
      </w:r>
      <w:r>
        <w:tab/>
        <w:t>a self</w:t>
      </w:r>
      <w:r>
        <w:noBreakHyphen/>
        <w:t>imposed 7 day spending limit under rule 44.</w:t>
      </w:r>
    </w:p>
    <w:p>
      <w:pPr>
        <w:pStyle w:val="Subsection"/>
      </w:pPr>
      <w:r>
        <w:tab/>
        <w:t>(4)</w:t>
      </w:r>
      <w:r>
        <w:tab/>
        <w:t>The Commission may, at any time and for any reason, suspend the play on any number or limit the placing of wagers on any number or combination of Cash 3 entries.</w:t>
      </w:r>
    </w:p>
    <w:p>
      <w:pPr>
        <w:pStyle w:val="Subsection"/>
      </w:pPr>
      <w:r>
        <w:tab/>
        <w:t>(5)</w:t>
      </w:r>
      <w:r>
        <w:tab/>
        <w:t>An entry that is in breach of this rule is void.</w:t>
      </w:r>
    </w:p>
    <w:p>
      <w:pPr>
        <w:pStyle w:val="Footnotesection"/>
      </w:pPr>
      <w:r>
        <w:tab/>
        <w:t>[Rule 9 amended: Gazette 4 Oct 2017 p. 5111.]</w:t>
      </w:r>
    </w:p>
    <w:p>
      <w:pPr>
        <w:pStyle w:val="Heading5"/>
        <w:rPr>
          <w:snapToGrid w:val="0"/>
        </w:rPr>
      </w:pPr>
      <w:bookmarkStart w:id="45" w:name="_Toc34291392"/>
      <w:bookmarkStart w:id="46" w:name="_Toc25761095"/>
      <w:r>
        <w:rPr>
          <w:rStyle w:val="CharSectno"/>
        </w:rPr>
        <w:t>10</w:t>
      </w:r>
      <w:r>
        <w:t>.</w:t>
      </w:r>
      <w:r>
        <w:rPr>
          <w:snapToGrid w:val="0"/>
        </w:rPr>
        <w:tab/>
        <w:t>Surrender of receipted tickets</w:t>
      </w:r>
      <w:bookmarkEnd w:id="45"/>
      <w:bookmarkEnd w:id="46"/>
    </w:p>
    <w:p>
      <w:pPr>
        <w:pStyle w:val="Subsection"/>
        <w:rPr>
          <w:snapToGrid w:val="0"/>
        </w:rPr>
      </w:pPr>
      <w:r>
        <w:rPr>
          <w:snapToGrid w:val="0"/>
        </w:rPr>
        <w:tab/>
      </w:r>
      <w:r>
        <w:t>(1)</w:t>
      </w:r>
      <w:r>
        <w:rPr>
          <w:snapToGrid w:val="0"/>
        </w:rPr>
        <w:tab/>
      </w:r>
      <w:r>
        <w:t>Subject to subrule (2), a</w:t>
      </w:r>
      <w:r>
        <w:rPr>
          <w:snapToGrid w:val="0"/>
        </w:rPr>
        <w:t xml:space="preserve"> subscriber may surrender a receipted ticket for any reason —</w:t>
      </w:r>
    </w:p>
    <w:p>
      <w:pPr>
        <w:pStyle w:val="Indenta"/>
        <w:rPr>
          <w:snapToGrid w:val="0"/>
        </w:rPr>
      </w:pPr>
      <w:r>
        <w:rPr>
          <w:snapToGrid w:val="0"/>
        </w:rPr>
        <w:tab/>
      </w:r>
      <w:r>
        <w:t>(a)</w:t>
      </w:r>
      <w:r>
        <w:rPr>
          <w:snapToGrid w:val="0"/>
        </w:rPr>
        <w:tab/>
        <w:t>to the selling point at which it was purchased; and</w:t>
      </w:r>
    </w:p>
    <w:p>
      <w:pPr>
        <w:pStyle w:val="Indenta"/>
        <w:rPr>
          <w:snapToGrid w:val="0"/>
        </w:rPr>
      </w:pPr>
      <w:r>
        <w:rPr>
          <w:snapToGrid w:val="0"/>
        </w:rPr>
        <w:tab/>
      </w:r>
      <w:r>
        <w:t>(b)</w:t>
      </w:r>
      <w:r>
        <w:rPr>
          <w:snapToGrid w:val="0"/>
        </w:rPr>
        <w:tab/>
        <w:t>on the day on which it was purchased; and</w:t>
      </w:r>
    </w:p>
    <w:p>
      <w:pPr>
        <w:pStyle w:val="Indenta"/>
        <w:rPr>
          <w:snapToGrid w:val="0"/>
        </w:rPr>
      </w:pPr>
      <w:r>
        <w:rPr>
          <w:snapToGrid w:val="0"/>
        </w:rPr>
        <w:tab/>
      </w:r>
      <w:r>
        <w:t>(c)</w:t>
      </w:r>
      <w:r>
        <w:rPr>
          <w:snapToGrid w:val="0"/>
        </w:rPr>
        <w:tab/>
        <w:t>prior to the close of the day’s lotto business for that selling point; and</w:t>
      </w:r>
    </w:p>
    <w:p>
      <w:pPr>
        <w:pStyle w:val="Indenta"/>
        <w:rPr>
          <w:snapToGrid w:val="0"/>
        </w:rPr>
      </w:pPr>
      <w:r>
        <w:rPr>
          <w:snapToGrid w:val="0"/>
        </w:rPr>
        <w:tab/>
      </w:r>
      <w:r>
        <w:t>(d)</w:t>
      </w:r>
      <w:r>
        <w:rPr>
          <w:snapToGrid w:val="0"/>
        </w:rPr>
        <w:tab/>
        <w:t>within the selling period for that ticket.</w:t>
      </w:r>
    </w:p>
    <w:p>
      <w:pPr>
        <w:pStyle w:val="Subsection"/>
      </w:pPr>
      <w:r>
        <w:tab/>
        <w:t>(2)</w:t>
      </w:r>
      <w:r>
        <w:tab/>
        <w:t>The Commission may allow a subscriber to surrender a receipted ticket (other than a shared syndicate receipted ticket) in circumstances outside those set out in subrule (1), but is under no obligation to do so.</w:t>
      </w:r>
    </w:p>
    <w:p>
      <w:pPr>
        <w:pStyle w:val="Subsection"/>
        <w:rPr>
          <w:snapToGrid w:val="0"/>
        </w:rPr>
      </w:pPr>
      <w:r>
        <w:rPr>
          <w:snapToGrid w:val="0"/>
        </w:rPr>
        <w:tab/>
      </w:r>
      <w:r>
        <w:t>(3)</w:t>
      </w:r>
      <w:r>
        <w:rPr>
          <w:snapToGrid w:val="0"/>
        </w:rPr>
        <w:tab/>
        <w:t>If a subscriber surrenders a receipted ticket, the subscriber is entitled to a full refund from the agent or a further receipted ticket in exchange for the surrendered ticket.</w:t>
      </w:r>
    </w:p>
    <w:p>
      <w:pPr>
        <w:pStyle w:val="Heading5"/>
        <w:rPr>
          <w:snapToGrid w:val="0"/>
        </w:rPr>
      </w:pPr>
      <w:bookmarkStart w:id="47" w:name="_Toc34291393"/>
      <w:bookmarkStart w:id="48" w:name="_Toc25761096"/>
      <w:r>
        <w:rPr>
          <w:rStyle w:val="CharSectno"/>
        </w:rPr>
        <w:t>11</w:t>
      </w:r>
      <w:r>
        <w:t>.</w:t>
      </w:r>
      <w:r>
        <w:rPr>
          <w:snapToGrid w:val="0"/>
        </w:rPr>
        <w:tab/>
        <w:t>Effect of receipted tickets</w:t>
      </w:r>
      <w:bookmarkEnd w:id="47"/>
      <w:bookmarkEnd w:id="48"/>
    </w:p>
    <w:p>
      <w:pPr>
        <w:pStyle w:val="Subsection"/>
      </w:pPr>
      <w:r>
        <w:tab/>
        <w:t>(1)</w:t>
      </w:r>
      <w:r>
        <w:tab/>
        <w:t>Subject to subrules (2) and (3), a receipted ticket is generated by the Commission to indicate the details of a valid entry, or of a number of system entries, as appearing on the ticket, have been recorded in the central gaming system records in relation to the numbered lotto draw or draws shown on the ticket.</w:t>
      </w:r>
    </w:p>
    <w:p>
      <w:pPr>
        <w:pStyle w:val="Subsection"/>
        <w:rPr>
          <w:snapToGrid w:val="0"/>
        </w:rPr>
      </w:pPr>
      <w:r>
        <w:rPr>
          <w:snapToGrid w:val="0"/>
        </w:rPr>
        <w:tab/>
      </w:r>
      <w:r>
        <w:t>(2)</w:t>
      </w:r>
      <w:r>
        <w:rPr>
          <w:snapToGrid w:val="0"/>
        </w:rPr>
        <w:tab/>
        <w:t>Subrule</w:t>
      </w:r>
      <w:r>
        <w:t> </w:t>
      </w:r>
      <w:r>
        <w:rPr>
          <w:snapToGrid w:val="0"/>
        </w:rPr>
        <w:t xml:space="preserve">(1) does not apply to a receipted ticket that — </w:t>
      </w:r>
    </w:p>
    <w:p>
      <w:pPr>
        <w:pStyle w:val="Indenta"/>
        <w:rPr>
          <w:snapToGrid w:val="0"/>
        </w:rPr>
      </w:pPr>
      <w:r>
        <w:rPr>
          <w:snapToGrid w:val="0"/>
        </w:rPr>
        <w:tab/>
      </w:r>
      <w:r>
        <w:t>(a)</w:t>
      </w:r>
      <w:r>
        <w:rPr>
          <w:snapToGrid w:val="0"/>
        </w:rPr>
        <w:tab/>
        <w:t>has been surrendered in accordance with rule 10; or</w:t>
      </w:r>
    </w:p>
    <w:p>
      <w:pPr>
        <w:pStyle w:val="Indenta"/>
      </w:pPr>
      <w:r>
        <w:tab/>
        <w:t>(b)</w:t>
      </w:r>
      <w:r>
        <w:tab/>
        <w:t>is partially invalid because a “consecutive week” option is not allowed for some of the draws on the receipted ticket; or</w:t>
      </w:r>
    </w:p>
    <w:p>
      <w:pPr>
        <w:pStyle w:val="Indenta"/>
        <w:rPr>
          <w:snapToGrid w:val="0"/>
        </w:rPr>
      </w:pPr>
      <w:r>
        <w:rPr>
          <w:snapToGrid w:val="0"/>
        </w:rPr>
        <w:tab/>
      </w:r>
      <w:r>
        <w:t>(c)</w:t>
      </w:r>
      <w:r>
        <w:rPr>
          <w:snapToGrid w:val="0"/>
        </w:rPr>
        <w:tab/>
        <w:t>has, during the selling period for that draw, been found to be invalid as a result of non</w:t>
      </w:r>
      <w:r>
        <w:rPr>
          <w:snapToGrid w:val="0"/>
        </w:rPr>
        <w:noBreakHyphen/>
        <w:t>compliance with these rules; or</w:t>
      </w:r>
    </w:p>
    <w:p>
      <w:pPr>
        <w:pStyle w:val="Indenta"/>
        <w:rPr>
          <w:snapToGrid w:val="0"/>
        </w:rPr>
      </w:pPr>
      <w:r>
        <w:rPr>
          <w:snapToGrid w:val="0"/>
        </w:rPr>
        <w:tab/>
      </w:r>
      <w:r>
        <w:t>(d)</w:t>
      </w:r>
      <w:r>
        <w:rPr>
          <w:snapToGrid w:val="0"/>
        </w:rPr>
        <w:tab/>
        <w:t>is forged or altered, or obtained as a direct result of fraud, by the subscriber or person claiming a prize.</w:t>
      </w:r>
    </w:p>
    <w:p>
      <w:pPr>
        <w:pStyle w:val="Subsection"/>
      </w:pPr>
      <w:r>
        <w:tab/>
        <w:t>(3)</w:t>
      </w:r>
      <w:r>
        <w:tab/>
        <w:t>If the details appearing on the receipted ticket are ambiguous, illegible or appear to be at odds with the information in the central gaming system records, the central gaming system records are taken to be the correct details in relation to that receipted ticket.</w:t>
      </w:r>
    </w:p>
    <w:p>
      <w:pPr>
        <w:pStyle w:val="Heading5"/>
      </w:pPr>
      <w:bookmarkStart w:id="49" w:name="_Toc34291394"/>
      <w:bookmarkStart w:id="50" w:name="_Toc25761097"/>
      <w:r>
        <w:rPr>
          <w:rStyle w:val="CharSectno"/>
        </w:rPr>
        <w:t>12</w:t>
      </w:r>
      <w:r>
        <w:t>.</w:t>
      </w:r>
      <w:r>
        <w:tab/>
        <w:t>Which divisions can be won by a receipted ticket</w:t>
      </w:r>
      <w:bookmarkEnd w:id="49"/>
      <w:bookmarkEnd w:id="50"/>
    </w:p>
    <w:p>
      <w:pPr>
        <w:pStyle w:val="Subsection"/>
      </w:pPr>
      <w:r>
        <w:tab/>
        <w:t>(1)</w:t>
      </w:r>
      <w:r>
        <w:tab/>
        <w:t>The holder of a receipted ticket or the purchaser of an entry under Part 2 Division 5 may claim a prize in only one division for each lotto game entered with that ticket or entry.</w:t>
      </w:r>
    </w:p>
    <w:p>
      <w:pPr>
        <w:pStyle w:val="Subsection"/>
      </w:pPr>
      <w:r>
        <w:tab/>
        <w:t>(2)</w:t>
      </w:r>
      <w:r>
        <w:tab/>
        <w:t>The holder of a receipted ticket which contains, or the purchaser of an entry under Part 2 Division 5 which comprises, a system entry may claim a prize in one division for each notional game making up that system entry, resulting in prizes in more than one division for that entry.</w:t>
      </w:r>
    </w:p>
    <w:p>
      <w:pPr>
        <w:pStyle w:val="Subsection"/>
        <w:rPr>
          <w:rStyle w:val="DraftersNotes"/>
          <w:b w:val="0"/>
          <w:i w:val="0"/>
          <w:sz w:val="24"/>
        </w:rPr>
      </w:pPr>
      <w:r>
        <w:tab/>
        <w:t>(3)</w:t>
      </w:r>
      <w:r>
        <w:tab/>
        <w:t>The holders of a syndicate share receipted ticket which contains a system entry may claim a share in a prize in one division for each notional game making up that system entry, resulting in shares in prizes in more than one division for that entry.</w:t>
      </w:r>
    </w:p>
    <w:p>
      <w:pPr>
        <w:pStyle w:val="Heading5"/>
        <w:rPr>
          <w:snapToGrid w:val="0"/>
        </w:rPr>
      </w:pPr>
      <w:bookmarkStart w:id="51" w:name="_Toc34291395"/>
      <w:bookmarkStart w:id="52" w:name="_Toc25761098"/>
      <w:r>
        <w:rPr>
          <w:rStyle w:val="CharSectno"/>
        </w:rPr>
        <w:t>13</w:t>
      </w:r>
      <w:r>
        <w:rPr>
          <w:snapToGrid w:val="0"/>
        </w:rPr>
        <w:t>.</w:t>
      </w:r>
      <w:r>
        <w:rPr>
          <w:snapToGrid w:val="0"/>
        </w:rPr>
        <w:tab/>
      </w:r>
      <w:r>
        <w:t>Agents not required to check accuracy of receipted tickets</w:t>
      </w:r>
      <w:bookmarkEnd w:id="51"/>
      <w:bookmarkEnd w:id="52"/>
    </w:p>
    <w:p>
      <w:pPr>
        <w:pStyle w:val="Subsection"/>
        <w:rPr>
          <w:spacing w:val="-2"/>
        </w:rPr>
      </w:pPr>
      <w:r>
        <w:rPr>
          <w:spacing w:val="-2"/>
        </w:rPr>
        <w:tab/>
      </w:r>
      <w:r>
        <w:rPr>
          <w:spacing w:val="-2"/>
        </w:rPr>
        <w:tab/>
        <w:t>An agent who generates a receipted ticket by processing a playslip, a promotional coupon, a ticket repeat or as a result of an oral request for entry is under no duty to ensure that receipted ticket accurately reflects the playslip, coupon, ticket or request.</w:t>
      </w:r>
    </w:p>
    <w:p>
      <w:pPr>
        <w:pStyle w:val="Heading5"/>
        <w:rPr>
          <w:snapToGrid w:val="0"/>
        </w:rPr>
      </w:pPr>
      <w:bookmarkStart w:id="53" w:name="_Toc34291396"/>
      <w:bookmarkStart w:id="54" w:name="_Toc25761099"/>
      <w:r>
        <w:rPr>
          <w:rStyle w:val="CharSectno"/>
        </w:rPr>
        <w:t>14</w:t>
      </w:r>
      <w:r>
        <w:t>.</w:t>
      </w:r>
      <w:r>
        <w:tab/>
      </w:r>
      <w:r>
        <w:rPr>
          <w:snapToGrid w:val="0"/>
        </w:rPr>
        <w:t>Commission may require a statutory declaration as to compliance</w:t>
      </w:r>
      <w:bookmarkEnd w:id="53"/>
      <w:bookmarkEnd w:id="54"/>
    </w:p>
    <w:p>
      <w:pPr>
        <w:pStyle w:val="Subsection"/>
        <w:rPr>
          <w:snapToGrid w:val="0"/>
        </w:rPr>
      </w:pPr>
      <w:r>
        <w:rPr>
          <w:snapToGrid w:val="0"/>
        </w:rPr>
        <w:tab/>
      </w:r>
      <w:r>
        <w:rPr>
          <w:snapToGrid w:val="0"/>
        </w:rPr>
        <w:tab/>
        <w:t xml:space="preserve">The Commission may require the holder of a receipted ticket to complete a statutory declaration, upon the payment of any lotto prize </w:t>
      </w:r>
      <w:r>
        <w:t>or share of a prize</w:t>
      </w:r>
      <w:r>
        <w:rPr>
          <w:snapToGrid w:val="0"/>
        </w:rPr>
        <w:t xml:space="preserve"> to that person, stating that the person has not, or is not to that person’s knowledge part of a </w:t>
      </w:r>
      <w:r>
        <w:t>group</w:t>
      </w:r>
      <w:r>
        <w:rPr>
          <w:snapToGrid w:val="0"/>
        </w:rPr>
        <w:t xml:space="preserve"> which has, acted in a manner contrary to the Act or these rules in relation to a receipted ticket.</w:t>
      </w:r>
    </w:p>
    <w:p>
      <w:pPr>
        <w:pStyle w:val="Heading5"/>
      </w:pPr>
      <w:bookmarkStart w:id="55" w:name="_Toc34291397"/>
      <w:bookmarkStart w:id="56" w:name="_Toc25761100"/>
      <w:r>
        <w:rPr>
          <w:rStyle w:val="CharSectno"/>
        </w:rPr>
        <w:t>15.</w:t>
      </w:r>
      <w:r>
        <w:tab/>
        <w:t>Lotterywest membership</w:t>
      </w:r>
      <w:bookmarkEnd w:id="55"/>
      <w:bookmarkEnd w:id="56"/>
    </w:p>
    <w:p>
      <w:pPr>
        <w:pStyle w:val="Subsection"/>
      </w:pPr>
      <w:r>
        <w:tab/>
        <w:t>(1)</w:t>
      </w:r>
      <w:r>
        <w:tab/>
        <w:t>A Lotterywest membership number will be issued to a subscriber who applies for a membership from the Commission under this rule, pays the amount determined by the Commission (if any) and provides what the Commission accepts as appropriate confirmation of identification.</w:t>
      </w:r>
    </w:p>
    <w:p>
      <w:pPr>
        <w:pStyle w:val="Subsection"/>
      </w:pPr>
      <w:r>
        <w:tab/>
        <w:t>(2)</w:t>
      </w:r>
      <w:r>
        <w:tab/>
        <w:t>A person who presents a winning receipted ticket that is endorsed with a Lotterywest membership number within the timeframe stipulated by the Commission in relation to that type of lotto draw, will be paid in accordance with these rules, unless —</w:t>
      </w:r>
    </w:p>
    <w:p>
      <w:pPr>
        <w:pStyle w:val="Indenta"/>
      </w:pPr>
      <w:r>
        <w:tab/>
        <w:t>(a)</w:t>
      </w:r>
      <w:r>
        <w:tab/>
        <w:t>the Commission has been notified that the particular ticket has been lost or stolen, within a day of the loss or theft; or</w:t>
      </w:r>
    </w:p>
    <w:p>
      <w:pPr>
        <w:pStyle w:val="Indenta"/>
      </w:pPr>
      <w:r>
        <w:tab/>
        <w:t>(b)</w:t>
      </w:r>
      <w:r>
        <w:tab/>
        <w:t>the Lotterywest membership number on the receipted ticket is different to the number on the Lotterywest membership card presented to the agent.</w:t>
      </w:r>
    </w:p>
    <w:p>
      <w:pPr>
        <w:pStyle w:val="Subsection"/>
      </w:pPr>
      <w:r>
        <w:tab/>
        <w:t>(3)</w:t>
      </w:r>
      <w:r>
        <w:tab/>
        <w:t>The prize entitlement of a winning receipted ticket that —</w:t>
      </w:r>
    </w:p>
    <w:p>
      <w:pPr>
        <w:pStyle w:val="Indenta"/>
      </w:pPr>
      <w:r>
        <w:tab/>
        <w:t>(a)</w:t>
      </w:r>
      <w:r>
        <w:tab/>
        <w:t>is endorsed with a Lotterywest membership number; and</w:t>
      </w:r>
    </w:p>
    <w:p>
      <w:pPr>
        <w:pStyle w:val="Indenta"/>
      </w:pPr>
      <w:r>
        <w:tab/>
        <w:t>(b)</w:t>
      </w:r>
      <w:r>
        <w:tab/>
        <w:t>is not claimed, or paid, within the timeframe stipulated by the Commission,</w:t>
      </w:r>
    </w:p>
    <w:p>
      <w:pPr>
        <w:pStyle w:val="Subsection"/>
      </w:pPr>
      <w:r>
        <w:tab/>
      </w:r>
      <w:r>
        <w:tab/>
        <w:t>will be paid in a manner determined by the Commission to the person named, and to the player’s e</w:t>
      </w:r>
      <w:r>
        <w:noBreakHyphen/>
        <w:t>wallet or to the bank details recorded against that player’s Lotterywest membership number.</w:t>
      </w:r>
    </w:p>
    <w:p>
      <w:pPr>
        <w:pStyle w:val="Subsection"/>
      </w:pPr>
      <w:r>
        <w:tab/>
        <w:t>(4)</w:t>
      </w:r>
      <w:r>
        <w:tab/>
        <w:t>Payment of a prize entitlement under subrule (2) or (3) discharges the liability of the Commission in relation to any particular winning receipted ticket that is endorsed with a Lotterywest membership number, and possession by a subscriber of a Lotterywest membership card does not entitle the subscriber to claim a prize from the Commission that has already been paid.</w:t>
      </w:r>
    </w:p>
    <w:p>
      <w:pPr>
        <w:pStyle w:val="Footnotesection"/>
      </w:pPr>
      <w:r>
        <w:tab/>
        <w:t>[Rule 15 amended: Gazette 4 Oct 2017 p. 5112</w:t>
      </w:r>
      <w:r>
        <w:noBreakHyphen/>
        <w:t>13.]</w:t>
      </w:r>
    </w:p>
    <w:p>
      <w:pPr>
        <w:pStyle w:val="Heading5"/>
        <w:rPr>
          <w:snapToGrid w:val="0"/>
        </w:rPr>
      </w:pPr>
      <w:bookmarkStart w:id="57" w:name="_Toc34291398"/>
      <w:bookmarkStart w:id="58" w:name="_Toc25761101"/>
      <w:r>
        <w:rPr>
          <w:rStyle w:val="CharSectno"/>
        </w:rPr>
        <w:t>16</w:t>
      </w:r>
      <w:r>
        <w:t>.</w:t>
      </w:r>
      <w:r>
        <w:tab/>
        <w:t>Information on p</w:t>
      </w:r>
      <w:r>
        <w:rPr>
          <w:snapToGrid w:val="0"/>
        </w:rPr>
        <w:t>layslips</w:t>
      </w:r>
      <w:bookmarkEnd w:id="57"/>
      <w:bookmarkEnd w:id="58"/>
    </w:p>
    <w:p>
      <w:pPr>
        <w:pStyle w:val="Subsection"/>
        <w:rPr>
          <w:snapToGrid w:val="0"/>
        </w:rPr>
      </w:pPr>
      <w:r>
        <w:rPr>
          <w:snapToGrid w:val="0"/>
        </w:rPr>
        <w:tab/>
      </w:r>
      <w:r>
        <w:rPr>
          <w:snapToGrid w:val="0"/>
        </w:rPr>
        <w:tab/>
        <w:t xml:space="preserve">The Commission must ensure that </w:t>
      </w:r>
      <w:r>
        <w:t>a playslip</w:t>
      </w:r>
      <w:r>
        <w:rPr>
          <w:snapToGrid w:val="0"/>
        </w:rPr>
        <w:t xml:space="preserve"> for lotto displays —</w:t>
      </w:r>
    </w:p>
    <w:p>
      <w:pPr>
        <w:pStyle w:val="Indenta"/>
        <w:rPr>
          <w:snapToGrid w:val="0"/>
        </w:rPr>
      </w:pPr>
      <w:r>
        <w:tab/>
        <w:t>(a)</w:t>
      </w:r>
      <w:r>
        <w:tab/>
      </w:r>
      <w:r>
        <w:rPr>
          <w:snapToGrid w:val="0"/>
        </w:rPr>
        <w:t>such details to facilitate entry; and</w:t>
      </w:r>
    </w:p>
    <w:p>
      <w:pPr>
        <w:pStyle w:val="Indenta"/>
        <w:spacing w:before="70"/>
        <w:rPr>
          <w:snapToGrid w:val="0"/>
        </w:rPr>
      </w:pPr>
      <w:r>
        <w:tab/>
        <w:t>(b)</w:t>
      </w:r>
      <w:r>
        <w:tab/>
      </w:r>
      <w:r>
        <w:rPr>
          <w:snapToGrid w:val="0"/>
        </w:rPr>
        <w:t>such instructions to subscribers,</w:t>
      </w:r>
    </w:p>
    <w:p>
      <w:pPr>
        <w:pStyle w:val="Subsection"/>
        <w:spacing w:before="120"/>
        <w:rPr>
          <w:snapToGrid w:val="0"/>
        </w:rPr>
      </w:pPr>
      <w:r>
        <w:rPr>
          <w:snapToGrid w:val="0"/>
        </w:rPr>
        <w:tab/>
      </w:r>
      <w:r>
        <w:rPr>
          <w:snapToGrid w:val="0"/>
        </w:rPr>
        <w:tab/>
        <w:t>as the Commission considers necessary.</w:t>
      </w:r>
    </w:p>
    <w:p>
      <w:pPr>
        <w:pStyle w:val="Heading5"/>
        <w:rPr>
          <w:snapToGrid w:val="0"/>
        </w:rPr>
      </w:pPr>
      <w:bookmarkStart w:id="59" w:name="_Toc34291399"/>
      <w:bookmarkStart w:id="60" w:name="_Toc25761102"/>
      <w:r>
        <w:rPr>
          <w:rStyle w:val="CharSectno"/>
        </w:rPr>
        <w:t>17</w:t>
      </w:r>
      <w:r>
        <w:rPr>
          <w:snapToGrid w:val="0"/>
        </w:rPr>
        <w:t>.</w:t>
      </w:r>
      <w:r>
        <w:rPr>
          <w:snapToGrid w:val="0"/>
        </w:rPr>
        <w:tab/>
        <w:t>Status of instructions on playslips</w:t>
      </w:r>
      <w:bookmarkEnd w:id="59"/>
      <w:bookmarkEnd w:id="60"/>
    </w:p>
    <w:p>
      <w:pPr>
        <w:pStyle w:val="Subsection"/>
        <w:rPr>
          <w:snapToGrid w:val="0"/>
        </w:rPr>
      </w:pPr>
      <w:r>
        <w:rPr>
          <w:snapToGrid w:val="0"/>
        </w:rPr>
        <w:tab/>
      </w:r>
      <w:r>
        <w:t>(1)</w:t>
      </w:r>
      <w:r>
        <w:rPr>
          <w:snapToGrid w:val="0"/>
        </w:rPr>
        <w:tab/>
        <w:t xml:space="preserve">The subscriber and any other person claiming a prize in respect of a receipted ticket should follow the instructions on any </w:t>
      </w:r>
      <w:r>
        <w:t>playslip or promotional coupon</w:t>
      </w:r>
      <w:r>
        <w:rPr>
          <w:snapToGrid w:val="0"/>
        </w:rPr>
        <w:t xml:space="preserve"> used, and on the back of the receipted ticket.</w:t>
      </w:r>
    </w:p>
    <w:p>
      <w:pPr>
        <w:pStyle w:val="Subsection"/>
        <w:rPr>
          <w:snapToGrid w:val="0"/>
        </w:rPr>
      </w:pPr>
      <w:r>
        <w:rPr>
          <w:snapToGrid w:val="0"/>
        </w:rPr>
        <w:tab/>
      </w:r>
      <w:r>
        <w:t>(2)</w:t>
      </w:r>
      <w:r>
        <w:rPr>
          <w:snapToGrid w:val="0"/>
        </w:rPr>
        <w:tab/>
        <w:t xml:space="preserve">In the event of any inconsistency arising between the instructions on </w:t>
      </w:r>
      <w:r>
        <w:t>a playslip or promotional coupon</w:t>
      </w:r>
      <w:r>
        <w:rPr>
          <w:snapToGrid w:val="0"/>
        </w:rPr>
        <w:t xml:space="preserve"> or receipted ticket and these rules, these rules prevail to the extent of the inconsistency.</w:t>
      </w:r>
    </w:p>
    <w:p>
      <w:pPr>
        <w:pStyle w:val="Heading5"/>
        <w:rPr>
          <w:snapToGrid w:val="0"/>
        </w:rPr>
      </w:pPr>
      <w:bookmarkStart w:id="61" w:name="_Toc34291400"/>
      <w:bookmarkStart w:id="62" w:name="_Toc25761103"/>
      <w:r>
        <w:rPr>
          <w:rStyle w:val="CharSectno"/>
        </w:rPr>
        <w:t>18</w:t>
      </w:r>
      <w:r>
        <w:t>.</w:t>
      </w:r>
      <w:r>
        <w:rPr>
          <w:snapToGrid w:val="0"/>
        </w:rPr>
        <w:tab/>
        <w:t>Commission’s decisions are final</w:t>
      </w:r>
      <w:bookmarkEnd w:id="61"/>
      <w:bookmarkEnd w:id="62"/>
    </w:p>
    <w:p>
      <w:pPr>
        <w:pStyle w:val="Subsection"/>
      </w:pPr>
      <w:r>
        <w:rPr>
          <w:snapToGrid w:val="0"/>
        </w:rPr>
        <w:tab/>
      </w:r>
      <w:r>
        <w:rPr>
          <w:snapToGrid w:val="0"/>
        </w:rPr>
        <w:tab/>
      </w:r>
      <w:r>
        <w:t>A decision or determination of the Commission in relation to a lotto draw, and the declaration and payment of prizes under these rules, is final and binding upon the holders of receipted tickets and any other persons claiming prizes in respect of the lotto draw.</w:t>
      </w:r>
    </w:p>
    <w:p>
      <w:pPr>
        <w:pStyle w:val="Heading3"/>
        <w:keepNext w:val="0"/>
      </w:pPr>
      <w:bookmarkStart w:id="63" w:name="_Toc34139464"/>
      <w:bookmarkStart w:id="64" w:name="_Toc34139676"/>
      <w:bookmarkStart w:id="65" w:name="_Toc34147853"/>
      <w:bookmarkStart w:id="66" w:name="_Toc34207406"/>
      <w:bookmarkStart w:id="67" w:name="_Toc34291401"/>
      <w:bookmarkStart w:id="68" w:name="_Toc25657309"/>
      <w:bookmarkStart w:id="69" w:name="_Toc25760775"/>
      <w:bookmarkStart w:id="70" w:name="_Toc25761104"/>
      <w:r>
        <w:rPr>
          <w:rStyle w:val="CharDivNo"/>
        </w:rPr>
        <w:t>Division 2</w:t>
      </w:r>
      <w:r>
        <w:t> — </w:t>
      </w:r>
      <w:r>
        <w:rPr>
          <w:rStyle w:val="CharDivText"/>
        </w:rPr>
        <w:t>Conducting a lotto draw</w:t>
      </w:r>
      <w:bookmarkEnd w:id="63"/>
      <w:bookmarkEnd w:id="64"/>
      <w:bookmarkEnd w:id="65"/>
      <w:bookmarkEnd w:id="66"/>
      <w:bookmarkEnd w:id="67"/>
      <w:bookmarkEnd w:id="68"/>
      <w:bookmarkEnd w:id="69"/>
      <w:bookmarkEnd w:id="70"/>
    </w:p>
    <w:p>
      <w:pPr>
        <w:pStyle w:val="Heading5"/>
        <w:keepNext w:val="0"/>
        <w:keepLines w:val="0"/>
      </w:pPr>
      <w:bookmarkStart w:id="71" w:name="_Toc34291402"/>
      <w:bookmarkStart w:id="72" w:name="_Toc25761105"/>
      <w:r>
        <w:rPr>
          <w:rStyle w:val="CharSectno"/>
        </w:rPr>
        <w:t>19</w:t>
      </w:r>
      <w:r>
        <w:t>.</w:t>
      </w:r>
      <w:r>
        <w:tab/>
        <w:t>Lotto draws to be numbered</w:t>
      </w:r>
      <w:bookmarkEnd w:id="71"/>
      <w:bookmarkEnd w:id="72"/>
    </w:p>
    <w:p>
      <w:pPr>
        <w:pStyle w:val="Subsection"/>
        <w:rPr>
          <w:rStyle w:val="DraftersNotes"/>
          <w:b w:val="0"/>
          <w:i w:val="0"/>
          <w:sz w:val="24"/>
        </w:rPr>
      </w:pPr>
      <w:r>
        <w:tab/>
      </w:r>
      <w:r>
        <w:tab/>
        <w:t>Each lotto draw conducted by the Commission is to be identified with a draw number.</w:t>
      </w:r>
    </w:p>
    <w:p>
      <w:pPr>
        <w:pStyle w:val="Heading5"/>
        <w:rPr>
          <w:rStyle w:val="CharSectno"/>
        </w:rPr>
      </w:pPr>
      <w:bookmarkStart w:id="73" w:name="_Toc34291403"/>
      <w:bookmarkStart w:id="74" w:name="_Toc25761106"/>
      <w:r>
        <w:rPr>
          <w:rStyle w:val="CharSectno"/>
        </w:rPr>
        <w:t>20.</w:t>
      </w:r>
      <w:r>
        <w:rPr>
          <w:rStyle w:val="CharSectno"/>
        </w:rPr>
        <w:tab/>
        <w:t>Lotto draws to be supervised</w:t>
      </w:r>
      <w:bookmarkEnd w:id="73"/>
      <w:bookmarkEnd w:id="74"/>
    </w:p>
    <w:p>
      <w:pPr>
        <w:pStyle w:val="Subsection"/>
      </w:pPr>
      <w:r>
        <w:tab/>
      </w:r>
      <w:r>
        <w:tab/>
        <w:t>Each lotto draw is to be supervised in the manner determined by the Commission.</w:t>
      </w:r>
    </w:p>
    <w:p>
      <w:pPr>
        <w:pStyle w:val="Heading5"/>
      </w:pPr>
      <w:bookmarkStart w:id="75" w:name="_Toc34291404"/>
      <w:bookmarkStart w:id="76" w:name="_Toc25761107"/>
      <w:r>
        <w:rPr>
          <w:rStyle w:val="CharSectno"/>
        </w:rPr>
        <w:t>21</w:t>
      </w:r>
      <w:r>
        <w:t>.</w:t>
      </w:r>
      <w:r>
        <w:tab/>
        <w:t>Availability of results</w:t>
      </w:r>
      <w:bookmarkEnd w:id="75"/>
      <w:bookmarkEnd w:id="76"/>
    </w:p>
    <w:p>
      <w:pPr>
        <w:pStyle w:val="Subsection"/>
        <w:rPr>
          <w:rStyle w:val="DraftersNotes"/>
          <w:b w:val="0"/>
          <w:i w:val="0"/>
          <w:sz w:val="24"/>
        </w:rPr>
      </w:pPr>
      <w:r>
        <w:tab/>
      </w:r>
      <w:r>
        <w:tab/>
        <w:t>The Commission is to ensure that, as a minimum, the result of each lotto draw is available on the Lotterywest website, on</w:t>
      </w:r>
      <w:r>
        <w:rPr>
          <w:rStyle w:val="CommentReference"/>
        </w:rPr>
        <w:t xml:space="preserve"> </w:t>
      </w:r>
      <w:r>
        <w:t>and from the commencement of business hours of the trading day following the results.</w:t>
      </w:r>
    </w:p>
    <w:p>
      <w:pPr>
        <w:pStyle w:val="Heading5"/>
        <w:rPr>
          <w:snapToGrid w:val="0"/>
        </w:rPr>
      </w:pPr>
      <w:bookmarkStart w:id="77" w:name="_Toc34291405"/>
      <w:bookmarkStart w:id="78" w:name="_Toc25761108"/>
      <w:r>
        <w:rPr>
          <w:rStyle w:val="CharSectno"/>
        </w:rPr>
        <w:t>22</w:t>
      </w:r>
      <w:r>
        <w:rPr>
          <w:snapToGrid w:val="0"/>
        </w:rPr>
        <w:t>.</w:t>
      </w:r>
      <w:r>
        <w:rPr>
          <w:snapToGrid w:val="0"/>
        </w:rPr>
        <w:tab/>
        <w:t>Publication of results</w:t>
      </w:r>
      <w:bookmarkEnd w:id="77"/>
      <w:bookmarkEnd w:id="78"/>
    </w:p>
    <w:p>
      <w:pPr>
        <w:pStyle w:val="Subsection"/>
        <w:rPr>
          <w:snapToGrid w:val="0"/>
        </w:rPr>
      </w:pPr>
      <w:r>
        <w:rPr>
          <w:snapToGrid w:val="0"/>
        </w:rPr>
        <w:tab/>
      </w:r>
      <w:r>
        <w:rPr>
          <w:snapToGrid w:val="0"/>
        </w:rPr>
        <w:tab/>
        <w:t xml:space="preserve">After each lotto draw </w:t>
      </w:r>
      <w:r>
        <w:rPr>
          <w:spacing w:val="-2"/>
        </w:rPr>
        <w:t>the Commission is to publish —</w:t>
      </w:r>
    </w:p>
    <w:p>
      <w:pPr>
        <w:pStyle w:val="Indenta"/>
        <w:rPr>
          <w:snapToGrid w:val="0"/>
        </w:rPr>
      </w:pPr>
      <w:r>
        <w:rPr>
          <w:snapToGrid w:val="0"/>
        </w:rPr>
        <w:tab/>
        <w:t>(a)</w:t>
      </w:r>
      <w:r>
        <w:rPr>
          <w:snapToGrid w:val="0"/>
        </w:rPr>
        <w:tab/>
        <w:t>the draw number; and</w:t>
      </w:r>
    </w:p>
    <w:p>
      <w:pPr>
        <w:pStyle w:val="Indenta"/>
        <w:rPr>
          <w:snapToGrid w:val="0"/>
        </w:rPr>
      </w:pPr>
      <w:r>
        <w:rPr>
          <w:snapToGrid w:val="0"/>
        </w:rPr>
        <w:tab/>
        <w:t>(b)</w:t>
      </w:r>
      <w:r>
        <w:rPr>
          <w:snapToGrid w:val="0"/>
        </w:rPr>
        <w:tab/>
        <w:t>the winning numbers and any supplementary or bonus numbers; and</w:t>
      </w:r>
    </w:p>
    <w:p>
      <w:pPr>
        <w:pStyle w:val="Indenta"/>
        <w:rPr>
          <w:snapToGrid w:val="0"/>
        </w:rPr>
      </w:pPr>
      <w:r>
        <w:rPr>
          <w:snapToGrid w:val="0"/>
        </w:rPr>
        <w:tab/>
        <w:t>(c)</w:t>
      </w:r>
      <w:r>
        <w:rPr>
          <w:snapToGrid w:val="0"/>
        </w:rPr>
        <w:tab/>
        <w:t>the amount allocated to a winning game in each division; and</w:t>
      </w:r>
    </w:p>
    <w:p>
      <w:pPr>
        <w:pStyle w:val="Indenta"/>
        <w:rPr>
          <w:snapToGrid w:val="0"/>
        </w:rPr>
      </w:pPr>
      <w:r>
        <w:rPr>
          <w:snapToGrid w:val="0"/>
        </w:rPr>
        <w:tab/>
        <w:t>(d)</w:t>
      </w:r>
      <w:r>
        <w:rPr>
          <w:snapToGrid w:val="0"/>
        </w:rPr>
        <w:tab/>
        <w:t>the validation period and the date after which the division 1 or 1st prizes will be paid; and</w:t>
      </w:r>
    </w:p>
    <w:p>
      <w:pPr>
        <w:pStyle w:val="Indenta"/>
        <w:rPr>
          <w:snapToGrid w:val="0"/>
        </w:rPr>
      </w:pPr>
      <w:r>
        <w:rPr>
          <w:snapToGrid w:val="0"/>
        </w:rPr>
        <w:tab/>
        <w:t>(e)</w:t>
      </w:r>
      <w:r>
        <w:rPr>
          <w:snapToGrid w:val="0"/>
        </w:rPr>
        <w:tab/>
        <w:t>any variation in the day on which the payout period commences.</w:t>
      </w:r>
    </w:p>
    <w:p>
      <w:pPr>
        <w:pStyle w:val="Heading5"/>
        <w:rPr>
          <w:snapToGrid w:val="0"/>
        </w:rPr>
      </w:pPr>
      <w:bookmarkStart w:id="79" w:name="_Toc34291406"/>
      <w:bookmarkStart w:id="80" w:name="_Toc25761109"/>
      <w:r>
        <w:rPr>
          <w:rStyle w:val="CharSectno"/>
        </w:rPr>
        <w:t>23</w:t>
      </w:r>
      <w:r>
        <w:rPr>
          <w:snapToGrid w:val="0"/>
        </w:rPr>
        <w:t>.</w:t>
      </w:r>
      <w:r>
        <w:rPr>
          <w:snapToGrid w:val="0"/>
        </w:rPr>
        <w:tab/>
        <w:t>Publishing the names and addresses of prize winners</w:t>
      </w:r>
      <w:bookmarkEnd w:id="79"/>
      <w:bookmarkEnd w:id="80"/>
    </w:p>
    <w:p>
      <w:pPr>
        <w:pStyle w:val="Subsection"/>
        <w:rPr>
          <w:snapToGrid w:val="0"/>
        </w:rPr>
      </w:pPr>
      <w:r>
        <w:rPr>
          <w:snapToGrid w:val="0"/>
        </w:rPr>
        <w:tab/>
      </w:r>
      <w:r>
        <w:rPr>
          <w:snapToGrid w:val="0"/>
        </w:rPr>
        <w:tab/>
        <w:t>Subject to rule 51, the Commission may publish the name and address of any prize recipient except where the back of the winning receipted ticket is marked to indicate that the name and address on the ticket is not for publication.</w:t>
      </w:r>
    </w:p>
    <w:p>
      <w:pPr>
        <w:pStyle w:val="Heading5"/>
        <w:rPr>
          <w:snapToGrid w:val="0"/>
        </w:rPr>
      </w:pPr>
      <w:bookmarkStart w:id="81" w:name="_Toc34291407"/>
      <w:bookmarkStart w:id="82" w:name="_Toc25761110"/>
      <w:r>
        <w:rPr>
          <w:rStyle w:val="CharSectno"/>
        </w:rPr>
        <w:t>24</w:t>
      </w:r>
      <w:r>
        <w:t>.</w:t>
      </w:r>
      <w:r>
        <w:rPr>
          <w:snapToGrid w:val="0"/>
        </w:rPr>
        <w:tab/>
        <w:t>These rules to be made available</w:t>
      </w:r>
      <w:bookmarkEnd w:id="81"/>
      <w:bookmarkEnd w:id="82"/>
    </w:p>
    <w:p>
      <w:pPr>
        <w:pStyle w:val="Subsection"/>
        <w:rPr>
          <w:snapToGrid w:val="0"/>
        </w:rPr>
      </w:pPr>
      <w:r>
        <w:rPr>
          <w:snapToGrid w:val="0"/>
        </w:rPr>
        <w:tab/>
      </w:r>
      <w:r>
        <w:t>(1)</w:t>
      </w:r>
      <w:r>
        <w:rPr>
          <w:snapToGrid w:val="0"/>
        </w:rPr>
        <w:tab/>
        <w:t>A copy of these rules must be kept and maintained on the Lotterywest website.</w:t>
      </w:r>
    </w:p>
    <w:p>
      <w:pPr>
        <w:pStyle w:val="Subsection"/>
        <w:rPr>
          <w:snapToGrid w:val="0"/>
        </w:rPr>
      </w:pPr>
      <w:r>
        <w:rPr>
          <w:snapToGrid w:val="0"/>
        </w:rPr>
        <w:tab/>
      </w:r>
      <w:r>
        <w:t>(2)</w:t>
      </w:r>
      <w:r>
        <w:rPr>
          <w:snapToGrid w:val="0"/>
        </w:rPr>
        <w:tab/>
        <w:t>The Commission may also publicise the rules, and any amendment to them, in any other manner that it thinks fit.</w:t>
      </w:r>
    </w:p>
    <w:p>
      <w:pPr>
        <w:pStyle w:val="Heading3"/>
      </w:pPr>
      <w:bookmarkStart w:id="83" w:name="_Toc34139471"/>
      <w:bookmarkStart w:id="84" w:name="_Toc34139683"/>
      <w:bookmarkStart w:id="85" w:name="_Toc34147860"/>
      <w:bookmarkStart w:id="86" w:name="_Toc34207413"/>
      <w:bookmarkStart w:id="87" w:name="_Toc34291408"/>
      <w:bookmarkStart w:id="88" w:name="_Toc25657316"/>
      <w:bookmarkStart w:id="89" w:name="_Toc25760782"/>
      <w:bookmarkStart w:id="90" w:name="_Toc25761111"/>
      <w:r>
        <w:rPr>
          <w:rStyle w:val="CharDivNo"/>
        </w:rPr>
        <w:t>Division 3</w:t>
      </w:r>
      <w:r>
        <w:t> — </w:t>
      </w:r>
      <w:r>
        <w:rPr>
          <w:rStyle w:val="CharDivText"/>
        </w:rPr>
        <w:t>Syndicate entries</w:t>
      </w:r>
      <w:bookmarkEnd w:id="83"/>
      <w:bookmarkEnd w:id="84"/>
      <w:bookmarkEnd w:id="85"/>
      <w:bookmarkEnd w:id="86"/>
      <w:bookmarkEnd w:id="87"/>
      <w:bookmarkEnd w:id="88"/>
      <w:bookmarkEnd w:id="89"/>
      <w:bookmarkEnd w:id="90"/>
    </w:p>
    <w:p>
      <w:pPr>
        <w:pStyle w:val="Heading5"/>
        <w:keepLines w:val="0"/>
      </w:pPr>
      <w:bookmarkStart w:id="91" w:name="_Toc34291409"/>
      <w:bookmarkStart w:id="92" w:name="_Toc25761112"/>
      <w:r>
        <w:rPr>
          <w:rStyle w:val="CharSectno"/>
        </w:rPr>
        <w:t>25</w:t>
      </w:r>
      <w:r>
        <w:t>.</w:t>
      </w:r>
      <w:r>
        <w:tab/>
        <w:t>Application of this Part to informal syndicate entries</w:t>
      </w:r>
      <w:bookmarkEnd w:id="91"/>
      <w:bookmarkEnd w:id="92"/>
    </w:p>
    <w:p>
      <w:pPr>
        <w:pStyle w:val="Subsection"/>
      </w:pPr>
      <w:r>
        <w:tab/>
        <w:t>(1)</w:t>
      </w:r>
      <w:r>
        <w:tab/>
        <w:t>An “informal syndicate entry” in a lotto draw (or an entry that has been bought using pooled money, with the understanding that the prize will be shared) may be organised by a person (whether or not that person is an agent), by means of a collective contribution to the payment for an entry, but the receipted ticket will not acknowledge that more than one person has contributed to the payment.</w:t>
      </w:r>
    </w:p>
    <w:p>
      <w:pPr>
        <w:pStyle w:val="Subsection"/>
      </w:pPr>
      <w:r>
        <w:tab/>
        <w:t>(2)</w:t>
      </w:r>
      <w:r>
        <w:tab/>
        <w:t>This Division does not apply to an informal syndicate entry in a lotto draw.</w:t>
      </w:r>
    </w:p>
    <w:p>
      <w:pPr>
        <w:pStyle w:val="Subsection"/>
      </w:pPr>
      <w:r>
        <w:tab/>
        <w:t>(3)</w:t>
      </w:r>
      <w:r>
        <w:tab/>
        <w:t>This Division only applies to syndicate entries if the syndicate entries are offered in accordance with this Division by the Commission or an agent, as the case may be.</w:t>
      </w:r>
    </w:p>
    <w:p>
      <w:pPr>
        <w:pStyle w:val="Heading5"/>
      </w:pPr>
      <w:bookmarkStart w:id="93" w:name="_Toc34291410"/>
      <w:bookmarkStart w:id="94" w:name="_Toc25761113"/>
      <w:r>
        <w:rPr>
          <w:rStyle w:val="CharSectno"/>
        </w:rPr>
        <w:t>26</w:t>
      </w:r>
      <w:r>
        <w:t>.</w:t>
      </w:r>
      <w:r>
        <w:tab/>
        <w:t>Creating a syndicate</w:t>
      </w:r>
      <w:bookmarkEnd w:id="93"/>
      <w:bookmarkEnd w:id="94"/>
    </w:p>
    <w:p>
      <w:pPr>
        <w:pStyle w:val="Subsection"/>
        <w:keepNext/>
      </w:pPr>
      <w:r>
        <w:tab/>
        <w:t>(1)</w:t>
      </w:r>
      <w:r>
        <w:tab/>
        <w:t xml:space="preserve">In this rule — </w:t>
      </w:r>
    </w:p>
    <w:p>
      <w:pPr>
        <w:pStyle w:val="Defstart"/>
      </w:pPr>
      <w:r>
        <w:tab/>
      </w:r>
      <w:r>
        <w:rPr>
          <w:rStyle w:val="CharDefText"/>
        </w:rPr>
        <w:t>syndicate sales (subscription) adjustment</w:t>
      </w:r>
      <w:r>
        <w:t xml:space="preserve"> means an adjustment of the difference in value between the master ticket subscription value and the sum of the actual subscription values of the syndicate shares.</w:t>
      </w:r>
    </w:p>
    <w:p>
      <w:pPr>
        <w:pStyle w:val="Subsection"/>
      </w:pPr>
      <w:r>
        <w:tab/>
        <w:t>(2)</w:t>
      </w:r>
      <w:r>
        <w:tab/>
        <w:t>To create a syndicate, the Commission or an agent must produce a syndicate master ticket, which confirms that the particular syndicate with the parameters printed on that master ticket has been established in the central lotteries computer system.</w:t>
      </w:r>
    </w:p>
    <w:p>
      <w:pPr>
        <w:pStyle w:val="Subsection"/>
      </w:pPr>
      <w:r>
        <w:tab/>
        <w:t>(3)</w:t>
      </w:r>
      <w:r>
        <w:tab/>
        <w:t>A playslip may be used to set up a syndicate under this Part, but cannot be used to purchase a syndicate share.</w:t>
      </w:r>
    </w:p>
    <w:p>
      <w:pPr>
        <w:pStyle w:val="Subsection"/>
      </w:pPr>
      <w:r>
        <w:tab/>
        <w:t>(4)</w:t>
      </w:r>
      <w:r>
        <w:tab/>
        <w:t>The Commission or the agent that produces the master ticket is the holder of the master ticket.</w:t>
      </w:r>
    </w:p>
    <w:p>
      <w:pPr>
        <w:pStyle w:val="Subsection"/>
      </w:pPr>
      <w:r>
        <w:tab/>
        <w:t>(5)</w:t>
      </w:r>
      <w:r>
        <w:tab/>
        <w:t>A syndicate sales (subscription) adjustment may be required from time to time and the adjustment will be made against the master ticket held by the Commission or the agent.</w:t>
      </w:r>
    </w:p>
    <w:p>
      <w:pPr>
        <w:pStyle w:val="Heading5"/>
      </w:pPr>
      <w:bookmarkStart w:id="95" w:name="_Toc34291411"/>
      <w:bookmarkStart w:id="96" w:name="_Toc25761114"/>
      <w:r>
        <w:rPr>
          <w:rStyle w:val="CharSectno"/>
        </w:rPr>
        <w:t>27</w:t>
      </w:r>
      <w:r>
        <w:t>.</w:t>
      </w:r>
      <w:r>
        <w:tab/>
        <w:t>Syndicate share numbers and cost parameters</w:t>
      </w:r>
      <w:bookmarkEnd w:id="95"/>
      <w:bookmarkEnd w:id="96"/>
    </w:p>
    <w:p>
      <w:pPr>
        <w:pStyle w:val="Subsection"/>
      </w:pPr>
      <w:r>
        <w:tab/>
        <w:t>(1)</w:t>
      </w:r>
      <w:r>
        <w:tab/>
        <w:t>The minimum number of shares that may be made available in a syndicate is 5.</w:t>
      </w:r>
    </w:p>
    <w:p>
      <w:pPr>
        <w:pStyle w:val="Subsection"/>
      </w:pPr>
      <w:r>
        <w:tab/>
        <w:t>(2)</w:t>
      </w:r>
      <w:r>
        <w:tab/>
        <w:t>The maximum number of shares that may be made available in a syndicate is 500.</w:t>
      </w:r>
    </w:p>
    <w:p>
      <w:pPr>
        <w:pStyle w:val="Subsection"/>
      </w:pPr>
      <w:r>
        <w:tab/>
        <w:t>(3)</w:t>
      </w:r>
      <w:r>
        <w:tab/>
        <w:t>The minimum and maximum costs of entry for a syndicate are set out in Schedule 2.</w:t>
      </w:r>
    </w:p>
    <w:p>
      <w:pPr>
        <w:pStyle w:val="Subsection"/>
      </w:pPr>
      <w:r>
        <w:tab/>
        <w:t>(4)</w:t>
      </w:r>
      <w:r>
        <w:tab/>
        <w:t>The cost of a share in a particular syndicate is calculated by a method determined by the Commission that includes truncation to the nearest cent for the subscription component and agent commission component, followed by rounding down, where necessary, to the nearest sum containing a 5 cent multiple.</w:t>
      </w:r>
    </w:p>
    <w:p>
      <w:pPr>
        <w:pStyle w:val="Heading5"/>
      </w:pPr>
      <w:bookmarkStart w:id="97" w:name="_Toc34291412"/>
      <w:bookmarkStart w:id="98" w:name="_Toc25761115"/>
      <w:r>
        <w:rPr>
          <w:rStyle w:val="CharSectno"/>
        </w:rPr>
        <w:t>28</w:t>
      </w:r>
      <w:r>
        <w:t>.</w:t>
      </w:r>
      <w:r>
        <w:tab/>
        <w:t>Agent’s component of syndicate share</w:t>
      </w:r>
      <w:bookmarkEnd w:id="97"/>
      <w:bookmarkEnd w:id="98"/>
    </w:p>
    <w:p>
      <w:pPr>
        <w:pStyle w:val="Subsection"/>
      </w:pPr>
      <w:r>
        <w:tab/>
      </w:r>
      <w:r>
        <w:tab/>
        <w:t>The agent’s component per share is the difference between the final price per share and the subscription per share.</w:t>
      </w:r>
    </w:p>
    <w:p>
      <w:pPr>
        <w:pStyle w:val="Heading5"/>
      </w:pPr>
      <w:bookmarkStart w:id="99" w:name="_Toc34291413"/>
      <w:bookmarkStart w:id="100" w:name="_Toc25761116"/>
      <w:r>
        <w:rPr>
          <w:rStyle w:val="CharSectno"/>
        </w:rPr>
        <w:t>29</w:t>
      </w:r>
      <w:r>
        <w:t>.</w:t>
      </w:r>
      <w:r>
        <w:tab/>
        <w:t>Syndicate participation parameters</w:t>
      </w:r>
      <w:bookmarkEnd w:id="99"/>
      <w:bookmarkEnd w:id="100"/>
    </w:p>
    <w:p>
      <w:pPr>
        <w:pStyle w:val="Subsection"/>
      </w:pPr>
      <w:r>
        <w:tab/>
        <w:t>(1)</w:t>
      </w:r>
      <w:r>
        <w:tab/>
        <w:t>A syndicate cannot be created for more than one draw.</w:t>
      </w:r>
    </w:p>
    <w:p>
      <w:pPr>
        <w:pStyle w:val="Subsection"/>
      </w:pPr>
      <w:r>
        <w:tab/>
        <w:t>(2)</w:t>
      </w:r>
      <w:r>
        <w:tab/>
        <w:t>A syndicate can be for more than one system entry of the same or different system type on the one playslip, but the aggregate cost of the playslip cannot exceed the limit set out in Schedule  2.</w:t>
      </w:r>
    </w:p>
    <w:p>
      <w:pPr>
        <w:pStyle w:val="Subsection"/>
      </w:pPr>
      <w:r>
        <w:tab/>
        <w:t>(3)</w:t>
      </w:r>
      <w:r>
        <w:tab/>
        <w:t>A syndicate cannot be for a combination of more than one type of lotto under these rules.</w:t>
      </w:r>
    </w:p>
    <w:p>
      <w:pPr>
        <w:pStyle w:val="Heading5"/>
      </w:pPr>
      <w:bookmarkStart w:id="101" w:name="_Toc34291414"/>
      <w:bookmarkStart w:id="102" w:name="_Toc25761117"/>
      <w:r>
        <w:rPr>
          <w:rStyle w:val="CharSectno"/>
        </w:rPr>
        <w:t>30</w:t>
      </w:r>
      <w:r>
        <w:t>.</w:t>
      </w:r>
      <w:r>
        <w:tab/>
        <w:t>Types of syndicate entries</w:t>
      </w:r>
      <w:bookmarkEnd w:id="101"/>
      <w:bookmarkEnd w:id="102"/>
    </w:p>
    <w:p>
      <w:pPr>
        <w:pStyle w:val="Subsection"/>
        <w:keepNext/>
        <w:keepLines/>
      </w:pPr>
      <w:r>
        <w:tab/>
        <w:t>(1)</w:t>
      </w:r>
      <w:r>
        <w:tab/>
        <w:t>A syndicate entry in a lotto draw may be created using one of the following types of entries —</w:t>
      </w:r>
    </w:p>
    <w:p>
      <w:pPr>
        <w:pStyle w:val="Indenta"/>
      </w:pPr>
      <w:r>
        <w:tab/>
        <w:t>(a)</w:t>
      </w:r>
      <w:r>
        <w:tab/>
        <w:t>a Network syndicate;</w:t>
      </w:r>
    </w:p>
    <w:p>
      <w:pPr>
        <w:pStyle w:val="Indenta"/>
      </w:pPr>
      <w:r>
        <w:tab/>
        <w:t>(b)</w:t>
      </w:r>
      <w:r>
        <w:tab/>
        <w:t>a Retailer Group syndicate;</w:t>
      </w:r>
    </w:p>
    <w:p>
      <w:pPr>
        <w:pStyle w:val="Indenta"/>
      </w:pPr>
      <w:r>
        <w:tab/>
        <w:t>(c)</w:t>
      </w:r>
      <w:r>
        <w:tab/>
        <w:t>a Retailer syndicate;</w:t>
      </w:r>
    </w:p>
    <w:p>
      <w:pPr>
        <w:pStyle w:val="Indenta"/>
      </w:pPr>
      <w:r>
        <w:tab/>
        <w:t>(d)</w:t>
      </w:r>
      <w:r>
        <w:tab/>
        <w:t>a Player syndicate.</w:t>
      </w:r>
    </w:p>
    <w:p>
      <w:pPr>
        <w:pStyle w:val="Subsection"/>
      </w:pPr>
      <w:r>
        <w:tab/>
        <w:t>(2)</w:t>
      </w:r>
      <w:r>
        <w:tab/>
        <w:t>A Network syndicate is a syndicate created by the Commission, shares in which may be purchased from any agent.</w:t>
      </w:r>
    </w:p>
    <w:p>
      <w:pPr>
        <w:pStyle w:val="Subsection"/>
      </w:pPr>
      <w:r>
        <w:tab/>
        <w:t>(3)</w:t>
      </w:r>
      <w:r>
        <w:tab/>
        <w:t>A Retailer Group syndicate is a syndicate created by a particular agent, shares in which may be purchased from up to 20 nominated agents, including the agent that created it.</w:t>
      </w:r>
    </w:p>
    <w:p>
      <w:pPr>
        <w:pStyle w:val="Subsection"/>
      </w:pPr>
      <w:r>
        <w:tab/>
        <w:t>(4)</w:t>
      </w:r>
      <w:r>
        <w:tab/>
        <w:t>A Retailer syndicate is a syndicate created by a particular agent, shares in which may be purchased from the agent that created it.</w:t>
      </w:r>
    </w:p>
    <w:p>
      <w:pPr>
        <w:pStyle w:val="Subsection"/>
      </w:pPr>
      <w:r>
        <w:tab/>
        <w:t>(5)</w:t>
      </w:r>
      <w:r>
        <w:tab/>
        <w:t>A Player syndicate is a syndicate created by a particular agent, upon request by a subscriber, and where all shares will be printed and purchased at the time of creation by the subscriber.</w:t>
      </w:r>
    </w:p>
    <w:p>
      <w:pPr>
        <w:pStyle w:val="Footnotesection"/>
      </w:pPr>
      <w:r>
        <w:tab/>
        <w:t>[Rule 30 amended: Gazette 4 Oct 2017 p. 5113.]</w:t>
      </w:r>
    </w:p>
    <w:p>
      <w:pPr>
        <w:pStyle w:val="Heading5"/>
      </w:pPr>
      <w:bookmarkStart w:id="103" w:name="_Toc34291415"/>
      <w:bookmarkStart w:id="104" w:name="_Toc25761118"/>
      <w:r>
        <w:rPr>
          <w:rStyle w:val="CharSectno"/>
        </w:rPr>
        <w:t>31</w:t>
      </w:r>
      <w:r>
        <w:t>.</w:t>
      </w:r>
      <w:r>
        <w:tab/>
        <w:t>Syndicate share receipted ticket</w:t>
      </w:r>
      <w:bookmarkEnd w:id="103"/>
      <w:bookmarkEnd w:id="104"/>
    </w:p>
    <w:p>
      <w:pPr>
        <w:pStyle w:val="Subsection"/>
      </w:pPr>
      <w:r>
        <w:tab/>
      </w:r>
      <w:r>
        <w:tab/>
        <w:t>A syndicate share receipted ticket in a lotto draw may be registered by the subscriber so that a Lotterywest membership number is allocated to that receipted ticket.</w:t>
      </w:r>
    </w:p>
    <w:p>
      <w:pPr>
        <w:pStyle w:val="Footnotesection"/>
      </w:pPr>
      <w:r>
        <w:tab/>
        <w:t>[Rule 31 amended: Gazette 4 Oct 2017 p. 5114.]</w:t>
      </w:r>
    </w:p>
    <w:p>
      <w:pPr>
        <w:pStyle w:val="Heading5"/>
      </w:pPr>
      <w:bookmarkStart w:id="105" w:name="_Toc34291416"/>
      <w:bookmarkStart w:id="106" w:name="_Toc25761119"/>
      <w:r>
        <w:rPr>
          <w:rStyle w:val="CharSectno"/>
        </w:rPr>
        <w:t>32</w:t>
      </w:r>
      <w:r>
        <w:t>.</w:t>
      </w:r>
      <w:r>
        <w:tab/>
        <w:t>Unsold shares in some syndicates: syndicate master ticket</w:t>
      </w:r>
      <w:bookmarkEnd w:id="105"/>
      <w:bookmarkEnd w:id="106"/>
    </w:p>
    <w:p>
      <w:pPr>
        <w:pStyle w:val="Subsection"/>
      </w:pPr>
      <w:r>
        <w:tab/>
        <w:t>(1)</w:t>
      </w:r>
      <w:r>
        <w:tab/>
        <w:t>All unsold shares in a Retailer Group syndicate or a Retailer syndicate following the close of the selling period for that syndicate are assigned to and shall be paid for by the agent who produced the master ticket.</w:t>
      </w:r>
    </w:p>
    <w:p>
      <w:pPr>
        <w:pStyle w:val="Subsection"/>
      </w:pPr>
      <w:r>
        <w:tab/>
        <w:t>(2)</w:t>
      </w:r>
      <w:r>
        <w:tab/>
        <w:t>An unsold share in a Network syndicate following the close of the selling period for that syndicate is assigned to the Commission and any prize amount allocated to a prize winning unsold share is to be treated as unclaimed winnings by the Commission.</w:t>
      </w:r>
    </w:p>
    <w:p>
      <w:pPr>
        <w:pStyle w:val="Subsection"/>
      </w:pPr>
      <w:r>
        <w:tab/>
        <w:t>(3)</w:t>
      </w:r>
      <w:r>
        <w:tab/>
        <w:t>A syndicate may be cancelled if, at the time of the request for cancellation, no shares have been sold in that syndicate.</w:t>
      </w:r>
    </w:p>
    <w:p>
      <w:pPr>
        <w:pStyle w:val="Subsection"/>
      </w:pPr>
      <w:r>
        <w:tab/>
        <w:t>(4)</w:t>
      </w:r>
      <w:r>
        <w:tab/>
        <w:t>Any truncation adjustments that are required under rules 27(4), 28 and 33(5) are to be made against the master ticket for each syndicate.</w:t>
      </w:r>
    </w:p>
    <w:p>
      <w:pPr>
        <w:pStyle w:val="Subsection"/>
      </w:pPr>
      <w:r>
        <w:tab/>
        <w:t>(5)</w:t>
      </w:r>
      <w:r>
        <w:tab/>
        <w:t>Any prize amount allocated to a prize winning Retailer Group syndicate or a Retailer syndicate that remains after rounding adjustment due to truncation may be claimed by the holder of the master ticket by presenting it for validation within the prize payout period.</w:t>
      </w:r>
    </w:p>
    <w:p>
      <w:pPr>
        <w:pStyle w:val="Subsection"/>
      </w:pPr>
      <w:r>
        <w:tab/>
        <w:t>(6)</w:t>
      </w:r>
      <w:r>
        <w:tab/>
        <w:t>Any prize amount allocated to a prize winning Network syndicate that remains after rounding adjustment due to truncation is to be treated as unclaimed winnings by the Commission.</w:t>
      </w:r>
    </w:p>
    <w:p>
      <w:pPr>
        <w:pStyle w:val="Heading3"/>
      </w:pPr>
      <w:bookmarkStart w:id="107" w:name="_Toc34139480"/>
      <w:bookmarkStart w:id="108" w:name="_Toc34139692"/>
      <w:bookmarkStart w:id="109" w:name="_Toc34147869"/>
      <w:bookmarkStart w:id="110" w:name="_Toc34207422"/>
      <w:bookmarkStart w:id="111" w:name="_Toc34291417"/>
      <w:bookmarkStart w:id="112" w:name="_Toc25657325"/>
      <w:bookmarkStart w:id="113" w:name="_Toc25760791"/>
      <w:bookmarkStart w:id="114" w:name="_Toc25761120"/>
      <w:r>
        <w:rPr>
          <w:rStyle w:val="CharDivNo"/>
        </w:rPr>
        <w:t>Division 4</w:t>
      </w:r>
      <w:r>
        <w:t> — </w:t>
      </w:r>
      <w:r>
        <w:rPr>
          <w:rStyle w:val="CharDivText"/>
        </w:rPr>
        <w:t>Paying prizes for lotto draws</w:t>
      </w:r>
      <w:bookmarkEnd w:id="107"/>
      <w:bookmarkEnd w:id="108"/>
      <w:bookmarkEnd w:id="109"/>
      <w:bookmarkEnd w:id="110"/>
      <w:bookmarkEnd w:id="111"/>
      <w:bookmarkEnd w:id="112"/>
      <w:bookmarkEnd w:id="113"/>
      <w:bookmarkEnd w:id="114"/>
    </w:p>
    <w:p>
      <w:pPr>
        <w:pStyle w:val="Heading5"/>
        <w:rPr>
          <w:snapToGrid w:val="0"/>
        </w:rPr>
      </w:pPr>
      <w:bookmarkStart w:id="115" w:name="_Toc34291418"/>
      <w:bookmarkStart w:id="116" w:name="_Toc25761121"/>
      <w:r>
        <w:rPr>
          <w:rStyle w:val="CharSectno"/>
        </w:rPr>
        <w:t>33</w:t>
      </w:r>
      <w:r>
        <w:rPr>
          <w:snapToGrid w:val="0"/>
        </w:rPr>
        <w:t>.</w:t>
      </w:r>
      <w:r>
        <w:rPr>
          <w:snapToGrid w:val="0"/>
        </w:rPr>
        <w:tab/>
        <w:t>Distribution of prize pool</w:t>
      </w:r>
      <w:bookmarkEnd w:id="115"/>
      <w:bookmarkEnd w:id="116"/>
    </w:p>
    <w:p>
      <w:pPr>
        <w:pStyle w:val="Subsection"/>
      </w:pPr>
      <w:r>
        <w:tab/>
        <w:t>(1)</w:t>
      </w:r>
      <w:r>
        <w:tab/>
        <w:t>For the purposes of prize distribution, the holders of a syndicate share ticket that has a winning game or games are to be treated as collectively making up one individual winning game.</w:t>
      </w:r>
    </w:p>
    <w:p>
      <w:pPr>
        <w:pStyle w:val="Subsection"/>
        <w:rPr>
          <w:snapToGrid w:val="0"/>
        </w:rPr>
      </w:pPr>
      <w:r>
        <w:rPr>
          <w:snapToGrid w:val="0"/>
        </w:rPr>
        <w:tab/>
      </w:r>
      <w:r>
        <w:t>(2)</w:t>
      </w:r>
      <w:r>
        <w:rPr>
          <w:snapToGrid w:val="0"/>
        </w:rPr>
        <w:tab/>
        <w:t>Unless otherwise provided in these rules, the prize pool for a division or Prize Level is to be divided equally between the winning games in that division or Level.</w:t>
      </w:r>
    </w:p>
    <w:p>
      <w:pPr>
        <w:pStyle w:val="Subsection"/>
        <w:rPr>
          <w:snapToGrid w:val="0"/>
        </w:rPr>
      </w:pPr>
      <w:r>
        <w:rPr>
          <w:snapToGrid w:val="0"/>
        </w:rPr>
        <w:tab/>
      </w:r>
      <w:r>
        <w:t>(3)</w:t>
      </w:r>
      <w:r>
        <w:rPr>
          <w:snapToGrid w:val="0"/>
        </w:rPr>
        <w:tab/>
        <w:t>The Commission may round off the individual entitlement for a prize in a division or Prize Level (other than division 1 or 1st Prize) to the nearest sum containing a 5 cent multiple.</w:t>
      </w:r>
    </w:p>
    <w:p>
      <w:pPr>
        <w:pStyle w:val="Subsection"/>
        <w:rPr>
          <w:snapToGrid w:val="0"/>
        </w:rPr>
      </w:pPr>
      <w:r>
        <w:rPr>
          <w:snapToGrid w:val="0"/>
        </w:rPr>
        <w:tab/>
      </w:r>
      <w:r>
        <w:t>(4)</w:t>
      </w:r>
      <w:r>
        <w:rPr>
          <w:snapToGrid w:val="0"/>
        </w:rPr>
        <w:tab/>
        <w:t>Where a rounding off takes place under subrule (3), the Commission may adjust the prize pool for the division 1 or Prize Level to ensure that the whole of the prize pool for that draw is distributed.</w:t>
      </w:r>
    </w:p>
    <w:p>
      <w:pPr>
        <w:pStyle w:val="Subsection"/>
      </w:pPr>
      <w:r>
        <w:tab/>
        <w:t>(5)</w:t>
      </w:r>
      <w:r>
        <w:tab/>
        <w:t>The holders of a syndicate share ticket that has a winning game are entitled to a prize calculated by dividing the total prize or prizes won by that syndicate by the number of shares in the syndicate (truncated to the nearest cent).</w:t>
      </w:r>
    </w:p>
    <w:p>
      <w:pPr>
        <w:pStyle w:val="Footnotesection"/>
      </w:pPr>
      <w:r>
        <w:tab/>
        <w:t>[Rule 33 amended: Gazette 9 Feb 2018 p. 405.]</w:t>
      </w:r>
    </w:p>
    <w:p>
      <w:pPr>
        <w:pStyle w:val="Heading5"/>
        <w:spacing w:before="120"/>
        <w:rPr>
          <w:snapToGrid w:val="0"/>
        </w:rPr>
      </w:pPr>
      <w:bookmarkStart w:id="117" w:name="_Toc34291419"/>
      <w:bookmarkStart w:id="118" w:name="_Toc25761122"/>
      <w:r>
        <w:rPr>
          <w:rStyle w:val="CharSectno"/>
        </w:rPr>
        <w:t>34</w:t>
      </w:r>
      <w:r>
        <w:rPr>
          <w:snapToGrid w:val="0"/>
        </w:rPr>
        <w:t>.</w:t>
      </w:r>
      <w:r>
        <w:rPr>
          <w:snapToGrid w:val="0"/>
        </w:rPr>
        <w:tab/>
        <w:t>Claims for and payment of prizes</w:t>
      </w:r>
      <w:bookmarkEnd w:id="117"/>
      <w:bookmarkEnd w:id="118"/>
      <w:r>
        <w:rPr>
          <w:snapToGrid w:val="0"/>
        </w:rPr>
        <w:t xml:space="preserve"> </w:t>
      </w:r>
    </w:p>
    <w:p>
      <w:pPr>
        <w:pStyle w:val="Subsection"/>
        <w:spacing w:before="100"/>
      </w:pPr>
      <w:r>
        <w:rPr>
          <w:snapToGrid w:val="0"/>
        </w:rPr>
        <w:tab/>
      </w:r>
      <w:r>
        <w:t>(1)</w:t>
      </w:r>
      <w:r>
        <w:rPr>
          <w:snapToGrid w:val="0"/>
        </w:rPr>
        <w:tab/>
        <w:t xml:space="preserve">A prize in a </w:t>
      </w:r>
      <w:r>
        <w:t>lotto draw</w:t>
      </w:r>
      <w:r>
        <w:rPr>
          <w:snapToGrid w:val="0"/>
        </w:rPr>
        <w:t xml:space="preserve"> is to be paid in accordance with this Division and </w:t>
      </w:r>
      <w:r>
        <w:t xml:space="preserve">under Part 2 Division 5 </w:t>
      </w:r>
      <w:r>
        <w:rPr>
          <w:iCs/>
        </w:rPr>
        <w:t>of these rules</w:t>
      </w:r>
      <w:r>
        <w:t>.</w:t>
      </w:r>
    </w:p>
    <w:p>
      <w:pPr>
        <w:pStyle w:val="Subsection"/>
        <w:rPr>
          <w:snapToGrid w:val="0"/>
        </w:rPr>
      </w:pPr>
      <w:r>
        <w:rPr>
          <w:snapToGrid w:val="0"/>
        </w:rPr>
        <w:tab/>
      </w:r>
      <w:r>
        <w:t>(2)</w:t>
      </w:r>
      <w:r>
        <w:rPr>
          <w:snapToGrid w:val="0"/>
        </w:rPr>
        <w:tab/>
        <w:t xml:space="preserve">To claim a prize in a lotto draw the holder of a winning receipted ticket must present it — </w:t>
      </w:r>
    </w:p>
    <w:p>
      <w:pPr>
        <w:pStyle w:val="Indenta"/>
        <w:rPr>
          <w:snapToGrid w:val="0"/>
        </w:rPr>
      </w:pPr>
      <w:r>
        <w:rPr>
          <w:snapToGrid w:val="0"/>
        </w:rPr>
        <w:tab/>
        <w:t>(a)</w:t>
      </w:r>
      <w:r>
        <w:rPr>
          <w:snapToGrid w:val="0"/>
        </w:rPr>
        <w:tab/>
        <w:t>at an appropriate location based on the prize division claimed and the payout amount; and</w:t>
      </w:r>
    </w:p>
    <w:p>
      <w:pPr>
        <w:pStyle w:val="Indenta"/>
      </w:pPr>
      <w:r>
        <w:tab/>
        <w:t>(b)</w:t>
      </w:r>
      <w:r>
        <w:tab/>
        <w:t>within the payout period specified for the particular division win in that draw; and</w:t>
      </w:r>
    </w:p>
    <w:p>
      <w:pPr>
        <w:pStyle w:val="Indenta"/>
      </w:pPr>
      <w:r>
        <w:tab/>
        <w:t>(c)</w:t>
      </w:r>
      <w:r>
        <w:tab/>
        <w:t>together with the player’s Lotterywest membership card, if that ticket is registered to a Lotterywest membership number that was used to register the ticket.</w:t>
      </w:r>
    </w:p>
    <w:p>
      <w:pPr>
        <w:pStyle w:val="Subsection"/>
      </w:pPr>
      <w:r>
        <w:tab/>
        <w:t>(3)</w:t>
      </w:r>
      <w:r>
        <w:rPr>
          <w:snapToGrid w:val="0"/>
        </w:rPr>
        <w:tab/>
        <w:t xml:space="preserve">Subject to subrule (4), a prize in a lotto draw is to be </w:t>
      </w:r>
      <w:r>
        <w:t>paid, in</w:t>
      </w:r>
      <w:r>
        <w:rPr>
          <w:sz w:val="22"/>
        </w:rPr>
        <w:t xml:space="preserve"> </w:t>
      </w:r>
      <w:r>
        <w:t>the manner determined by the Commission, to the holder of a winning receipted ticket when the ticket is presented at an appropriate location based on the payout amount within the payout period and after any applicable validation period.</w:t>
      </w:r>
    </w:p>
    <w:p>
      <w:pPr>
        <w:pStyle w:val="Subsection"/>
        <w:spacing w:before="100"/>
        <w:rPr>
          <w:snapToGrid w:val="0"/>
        </w:rPr>
      </w:pPr>
      <w:r>
        <w:rPr>
          <w:snapToGrid w:val="0"/>
        </w:rPr>
        <w:tab/>
      </w:r>
      <w:r>
        <w:t>(4)</w:t>
      </w:r>
      <w:r>
        <w:rPr>
          <w:snapToGrid w:val="0"/>
        </w:rPr>
        <w:tab/>
        <w:t>Where a division 1 or 1st Prize winning receipted ticket is presented to the Commission and details set out in the space provided on the receipted ticket for the prize winners details are not sufficient to establish —</w:t>
      </w:r>
    </w:p>
    <w:p>
      <w:pPr>
        <w:pStyle w:val="Indenta"/>
        <w:rPr>
          <w:snapToGrid w:val="0"/>
        </w:rPr>
      </w:pPr>
      <w:r>
        <w:rPr>
          <w:snapToGrid w:val="0"/>
        </w:rPr>
        <w:tab/>
      </w:r>
      <w:r>
        <w:t>(a)</w:t>
      </w:r>
      <w:r>
        <w:rPr>
          <w:snapToGrid w:val="0"/>
        </w:rPr>
        <w:tab/>
        <w:t>the identity of the prize winner; and</w:t>
      </w:r>
    </w:p>
    <w:p>
      <w:pPr>
        <w:pStyle w:val="Indenta"/>
        <w:rPr>
          <w:snapToGrid w:val="0"/>
        </w:rPr>
      </w:pPr>
      <w:r>
        <w:rPr>
          <w:snapToGrid w:val="0"/>
        </w:rPr>
        <w:tab/>
      </w:r>
      <w:r>
        <w:t>(b)</w:t>
      </w:r>
      <w:r>
        <w:rPr>
          <w:snapToGrid w:val="0"/>
        </w:rPr>
        <w:tab/>
        <w:t>the name and address of the person to be paid; and</w:t>
      </w:r>
    </w:p>
    <w:p>
      <w:pPr>
        <w:pStyle w:val="Indenta"/>
        <w:rPr>
          <w:snapToGrid w:val="0"/>
        </w:rPr>
      </w:pPr>
      <w:r>
        <w:rPr>
          <w:snapToGrid w:val="0"/>
        </w:rPr>
        <w:tab/>
      </w:r>
      <w:r>
        <w:t>(c)</w:t>
      </w:r>
      <w:r>
        <w:rPr>
          <w:snapToGrid w:val="0"/>
        </w:rPr>
        <w:tab/>
        <w:t>if multiple names and addresses appear on the receipted ticket, which of the named people is to be paid,</w:t>
      </w:r>
    </w:p>
    <w:p>
      <w:pPr>
        <w:pStyle w:val="Subsection"/>
        <w:spacing w:before="100"/>
        <w:rPr>
          <w:snapToGrid w:val="0"/>
        </w:rPr>
      </w:pPr>
      <w:r>
        <w:rPr>
          <w:snapToGrid w:val="0"/>
        </w:rPr>
        <w:tab/>
      </w:r>
      <w:r>
        <w:rPr>
          <w:snapToGrid w:val="0"/>
        </w:rPr>
        <w:tab/>
        <w:t>the Commission may —</w:t>
      </w:r>
    </w:p>
    <w:p>
      <w:pPr>
        <w:pStyle w:val="Indenta"/>
        <w:rPr>
          <w:snapToGrid w:val="0"/>
        </w:rPr>
      </w:pPr>
      <w:r>
        <w:rPr>
          <w:snapToGrid w:val="0"/>
        </w:rPr>
        <w:tab/>
      </w:r>
      <w:r>
        <w:t>(d)</w:t>
      </w:r>
      <w:r>
        <w:rPr>
          <w:snapToGrid w:val="0"/>
        </w:rPr>
        <w:tab/>
        <w:t>accept the claim but refuse to pay the prize until it is satisfied of the details referred to in paragraphs (a), (b) and (c); or</w:t>
      </w:r>
    </w:p>
    <w:p>
      <w:pPr>
        <w:pStyle w:val="Indenta"/>
        <w:rPr>
          <w:snapToGrid w:val="0"/>
        </w:rPr>
      </w:pPr>
      <w:r>
        <w:rPr>
          <w:snapToGrid w:val="0"/>
        </w:rPr>
        <w:tab/>
      </w:r>
      <w:r>
        <w:t>(e)</w:t>
      </w:r>
      <w:r>
        <w:rPr>
          <w:snapToGrid w:val="0"/>
        </w:rPr>
        <w:tab/>
        <w:t>where multiple names and addresses appear on the receipted ticket, accept the claim and pay the prize to the person whose name appears first; or</w:t>
      </w:r>
    </w:p>
    <w:p>
      <w:pPr>
        <w:pStyle w:val="Indenta"/>
        <w:rPr>
          <w:snapToGrid w:val="0"/>
        </w:rPr>
      </w:pPr>
      <w:r>
        <w:rPr>
          <w:snapToGrid w:val="0"/>
        </w:rPr>
        <w:tab/>
      </w:r>
      <w:r>
        <w:t>(f)</w:t>
      </w:r>
      <w:r>
        <w:rPr>
          <w:snapToGrid w:val="0"/>
        </w:rPr>
        <w:tab/>
        <w:t>reject the claim.</w:t>
      </w:r>
    </w:p>
    <w:p>
      <w:pPr>
        <w:pStyle w:val="Subsection"/>
        <w:rPr>
          <w:snapToGrid w:val="0"/>
        </w:rPr>
      </w:pPr>
      <w:r>
        <w:rPr>
          <w:snapToGrid w:val="0"/>
        </w:rPr>
        <w:tab/>
      </w:r>
      <w:r>
        <w:t>(5)</w:t>
      </w:r>
      <w:r>
        <w:rPr>
          <w:snapToGrid w:val="0"/>
        </w:rPr>
        <w:tab/>
        <w:t>In order to satisfy itself of the details referred to in subrule (4)(a), (b) and (c), the Commission may request a statutory declaration containing such information as it may require as to the identity of the prize winner and person to be paid.</w:t>
      </w:r>
    </w:p>
    <w:p>
      <w:pPr>
        <w:pStyle w:val="Subsection"/>
        <w:keepLines/>
        <w:rPr>
          <w:snapToGrid w:val="0"/>
        </w:rPr>
      </w:pPr>
      <w:r>
        <w:rPr>
          <w:snapToGrid w:val="0"/>
        </w:rPr>
        <w:tab/>
      </w:r>
      <w:r>
        <w:t>(6)</w:t>
      </w:r>
      <w:r>
        <w:rPr>
          <w:snapToGrid w:val="0"/>
        </w:rPr>
        <w:tab/>
        <w:t>Where the holder of a receipted ticket wins a division 1 prize or 1st Prize in a lotto draw and one or more other prizes on the same ticket, none of those prizes are to be paid until after the validation period for that draw.</w:t>
      </w:r>
    </w:p>
    <w:p>
      <w:pPr>
        <w:pStyle w:val="Footnotesection"/>
      </w:pPr>
      <w:r>
        <w:tab/>
        <w:t>[Rule 34 amended: Gazette 4 Oct 2017 p. 5114.]</w:t>
      </w:r>
    </w:p>
    <w:p>
      <w:pPr>
        <w:pStyle w:val="Ednotesection"/>
      </w:pPr>
      <w:r>
        <w:t>[</w:t>
      </w:r>
      <w:r>
        <w:rPr>
          <w:b/>
        </w:rPr>
        <w:t>35.</w:t>
      </w:r>
      <w:r>
        <w:tab/>
        <w:t>Deleted: Gazette 4 Oct 2017 p. 5114.]</w:t>
      </w:r>
    </w:p>
    <w:p>
      <w:pPr>
        <w:pStyle w:val="Heading5"/>
      </w:pPr>
      <w:bookmarkStart w:id="119" w:name="_Toc34291420"/>
      <w:bookmarkStart w:id="120" w:name="_Toc25761123"/>
      <w:r>
        <w:rPr>
          <w:rStyle w:val="CharSectno"/>
        </w:rPr>
        <w:t>36</w:t>
      </w:r>
      <w:r>
        <w:t>.</w:t>
      </w:r>
      <w:r>
        <w:tab/>
        <w:t>Claims for and payment of syndicate share prizes</w:t>
      </w:r>
      <w:bookmarkEnd w:id="119"/>
      <w:bookmarkEnd w:id="120"/>
      <w:r>
        <w:t xml:space="preserve"> </w:t>
      </w:r>
    </w:p>
    <w:p>
      <w:pPr>
        <w:pStyle w:val="Subsection"/>
      </w:pPr>
      <w:r>
        <w:tab/>
      </w:r>
      <w:r>
        <w:tab/>
        <w:t xml:space="preserve">For the purposes of claiming a share of a prize in a lotto draw, the holder of a winning syndicate share receipted ticket is subject to the same rules as the holder of a winning receipted ticket under this Division and Part 2 Division 5 </w:t>
      </w:r>
      <w:r>
        <w:rPr>
          <w:iCs/>
        </w:rPr>
        <w:t>of these rules</w:t>
      </w:r>
      <w:r>
        <w:t>.</w:t>
      </w:r>
    </w:p>
    <w:p>
      <w:pPr>
        <w:pStyle w:val="Heading3"/>
        <w:keepNext w:val="0"/>
        <w:pageBreakBefore/>
        <w:spacing w:before="0"/>
      </w:pPr>
      <w:bookmarkStart w:id="121" w:name="_Toc34139484"/>
      <w:bookmarkStart w:id="122" w:name="_Toc34139696"/>
      <w:bookmarkStart w:id="123" w:name="_Toc34147873"/>
      <w:bookmarkStart w:id="124" w:name="_Toc34207426"/>
      <w:bookmarkStart w:id="125" w:name="_Toc34291421"/>
      <w:bookmarkStart w:id="126" w:name="_Toc25657329"/>
      <w:bookmarkStart w:id="127" w:name="_Toc25760795"/>
      <w:bookmarkStart w:id="128" w:name="_Toc25761124"/>
      <w:r>
        <w:rPr>
          <w:rStyle w:val="CharDivNo"/>
        </w:rPr>
        <w:t>Division 5</w:t>
      </w:r>
      <w:r>
        <w:t> — </w:t>
      </w:r>
      <w:r>
        <w:rPr>
          <w:rStyle w:val="CharDivText"/>
        </w:rPr>
        <w:t>Lotterywest membership</w:t>
      </w:r>
      <w:bookmarkEnd w:id="121"/>
      <w:bookmarkEnd w:id="122"/>
      <w:bookmarkEnd w:id="123"/>
      <w:bookmarkEnd w:id="124"/>
      <w:bookmarkEnd w:id="125"/>
      <w:bookmarkEnd w:id="126"/>
      <w:bookmarkEnd w:id="127"/>
      <w:bookmarkEnd w:id="128"/>
    </w:p>
    <w:p>
      <w:pPr>
        <w:pStyle w:val="Footnoteheading"/>
      </w:pPr>
      <w:r>
        <w:tab/>
        <w:t>[Heading amended: Gazette 4 Oct 2017 p. 5115.]</w:t>
      </w:r>
    </w:p>
    <w:p>
      <w:pPr>
        <w:pStyle w:val="Heading5"/>
        <w:keepNext w:val="0"/>
      </w:pPr>
      <w:bookmarkStart w:id="129" w:name="_Toc34291422"/>
      <w:bookmarkStart w:id="130" w:name="_Toc25761125"/>
      <w:r>
        <w:rPr>
          <w:rStyle w:val="CharSectno"/>
        </w:rPr>
        <w:t>37</w:t>
      </w:r>
      <w:r>
        <w:t>.</w:t>
      </w:r>
      <w:r>
        <w:tab/>
        <w:t>Terms used</w:t>
      </w:r>
      <w:bookmarkEnd w:id="129"/>
      <w:bookmarkEnd w:id="130"/>
    </w:p>
    <w:p>
      <w:pPr>
        <w:pStyle w:val="Subsection"/>
      </w:pPr>
      <w:r>
        <w:tab/>
      </w:r>
      <w:r>
        <w:tab/>
        <w:t>In this Division —</w:t>
      </w:r>
    </w:p>
    <w:p>
      <w:pPr>
        <w:pStyle w:val="Defstart"/>
      </w:pPr>
      <w:r>
        <w:tab/>
      </w:r>
      <w:r>
        <w:rPr>
          <w:rStyle w:val="CharDefText"/>
        </w:rPr>
        <w:t>entry</w:t>
      </w:r>
      <w:r>
        <w:t xml:space="preserve"> means an entry in lotto using Play Online, the Lotterywest App, a self</w:t>
      </w:r>
      <w:r>
        <w:noBreakHyphen/>
        <w:t>serve kiosk, another approved channel, device or mechanism, or entry in accordance with rule 4;</w:t>
      </w:r>
    </w:p>
    <w:p>
      <w:pPr>
        <w:pStyle w:val="Defstart"/>
      </w:pPr>
      <w:r>
        <w:tab/>
      </w:r>
      <w:r>
        <w:rPr>
          <w:rStyle w:val="CharDefText"/>
        </w:rPr>
        <w:t>player</w:t>
      </w:r>
      <w:r>
        <w:t xml:space="preserve"> means a person who has a Lotterywest membership;</w:t>
      </w:r>
    </w:p>
    <w:p>
      <w:pPr>
        <w:pStyle w:val="Defstart"/>
      </w:pPr>
      <w:r>
        <w:tab/>
      </w:r>
      <w:r>
        <w:rPr>
          <w:rStyle w:val="CharDefText"/>
        </w:rPr>
        <w:t>player’s account</w:t>
      </w:r>
      <w:r>
        <w:t xml:space="preserve"> has the meaning given in rule 41;</w:t>
      </w:r>
    </w:p>
    <w:p>
      <w:pPr>
        <w:pStyle w:val="Defstart"/>
      </w:pPr>
      <w:r>
        <w:tab/>
      </w:r>
      <w:r>
        <w:rPr>
          <w:rStyle w:val="CharDefText"/>
        </w:rPr>
        <w:t>prize</w:t>
      </w:r>
      <w:r>
        <w:t xml:space="preserve"> means a prize for an entry;</w:t>
      </w:r>
    </w:p>
    <w:p>
      <w:pPr>
        <w:pStyle w:val="Defstart"/>
      </w:pPr>
      <w:r>
        <w:tab/>
      </w:r>
      <w:r>
        <w:rPr>
          <w:rStyle w:val="CharDefText"/>
        </w:rPr>
        <w:t>registration</w:t>
      </w:r>
      <w:r>
        <w:t xml:space="preserve"> means a Lotterywest membership registration.</w:t>
      </w:r>
    </w:p>
    <w:p>
      <w:pPr>
        <w:pStyle w:val="Footnotesection"/>
      </w:pPr>
      <w:r>
        <w:tab/>
        <w:t>[Rule 37 amended: Gazette 4 Oct 2017 p. 5115.]</w:t>
      </w:r>
    </w:p>
    <w:p>
      <w:pPr>
        <w:pStyle w:val="Heading5"/>
      </w:pPr>
      <w:bookmarkStart w:id="131" w:name="_Toc34291423"/>
      <w:bookmarkStart w:id="132" w:name="_Toc25761126"/>
      <w:r>
        <w:rPr>
          <w:rStyle w:val="CharSectno"/>
        </w:rPr>
        <w:t>38</w:t>
      </w:r>
      <w:r>
        <w:t>.</w:t>
      </w:r>
      <w:r>
        <w:tab/>
        <w:t>Relevant rules of lotto unaffected</w:t>
      </w:r>
      <w:bookmarkEnd w:id="131"/>
      <w:bookmarkEnd w:id="132"/>
    </w:p>
    <w:p>
      <w:pPr>
        <w:pStyle w:val="Subsection"/>
      </w:pPr>
      <w:r>
        <w:tab/>
      </w:r>
      <w:r>
        <w:tab/>
        <w:t>Nothing in this Part affects the operation of the relevant rules of lotto in relation to receipted tickets.</w:t>
      </w:r>
    </w:p>
    <w:p>
      <w:pPr>
        <w:pStyle w:val="Heading5"/>
      </w:pPr>
      <w:bookmarkStart w:id="133" w:name="_Toc34291424"/>
      <w:bookmarkStart w:id="134" w:name="_Toc25761127"/>
      <w:r>
        <w:rPr>
          <w:rStyle w:val="CharSectno"/>
        </w:rPr>
        <w:t>39</w:t>
      </w:r>
      <w:r>
        <w:t>.</w:t>
      </w:r>
      <w:r>
        <w:tab/>
        <w:t>Play Online and Lotterywest App</w:t>
      </w:r>
      <w:bookmarkEnd w:id="133"/>
      <w:bookmarkEnd w:id="134"/>
    </w:p>
    <w:p>
      <w:pPr>
        <w:pStyle w:val="Subsection"/>
      </w:pPr>
      <w:r>
        <w:tab/>
        <w:t>(1)</w:t>
      </w:r>
      <w:r>
        <w:tab/>
        <w:t>To enter lotto online a person must use the website (</w:t>
      </w:r>
      <w:r>
        <w:rPr>
          <w:rStyle w:val="CharDefText"/>
        </w:rPr>
        <w:t>Play Online</w:t>
      </w:r>
      <w:r>
        <w:t>) or the mobile application (</w:t>
      </w:r>
      <w:r>
        <w:rPr>
          <w:rStyle w:val="CharDefText"/>
        </w:rPr>
        <w:t>Lotterywest App</w:t>
      </w:r>
      <w:r>
        <w:t>) maintained by the Commission for the purposes of these rules.</w:t>
      </w:r>
    </w:p>
    <w:p>
      <w:pPr>
        <w:pStyle w:val="Subsection"/>
      </w:pPr>
      <w:r>
        <w:tab/>
        <w:t>(2)</w:t>
      </w:r>
      <w:r>
        <w:tab/>
        <w:t>If access to Play Online or the Lotterywest App is provided by an agent, a person may enter lotto online using equipment provided for that purpose.</w:t>
      </w:r>
    </w:p>
    <w:p>
      <w:pPr>
        <w:pStyle w:val="Subsection"/>
      </w:pPr>
      <w:r>
        <w:tab/>
        <w:t>(3)</w:t>
      </w:r>
      <w:r>
        <w:tab/>
        <w:t>If access to online entries has been made available without the need for equipment provided by the Commission or an agent, a person may enter lotto online using whatever equipment enables that access.</w:t>
      </w:r>
    </w:p>
    <w:p>
      <w:pPr>
        <w:pStyle w:val="Heading5"/>
      </w:pPr>
      <w:bookmarkStart w:id="135" w:name="_Toc34291425"/>
      <w:bookmarkStart w:id="136" w:name="_Toc25761128"/>
      <w:r>
        <w:rPr>
          <w:rStyle w:val="CharSectno"/>
        </w:rPr>
        <w:t>39A</w:t>
      </w:r>
      <w:r>
        <w:t>.</w:t>
      </w:r>
      <w:r>
        <w:tab/>
        <w:t>Self</w:t>
      </w:r>
      <w:r>
        <w:noBreakHyphen/>
        <w:t>serve kiosk</w:t>
      </w:r>
      <w:bookmarkEnd w:id="135"/>
      <w:bookmarkEnd w:id="136"/>
    </w:p>
    <w:p>
      <w:pPr>
        <w:pStyle w:val="Subsection"/>
      </w:pPr>
      <w:r>
        <w:tab/>
      </w:r>
      <w:r>
        <w:tab/>
        <w:t>A person may enter lotto by using a self</w:t>
      </w:r>
      <w:r>
        <w:noBreakHyphen/>
        <w:t>serve kiosk maintained by the Commission for the purposes of these rules.</w:t>
      </w:r>
    </w:p>
    <w:p>
      <w:pPr>
        <w:pStyle w:val="Footnotesection"/>
      </w:pPr>
      <w:r>
        <w:tab/>
        <w:t>[Rule 39A inserted: Gazette 4 Oct 2017 p. 5116.]</w:t>
      </w:r>
    </w:p>
    <w:p>
      <w:pPr>
        <w:pStyle w:val="Heading5"/>
      </w:pPr>
      <w:bookmarkStart w:id="137" w:name="_Toc34291426"/>
      <w:bookmarkStart w:id="138" w:name="_Toc25761129"/>
      <w:r>
        <w:rPr>
          <w:rStyle w:val="CharSectno"/>
        </w:rPr>
        <w:t>40</w:t>
      </w:r>
      <w:r>
        <w:t>.</w:t>
      </w:r>
      <w:r>
        <w:tab/>
        <w:t>Registration</w:t>
      </w:r>
      <w:bookmarkEnd w:id="137"/>
      <w:bookmarkEnd w:id="138"/>
    </w:p>
    <w:p>
      <w:pPr>
        <w:pStyle w:val="Subsection"/>
      </w:pPr>
      <w:r>
        <w:tab/>
        <w:t>(1)</w:t>
      </w:r>
      <w:r>
        <w:tab/>
        <w:t>To purchase a digital entry a person must be a Lotterywest member.</w:t>
      </w:r>
    </w:p>
    <w:p>
      <w:pPr>
        <w:pStyle w:val="Subsection"/>
      </w:pPr>
      <w:r>
        <w:tab/>
        <w:t>(2)</w:t>
      </w:r>
      <w:r>
        <w:tab/>
        <w:t>To become a Lotterywest member a person must —</w:t>
      </w:r>
    </w:p>
    <w:p>
      <w:pPr>
        <w:pStyle w:val="Indenta"/>
      </w:pPr>
      <w:r>
        <w:tab/>
        <w:t>(a)</w:t>
      </w:r>
      <w:r>
        <w:tab/>
        <w:t>be an individual; and</w:t>
      </w:r>
    </w:p>
    <w:p>
      <w:pPr>
        <w:pStyle w:val="Indenta"/>
      </w:pPr>
      <w:r>
        <w:tab/>
        <w:t>(b)</w:t>
      </w:r>
      <w:r>
        <w:tab/>
        <w:t>confirm that they are at least 16 years of age and provide a WA residential or business address; and</w:t>
      </w:r>
    </w:p>
    <w:p>
      <w:pPr>
        <w:pStyle w:val="Ednotepara"/>
      </w:pPr>
      <w:r>
        <w:tab/>
        <w:t>[(c)</w:t>
      </w:r>
      <w:r>
        <w:tab/>
        <w:t>deleted]</w:t>
      </w:r>
    </w:p>
    <w:p>
      <w:pPr>
        <w:pStyle w:val="Indenta"/>
      </w:pPr>
      <w:r>
        <w:tab/>
        <w:t>(d)</w:t>
      </w:r>
      <w:r>
        <w:tab/>
        <w:t>have an authorised financial institution account; and</w:t>
      </w:r>
    </w:p>
    <w:p>
      <w:pPr>
        <w:pStyle w:val="Indenta"/>
      </w:pPr>
      <w:r>
        <w:tab/>
        <w:t>(e)</w:t>
      </w:r>
      <w:r>
        <w:tab/>
        <w:t>comply with rule 41(1); and</w:t>
      </w:r>
    </w:p>
    <w:p>
      <w:pPr>
        <w:pStyle w:val="Indenta"/>
      </w:pPr>
      <w:r>
        <w:tab/>
        <w:t>(f)</w:t>
      </w:r>
      <w:r>
        <w:tab/>
        <w:t>not already be a Lotterywest member or be a player whose registration or membership has been suspended or cancelled under rule 42.</w:t>
      </w:r>
    </w:p>
    <w:p>
      <w:pPr>
        <w:pStyle w:val="Subsection"/>
      </w:pPr>
      <w:r>
        <w:tab/>
        <w:t>(3)</w:t>
      </w:r>
      <w:r>
        <w:tab/>
        <w:t>A player must ensure that the player’s Lotterywest member login details are not disclosed to any other person.</w:t>
      </w:r>
    </w:p>
    <w:p>
      <w:pPr>
        <w:pStyle w:val="Footnotesection"/>
      </w:pPr>
      <w:r>
        <w:tab/>
        <w:t>[Rule 40 amended: Gazette 4 Oct 2017 p. 5116</w:t>
      </w:r>
      <w:r>
        <w:noBreakHyphen/>
        <w:t>17.]</w:t>
      </w:r>
    </w:p>
    <w:p>
      <w:pPr>
        <w:pStyle w:val="Heading5"/>
      </w:pPr>
      <w:bookmarkStart w:id="139" w:name="_Toc34291427"/>
      <w:bookmarkStart w:id="140" w:name="_Toc25761130"/>
      <w:r>
        <w:rPr>
          <w:rStyle w:val="CharSectno"/>
        </w:rPr>
        <w:t>41</w:t>
      </w:r>
      <w:r>
        <w:t>.</w:t>
      </w:r>
      <w:r>
        <w:tab/>
        <w:t>Player’s account</w:t>
      </w:r>
      <w:bookmarkEnd w:id="139"/>
      <w:bookmarkEnd w:id="140"/>
    </w:p>
    <w:p>
      <w:pPr>
        <w:pStyle w:val="Subsection"/>
      </w:pPr>
      <w:r>
        <w:tab/>
        <w:t>(1)</w:t>
      </w:r>
      <w:r>
        <w:tab/>
        <w:t>A player must have a Lotterywest membership which is to be used for the purchase of all digital entries using Play Online, the Lotterywest App, a self</w:t>
      </w:r>
      <w:r>
        <w:noBreakHyphen/>
        <w:t>serve kiosk or in accordance with rule 6.</w:t>
      </w:r>
    </w:p>
    <w:p>
      <w:pPr>
        <w:pStyle w:val="Subsection"/>
      </w:pPr>
      <w:r>
        <w:tab/>
        <w:t>(2)</w:t>
      </w:r>
      <w:r>
        <w:tab/>
        <w:t>Moneys deposited into the player’s account do not accrue interest or attract fees.</w:t>
      </w:r>
    </w:p>
    <w:p>
      <w:pPr>
        <w:pStyle w:val="Subsection"/>
      </w:pPr>
      <w:r>
        <w:tab/>
        <w:t>(3)</w:t>
      </w:r>
      <w:r>
        <w:tab/>
        <w:t>Details of a player’s membership details, any limitations that may be imposed on that player and any favourite numbers preferred by that player, form the player’s Lotterywest membership profile when that player purchases an entry using Play Online, the Lotterywest App, a self</w:t>
      </w:r>
      <w:r>
        <w:noBreakHyphen/>
        <w:t>serve kiosk or in accordance with rule 6.</w:t>
      </w:r>
    </w:p>
    <w:p>
      <w:pPr>
        <w:pStyle w:val="Footnotesection"/>
      </w:pPr>
      <w:r>
        <w:tab/>
        <w:t>[Rule 41 amended: Gazette 4 Oct 2017 p. 5117.]</w:t>
      </w:r>
    </w:p>
    <w:p>
      <w:pPr>
        <w:pStyle w:val="Heading5"/>
      </w:pPr>
      <w:bookmarkStart w:id="141" w:name="_Toc34291428"/>
      <w:bookmarkStart w:id="142" w:name="_Toc25761131"/>
      <w:r>
        <w:rPr>
          <w:rStyle w:val="CharSectno"/>
        </w:rPr>
        <w:t>42</w:t>
      </w:r>
      <w:r>
        <w:t>.</w:t>
      </w:r>
      <w:r>
        <w:tab/>
        <w:t>Suspension or cancellation of Lotterywest membership</w:t>
      </w:r>
      <w:bookmarkEnd w:id="141"/>
      <w:bookmarkEnd w:id="142"/>
    </w:p>
    <w:p>
      <w:pPr>
        <w:pStyle w:val="Subsection"/>
      </w:pPr>
      <w:r>
        <w:tab/>
        <w:t>(1)</w:t>
      </w:r>
      <w:r>
        <w:tab/>
        <w:t>The Commission may suspend or cancel a Lotterywest membership at any time without notice and without giving any reason.</w:t>
      </w:r>
    </w:p>
    <w:p>
      <w:pPr>
        <w:pStyle w:val="Subsection"/>
      </w:pPr>
      <w:r>
        <w:tab/>
        <w:t>(2)</w:t>
      </w:r>
      <w:r>
        <w:tab/>
        <w:t>If a Lotterywest membership is cancelled, the player’s account is closed and the Commission must remit to the player any amount payable by law to the player.</w:t>
      </w:r>
    </w:p>
    <w:p>
      <w:pPr>
        <w:pStyle w:val="Footnotesection"/>
      </w:pPr>
      <w:r>
        <w:tab/>
        <w:t>[Rule 42 amended: Gazette 4 Oct 2017 p. 5117.]</w:t>
      </w:r>
    </w:p>
    <w:p>
      <w:pPr>
        <w:pStyle w:val="Heading5"/>
      </w:pPr>
      <w:bookmarkStart w:id="143" w:name="_Toc34291429"/>
      <w:bookmarkStart w:id="144" w:name="_Toc25761132"/>
      <w:r>
        <w:rPr>
          <w:rStyle w:val="CharSectno"/>
        </w:rPr>
        <w:t>43</w:t>
      </w:r>
      <w:r>
        <w:t>.</w:t>
      </w:r>
      <w:r>
        <w:tab/>
        <w:t>Seven day spending limit</w:t>
      </w:r>
      <w:bookmarkEnd w:id="143"/>
      <w:bookmarkEnd w:id="144"/>
    </w:p>
    <w:p>
      <w:pPr>
        <w:pStyle w:val="Subsection"/>
      </w:pPr>
      <w:r>
        <w:tab/>
        <w:t>(1)</w:t>
      </w:r>
      <w:r>
        <w:tab/>
        <w:t>The Commission may set a 7 day spending limit for players’ accounts under this Division.</w:t>
      </w:r>
    </w:p>
    <w:p>
      <w:pPr>
        <w:pStyle w:val="Subsection"/>
      </w:pPr>
      <w:r>
        <w:tab/>
        <w:t>(2)</w:t>
      </w:r>
      <w:r>
        <w:tab/>
        <w:t xml:space="preserve">The spending limit — </w:t>
      </w:r>
    </w:p>
    <w:p>
      <w:pPr>
        <w:pStyle w:val="Indenta"/>
      </w:pPr>
      <w:r>
        <w:tab/>
        <w:t>(a)</w:t>
      </w:r>
      <w:r>
        <w:tab/>
        <w:t>may commence on any day of the week; and</w:t>
      </w:r>
    </w:p>
    <w:p>
      <w:pPr>
        <w:pStyle w:val="Indenta"/>
      </w:pPr>
      <w:r>
        <w:tab/>
        <w:t>(b)</w:t>
      </w:r>
      <w:r>
        <w:tab/>
        <w:t>is to apply to the player’s digital entry purchases in any 7 day period by a Lotterywest membership account.</w:t>
      </w:r>
    </w:p>
    <w:p>
      <w:pPr>
        <w:pStyle w:val="Footnotesection"/>
      </w:pPr>
      <w:r>
        <w:tab/>
        <w:t>[Rule 43 amended: Gazette 4 Oct 2017 p. 5118.]</w:t>
      </w:r>
    </w:p>
    <w:p>
      <w:pPr>
        <w:pStyle w:val="Heading5"/>
      </w:pPr>
      <w:bookmarkStart w:id="145" w:name="_Toc34291430"/>
      <w:bookmarkStart w:id="146" w:name="_Toc25761133"/>
      <w:r>
        <w:rPr>
          <w:rStyle w:val="CharSectno"/>
        </w:rPr>
        <w:t>44</w:t>
      </w:r>
      <w:r>
        <w:t>.</w:t>
      </w:r>
      <w:r>
        <w:tab/>
        <w:t>Player may restrict own ability to purchase entries</w:t>
      </w:r>
      <w:bookmarkEnd w:id="145"/>
      <w:bookmarkEnd w:id="146"/>
    </w:p>
    <w:p>
      <w:pPr>
        <w:pStyle w:val="Subsection"/>
      </w:pPr>
      <w:r>
        <w:tab/>
      </w:r>
      <w:r>
        <w:tab/>
        <w:t xml:space="preserve">A player may set the following restrictions using their Lotterywest membership account — </w:t>
      </w:r>
    </w:p>
    <w:p>
      <w:pPr>
        <w:pStyle w:val="Indenta"/>
      </w:pPr>
      <w:r>
        <w:tab/>
        <w:t>(a)</w:t>
      </w:r>
      <w:r>
        <w:tab/>
        <w:t>a 7 day spending limit that is less than the 7 day spending limit referred to in rule 43;</w:t>
      </w:r>
    </w:p>
    <w:p>
      <w:pPr>
        <w:pStyle w:val="Indenta"/>
      </w:pPr>
      <w:r>
        <w:tab/>
        <w:t>(b)</w:t>
      </w:r>
      <w:r>
        <w:tab/>
        <w:t>a period during which the player cannot purchase any entries.</w:t>
      </w:r>
    </w:p>
    <w:p>
      <w:pPr>
        <w:pStyle w:val="Footnotesection"/>
      </w:pPr>
      <w:r>
        <w:tab/>
        <w:t>[Rule 44 amended: Gazette 4 Oct 2017 p. 5118.]</w:t>
      </w:r>
    </w:p>
    <w:p>
      <w:pPr>
        <w:pStyle w:val="Heading5"/>
      </w:pPr>
      <w:bookmarkStart w:id="147" w:name="_Toc34291431"/>
      <w:bookmarkStart w:id="148" w:name="_Toc25761134"/>
      <w:r>
        <w:rPr>
          <w:rStyle w:val="CharSectno"/>
        </w:rPr>
        <w:t>45.</w:t>
      </w:r>
      <w:r>
        <w:tab/>
        <w:t>Entries</w:t>
      </w:r>
      <w:bookmarkEnd w:id="147"/>
      <w:bookmarkEnd w:id="148"/>
    </w:p>
    <w:p>
      <w:pPr>
        <w:pStyle w:val="Subsection"/>
      </w:pPr>
      <w:r>
        <w:tab/>
        <w:t>(1)</w:t>
      </w:r>
      <w:r>
        <w:tab/>
        <w:t>It is the responsibility of a player to satisfy themselves before purchasing an entry that all the details of the entry shown on the relevant page of Play Online, the Lotterywest App, a self</w:t>
      </w:r>
      <w:r>
        <w:noBreakHyphen/>
        <w:t>serve kiosk, and in</w:t>
      </w:r>
      <w:r>
        <w:noBreakHyphen/>
        <w:t>store entries are correct.</w:t>
      </w:r>
    </w:p>
    <w:p>
      <w:pPr>
        <w:pStyle w:val="Subsection"/>
      </w:pPr>
      <w:r>
        <w:tab/>
        <w:t>(2)</w:t>
      </w:r>
      <w:r>
        <w:tab/>
        <w:t xml:space="preserve">After an entry is purchased the Commission must provide to the player the following details relating to the entry — </w:t>
      </w:r>
    </w:p>
    <w:p>
      <w:pPr>
        <w:pStyle w:val="Indenta"/>
      </w:pPr>
      <w:r>
        <w:tab/>
        <w:t>(a)</w:t>
      </w:r>
      <w:r>
        <w:tab/>
        <w:t>the name of the relevant game;</w:t>
      </w:r>
    </w:p>
    <w:p>
      <w:pPr>
        <w:pStyle w:val="Indenta"/>
      </w:pPr>
      <w:r>
        <w:tab/>
        <w:t>(b)</w:t>
      </w:r>
      <w:r>
        <w:tab/>
        <w:t>the numbers selected by the player and, if applicable, the type of entry;</w:t>
      </w:r>
    </w:p>
    <w:p>
      <w:pPr>
        <w:pStyle w:val="Indenta"/>
      </w:pPr>
      <w:r>
        <w:tab/>
        <w:t>(c)</w:t>
      </w:r>
      <w:r>
        <w:tab/>
        <w:t>the draw number or, in the case of a multi</w:t>
      </w:r>
      <w:r>
        <w:noBreakHyphen/>
        <w:t>week entry, the draw number range to which the entry relates;</w:t>
      </w:r>
    </w:p>
    <w:p>
      <w:pPr>
        <w:pStyle w:val="Indenta"/>
      </w:pPr>
      <w:r>
        <w:tab/>
        <w:t>(d)</w:t>
      </w:r>
      <w:r>
        <w:tab/>
        <w:t>the date and time of purchase;</w:t>
      </w:r>
    </w:p>
    <w:p>
      <w:pPr>
        <w:pStyle w:val="Indenta"/>
      </w:pPr>
      <w:r>
        <w:tab/>
        <w:t>(e)</w:t>
      </w:r>
      <w:r>
        <w:tab/>
        <w:t>the cost of the entry;</w:t>
      </w:r>
    </w:p>
    <w:p>
      <w:pPr>
        <w:pStyle w:val="Indenta"/>
      </w:pPr>
      <w:r>
        <w:tab/>
        <w:t>(f)</w:t>
      </w:r>
      <w:r>
        <w:tab/>
        <w:t>a unique number for the entry.</w:t>
      </w:r>
    </w:p>
    <w:p>
      <w:pPr>
        <w:pStyle w:val="Subsection"/>
      </w:pPr>
      <w:r>
        <w:tab/>
        <w:t>(3)</w:t>
      </w:r>
      <w:r>
        <w:tab/>
        <w:t>An entry for a draw cannot be purchased after the selling period for the draw has expired.</w:t>
      </w:r>
    </w:p>
    <w:p>
      <w:pPr>
        <w:pStyle w:val="Footnotesection"/>
      </w:pPr>
      <w:r>
        <w:tab/>
        <w:t>[Rule 45 amended: Gazette 4 Oct 2017 p. 5118.]</w:t>
      </w:r>
    </w:p>
    <w:p>
      <w:pPr>
        <w:pStyle w:val="Heading5"/>
      </w:pPr>
      <w:bookmarkStart w:id="149" w:name="_Toc34291432"/>
      <w:bookmarkStart w:id="150" w:name="_Toc25761135"/>
      <w:r>
        <w:rPr>
          <w:rStyle w:val="CharSectno"/>
        </w:rPr>
        <w:t>46</w:t>
      </w:r>
      <w:r>
        <w:t>.</w:t>
      </w:r>
      <w:r>
        <w:tab/>
        <w:t>Cancellation of entry</w:t>
      </w:r>
      <w:bookmarkEnd w:id="149"/>
      <w:bookmarkEnd w:id="150"/>
    </w:p>
    <w:p>
      <w:pPr>
        <w:pStyle w:val="Subsection"/>
      </w:pPr>
      <w:r>
        <w:tab/>
        <w:t>(1)</w:t>
      </w:r>
      <w:r>
        <w:tab/>
        <w:t>A player may request the Commission to cancel an entry purchased by the player.</w:t>
      </w:r>
    </w:p>
    <w:p>
      <w:pPr>
        <w:pStyle w:val="Subsection"/>
      </w:pPr>
      <w:r>
        <w:tab/>
        <w:t>(2)</w:t>
      </w:r>
      <w:r>
        <w:tab/>
        <w:t>The Commission may, in its absolute discretion, cancel the entry if the request is received before the selling period for the relevant lotto draw has expired.</w:t>
      </w:r>
    </w:p>
    <w:p>
      <w:pPr>
        <w:pStyle w:val="Subsection"/>
      </w:pPr>
      <w:r>
        <w:tab/>
        <w:t>(3)</w:t>
      </w:r>
      <w:r>
        <w:tab/>
        <w:t>If the Commission cancels the entry, the Commission must refund into the player’s account the amount paid by the player for the purchase of the entry.</w:t>
      </w:r>
    </w:p>
    <w:p>
      <w:pPr>
        <w:pStyle w:val="Heading5"/>
      </w:pPr>
      <w:bookmarkStart w:id="151" w:name="_Toc34291433"/>
      <w:bookmarkStart w:id="152" w:name="_Toc25761136"/>
      <w:r>
        <w:rPr>
          <w:rStyle w:val="CharSectno"/>
        </w:rPr>
        <w:t>47</w:t>
      </w:r>
      <w:r>
        <w:t>.</w:t>
      </w:r>
      <w:r>
        <w:tab/>
        <w:t>Commission not liable for delays and loss of chance</w:t>
      </w:r>
      <w:bookmarkEnd w:id="151"/>
      <w:bookmarkEnd w:id="152"/>
    </w:p>
    <w:p>
      <w:pPr>
        <w:pStyle w:val="Subsection"/>
        <w:keepNext/>
        <w:keepLines/>
      </w:pPr>
      <w:r>
        <w:tab/>
      </w:r>
      <w:r>
        <w:tab/>
        <w:t xml:space="preserve">The Commission is not liable for loss of any nature (including loss of a chance) that results from a delay — </w:t>
      </w:r>
    </w:p>
    <w:p>
      <w:pPr>
        <w:pStyle w:val="Indenta"/>
      </w:pPr>
      <w:r>
        <w:tab/>
        <w:t>(a)</w:t>
      </w:r>
      <w:r>
        <w:tab/>
        <w:t>in transferring funds from an authorised financial institution account to a player’s account; or</w:t>
      </w:r>
    </w:p>
    <w:p>
      <w:pPr>
        <w:pStyle w:val="Indenta"/>
      </w:pPr>
      <w:r>
        <w:tab/>
        <w:t>(b)</w:t>
      </w:r>
      <w:r>
        <w:tab/>
        <w:t>in processing the purchase of an entry; or</w:t>
      </w:r>
    </w:p>
    <w:p>
      <w:pPr>
        <w:pStyle w:val="Indenta"/>
      </w:pPr>
      <w:r>
        <w:tab/>
        <w:t>(c)</w:t>
      </w:r>
      <w:r>
        <w:tab/>
        <w:t>in transferring funds from a player’s account to an authorised financial institution account.</w:t>
      </w:r>
    </w:p>
    <w:p>
      <w:pPr>
        <w:pStyle w:val="Heading5"/>
      </w:pPr>
      <w:bookmarkStart w:id="153" w:name="_Toc34291434"/>
      <w:bookmarkStart w:id="154" w:name="_Toc25761137"/>
      <w:r>
        <w:rPr>
          <w:rStyle w:val="CharSectno"/>
        </w:rPr>
        <w:t>48</w:t>
      </w:r>
      <w:r>
        <w:t>.</w:t>
      </w:r>
      <w:r>
        <w:tab/>
        <w:t>Prizes where there is no validation period</w:t>
      </w:r>
      <w:bookmarkEnd w:id="153"/>
      <w:bookmarkEnd w:id="154"/>
    </w:p>
    <w:p>
      <w:pPr>
        <w:pStyle w:val="Subsection"/>
      </w:pPr>
      <w:r>
        <w:tab/>
        <w:t>(1)</w:t>
      </w:r>
      <w:r>
        <w:tab/>
        <w:t>If a player wins a prize and there is no validation period for the relevant lotto draw, the Commission must pay the prize into the player’s account as soon as is practicable after the close of the selling period for that draw.</w:t>
      </w:r>
    </w:p>
    <w:p>
      <w:pPr>
        <w:pStyle w:val="Subsection"/>
      </w:pPr>
      <w:r>
        <w:tab/>
        <w:t>(2)</w:t>
      </w:r>
      <w:r>
        <w:tab/>
        <w:t>The requirement to pay the prize is not dependant on any claim being made by the player.</w:t>
      </w:r>
    </w:p>
    <w:p>
      <w:pPr>
        <w:pStyle w:val="Heading5"/>
      </w:pPr>
      <w:bookmarkStart w:id="155" w:name="_Toc34291435"/>
      <w:bookmarkStart w:id="156" w:name="_Toc25761138"/>
      <w:r>
        <w:rPr>
          <w:rStyle w:val="CharSectno"/>
        </w:rPr>
        <w:t>49</w:t>
      </w:r>
      <w:r>
        <w:t>.</w:t>
      </w:r>
      <w:r>
        <w:tab/>
        <w:t>Prizes where there is validation period</w:t>
      </w:r>
      <w:bookmarkEnd w:id="155"/>
      <w:bookmarkEnd w:id="156"/>
    </w:p>
    <w:p>
      <w:pPr>
        <w:pStyle w:val="Subsection"/>
      </w:pPr>
      <w:r>
        <w:tab/>
        <w:t>(1)</w:t>
      </w:r>
      <w:r>
        <w:tab/>
        <w:t>This rule applies if a player wins a prize and there is a validation period for the relevant prize.</w:t>
      </w:r>
    </w:p>
    <w:p>
      <w:pPr>
        <w:pStyle w:val="Subsection"/>
      </w:pPr>
      <w:r>
        <w:tab/>
        <w:t>(2)</w:t>
      </w:r>
      <w:r>
        <w:tab/>
        <w:t>To claim the prize, the player must confirm their identity and bank account details for the Commission, within the payout period for the relevant draw.</w:t>
      </w:r>
    </w:p>
    <w:p>
      <w:pPr>
        <w:pStyle w:val="Subsection"/>
      </w:pPr>
      <w:r>
        <w:tab/>
        <w:t>(3)</w:t>
      </w:r>
      <w:r>
        <w:tab/>
        <w:t>The Commission must pay the prize into the player’s account following the conclusion of the validation period and following confirmation under subrule (2).</w:t>
      </w:r>
    </w:p>
    <w:p>
      <w:pPr>
        <w:pStyle w:val="Heading5"/>
      </w:pPr>
      <w:bookmarkStart w:id="157" w:name="_Toc34291436"/>
      <w:bookmarkStart w:id="158" w:name="_Toc25761139"/>
      <w:r>
        <w:rPr>
          <w:rStyle w:val="CharSectno"/>
        </w:rPr>
        <w:t>50</w:t>
      </w:r>
      <w:r>
        <w:t>.</w:t>
      </w:r>
      <w:r>
        <w:tab/>
        <w:t>Play Online, the Lotterywest App and the self-serve kiosk information and format</w:t>
      </w:r>
      <w:bookmarkEnd w:id="157"/>
      <w:bookmarkEnd w:id="158"/>
    </w:p>
    <w:p>
      <w:pPr>
        <w:pStyle w:val="Subsection"/>
      </w:pPr>
      <w:r>
        <w:tab/>
      </w:r>
      <w:r>
        <w:tab/>
        <w:t>The Commission may change the information, or the format of the information, on Play Online, the Lotterywest App or a self</w:t>
      </w:r>
      <w:r>
        <w:noBreakHyphen/>
        <w:t>serve kiosk at any time without notice to players if those changes are not inconsistent with this Part.</w:t>
      </w:r>
    </w:p>
    <w:p>
      <w:pPr>
        <w:pStyle w:val="Footnotesection"/>
      </w:pPr>
      <w:r>
        <w:tab/>
        <w:t>[Rule 50 amended: Gazette 4 Oct 2017 p. 5118.]</w:t>
      </w:r>
    </w:p>
    <w:p>
      <w:pPr>
        <w:pStyle w:val="Heading5"/>
      </w:pPr>
      <w:bookmarkStart w:id="159" w:name="_Toc34291437"/>
      <w:bookmarkStart w:id="160" w:name="_Toc25761140"/>
      <w:r>
        <w:rPr>
          <w:rStyle w:val="CharSectno"/>
        </w:rPr>
        <w:t>51</w:t>
      </w:r>
      <w:r>
        <w:t>.</w:t>
      </w:r>
      <w:r>
        <w:tab/>
        <w:t>Publication of names and addresses of prize winners</w:t>
      </w:r>
      <w:bookmarkEnd w:id="159"/>
      <w:bookmarkEnd w:id="160"/>
    </w:p>
    <w:p>
      <w:pPr>
        <w:pStyle w:val="Subsection"/>
      </w:pPr>
      <w:r>
        <w:tab/>
      </w:r>
      <w:r>
        <w:tab/>
        <w:t>The Commission must not publish the name and address of any player who wins a prize using a Play Online, a Lotterywest App entry or an entry via a self</w:t>
      </w:r>
      <w:r>
        <w:noBreakHyphen/>
        <w:t>serve kiosk unless the player informs the Commission in writing that the player’s name and address may be published.</w:t>
      </w:r>
    </w:p>
    <w:p>
      <w:pPr>
        <w:pStyle w:val="Footnotesection"/>
      </w:pPr>
      <w:r>
        <w:tab/>
        <w:t>[Rule 51 amended: Gazette 4 Oct 2017 p. 5119.]</w:t>
      </w:r>
    </w:p>
    <w:p>
      <w:pPr>
        <w:pStyle w:val="Heading2"/>
      </w:pPr>
      <w:bookmarkStart w:id="161" w:name="_Toc34139501"/>
      <w:bookmarkStart w:id="162" w:name="_Toc34139713"/>
      <w:bookmarkStart w:id="163" w:name="_Toc34147890"/>
      <w:bookmarkStart w:id="164" w:name="_Toc34207443"/>
      <w:bookmarkStart w:id="165" w:name="_Toc34291438"/>
      <w:bookmarkStart w:id="166" w:name="_Toc25657346"/>
      <w:bookmarkStart w:id="167" w:name="_Toc25760812"/>
      <w:bookmarkStart w:id="168" w:name="_Toc25761141"/>
      <w:r>
        <w:rPr>
          <w:rStyle w:val="CharPartNo"/>
        </w:rPr>
        <w:t>Part 3</w:t>
      </w:r>
      <w:r>
        <w:t> — </w:t>
      </w:r>
      <w:r>
        <w:rPr>
          <w:rStyle w:val="CharPartText"/>
        </w:rPr>
        <w:t>Cash 3 rules</w:t>
      </w:r>
      <w:bookmarkEnd w:id="161"/>
      <w:bookmarkEnd w:id="162"/>
      <w:bookmarkEnd w:id="163"/>
      <w:bookmarkEnd w:id="164"/>
      <w:bookmarkEnd w:id="165"/>
      <w:bookmarkEnd w:id="166"/>
      <w:bookmarkEnd w:id="167"/>
      <w:bookmarkEnd w:id="168"/>
    </w:p>
    <w:p>
      <w:pPr>
        <w:pStyle w:val="Heading3"/>
      </w:pPr>
      <w:bookmarkStart w:id="169" w:name="_Toc34139502"/>
      <w:bookmarkStart w:id="170" w:name="_Toc34139714"/>
      <w:bookmarkStart w:id="171" w:name="_Toc34147891"/>
      <w:bookmarkStart w:id="172" w:name="_Toc34207444"/>
      <w:bookmarkStart w:id="173" w:name="_Toc34291439"/>
      <w:bookmarkStart w:id="174" w:name="_Toc25657347"/>
      <w:bookmarkStart w:id="175" w:name="_Toc25760813"/>
      <w:bookmarkStart w:id="176" w:name="_Toc25761142"/>
      <w:r>
        <w:rPr>
          <w:rStyle w:val="CharDivNo"/>
        </w:rPr>
        <w:t>Division 1</w:t>
      </w:r>
      <w:r>
        <w:t> — </w:t>
      </w:r>
      <w:r>
        <w:rPr>
          <w:rStyle w:val="CharDivText"/>
        </w:rPr>
        <w:t>Requirements of entry</w:t>
      </w:r>
      <w:bookmarkEnd w:id="169"/>
      <w:bookmarkEnd w:id="170"/>
      <w:bookmarkEnd w:id="171"/>
      <w:bookmarkEnd w:id="172"/>
      <w:bookmarkEnd w:id="173"/>
      <w:bookmarkEnd w:id="174"/>
      <w:bookmarkEnd w:id="175"/>
      <w:bookmarkEnd w:id="176"/>
    </w:p>
    <w:p>
      <w:pPr>
        <w:pStyle w:val="Heading5"/>
      </w:pPr>
      <w:bookmarkStart w:id="177" w:name="_Toc34291440"/>
      <w:bookmarkStart w:id="178" w:name="_Toc25761143"/>
      <w:r>
        <w:rPr>
          <w:rStyle w:val="CharSectno"/>
        </w:rPr>
        <w:t>52</w:t>
      </w:r>
      <w:r>
        <w:t>.</w:t>
      </w:r>
      <w:r>
        <w:tab/>
        <w:t>Terms used</w:t>
      </w:r>
      <w:bookmarkEnd w:id="177"/>
      <w:bookmarkEnd w:id="178"/>
    </w:p>
    <w:p>
      <w:pPr>
        <w:pStyle w:val="Subsection"/>
      </w:pPr>
      <w:r>
        <w:tab/>
      </w:r>
      <w:r>
        <w:tab/>
        <w:t>In this Part —</w:t>
      </w:r>
    </w:p>
    <w:p>
      <w:pPr>
        <w:pStyle w:val="Defstart"/>
      </w:pPr>
      <w:r>
        <w:tab/>
      </w:r>
      <w:r>
        <w:rPr>
          <w:rStyle w:val="CharDefText"/>
        </w:rPr>
        <w:t>entry</w:t>
      </w:r>
      <w:r>
        <w:t xml:space="preserve"> means an entry as described in rule 4, or an entry as a result of redemption of a promotional coupon;</w:t>
      </w:r>
    </w:p>
    <w:p>
      <w:pPr>
        <w:pStyle w:val="Defstart"/>
      </w:pPr>
      <w:r>
        <w:tab/>
      </w:r>
      <w:r>
        <w:rPr>
          <w:rStyle w:val="CharDefText"/>
        </w:rPr>
        <w:t>game</w:t>
      </w:r>
      <w:r>
        <w:t xml:space="preserve"> means a selection of 3 digits, together with at least one specified (or default) play type;</w:t>
      </w:r>
    </w:p>
    <w:p>
      <w:pPr>
        <w:pStyle w:val="Defstart"/>
      </w:pPr>
      <w:r>
        <w:rPr>
          <w:b/>
        </w:rPr>
        <w:tab/>
      </w:r>
      <w:r>
        <w:rPr>
          <w:rStyle w:val="CharDefText"/>
        </w:rPr>
        <w:t>play type</w:t>
      </w:r>
      <w:r>
        <w:t xml:space="preserve"> or </w:t>
      </w:r>
      <w:r>
        <w:rPr>
          <w:rStyle w:val="CharDefText"/>
        </w:rPr>
        <w:t>type of play</w:t>
      </w:r>
      <w:r>
        <w:t xml:space="preserve"> means one of the types of play set out in Schedule 1;</w:t>
      </w:r>
    </w:p>
    <w:p>
      <w:pPr>
        <w:pStyle w:val="Defstart"/>
        <w:keepNext/>
      </w:pPr>
      <w:r>
        <w:tab/>
      </w:r>
      <w:r>
        <w:rPr>
          <w:rStyle w:val="CharDefText"/>
        </w:rPr>
        <w:t>selected number</w:t>
      </w:r>
      <w:r>
        <w:t xml:space="preserve"> consists of the 3 digits — </w:t>
      </w:r>
    </w:p>
    <w:p>
      <w:pPr>
        <w:pStyle w:val="Defpara"/>
      </w:pPr>
      <w:r>
        <w:tab/>
        <w:t>(a)</w:t>
      </w:r>
      <w:r>
        <w:tab/>
        <w:t>selected on a game board; or</w:t>
      </w:r>
    </w:p>
    <w:p>
      <w:pPr>
        <w:pStyle w:val="Defpara"/>
      </w:pPr>
      <w:r>
        <w:tab/>
        <w:t>(b)</w:t>
      </w:r>
      <w:r>
        <w:tab/>
        <w:t>shown on a receipted ticket as a selected number; or</w:t>
      </w:r>
    </w:p>
    <w:p>
      <w:pPr>
        <w:pStyle w:val="Defpara"/>
      </w:pPr>
      <w:r>
        <w:tab/>
        <w:t>(c)</w:t>
      </w:r>
      <w:r>
        <w:tab/>
        <w:t>displayed as the result of a digital entry.</w:t>
      </w:r>
    </w:p>
    <w:p>
      <w:pPr>
        <w:pStyle w:val="Footnotesection"/>
      </w:pPr>
      <w:r>
        <w:tab/>
        <w:t>[Rule 52 amended: Gazette 4 Oct 2017 p. 5119.]</w:t>
      </w:r>
    </w:p>
    <w:p>
      <w:pPr>
        <w:pStyle w:val="Ednotesection"/>
      </w:pPr>
      <w:r>
        <w:t>[</w:t>
      </w:r>
      <w:r>
        <w:rPr>
          <w:b/>
        </w:rPr>
        <w:t>53.</w:t>
      </w:r>
      <w:r>
        <w:tab/>
        <w:t>Deleted: Gazette 4 Oct 2017 p. 5119.]</w:t>
      </w:r>
    </w:p>
    <w:p>
      <w:pPr>
        <w:pStyle w:val="Heading5"/>
      </w:pPr>
      <w:bookmarkStart w:id="179" w:name="_Toc34291441"/>
      <w:bookmarkStart w:id="180" w:name="_Toc25761144"/>
      <w:r>
        <w:rPr>
          <w:rStyle w:val="CharSectno"/>
        </w:rPr>
        <w:t>54</w:t>
      </w:r>
      <w:r>
        <w:t>.</w:t>
      </w:r>
      <w:r>
        <w:tab/>
      </w:r>
      <w:r>
        <w:rPr>
          <w:snapToGrid w:val="0"/>
        </w:rPr>
        <w:t>How to fill out a playslip</w:t>
      </w:r>
      <w:bookmarkEnd w:id="179"/>
      <w:bookmarkEnd w:id="180"/>
    </w:p>
    <w:p>
      <w:pPr>
        <w:pStyle w:val="Subsection"/>
        <w:spacing w:before="120"/>
      </w:pPr>
      <w:r>
        <w:tab/>
        <w:t>(1)</w:t>
      </w:r>
      <w:r>
        <w:tab/>
        <w:t>To enter Cash 3 using a playslip, a subscriber must select a 3</w:t>
      </w:r>
      <w:r>
        <w:noBreakHyphen/>
        <w:t>digit number (one digit per row) in at least one of the game boards on the playslip.</w:t>
      </w:r>
    </w:p>
    <w:p>
      <w:pPr>
        <w:pStyle w:val="Subsection"/>
        <w:spacing w:before="120"/>
      </w:pPr>
      <w:r>
        <w:tab/>
        <w:t>(2)</w:t>
      </w:r>
      <w:r>
        <w:tab/>
        <w:t>For each game board filled out on the playslip, the subscriber must —</w:t>
      </w:r>
    </w:p>
    <w:p>
      <w:pPr>
        <w:pStyle w:val="Indenta"/>
      </w:pPr>
      <w:r>
        <w:tab/>
        <w:t>(a)</w:t>
      </w:r>
      <w:r>
        <w:tab/>
        <w:t>indicate whether the wager is a 50 cent wager or a $1.00 wager; and</w:t>
      </w:r>
    </w:p>
    <w:p>
      <w:pPr>
        <w:pStyle w:val="Indenta"/>
      </w:pPr>
      <w:r>
        <w:tab/>
        <w:t>(b)</w:t>
      </w:r>
      <w:r>
        <w:tab/>
        <w:t>indicate the type of play (e.g. “Exact order”, “Any order”, or both).</w:t>
      </w:r>
    </w:p>
    <w:p>
      <w:pPr>
        <w:pStyle w:val="Subsection"/>
      </w:pPr>
      <w:r>
        <w:tab/>
        <w:t>(3)</w:t>
      </w:r>
      <w:r>
        <w:tab/>
        <w:t>A subscriber who has selected a number in which the 3 digits are all the same can only select an “Exact order” play type.</w:t>
      </w:r>
    </w:p>
    <w:p>
      <w:pPr>
        <w:pStyle w:val="Subsection"/>
      </w:pPr>
      <w:r>
        <w:tab/>
        <w:t>(4)</w:t>
      </w:r>
      <w:r>
        <w:tab/>
        <w:t>A subscriber who has a playslip that has at least one game board with a valid selection may specify an advance play option in respect of that entry if the advance play option is offered at that time by the Commission.</w:t>
      </w:r>
    </w:p>
    <w:p>
      <w:pPr>
        <w:pStyle w:val="Subsection"/>
      </w:pPr>
      <w:r>
        <w:tab/>
        <w:t>(5)</w:t>
      </w:r>
      <w:r>
        <w:tab/>
        <w:t>A subscriber may enter up to a maximum of 6 game boards on the playslip.</w:t>
      </w:r>
    </w:p>
    <w:p>
      <w:pPr>
        <w:pStyle w:val="Subsection"/>
      </w:pPr>
      <w:r>
        <w:tab/>
        <w:t>(6)</w:t>
      </w:r>
      <w:r>
        <w:tab/>
        <w:t>A subscriber who has a playslip that has at least one game board with a valid selection may specify that the entry is to be for 7, 14, 21 or 28 consecutive days.</w:t>
      </w:r>
    </w:p>
    <w:p>
      <w:pPr>
        <w:pStyle w:val="Subsection"/>
      </w:pPr>
      <w:r>
        <w:tab/>
        <w:t>(7)</w:t>
      </w:r>
      <w:r>
        <w:tab/>
        <w:t>A receipted ticket must be given to the subscriber upon payment of the amount calculated in accordance with Schedule 1.</w:t>
      </w:r>
    </w:p>
    <w:p>
      <w:pPr>
        <w:pStyle w:val="Footnotesection"/>
      </w:pPr>
      <w:r>
        <w:tab/>
        <w:t>[Rule 54 amended: Gazette 4 Oct 2017 p. 5119</w:t>
      </w:r>
      <w:r>
        <w:noBreakHyphen/>
        <w:t>20.]</w:t>
      </w:r>
    </w:p>
    <w:p>
      <w:pPr>
        <w:pStyle w:val="Heading5"/>
      </w:pPr>
      <w:bookmarkStart w:id="181" w:name="_Toc34291442"/>
      <w:bookmarkStart w:id="182" w:name="_Toc25761145"/>
      <w:r>
        <w:rPr>
          <w:rStyle w:val="CharSectno"/>
        </w:rPr>
        <w:t>55</w:t>
      </w:r>
      <w:r>
        <w:t>.</w:t>
      </w:r>
      <w:r>
        <w:tab/>
        <w:t>Oral request for entry</w:t>
      </w:r>
      <w:bookmarkEnd w:id="181"/>
      <w:bookmarkEnd w:id="182"/>
    </w:p>
    <w:p>
      <w:pPr>
        <w:pStyle w:val="Subsection"/>
      </w:pPr>
      <w:r>
        <w:tab/>
        <w:t>(1)</w:t>
      </w:r>
      <w:r>
        <w:tab/>
        <w:t>To enter Cash 3 without a playslip or a promotional coupon, and without requesting a ticket repeat or a favourite numbers option, a subscriber must make an oral request to an agent stating —</w:t>
      </w:r>
    </w:p>
    <w:p>
      <w:pPr>
        <w:pStyle w:val="Indenta"/>
      </w:pPr>
      <w:r>
        <w:tab/>
        <w:t>(a)</w:t>
      </w:r>
      <w:r>
        <w:tab/>
        <w:t>that the entry is for Cash 3; and</w:t>
      </w:r>
    </w:p>
    <w:p>
      <w:pPr>
        <w:pStyle w:val="Indenta"/>
      </w:pPr>
      <w:r>
        <w:tab/>
        <w:t>(b)</w:t>
      </w:r>
      <w:r>
        <w:tab/>
        <w:t>the amount to be wagered; and</w:t>
      </w:r>
    </w:p>
    <w:p>
      <w:pPr>
        <w:pStyle w:val="Indenta"/>
      </w:pPr>
      <w:r>
        <w:tab/>
        <w:t>(c)</w:t>
      </w:r>
      <w:r>
        <w:tab/>
        <w:t>the type of play; and</w:t>
      </w:r>
    </w:p>
    <w:p>
      <w:pPr>
        <w:pStyle w:val="Indenta"/>
      </w:pPr>
      <w:r>
        <w:tab/>
        <w:t>(d)</w:t>
      </w:r>
      <w:r>
        <w:tab/>
        <w:t>the number of draws; and</w:t>
      </w:r>
    </w:p>
    <w:p>
      <w:pPr>
        <w:pStyle w:val="Indenta"/>
      </w:pPr>
      <w:r>
        <w:tab/>
        <w:t>(e)</w:t>
      </w:r>
      <w:r>
        <w:tab/>
        <w:t>the number of games per draw, with a minimum of 1, and a maximum of 50, games per draw.</w:t>
      </w:r>
    </w:p>
    <w:p>
      <w:pPr>
        <w:pStyle w:val="Subsection"/>
      </w:pPr>
      <w:r>
        <w:tab/>
        <w:t>(2)</w:t>
      </w:r>
      <w:r>
        <w:tab/>
        <w:t xml:space="preserve">A subscriber may choose to enter Cash 3 using a default option (“Slikpik”) that can be configured in any of the following ways — </w:t>
      </w:r>
    </w:p>
    <w:p>
      <w:pPr>
        <w:pStyle w:val="Indenta"/>
      </w:pPr>
      <w:r>
        <w:tab/>
        <w:t>(a)</w:t>
      </w:r>
      <w:r>
        <w:tab/>
        <w:t>an “Exact order” or an “Any order” play type, for 7, 14, 21 or 28 consecutive days, with a 50 cent wager per day;</w:t>
      </w:r>
    </w:p>
    <w:p>
      <w:pPr>
        <w:pStyle w:val="Indenta"/>
      </w:pPr>
      <w:r>
        <w:tab/>
        <w:t>(b)</w:t>
      </w:r>
      <w:r>
        <w:tab/>
        <w:t>an “Exact order” or an “Any order” play type, for 7, 14, 21 or 28 consecutive days, with a $1.00 wager per day;</w:t>
      </w:r>
    </w:p>
    <w:p>
      <w:pPr>
        <w:pStyle w:val="Indenta"/>
      </w:pPr>
      <w:r>
        <w:tab/>
        <w:t>(c)</w:t>
      </w:r>
      <w:r>
        <w:tab/>
        <w:t>both an “Exact order” play type and an “Any order” play type, for 7, 14, 21 or 28 consecutive days, with a 50 cent wager per day for the “Exact order” play type and a 50 cent wager per day for the “Any order” play type;</w:t>
      </w:r>
    </w:p>
    <w:p>
      <w:pPr>
        <w:pStyle w:val="Indenta"/>
      </w:pPr>
      <w:r>
        <w:tab/>
        <w:t>(d)</w:t>
      </w:r>
      <w:r>
        <w:tab/>
        <w:t>both an “Exact order” play type and an “Any order” play type, for 7, 14, 21 or 28 consecutive days, with a $1.00 wager per day for the “Exact order” play type and a $1.00 wager per day for the “Any order” play type.</w:t>
      </w:r>
    </w:p>
    <w:p>
      <w:pPr>
        <w:pStyle w:val="Subsection"/>
      </w:pPr>
      <w:r>
        <w:tab/>
        <w:t>(3)</w:t>
      </w:r>
      <w:r>
        <w:tab/>
        <w:t>The computer will categorise —</w:t>
      </w:r>
    </w:p>
    <w:p>
      <w:pPr>
        <w:pStyle w:val="Indenta"/>
      </w:pPr>
      <w:r>
        <w:tab/>
        <w:t>(a)</w:t>
      </w:r>
      <w:r>
        <w:tab/>
        <w:t>an “Any order” play type to be a 3</w:t>
      </w:r>
      <w:r>
        <w:noBreakHyphen/>
        <w:t>way or 6</w:t>
      </w:r>
      <w:r>
        <w:noBreakHyphen/>
        <w:t>way play type; or</w:t>
      </w:r>
    </w:p>
    <w:p>
      <w:pPr>
        <w:pStyle w:val="Indenta"/>
      </w:pPr>
      <w:r>
        <w:tab/>
        <w:t>(b)</w:t>
      </w:r>
      <w:r>
        <w:tab/>
        <w:t>a combination of an “Exact order” and an “Any order” play type to be a 3</w:t>
      </w:r>
      <w:r>
        <w:noBreakHyphen/>
        <w:t>way or 6</w:t>
      </w:r>
      <w:r>
        <w:noBreakHyphen/>
        <w:t>way play type,</w:t>
      </w:r>
    </w:p>
    <w:p>
      <w:pPr>
        <w:pStyle w:val="Subsection"/>
      </w:pPr>
      <w:r>
        <w:tab/>
      </w:r>
      <w:r>
        <w:tab/>
        <w:t>depending on the digits in the number that has been randomly selected.</w:t>
      </w:r>
    </w:p>
    <w:p>
      <w:pPr>
        <w:pStyle w:val="Subsection"/>
        <w:rPr>
          <w:rStyle w:val="DraftersNotes"/>
          <w:b w:val="0"/>
          <w:i w:val="0"/>
          <w:sz w:val="24"/>
        </w:rPr>
      </w:pPr>
      <w:r>
        <w:tab/>
        <w:t>(4)</w:t>
      </w:r>
      <w:r>
        <w:tab/>
        <w:t>The computer will only select a randomly selected number that consists of 3 digits that are all the same if the subscriber has requested an “Exact order” play type.</w:t>
      </w:r>
    </w:p>
    <w:p>
      <w:pPr>
        <w:pStyle w:val="Subsection"/>
      </w:pPr>
      <w:r>
        <w:tab/>
        <w:t>(5)</w:t>
      </w:r>
      <w:r>
        <w:tab/>
        <w:t>A receipted ticket must be given to the subscriber upon payment of the amount calculated in accordance with Schedule 1.</w:t>
      </w:r>
    </w:p>
    <w:p>
      <w:pPr>
        <w:pStyle w:val="Footnotesection"/>
      </w:pPr>
      <w:r>
        <w:tab/>
        <w:t>[Rule 55 amended: Gazette 4 Oct 2017 p. 5120.]</w:t>
      </w:r>
    </w:p>
    <w:p>
      <w:pPr>
        <w:pStyle w:val="Heading3"/>
      </w:pPr>
      <w:bookmarkStart w:id="183" w:name="_Toc34139506"/>
      <w:bookmarkStart w:id="184" w:name="_Toc34139718"/>
      <w:bookmarkStart w:id="185" w:name="_Toc34147895"/>
      <w:bookmarkStart w:id="186" w:name="_Toc34207448"/>
      <w:bookmarkStart w:id="187" w:name="_Toc34291443"/>
      <w:bookmarkStart w:id="188" w:name="_Toc25657351"/>
      <w:bookmarkStart w:id="189" w:name="_Toc25760817"/>
      <w:bookmarkStart w:id="190" w:name="_Toc25761146"/>
      <w:r>
        <w:rPr>
          <w:rStyle w:val="CharDivNo"/>
        </w:rPr>
        <w:t>Division 2</w:t>
      </w:r>
      <w:r>
        <w:t> — </w:t>
      </w:r>
      <w:r>
        <w:rPr>
          <w:rStyle w:val="CharDivText"/>
        </w:rPr>
        <w:t>Prize pool and prize reserve fund</w:t>
      </w:r>
      <w:bookmarkEnd w:id="183"/>
      <w:bookmarkEnd w:id="184"/>
      <w:bookmarkEnd w:id="185"/>
      <w:bookmarkEnd w:id="186"/>
      <w:bookmarkEnd w:id="187"/>
      <w:bookmarkEnd w:id="188"/>
      <w:bookmarkEnd w:id="189"/>
      <w:bookmarkEnd w:id="190"/>
    </w:p>
    <w:p>
      <w:pPr>
        <w:pStyle w:val="Heading5"/>
      </w:pPr>
      <w:bookmarkStart w:id="191" w:name="_Toc34291444"/>
      <w:bookmarkStart w:id="192" w:name="_Toc25761147"/>
      <w:r>
        <w:rPr>
          <w:rStyle w:val="CharSectno"/>
        </w:rPr>
        <w:t>56</w:t>
      </w:r>
      <w:r>
        <w:t>.</w:t>
      </w:r>
      <w:r>
        <w:tab/>
        <w:t>Cash 3 prize pool and prize reserve fund</w:t>
      </w:r>
      <w:bookmarkEnd w:id="191"/>
      <w:bookmarkEnd w:id="192"/>
    </w:p>
    <w:p>
      <w:pPr>
        <w:pStyle w:val="Subsection"/>
      </w:pPr>
      <w:r>
        <w:tab/>
        <w:t>(1)</w:t>
      </w:r>
      <w:r>
        <w:tab/>
        <w:t xml:space="preserve">Subject to subrule (2), the Commission is to allocate 1% of the gross sales generated by Cash 3 to a prize reserve fund, to be used — </w:t>
      </w:r>
    </w:p>
    <w:p>
      <w:pPr>
        <w:pStyle w:val="Indenta"/>
      </w:pPr>
      <w:r>
        <w:tab/>
        <w:t>(a)</w:t>
      </w:r>
      <w:r>
        <w:tab/>
        <w:t>to promote bonus prizes that are to be offered; and</w:t>
      </w:r>
    </w:p>
    <w:p>
      <w:pPr>
        <w:pStyle w:val="Indenta"/>
        <w:keepNext/>
      </w:pPr>
      <w:r>
        <w:tab/>
        <w:t>(b)</w:t>
      </w:r>
      <w:r>
        <w:tab/>
        <w:t>for Cash 3 bonus prizes,</w:t>
      </w:r>
    </w:p>
    <w:p>
      <w:pPr>
        <w:pStyle w:val="Subsection"/>
      </w:pPr>
      <w:r>
        <w:tab/>
      </w:r>
      <w:r>
        <w:tab/>
        <w:t>in a manner determined by the Commission from time to time.</w:t>
      </w:r>
    </w:p>
    <w:p>
      <w:pPr>
        <w:pStyle w:val="Subsection"/>
      </w:pPr>
      <w:r>
        <w:tab/>
        <w:t>(2)</w:t>
      </w:r>
      <w:r>
        <w:tab/>
        <w:t>The Commission may, at its discretion, reallocate money from the prize reserve fund, so that it may be distributed in accordance with section 24 of the Act.</w:t>
      </w:r>
    </w:p>
    <w:p>
      <w:pPr>
        <w:pStyle w:val="Heading3"/>
      </w:pPr>
      <w:bookmarkStart w:id="193" w:name="_Toc34139508"/>
      <w:bookmarkStart w:id="194" w:name="_Toc34139720"/>
      <w:bookmarkStart w:id="195" w:name="_Toc34147897"/>
      <w:bookmarkStart w:id="196" w:name="_Toc34207450"/>
      <w:bookmarkStart w:id="197" w:name="_Toc34291445"/>
      <w:bookmarkStart w:id="198" w:name="_Toc25657353"/>
      <w:bookmarkStart w:id="199" w:name="_Toc25760819"/>
      <w:bookmarkStart w:id="200" w:name="_Toc25761148"/>
      <w:r>
        <w:rPr>
          <w:rStyle w:val="CharDivNo"/>
        </w:rPr>
        <w:t>Division 3</w:t>
      </w:r>
      <w:r>
        <w:t> — </w:t>
      </w:r>
      <w:r>
        <w:rPr>
          <w:rStyle w:val="CharDivText"/>
        </w:rPr>
        <w:t>Cash 3 draw</w:t>
      </w:r>
      <w:bookmarkEnd w:id="193"/>
      <w:bookmarkEnd w:id="194"/>
      <w:bookmarkEnd w:id="195"/>
      <w:bookmarkEnd w:id="196"/>
      <w:bookmarkEnd w:id="197"/>
      <w:bookmarkEnd w:id="198"/>
      <w:bookmarkEnd w:id="199"/>
      <w:bookmarkEnd w:id="200"/>
    </w:p>
    <w:p>
      <w:pPr>
        <w:pStyle w:val="Heading5"/>
      </w:pPr>
      <w:bookmarkStart w:id="201" w:name="_Toc34291446"/>
      <w:bookmarkStart w:id="202" w:name="_Toc25761149"/>
      <w:r>
        <w:rPr>
          <w:rStyle w:val="CharSectno"/>
        </w:rPr>
        <w:t>57</w:t>
      </w:r>
      <w:r>
        <w:t>.</w:t>
      </w:r>
      <w:r>
        <w:tab/>
        <w:t>Nature of a Cash 3 draw</w:t>
      </w:r>
      <w:bookmarkEnd w:id="201"/>
      <w:bookmarkEnd w:id="202"/>
    </w:p>
    <w:p>
      <w:pPr>
        <w:pStyle w:val="Subsection"/>
      </w:pPr>
      <w:r>
        <w:tab/>
      </w:r>
      <w:r>
        <w:tab/>
        <w:t>Each Cash 3 draw is to consist of the random generation of 3 digits, each selected from the digits 0 to 9 inclusive, in a manner, and using such equipment, as the Commission determines.</w:t>
      </w:r>
    </w:p>
    <w:p>
      <w:pPr>
        <w:pStyle w:val="Heading5"/>
      </w:pPr>
      <w:bookmarkStart w:id="203" w:name="_Toc34291447"/>
      <w:bookmarkStart w:id="204" w:name="_Toc25761150"/>
      <w:r>
        <w:rPr>
          <w:rStyle w:val="CharSectno"/>
        </w:rPr>
        <w:t>58</w:t>
      </w:r>
      <w:r>
        <w:t>.</w:t>
      </w:r>
      <w:r>
        <w:tab/>
        <w:t>Frequency of Cash 3 draws</w:t>
      </w:r>
      <w:bookmarkEnd w:id="203"/>
      <w:bookmarkEnd w:id="204"/>
    </w:p>
    <w:p>
      <w:pPr>
        <w:pStyle w:val="Subsection"/>
      </w:pPr>
      <w:r>
        <w:tab/>
        <w:t>(1)</w:t>
      </w:r>
      <w:r>
        <w:tab/>
        <w:t>Subject to subrule (2), a 3</w:t>
      </w:r>
      <w:r>
        <w:noBreakHyphen/>
        <w:t>digit Cash 3 number is to be drawn each day of the year.</w:t>
      </w:r>
    </w:p>
    <w:p>
      <w:pPr>
        <w:pStyle w:val="Subsection"/>
        <w:rPr>
          <w:rStyle w:val="DraftersNotes"/>
          <w:b w:val="0"/>
          <w:i w:val="0"/>
          <w:sz w:val="24"/>
        </w:rPr>
      </w:pPr>
      <w:r>
        <w:tab/>
        <w:t>(2)</w:t>
      </w:r>
      <w:r>
        <w:tab/>
        <w:t>If the Commission decides that a number will not be drawn on a specific day, the Commission must publish a notice at least 2 weeks before any day is excluded from the sequence of Cash 3 draws.</w:t>
      </w:r>
    </w:p>
    <w:p>
      <w:pPr>
        <w:pStyle w:val="Heading5"/>
      </w:pPr>
      <w:bookmarkStart w:id="205" w:name="_Toc34291448"/>
      <w:bookmarkStart w:id="206" w:name="_Toc25761151"/>
      <w:r>
        <w:rPr>
          <w:rStyle w:val="CharSectno"/>
        </w:rPr>
        <w:t>59</w:t>
      </w:r>
      <w:r>
        <w:t>.</w:t>
      </w:r>
      <w:r>
        <w:tab/>
        <w:t>Types of play</w:t>
      </w:r>
      <w:bookmarkEnd w:id="205"/>
      <w:bookmarkEnd w:id="206"/>
    </w:p>
    <w:p>
      <w:pPr>
        <w:pStyle w:val="Subsection"/>
      </w:pPr>
      <w:r>
        <w:tab/>
        <w:t>(1)</w:t>
      </w:r>
      <w:r>
        <w:tab/>
        <w:t>A subscriber has the choice of the options set out in Schedule 1 of these rules as types of play.</w:t>
      </w:r>
    </w:p>
    <w:p>
      <w:pPr>
        <w:pStyle w:val="Subsection"/>
      </w:pPr>
      <w:r>
        <w:tab/>
        <w:t>(2)</w:t>
      </w:r>
      <w:r>
        <w:tab/>
        <w:t>Only one play type can be nominated for each 3</w:t>
      </w:r>
      <w:r>
        <w:noBreakHyphen/>
        <w:t>digit number selected, and the choice of method may be limited, depending upon whether the digits in the selected number are all different, or if some or all of the digits are the same.</w:t>
      </w:r>
    </w:p>
    <w:p>
      <w:pPr>
        <w:pStyle w:val="Subsection"/>
      </w:pPr>
      <w:r>
        <w:tab/>
        <w:t>(3)</w:t>
      </w:r>
      <w:r>
        <w:tab/>
        <w:t>The Commission may decline to offer, or may limit, the advance play option at any time.</w:t>
      </w:r>
    </w:p>
    <w:p>
      <w:pPr>
        <w:pStyle w:val="Heading5"/>
      </w:pPr>
      <w:bookmarkStart w:id="207" w:name="_Toc34291449"/>
      <w:bookmarkStart w:id="208" w:name="_Toc25761152"/>
      <w:r>
        <w:rPr>
          <w:rStyle w:val="CharSectno"/>
        </w:rPr>
        <w:t>60</w:t>
      </w:r>
      <w:r>
        <w:t>.</w:t>
      </w:r>
      <w:r>
        <w:tab/>
        <w:t>Criteria for winning — 3 different digits</w:t>
      </w:r>
      <w:bookmarkEnd w:id="207"/>
      <w:bookmarkEnd w:id="208"/>
    </w:p>
    <w:p>
      <w:pPr>
        <w:pStyle w:val="Subsection"/>
      </w:pPr>
      <w:r>
        <w:tab/>
      </w:r>
      <w:r>
        <w:tab/>
        <w:t>A subscriber’s receipted ticket, or a player’s entry under Part 2 Division 5, showing a number, for the appropriate draw, with 3 different digits wins a prize (of an amount set out in Schedule 1) in the following situations —</w:t>
      </w:r>
    </w:p>
    <w:p>
      <w:pPr>
        <w:pStyle w:val="Indenta"/>
      </w:pPr>
      <w:r>
        <w:tab/>
        <w:t>(a)</w:t>
      </w:r>
      <w:r>
        <w:tab/>
        <w:t>if the entry is an “Exact order” play type, the subscriber wins a prize if the 3 digits selected in the draw by the Commission are the same as, and in the same order as, the subscriber’s digits;</w:t>
      </w:r>
    </w:p>
    <w:p>
      <w:pPr>
        <w:pStyle w:val="Indenta"/>
      </w:pPr>
      <w:r>
        <w:tab/>
        <w:t>(b)</w:t>
      </w:r>
      <w:r>
        <w:tab/>
        <w:t>if the entry is an “Any order – 6</w:t>
      </w:r>
      <w:r>
        <w:noBreakHyphen/>
        <w:t>way” play type, the subscriber wins a prize if the 3 digits selected in the draw by the Commission are the same as the subscriber’s digits, regardless of order;</w:t>
      </w:r>
    </w:p>
    <w:p>
      <w:pPr>
        <w:pStyle w:val="Indenta"/>
        <w:keepNext/>
      </w:pPr>
      <w:r>
        <w:tab/>
        <w:t>(c)</w:t>
      </w:r>
      <w:r>
        <w:tab/>
        <w:t>if the entry is both an “Exact order – 6</w:t>
      </w:r>
      <w:r>
        <w:noBreakHyphen/>
        <w:t>way” and an “Any order – 6</w:t>
      </w:r>
      <w:r>
        <w:noBreakHyphen/>
        <w:t>way” play type —</w:t>
      </w:r>
    </w:p>
    <w:p>
      <w:pPr>
        <w:pStyle w:val="Indenti"/>
      </w:pPr>
      <w:r>
        <w:tab/>
        <w:t>(i)</w:t>
      </w:r>
      <w:r>
        <w:tab/>
        <w:t>the subscriber wins 2 prizes if the 3 digits selected in the draw by the Commission are the same as, and in the same order as, the subscriber’s digits — the first prize for selecting the digits in the “Exact order”, the second prize for selecting the digits in “Any order”; or</w:t>
      </w:r>
    </w:p>
    <w:p>
      <w:pPr>
        <w:pStyle w:val="Indenti"/>
      </w:pPr>
      <w:r>
        <w:tab/>
        <w:t>(ii)</w:t>
      </w:r>
      <w:r>
        <w:tab/>
        <w:t>the subscriber wins a prize if the 3 digits selected in the draw by the Commission are the same as, but not in the same order as, the subscriber’s digits — the prize being for selecting the digits in “Any order”.</w:t>
      </w:r>
    </w:p>
    <w:p>
      <w:pPr>
        <w:pStyle w:val="Heading5"/>
      </w:pPr>
      <w:bookmarkStart w:id="209" w:name="_Toc34291450"/>
      <w:bookmarkStart w:id="210" w:name="_Toc25761153"/>
      <w:r>
        <w:rPr>
          <w:rStyle w:val="CharSectno"/>
        </w:rPr>
        <w:t>61</w:t>
      </w:r>
      <w:r>
        <w:t>.</w:t>
      </w:r>
      <w:r>
        <w:tab/>
        <w:t>Criteria for winning — 2 like digits</w:t>
      </w:r>
      <w:bookmarkEnd w:id="209"/>
      <w:bookmarkEnd w:id="210"/>
    </w:p>
    <w:p>
      <w:pPr>
        <w:pStyle w:val="Subsection"/>
      </w:pPr>
      <w:r>
        <w:tab/>
      </w:r>
      <w:r>
        <w:tab/>
        <w:t>A subscriber’s receipted ticket, or a player’s entry under Part 2 Division 5, showing a number, for the appropriate draw, with 2 like digits and a third different digit wins a prize (of an amount set out in Schedule 1) in the following situations —</w:t>
      </w:r>
    </w:p>
    <w:p>
      <w:pPr>
        <w:pStyle w:val="Indenta"/>
      </w:pPr>
      <w:r>
        <w:tab/>
        <w:t>(a)</w:t>
      </w:r>
      <w:r>
        <w:tab/>
        <w:t>if the entry is an “Exact order” play type, the subscriber wins a prize if the 3 digits selected in the draw by the Commission are the same as, and in the same order as, the subscriber’s digits;</w:t>
      </w:r>
    </w:p>
    <w:p>
      <w:pPr>
        <w:pStyle w:val="Indenta"/>
      </w:pPr>
      <w:r>
        <w:tab/>
        <w:t>(b)</w:t>
      </w:r>
      <w:r>
        <w:tab/>
        <w:t>if the entry is an “Any order – 3</w:t>
      </w:r>
      <w:r>
        <w:noBreakHyphen/>
        <w:t>way” play type, the subscriber wins a prize if the 3 digits selected in the draw by the Commission are the same as the subscriber’s digits;</w:t>
      </w:r>
    </w:p>
    <w:p>
      <w:pPr>
        <w:pStyle w:val="Indenta"/>
      </w:pPr>
      <w:r>
        <w:tab/>
        <w:t>(c)</w:t>
      </w:r>
      <w:r>
        <w:tab/>
        <w:t>if the entry is both an “Exact order – 3</w:t>
      </w:r>
      <w:r>
        <w:noBreakHyphen/>
        <w:t>way” and an “Any order – 3</w:t>
      </w:r>
      <w:r>
        <w:noBreakHyphen/>
        <w:t>way” play type —</w:t>
      </w:r>
    </w:p>
    <w:p>
      <w:pPr>
        <w:pStyle w:val="Indenti"/>
      </w:pPr>
      <w:r>
        <w:tab/>
        <w:t>(i)</w:t>
      </w:r>
      <w:r>
        <w:tab/>
        <w:t>the subscriber wins 2 prizes if the 3 digits selected in the draw by the Commission are the same as, and in the same order as, the subscriber’s digits — the first prize for selecting the digits in the “Exact order”, the second prize for selecting the digits in “Any order”; or</w:t>
      </w:r>
    </w:p>
    <w:p>
      <w:pPr>
        <w:pStyle w:val="Indenti"/>
        <w:spacing w:before="90"/>
      </w:pPr>
      <w:r>
        <w:tab/>
        <w:t>(ii)</w:t>
      </w:r>
      <w:r>
        <w:tab/>
        <w:t>the subscriber wins a prize if the 3 digits selected in the draw by the Commission are the same as, but not in the same order as, the subscriber’s digits — the prize being for selecting the digits in “Any order”.</w:t>
      </w:r>
    </w:p>
    <w:p>
      <w:pPr>
        <w:pStyle w:val="Heading5"/>
      </w:pPr>
      <w:bookmarkStart w:id="211" w:name="_Toc34291451"/>
      <w:bookmarkStart w:id="212" w:name="_Toc25761154"/>
      <w:r>
        <w:rPr>
          <w:rStyle w:val="CharSectno"/>
        </w:rPr>
        <w:t>62</w:t>
      </w:r>
      <w:r>
        <w:t>.</w:t>
      </w:r>
      <w:r>
        <w:tab/>
        <w:t>Criteria for winning — 3 like digits</w:t>
      </w:r>
      <w:bookmarkEnd w:id="211"/>
      <w:bookmarkEnd w:id="212"/>
    </w:p>
    <w:p>
      <w:pPr>
        <w:pStyle w:val="Subsection"/>
      </w:pPr>
      <w:r>
        <w:tab/>
      </w:r>
      <w:r>
        <w:tab/>
        <w:t>A subscriber’s receipted ticket showing a number, for the appropriate draw, with 3 like digits wins a prize (of an amount set out in Schedule 1) if the 3 digits selected in the draw by the Commission are the same as the subscriber’s digits — the prize being for selecting the digits in the “Exact order”.</w:t>
      </w:r>
    </w:p>
    <w:p>
      <w:pPr>
        <w:pStyle w:val="Heading2"/>
      </w:pPr>
      <w:bookmarkStart w:id="213" w:name="_Toc34139515"/>
      <w:bookmarkStart w:id="214" w:name="_Toc34139727"/>
      <w:bookmarkStart w:id="215" w:name="_Toc34147904"/>
      <w:bookmarkStart w:id="216" w:name="_Toc34207457"/>
      <w:bookmarkStart w:id="217" w:name="_Toc34291452"/>
      <w:bookmarkStart w:id="218" w:name="_Toc25657360"/>
      <w:bookmarkStart w:id="219" w:name="_Toc25760826"/>
      <w:bookmarkStart w:id="220" w:name="_Toc25761155"/>
      <w:r>
        <w:rPr>
          <w:rStyle w:val="CharPartNo"/>
        </w:rPr>
        <w:t>Part 4</w:t>
      </w:r>
      <w:r>
        <w:t> — </w:t>
      </w:r>
      <w:r>
        <w:rPr>
          <w:rStyle w:val="CharPartText"/>
        </w:rPr>
        <w:t>Monday and Wednesday Lotto rules</w:t>
      </w:r>
      <w:bookmarkEnd w:id="213"/>
      <w:bookmarkEnd w:id="214"/>
      <w:bookmarkEnd w:id="215"/>
      <w:bookmarkEnd w:id="216"/>
      <w:bookmarkEnd w:id="217"/>
      <w:bookmarkEnd w:id="218"/>
      <w:bookmarkEnd w:id="219"/>
      <w:bookmarkEnd w:id="220"/>
    </w:p>
    <w:p>
      <w:pPr>
        <w:pStyle w:val="Heading3"/>
      </w:pPr>
      <w:bookmarkStart w:id="221" w:name="_Toc34139516"/>
      <w:bookmarkStart w:id="222" w:name="_Toc34139728"/>
      <w:bookmarkStart w:id="223" w:name="_Toc34147905"/>
      <w:bookmarkStart w:id="224" w:name="_Toc34207458"/>
      <w:bookmarkStart w:id="225" w:name="_Toc34291453"/>
      <w:bookmarkStart w:id="226" w:name="_Toc25657361"/>
      <w:bookmarkStart w:id="227" w:name="_Toc25760827"/>
      <w:bookmarkStart w:id="228" w:name="_Toc25761156"/>
      <w:r>
        <w:rPr>
          <w:rStyle w:val="CharDivNo"/>
        </w:rPr>
        <w:t>Division 1</w:t>
      </w:r>
      <w:r>
        <w:t> — </w:t>
      </w:r>
      <w:r>
        <w:rPr>
          <w:rStyle w:val="CharDivText"/>
        </w:rPr>
        <w:t>Requirements of entry</w:t>
      </w:r>
      <w:bookmarkEnd w:id="221"/>
      <w:bookmarkEnd w:id="222"/>
      <w:bookmarkEnd w:id="223"/>
      <w:bookmarkEnd w:id="224"/>
      <w:bookmarkEnd w:id="225"/>
      <w:bookmarkEnd w:id="226"/>
      <w:bookmarkEnd w:id="227"/>
      <w:bookmarkEnd w:id="228"/>
    </w:p>
    <w:p>
      <w:pPr>
        <w:pStyle w:val="Heading5"/>
        <w:spacing w:before="120"/>
      </w:pPr>
      <w:bookmarkStart w:id="229" w:name="_Toc34291454"/>
      <w:bookmarkStart w:id="230" w:name="_Toc25761157"/>
      <w:r>
        <w:rPr>
          <w:rStyle w:val="CharSectno"/>
        </w:rPr>
        <w:t>63</w:t>
      </w:r>
      <w:r>
        <w:t>.</w:t>
      </w:r>
      <w:r>
        <w:tab/>
        <w:t>Terms used</w:t>
      </w:r>
      <w:bookmarkEnd w:id="229"/>
      <w:bookmarkEnd w:id="230"/>
    </w:p>
    <w:p>
      <w:pPr>
        <w:pStyle w:val="Subsection"/>
      </w:pPr>
      <w:r>
        <w:rPr>
          <w:snapToGrid w:val="0"/>
        </w:rPr>
        <w:tab/>
        <w:t>(1)</w:t>
      </w:r>
      <w:r>
        <w:rPr>
          <w:snapToGrid w:val="0"/>
        </w:rPr>
        <w:tab/>
        <w:t>In this Part</w:t>
      </w:r>
      <w:r>
        <w:t> —</w:t>
      </w:r>
    </w:p>
    <w:p>
      <w:pPr>
        <w:pStyle w:val="Defstart"/>
      </w:pPr>
      <w:r>
        <w:rPr>
          <w:b/>
        </w:rPr>
        <w:tab/>
      </w:r>
      <w:r>
        <w:rPr>
          <w:rStyle w:val="CharDefText"/>
        </w:rPr>
        <w:t>agent’s component</w:t>
      </w:r>
      <w:r>
        <w:t xml:space="preserve"> means that part of the entry cost (added to the subscription) calculated in accordance with the formula set out in Schedule 3 Division 1 that is payable to the agent;</w:t>
      </w:r>
    </w:p>
    <w:p>
      <w:pPr>
        <w:pStyle w:val="Defstart"/>
      </w:pPr>
      <w:r>
        <w:rPr>
          <w:b/>
        </w:rPr>
        <w:tab/>
      </w:r>
      <w:r>
        <w:rPr>
          <w:rStyle w:val="CharDefText"/>
        </w:rPr>
        <w:t>entry</w:t>
      </w:r>
      <w:r>
        <w:t xml:space="preserve"> means an entry as described in rule 4 or an entry as a result of redemption of a promotional coupon;</w:t>
      </w:r>
    </w:p>
    <w:p>
      <w:pPr>
        <w:pStyle w:val="Defstart"/>
      </w:pPr>
      <w:r>
        <w:rPr>
          <w:b/>
        </w:rPr>
        <w:tab/>
      </w:r>
      <w:r>
        <w:rPr>
          <w:rStyle w:val="CharDefText"/>
        </w:rPr>
        <w:t>game</w:t>
      </w:r>
      <w:r>
        <w:t xml:space="preserve"> means —</w:t>
      </w:r>
    </w:p>
    <w:p>
      <w:pPr>
        <w:pStyle w:val="Defpara"/>
      </w:pPr>
      <w:r>
        <w:tab/>
        <w:t>(a)</w:t>
      </w:r>
      <w:r>
        <w:tab/>
        <w:t>that part of an entry consisting of 6 selected numbers; and</w:t>
      </w:r>
    </w:p>
    <w:p>
      <w:pPr>
        <w:pStyle w:val="Defpara"/>
      </w:pPr>
      <w:r>
        <w:tab/>
        <w:t>(b)</w:t>
      </w:r>
      <w:r>
        <w:tab/>
        <w:t>in relation to a system entry, one of the notional multiple games making up that system entry;</w:t>
      </w:r>
    </w:p>
    <w:p>
      <w:pPr>
        <w:pStyle w:val="Defstart"/>
      </w:pPr>
      <w:r>
        <w:rPr>
          <w:b/>
        </w:rPr>
        <w:tab/>
      </w:r>
      <w:r>
        <w:rPr>
          <w:rStyle w:val="CharDefText"/>
        </w:rPr>
        <w:t>prize fund</w:t>
      </w:r>
      <w:r>
        <w:t xml:space="preserve"> means the fund maintained by the Lotto Bloc in accordance with the agreement referred to in rule 67(1) and consisting of the prize pool and the prize reserve fund;</w:t>
      </w:r>
    </w:p>
    <w:p>
      <w:pPr>
        <w:pStyle w:val="Defstart"/>
      </w:pPr>
      <w:r>
        <w:tab/>
      </w:r>
      <w:r>
        <w:rPr>
          <w:rStyle w:val="CharDefText"/>
        </w:rPr>
        <w:t>prize pool</w:t>
      </w:r>
      <w:r>
        <w:t xml:space="preserve"> means the prize pool referred to in rule 67(2)(a);</w:t>
      </w:r>
    </w:p>
    <w:p>
      <w:pPr>
        <w:pStyle w:val="Defstart"/>
      </w:pPr>
      <w:r>
        <w:rPr>
          <w:b/>
        </w:rPr>
        <w:tab/>
      </w:r>
      <w:r>
        <w:rPr>
          <w:rStyle w:val="CharDefText"/>
        </w:rPr>
        <w:t>prize reserve fund</w:t>
      </w:r>
      <w:r>
        <w:t xml:space="preserve"> means the fund referred to in rule 67(2)(b);</w:t>
      </w:r>
    </w:p>
    <w:p>
      <w:pPr>
        <w:pStyle w:val="Defstart"/>
      </w:pPr>
      <w:r>
        <w:rPr>
          <w:b/>
        </w:rPr>
        <w:tab/>
      </w:r>
      <w:r>
        <w:rPr>
          <w:rStyle w:val="CharDefText"/>
        </w:rPr>
        <w:t>validation period</w:t>
      </w:r>
      <w:r>
        <w:t xml:space="preserve"> means the period of time commencing at midnight on the day of determination of a Monday and Wednesday Lotto draw’s results and ending at the close of business on the 14th</w:t>
      </w:r>
      <w:r>
        <w:rPr>
          <w:vertAlign w:val="superscript"/>
        </w:rPr>
        <w:t> </w:t>
      </w:r>
      <w:r>
        <w:t>day following that day (or on the business day preceding that 14th day, if the day falls on a public holiday).</w:t>
      </w:r>
    </w:p>
    <w:p>
      <w:pPr>
        <w:pStyle w:val="Subsection"/>
      </w:pPr>
      <w:r>
        <w:tab/>
        <w:t>(2)</w:t>
      </w:r>
      <w:r>
        <w:tab/>
        <w:t>In this Part, in relation to Monday Lotto —</w:t>
      </w:r>
    </w:p>
    <w:p>
      <w:pPr>
        <w:pStyle w:val="Defstart"/>
      </w:pPr>
      <w:r>
        <w:rPr>
          <w:b/>
        </w:rPr>
        <w:tab/>
      </w:r>
      <w:r>
        <w:rPr>
          <w:rStyle w:val="CharDefText"/>
        </w:rPr>
        <w:t>lotto</w:t>
      </w:r>
      <w:r>
        <w:t xml:space="preserve"> means a game of lotto conducted in accordance with these rules;</w:t>
      </w:r>
    </w:p>
    <w:p>
      <w:pPr>
        <w:pStyle w:val="Defstart"/>
      </w:pPr>
      <w:r>
        <w:rPr>
          <w:b/>
        </w:rPr>
        <w:tab/>
      </w:r>
      <w:r>
        <w:rPr>
          <w:rStyle w:val="CharDefText"/>
        </w:rPr>
        <w:t>lotto draw</w:t>
      </w:r>
      <w:r>
        <w:t xml:space="preserve"> means a lotto draw conducted in accordance with rule 68 and supervised in accordance with rule 20;</w:t>
      </w:r>
    </w:p>
    <w:p>
      <w:pPr>
        <w:pStyle w:val="Defstart"/>
      </w:pPr>
      <w:r>
        <w:rPr>
          <w:b/>
        </w:rPr>
        <w:tab/>
      </w:r>
      <w:r>
        <w:rPr>
          <w:rStyle w:val="CharDefText"/>
        </w:rPr>
        <w:t>prize pool</w:t>
      </w:r>
      <w:r>
        <w:t xml:space="preserve"> means the prize pool for Monday Lotto referred to in rule 67(2)(a);</w:t>
      </w:r>
    </w:p>
    <w:p>
      <w:pPr>
        <w:pStyle w:val="Defstart"/>
      </w:pPr>
      <w:r>
        <w:rPr>
          <w:b/>
        </w:rPr>
        <w:tab/>
      </w:r>
      <w:r>
        <w:rPr>
          <w:rStyle w:val="CharDefText"/>
        </w:rPr>
        <w:t>supplementary number</w:t>
      </w:r>
      <w:r>
        <w:t xml:space="preserve"> means either of the last 2 numbers drawn in a Monday Lotto draw;</w:t>
      </w:r>
    </w:p>
    <w:p>
      <w:pPr>
        <w:pStyle w:val="Defstart"/>
      </w:pPr>
      <w:r>
        <w:rPr>
          <w:b/>
        </w:rPr>
        <w:tab/>
      </w:r>
      <w:r>
        <w:rPr>
          <w:rStyle w:val="CharDefText"/>
        </w:rPr>
        <w:t>winning number</w:t>
      </w:r>
      <w:r>
        <w:t xml:space="preserve"> means any one of the first 6 numbers drawn in a Monday Lotto draw.</w:t>
      </w:r>
    </w:p>
    <w:p>
      <w:pPr>
        <w:pStyle w:val="Subsection"/>
      </w:pPr>
      <w:r>
        <w:tab/>
        <w:t>(3)</w:t>
      </w:r>
      <w:r>
        <w:tab/>
        <w:t>In this Part, in relation to Wednesday Lotto —</w:t>
      </w:r>
    </w:p>
    <w:p>
      <w:pPr>
        <w:pStyle w:val="Defstart"/>
      </w:pPr>
      <w:r>
        <w:rPr>
          <w:b/>
        </w:rPr>
        <w:tab/>
      </w:r>
      <w:r>
        <w:rPr>
          <w:rStyle w:val="CharDefText"/>
        </w:rPr>
        <w:t>lotto</w:t>
      </w:r>
      <w:r>
        <w:t xml:space="preserve"> means a game of lotto conducted in accordance with these rules;</w:t>
      </w:r>
    </w:p>
    <w:p>
      <w:pPr>
        <w:pStyle w:val="Defstart"/>
      </w:pPr>
      <w:r>
        <w:rPr>
          <w:b/>
        </w:rPr>
        <w:tab/>
      </w:r>
      <w:r>
        <w:rPr>
          <w:rStyle w:val="CharDefText"/>
        </w:rPr>
        <w:t>lotto draw</w:t>
      </w:r>
      <w:r>
        <w:t xml:space="preserve"> means a lotto draw conducted in accordance with rule 68 and supervised in accordance with rule 20;</w:t>
      </w:r>
    </w:p>
    <w:p>
      <w:pPr>
        <w:pStyle w:val="Defstart"/>
      </w:pPr>
      <w:r>
        <w:rPr>
          <w:b/>
        </w:rPr>
        <w:tab/>
      </w:r>
      <w:r>
        <w:rPr>
          <w:rStyle w:val="CharDefText"/>
        </w:rPr>
        <w:t>prize pool</w:t>
      </w:r>
      <w:r>
        <w:t xml:space="preserve"> means the prize pool for Wednesday Lotto referred to in rule 67(2)(a);</w:t>
      </w:r>
    </w:p>
    <w:p>
      <w:pPr>
        <w:pStyle w:val="Defstart"/>
      </w:pPr>
      <w:r>
        <w:rPr>
          <w:b/>
        </w:rPr>
        <w:tab/>
      </w:r>
      <w:r>
        <w:rPr>
          <w:rStyle w:val="CharDefText"/>
        </w:rPr>
        <w:t>supplementary number</w:t>
      </w:r>
      <w:r>
        <w:t xml:space="preserve"> means either of the last 2 numbers drawn in a Wednesday Lotto draw;</w:t>
      </w:r>
    </w:p>
    <w:p>
      <w:pPr>
        <w:pStyle w:val="Defstart"/>
      </w:pPr>
      <w:r>
        <w:rPr>
          <w:b/>
        </w:rPr>
        <w:tab/>
      </w:r>
      <w:r>
        <w:rPr>
          <w:rStyle w:val="CharDefText"/>
        </w:rPr>
        <w:t>winning number</w:t>
      </w:r>
      <w:r>
        <w:t xml:space="preserve"> means any one of the first 6 numbers drawn in a Wednesday Lotto draw.</w:t>
      </w:r>
    </w:p>
    <w:p>
      <w:pPr>
        <w:pStyle w:val="Footnotesection"/>
      </w:pPr>
      <w:r>
        <w:tab/>
        <w:t>[Rule 63 amended: Gazette 4 Oct 2017 p. 5120</w:t>
      </w:r>
      <w:r>
        <w:noBreakHyphen/>
        <w:t>1.]</w:t>
      </w:r>
    </w:p>
    <w:p>
      <w:pPr>
        <w:pStyle w:val="Ednotesection"/>
      </w:pPr>
      <w:r>
        <w:t>[</w:t>
      </w:r>
      <w:r>
        <w:rPr>
          <w:b/>
        </w:rPr>
        <w:t>64.</w:t>
      </w:r>
      <w:r>
        <w:tab/>
        <w:t>Deleted: Gazette 4 Oct 2017 p. 5121.]</w:t>
      </w:r>
    </w:p>
    <w:p>
      <w:pPr>
        <w:pStyle w:val="Heading5"/>
        <w:rPr>
          <w:snapToGrid w:val="0"/>
        </w:rPr>
      </w:pPr>
      <w:bookmarkStart w:id="231" w:name="_Toc34291455"/>
      <w:bookmarkStart w:id="232" w:name="_Toc25761158"/>
      <w:r>
        <w:rPr>
          <w:rStyle w:val="CharSectno"/>
        </w:rPr>
        <w:t>65</w:t>
      </w:r>
      <w:r>
        <w:rPr>
          <w:snapToGrid w:val="0"/>
        </w:rPr>
        <w:t>.</w:t>
      </w:r>
      <w:r>
        <w:rPr>
          <w:snapToGrid w:val="0"/>
        </w:rPr>
        <w:tab/>
        <w:t>How to fill out a playslip</w:t>
      </w:r>
      <w:bookmarkEnd w:id="231"/>
      <w:bookmarkEnd w:id="232"/>
    </w:p>
    <w:p>
      <w:pPr>
        <w:pStyle w:val="Subsection"/>
        <w:spacing w:before="120"/>
        <w:rPr>
          <w:snapToGrid w:val="0"/>
        </w:rPr>
      </w:pPr>
      <w:r>
        <w:rPr>
          <w:snapToGrid w:val="0"/>
        </w:rPr>
        <w:tab/>
      </w:r>
      <w:r>
        <w:t>(1)</w:t>
      </w:r>
      <w:r>
        <w:rPr>
          <w:snapToGrid w:val="0"/>
        </w:rPr>
        <w:tab/>
        <w:t xml:space="preserve">To enter lotto using </w:t>
      </w:r>
      <w:r>
        <w:t xml:space="preserve">a playslip, </w:t>
      </w:r>
      <w:r>
        <w:rPr>
          <w:snapToGrid w:val="0"/>
        </w:rPr>
        <w:t>a subscriber must —</w:t>
      </w:r>
    </w:p>
    <w:p>
      <w:pPr>
        <w:pStyle w:val="Indenta"/>
        <w:rPr>
          <w:snapToGrid w:val="0"/>
        </w:rPr>
      </w:pPr>
      <w:r>
        <w:rPr>
          <w:snapToGrid w:val="0"/>
        </w:rPr>
        <w:tab/>
      </w:r>
      <w:r>
        <w:t>(a)</w:t>
      </w:r>
      <w:r>
        <w:rPr>
          <w:snapToGrid w:val="0"/>
        </w:rPr>
        <w:tab/>
        <w:t xml:space="preserve">select 6 numbers between 1 and 45 in each of at least 4 game boards on the </w:t>
      </w:r>
      <w:r>
        <w:t xml:space="preserve">playslip; </w:t>
      </w:r>
      <w:r>
        <w:rPr>
          <w:snapToGrid w:val="0"/>
        </w:rPr>
        <w:t>or</w:t>
      </w:r>
    </w:p>
    <w:p>
      <w:pPr>
        <w:pStyle w:val="Indenta"/>
        <w:rPr>
          <w:snapToGrid w:val="0"/>
        </w:rPr>
      </w:pPr>
      <w:r>
        <w:rPr>
          <w:snapToGrid w:val="0"/>
        </w:rPr>
        <w:tab/>
      </w:r>
      <w:r>
        <w:t>(b)</w:t>
      </w:r>
      <w:r>
        <w:rPr>
          <w:snapToGrid w:val="0"/>
        </w:rPr>
        <w:tab/>
        <w:t xml:space="preserve">select between 4 and 20 numbers (but not 6 numbers) between 1 and 45 in one or more game boards on the </w:t>
      </w:r>
      <w:r>
        <w:t xml:space="preserve">playslip </w:t>
      </w:r>
      <w:r>
        <w:rPr>
          <w:snapToGrid w:val="0"/>
        </w:rPr>
        <w:t>(</w:t>
      </w:r>
      <w:r>
        <w:rPr>
          <w:i/>
          <w:iCs/>
          <w:snapToGrid w:val="0"/>
        </w:rPr>
        <w:t>i.e. a system entry</w:t>
      </w:r>
      <w:r>
        <w:rPr>
          <w:snapToGrid w:val="0"/>
        </w:rPr>
        <w:t>)</w:t>
      </w:r>
      <w:r>
        <w:t>.</w:t>
      </w:r>
    </w:p>
    <w:p>
      <w:pPr>
        <w:pStyle w:val="Subsection"/>
        <w:spacing w:before="120"/>
        <w:rPr>
          <w:snapToGrid w:val="0"/>
        </w:rPr>
      </w:pPr>
      <w:r>
        <w:rPr>
          <w:snapToGrid w:val="0"/>
        </w:rPr>
        <w:tab/>
      </w:r>
      <w:r>
        <w:t>(2)</w:t>
      </w:r>
      <w:r>
        <w:rPr>
          <w:snapToGrid w:val="0"/>
        </w:rPr>
        <w:tab/>
        <w:t xml:space="preserve">A subscriber who has filled out a game board on </w:t>
      </w:r>
      <w:r>
        <w:t>a playslip</w:t>
      </w:r>
      <w:r>
        <w:rPr>
          <w:snapToGrid w:val="0"/>
        </w:rPr>
        <w:t xml:space="preserve"> in accordance with subrule (1)(b) may enter up to 17 further system entries on </w:t>
      </w:r>
      <w:r>
        <w:t>that playslip</w:t>
      </w:r>
      <w:r>
        <w:rPr>
          <w:snapToGrid w:val="0"/>
        </w:rPr>
        <w:t xml:space="preserve"> by selecting, in each further game board, the same number of numbers as were selected in the first game board, but only up to an entry cost that does not, in aggregate, exceed </w:t>
      </w:r>
      <w:r>
        <w:t>$100 000.</w:t>
      </w:r>
    </w:p>
    <w:p>
      <w:pPr>
        <w:pStyle w:val="Subsection"/>
        <w:spacing w:before="120"/>
        <w:rPr>
          <w:snapToGrid w:val="0"/>
        </w:rPr>
      </w:pPr>
      <w:r>
        <w:rPr>
          <w:snapToGrid w:val="0"/>
        </w:rPr>
        <w:tab/>
      </w:r>
      <w:r>
        <w:t>(3)</w:t>
      </w:r>
      <w:r>
        <w:rPr>
          <w:snapToGrid w:val="0"/>
        </w:rPr>
        <w:tab/>
        <w:t xml:space="preserve">The subscriber must also </w:t>
      </w:r>
      <w:r>
        <w:t xml:space="preserve">mark </w:t>
      </w:r>
      <w:r>
        <w:rPr>
          <w:snapToGrid w:val="0"/>
        </w:rPr>
        <w:t xml:space="preserve">in the </w:t>
      </w:r>
      <w:r>
        <w:t>appropriate</w:t>
      </w:r>
      <w:r>
        <w:rPr>
          <w:snapToGrid w:val="0"/>
        </w:rPr>
        <w:t xml:space="preserve"> boxes on the</w:t>
      </w:r>
      <w:r>
        <w:t xml:space="preserve"> playslip</w:t>
      </w:r>
      <w:r>
        <w:rPr>
          <w:snapToGrid w:val="0"/>
        </w:rPr>
        <w:t> —</w:t>
      </w:r>
    </w:p>
    <w:p>
      <w:pPr>
        <w:pStyle w:val="Indenta"/>
        <w:rPr>
          <w:snapToGrid w:val="0"/>
        </w:rPr>
      </w:pPr>
      <w:r>
        <w:rPr>
          <w:snapToGrid w:val="0"/>
        </w:rPr>
        <w:tab/>
      </w:r>
      <w:r>
        <w:t>(a)</w:t>
      </w:r>
      <w:r>
        <w:rPr>
          <w:snapToGrid w:val="0"/>
        </w:rPr>
        <w:tab/>
        <w:t xml:space="preserve">which lotto draw or draws the </w:t>
      </w:r>
      <w:r>
        <w:t>playslip</w:t>
      </w:r>
      <w:r>
        <w:rPr>
          <w:snapToGrid w:val="0"/>
        </w:rPr>
        <w:t xml:space="preserve"> is to be entered in; and</w:t>
      </w:r>
    </w:p>
    <w:p>
      <w:pPr>
        <w:pStyle w:val="Indenta"/>
        <w:rPr>
          <w:snapToGrid w:val="0"/>
        </w:rPr>
      </w:pPr>
      <w:r>
        <w:rPr>
          <w:snapToGrid w:val="0"/>
        </w:rPr>
        <w:tab/>
      </w:r>
      <w:r>
        <w:t>(b)</w:t>
      </w:r>
      <w:r>
        <w:rPr>
          <w:snapToGrid w:val="0"/>
        </w:rPr>
        <w:tab/>
        <w:t>whether the method of entry is a “system” entry, being either a system 4</w:t>
      </w:r>
      <w:r>
        <w:rPr>
          <w:snapToGrid w:val="0"/>
        </w:rPr>
        <w:noBreakHyphen/>
        <w:t>5 or a system 7</w:t>
      </w:r>
      <w:r>
        <w:rPr>
          <w:snapToGrid w:val="0"/>
        </w:rPr>
        <w:noBreakHyphen/>
        <w:t>20, depending on the number of selected numbers in each completed game board.</w:t>
      </w:r>
    </w:p>
    <w:p>
      <w:pPr>
        <w:pStyle w:val="Subsection"/>
      </w:pPr>
      <w:r>
        <w:tab/>
        <w:t>(3A)</w:t>
      </w:r>
      <w:r>
        <w:tab/>
        <w:t>In addition to allowing an entry for a particular draw or draws, the Commission may allow a lotto entry to be for up to 10 consecutive weeks and, where offered, the subscriber must specify how many consecutive weeks they wish to enter.</w:t>
      </w:r>
    </w:p>
    <w:p>
      <w:pPr>
        <w:pStyle w:val="Subsection"/>
        <w:rPr>
          <w:snapToGrid w:val="0"/>
        </w:rPr>
      </w:pPr>
      <w:r>
        <w:rPr>
          <w:snapToGrid w:val="0"/>
        </w:rPr>
        <w:tab/>
      </w:r>
      <w:r>
        <w:t>(4)</w:t>
      </w:r>
      <w:r>
        <w:rPr>
          <w:snapToGrid w:val="0"/>
        </w:rPr>
        <w:tab/>
        <w:t>If a subscriber selects, in each completed game board on the</w:t>
      </w:r>
      <w:r>
        <w:t xml:space="preserve"> playslip</w:t>
      </w:r>
      <w:r>
        <w:rPr>
          <w:snapToGrid w:val="0"/>
        </w:rPr>
        <w:t> —</w:t>
      </w:r>
    </w:p>
    <w:p>
      <w:pPr>
        <w:pStyle w:val="Indenta"/>
        <w:rPr>
          <w:snapToGrid w:val="0"/>
        </w:rPr>
      </w:pPr>
      <w:r>
        <w:rPr>
          <w:snapToGrid w:val="0"/>
        </w:rPr>
        <w:tab/>
      </w:r>
      <w:r>
        <w:t>(a)</w:t>
      </w:r>
      <w:r>
        <w:rPr>
          <w:snapToGrid w:val="0"/>
        </w:rPr>
        <w:tab/>
        <w:t>6 selected numbers, the resulting receipted ticket constitutes one entry (made up of no fewer than 4 and no more than 18 games) in lotto; or</w:t>
      </w:r>
    </w:p>
    <w:p>
      <w:pPr>
        <w:pStyle w:val="Indenta"/>
        <w:rPr>
          <w:snapToGrid w:val="0"/>
        </w:rPr>
      </w:pPr>
      <w:r>
        <w:rPr>
          <w:snapToGrid w:val="0"/>
        </w:rPr>
        <w:tab/>
      </w:r>
      <w:r>
        <w:t>(b)</w:t>
      </w:r>
      <w:r>
        <w:rPr>
          <w:snapToGrid w:val="0"/>
        </w:rPr>
        <w:tab/>
        <w:t>between 4 and 20 selected numbers (but not 6 numbers), the resulting receipted ticket constitutes one entry in lotto for each completed game board on the</w:t>
      </w:r>
      <w:r>
        <w:t xml:space="preserve"> playslip (</w:t>
      </w:r>
      <w:r>
        <w:rPr>
          <w:i/>
        </w:rPr>
        <w:t>i.e. a system entry</w:t>
      </w:r>
      <w:r>
        <w:t>).</w:t>
      </w:r>
    </w:p>
    <w:p>
      <w:pPr>
        <w:pStyle w:val="Ednotesubsection"/>
      </w:pPr>
      <w:r>
        <w:tab/>
        <w:t>[(5)</w:t>
      </w:r>
      <w:r>
        <w:tab/>
        <w:t>deleted]</w:t>
      </w:r>
    </w:p>
    <w:p>
      <w:pPr>
        <w:pStyle w:val="Subsection"/>
      </w:pPr>
      <w:r>
        <w:tab/>
        <w:t>(6)</w:t>
      </w:r>
      <w:r>
        <w:tab/>
        <w:t>A receipted ticket must be given to the subscriber upon payment of the amount calculated in accordance with Schedule 3 Division 1.</w:t>
      </w:r>
    </w:p>
    <w:p>
      <w:pPr>
        <w:pStyle w:val="Footnotesection"/>
      </w:pPr>
      <w:r>
        <w:tab/>
        <w:t>[Rule 65 amended: Gazette 4 Oct 2017 p. 5121</w:t>
      </w:r>
      <w:r>
        <w:noBreakHyphen/>
        <w:t>2.]</w:t>
      </w:r>
    </w:p>
    <w:p>
      <w:pPr>
        <w:pStyle w:val="Heading5"/>
        <w:rPr>
          <w:snapToGrid w:val="0"/>
        </w:rPr>
      </w:pPr>
      <w:bookmarkStart w:id="233" w:name="_Toc34291456"/>
      <w:bookmarkStart w:id="234" w:name="_Toc25761159"/>
      <w:r>
        <w:rPr>
          <w:rStyle w:val="CharSectno"/>
        </w:rPr>
        <w:t>66</w:t>
      </w:r>
      <w:r>
        <w:rPr>
          <w:snapToGrid w:val="0"/>
        </w:rPr>
        <w:t>.</w:t>
      </w:r>
      <w:r>
        <w:rPr>
          <w:snapToGrid w:val="0"/>
        </w:rPr>
        <w:tab/>
        <w:t>Oral request for entry</w:t>
      </w:r>
      <w:bookmarkEnd w:id="233"/>
      <w:bookmarkEnd w:id="234"/>
    </w:p>
    <w:p>
      <w:pPr>
        <w:pStyle w:val="Subsection"/>
        <w:rPr>
          <w:snapToGrid w:val="0"/>
        </w:rPr>
      </w:pPr>
      <w:r>
        <w:rPr>
          <w:snapToGrid w:val="0"/>
        </w:rPr>
        <w:tab/>
      </w:r>
      <w:r>
        <w:t>(1)</w:t>
      </w:r>
      <w:r>
        <w:rPr>
          <w:snapToGrid w:val="0"/>
        </w:rPr>
        <w:tab/>
        <w:t xml:space="preserve">To enter lotto without </w:t>
      </w:r>
      <w:r>
        <w:t xml:space="preserve">a playslip or a promotional coupon, and without requesting a ticket repeat or favourite numbers option, </w:t>
      </w:r>
      <w:r>
        <w:rPr>
          <w:snapToGrid w:val="0"/>
        </w:rPr>
        <w:t>a subscriber must make an oral request to an agent stating —</w:t>
      </w:r>
    </w:p>
    <w:p>
      <w:pPr>
        <w:pStyle w:val="Indenta"/>
        <w:rPr>
          <w:snapToGrid w:val="0"/>
        </w:rPr>
      </w:pPr>
      <w:r>
        <w:rPr>
          <w:snapToGrid w:val="0"/>
        </w:rPr>
        <w:tab/>
      </w:r>
      <w:r>
        <w:t>(a)</w:t>
      </w:r>
      <w:r>
        <w:rPr>
          <w:snapToGrid w:val="0"/>
        </w:rPr>
        <w:tab/>
        <w:t>which day or days that the lotto entry is to be for; and</w:t>
      </w:r>
    </w:p>
    <w:p>
      <w:pPr>
        <w:pStyle w:val="Indenta"/>
        <w:rPr>
          <w:snapToGrid w:val="0"/>
        </w:rPr>
      </w:pPr>
      <w:r>
        <w:rPr>
          <w:snapToGrid w:val="0"/>
        </w:rPr>
        <w:tab/>
      </w:r>
      <w:r>
        <w:t>(b)</w:t>
      </w:r>
      <w:r>
        <w:rPr>
          <w:snapToGrid w:val="0"/>
        </w:rPr>
        <w:tab/>
        <w:t>whether the subscriber wishes to select —</w:t>
      </w:r>
    </w:p>
    <w:p>
      <w:pPr>
        <w:pStyle w:val="Indenti"/>
        <w:rPr>
          <w:snapToGrid w:val="0"/>
        </w:rPr>
      </w:pPr>
      <w:r>
        <w:tab/>
        <w:t>(i)</w:t>
      </w:r>
      <w:r>
        <w:tab/>
      </w:r>
      <w:r>
        <w:rPr>
          <w:snapToGrid w:val="0"/>
        </w:rPr>
        <w:t>6 numbers; or</w:t>
      </w:r>
    </w:p>
    <w:p>
      <w:pPr>
        <w:pStyle w:val="Indenti"/>
        <w:rPr>
          <w:snapToGrid w:val="0"/>
        </w:rPr>
      </w:pPr>
      <w:r>
        <w:tab/>
        <w:t>(ii)</w:t>
      </w:r>
      <w:r>
        <w:tab/>
      </w:r>
      <w:r>
        <w:rPr>
          <w:snapToGrid w:val="0"/>
        </w:rPr>
        <w:t>between 4 and 20 numbers (but not 6 numbers) (</w:t>
      </w:r>
      <w:bookmarkStart w:id="235" w:name="RuleErr_2"/>
      <w:r>
        <w:rPr>
          <w:i/>
          <w:iCs/>
          <w:snapToGrid w:val="0"/>
        </w:rPr>
        <w:t>i.e. a system entry</w:t>
      </w:r>
      <w:bookmarkEnd w:id="235"/>
      <w:r>
        <w:rPr>
          <w:snapToGrid w:val="0"/>
        </w:rPr>
        <w:t>);</w:t>
      </w:r>
    </w:p>
    <w:p>
      <w:pPr>
        <w:pStyle w:val="Indenta"/>
      </w:pPr>
      <w:r>
        <w:tab/>
      </w:r>
      <w:r>
        <w:tab/>
      </w:r>
      <w:r>
        <w:rPr>
          <w:snapToGrid w:val="0"/>
        </w:rPr>
        <w:t>and</w:t>
      </w:r>
    </w:p>
    <w:p>
      <w:pPr>
        <w:pStyle w:val="Indenta"/>
      </w:pPr>
      <w:r>
        <w:tab/>
        <w:t>(c)</w:t>
      </w:r>
      <w:r>
        <w:tab/>
        <w:t>if the subscriber selects 6 numbers —</w:t>
      </w:r>
    </w:p>
    <w:p>
      <w:pPr>
        <w:pStyle w:val="Ednotesubpara"/>
      </w:pPr>
      <w:r>
        <w:tab/>
        <w:t>[(i)</w:t>
      </w:r>
      <w:r>
        <w:tab/>
        <w:t>deleted]</w:t>
      </w:r>
    </w:p>
    <w:p>
      <w:pPr>
        <w:pStyle w:val="Indenti"/>
      </w:pPr>
      <w:r>
        <w:tab/>
        <w:t>(ii)</w:t>
      </w:r>
      <w:r>
        <w:tab/>
        <w:t>where available, exactly how many games the subscriber wants to be entered, with a minimum of 4 and a maximum of 50.</w:t>
      </w:r>
    </w:p>
    <w:p>
      <w:pPr>
        <w:pStyle w:val="Subsection"/>
        <w:rPr>
          <w:snapToGrid w:val="0"/>
        </w:rPr>
      </w:pPr>
      <w:r>
        <w:rPr>
          <w:snapToGrid w:val="0"/>
        </w:rPr>
        <w:tab/>
      </w:r>
      <w:r>
        <w:t>(2)</w:t>
      </w:r>
      <w:r>
        <w:rPr>
          <w:snapToGrid w:val="0"/>
        </w:rPr>
        <w:tab/>
        <w:t>If a subscriber requests —</w:t>
      </w:r>
    </w:p>
    <w:p>
      <w:pPr>
        <w:pStyle w:val="Indenta"/>
        <w:rPr>
          <w:snapToGrid w:val="0"/>
        </w:rPr>
      </w:pPr>
      <w:r>
        <w:rPr>
          <w:snapToGrid w:val="0"/>
        </w:rPr>
        <w:tab/>
      </w:r>
      <w:r>
        <w:t>(a)</w:t>
      </w:r>
      <w:r>
        <w:rPr>
          <w:snapToGrid w:val="0"/>
        </w:rPr>
        <w:tab/>
        <w:t xml:space="preserve">6 numbers, the entry will be entered in </w:t>
      </w:r>
      <w:r>
        <w:t>the number of</w:t>
      </w:r>
      <w:r>
        <w:rPr>
          <w:snapToGrid w:val="0"/>
        </w:rPr>
        <w:t xml:space="preserve"> games as requested under subrule (1)(c); or</w:t>
      </w:r>
    </w:p>
    <w:p>
      <w:pPr>
        <w:pStyle w:val="Indenta"/>
        <w:keepNext/>
        <w:rPr>
          <w:snapToGrid w:val="0"/>
        </w:rPr>
      </w:pPr>
      <w:r>
        <w:rPr>
          <w:snapToGrid w:val="0"/>
        </w:rPr>
        <w:tab/>
      </w:r>
      <w:r>
        <w:t>(b)</w:t>
      </w:r>
      <w:r>
        <w:rPr>
          <w:snapToGrid w:val="0"/>
        </w:rPr>
        <w:tab/>
        <w:t>between 4 and 20 numbers (but not 6 numbers), the entry will be entered as one system entry,</w:t>
      </w:r>
    </w:p>
    <w:p>
      <w:pPr>
        <w:pStyle w:val="Subsection"/>
        <w:spacing w:before="120"/>
        <w:rPr>
          <w:snapToGrid w:val="0"/>
        </w:rPr>
      </w:pPr>
      <w:r>
        <w:rPr>
          <w:snapToGrid w:val="0"/>
        </w:rPr>
        <w:tab/>
      </w:r>
      <w:r>
        <w:rPr>
          <w:snapToGrid w:val="0"/>
        </w:rPr>
        <w:tab/>
        <w:t>and the resulting receipted ticket constitutes one entry in lotto.</w:t>
      </w:r>
    </w:p>
    <w:p>
      <w:pPr>
        <w:pStyle w:val="Subsection"/>
      </w:pPr>
      <w:r>
        <w:tab/>
        <w:t>(3)</w:t>
      </w:r>
      <w:r>
        <w:tab/>
        <w:t>A receipted ticket must be given to the subscriber upon payment of the amount calculated in accordance with Schedule 3 Division 1.</w:t>
      </w:r>
    </w:p>
    <w:p>
      <w:pPr>
        <w:pStyle w:val="Footnotesection"/>
      </w:pPr>
      <w:r>
        <w:tab/>
        <w:t>[Rule 66 amended: Gazette 4 Oct 2017 p. 5122.]</w:t>
      </w:r>
    </w:p>
    <w:p>
      <w:pPr>
        <w:pStyle w:val="Heading3"/>
      </w:pPr>
      <w:bookmarkStart w:id="236" w:name="_Toc34139520"/>
      <w:bookmarkStart w:id="237" w:name="_Toc34139732"/>
      <w:bookmarkStart w:id="238" w:name="_Toc34147909"/>
      <w:bookmarkStart w:id="239" w:name="_Toc34207462"/>
      <w:bookmarkStart w:id="240" w:name="_Toc34291457"/>
      <w:bookmarkStart w:id="241" w:name="_Toc25657365"/>
      <w:bookmarkStart w:id="242" w:name="_Toc25760831"/>
      <w:bookmarkStart w:id="243" w:name="_Toc25761160"/>
      <w:r>
        <w:rPr>
          <w:rStyle w:val="CharDivNo"/>
        </w:rPr>
        <w:t>Division 2</w:t>
      </w:r>
      <w:r>
        <w:t> — </w:t>
      </w:r>
      <w:r>
        <w:rPr>
          <w:rStyle w:val="CharDivText"/>
        </w:rPr>
        <w:t>Prize pool and prize reserve fund</w:t>
      </w:r>
      <w:bookmarkEnd w:id="236"/>
      <w:bookmarkEnd w:id="237"/>
      <w:bookmarkEnd w:id="238"/>
      <w:bookmarkEnd w:id="239"/>
      <w:bookmarkEnd w:id="240"/>
      <w:bookmarkEnd w:id="241"/>
      <w:bookmarkEnd w:id="242"/>
      <w:bookmarkEnd w:id="243"/>
    </w:p>
    <w:p>
      <w:pPr>
        <w:pStyle w:val="Heading5"/>
        <w:rPr>
          <w:snapToGrid w:val="0"/>
        </w:rPr>
      </w:pPr>
      <w:bookmarkStart w:id="244" w:name="_Toc34291458"/>
      <w:bookmarkStart w:id="245" w:name="_Toc25761161"/>
      <w:r>
        <w:rPr>
          <w:rStyle w:val="CharSectno"/>
        </w:rPr>
        <w:t>67</w:t>
      </w:r>
      <w:r>
        <w:rPr>
          <w:snapToGrid w:val="0"/>
        </w:rPr>
        <w:t>.</w:t>
      </w:r>
      <w:r>
        <w:rPr>
          <w:snapToGrid w:val="0"/>
        </w:rPr>
        <w:tab/>
      </w:r>
      <w:r>
        <w:t>Lotto Bloc’s prize pool and prize reserve fund</w:t>
      </w:r>
      <w:bookmarkEnd w:id="244"/>
      <w:bookmarkEnd w:id="245"/>
    </w:p>
    <w:p>
      <w:pPr>
        <w:pStyle w:val="Subsection"/>
        <w:rPr>
          <w:snapToGrid w:val="0"/>
        </w:rPr>
      </w:pPr>
      <w:r>
        <w:rPr>
          <w:snapToGrid w:val="0"/>
        </w:rPr>
        <w:tab/>
      </w:r>
      <w:r>
        <w:t>(1)</w:t>
      </w:r>
      <w:r>
        <w:rPr>
          <w:snapToGrid w:val="0"/>
        </w:rPr>
        <w:tab/>
        <w:t xml:space="preserve">The Commission must contribute a percentage of all subscriptions received for each lotto draw to a combined </w:t>
      </w:r>
      <w:r>
        <w:t xml:space="preserve">Lotto Bloc’s </w:t>
      </w:r>
      <w:r>
        <w:rPr>
          <w:snapToGrid w:val="0"/>
        </w:rPr>
        <w:t>prize fund in accordance with the appropriate agreement and the permit for that lotto draw.</w:t>
      </w:r>
    </w:p>
    <w:p>
      <w:pPr>
        <w:pStyle w:val="Subsection"/>
        <w:rPr>
          <w:snapToGrid w:val="0"/>
        </w:rPr>
      </w:pPr>
      <w:r>
        <w:rPr>
          <w:snapToGrid w:val="0"/>
        </w:rPr>
        <w:tab/>
      </w:r>
      <w:r>
        <w:t>(2)</w:t>
      </w:r>
      <w:r>
        <w:rPr>
          <w:snapToGrid w:val="0"/>
        </w:rPr>
        <w:tab/>
        <w:t xml:space="preserve">The </w:t>
      </w:r>
      <w:r>
        <w:t>total contribution under subrule (1) is</w:t>
      </w:r>
      <w:r>
        <w:rPr>
          <w:snapToGrid w:val="0"/>
        </w:rPr>
        <w:t xml:space="preserve"> to be divided so that —</w:t>
      </w:r>
    </w:p>
    <w:p>
      <w:pPr>
        <w:pStyle w:val="Indenta"/>
      </w:pPr>
      <w:r>
        <w:tab/>
        <w:t>(a)</w:t>
      </w:r>
      <w:r>
        <w:tab/>
        <w:t>not less than 33% of the Commission’s subscriptions go to the Lotto Bloc’s prize pool for payment of division 2 to 6 prizes; and</w:t>
      </w:r>
    </w:p>
    <w:p>
      <w:pPr>
        <w:pStyle w:val="Indenta"/>
        <w:rPr>
          <w:snapToGrid w:val="0"/>
        </w:rPr>
      </w:pPr>
      <w:r>
        <w:rPr>
          <w:snapToGrid w:val="0"/>
        </w:rPr>
        <w:tab/>
      </w:r>
      <w:r>
        <w:t>(b)</w:t>
      </w:r>
      <w:r>
        <w:rPr>
          <w:snapToGrid w:val="0"/>
        </w:rPr>
        <w:tab/>
        <w:t xml:space="preserve">the </w:t>
      </w:r>
      <w:r>
        <w:t>balance of the contribution</w:t>
      </w:r>
      <w:r>
        <w:rPr>
          <w:snapToGrid w:val="0"/>
        </w:rPr>
        <w:t xml:space="preserve"> goes to the </w:t>
      </w:r>
      <w:r>
        <w:t xml:space="preserve">Lotto Bloc’s </w:t>
      </w:r>
      <w:r>
        <w:rPr>
          <w:snapToGrid w:val="0"/>
        </w:rPr>
        <w:t>prize reserve fund.</w:t>
      </w:r>
    </w:p>
    <w:p>
      <w:pPr>
        <w:pStyle w:val="Subsection"/>
      </w:pPr>
      <w:r>
        <w:tab/>
        <w:t>(3)</w:t>
      </w:r>
      <w:r>
        <w:tab/>
        <w:t>The prize reserve fund is to be used to pay prizes in accordance with rule 71.</w:t>
      </w:r>
    </w:p>
    <w:p>
      <w:pPr>
        <w:pStyle w:val="Subsection"/>
        <w:rPr>
          <w:snapToGrid w:val="0"/>
        </w:rPr>
      </w:pPr>
      <w:r>
        <w:rPr>
          <w:snapToGrid w:val="0"/>
        </w:rPr>
        <w:tab/>
      </w:r>
      <w:r>
        <w:t>(4)</w:t>
      </w:r>
      <w:r>
        <w:rPr>
          <w:snapToGrid w:val="0"/>
        </w:rPr>
        <w:tab/>
        <w:t xml:space="preserve">The prize reserve fund may only be distributed as additional prize money or promotional prizes, in such amounts and in such lotto draws, as are agreed by the members of the </w:t>
      </w:r>
      <w:r>
        <w:t>Lotto Bloc.</w:t>
      </w:r>
    </w:p>
    <w:p>
      <w:pPr>
        <w:pStyle w:val="Footnotesection"/>
      </w:pPr>
      <w:r>
        <w:tab/>
        <w:t>[Rule 67 amended: Gazette 4 Oct 2017 p. 5122; 9 Feb 2018 p. 405.]</w:t>
      </w:r>
    </w:p>
    <w:p>
      <w:pPr>
        <w:pStyle w:val="Heading3"/>
      </w:pPr>
      <w:bookmarkStart w:id="246" w:name="_Toc34139522"/>
      <w:bookmarkStart w:id="247" w:name="_Toc34139734"/>
      <w:bookmarkStart w:id="248" w:name="_Toc34147911"/>
      <w:bookmarkStart w:id="249" w:name="_Toc34207464"/>
      <w:bookmarkStart w:id="250" w:name="_Toc34291459"/>
      <w:bookmarkStart w:id="251" w:name="_Toc25657367"/>
      <w:bookmarkStart w:id="252" w:name="_Toc25760833"/>
      <w:bookmarkStart w:id="253" w:name="_Toc25761162"/>
      <w:r>
        <w:rPr>
          <w:rStyle w:val="CharDivNo"/>
        </w:rPr>
        <w:t>Division 3</w:t>
      </w:r>
      <w:r>
        <w:t> — </w:t>
      </w:r>
      <w:r>
        <w:rPr>
          <w:rStyle w:val="CharDivText"/>
        </w:rPr>
        <w:t>Conducting a Monday and Wednesday Lotto draw</w:t>
      </w:r>
      <w:bookmarkEnd w:id="246"/>
      <w:bookmarkEnd w:id="247"/>
      <w:bookmarkEnd w:id="248"/>
      <w:bookmarkEnd w:id="249"/>
      <w:bookmarkEnd w:id="250"/>
      <w:bookmarkEnd w:id="251"/>
      <w:bookmarkEnd w:id="252"/>
      <w:bookmarkEnd w:id="253"/>
    </w:p>
    <w:p>
      <w:pPr>
        <w:pStyle w:val="Heading5"/>
        <w:rPr>
          <w:snapToGrid w:val="0"/>
        </w:rPr>
      </w:pPr>
      <w:bookmarkStart w:id="254" w:name="_Toc34291460"/>
      <w:bookmarkStart w:id="255" w:name="_Toc25761163"/>
      <w:r>
        <w:rPr>
          <w:rStyle w:val="CharSectno"/>
        </w:rPr>
        <w:t>68</w:t>
      </w:r>
      <w:r>
        <w:rPr>
          <w:snapToGrid w:val="0"/>
        </w:rPr>
        <w:t>.</w:t>
      </w:r>
      <w:r>
        <w:rPr>
          <w:snapToGrid w:val="0"/>
        </w:rPr>
        <w:tab/>
        <w:t>Nature of a lotto draw</w:t>
      </w:r>
      <w:bookmarkEnd w:id="254"/>
      <w:bookmarkEnd w:id="255"/>
    </w:p>
    <w:p>
      <w:pPr>
        <w:pStyle w:val="Subsection"/>
        <w:rPr>
          <w:snapToGrid w:val="0"/>
        </w:rPr>
      </w:pPr>
      <w:r>
        <w:rPr>
          <w:snapToGrid w:val="0"/>
        </w:rPr>
        <w:tab/>
      </w:r>
      <w:r>
        <w:rPr>
          <w:snapToGrid w:val="0"/>
        </w:rPr>
        <w:tab/>
        <w:t xml:space="preserve">A lotto draw consists of the mechanical, equally random selection of 8 numbered </w:t>
      </w:r>
      <w:r>
        <w:t>balls (6 winning numbered balls and 2 supplementary numbered balls) from balls individually numbered from 1 to 45 inclusive</w:t>
      </w:r>
      <w:r>
        <w:rPr>
          <w:snapToGrid w:val="0"/>
        </w:rPr>
        <w:t xml:space="preserve"> in a manner and using such equipment as the Commission or a designated authority determines.</w:t>
      </w:r>
    </w:p>
    <w:p>
      <w:pPr>
        <w:pStyle w:val="Footnotesection"/>
      </w:pPr>
      <w:r>
        <w:tab/>
        <w:t>[Rule 68 amended: Gazette 4 Oct 2017 p. 5122.]</w:t>
      </w:r>
    </w:p>
    <w:p>
      <w:pPr>
        <w:pStyle w:val="Heading5"/>
        <w:rPr>
          <w:snapToGrid w:val="0"/>
        </w:rPr>
      </w:pPr>
      <w:bookmarkStart w:id="256" w:name="_Toc34291461"/>
      <w:bookmarkStart w:id="257" w:name="_Toc25761164"/>
      <w:r>
        <w:rPr>
          <w:rStyle w:val="CharSectno"/>
        </w:rPr>
        <w:t>69</w:t>
      </w:r>
      <w:r>
        <w:rPr>
          <w:snapToGrid w:val="0"/>
        </w:rPr>
        <w:t>.</w:t>
      </w:r>
      <w:r>
        <w:rPr>
          <w:snapToGrid w:val="0"/>
        </w:rPr>
        <w:tab/>
        <w:t>Criteria for winning</w:t>
      </w:r>
      <w:bookmarkEnd w:id="256"/>
      <w:bookmarkEnd w:id="257"/>
    </w:p>
    <w:p>
      <w:pPr>
        <w:pStyle w:val="Subsection"/>
        <w:keepNext/>
        <w:rPr>
          <w:snapToGrid w:val="0"/>
        </w:rPr>
      </w:pPr>
      <w:r>
        <w:rPr>
          <w:snapToGrid w:val="0"/>
        </w:rPr>
        <w:tab/>
      </w:r>
      <w:r>
        <w:rPr>
          <w:snapToGrid w:val="0"/>
        </w:rPr>
        <w:tab/>
        <w:t xml:space="preserve">In a lotto draw </w:t>
      </w:r>
      <w:r>
        <w:t xml:space="preserve">the holder of a receipted ticket or the purchaser of an entry under Part 2 Division 5 of these rules </w:t>
      </w:r>
      <w:r>
        <w:rPr>
          <w:snapToGrid w:val="0"/>
        </w:rPr>
        <w:t>wins —</w:t>
      </w:r>
    </w:p>
    <w:p>
      <w:pPr>
        <w:pStyle w:val="Indenta"/>
        <w:rPr>
          <w:snapToGrid w:val="0"/>
        </w:rPr>
      </w:pPr>
      <w:r>
        <w:rPr>
          <w:snapToGrid w:val="0"/>
        </w:rPr>
        <w:tab/>
      </w:r>
      <w:r>
        <w:t>(a)</w:t>
      </w:r>
      <w:r>
        <w:rPr>
          <w:snapToGrid w:val="0"/>
        </w:rPr>
        <w:tab/>
        <w:t>division 1, if all 6 winning numbers;</w:t>
      </w:r>
    </w:p>
    <w:p>
      <w:pPr>
        <w:pStyle w:val="Indenta"/>
        <w:rPr>
          <w:snapToGrid w:val="0"/>
        </w:rPr>
      </w:pPr>
      <w:r>
        <w:rPr>
          <w:snapToGrid w:val="0"/>
        </w:rPr>
        <w:tab/>
      </w:r>
      <w:r>
        <w:t>(b)</w:t>
      </w:r>
      <w:r>
        <w:rPr>
          <w:snapToGrid w:val="0"/>
        </w:rPr>
        <w:tab/>
        <w:t>division 2, if any 5 winning numbers and a supplementary number;</w:t>
      </w:r>
    </w:p>
    <w:p>
      <w:pPr>
        <w:pStyle w:val="Indenta"/>
        <w:keepNext/>
        <w:rPr>
          <w:snapToGrid w:val="0"/>
        </w:rPr>
      </w:pPr>
      <w:r>
        <w:rPr>
          <w:snapToGrid w:val="0"/>
        </w:rPr>
        <w:tab/>
      </w:r>
      <w:r>
        <w:t>(c)</w:t>
      </w:r>
      <w:r>
        <w:rPr>
          <w:snapToGrid w:val="0"/>
        </w:rPr>
        <w:tab/>
        <w:t>division 3, if any 5 winning numbers;</w:t>
      </w:r>
    </w:p>
    <w:p>
      <w:pPr>
        <w:pStyle w:val="Indenta"/>
        <w:rPr>
          <w:snapToGrid w:val="0"/>
        </w:rPr>
      </w:pPr>
      <w:r>
        <w:rPr>
          <w:snapToGrid w:val="0"/>
        </w:rPr>
        <w:tab/>
      </w:r>
      <w:r>
        <w:t>(d)</w:t>
      </w:r>
      <w:r>
        <w:rPr>
          <w:snapToGrid w:val="0"/>
        </w:rPr>
        <w:tab/>
        <w:t xml:space="preserve">division 4, if any 4 winning numbers; </w:t>
      </w:r>
    </w:p>
    <w:p>
      <w:pPr>
        <w:pStyle w:val="Indenta"/>
        <w:rPr>
          <w:snapToGrid w:val="0"/>
        </w:rPr>
      </w:pPr>
      <w:r>
        <w:rPr>
          <w:snapToGrid w:val="0"/>
        </w:rPr>
        <w:tab/>
      </w:r>
      <w:r>
        <w:t>(e)</w:t>
      </w:r>
      <w:r>
        <w:rPr>
          <w:snapToGrid w:val="0"/>
        </w:rPr>
        <w:tab/>
        <w:t xml:space="preserve">division 5, if any 3 winning numbers and a supplementary </w:t>
      </w:r>
      <w:r>
        <w:t>number;</w:t>
      </w:r>
    </w:p>
    <w:p>
      <w:pPr>
        <w:pStyle w:val="Indenta"/>
      </w:pPr>
      <w:r>
        <w:tab/>
        <w:t>(f)</w:t>
      </w:r>
      <w:r>
        <w:tab/>
        <w:t>division 6, if any one or 2 winning numbers and 2 supplementary numbers,</w:t>
      </w:r>
    </w:p>
    <w:p>
      <w:pPr>
        <w:pStyle w:val="Subsection"/>
        <w:rPr>
          <w:snapToGrid w:val="0"/>
        </w:rPr>
      </w:pPr>
      <w:r>
        <w:rPr>
          <w:snapToGrid w:val="0"/>
        </w:rPr>
        <w:tab/>
      </w:r>
      <w:r>
        <w:rPr>
          <w:snapToGrid w:val="0"/>
        </w:rPr>
        <w:tab/>
        <w:t>are selected in the one game.</w:t>
      </w:r>
    </w:p>
    <w:p>
      <w:pPr>
        <w:pStyle w:val="Footnotesection"/>
      </w:pPr>
      <w:r>
        <w:tab/>
        <w:t>[Rule 69 amended: Gazette 4 Oct 2017 p. 5123.]</w:t>
      </w:r>
    </w:p>
    <w:p>
      <w:pPr>
        <w:pStyle w:val="Heading5"/>
        <w:rPr>
          <w:snapToGrid w:val="0"/>
        </w:rPr>
      </w:pPr>
      <w:bookmarkStart w:id="258" w:name="_Toc34291462"/>
      <w:bookmarkStart w:id="259" w:name="_Toc25761165"/>
      <w:r>
        <w:rPr>
          <w:rStyle w:val="CharSectno"/>
        </w:rPr>
        <w:t>70</w:t>
      </w:r>
      <w:r>
        <w:rPr>
          <w:snapToGrid w:val="0"/>
        </w:rPr>
        <w:t>.</w:t>
      </w:r>
      <w:r>
        <w:rPr>
          <w:snapToGrid w:val="0"/>
        </w:rPr>
        <w:tab/>
        <w:t>Only one prize per game except for system entries</w:t>
      </w:r>
      <w:bookmarkEnd w:id="258"/>
      <w:bookmarkEnd w:id="259"/>
    </w:p>
    <w:p>
      <w:pPr>
        <w:pStyle w:val="Subsection"/>
        <w:rPr>
          <w:snapToGrid w:val="0"/>
        </w:rPr>
      </w:pPr>
      <w:r>
        <w:rPr>
          <w:snapToGrid w:val="0"/>
        </w:rPr>
        <w:tab/>
      </w:r>
      <w:r>
        <w:t>(1)</w:t>
      </w:r>
      <w:r>
        <w:rPr>
          <w:snapToGrid w:val="0"/>
        </w:rPr>
        <w:tab/>
        <w:t xml:space="preserve">The holder of a receipted ticket which </w:t>
      </w:r>
      <w:r>
        <w:t>contains, or the purchaser of an entry under Part 2 Division 5</w:t>
      </w:r>
      <w:r>
        <w:rPr>
          <w:iCs/>
        </w:rPr>
        <w:t xml:space="preserve"> of these rules</w:t>
      </w:r>
      <w:r>
        <w:t xml:space="preserve"> which comprises, </w:t>
      </w:r>
      <w:r>
        <w:rPr>
          <w:snapToGrid w:val="0"/>
        </w:rPr>
        <w:t>a system entry may claim a prize in one division for each notional game making up that system entry, resulting in prizes in more than one division for that entry.</w:t>
      </w:r>
    </w:p>
    <w:p>
      <w:pPr>
        <w:pStyle w:val="Subsection"/>
      </w:pPr>
      <w:r>
        <w:tab/>
        <w:t>(2)</w:t>
      </w:r>
      <w:r>
        <w:tab/>
        <w:t>The holders of a syndicate share receipted ticket which contains a system entry may claim a share in a prize in one division for each notional game making up that system entry, resulting in shares in prizes in more than one division for that entry.</w:t>
      </w:r>
    </w:p>
    <w:p>
      <w:pPr>
        <w:pStyle w:val="Heading5"/>
      </w:pPr>
      <w:bookmarkStart w:id="260" w:name="_Toc34291463"/>
      <w:bookmarkStart w:id="261" w:name="_Toc25761166"/>
      <w:r>
        <w:rPr>
          <w:rStyle w:val="CharSectno"/>
        </w:rPr>
        <w:t>71</w:t>
      </w:r>
      <w:r>
        <w:t>.</w:t>
      </w:r>
      <w:r>
        <w:tab/>
        <w:t>Distribution of prize pool</w:t>
      </w:r>
      <w:bookmarkEnd w:id="260"/>
      <w:bookmarkEnd w:id="261"/>
    </w:p>
    <w:p>
      <w:pPr>
        <w:pStyle w:val="Subsection"/>
      </w:pPr>
      <w:r>
        <w:tab/>
        <w:t>(1)</w:t>
      </w:r>
      <w:r>
        <w:tab/>
        <w:t>Subject to subrule (4), if there is no winner of a division 1 prize in a particular lotto draw, the prize reserve fund retains the entire amount allocated to it for that draw.</w:t>
      </w:r>
    </w:p>
    <w:p>
      <w:pPr>
        <w:pStyle w:val="Subsection"/>
      </w:pPr>
      <w:r>
        <w:tab/>
        <w:t>(2)</w:t>
      </w:r>
      <w:r>
        <w:tab/>
        <w:t>If there are 1, 2, 3 or 4 winners of a division 1 prize the prize reserve fund is to be used to pay a division 1 prize of $1 000 000 each.</w:t>
      </w:r>
    </w:p>
    <w:p>
      <w:pPr>
        <w:pStyle w:val="Subsection"/>
      </w:pPr>
      <w:r>
        <w:tab/>
        <w:t>(3)</w:t>
      </w:r>
      <w:r>
        <w:tab/>
        <w:t>If there are 5 or more winners of a division 1 prize the prize reserve fund is to be used to pay each division 1 winner an equal share of $4 000 000.</w:t>
      </w:r>
    </w:p>
    <w:p>
      <w:pPr>
        <w:pStyle w:val="Subsection"/>
      </w:pPr>
      <w:r>
        <w:tab/>
        <w:t>(4)</w:t>
      </w:r>
      <w:r>
        <w:tab/>
        <w:t xml:space="preserve">The Commission may from time to time declare that if there is no winner of a division 1 prize in a particular lotto draw, then — </w:t>
      </w:r>
    </w:p>
    <w:p>
      <w:pPr>
        <w:pStyle w:val="Indenta"/>
      </w:pPr>
      <w:r>
        <w:tab/>
        <w:t>(a)</w:t>
      </w:r>
      <w:r>
        <w:tab/>
        <w:t>$1 000 000 is to be added to the prize pool for the next lower division in which there is at least one winner in that lotto draw; or</w:t>
      </w:r>
    </w:p>
    <w:p>
      <w:pPr>
        <w:pStyle w:val="Indenta"/>
      </w:pPr>
      <w:r>
        <w:tab/>
        <w:t>(b)</w:t>
      </w:r>
      <w:r>
        <w:tab/>
        <w:t>$1 000 000 is to be divided between the prize pools for divisions 2, 3, 4, 5 and 6 in such proportions as agreed by the members of the Lotto Bloc or as specified in the permit for that lotto draw,</w:t>
      </w:r>
    </w:p>
    <w:p>
      <w:pPr>
        <w:pStyle w:val="Subsection"/>
      </w:pPr>
      <w:r>
        <w:tab/>
      </w:r>
      <w:r>
        <w:tab/>
        <w:t>and the prize reserve fund retains the remainder of the division 1 prize pool allocated for that lotto draw.</w:t>
      </w:r>
    </w:p>
    <w:p>
      <w:pPr>
        <w:pStyle w:val="Subsection"/>
      </w:pPr>
      <w:r>
        <w:tab/>
        <w:t>(5)</w:t>
      </w:r>
      <w:r>
        <w:tab/>
        <w:t>If a division 1 prize is to be distributed to division 2 winners, the prize money is still treated as a division 1 prize for the purposes of claiming and payment of prizes.</w:t>
      </w:r>
    </w:p>
    <w:p>
      <w:pPr>
        <w:pStyle w:val="Footnotesection"/>
      </w:pPr>
      <w:r>
        <w:tab/>
        <w:t>[Rule 71 amended: Gazette 9 Feb 2018 p. 405</w:t>
      </w:r>
      <w:r>
        <w:noBreakHyphen/>
        <w:t>6.]</w:t>
      </w:r>
    </w:p>
    <w:p>
      <w:pPr>
        <w:pStyle w:val="Heading5"/>
        <w:rPr>
          <w:snapToGrid w:val="0"/>
        </w:rPr>
      </w:pPr>
      <w:bookmarkStart w:id="262" w:name="_Toc34291464"/>
      <w:bookmarkStart w:id="263" w:name="_Toc25761167"/>
      <w:r>
        <w:rPr>
          <w:rStyle w:val="CharSectno"/>
        </w:rPr>
        <w:t>72</w:t>
      </w:r>
      <w:r>
        <w:rPr>
          <w:snapToGrid w:val="0"/>
        </w:rPr>
        <w:t>.</w:t>
      </w:r>
      <w:r>
        <w:rPr>
          <w:snapToGrid w:val="0"/>
        </w:rPr>
        <w:tab/>
      </w:r>
      <w:r>
        <w:t>Application of prize pool if divisions 2 to 5 prize not won</w:t>
      </w:r>
      <w:bookmarkEnd w:id="262"/>
      <w:bookmarkEnd w:id="263"/>
      <w:r>
        <w:t xml:space="preserve"> </w:t>
      </w:r>
    </w:p>
    <w:p>
      <w:pPr>
        <w:pStyle w:val="Subsection"/>
        <w:rPr>
          <w:snapToGrid w:val="0"/>
        </w:rPr>
      </w:pPr>
      <w:r>
        <w:rPr>
          <w:snapToGrid w:val="0"/>
        </w:rPr>
        <w:tab/>
      </w:r>
      <w:r>
        <w:rPr>
          <w:snapToGrid w:val="0"/>
        </w:rPr>
        <w:tab/>
        <w:t xml:space="preserve">If no one wins a prize in division 2, </w:t>
      </w:r>
      <w:r>
        <w:t xml:space="preserve">3, 4 or 5 </w:t>
      </w:r>
      <w:r>
        <w:rPr>
          <w:snapToGrid w:val="0"/>
        </w:rPr>
        <w:t>in a particular lotto draw, then the prize pool for that division is to be added to the prize pool for the next lower division in which there is at least one winner in that lotto draw.</w:t>
      </w:r>
    </w:p>
    <w:p>
      <w:pPr>
        <w:pStyle w:val="Heading2"/>
      </w:pPr>
      <w:bookmarkStart w:id="264" w:name="_Toc34139528"/>
      <w:bookmarkStart w:id="265" w:name="_Toc34139740"/>
      <w:bookmarkStart w:id="266" w:name="_Toc34147917"/>
      <w:bookmarkStart w:id="267" w:name="_Toc34207470"/>
      <w:bookmarkStart w:id="268" w:name="_Toc34291465"/>
      <w:bookmarkStart w:id="269" w:name="_Toc25657373"/>
      <w:bookmarkStart w:id="270" w:name="_Toc25760839"/>
      <w:bookmarkStart w:id="271" w:name="_Toc25761168"/>
      <w:r>
        <w:rPr>
          <w:rStyle w:val="CharPartNo"/>
        </w:rPr>
        <w:t>Part 5</w:t>
      </w:r>
      <w:r>
        <w:t> — </w:t>
      </w:r>
      <w:r>
        <w:rPr>
          <w:rStyle w:val="CharPartText"/>
        </w:rPr>
        <w:t>OZ Lotto rules</w:t>
      </w:r>
      <w:bookmarkEnd w:id="264"/>
      <w:bookmarkEnd w:id="265"/>
      <w:bookmarkEnd w:id="266"/>
      <w:bookmarkEnd w:id="267"/>
      <w:bookmarkEnd w:id="268"/>
      <w:bookmarkEnd w:id="269"/>
      <w:bookmarkEnd w:id="270"/>
      <w:bookmarkEnd w:id="271"/>
    </w:p>
    <w:p>
      <w:pPr>
        <w:pStyle w:val="Heading3"/>
      </w:pPr>
      <w:bookmarkStart w:id="272" w:name="_Toc34139529"/>
      <w:bookmarkStart w:id="273" w:name="_Toc34139741"/>
      <w:bookmarkStart w:id="274" w:name="_Toc34147918"/>
      <w:bookmarkStart w:id="275" w:name="_Toc34207471"/>
      <w:bookmarkStart w:id="276" w:name="_Toc34291466"/>
      <w:bookmarkStart w:id="277" w:name="_Toc25657374"/>
      <w:bookmarkStart w:id="278" w:name="_Toc25760840"/>
      <w:bookmarkStart w:id="279" w:name="_Toc25761169"/>
      <w:r>
        <w:rPr>
          <w:rStyle w:val="CharDivNo"/>
        </w:rPr>
        <w:t>Division 1</w:t>
      </w:r>
      <w:r>
        <w:t> — </w:t>
      </w:r>
      <w:r>
        <w:rPr>
          <w:rStyle w:val="CharDivText"/>
        </w:rPr>
        <w:t>Requirements of entry</w:t>
      </w:r>
      <w:bookmarkEnd w:id="272"/>
      <w:bookmarkEnd w:id="273"/>
      <w:bookmarkEnd w:id="274"/>
      <w:bookmarkEnd w:id="275"/>
      <w:bookmarkEnd w:id="276"/>
      <w:bookmarkEnd w:id="277"/>
      <w:bookmarkEnd w:id="278"/>
      <w:bookmarkEnd w:id="279"/>
    </w:p>
    <w:p>
      <w:pPr>
        <w:pStyle w:val="Heading5"/>
      </w:pPr>
      <w:bookmarkStart w:id="280" w:name="_Toc34291467"/>
      <w:bookmarkStart w:id="281" w:name="_Toc25761170"/>
      <w:r>
        <w:rPr>
          <w:rStyle w:val="CharSectno"/>
        </w:rPr>
        <w:t>73</w:t>
      </w:r>
      <w:r>
        <w:t>.</w:t>
      </w:r>
      <w:r>
        <w:tab/>
        <w:t>Terms used</w:t>
      </w:r>
      <w:bookmarkEnd w:id="280"/>
      <w:bookmarkEnd w:id="281"/>
    </w:p>
    <w:p>
      <w:pPr>
        <w:pStyle w:val="Subsection"/>
        <w:rPr>
          <w:snapToGrid w:val="0"/>
        </w:rPr>
      </w:pPr>
      <w:r>
        <w:tab/>
      </w:r>
      <w:r>
        <w:tab/>
      </w:r>
      <w:r>
        <w:rPr>
          <w:snapToGrid w:val="0"/>
        </w:rPr>
        <w:t>In this Part</w:t>
      </w:r>
      <w:r>
        <w:t> —</w:t>
      </w:r>
    </w:p>
    <w:p>
      <w:pPr>
        <w:pStyle w:val="Defstart"/>
      </w:pPr>
      <w:r>
        <w:rPr>
          <w:b/>
        </w:rPr>
        <w:tab/>
      </w:r>
      <w:r>
        <w:rPr>
          <w:rStyle w:val="CharDefText"/>
        </w:rPr>
        <w:t>agent’s component</w:t>
      </w:r>
      <w:r>
        <w:t xml:space="preserve"> means that part of the entry cost (added to the subscription) calculated in accordance with the formula set out in Schedule 4 Division 1 that is payable to the agent;</w:t>
      </w:r>
    </w:p>
    <w:p>
      <w:pPr>
        <w:pStyle w:val="Defstart"/>
      </w:pPr>
      <w:r>
        <w:tab/>
      </w:r>
      <w:r>
        <w:rPr>
          <w:rStyle w:val="CharDefText"/>
        </w:rPr>
        <w:t>draw</w:t>
      </w:r>
      <w:r>
        <w:t xml:space="preserve"> means a lotto draw conducted in accordance with rule 78 and supervised in accordance with rule 20;</w:t>
      </w:r>
    </w:p>
    <w:p>
      <w:pPr>
        <w:pStyle w:val="Defstart"/>
      </w:pPr>
      <w:r>
        <w:rPr>
          <w:b/>
        </w:rPr>
        <w:tab/>
      </w:r>
      <w:r>
        <w:rPr>
          <w:rStyle w:val="CharDefText"/>
        </w:rPr>
        <w:t>entry</w:t>
      </w:r>
      <w:r>
        <w:t xml:space="preserve"> means an entry as described in rules 4, 75 and 76 or an entry as a result of redemption of a promotional coupon;</w:t>
      </w:r>
    </w:p>
    <w:p>
      <w:pPr>
        <w:pStyle w:val="Defstart"/>
      </w:pPr>
      <w:r>
        <w:rPr>
          <w:b/>
        </w:rPr>
        <w:tab/>
      </w:r>
      <w:r>
        <w:rPr>
          <w:rStyle w:val="CharDefText"/>
        </w:rPr>
        <w:t>game</w:t>
      </w:r>
      <w:r>
        <w:t xml:space="preserve"> means —</w:t>
      </w:r>
    </w:p>
    <w:p>
      <w:pPr>
        <w:pStyle w:val="Defpara"/>
      </w:pPr>
      <w:r>
        <w:tab/>
        <w:t>(a)</w:t>
      </w:r>
      <w:r>
        <w:tab/>
        <w:t>in relation to OZ Lotto, that part of an entry consisting of a selection of between 4 and 19 numbers inclusive out of 45; and</w:t>
      </w:r>
    </w:p>
    <w:p>
      <w:pPr>
        <w:pStyle w:val="Defpara"/>
      </w:pPr>
      <w:r>
        <w:tab/>
        <w:t>(b)</w:t>
      </w:r>
      <w:r>
        <w:tab/>
        <w:t>in relation to a system entry, the notional multiple games making up that single system entry;</w:t>
      </w:r>
    </w:p>
    <w:p>
      <w:pPr>
        <w:pStyle w:val="Defstart"/>
      </w:pPr>
      <w:r>
        <w:rPr>
          <w:b/>
        </w:rPr>
        <w:tab/>
      </w:r>
      <w:r>
        <w:rPr>
          <w:rStyle w:val="CharDefText"/>
        </w:rPr>
        <w:t>prize fund</w:t>
      </w:r>
      <w:r>
        <w:t xml:space="preserve"> means the fund maintained by the Lotto Bloc in accordance with the agreement referred to in rule 77(1) and consisting of the OZ Lotto prize pool and the prize reserve fund;</w:t>
      </w:r>
    </w:p>
    <w:p>
      <w:pPr>
        <w:pStyle w:val="Defstart"/>
      </w:pPr>
      <w:r>
        <w:rPr>
          <w:b/>
        </w:rPr>
        <w:tab/>
      </w:r>
      <w:r>
        <w:rPr>
          <w:rStyle w:val="CharDefText"/>
        </w:rPr>
        <w:t>prize pool</w:t>
      </w:r>
      <w:r>
        <w:t xml:space="preserve"> means the prize pool referred to in rule 77(2)(a);</w:t>
      </w:r>
    </w:p>
    <w:p>
      <w:pPr>
        <w:pStyle w:val="Defstart"/>
      </w:pPr>
      <w:r>
        <w:rPr>
          <w:b/>
        </w:rPr>
        <w:tab/>
      </w:r>
      <w:r>
        <w:rPr>
          <w:rStyle w:val="CharDefText"/>
        </w:rPr>
        <w:t>prize reserve fund</w:t>
      </w:r>
      <w:r>
        <w:t xml:space="preserve"> means the fund referred to in rule 77(2)(b);</w:t>
      </w:r>
    </w:p>
    <w:p>
      <w:pPr>
        <w:pStyle w:val="Defstart"/>
      </w:pPr>
      <w:r>
        <w:tab/>
      </w:r>
      <w:r>
        <w:rPr>
          <w:rStyle w:val="CharDefText"/>
        </w:rPr>
        <w:t>supplementary number</w:t>
      </w:r>
      <w:r>
        <w:t xml:space="preserve"> means either of the last 2 numbers drawn in an OZ Lotto draw;</w:t>
      </w:r>
    </w:p>
    <w:p>
      <w:pPr>
        <w:pStyle w:val="Defstart"/>
      </w:pPr>
      <w:r>
        <w:tab/>
      </w:r>
      <w:r>
        <w:rPr>
          <w:rStyle w:val="CharDefText"/>
        </w:rPr>
        <w:t>total prize pool</w:t>
      </w:r>
      <w:r>
        <w:t xml:space="preserve"> means the prize pool for an OZ Lotto draw, plus any jackpot amount from a previous draw and any amount that has been taken from the prize reserve fund under rule 83 to ensure that a guaranteed minimum division 1 prize pool is met (if it is won);</w:t>
      </w:r>
    </w:p>
    <w:p>
      <w:pPr>
        <w:pStyle w:val="Defstart"/>
      </w:pPr>
      <w:r>
        <w:rPr>
          <w:b/>
        </w:rPr>
        <w:tab/>
      </w:r>
      <w:r>
        <w:rPr>
          <w:rStyle w:val="CharDefText"/>
        </w:rPr>
        <w:t>validation period</w:t>
      </w:r>
      <w:r>
        <w:t xml:space="preserve"> means the period of time commencing at midnight on the day of determination of an OZ Lotto draw’s results and ending at the close of business on the 14th</w:t>
      </w:r>
      <w:r>
        <w:rPr>
          <w:vertAlign w:val="superscript"/>
        </w:rPr>
        <w:t> </w:t>
      </w:r>
      <w:r>
        <w:t>day following that day (or on the business day preceding that 14th</w:t>
      </w:r>
      <w:r>
        <w:rPr>
          <w:vertAlign w:val="superscript"/>
        </w:rPr>
        <w:t> </w:t>
      </w:r>
      <w:r>
        <w:t>day, if the day falls on a public holiday);</w:t>
      </w:r>
    </w:p>
    <w:p>
      <w:pPr>
        <w:pStyle w:val="Defstart"/>
      </w:pPr>
      <w:r>
        <w:tab/>
      </w:r>
      <w:r>
        <w:rPr>
          <w:rStyle w:val="CharDefText"/>
        </w:rPr>
        <w:t>winning number</w:t>
      </w:r>
      <w:r>
        <w:t xml:space="preserve"> means any one of the first 7 numbers drawn in an OZ Lotto draw.</w:t>
      </w:r>
    </w:p>
    <w:p>
      <w:pPr>
        <w:pStyle w:val="Footnotesection"/>
      </w:pPr>
      <w:bookmarkStart w:id="282" w:name="endcomma"/>
      <w:bookmarkEnd w:id="282"/>
      <w:r>
        <w:tab/>
        <w:t>[Rule 73 amended: Gazette 4 Oct 2017 p. 5123</w:t>
      </w:r>
      <w:r>
        <w:noBreakHyphen/>
        <w:t>4.]</w:t>
      </w:r>
    </w:p>
    <w:p>
      <w:pPr>
        <w:pStyle w:val="Ednotesection"/>
      </w:pPr>
      <w:r>
        <w:t>[</w:t>
      </w:r>
      <w:r>
        <w:rPr>
          <w:b/>
        </w:rPr>
        <w:t>74.</w:t>
      </w:r>
      <w:r>
        <w:tab/>
        <w:t>Deleted: Gazette 4 Oct 2017 p. 5124.]</w:t>
      </w:r>
    </w:p>
    <w:p>
      <w:pPr>
        <w:pStyle w:val="Heading5"/>
        <w:rPr>
          <w:snapToGrid w:val="0"/>
        </w:rPr>
      </w:pPr>
      <w:bookmarkStart w:id="283" w:name="_Toc34291468"/>
      <w:bookmarkStart w:id="284" w:name="_Toc25761171"/>
      <w:r>
        <w:rPr>
          <w:rStyle w:val="CharSectno"/>
        </w:rPr>
        <w:t>75</w:t>
      </w:r>
      <w:r>
        <w:rPr>
          <w:snapToGrid w:val="0"/>
        </w:rPr>
        <w:t>.</w:t>
      </w:r>
      <w:r>
        <w:rPr>
          <w:snapToGrid w:val="0"/>
        </w:rPr>
        <w:tab/>
        <w:t>How to fill out a playslip</w:t>
      </w:r>
      <w:bookmarkEnd w:id="283"/>
      <w:bookmarkEnd w:id="284"/>
    </w:p>
    <w:p>
      <w:pPr>
        <w:pStyle w:val="Subsection"/>
        <w:keepNext/>
        <w:keepLines/>
        <w:rPr>
          <w:snapToGrid w:val="0"/>
        </w:rPr>
      </w:pPr>
      <w:r>
        <w:rPr>
          <w:snapToGrid w:val="0"/>
        </w:rPr>
        <w:tab/>
      </w:r>
      <w:r>
        <w:rPr>
          <w:snapToGrid w:val="0"/>
          <w:spacing w:val="-4"/>
        </w:rPr>
        <w:t>(1)</w:t>
      </w:r>
      <w:r>
        <w:rPr>
          <w:snapToGrid w:val="0"/>
        </w:rPr>
        <w:tab/>
        <w:t xml:space="preserve">To enter OZ Lotto using </w:t>
      </w:r>
      <w:r>
        <w:t>a playslip</w:t>
      </w:r>
      <w:r>
        <w:rPr>
          <w:snapToGrid w:val="0"/>
        </w:rPr>
        <w:t>, a subscriber must —</w:t>
      </w:r>
    </w:p>
    <w:p>
      <w:pPr>
        <w:pStyle w:val="Indenta"/>
        <w:rPr>
          <w:snapToGrid w:val="0"/>
        </w:rPr>
      </w:pPr>
      <w:r>
        <w:rPr>
          <w:snapToGrid w:val="0"/>
        </w:rPr>
        <w:tab/>
        <w:t>(a)</w:t>
      </w:r>
      <w:r>
        <w:rPr>
          <w:snapToGrid w:val="0"/>
        </w:rPr>
        <w:tab/>
        <w:t xml:space="preserve">select 7 numbers between 1 and 45 for each of at least one game </w:t>
      </w:r>
      <w:r>
        <w:t xml:space="preserve">board </w:t>
      </w:r>
      <w:r>
        <w:rPr>
          <w:snapToGrid w:val="0"/>
        </w:rPr>
        <w:t xml:space="preserve">on the </w:t>
      </w:r>
      <w:r>
        <w:t xml:space="preserve">playslip; </w:t>
      </w:r>
      <w:r>
        <w:rPr>
          <w:snapToGrid w:val="0"/>
        </w:rPr>
        <w:t>or</w:t>
      </w:r>
    </w:p>
    <w:p>
      <w:pPr>
        <w:pStyle w:val="Indenta"/>
        <w:rPr>
          <w:snapToGrid w:val="0"/>
        </w:rPr>
      </w:pPr>
      <w:r>
        <w:rPr>
          <w:snapToGrid w:val="0"/>
        </w:rPr>
        <w:tab/>
        <w:t>(b)</w:t>
      </w:r>
      <w:r>
        <w:rPr>
          <w:snapToGrid w:val="0"/>
        </w:rPr>
        <w:tab/>
        <w:t xml:space="preserve">select between 4 and 19 numbers (but not 7 numbers) between 1 and 45 in one or more </w:t>
      </w:r>
      <w:r>
        <w:t>game boards</w:t>
      </w:r>
      <w:r>
        <w:rPr>
          <w:snapToGrid w:val="0"/>
        </w:rPr>
        <w:t xml:space="preserve"> on the </w:t>
      </w:r>
      <w:r>
        <w:t>playslip (</w:t>
      </w:r>
      <w:r>
        <w:rPr>
          <w:i/>
        </w:rPr>
        <w:t>i.e. a system entry</w:t>
      </w:r>
      <w:r>
        <w:t>).</w:t>
      </w:r>
    </w:p>
    <w:p>
      <w:pPr>
        <w:pStyle w:val="Subsection"/>
      </w:pPr>
      <w:r>
        <w:tab/>
        <w:t>(1A)</w:t>
      </w:r>
      <w:r>
        <w:tab/>
        <w:t>A subscriber who has filled out a game board on a playslip in accordance with subrule (1) may enter up to 17 further games on that playslip by selecting, in each further game board, the same number of numbers as were selected in the first game board, but only up to an entry cost that does not, in aggregate, exceed $100 000.</w:t>
      </w:r>
    </w:p>
    <w:p>
      <w:pPr>
        <w:pStyle w:val="Subsection"/>
      </w:pPr>
      <w:r>
        <w:tab/>
        <w:t>(2)</w:t>
      </w:r>
      <w:r>
        <w:tab/>
        <w:t>The subscriber must also mark in the appropriate boxes on the playslip whether the method of entry is a “system” entry, being either a system 4</w:t>
      </w:r>
      <w:r>
        <w:noBreakHyphen/>
        <w:t>6 or a system 8</w:t>
      </w:r>
      <w:r>
        <w:noBreakHyphen/>
        <w:t>19, depending on the number of selected numbers in each completed game board.</w:t>
      </w:r>
    </w:p>
    <w:p>
      <w:pPr>
        <w:pStyle w:val="Subsection"/>
      </w:pPr>
      <w:r>
        <w:tab/>
        <w:t>(3)</w:t>
      </w:r>
      <w:r>
        <w:tab/>
        <w:t>In addition to allowing an entry for a particular week of draw or draws, the Commission may allow an OZ Lotto entry to be for up to 10 consecutive weeks, where offered, and the subscriber must specify how many consecutive weeks they wish to enter.</w:t>
      </w:r>
    </w:p>
    <w:p>
      <w:pPr>
        <w:pStyle w:val="Subsection"/>
        <w:keepNext/>
      </w:pPr>
      <w:r>
        <w:tab/>
        <w:t>(4)</w:t>
      </w:r>
      <w:r>
        <w:tab/>
        <w:t>If a subscriber selects, in each completed game board on the playslip —</w:t>
      </w:r>
    </w:p>
    <w:p>
      <w:pPr>
        <w:pStyle w:val="Indenta"/>
      </w:pPr>
      <w:r>
        <w:tab/>
        <w:t>(a)</w:t>
      </w:r>
      <w:r>
        <w:tab/>
        <w:t>7 selected numbers, the resulting receipted ticket constitutes 1 entry (with a minimum of 1 and a maximum of 18 games) in OZ Lotto; or</w:t>
      </w:r>
    </w:p>
    <w:p>
      <w:pPr>
        <w:pStyle w:val="Indenta"/>
      </w:pPr>
      <w:r>
        <w:tab/>
        <w:t>(b)</w:t>
      </w:r>
      <w:r>
        <w:tab/>
        <w:t>between 4 and 19 numbers (but not 7 numbers), the resulting receipted ticket constitutes 1 entry in OZ Lotto for each completed game board on the playslip (</w:t>
      </w:r>
      <w:r>
        <w:rPr>
          <w:i/>
        </w:rPr>
        <w:t>i.e. a system entry</w:t>
      </w:r>
      <w:r>
        <w:t>).</w:t>
      </w:r>
    </w:p>
    <w:p>
      <w:pPr>
        <w:pStyle w:val="Subsection"/>
      </w:pPr>
      <w:r>
        <w:tab/>
        <w:t>(5)</w:t>
      </w:r>
      <w:r>
        <w:tab/>
        <w:t>A receipted ticket must be given to the subscriber upon payment of the amount calculated in accordance with Schedule 4 Division 1.</w:t>
      </w:r>
    </w:p>
    <w:p>
      <w:pPr>
        <w:pStyle w:val="Footnotesection"/>
      </w:pPr>
      <w:r>
        <w:tab/>
        <w:t>[Rule 75 amended: Gazette 4 Oct 2017 p. 5124</w:t>
      </w:r>
      <w:r>
        <w:noBreakHyphen/>
        <w:t>6.]</w:t>
      </w:r>
    </w:p>
    <w:p>
      <w:pPr>
        <w:pStyle w:val="Heading5"/>
        <w:spacing w:before="120"/>
        <w:rPr>
          <w:snapToGrid w:val="0"/>
        </w:rPr>
      </w:pPr>
      <w:bookmarkStart w:id="285" w:name="_Toc34291469"/>
      <w:bookmarkStart w:id="286" w:name="_Toc25761172"/>
      <w:r>
        <w:rPr>
          <w:rStyle w:val="CharSectno"/>
        </w:rPr>
        <w:t>76</w:t>
      </w:r>
      <w:r>
        <w:rPr>
          <w:snapToGrid w:val="0"/>
        </w:rPr>
        <w:t>.</w:t>
      </w:r>
      <w:r>
        <w:rPr>
          <w:snapToGrid w:val="0"/>
        </w:rPr>
        <w:tab/>
        <w:t>Oral request for entry</w:t>
      </w:r>
      <w:bookmarkEnd w:id="285"/>
      <w:bookmarkEnd w:id="286"/>
    </w:p>
    <w:p>
      <w:pPr>
        <w:pStyle w:val="Subsection"/>
        <w:rPr>
          <w:snapToGrid w:val="0"/>
        </w:rPr>
      </w:pPr>
      <w:r>
        <w:rPr>
          <w:snapToGrid w:val="0"/>
        </w:rPr>
        <w:tab/>
      </w:r>
      <w:r>
        <w:t>(1)</w:t>
      </w:r>
      <w:r>
        <w:rPr>
          <w:snapToGrid w:val="0"/>
        </w:rPr>
        <w:tab/>
        <w:t xml:space="preserve">To enter OZ Lotto without </w:t>
      </w:r>
      <w:r>
        <w:t xml:space="preserve">a playslip or a promotional coupon, and without requesting a ticket repeat or favourite numbers option, </w:t>
      </w:r>
      <w:r>
        <w:rPr>
          <w:snapToGrid w:val="0"/>
        </w:rPr>
        <w:t>a subscriber must make an oral request to an agent stating —</w:t>
      </w:r>
    </w:p>
    <w:p>
      <w:pPr>
        <w:pStyle w:val="Indenta"/>
        <w:rPr>
          <w:snapToGrid w:val="0"/>
        </w:rPr>
      </w:pPr>
      <w:r>
        <w:rPr>
          <w:snapToGrid w:val="0"/>
        </w:rPr>
        <w:tab/>
      </w:r>
      <w:r>
        <w:t>(a)</w:t>
      </w:r>
      <w:r>
        <w:rPr>
          <w:snapToGrid w:val="0"/>
        </w:rPr>
        <w:tab/>
        <w:t>which day or days that the entry is to be for; and</w:t>
      </w:r>
    </w:p>
    <w:p>
      <w:pPr>
        <w:pStyle w:val="Indenta"/>
        <w:rPr>
          <w:snapToGrid w:val="0"/>
        </w:rPr>
      </w:pPr>
      <w:r>
        <w:rPr>
          <w:snapToGrid w:val="0"/>
        </w:rPr>
        <w:tab/>
      </w:r>
      <w:r>
        <w:t>(b)</w:t>
      </w:r>
      <w:r>
        <w:rPr>
          <w:snapToGrid w:val="0"/>
        </w:rPr>
        <w:tab/>
        <w:t>whether the subscriber wishes to select —</w:t>
      </w:r>
    </w:p>
    <w:p>
      <w:pPr>
        <w:pStyle w:val="Indenti"/>
        <w:rPr>
          <w:snapToGrid w:val="0"/>
        </w:rPr>
      </w:pPr>
      <w:r>
        <w:tab/>
        <w:t>(i)</w:t>
      </w:r>
      <w:r>
        <w:tab/>
        <w:t>7</w:t>
      </w:r>
      <w:r>
        <w:rPr>
          <w:snapToGrid w:val="0"/>
        </w:rPr>
        <w:t xml:space="preserve"> numbers; or</w:t>
      </w:r>
    </w:p>
    <w:p>
      <w:pPr>
        <w:pStyle w:val="Indenti"/>
        <w:rPr>
          <w:snapToGrid w:val="0"/>
        </w:rPr>
      </w:pPr>
      <w:r>
        <w:tab/>
        <w:t>(ii)</w:t>
      </w:r>
      <w:r>
        <w:tab/>
      </w:r>
      <w:r>
        <w:rPr>
          <w:snapToGrid w:val="0"/>
        </w:rPr>
        <w:t>between 4 and 19 numbers (but not 7 numbers) (</w:t>
      </w:r>
      <w:bookmarkStart w:id="287" w:name="RuleErr_3"/>
      <w:r>
        <w:rPr>
          <w:i/>
          <w:iCs/>
          <w:snapToGrid w:val="0"/>
        </w:rPr>
        <w:t>i.e. a system entry</w:t>
      </w:r>
      <w:bookmarkEnd w:id="287"/>
      <w:r>
        <w:rPr>
          <w:snapToGrid w:val="0"/>
        </w:rPr>
        <w:t>);</w:t>
      </w:r>
    </w:p>
    <w:p>
      <w:pPr>
        <w:pStyle w:val="Indenta"/>
      </w:pPr>
      <w:r>
        <w:tab/>
      </w:r>
      <w:r>
        <w:tab/>
      </w:r>
      <w:r>
        <w:rPr>
          <w:snapToGrid w:val="0"/>
        </w:rPr>
        <w:t>and</w:t>
      </w:r>
    </w:p>
    <w:p>
      <w:pPr>
        <w:pStyle w:val="Indenta"/>
      </w:pPr>
      <w:r>
        <w:tab/>
        <w:t>(c)</w:t>
      </w:r>
      <w:r>
        <w:tab/>
        <w:t>if the subscriber selects 7 numbers, where available, exactly how many games the subscriber wants to be entered, with a minimum of 1 and a maximum of 50.</w:t>
      </w:r>
    </w:p>
    <w:p>
      <w:pPr>
        <w:pStyle w:val="Subsection"/>
        <w:rPr>
          <w:snapToGrid w:val="0"/>
        </w:rPr>
      </w:pPr>
      <w:r>
        <w:rPr>
          <w:snapToGrid w:val="0"/>
        </w:rPr>
        <w:tab/>
      </w:r>
      <w:r>
        <w:t>(2)</w:t>
      </w:r>
      <w:r>
        <w:rPr>
          <w:snapToGrid w:val="0"/>
        </w:rPr>
        <w:tab/>
        <w:t>If a subscriber requests —</w:t>
      </w:r>
    </w:p>
    <w:p>
      <w:pPr>
        <w:pStyle w:val="Indenta"/>
        <w:rPr>
          <w:snapToGrid w:val="0"/>
        </w:rPr>
      </w:pPr>
      <w:r>
        <w:rPr>
          <w:snapToGrid w:val="0"/>
        </w:rPr>
        <w:tab/>
      </w:r>
      <w:r>
        <w:t>(a)</w:t>
      </w:r>
      <w:r>
        <w:rPr>
          <w:snapToGrid w:val="0"/>
        </w:rPr>
        <w:tab/>
        <w:t xml:space="preserve">7 numbers, the entry will be entered in </w:t>
      </w:r>
      <w:r>
        <w:t>the number of</w:t>
      </w:r>
      <w:r>
        <w:rPr>
          <w:snapToGrid w:val="0"/>
        </w:rPr>
        <w:t xml:space="preserve"> games </w:t>
      </w:r>
      <w:r>
        <w:t>selected</w:t>
      </w:r>
      <w:r>
        <w:rPr>
          <w:snapToGrid w:val="0"/>
        </w:rPr>
        <w:t xml:space="preserve"> under subrule (1)(c); or</w:t>
      </w:r>
    </w:p>
    <w:p>
      <w:pPr>
        <w:pStyle w:val="Indenta"/>
        <w:keepNext/>
        <w:rPr>
          <w:snapToGrid w:val="0"/>
        </w:rPr>
      </w:pPr>
      <w:r>
        <w:rPr>
          <w:snapToGrid w:val="0"/>
        </w:rPr>
        <w:tab/>
      </w:r>
      <w:r>
        <w:t>(b)</w:t>
      </w:r>
      <w:r>
        <w:rPr>
          <w:snapToGrid w:val="0"/>
        </w:rPr>
        <w:tab/>
        <w:t>between 4 and 19 numbers (but not 7 numbers), the entry will be entered as one system entry,</w:t>
      </w:r>
    </w:p>
    <w:p>
      <w:pPr>
        <w:pStyle w:val="Subsection"/>
        <w:spacing w:before="120"/>
        <w:rPr>
          <w:snapToGrid w:val="0"/>
        </w:rPr>
      </w:pPr>
      <w:r>
        <w:rPr>
          <w:snapToGrid w:val="0"/>
        </w:rPr>
        <w:tab/>
      </w:r>
      <w:r>
        <w:rPr>
          <w:snapToGrid w:val="0"/>
        </w:rPr>
        <w:tab/>
        <w:t xml:space="preserve">and the resulting receipted ticket constitutes one entry in </w:t>
      </w:r>
      <w:r>
        <w:t>OZ Lotto.</w:t>
      </w:r>
    </w:p>
    <w:p>
      <w:pPr>
        <w:pStyle w:val="Subsection"/>
      </w:pPr>
      <w:r>
        <w:rPr>
          <w:snapToGrid w:val="0"/>
        </w:rPr>
        <w:tab/>
      </w:r>
      <w:r>
        <w:rPr>
          <w:snapToGrid w:val="0"/>
          <w:spacing w:val="-4"/>
        </w:rPr>
        <w:t>(3)</w:t>
      </w:r>
      <w:r>
        <w:rPr>
          <w:snapToGrid w:val="0"/>
        </w:rPr>
        <w:tab/>
        <w:t>A receipted ticket must be given to the subscriber upon payment of the amount calculated in accordance with</w:t>
      </w:r>
      <w:r>
        <w:t xml:space="preserve"> Schedule 4 Division 1.</w:t>
      </w:r>
    </w:p>
    <w:p>
      <w:pPr>
        <w:pStyle w:val="Footnotesection"/>
      </w:pPr>
      <w:r>
        <w:tab/>
        <w:t>[Rule 76 amended: Gazette 4 Oct 2017 p. 5126.]</w:t>
      </w:r>
    </w:p>
    <w:p>
      <w:pPr>
        <w:pStyle w:val="Heading3"/>
        <w:keepNext w:val="0"/>
        <w:widowControl w:val="0"/>
      </w:pPr>
      <w:bookmarkStart w:id="288" w:name="_Toc34139533"/>
      <w:bookmarkStart w:id="289" w:name="_Toc34139745"/>
      <w:bookmarkStart w:id="290" w:name="_Toc34147922"/>
      <w:bookmarkStart w:id="291" w:name="_Toc34207475"/>
      <w:bookmarkStart w:id="292" w:name="_Toc34291470"/>
      <w:bookmarkStart w:id="293" w:name="_Toc25657378"/>
      <w:bookmarkStart w:id="294" w:name="_Toc25760844"/>
      <w:bookmarkStart w:id="295" w:name="_Toc25761173"/>
      <w:r>
        <w:rPr>
          <w:rStyle w:val="CharDivNo"/>
        </w:rPr>
        <w:t>Division 2</w:t>
      </w:r>
      <w:r>
        <w:t> — </w:t>
      </w:r>
      <w:r>
        <w:rPr>
          <w:rStyle w:val="CharDivText"/>
        </w:rPr>
        <w:t>Prize pool and prize reserve fund</w:t>
      </w:r>
      <w:bookmarkEnd w:id="288"/>
      <w:bookmarkEnd w:id="289"/>
      <w:bookmarkEnd w:id="290"/>
      <w:bookmarkEnd w:id="291"/>
      <w:bookmarkEnd w:id="292"/>
      <w:bookmarkEnd w:id="293"/>
      <w:bookmarkEnd w:id="294"/>
      <w:bookmarkEnd w:id="295"/>
    </w:p>
    <w:p>
      <w:pPr>
        <w:pStyle w:val="Heading5"/>
        <w:keepLines w:val="0"/>
        <w:rPr>
          <w:snapToGrid w:val="0"/>
        </w:rPr>
      </w:pPr>
      <w:bookmarkStart w:id="296" w:name="_Toc34291471"/>
      <w:bookmarkStart w:id="297" w:name="_Toc25761174"/>
      <w:r>
        <w:rPr>
          <w:rStyle w:val="CharSectno"/>
        </w:rPr>
        <w:t>77</w:t>
      </w:r>
      <w:r>
        <w:rPr>
          <w:snapToGrid w:val="0"/>
        </w:rPr>
        <w:t>.</w:t>
      </w:r>
      <w:r>
        <w:rPr>
          <w:snapToGrid w:val="0"/>
        </w:rPr>
        <w:tab/>
      </w:r>
      <w:r>
        <w:t>Lotto Bloc’s prize pool and prize reserve fund</w:t>
      </w:r>
      <w:bookmarkEnd w:id="296"/>
      <w:bookmarkEnd w:id="297"/>
    </w:p>
    <w:p>
      <w:pPr>
        <w:pStyle w:val="Subsection"/>
        <w:rPr>
          <w:snapToGrid w:val="0"/>
        </w:rPr>
      </w:pPr>
      <w:r>
        <w:rPr>
          <w:snapToGrid w:val="0"/>
        </w:rPr>
        <w:tab/>
      </w:r>
      <w:r>
        <w:rPr>
          <w:snapToGrid w:val="0"/>
          <w:spacing w:val="-4"/>
        </w:rPr>
        <w:t>(1)</w:t>
      </w:r>
      <w:r>
        <w:rPr>
          <w:snapToGrid w:val="0"/>
        </w:rPr>
        <w:tab/>
        <w:t xml:space="preserve">The Commission must contribute a percentage of all subscriptions received for each lotto draw to a combined </w:t>
      </w:r>
      <w:r>
        <w:t xml:space="preserve">Lotto Bloc’s </w:t>
      </w:r>
      <w:r>
        <w:rPr>
          <w:snapToGrid w:val="0"/>
        </w:rPr>
        <w:t>prize fund in accordance with the appropriate agreement and the permit for that lotto draw.</w:t>
      </w:r>
    </w:p>
    <w:p>
      <w:pPr>
        <w:pStyle w:val="Subsection"/>
        <w:rPr>
          <w:snapToGrid w:val="0"/>
        </w:rPr>
      </w:pPr>
      <w:r>
        <w:rPr>
          <w:snapToGrid w:val="0"/>
        </w:rPr>
        <w:tab/>
      </w:r>
      <w:r>
        <w:rPr>
          <w:snapToGrid w:val="0"/>
          <w:spacing w:val="-4"/>
        </w:rPr>
        <w:t>(2)</w:t>
      </w:r>
      <w:r>
        <w:rPr>
          <w:snapToGrid w:val="0"/>
        </w:rPr>
        <w:tab/>
        <w:t xml:space="preserve">The </w:t>
      </w:r>
      <w:r>
        <w:t>total contribution under subrule (1) is to</w:t>
      </w:r>
      <w:r>
        <w:rPr>
          <w:snapToGrid w:val="0"/>
        </w:rPr>
        <w:t xml:space="preserve"> be divided so that —</w:t>
      </w:r>
    </w:p>
    <w:p>
      <w:pPr>
        <w:pStyle w:val="Indenta"/>
        <w:rPr>
          <w:snapToGrid w:val="0"/>
        </w:rPr>
      </w:pPr>
      <w:r>
        <w:rPr>
          <w:snapToGrid w:val="0"/>
        </w:rPr>
        <w:tab/>
        <w:t>(a)</w:t>
      </w:r>
      <w:r>
        <w:rPr>
          <w:snapToGrid w:val="0"/>
        </w:rPr>
        <w:tab/>
      </w:r>
      <w:r>
        <w:t xml:space="preserve">not less than 55% </w:t>
      </w:r>
      <w:r>
        <w:rPr>
          <w:snapToGrid w:val="0"/>
        </w:rPr>
        <w:t xml:space="preserve">of the Commission’s subscriptions go towards the </w:t>
      </w:r>
      <w:r>
        <w:t xml:space="preserve">Lotto Bloc’s </w:t>
      </w:r>
      <w:r>
        <w:rPr>
          <w:snapToGrid w:val="0"/>
        </w:rPr>
        <w:t>prize pool; and</w:t>
      </w:r>
    </w:p>
    <w:p>
      <w:pPr>
        <w:pStyle w:val="Indenta"/>
        <w:rPr>
          <w:snapToGrid w:val="0"/>
        </w:rPr>
      </w:pPr>
      <w:r>
        <w:rPr>
          <w:snapToGrid w:val="0"/>
        </w:rPr>
        <w:tab/>
        <w:t>(b)</w:t>
      </w:r>
      <w:r>
        <w:rPr>
          <w:snapToGrid w:val="0"/>
        </w:rPr>
        <w:tab/>
        <w:t xml:space="preserve">the </w:t>
      </w:r>
      <w:r>
        <w:t>balance of the contribution</w:t>
      </w:r>
      <w:r>
        <w:rPr>
          <w:snapToGrid w:val="0"/>
        </w:rPr>
        <w:t xml:space="preserve"> goes towards the </w:t>
      </w:r>
      <w:r>
        <w:t xml:space="preserve">Lotto Bloc’s </w:t>
      </w:r>
      <w:r>
        <w:rPr>
          <w:snapToGrid w:val="0"/>
        </w:rPr>
        <w:t>prize reserve fund.</w:t>
      </w:r>
    </w:p>
    <w:p>
      <w:pPr>
        <w:pStyle w:val="Subsection"/>
      </w:pPr>
      <w:r>
        <w:tab/>
        <w:t>(3)</w:t>
      </w:r>
      <w:r>
        <w:tab/>
        <w:t>The prize reserve fund may only be distributed as additional prize money or promotional prizes, in such amounts and in such OZ Lotto draws, as are agreed by the Lotto Bloc members.</w:t>
      </w:r>
    </w:p>
    <w:p>
      <w:pPr>
        <w:pStyle w:val="Footnotesection"/>
      </w:pPr>
      <w:r>
        <w:tab/>
        <w:t>[Rule 77 amended: Gazette 4 Oct 2017 p. 5126</w:t>
      </w:r>
      <w:r>
        <w:noBreakHyphen/>
        <w:t>7.]</w:t>
      </w:r>
    </w:p>
    <w:p>
      <w:pPr>
        <w:pStyle w:val="Heading3"/>
      </w:pPr>
      <w:bookmarkStart w:id="298" w:name="_Toc34139535"/>
      <w:bookmarkStart w:id="299" w:name="_Toc34139747"/>
      <w:bookmarkStart w:id="300" w:name="_Toc34147924"/>
      <w:bookmarkStart w:id="301" w:name="_Toc34207477"/>
      <w:bookmarkStart w:id="302" w:name="_Toc34291472"/>
      <w:bookmarkStart w:id="303" w:name="_Toc25657380"/>
      <w:bookmarkStart w:id="304" w:name="_Toc25760846"/>
      <w:bookmarkStart w:id="305" w:name="_Toc25761175"/>
      <w:r>
        <w:rPr>
          <w:rStyle w:val="CharDivNo"/>
        </w:rPr>
        <w:t>Division 3</w:t>
      </w:r>
      <w:r>
        <w:t> — </w:t>
      </w:r>
      <w:r>
        <w:rPr>
          <w:rStyle w:val="CharDivText"/>
        </w:rPr>
        <w:t>OZ Lotto draw</w:t>
      </w:r>
      <w:bookmarkEnd w:id="298"/>
      <w:bookmarkEnd w:id="299"/>
      <w:bookmarkEnd w:id="300"/>
      <w:bookmarkEnd w:id="301"/>
      <w:bookmarkEnd w:id="302"/>
      <w:bookmarkEnd w:id="303"/>
      <w:bookmarkEnd w:id="304"/>
      <w:bookmarkEnd w:id="305"/>
    </w:p>
    <w:p>
      <w:pPr>
        <w:pStyle w:val="Heading5"/>
        <w:rPr>
          <w:snapToGrid w:val="0"/>
        </w:rPr>
      </w:pPr>
      <w:bookmarkStart w:id="306" w:name="_Toc34291473"/>
      <w:bookmarkStart w:id="307" w:name="_Toc25761176"/>
      <w:r>
        <w:rPr>
          <w:rStyle w:val="CharSectno"/>
        </w:rPr>
        <w:t>78</w:t>
      </w:r>
      <w:r>
        <w:t>.</w:t>
      </w:r>
      <w:r>
        <w:tab/>
        <w:t>N</w:t>
      </w:r>
      <w:r>
        <w:rPr>
          <w:snapToGrid w:val="0"/>
        </w:rPr>
        <w:t>ature of an OZ Lotto draw</w:t>
      </w:r>
      <w:bookmarkEnd w:id="306"/>
      <w:bookmarkEnd w:id="307"/>
    </w:p>
    <w:p>
      <w:pPr>
        <w:pStyle w:val="Subsection"/>
        <w:rPr>
          <w:snapToGrid w:val="0"/>
        </w:rPr>
      </w:pPr>
      <w:r>
        <w:rPr>
          <w:snapToGrid w:val="0"/>
        </w:rPr>
        <w:tab/>
      </w:r>
      <w:r>
        <w:rPr>
          <w:snapToGrid w:val="0"/>
        </w:rPr>
        <w:tab/>
        <w:t>An OZ L</w:t>
      </w:r>
      <w:r>
        <w:t>otto draw involves the mechanical, equally random selection of 9 numbered balls (7 winning numbered balls and 2 supplementary numbered balls) from balls individually numbered from 1 to 45 inclusive, in a manner and using such equipment as the Commission or a designated authority determines.</w:t>
      </w:r>
    </w:p>
    <w:p>
      <w:pPr>
        <w:pStyle w:val="Footnotesection"/>
      </w:pPr>
      <w:r>
        <w:tab/>
        <w:t>[Rule 78 amended: Gazette 4 Oct 2017 p. 5127.]</w:t>
      </w:r>
    </w:p>
    <w:p>
      <w:pPr>
        <w:pStyle w:val="Heading5"/>
      </w:pPr>
      <w:bookmarkStart w:id="308" w:name="_Toc34291474"/>
      <w:bookmarkStart w:id="309" w:name="_Toc25761177"/>
      <w:r>
        <w:rPr>
          <w:rStyle w:val="CharSectno"/>
        </w:rPr>
        <w:t>79</w:t>
      </w:r>
      <w:r>
        <w:t>.</w:t>
      </w:r>
      <w:r>
        <w:tab/>
        <w:t>Criteria for winning</w:t>
      </w:r>
      <w:bookmarkEnd w:id="308"/>
      <w:bookmarkEnd w:id="309"/>
    </w:p>
    <w:p>
      <w:pPr>
        <w:pStyle w:val="Subsection"/>
      </w:pPr>
      <w:r>
        <w:tab/>
      </w:r>
      <w:r>
        <w:tab/>
        <w:t>In an OZ Lotto draw the holder of a receipted ticket or the purchaser of an entry under Part 2 Division 5 of these rules wins —</w:t>
      </w:r>
    </w:p>
    <w:p>
      <w:pPr>
        <w:pStyle w:val="Indenta"/>
      </w:pPr>
      <w:r>
        <w:tab/>
      </w:r>
      <w:r>
        <w:rPr>
          <w:snapToGrid w:val="0"/>
        </w:rPr>
        <w:t>(a)</w:t>
      </w:r>
      <w:r>
        <w:tab/>
        <w:t>division 1, if all 7 winning numbers;</w:t>
      </w:r>
    </w:p>
    <w:p>
      <w:pPr>
        <w:pStyle w:val="Indenta"/>
      </w:pPr>
      <w:r>
        <w:tab/>
      </w:r>
      <w:r>
        <w:rPr>
          <w:snapToGrid w:val="0"/>
        </w:rPr>
        <w:t>(b)</w:t>
      </w:r>
      <w:r>
        <w:tab/>
        <w:t>division 2, if any 6 winning numbers and a supplementary number;</w:t>
      </w:r>
    </w:p>
    <w:p>
      <w:pPr>
        <w:pStyle w:val="Indenta"/>
      </w:pPr>
      <w:r>
        <w:tab/>
      </w:r>
      <w:r>
        <w:rPr>
          <w:snapToGrid w:val="0"/>
        </w:rPr>
        <w:t>(c)</w:t>
      </w:r>
      <w:r>
        <w:tab/>
        <w:t>division 3, if any 6 winning numbers;</w:t>
      </w:r>
    </w:p>
    <w:p>
      <w:pPr>
        <w:pStyle w:val="Indenta"/>
      </w:pPr>
      <w:r>
        <w:tab/>
      </w:r>
      <w:r>
        <w:rPr>
          <w:snapToGrid w:val="0"/>
        </w:rPr>
        <w:t>(d)</w:t>
      </w:r>
      <w:r>
        <w:tab/>
        <w:t>division 4, if any 5 winning numbers and a supplementary number;</w:t>
      </w:r>
    </w:p>
    <w:p>
      <w:pPr>
        <w:pStyle w:val="Indenta"/>
      </w:pPr>
      <w:r>
        <w:tab/>
      </w:r>
      <w:r>
        <w:rPr>
          <w:snapToGrid w:val="0"/>
        </w:rPr>
        <w:t>(e)</w:t>
      </w:r>
      <w:r>
        <w:tab/>
        <w:t>division 5, if any 5 winning numbers;</w:t>
      </w:r>
    </w:p>
    <w:p>
      <w:pPr>
        <w:pStyle w:val="Indenta"/>
      </w:pPr>
      <w:r>
        <w:tab/>
      </w:r>
      <w:r>
        <w:rPr>
          <w:snapToGrid w:val="0"/>
        </w:rPr>
        <w:t>(f)</w:t>
      </w:r>
      <w:r>
        <w:tab/>
        <w:t>division 6, if any 4 winning numbers;</w:t>
      </w:r>
    </w:p>
    <w:p>
      <w:pPr>
        <w:pStyle w:val="Indenta"/>
      </w:pPr>
      <w:r>
        <w:tab/>
      </w:r>
      <w:r>
        <w:rPr>
          <w:snapToGrid w:val="0"/>
        </w:rPr>
        <w:t>(g)</w:t>
      </w:r>
      <w:r>
        <w:tab/>
        <w:t>division 7, if any 3 winning numbers and a supplementary number,</w:t>
      </w:r>
    </w:p>
    <w:p>
      <w:pPr>
        <w:pStyle w:val="Subsection"/>
      </w:pPr>
      <w:r>
        <w:tab/>
      </w:r>
      <w:r>
        <w:tab/>
        <w:t>are selected in the one game.</w:t>
      </w:r>
    </w:p>
    <w:p>
      <w:pPr>
        <w:pStyle w:val="Heading5"/>
        <w:rPr>
          <w:snapToGrid w:val="0"/>
        </w:rPr>
      </w:pPr>
      <w:bookmarkStart w:id="310" w:name="_Toc34291475"/>
      <w:bookmarkStart w:id="311" w:name="_Toc25761178"/>
      <w:r>
        <w:rPr>
          <w:rStyle w:val="CharSectno"/>
        </w:rPr>
        <w:t>80</w:t>
      </w:r>
      <w:r>
        <w:rPr>
          <w:snapToGrid w:val="0"/>
        </w:rPr>
        <w:t>.</w:t>
      </w:r>
      <w:r>
        <w:rPr>
          <w:snapToGrid w:val="0"/>
        </w:rPr>
        <w:tab/>
        <w:t>Only one prize per game except for system entries</w:t>
      </w:r>
      <w:bookmarkEnd w:id="310"/>
      <w:bookmarkEnd w:id="311"/>
    </w:p>
    <w:p>
      <w:pPr>
        <w:pStyle w:val="Subsection"/>
      </w:pPr>
      <w:r>
        <w:tab/>
        <w:t>(1)</w:t>
      </w:r>
      <w:r>
        <w:tab/>
        <w:t>The holder of a receipted ticket which contains, or the purchaser of an entry under Part 2 Division 5 of these rules which comprises, a system entry may claim a prize in one division for each notional game making up that system entry, resulting in prizes in more than one division for that entry.</w:t>
      </w:r>
    </w:p>
    <w:p>
      <w:pPr>
        <w:pStyle w:val="Ednotesubsection"/>
      </w:pPr>
      <w:r>
        <w:tab/>
        <w:t>[(2)</w:t>
      </w:r>
      <w:r>
        <w:tab/>
        <w:t>deleted]</w:t>
      </w:r>
    </w:p>
    <w:p>
      <w:pPr>
        <w:pStyle w:val="Subsection"/>
        <w:rPr>
          <w:rStyle w:val="DraftersNotes"/>
          <w:b w:val="0"/>
          <w:i w:val="0"/>
          <w:sz w:val="24"/>
        </w:rPr>
      </w:pPr>
      <w:r>
        <w:tab/>
      </w:r>
      <w:r>
        <w:rPr>
          <w:snapToGrid w:val="0"/>
          <w:spacing w:val="-4"/>
        </w:rPr>
        <w:t>(3)</w:t>
      </w:r>
      <w:r>
        <w:tab/>
        <w:t>The holders of a syndicate share receipted ticket which contains a system entry may claim a share in a prize in one division for each notional game making up that system entry, resulting in shares in prizes in more than one division for that entry.</w:t>
      </w:r>
    </w:p>
    <w:p>
      <w:pPr>
        <w:pStyle w:val="Footnotesection"/>
      </w:pPr>
      <w:r>
        <w:tab/>
        <w:t>[Rule 80 amended: Gazette 4 Oct 2017 p. 5128.]</w:t>
      </w:r>
    </w:p>
    <w:p>
      <w:pPr>
        <w:pStyle w:val="Heading5"/>
        <w:rPr>
          <w:snapToGrid w:val="0"/>
        </w:rPr>
      </w:pPr>
      <w:bookmarkStart w:id="312" w:name="_Toc34291476"/>
      <w:bookmarkStart w:id="313" w:name="_Toc25761179"/>
      <w:r>
        <w:rPr>
          <w:rStyle w:val="CharSectno"/>
        </w:rPr>
        <w:t>81</w:t>
      </w:r>
      <w:r>
        <w:rPr>
          <w:snapToGrid w:val="0"/>
        </w:rPr>
        <w:t>.</w:t>
      </w:r>
      <w:r>
        <w:rPr>
          <w:snapToGrid w:val="0"/>
        </w:rPr>
        <w:tab/>
        <w:t>Distribution of prize pool</w:t>
      </w:r>
      <w:bookmarkEnd w:id="312"/>
      <w:bookmarkEnd w:id="313"/>
    </w:p>
    <w:p>
      <w:pPr>
        <w:pStyle w:val="Subsection"/>
      </w:pPr>
      <w:r>
        <w:tab/>
        <w:t>(1)</w:t>
      </w:r>
      <w:r>
        <w:tab/>
        <w:t>If no one wins a division 1 prize in a particular OZ Lotto draw, then the division 1 prize pool for that draw (calculated without any prize reserve fund augmentation) is to be added to, and then forms part of, the division 1 prize pool for the next OZ Lotto draw.</w:t>
      </w:r>
    </w:p>
    <w:p>
      <w:pPr>
        <w:pStyle w:val="Subsection"/>
        <w:rPr>
          <w:snapToGrid w:val="0"/>
        </w:rPr>
      </w:pPr>
      <w:r>
        <w:rPr>
          <w:snapToGrid w:val="0"/>
        </w:rPr>
        <w:tab/>
      </w:r>
      <w:r>
        <w:rPr>
          <w:snapToGrid w:val="0"/>
          <w:spacing w:val="-4"/>
        </w:rPr>
        <w:t>(2)</w:t>
      </w:r>
      <w:r>
        <w:rPr>
          <w:snapToGrid w:val="0"/>
        </w:rPr>
        <w:tab/>
        <w:t>Where there is no OZ Lotto division 1 prize winner for 26 consecutive OZ Lotto draws, the Commission must allocate the accumulated division 1 prize pool in the 26th OZ Lotto draw to the prize pool for the division 2 winners in that OZ Lotto draw.</w:t>
      </w:r>
    </w:p>
    <w:p>
      <w:pPr>
        <w:pStyle w:val="Subsection"/>
        <w:rPr>
          <w:snapToGrid w:val="0"/>
        </w:rPr>
      </w:pPr>
      <w:r>
        <w:rPr>
          <w:snapToGrid w:val="0"/>
        </w:rPr>
        <w:tab/>
      </w:r>
      <w:r>
        <w:rPr>
          <w:snapToGrid w:val="0"/>
          <w:spacing w:val="-4"/>
        </w:rPr>
        <w:t>(3)</w:t>
      </w:r>
      <w:r>
        <w:rPr>
          <w:snapToGrid w:val="0"/>
        </w:rPr>
        <w:tab/>
        <w:t xml:space="preserve">If an OZ Lotto division 1 prize pool is distributed to division 2 winners, the prize money is still treated as a division 1 prize for the purposes of </w:t>
      </w:r>
      <w:r>
        <w:t>claiming and payment of prizes.</w:t>
      </w:r>
    </w:p>
    <w:p>
      <w:pPr>
        <w:pStyle w:val="Footnotesection"/>
      </w:pPr>
      <w:r>
        <w:tab/>
        <w:t>[Rule 81 amended: Gazette 4 Oct 2017 p. 5128.]</w:t>
      </w:r>
    </w:p>
    <w:p>
      <w:pPr>
        <w:pStyle w:val="Heading5"/>
        <w:rPr>
          <w:snapToGrid w:val="0"/>
        </w:rPr>
      </w:pPr>
      <w:bookmarkStart w:id="314" w:name="_Toc34291477"/>
      <w:bookmarkStart w:id="315" w:name="_Toc25761180"/>
      <w:r>
        <w:rPr>
          <w:rStyle w:val="CharSectno"/>
        </w:rPr>
        <w:t>82</w:t>
      </w:r>
      <w:r>
        <w:rPr>
          <w:snapToGrid w:val="0"/>
        </w:rPr>
        <w:t>.</w:t>
      </w:r>
      <w:r>
        <w:rPr>
          <w:snapToGrid w:val="0"/>
        </w:rPr>
        <w:tab/>
        <w:t>Application of prize pool if divisions 2 to 6 prize not won</w:t>
      </w:r>
      <w:bookmarkEnd w:id="314"/>
      <w:bookmarkEnd w:id="315"/>
    </w:p>
    <w:p>
      <w:pPr>
        <w:pStyle w:val="Subsection"/>
        <w:rPr>
          <w:snapToGrid w:val="0"/>
        </w:rPr>
      </w:pPr>
      <w:r>
        <w:rPr>
          <w:snapToGrid w:val="0"/>
        </w:rPr>
        <w:tab/>
      </w:r>
      <w:r>
        <w:rPr>
          <w:snapToGrid w:val="0"/>
        </w:rPr>
        <w:tab/>
        <w:t xml:space="preserve">If no </w:t>
      </w:r>
      <w:r>
        <w:t>one</w:t>
      </w:r>
      <w:r>
        <w:rPr>
          <w:snapToGrid w:val="0"/>
        </w:rPr>
        <w:t xml:space="preserve"> wins a prize in division 2, 3, 4, </w:t>
      </w:r>
      <w:r>
        <w:t>5 or 6</w:t>
      </w:r>
      <w:r>
        <w:rPr>
          <w:snapToGrid w:val="0"/>
        </w:rPr>
        <w:t xml:space="preserve"> in a particular OZ Lotto draw, then the prize pool for that division is to be added to the prize pool for the next lower division in which there is at least one winner in that OZ Lotto draw.</w:t>
      </w:r>
    </w:p>
    <w:p>
      <w:pPr>
        <w:pStyle w:val="Heading5"/>
        <w:rPr>
          <w:snapToGrid w:val="0"/>
        </w:rPr>
      </w:pPr>
      <w:bookmarkStart w:id="316" w:name="_Toc34291478"/>
      <w:bookmarkStart w:id="317" w:name="_Toc25761181"/>
      <w:r>
        <w:rPr>
          <w:rStyle w:val="CharSectno"/>
        </w:rPr>
        <w:t>83</w:t>
      </w:r>
      <w:r>
        <w:rPr>
          <w:snapToGrid w:val="0"/>
        </w:rPr>
        <w:t>.</w:t>
      </w:r>
      <w:r>
        <w:rPr>
          <w:snapToGrid w:val="0"/>
        </w:rPr>
        <w:tab/>
        <w:t>Bonus draws and guaranteed prize pools for division 1</w:t>
      </w:r>
      <w:bookmarkEnd w:id="316"/>
      <w:bookmarkEnd w:id="317"/>
    </w:p>
    <w:p>
      <w:pPr>
        <w:pStyle w:val="Subsection"/>
        <w:rPr>
          <w:snapToGrid w:val="0"/>
        </w:rPr>
      </w:pPr>
      <w:r>
        <w:rPr>
          <w:snapToGrid w:val="0"/>
        </w:rPr>
        <w:tab/>
      </w:r>
      <w:r>
        <w:rPr>
          <w:snapToGrid w:val="0"/>
          <w:spacing w:val="-4"/>
        </w:rPr>
        <w:t>(1)</w:t>
      </w:r>
      <w:r>
        <w:rPr>
          <w:snapToGrid w:val="0"/>
        </w:rPr>
        <w:tab/>
        <w:t>The Commission may from time to time declare an OZ Lotto draw to be a bonus draw and fix a minimum guaranteed prize pool for division 1 in that draw.</w:t>
      </w:r>
    </w:p>
    <w:p>
      <w:pPr>
        <w:pStyle w:val="Subsection"/>
        <w:rPr>
          <w:snapToGrid w:val="0"/>
        </w:rPr>
      </w:pPr>
      <w:r>
        <w:rPr>
          <w:snapToGrid w:val="0"/>
        </w:rPr>
        <w:tab/>
      </w:r>
      <w:r>
        <w:rPr>
          <w:snapToGrid w:val="0"/>
          <w:spacing w:val="-4"/>
        </w:rPr>
        <w:t>(2)</w:t>
      </w:r>
      <w:r>
        <w:rPr>
          <w:snapToGrid w:val="0"/>
        </w:rPr>
        <w:tab/>
        <w:t>The Commission may add all or part of the prize reserve fund to the division 1 prize pool in a bonus draw to increase the division 1 prize pool to the guaranteed amount and any amount so added forms part of that prize pool.</w:t>
      </w:r>
    </w:p>
    <w:p>
      <w:pPr>
        <w:pStyle w:val="Subsection"/>
      </w:pPr>
      <w:r>
        <w:tab/>
        <w:t>(3)</w:t>
      </w:r>
      <w:r>
        <w:tab/>
        <w:t>Where a bonus draw is declared under this rule, and a jackpot division 1 prize coincides with that draw, the Commission may elect to reduce the augmentation from the prize reserve fund set out in subrule (2) by the amount of the jackpot.</w:t>
      </w:r>
    </w:p>
    <w:p>
      <w:pPr>
        <w:pStyle w:val="Subsection"/>
        <w:rPr>
          <w:snapToGrid w:val="0"/>
        </w:rPr>
      </w:pPr>
      <w:r>
        <w:tab/>
        <w:t>(4)</w:t>
      </w:r>
      <w:r>
        <w:tab/>
      </w:r>
      <w:r>
        <w:rPr>
          <w:snapToGrid w:val="0"/>
        </w:rPr>
        <w:t xml:space="preserve">If — </w:t>
      </w:r>
    </w:p>
    <w:p>
      <w:pPr>
        <w:pStyle w:val="Indenta"/>
        <w:rPr>
          <w:snapToGrid w:val="0"/>
        </w:rPr>
      </w:pPr>
      <w:r>
        <w:tab/>
        <w:t>(a)</w:t>
      </w:r>
      <w:r>
        <w:tab/>
      </w:r>
      <w:r>
        <w:rPr>
          <w:snapToGrid w:val="0"/>
        </w:rPr>
        <w:t>no one wins a division 1 prize in a bonus draw; and</w:t>
      </w:r>
    </w:p>
    <w:p>
      <w:pPr>
        <w:pStyle w:val="Indenta"/>
        <w:rPr>
          <w:snapToGrid w:val="0"/>
        </w:rPr>
      </w:pPr>
      <w:r>
        <w:tab/>
        <w:t>(b)</w:t>
      </w:r>
      <w:r>
        <w:tab/>
      </w:r>
      <w:r>
        <w:rPr>
          <w:snapToGrid w:val="0"/>
        </w:rPr>
        <w:t>all or part of the prize reserve fund would have to have been used to increase the division 1 prize pool to a guaranteed amount had there been a division 1 winner,</w:t>
      </w:r>
    </w:p>
    <w:p>
      <w:pPr>
        <w:pStyle w:val="Subsection"/>
        <w:rPr>
          <w:snapToGrid w:val="0"/>
        </w:rPr>
      </w:pPr>
      <w:r>
        <w:rPr>
          <w:snapToGrid w:val="0"/>
        </w:rPr>
        <w:tab/>
      </w:r>
      <w:r>
        <w:rPr>
          <w:snapToGrid w:val="0"/>
        </w:rPr>
        <w:tab/>
        <w:t>the amount of the reserve that would have been so used is to be returned to the prize reserve fund and is not to be counted when calculating the jackpot prize pool for the next OZ Lotto draw.</w:t>
      </w:r>
    </w:p>
    <w:p>
      <w:pPr>
        <w:pStyle w:val="Footnotesection"/>
      </w:pPr>
      <w:r>
        <w:tab/>
        <w:t>[Rule 83 amended: Gazette 4 Oct 2017 p. 5128</w:t>
      </w:r>
      <w:r>
        <w:noBreakHyphen/>
        <w:t>9.]</w:t>
      </w:r>
    </w:p>
    <w:p>
      <w:pPr>
        <w:pStyle w:val="Heading5"/>
        <w:rPr>
          <w:snapToGrid w:val="0"/>
        </w:rPr>
      </w:pPr>
      <w:bookmarkStart w:id="318" w:name="_Toc34291479"/>
      <w:bookmarkStart w:id="319" w:name="_Toc25761182"/>
      <w:r>
        <w:rPr>
          <w:rStyle w:val="CharSectno"/>
        </w:rPr>
        <w:t>84</w:t>
      </w:r>
      <w:r>
        <w:rPr>
          <w:snapToGrid w:val="0"/>
        </w:rPr>
        <w:t>.</w:t>
      </w:r>
      <w:r>
        <w:rPr>
          <w:snapToGrid w:val="0"/>
        </w:rPr>
        <w:tab/>
        <w:t>Combination of jackpot and prize reserve amount to form single division 1 prize pool</w:t>
      </w:r>
      <w:bookmarkEnd w:id="318"/>
      <w:bookmarkEnd w:id="319"/>
    </w:p>
    <w:p>
      <w:pPr>
        <w:pStyle w:val="Subsection"/>
        <w:rPr>
          <w:snapToGrid w:val="0"/>
        </w:rPr>
      </w:pPr>
      <w:r>
        <w:rPr>
          <w:snapToGrid w:val="0"/>
        </w:rPr>
        <w:tab/>
      </w:r>
      <w:r>
        <w:rPr>
          <w:snapToGrid w:val="0"/>
        </w:rPr>
        <w:tab/>
        <w:t>If a jackpot is available for an OZ Lotto draw division 1 prize pool and an amount is to be distributed from the prize reserve fund for that OZ Lotto draw division 1 prize pool, then both amounts form a single OZ Lotto division 1 prize pool for the purposes of these rules.</w:t>
      </w:r>
    </w:p>
    <w:p>
      <w:pPr>
        <w:pStyle w:val="Heading5"/>
        <w:rPr>
          <w:snapToGrid w:val="0"/>
        </w:rPr>
      </w:pPr>
      <w:bookmarkStart w:id="320" w:name="_Toc34291480"/>
      <w:bookmarkStart w:id="321" w:name="_Toc25761183"/>
      <w:r>
        <w:rPr>
          <w:rStyle w:val="CharSectno"/>
        </w:rPr>
        <w:t>85</w:t>
      </w:r>
      <w:r>
        <w:rPr>
          <w:snapToGrid w:val="0"/>
        </w:rPr>
        <w:t>.</w:t>
      </w:r>
      <w:r>
        <w:rPr>
          <w:snapToGrid w:val="0"/>
        </w:rPr>
        <w:tab/>
        <w:t>Minimum division 1 prize pool may be guaranteed</w:t>
      </w:r>
      <w:bookmarkEnd w:id="320"/>
      <w:bookmarkEnd w:id="321"/>
    </w:p>
    <w:p>
      <w:pPr>
        <w:pStyle w:val="Subsection"/>
        <w:rPr>
          <w:snapToGrid w:val="0"/>
        </w:rPr>
      </w:pPr>
      <w:r>
        <w:rPr>
          <w:snapToGrid w:val="0"/>
        </w:rPr>
        <w:tab/>
      </w:r>
      <w:r>
        <w:rPr>
          <w:snapToGrid w:val="0"/>
          <w:spacing w:val="-4"/>
        </w:rPr>
        <w:t>(1)</w:t>
      </w:r>
      <w:r>
        <w:rPr>
          <w:snapToGrid w:val="0"/>
        </w:rPr>
        <w:tab/>
        <w:t>The Commission may from time to time guarantee that a minimum amount for an OZ Lotto draw division 1 prize pool will be available for a particular OZ Lotto draw.</w:t>
      </w:r>
    </w:p>
    <w:p>
      <w:pPr>
        <w:pStyle w:val="Subsection"/>
        <w:rPr>
          <w:snapToGrid w:val="0"/>
        </w:rPr>
      </w:pPr>
      <w:r>
        <w:rPr>
          <w:snapToGrid w:val="0"/>
        </w:rPr>
        <w:tab/>
      </w:r>
      <w:r>
        <w:rPr>
          <w:snapToGrid w:val="0"/>
          <w:spacing w:val="-4"/>
        </w:rPr>
        <w:t>(2)</w:t>
      </w:r>
      <w:r>
        <w:rPr>
          <w:snapToGrid w:val="0"/>
        </w:rPr>
        <w:tab/>
        <w:t>If a minimum OZ Lotto draw division 1 prize pool is guaranteed for a particular OZ Lotto draw, and the Commission is obliged to contribute an amount to that division 1 prize pool to make up the guaranteed minimum, then the extra amount contributed is not to be taken into account when calculating a jackpot prize pool.</w:t>
      </w:r>
    </w:p>
    <w:p>
      <w:pPr>
        <w:pStyle w:val="Heading2"/>
      </w:pPr>
      <w:bookmarkStart w:id="322" w:name="_Toc34139544"/>
      <w:bookmarkStart w:id="323" w:name="_Toc34139756"/>
      <w:bookmarkStart w:id="324" w:name="_Toc34147933"/>
      <w:bookmarkStart w:id="325" w:name="_Toc34207486"/>
      <w:bookmarkStart w:id="326" w:name="_Toc34291481"/>
      <w:bookmarkStart w:id="327" w:name="_Toc25657389"/>
      <w:bookmarkStart w:id="328" w:name="_Toc25760855"/>
      <w:bookmarkStart w:id="329" w:name="_Toc25761184"/>
      <w:r>
        <w:rPr>
          <w:rStyle w:val="CharPartNo"/>
        </w:rPr>
        <w:t>Part 6</w:t>
      </w:r>
      <w:r>
        <w:t> — </w:t>
      </w:r>
      <w:r>
        <w:rPr>
          <w:rStyle w:val="CharPartText"/>
        </w:rPr>
        <w:t>Powerball rules</w:t>
      </w:r>
      <w:bookmarkEnd w:id="322"/>
      <w:bookmarkEnd w:id="323"/>
      <w:bookmarkEnd w:id="324"/>
      <w:bookmarkEnd w:id="325"/>
      <w:bookmarkEnd w:id="326"/>
      <w:bookmarkEnd w:id="327"/>
      <w:bookmarkEnd w:id="328"/>
      <w:bookmarkEnd w:id="329"/>
    </w:p>
    <w:p>
      <w:pPr>
        <w:pStyle w:val="Heading3"/>
      </w:pPr>
      <w:bookmarkStart w:id="330" w:name="_Toc34139545"/>
      <w:bookmarkStart w:id="331" w:name="_Toc34139757"/>
      <w:bookmarkStart w:id="332" w:name="_Toc34147934"/>
      <w:bookmarkStart w:id="333" w:name="_Toc34207487"/>
      <w:bookmarkStart w:id="334" w:name="_Toc34291482"/>
      <w:bookmarkStart w:id="335" w:name="_Toc25657390"/>
      <w:bookmarkStart w:id="336" w:name="_Toc25760856"/>
      <w:bookmarkStart w:id="337" w:name="_Toc25761185"/>
      <w:r>
        <w:rPr>
          <w:rStyle w:val="CharDivNo"/>
        </w:rPr>
        <w:t>Division 1</w:t>
      </w:r>
      <w:r>
        <w:t> — </w:t>
      </w:r>
      <w:r>
        <w:rPr>
          <w:rStyle w:val="CharDivText"/>
        </w:rPr>
        <w:t>Requirements for entry</w:t>
      </w:r>
      <w:bookmarkEnd w:id="330"/>
      <w:bookmarkEnd w:id="331"/>
      <w:bookmarkEnd w:id="332"/>
      <w:bookmarkEnd w:id="333"/>
      <w:bookmarkEnd w:id="334"/>
      <w:bookmarkEnd w:id="335"/>
      <w:bookmarkEnd w:id="336"/>
      <w:bookmarkEnd w:id="337"/>
    </w:p>
    <w:p>
      <w:pPr>
        <w:pStyle w:val="Heading5"/>
      </w:pPr>
      <w:bookmarkStart w:id="338" w:name="_Toc34291483"/>
      <w:bookmarkStart w:id="339" w:name="_Toc25761186"/>
      <w:r>
        <w:rPr>
          <w:rStyle w:val="CharSectno"/>
        </w:rPr>
        <w:t>86</w:t>
      </w:r>
      <w:r>
        <w:t>.</w:t>
      </w:r>
      <w:r>
        <w:tab/>
        <w:t>Terms used</w:t>
      </w:r>
      <w:bookmarkEnd w:id="338"/>
      <w:bookmarkEnd w:id="339"/>
    </w:p>
    <w:p>
      <w:pPr>
        <w:pStyle w:val="Subsection"/>
        <w:rPr>
          <w:snapToGrid w:val="0"/>
        </w:rPr>
      </w:pPr>
      <w:r>
        <w:tab/>
      </w:r>
      <w:r>
        <w:tab/>
      </w:r>
      <w:r>
        <w:rPr>
          <w:snapToGrid w:val="0"/>
        </w:rPr>
        <w:t>In this Part —</w:t>
      </w:r>
    </w:p>
    <w:p>
      <w:pPr>
        <w:pStyle w:val="Defstart"/>
      </w:pPr>
      <w:r>
        <w:rPr>
          <w:b/>
        </w:rPr>
        <w:tab/>
      </w:r>
      <w:r>
        <w:rPr>
          <w:rStyle w:val="CharDefText"/>
        </w:rPr>
        <w:t>agent’s component</w:t>
      </w:r>
      <w:r>
        <w:t xml:space="preserve"> means that part of the entry cost (added to the subscription) calculated in accordance with the formula set out in Schedule 5 Division 1 that is payable to the agent;</w:t>
      </w:r>
    </w:p>
    <w:p>
      <w:pPr>
        <w:pStyle w:val="Defstart"/>
      </w:pPr>
      <w:r>
        <w:rPr>
          <w:b/>
        </w:rPr>
        <w:tab/>
      </w:r>
      <w:r>
        <w:rPr>
          <w:rStyle w:val="CharDefText"/>
        </w:rPr>
        <w:t>barrel A</w:t>
      </w:r>
      <w:r>
        <w:t xml:space="preserve"> means the barrel referred to in rule 91(a);</w:t>
      </w:r>
    </w:p>
    <w:p>
      <w:pPr>
        <w:pStyle w:val="Defstart"/>
      </w:pPr>
      <w:r>
        <w:tab/>
      </w:r>
      <w:r>
        <w:rPr>
          <w:rStyle w:val="CharDefText"/>
        </w:rPr>
        <w:t>barrel A selection</w:t>
      </w:r>
      <w:r>
        <w:t xml:space="preserve"> means one of the numbers — </w:t>
      </w:r>
    </w:p>
    <w:p>
      <w:pPr>
        <w:pStyle w:val="Defpara"/>
      </w:pPr>
      <w:r>
        <w:tab/>
        <w:t>(a)</w:t>
      </w:r>
      <w:r>
        <w:tab/>
        <w:t>selected in the group of numbers of a game board (labelled “PICK 7”); or</w:t>
      </w:r>
    </w:p>
    <w:p>
      <w:pPr>
        <w:pStyle w:val="Defpara"/>
      </w:pPr>
      <w:r>
        <w:tab/>
        <w:t>(b)</w:t>
      </w:r>
      <w:r>
        <w:tab/>
        <w:t>shown on the receipted ticket as a barrel A selection;</w:t>
      </w:r>
    </w:p>
    <w:p>
      <w:pPr>
        <w:pStyle w:val="Defstart"/>
      </w:pPr>
      <w:r>
        <w:rPr>
          <w:b/>
        </w:rPr>
        <w:tab/>
      </w:r>
      <w:r>
        <w:rPr>
          <w:rStyle w:val="CharDefText"/>
        </w:rPr>
        <w:t>barrel B</w:t>
      </w:r>
      <w:r>
        <w:t xml:space="preserve"> means the barrel referred to in rule 91(b);</w:t>
      </w:r>
    </w:p>
    <w:p>
      <w:pPr>
        <w:pStyle w:val="Defstart"/>
      </w:pPr>
      <w:r>
        <w:rPr>
          <w:b/>
        </w:rPr>
        <w:tab/>
      </w:r>
      <w:r>
        <w:rPr>
          <w:rStyle w:val="CharDefText"/>
        </w:rPr>
        <w:t>entry</w:t>
      </w:r>
      <w:r>
        <w:t xml:space="preserve"> means an entry as described in rule 4 or an entry as a result of redemption of a promotional coupon;</w:t>
      </w:r>
    </w:p>
    <w:p>
      <w:pPr>
        <w:pStyle w:val="Defstart"/>
      </w:pPr>
      <w:r>
        <w:tab/>
      </w:r>
      <w:r>
        <w:rPr>
          <w:rStyle w:val="CharDefText"/>
        </w:rPr>
        <w:t>game</w:t>
      </w:r>
      <w:r>
        <w:t xml:space="preserve"> means — </w:t>
      </w:r>
    </w:p>
    <w:p>
      <w:pPr>
        <w:pStyle w:val="Defpara"/>
      </w:pPr>
      <w:r>
        <w:tab/>
        <w:t>(a)</w:t>
      </w:r>
      <w:r>
        <w:tab/>
        <w:t>that part of an entry consisting of 7 barrel A selections and a Powerball selection; and</w:t>
      </w:r>
    </w:p>
    <w:p>
      <w:pPr>
        <w:pStyle w:val="Defpara"/>
      </w:pPr>
      <w:r>
        <w:tab/>
        <w:t>(b)</w:t>
      </w:r>
      <w:r>
        <w:tab/>
        <w:t>in relation to a simple Powerpik entry, that part of an entry consisting of 7 barrel A selections; and</w:t>
      </w:r>
    </w:p>
    <w:p>
      <w:pPr>
        <w:pStyle w:val="Defpara"/>
      </w:pPr>
      <w:r>
        <w:tab/>
        <w:t>(c)</w:t>
      </w:r>
      <w:r>
        <w:tab/>
        <w:t>in relation to a Powerpik or other system entry, one of the notional multiple games making up that system entry;</w:t>
      </w:r>
    </w:p>
    <w:p>
      <w:pPr>
        <w:pStyle w:val="Defstart"/>
      </w:pPr>
      <w:r>
        <w:rPr>
          <w:b/>
        </w:rPr>
        <w:tab/>
      </w:r>
      <w:r>
        <w:rPr>
          <w:rStyle w:val="CharDefText"/>
        </w:rPr>
        <w:t>game board</w:t>
      </w:r>
      <w:r>
        <w:t xml:space="preserve"> means a group of 2 sets of numbers made up of 1 to 35 and 1 to 20 set out on a playslip that may be filled out either physically or in digital form;</w:t>
      </w:r>
    </w:p>
    <w:p>
      <w:pPr>
        <w:pStyle w:val="Defstart"/>
      </w:pPr>
      <w:r>
        <w:rPr>
          <w:b/>
        </w:rPr>
        <w:tab/>
      </w:r>
      <w:r>
        <w:rPr>
          <w:rStyle w:val="CharDefText"/>
        </w:rPr>
        <w:t>Powerball draw</w:t>
      </w:r>
      <w:r>
        <w:t xml:space="preserve"> means a lotto draw conducted in accordance with rule 91 and supervised in accordance with rule 20;</w:t>
      </w:r>
    </w:p>
    <w:p>
      <w:pPr>
        <w:pStyle w:val="Defstart"/>
      </w:pPr>
      <w:r>
        <w:rPr>
          <w:b/>
        </w:rPr>
        <w:tab/>
      </w:r>
      <w:r>
        <w:rPr>
          <w:rStyle w:val="CharDefText"/>
        </w:rPr>
        <w:t>Powerball number</w:t>
      </w:r>
      <w:r>
        <w:t xml:space="preserve"> means the number on the winning ball drawn from barrel B as part of a Powerball draw;</w:t>
      </w:r>
    </w:p>
    <w:p>
      <w:pPr>
        <w:pStyle w:val="Defstart"/>
      </w:pPr>
      <w:r>
        <w:rPr>
          <w:b/>
        </w:rPr>
        <w:tab/>
      </w:r>
      <w:r>
        <w:rPr>
          <w:rStyle w:val="CharDefText"/>
        </w:rPr>
        <w:t>Powerball section</w:t>
      </w:r>
      <w:r>
        <w:t xml:space="preserve"> means the section of a playslip for a game of Powerball, containing the numbers 1 to 20;</w:t>
      </w:r>
    </w:p>
    <w:p>
      <w:pPr>
        <w:pStyle w:val="Defstart"/>
      </w:pPr>
      <w:r>
        <w:tab/>
      </w:r>
      <w:r>
        <w:rPr>
          <w:rStyle w:val="CharDefText"/>
        </w:rPr>
        <w:t>Powerball selection</w:t>
      </w:r>
      <w:r>
        <w:t xml:space="preserve"> means the number — </w:t>
      </w:r>
    </w:p>
    <w:p>
      <w:pPr>
        <w:pStyle w:val="Defpara"/>
      </w:pPr>
      <w:r>
        <w:tab/>
        <w:t>(a)</w:t>
      </w:r>
      <w:r>
        <w:tab/>
        <w:t>selected in the Powerball section (labelled “PICK 7”); or</w:t>
      </w:r>
    </w:p>
    <w:p>
      <w:pPr>
        <w:pStyle w:val="Defpara"/>
      </w:pPr>
      <w:r>
        <w:tab/>
        <w:t>(b)</w:t>
      </w:r>
      <w:r>
        <w:tab/>
        <w:t>shown on the receipted ticket as the Powerball selection;</w:t>
      </w:r>
    </w:p>
    <w:p>
      <w:pPr>
        <w:pStyle w:val="Defstart"/>
      </w:pPr>
      <w:r>
        <w:tab/>
      </w:r>
      <w:r>
        <w:rPr>
          <w:rStyle w:val="CharDefText"/>
        </w:rPr>
        <w:t>Powerpik</w:t>
      </w:r>
      <w:r>
        <w:t xml:space="preserve"> means — </w:t>
      </w:r>
    </w:p>
    <w:p>
      <w:pPr>
        <w:pStyle w:val="Defpara"/>
      </w:pPr>
      <w:r>
        <w:tab/>
        <w:t>(a)</w:t>
      </w:r>
      <w:r>
        <w:tab/>
        <w:t>a method of entry where 7 barrel A selections are made per entry, and all the barrel B selections are purchased for each entry; or</w:t>
      </w:r>
    </w:p>
    <w:p>
      <w:pPr>
        <w:pStyle w:val="Defpara"/>
      </w:pPr>
      <w:r>
        <w:tab/>
        <w:t>(b)</w:t>
      </w:r>
      <w:r>
        <w:tab/>
        <w:t>a method of system entry where all selections made are barrel A selections, and all the barrel B selections are purchased for each system entry;</w:t>
      </w:r>
    </w:p>
    <w:p>
      <w:pPr>
        <w:pStyle w:val="Defstart"/>
      </w:pPr>
      <w:r>
        <w:rPr>
          <w:b/>
        </w:rPr>
        <w:tab/>
      </w:r>
      <w:r>
        <w:rPr>
          <w:rStyle w:val="CharDefText"/>
        </w:rPr>
        <w:t>prize fund</w:t>
      </w:r>
      <w:r>
        <w:t xml:space="preserve"> means the fund maintained by the Lotto Bloc in accordance with the agreement referred to in rule 90(1) and consisting of the Powerball prize pool and the prize reserve fund;</w:t>
      </w:r>
    </w:p>
    <w:p>
      <w:pPr>
        <w:pStyle w:val="Defstart"/>
      </w:pPr>
      <w:r>
        <w:rPr>
          <w:b/>
        </w:rPr>
        <w:tab/>
      </w:r>
      <w:r>
        <w:rPr>
          <w:rStyle w:val="CharDefText"/>
        </w:rPr>
        <w:t>prize pool</w:t>
      </w:r>
      <w:r>
        <w:t xml:space="preserve"> means the prize pool referred to in rule 90(2)(a);</w:t>
      </w:r>
    </w:p>
    <w:p>
      <w:pPr>
        <w:pStyle w:val="Defstart"/>
      </w:pPr>
      <w:r>
        <w:rPr>
          <w:b/>
        </w:rPr>
        <w:tab/>
      </w:r>
      <w:r>
        <w:rPr>
          <w:rStyle w:val="CharDefText"/>
        </w:rPr>
        <w:t>prize reserve fund</w:t>
      </w:r>
      <w:r>
        <w:t xml:space="preserve"> means the fund referred to in rule 90(2)(b);</w:t>
      </w:r>
    </w:p>
    <w:p>
      <w:pPr>
        <w:pStyle w:val="Defstart"/>
      </w:pPr>
      <w:r>
        <w:rPr>
          <w:b/>
        </w:rPr>
        <w:tab/>
      </w:r>
      <w:r>
        <w:rPr>
          <w:rStyle w:val="CharDefText"/>
        </w:rPr>
        <w:t>total prize pool</w:t>
      </w:r>
      <w:r>
        <w:t xml:space="preserve"> means the prize pool for a Powerball draw, plus any jackpot amount from a previous draw and any amount that has been taken from the prize reserve fund under rule 96 to ensure that a guaranteed minimum division 1 prize pool is met (if it is won);</w:t>
      </w:r>
    </w:p>
    <w:p>
      <w:pPr>
        <w:pStyle w:val="Defstart"/>
      </w:pPr>
      <w:r>
        <w:tab/>
      </w:r>
      <w:r>
        <w:rPr>
          <w:rStyle w:val="CharDefText"/>
        </w:rPr>
        <w:t>validation period</w:t>
      </w:r>
      <w:r>
        <w:t xml:space="preserve"> means the period of time commencing at midnight on the day of determination of a Powerball draw’s results and ending at the close of business on the 14th day following that day (or on the business day preceding that 14th</w:t>
      </w:r>
      <w:r>
        <w:rPr>
          <w:vertAlign w:val="superscript"/>
        </w:rPr>
        <w:t> </w:t>
      </w:r>
      <w:r>
        <w:t>day, if the day falls on a public holiday);</w:t>
      </w:r>
    </w:p>
    <w:p>
      <w:pPr>
        <w:pStyle w:val="Defstart"/>
      </w:pPr>
      <w:r>
        <w:rPr>
          <w:b/>
        </w:rPr>
        <w:tab/>
      </w:r>
      <w:r>
        <w:rPr>
          <w:rStyle w:val="CharDefText"/>
        </w:rPr>
        <w:t>winning number</w:t>
      </w:r>
      <w:r>
        <w:t xml:space="preserve"> means any one of the 7 numbers drawn from barrel A in a Powerball draw.</w:t>
      </w:r>
    </w:p>
    <w:p>
      <w:pPr>
        <w:pStyle w:val="Footnotesection"/>
      </w:pPr>
      <w:r>
        <w:tab/>
        <w:t>[Rule 86 amended: Gazette 4 Oct 2017 p. 5129</w:t>
      </w:r>
      <w:r>
        <w:noBreakHyphen/>
        <w:t>30; 10 Apr 2018 p. 1250.]</w:t>
      </w:r>
    </w:p>
    <w:p>
      <w:pPr>
        <w:pStyle w:val="Ednotesection"/>
      </w:pPr>
      <w:r>
        <w:t>[</w:t>
      </w:r>
      <w:r>
        <w:rPr>
          <w:b/>
        </w:rPr>
        <w:t>87.</w:t>
      </w:r>
      <w:r>
        <w:tab/>
        <w:t>Deleted: Gazette 4 Oct 2017 p. 5130.]</w:t>
      </w:r>
    </w:p>
    <w:p>
      <w:pPr>
        <w:pStyle w:val="Heading5"/>
        <w:rPr>
          <w:snapToGrid w:val="0"/>
        </w:rPr>
      </w:pPr>
      <w:bookmarkStart w:id="340" w:name="_Toc34291484"/>
      <w:bookmarkStart w:id="341" w:name="_Toc25761187"/>
      <w:r>
        <w:rPr>
          <w:rStyle w:val="CharSectno"/>
        </w:rPr>
        <w:t>88</w:t>
      </w:r>
      <w:r>
        <w:t>.</w:t>
      </w:r>
      <w:r>
        <w:rPr>
          <w:snapToGrid w:val="0"/>
        </w:rPr>
        <w:tab/>
        <w:t>How to fill out a playslip</w:t>
      </w:r>
      <w:bookmarkEnd w:id="340"/>
      <w:bookmarkEnd w:id="341"/>
    </w:p>
    <w:p>
      <w:pPr>
        <w:pStyle w:val="Subsection"/>
        <w:rPr>
          <w:snapToGrid w:val="0"/>
        </w:rPr>
      </w:pPr>
      <w:r>
        <w:rPr>
          <w:snapToGrid w:val="0"/>
        </w:rPr>
        <w:tab/>
        <w:t>(1)</w:t>
      </w:r>
      <w:r>
        <w:rPr>
          <w:snapToGrid w:val="0"/>
        </w:rPr>
        <w:tab/>
        <w:t xml:space="preserve">To enter Powerball using </w:t>
      </w:r>
      <w:r>
        <w:t>a playslip,</w:t>
      </w:r>
      <w:r>
        <w:rPr>
          <w:snapToGrid w:val="0"/>
        </w:rPr>
        <w:t xml:space="preserve"> a subscriber must —</w:t>
      </w:r>
    </w:p>
    <w:p>
      <w:pPr>
        <w:pStyle w:val="Indenta"/>
        <w:rPr>
          <w:snapToGrid w:val="0"/>
        </w:rPr>
      </w:pPr>
      <w:r>
        <w:rPr>
          <w:snapToGrid w:val="0"/>
        </w:rPr>
        <w:tab/>
        <w:t>(a)</w:t>
      </w:r>
      <w:r>
        <w:rPr>
          <w:snapToGrid w:val="0"/>
        </w:rPr>
        <w:tab/>
        <w:t>select —</w:t>
      </w:r>
    </w:p>
    <w:p>
      <w:pPr>
        <w:pStyle w:val="Indenti"/>
        <w:rPr>
          <w:snapToGrid w:val="0"/>
        </w:rPr>
      </w:pPr>
      <w:r>
        <w:rPr>
          <w:snapToGrid w:val="0"/>
        </w:rPr>
        <w:tab/>
        <w:t>(i)</w:t>
      </w:r>
      <w:r>
        <w:rPr>
          <w:snapToGrid w:val="0"/>
        </w:rPr>
        <w:tab/>
        <w:t xml:space="preserve">7 numbers between 1 and 35 in the </w:t>
      </w:r>
      <w:r>
        <w:t xml:space="preserve">group of numbers of a game board; </w:t>
      </w:r>
      <w:r>
        <w:rPr>
          <w:snapToGrid w:val="0"/>
        </w:rPr>
        <w:t>and</w:t>
      </w:r>
    </w:p>
    <w:p>
      <w:pPr>
        <w:pStyle w:val="Indenti"/>
        <w:rPr>
          <w:snapToGrid w:val="0"/>
        </w:rPr>
      </w:pPr>
      <w:r>
        <w:rPr>
          <w:snapToGrid w:val="0"/>
        </w:rPr>
        <w:tab/>
        <w:t>(ii)</w:t>
      </w:r>
      <w:r>
        <w:rPr>
          <w:snapToGrid w:val="0"/>
        </w:rPr>
        <w:tab/>
        <w:t xml:space="preserve">one number between 1 and </w:t>
      </w:r>
      <w:r>
        <w:t>20</w:t>
      </w:r>
      <w:r>
        <w:rPr>
          <w:snapToGrid w:val="0"/>
        </w:rPr>
        <w:t xml:space="preserve"> in the Powerball</w:t>
      </w:r>
      <w:r>
        <w:t xml:space="preserve"> section of a game board,</w:t>
      </w:r>
    </w:p>
    <w:p>
      <w:pPr>
        <w:pStyle w:val="Indenta"/>
        <w:rPr>
          <w:snapToGrid w:val="0"/>
        </w:rPr>
      </w:pPr>
      <w:r>
        <w:rPr>
          <w:snapToGrid w:val="0"/>
        </w:rPr>
        <w:tab/>
      </w:r>
      <w:r>
        <w:rPr>
          <w:snapToGrid w:val="0"/>
        </w:rPr>
        <w:tab/>
        <w:t>in each of at least 2 game boards on the</w:t>
      </w:r>
      <w:r>
        <w:t xml:space="preserve"> playslip; or</w:t>
      </w:r>
    </w:p>
    <w:p>
      <w:pPr>
        <w:pStyle w:val="Indenta"/>
        <w:rPr>
          <w:snapToGrid w:val="0"/>
        </w:rPr>
      </w:pPr>
      <w:r>
        <w:rPr>
          <w:snapToGrid w:val="0"/>
        </w:rPr>
        <w:tab/>
        <w:t>(b)</w:t>
      </w:r>
      <w:r>
        <w:rPr>
          <w:snapToGrid w:val="0"/>
        </w:rPr>
        <w:tab/>
        <w:t>select —</w:t>
      </w:r>
    </w:p>
    <w:p>
      <w:pPr>
        <w:pStyle w:val="Indenti"/>
        <w:rPr>
          <w:snapToGrid w:val="0"/>
        </w:rPr>
      </w:pPr>
      <w:r>
        <w:rPr>
          <w:snapToGrid w:val="0"/>
        </w:rPr>
        <w:tab/>
        <w:t>(i)</w:t>
      </w:r>
      <w:r>
        <w:rPr>
          <w:snapToGrid w:val="0"/>
        </w:rPr>
        <w:tab/>
        <w:t xml:space="preserve">between 5 and 20 numbers (but not 7 numbers) between 1 and 35 in the </w:t>
      </w:r>
      <w:r>
        <w:t xml:space="preserve">group of numbers of a game board; </w:t>
      </w:r>
      <w:r>
        <w:rPr>
          <w:snapToGrid w:val="0"/>
        </w:rPr>
        <w:t>and</w:t>
      </w:r>
    </w:p>
    <w:p>
      <w:pPr>
        <w:pStyle w:val="Indenti"/>
        <w:rPr>
          <w:snapToGrid w:val="0"/>
        </w:rPr>
      </w:pPr>
      <w:r>
        <w:rPr>
          <w:snapToGrid w:val="0"/>
        </w:rPr>
        <w:tab/>
        <w:t>(ii)</w:t>
      </w:r>
      <w:r>
        <w:rPr>
          <w:snapToGrid w:val="0"/>
        </w:rPr>
        <w:tab/>
        <w:t xml:space="preserve">one number between 1 and </w:t>
      </w:r>
      <w:r>
        <w:t>20</w:t>
      </w:r>
      <w:r>
        <w:rPr>
          <w:snapToGrid w:val="0"/>
        </w:rPr>
        <w:t xml:space="preserve"> in the Powerball</w:t>
      </w:r>
      <w:r>
        <w:t xml:space="preserve"> section of a game board,</w:t>
      </w:r>
    </w:p>
    <w:p>
      <w:pPr>
        <w:pStyle w:val="Indenta"/>
        <w:rPr>
          <w:snapToGrid w:val="0"/>
        </w:rPr>
      </w:pPr>
      <w:r>
        <w:rPr>
          <w:snapToGrid w:val="0"/>
        </w:rPr>
        <w:tab/>
      </w:r>
      <w:r>
        <w:rPr>
          <w:snapToGrid w:val="0"/>
        </w:rPr>
        <w:tab/>
        <w:t>in one or more game boards on the</w:t>
      </w:r>
      <w:r>
        <w:t xml:space="preserve"> playslip; or</w:t>
      </w:r>
    </w:p>
    <w:p>
      <w:pPr>
        <w:pStyle w:val="Indenta"/>
      </w:pPr>
      <w:r>
        <w:tab/>
      </w:r>
      <w:r>
        <w:rPr>
          <w:snapToGrid w:val="0"/>
        </w:rPr>
        <w:t>(c)</w:t>
      </w:r>
      <w:r>
        <w:tab/>
        <w:t>indicate that one or more entries is to be a simple Powerpik entry and, for the indicated entry or entries, select 7 numbers between 1 and 35 in the group of numbers of a game board, in one or more game boards on the playslip; or</w:t>
      </w:r>
    </w:p>
    <w:p>
      <w:pPr>
        <w:pStyle w:val="Indenta"/>
        <w:rPr>
          <w:snapToGrid w:val="0"/>
        </w:rPr>
      </w:pPr>
      <w:r>
        <w:tab/>
      </w:r>
      <w:r>
        <w:rPr>
          <w:snapToGrid w:val="0"/>
        </w:rPr>
        <w:t>(d)</w:t>
      </w:r>
      <w:r>
        <w:tab/>
        <w:t>indicate that one or more entries is to be a Powerpik system entry and, for the indicated entry or entries, select 5 or 6 numbers, or 8 to 14 numbers, between 1 to 35 in the group of numbers of a game board, in one or more game boards on the playslip.</w:t>
      </w:r>
    </w:p>
    <w:p>
      <w:pPr>
        <w:pStyle w:val="Subsection"/>
        <w:rPr>
          <w:snapToGrid w:val="0"/>
        </w:rPr>
      </w:pPr>
      <w:r>
        <w:rPr>
          <w:snapToGrid w:val="0"/>
        </w:rPr>
        <w:tab/>
        <w:t>(2)</w:t>
      </w:r>
      <w:r>
        <w:rPr>
          <w:snapToGrid w:val="0"/>
        </w:rPr>
        <w:tab/>
        <w:t xml:space="preserve">The number selected in the Powerball section of a game board </w:t>
      </w:r>
      <w:r>
        <w:t xml:space="preserve">(for an entry that is not a Powerpik entry) </w:t>
      </w:r>
      <w:r>
        <w:rPr>
          <w:snapToGrid w:val="0"/>
        </w:rPr>
        <w:t xml:space="preserve">may be the same as one of the numbers selected in the </w:t>
      </w:r>
      <w:r>
        <w:t>group of numbers</w:t>
      </w:r>
      <w:r>
        <w:rPr>
          <w:snapToGrid w:val="0"/>
        </w:rPr>
        <w:t xml:space="preserve"> of that game board.</w:t>
      </w:r>
    </w:p>
    <w:p>
      <w:pPr>
        <w:pStyle w:val="Subsection"/>
      </w:pPr>
      <w:r>
        <w:tab/>
      </w:r>
      <w:r>
        <w:rPr>
          <w:snapToGrid w:val="0"/>
        </w:rPr>
        <w:t>(3)</w:t>
      </w:r>
      <w:r>
        <w:tab/>
        <w:t>A subscriber who has filled out a game board on a playslip in accordance with subrule (1)(b) may enter up to 11 further system entries on that playslip by selecting, in each further game board, the same number of barrel A selections as were selected in the first game board and one Powerball selection.</w:t>
      </w:r>
    </w:p>
    <w:p>
      <w:pPr>
        <w:pStyle w:val="Subsection"/>
      </w:pPr>
      <w:r>
        <w:tab/>
      </w:r>
      <w:r>
        <w:rPr>
          <w:snapToGrid w:val="0"/>
        </w:rPr>
        <w:t>(4)</w:t>
      </w:r>
      <w:r>
        <w:tab/>
        <w:t>A subscriber who has filled out a game board on a playslip in accordance with subrule (1)(d) may fill out up to 11 further Powerpik entries on that playslip by selecting, in each further game board, the same number of barrel A selections as were selected in the first game board.</w:t>
      </w:r>
    </w:p>
    <w:p>
      <w:pPr>
        <w:pStyle w:val="Subsection"/>
        <w:rPr>
          <w:snapToGrid w:val="0"/>
        </w:rPr>
      </w:pPr>
      <w:r>
        <w:rPr>
          <w:snapToGrid w:val="0"/>
        </w:rPr>
        <w:tab/>
        <w:t>(5)</w:t>
      </w:r>
      <w:r>
        <w:rPr>
          <w:snapToGrid w:val="0"/>
        </w:rPr>
        <w:tab/>
        <w:t xml:space="preserve">The </w:t>
      </w:r>
      <w:r>
        <w:t>subscriber</w:t>
      </w:r>
      <w:r>
        <w:rPr>
          <w:snapToGrid w:val="0"/>
        </w:rPr>
        <w:t xml:space="preserve"> must also mark in the appropriate boxes on the </w:t>
      </w:r>
      <w:r>
        <w:t>playslip</w:t>
      </w:r>
      <w:r>
        <w:rPr>
          <w:snapToGrid w:val="0"/>
        </w:rPr>
        <w:t> —</w:t>
      </w:r>
    </w:p>
    <w:p>
      <w:pPr>
        <w:pStyle w:val="Indenta"/>
      </w:pPr>
      <w:r>
        <w:tab/>
      </w:r>
      <w:r>
        <w:rPr>
          <w:snapToGrid w:val="0"/>
        </w:rPr>
        <w:t>(a)</w:t>
      </w:r>
      <w:r>
        <w:tab/>
        <w:t>whether the method of entry is a Powerpik entry; and</w:t>
      </w:r>
    </w:p>
    <w:p>
      <w:pPr>
        <w:pStyle w:val="Ednotepara"/>
      </w:pPr>
      <w:r>
        <w:tab/>
        <w:t>[(b)</w:t>
      </w:r>
      <w:r>
        <w:tab/>
        <w:t>deleted]</w:t>
      </w:r>
    </w:p>
    <w:p>
      <w:pPr>
        <w:pStyle w:val="Indenta"/>
      </w:pPr>
      <w:r>
        <w:tab/>
      </w:r>
      <w:r>
        <w:rPr>
          <w:snapToGrid w:val="0"/>
        </w:rPr>
        <w:t>(c)</w:t>
      </w:r>
      <w:r>
        <w:tab/>
        <w:t>whether the method of entry is a “system” entry, being either a system 5 or 6 or a system 8-20, depending on the number of barrel A selections in each completed game board.</w:t>
      </w:r>
    </w:p>
    <w:p>
      <w:pPr>
        <w:pStyle w:val="Subsection"/>
      </w:pPr>
      <w:r>
        <w:tab/>
        <w:t>(5A)</w:t>
      </w:r>
      <w:r>
        <w:tab/>
        <w:t>In addition to allowing an entry for a particular draw or draws, the Commission may allow a lotto entry to be for up to 10 consecutive weeks and, where offered, the subscriber must specify how many consecutive weeks they wish to enter.</w:t>
      </w:r>
    </w:p>
    <w:p>
      <w:pPr>
        <w:pStyle w:val="Subsection"/>
        <w:rPr>
          <w:snapToGrid w:val="0"/>
        </w:rPr>
      </w:pPr>
      <w:r>
        <w:rPr>
          <w:snapToGrid w:val="0"/>
        </w:rPr>
        <w:tab/>
        <w:t>(6)</w:t>
      </w:r>
      <w:r>
        <w:rPr>
          <w:snapToGrid w:val="0"/>
        </w:rPr>
        <w:tab/>
        <w:t xml:space="preserve">If a subscriber selects, in each completed game board on the </w:t>
      </w:r>
      <w:r>
        <w:t>playslip</w:t>
      </w:r>
      <w:r>
        <w:rPr>
          <w:snapToGrid w:val="0"/>
        </w:rPr>
        <w:t> —</w:t>
      </w:r>
    </w:p>
    <w:p>
      <w:pPr>
        <w:pStyle w:val="Indenta"/>
        <w:rPr>
          <w:snapToGrid w:val="0"/>
        </w:rPr>
      </w:pPr>
      <w:r>
        <w:rPr>
          <w:snapToGrid w:val="0"/>
        </w:rPr>
        <w:tab/>
        <w:t>(a)</w:t>
      </w:r>
      <w:r>
        <w:rPr>
          <w:snapToGrid w:val="0"/>
        </w:rPr>
        <w:tab/>
      </w:r>
      <w:r>
        <w:t>a selection from the Powerball barrel and</w:t>
      </w:r>
      <w:r>
        <w:rPr>
          <w:snapToGrid w:val="0"/>
        </w:rPr>
        <w:t xml:space="preserve"> 7 barrel A selections, the resulting receipted ticket constitutes one entry (made up of no fewer than 2 and no more than </w:t>
      </w:r>
      <w:r>
        <w:t>12</w:t>
      </w:r>
      <w:r>
        <w:rPr>
          <w:snapToGrid w:val="0"/>
        </w:rPr>
        <w:t> games) in Powerball; or</w:t>
      </w:r>
    </w:p>
    <w:p>
      <w:pPr>
        <w:pStyle w:val="Indenta"/>
        <w:rPr>
          <w:snapToGrid w:val="0"/>
        </w:rPr>
      </w:pPr>
      <w:r>
        <w:rPr>
          <w:snapToGrid w:val="0"/>
        </w:rPr>
        <w:tab/>
        <w:t>(b)</w:t>
      </w:r>
      <w:r>
        <w:rPr>
          <w:snapToGrid w:val="0"/>
        </w:rPr>
        <w:tab/>
      </w:r>
      <w:r>
        <w:t>a selection from the Powerball barrel and</w:t>
      </w:r>
      <w:r>
        <w:rPr>
          <w:snapToGrid w:val="0"/>
        </w:rPr>
        <w:t xml:space="preserve"> between 5 and 20 barrel A selections (but not 7 numbers), the resulting receipted ticket constitutes one entry in Powerball for each completed game board on the</w:t>
      </w:r>
      <w:r>
        <w:t xml:space="preserve"> playslip (</w:t>
      </w:r>
      <w:r>
        <w:rPr>
          <w:i/>
        </w:rPr>
        <w:t>i.e. a system entry</w:t>
      </w:r>
      <w:r>
        <w:t>).</w:t>
      </w:r>
    </w:p>
    <w:p>
      <w:pPr>
        <w:pStyle w:val="Subsection"/>
        <w:rPr>
          <w:snapToGrid w:val="0"/>
        </w:rPr>
      </w:pPr>
      <w:r>
        <w:rPr>
          <w:snapToGrid w:val="0"/>
        </w:rPr>
        <w:tab/>
        <w:t>(7)</w:t>
      </w:r>
      <w:r>
        <w:rPr>
          <w:snapToGrid w:val="0"/>
        </w:rPr>
        <w:tab/>
        <w:t xml:space="preserve">If a subscriber selects, in each completed game board on </w:t>
      </w:r>
      <w:r>
        <w:t>a playslip</w:t>
      </w:r>
      <w:r>
        <w:rPr>
          <w:snapToGrid w:val="0"/>
        </w:rPr>
        <w:t xml:space="preserve"> marked as a Powerpik entry between 5 and 14 barrel A selections, the resulting receipted ticket constitutes one Powerpik entry in Powerball for each completed game board on</w:t>
      </w:r>
      <w:r>
        <w:t xml:space="preserve"> the playslip.</w:t>
      </w:r>
    </w:p>
    <w:p>
      <w:pPr>
        <w:pStyle w:val="Subsection"/>
      </w:pPr>
      <w:r>
        <w:tab/>
        <w:t>(8)</w:t>
      </w:r>
      <w:r>
        <w:tab/>
        <w:t>A receipted ticket must be given to the subscriber upon payment of the amount calculated in accordance with Schedule 5 Division 1.</w:t>
      </w:r>
    </w:p>
    <w:p>
      <w:pPr>
        <w:pStyle w:val="Footnotesection"/>
      </w:pPr>
      <w:r>
        <w:tab/>
        <w:t>[Rule 88 amended: Gazette 4 Oct 2017 p. 5130</w:t>
      </w:r>
      <w:r>
        <w:noBreakHyphen/>
        <w:t>1; 10 Apr 2018 p. 1250.]</w:t>
      </w:r>
    </w:p>
    <w:p>
      <w:pPr>
        <w:pStyle w:val="Heading5"/>
        <w:rPr>
          <w:snapToGrid w:val="0"/>
        </w:rPr>
      </w:pPr>
      <w:bookmarkStart w:id="342" w:name="_Toc34291485"/>
      <w:bookmarkStart w:id="343" w:name="_Toc25761188"/>
      <w:r>
        <w:rPr>
          <w:rStyle w:val="CharSectno"/>
        </w:rPr>
        <w:t>89</w:t>
      </w:r>
      <w:r>
        <w:t>.</w:t>
      </w:r>
      <w:r>
        <w:rPr>
          <w:snapToGrid w:val="0"/>
        </w:rPr>
        <w:tab/>
        <w:t>Oral request for entry</w:t>
      </w:r>
      <w:bookmarkEnd w:id="342"/>
      <w:bookmarkEnd w:id="343"/>
    </w:p>
    <w:p>
      <w:pPr>
        <w:pStyle w:val="Subsection"/>
        <w:rPr>
          <w:snapToGrid w:val="0"/>
        </w:rPr>
      </w:pPr>
      <w:r>
        <w:rPr>
          <w:snapToGrid w:val="0"/>
        </w:rPr>
        <w:tab/>
        <w:t>(1)</w:t>
      </w:r>
      <w:r>
        <w:rPr>
          <w:snapToGrid w:val="0"/>
        </w:rPr>
        <w:tab/>
        <w:t xml:space="preserve">To enter Powerball without </w:t>
      </w:r>
      <w:r>
        <w:t xml:space="preserve">a playslip or a promotional coupon, and without requesting a ticket repeat or favourite numbers option, </w:t>
      </w:r>
      <w:r>
        <w:rPr>
          <w:snapToGrid w:val="0"/>
        </w:rPr>
        <w:t>a subscriber must make an oral request to an agent stating —</w:t>
      </w:r>
    </w:p>
    <w:p>
      <w:pPr>
        <w:pStyle w:val="Indenta"/>
        <w:rPr>
          <w:snapToGrid w:val="0"/>
        </w:rPr>
      </w:pPr>
      <w:r>
        <w:rPr>
          <w:snapToGrid w:val="0"/>
        </w:rPr>
        <w:tab/>
        <w:t>(a)</w:t>
      </w:r>
      <w:r>
        <w:rPr>
          <w:snapToGrid w:val="0"/>
        </w:rPr>
        <w:tab/>
        <w:t>that the entry is for Powerball; and</w:t>
      </w:r>
    </w:p>
    <w:p>
      <w:pPr>
        <w:pStyle w:val="Indenta"/>
        <w:rPr>
          <w:snapToGrid w:val="0"/>
        </w:rPr>
      </w:pPr>
      <w:r>
        <w:rPr>
          <w:snapToGrid w:val="0"/>
        </w:rPr>
        <w:tab/>
      </w:r>
      <w:r>
        <w:t>(b)</w:t>
      </w:r>
      <w:r>
        <w:rPr>
          <w:snapToGrid w:val="0"/>
        </w:rPr>
        <w:tab/>
        <w:t>which day or days that the entry is to be for; and</w:t>
      </w:r>
    </w:p>
    <w:p>
      <w:pPr>
        <w:pStyle w:val="Indenta"/>
        <w:keepNext/>
        <w:rPr>
          <w:snapToGrid w:val="0"/>
        </w:rPr>
      </w:pPr>
      <w:r>
        <w:rPr>
          <w:snapToGrid w:val="0"/>
        </w:rPr>
        <w:tab/>
        <w:t>(c)</w:t>
      </w:r>
      <w:r>
        <w:rPr>
          <w:snapToGrid w:val="0"/>
        </w:rPr>
        <w:tab/>
        <w:t>whether the subscriber wishes to select —</w:t>
      </w:r>
    </w:p>
    <w:p>
      <w:pPr>
        <w:pStyle w:val="Indenti"/>
        <w:rPr>
          <w:snapToGrid w:val="0"/>
        </w:rPr>
      </w:pPr>
      <w:r>
        <w:rPr>
          <w:snapToGrid w:val="0"/>
        </w:rPr>
        <w:tab/>
        <w:t>(i)</w:t>
      </w:r>
      <w:r>
        <w:rPr>
          <w:snapToGrid w:val="0"/>
        </w:rPr>
        <w:tab/>
        <w:t>7 barrel A selections and one barrel B selection; or</w:t>
      </w:r>
    </w:p>
    <w:p>
      <w:pPr>
        <w:pStyle w:val="Indenti"/>
        <w:rPr>
          <w:snapToGrid w:val="0"/>
        </w:rPr>
      </w:pPr>
      <w:r>
        <w:rPr>
          <w:snapToGrid w:val="0"/>
        </w:rPr>
        <w:tab/>
        <w:t>(ii)</w:t>
      </w:r>
      <w:r>
        <w:rPr>
          <w:snapToGrid w:val="0"/>
        </w:rPr>
        <w:tab/>
        <w:t>between 5 and 20 barrel A selections (but not 7 numbers) and one barrel B selection (</w:t>
      </w:r>
      <w:bookmarkStart w:id="344" w:name="RuleErr_4"/>
      <w:r>
        <w:rPr>
          <w:i/>
          <w:snapToGrid w:val="0"/>
        </w:rPr>
        <w:t>i.e. a system entry</w:t>
      </w:r>
      <w:bookmarkEnd w:id="344"/>
      <w:r>
        <w:rPr>
          <w:snapToGrid w:val="0"/>
        </w:rPr>
        <w:t>);</w:t>
      </w:r>
    </w:p>
    <w:p>
      <w:pPr>
        <w:pStyle w:val="Indenta"/>
      </w:pPr>
      <w:r>
        <w:tab/>
      </w:r>
      <w:r>
        <w:tab/>
        <w:t>and</w:t>
      </w:r>
    </w:p>
    <w:p>
      <w:pPr>
        <w:pStyle w:val="Indenta"/>
      </w:pPr>
      <w:r>
        <w:tab/>
        <w:t>(d)</w:t>
      </w:r>
      <w:r>
        <w:tab/>
        <w:t>if the subscriber selects 7 barrel A selections and 1 barrel B selection, where available, exactly how many games the subscriber wants to be entered, with a minimum of 2 and a maximum of 50.</w:t>
      </w:r>
    </w:p>
    <w:p>
      <w:pPr>
        <w:pStyle w:val="Ednotepara"/>
      </w:pPr>
      <w:r>
        <w:tab/>
        <w:t>[(e)</w:t>
      </w:r>
      <w:r>
        <w:tab/>
        <w:t>deleted]</w:t>
      </w:r>
    </w:p>
    <w:p>
      <w:pPr>
        <w:pStyle w:val="Subsection"/>
        <w:keepNext/>
        <w:rPr>
          <w:snapToGrid w:val="0"/>
        </w:rPr>
      </w:pPr>
      <w:r>
        <w:rPr>
          <w:snapToGrid w:val="0"/>
        </w:rPr>
        <w:tab/>
        <w:t>(2)</w:t>
      </w:r>
      <w:r>
        <w:rPr>
          <w:snapToGrid w:val="0"/>
        </w:rPr>
        <w:tab/>
        <w:t>If a subscriber requests —</w:t>
      </w:r>
    </w:p>
    <w:p>
      <w:pPr>
        <w:pStyle w:val="Indenta"/>
        <w:rPr>
          <w:snapToGrid w:val="0"/>
        </w:rPr>
      </w:pPr>
      <w:r>
        <w:rPr>
          <w:snapToGrid w:val="0"/>
        </w:rPr>
        <w:tab/>
        <w:t>(a)</w:t>
      </w:r>
      <w:r>
        <w:rPr>
          <w:snapToGrid w:val="0"/>
        </w:rPr>
        <w:tab/>
        <w:t xml:space="preserve">7 barrel A selections and one barrel B selection, the entry will be entered in </w:t>
      </w:r>
      <w:r>
        <w:t>the number of games selected</w:t>
      </w:r>
      <w:r>
        <w:rPr>
          <w:snapToGrid w:val="0"/>
        </w:rPr>
        <w:t xml:space="preserve"> under subrule (1)(d); or</w:t>
      </w:r>
    </w:p>
    <w:p>
      <w:pPr>
        <w:pStyle w:val="Indenta"/>
        <w:rPr>
          <w:snapToGrid w:val="0"/>
        </w:rPr>
      </w:pPr>
      <w:r>
        <w:rPr>
          <w:snapToGrid w:val="0"/>
        </w:rPr>
        <w:tab/>
        <w:t>(b)</w:t>
      </w:r>
      <w:r>
        <w:rPr>
          <w:snapToGrid w:val="0"/>
        </w:rPr>
        <w:tab/>
        <w:t>between 5 and 20 barrel A selections (but not 7 numbers) and one barrel B selection, the entry will be entered as one system entry,</w:t>
      </w:r>
    </w:p>
    <w:p>
      <w:pPr>
        <w:pStyle w:val="Subsection"/>
        <w:rPr>
          <w:snapToGrid w:val="0"/>
        </w:rPr>
      </w:pPr>
      <w:r>
        <w:rPr>
          <w:snapToGrid w:val="0"/>
        </w:rPr>
        <w:tab/>
      </w:r>
      <w:r>
        <w:rPr>
          <w:snapToGrid w:val="0"/>
        </w:rPr>
        <w:tab/>
        <w:t xml:space="preserve">and the resulting receipted ticket constitutes one entry in </w:t>
      </w:r>
      <w:r>
        <w:t>Powerball.</w:t>
      </w:r>
    </w:p>
    <w:p>
      <w:pPr>
        <w:pStyle w:val="Subsection"/>
      </w:pPr>
      <w:r>
        <w:tab/>
      </w:r>
      <w:r>
        <w:rPr>
          <w:snapToGrid w:val="0"/>
        </w:rPr>
        <w:t>(3)</w:t>
      </w:r>
      <w:r>
        <w:tab/>
        <w:t>If a subscriber requests between 5 and 14 barrel A selections and no</w:t>
      </w:r>
      <w:r>
        <w:rPr>
          <w:snapToGrid w:val="0"/>
        </w:rPr>
        <w:t xml:space="preserve"> barrel B </w:t>
      </w:r>
      <w:r>
        <w:t>selection, the entry will be entered as one Powerpik entry and the resulting receipted ticket constitutes one Powerpik entry in that Powerball draw.</w:t>
      </w:r>
    </w:p>
    <w:p>
      <w:pPr>
        <w:pStyle w:val="Subsection"/>
      </w:pPr>
      <w:r>
        <w:tab/>
        <w:t>(4)</w:t>
      </w:r>
      <w:r>
        <w:tab/>
        <w:t>A receipted ticket must be given to the subscriber upon payment of the amount calculated in accordance with Schedule 5 Division 1.</w:t>
      </w:r>
    </w:p>
    <w:p>
      <w:pPr>
        <w:pStyle w:val="Footnotesection"/>
      </w:pPr>
      <w:r>
        <w:tab/>
        <w:t>[Rule 89 amended: Gazette 4 Oct 2017 p. 5131; 10 Apr 2018 p. 1251.]</w:t>
      </w:r>
    </w:p>
    <w:p>
      <w:pPr>
        <w:pStyle w:val="Heading3"/>
      </w:pPr>
      <w:bookmarkStart w:id="345" w:name="_Toc34139549"/>
      <w:bookmarkStart w:id="346" w:name="_Toc34139761"/>
      <w:bookmarkStart w:id="347" w:name="_Toc34147938"/>
      <w:bookmarkStart w:id="348" w:name="_Toc34207491"/>
      <w:bookmarkStart w:id="349" w:name="_Toc34291486"/>
      <w:bookmarkStart w:id="350" w:name="_Toc25657394"/>
      <w:bookmarkStart w:id="351" w:name="_Toc25760860"/>
      <w:bookmarkStart w:id="352" w:name="_Toc25761189"/>
      <w:r>
        <w:rPr>
          <w:rStyle w:val="CharDivNo"/>
        </w:rPr>
        <w:t>Division 2</w:t>
      </w:r>
      <w:r>
        <w:t> — </w:t>
      </w:r>
      <w:r>
        <w:rPr>
          <w:rStyle w:val="CharDivText"/>
        </w:rPr>
        <w:t>Prize pool and prize reserve fund</w:t>
      </w:r>
      <w:bookmarkEnd w:id="345"/>
      <w:bookmarkEnd w:id="346"/>
      <w:bookmarkEnd w:id="347"/>
      <w:bookmarkEnd w:id="348"/>
      <w:bookmarkEnd w:id="349"/>
      <w:bookmarkEnd w:id="350"/>
      <w:bookmarkEnd w:id="351"/>
      <w:bookmarkEnd w:id="352"/>
    </w:p>
    <w:p>
      <w:pPr>
        <w:pStyle w:val="Heading5"/>
        <w:rPr>
          <w:snapToGrid w:val="0"/>
        </w:rPr>
      </w:pPr>
      <w:bookmarkStart w:id="353" w:name="_Toc34291487"/>
      <w:bookmarkStart w:id="354" w:name="_Toc25761190"/>
      <w:r>
        <w:rPr>
          <w:rStyle w:val="CharSectno"/>
        </w:rPr>
        <w:t>90</w:t>
      </w:r>
      <w:r>
        <w:t>.</w:t>
      </w:r>
      <w:r>
        <w:rPr>
          <w:snapToGrid w:val="0"/>
        </w:rPr>
        <w:tab/>
        <w:t>Lotto Bloc’s prize pool and prize reserve fund</w:t>
      </w:r>
      <w:bookmarkEnd w:id="353"/>
      <w:bookmarkEnd w:id="354"/>
    </w:p>
    <w:p>
      <w:pPr>
        <w:pStyle w:val="Subsection"/>
        <w:rPr>
          <w:snapToGrid w:val="0"/>
        </w:rPr>
      </w:pPr>
      <w:r>
        <w:rPr>
          <w:snapToGrid w:val="0"/>
        </w:rPr>
        <w:tab/>
        <w:t>(1)</w:t>
      </w:r>
      <w:r>
        <w:rPr>
          <w:snapToGrid w:val="0"/>
        </w:rPr>
        <w:tab/>
        <w:t xml:space="preserve">The Commission must contribute a percentage of all subscriptions received for each Powerball draw to a combined </w:t>
      </w:r>
      <w:r>
        <w:t xml:space="preserve">Lotto Bloc’s </w:t>
      </w:r>
      <w:r>
        <w:rPr>
          <w:snapToGrid w:val="0"/>
        </w:rPr>
        <w:t xml:space="preserve">prize fund in accordance with the appropriate agreement and the permit for </w:t>
      </w:r>
      <w:r>
        <w:t>that lotto</w:t>
      </w:r>
      <w:r>
        <w:rPr>
          <w:snapToGrid w:val="0"/>
        </w:rPr>
        <w:t xml:space="preserve"> draw.</w:t>
      </w:r>
    </w:p>
    <w:p>
      <w:pPr>
        <w:pStyle w:val="Subsection"/>
        <w:rPr>
          <w:snapToGrid w:val="0"/>
        </w:rPr>
      </w:pPr>
      <w:r>
        <w:rPr>
          <w:snapToGrid w:val="0"/>
        </w:rPr>
        <w:tab/>
        <w:t>(2)</w:t>
      </w:r>
      <w:r>
        <w:rPr>
          <w:snapToGrid w:val="0"/>
        </w:rPr>
        <w:tab/>
        <w:t xml:space="preserve">The </w:t>
      </w:r>
      <w:r>
        <w:t>total contribution under subrule (1) is</w:t>
      </w:r>
      <w:r>
        <w:rPr>
          <w:snapToGrid w:val="0"/>
        </w:rPr>
        <w:t xml:space="preserve"> to be divided so that —</w:t>
      </w:r>
    </w:p>
    <w:p>
      <w:pPr>
        <w:pStyle w:val="Indenta"/>
        <w:rPr>
          <w:snapToGrid w:val="0"/>
        </w:rPr>
      </w:pPr>
      <w:r>
        <w:rPr>
          <w:snapToGrid w:val="0"/>
        </w:rPr>
        <w:tab/>
        <w:t>(a)</w:t>
      </w:r>
      <w:r>
        <w:rPr>
          <w:snapToGrid w:val="0"/>
        </w:rPr>
        <w:tab/>
      </w:r>
      <w:r>
        <w:t xml:space="preserve">not less than 55% </w:t>
      </w:r>
      <w:r>
        <w:rPr>
          <w:snapToGrid w:val="0"/>
        </w:rPr>
        <w:t xml:space="preserve">of the Commission’s subscriptions go to the </w:t>
      </w:r>
      <w:r>
        <w:t xml:space="preserve">Lotto Bloc’s </w:t>
      </w:r>
      <w:r>
        <w:rPr>
          <w:snapToGrid w:val="0"/>
        </w:rPr>
        <w:t>prize pool; and</w:t>
      </w:r>
    </w:p>
    <w:p>
      <w:pPr>
        <w:pStyle w:val="Indenta"/>
        <w:rPr>
          <w:snapToGrid w:val="0"/>
        </w:rPr>
      </w:pPr>
      <w:r>
        <w:rPr>
          <w:snapToGrid w:val="0"/>
        </w:rPr>
        <w:tab/>
        <w:t>(b)</w:t>
      </w:r>
      <w:r>
        <w:rPr>
          <w:snapToGrid w:val="0"/>
        </w:rPr>
        <w:tab/>
        <w:t xml:space="preserve">the </w:t>
      </w:r>
      <w:r>
        <w:t>balance of the contribution</w:t>
      </w:r>
      <w:r>
        <w:rPr>
          <w:snapToGrid w:val="0"/>
        </w:rPr>
        <w:t xml:space="preserve"> goes to the </w:t>
      </w:r>
      <w:r>
        <w:t xml:space="preserve">Lotto Bloc’s </w:t>
      </w:r>
      <w:r>
        <w:rPr>
          <w:snapToGrid w:val="0"/>
        </w:rPr>
        <w:t>prize reserve fund.</w:t>
      </w:r>
    </w:p>
    <w:p>
      <w:pPr>
        <w:pStyle w:val="Subsection"/>
        <w:rPr>
          <w:snapToGrid w:val="0"/>
        </w:rPr>
      </w:pPr>
      <w:r>
        <w:rPr>
          <w:snapToGrid w:val="0"/>
        </w:rPr>
        <w:tab/>
        <w:t>(3)</w:t>
      </w:r>
      <w:r>
        <w:rPr>
          <w:snapToGrid w:val="0"/>
        </w:rPr>
        <w:tab/>
        <w:t xml:space="preserve">The prize reserve fund may only be distributed as additional prize money or promotional prizes, in such amounts and in such Powerball draws, as are agreed by the members of the </w:t>
      </w:r>
      <w:r>
        <w:t>Lotto Bloc.</w:t>
      </w:r>
    </w:p>
    <w:p>
      <w:pPr>
        <w:pStyle w:val="Footnotesection"/>
      </w:pPr>
      <w:r>
        <w:tab/>
        <w:t>[Rule 90 amended: Gazette 4 Oct 2017 p. 5132.]</w:t>
      </w:r>
    </w:p>
    <w:p>
      <w:pPr>
        <w:pStyle w:val="Heading3"/>
      </w:pPr>
      <w:bookmarkStart w:id="355" w:name="_Toc34139551"/>
      <w:bookmarkStart w:id="356" w:name="_Toc34139763"/>
      <w:bookmarkStart w:id="357" w:name="_Toc34147940"/>
      <w:bookmarkStart w:id="358" w:name="_Toc34207493"/>
      <w:bookmarkStart w:id="359" w:name="_Toc34291488"/>
      <w:bookmarkStart w:id="360" w:name="_Toc25657396"/>
      <w:bookmarkStart w:id="361" w:name="_Toc25760862"/>
      <w:bookmarkStart w:id="362" w:name="_Toc25761191"/>
      <w:r>
        <w:rPr>
          <w:rStyle w:val="CharDivNo"/>
        </w:rPr>
        <w:t>Division 3</w:t>
      </w:r>
      <w:r>
        <w:t> — </w:t>
      </w:r>
      <w:r>
        <w:rPr>
          <w:rStyle w:val="CharDivText"/>
        </w:rPr>
        <w:t>Powerball draw</w:t>
      </w:r>
      <w:bookmarkEnd w:id="355"/>
      <w:bookmarkEnd w:id="356"/>
      <w:bookmarkEnd w:id="357"/>
      <w:bookmarkEnd w:id="358"/>
      <w:bookmarkEnd w:id="359"/>
      <w:bookmarkEnd w:id="360"/>
      <w:bookmarkEnd w:id="361"/>
      <w:bookmarkEnd w:id="362"/>
    </w:p>
    <w:p>
      <w:pPr>
        <w:pStyle w:val="Heading5"/>
        <w:rPr>
          <w:snapToGrid w:val="0"/>
        </w:rPr>
      </w:pPr>
      <w:bookmarkStart w:id="363" w:name="_Toc34291489"/>
      <w:bookmarkStart w:id="364" w:name="_Toc25761192"/>
      <w:r>
        <w:rPr>
          <w:rStyle w:val="CharSectno"/>
        </w:rPr>
        <w:t>91</w:t>
      </w:r>
      <w:r>
        <w:t>.</w:t>
      </w:r>
      <w:r>
        <w:tab/>
      </w:r>
      <w:r>
        <w:rPr>
          <w:snapToGrid w:val="0"/>
        </w:rPr>
        <w:t>Nature of a Powerball draw</w:t>
      </w:r>
      <w:bookmarkEnd w:id="363"/>
      <w:bookmarkEnd w:id="364"/>
    </w:p>
    <w:p>
      <w:pPr>
        <w:pStyle w:val="Subsection"/>
        <w:rPr>
          <w:snapToGrid w:val="0"/>
        </w:rPr>
      </w:pPr>
      <w:r>
        <w:rPr>
          <w:snapToGrid w:val="0"/>
        </w:rPr>
        <w:tab/>
      </w:r>
      <w:r>
        <w:rPr>
          <w:snapToGrid w:val="0"/>
        </w:rPr>
        <w:tab/>
        <w:t>A Powerball draw consists of the mechanical, equally random selection of —</w:t>
      </w:r>
    </w:p>
    <w:p>
      <w:pPr>
        <w:pStyle w:val="Indenta"/>
        <w:rPr>
          <w:snapToGrid w:val="0"/>
        </w:rPr>
      </w:pPr>
      <w:r>
        <w:rPr>
          <w:snapToGrid w:val="0"/>
        </w:rPr>
        <w:tab/>
        <w:t>(a)</w:t>
      </w:r>
      <w:r>
        <w:rPr>
          <w:snapToGrid w:val="0"/>
        </w:rPr>
        <w:tab/>
        <w:t xml:space="preserve">7 numbered balls </w:t>
      </w:r>
      <w:r>
        <w:t xml:space="preserve">(7 winning numbered balls) </w:t>
      </w:r>
      <w:r>
        <w:rPr>
          <w:snapToGrid w:val="0"/>
        </w:rPr>
        <w:t>from balls individually numbered from 1 to 35 inclusive from a barrel called “barrel A”; and</w:t>
      </w:r>
    </w:p>
    <w:p>
      <w:pPr>
        <w:pStyle w:val="Indenta"/>
        <w:rPr>
          <w:snapToGrid w:val="0"/>
        </w:rPr>
      </w:pPr>
      <w:r>
        <w:rPr>
          <w:snapToGrid w:val="0"/>
        </w:rPr>
        <w:tab/>
        <w:t>(b)</w:t>
      </w:r>
      <w:r>
        <w:rPr>
          <w:snapToGrid w:val="0"/>
        </w:rPr>
        <w:tab/>
        <w:t xml:space="preserve">one numbered ball </w:t>
      </w:r>
      <w:r>
        <w:t xml:space="preserve">(the Powerball) </w:t>
      </w:r>
      <w:r>
        <w:rPr>
          <w:snapToGrid w:val="0"/>
        </w:rPr>
        <w:t>from balls individually numbered from 1 to </w:t>
      </w:r>
      <w:r>
        <w:t>20</w:t>
      </w:r>
      <w:r>
        <w:rPr>
          <w:snapToGrid w:val="0"/>
        </w:rPr>
        <w:t xml:space="preserve"> inclusive from a barrel called “barrel B”,</w:t>
      </w:r>
    </w:p>
    <w:p>
      <w:pPr>
        <w:pStyle w:val="Subsection"/>
        <w:rPr>
          <w:snapToGrid w:val="0"/>
        </w:rPr>
      </w:pPr>
      <w:r>
        <w:rPr>
          <w:snapToGrid w:val="0"/>
        </w:rPr>
        <w:tab/>
      </w:r>
      <w:r>
        <w:rPr>
          <w:snapToGrid w:val="0"/>
        </w:rPr>
        <w:tab/>
        <w:t>in a manner and using such equipment as the Commission</w:t>
      </w:r>
      <w:r>
        <w:t xml:space="preserve"> or a designated authority</w:t>
      </w:r>
      <w:r>
        <w:rPr>
          <w:snapToGrid w:val="0"/>
        </w:rPr>
        <w:t xml:space="preserve"> determines.</w:t>
      </w:r>
    </w:p>
    <w:p>
      <w:pPr>
        <w:pStyle w:val="Footnotesection"/>
      </w:pPr>
      <w:r>
        <w:tab/>
        <w:t>[Rule 91 amended: Gazette 4 Oct 2017 p. 5132</w:t>
      </w:r>
      <w:r>
        <w:noBreakHyphen/>
        <w:t>3; 10 Apr 2018 p. 1251.]</w:t>
      </w:r>
    </w:p>
    <w:p>
      <w:pPr>
        <w:pStyle w:val="Heading5"/>
        <w:rPr>
          <w:snapToGrid w:val="0"/>
        </w:rPr>
      </w:pPr>
      <w:bookmarkStart w:id="365" w:name="_Toc34291490"/>
      <w:bookmarkStart w:id="366" w:name="_Toc25761193"/>
      <w:r>
        <w:rPr>
          <w:rStyle w:val="CharSectno"/>
        </w:rPr>
        <w:t>92</w:t>
      </w:r>
      <w:r>
        <w:t>.</w:t>
      </w:r>
      <w:r>
        <w:rPr>
          <w:snapToGrid w:val="0"/>
        </w:rPr>
        <w:tab/>
        <w:t>Criteria for winning</w:t>
      </w:r>
      <w:bookmarkEnd w:id="365"/>
      <w:bookmarkEnd w:id="366"/>
    </w:p>
    <w:p>
      <w:pPr>
        <w:pStyle w:val="Subsection"/>
        <w:rPr>
          <w:snapToGrid w:val="0"/>
        </w:rPr>
      </w:pPr>
      <w:r>
        <w:rPr>
          <w:snapToGrid w:val="0"/>
        </w:rPr>
        <w:tab/>
        <w:t>(1)</w:t>
      </w:r>
      <w:r>
        <w:rPr>
          <w:snapToGrid w:val="0"/>
        </w:rPr>
        <w:tab/>
        <w:t xml:space="preserve">In a Powerball draw the holder of a receipted ticket </w:t>
      </w:r>
      <w:r>
        <w:t>or the purchaser of an entry under Part 2 Division 5 of these rules</w:t>
      </w:r>
      <w:r>
        <w:rPr>
          <w:iCs/>
        </w:rPr>
        <w:t xml:space="preserve"> </w:t>
      </w:r>
      <w:r>
        <w:rPr>
          <w:snapToGrid w:val="0"/>
        </w:rPr>
        <w:t>wins —</w:t>
      </w:r>
    </w:p>
    <w:p>
      <w:pPr>
        <w:pStyle w:val="Indenta"/>
        <w:rPr>
          <w:snapToGrid w:val="0"/>
        </w:rPr>
      </w:pPr>
      <w:r>
        <w:rPr>
          <w:snapToGrid w:val="0"/>
        </w:rPr>
        <w:tab/>
        <w:t>(a)</w:t>
      </w:r>
      <w:r>
        <w:rPr>
          <w:snapToGrid w:val="0"/>
        </w:rPr>
        <w:tab/>
        <w:t>division 1, if all 7 winning numbers from barrel A and the barrel B number;</w:t>
      </w:r>
    </w:p>
    <w:p>
      <w:pPr>
        <w:pStyle w:val="Indenta"/>
        <w:rPr>
          <w:snapToGrid w:val="0"/>
        </w:rPr>
      </w:pPr>
      <w:r>
        <w:rPr>
          <w:snapToGrid w:val="0"/>
        </w:rPr>
        <w:tab/>
        <w:t>(b)</w:t>
      </w:r>
      <w:r>
        <w:rPr>
          <w:snapToGrid w:val="0"/>
        </w:rPr>
        <w:tab/>
        <w:t>division 2, if all 7 winning numbers from barrel A;</w:t>
      </w:r>
    </w:p>
    <w:p>
      <w:pPr>
        <w:pStyle w:val="Indenta"/>
        <w:rPr>
          <w:snapToGrid w:val="0"/>
        </w:rPr>
      </w:pPr>
      <w:r>
        <w:rPr>
          <w:snapToGrid w:val="0"/>
        </w:rPr>
        <w:tab/>
        <w:t>(c)</w:t>
      </w:r>
      <w:r>
        <w:rPr>
          <w:snapToGrid w:val="0"/>
        </w:rPr>
        <w:tab/>
        <w:t>division 3, if any 6</w:t>
      </w:r>
      <w:r>
        <w:t xml:space="preserve"> </w:t>
      </w:r>
      <w:r>
        <w:rPr>
          <w:snapToGrid w:val="0"/>
        </w:rPr>
        <w:t>winning numbers from barrel A and the barrel B number;</w:t>
      </w:r>
    </w:p>
    <w:p>
      <w:pPr>
        <w:pStyle w:val="Indenta"/>
        <w:rPr>
          <w:snapToGrid w:val="0"/>
        </w:rPr>
      </w:pPr>
      <w:r>
        <w:rPr>
          <w:snapToGrid w:val="0"/>
        </w:rPr>
        <w:tab/>
        <w:t>(d)</w:t>
      </w:r>
      <w:r>
        <w:rPr>
          <w:snapToGrid w:val="0"/>
        </w:rPr>
        <w:tab/>
        <w:t>division 4, if any 6 winning numbers from</w:t>
      </w:r>
      <w:r>
        <w:t xml:space="preserve"> barrel A;</w:t>
      </w:r>
    </w:p>
    <w:p>
      <w:pPr>
        <w:pStyle w:val="Indenta"/>
        <w:rPr>
          <w:snapToGrid w:val="0"/>
        </w:rPr>
      </w:pPr>
      <w:r>
        <w:rPr>
          <w:snapToGrid w:val="0"/>
        </w:rPr>
        <w:tab/>
        <w:t>(e)</w:t>
      </w:r>
      <w:r>
        <w:rPr>
          <w:snapToGrid w:val="0"/>
        </w:rPr>
        <w:tab/>
        <w:t>division 5, if any 5 winning numbers from</w:t>
      </w:r>
      <w:r>
        <w:t xml:space="preserve"> barrel A and the </w:t>
      </w:r>
      <w:r>
        <w:rPr>
          <w:snapToGrid w:val="0"/>
        </w:rPr>
        <w:t>barrel B</w:t>
      </w:r>
      <w:r>
        <w:t xml:space="preserve"> number;</w:t>
      </w:r>
    </w:p>
    <w:p>
      <w:pPr>
        <w:pStyle w:val="Indenta"/>
        <w:rPr>
          <w:snapToGrid w:val="0"/>
        </w:rPr>
      </w:pPr>
      <w:r>
        <w:rPr>
          <w:snapToGrid w:val="0"/>
        </w:rPr>
        <w:tab/>
        <w:t>(f)</w:t>
      </w:r>
      <w:r>
        <w:rPr>
          <w:snapToGrid w:val="0"/>
        </w:rPr>
        <w:tab/>
        <w:t>division 6, if any 4</w:t>
      </w:r>
      <w:r>
        <w:t xml:space="preserve"> </w:t>
      </w:r>
      <w:r>
        <w:rPr>
          <w:snapToGrid w:val="0"/>
        </w:rPr>
        <w:t>winning numbers from barrel A and the barrel B</w:t>
      </w:r>
      <w:r>
        <w:t xml:space="preserve"> </w:t>
      </w:r>
      <w:r>
        <w:rPr>
          <w:snapToGrid w:val="0"/>
        </w:rPr>
        <w:t>number;</w:t>
      </w:r>
    </w:p>
    <w:p>
      <w:pPr>
        <w:pStyle w:val="Indenta"/>
      </w:pPr>
      <w:r>
        <w:tab/>
      </w:r>
      <w:r>
        <w:rPr>
          <w:snapToGrid w:val="0"/>
        </w:rPr>
        <w:t>(g)</w:t>
      </w:r>
      <w:r>
        <w:tab/>
        <w:t>division 7, if any 5 winning numbers from barrel A;</w:t>
      </w:r>
    </w:p>
    <w:p>
      <w:pPr>
        <w:pStyle w:val="Indenta"/>
      </w:pPr>
      <w:r>
        <w:tab/>
      </w:r>
      <w:r>
        <w:rPr>
          <w:snapToGrid w:val="0"/>
        </w:rPr>
        <w:t>(h)</w:t>
      </w:r>
      <w:r>
        <w:tab/>
        <w:t xml:space="preserve">division 8, if any 3 winning numbers from barrel A and the </w:t>
      </w:r>
      <w:r>
        <w:rPr>
          <w:snapToGrid w:val="0"/>
        </w:rPr>
        <w:t>barrel B</w:t>
      </w:r>
      <w:r>
        <w:t xml:space="preserve"> number;</w:t>
      </w:r>
    </w:p>
    <w:p>
      <w:pPr>
        <w:pStyle w:val="Indenta"/>
      </w:pPr>
      <w:r>
        <w:tab/>
        <w:t>(i)</w:t>
      </w:r>
      <w:r>
        <w:tab/>
        <w:t>division 9, if any 2 winning numbers from barrel A and the barrel B number,</w:t>
      </w:r>
    </w:p>
    <w:p>
      <w:pPr>
        <w:pStyle w:val="Subsection"/>
        <w:rPr>
          <w:snapToGrid w:val="0"/>
        </w:rPr>
      </w:pPr>
      <w:r>
        <w:rPr>
          <w:snapToGrid w:val="0"/>
        </w:rPr>
        <w:tab/>
      </w:r>
      <w:r>
        <w:rPr>
          <w:snapToGrid w:val="0"/>
        </w:rPr>
        <w:tab/>
        <w:t>are selected in the one game.</w:t>
      </w:r>
    </w:p>
    <w:p>
      <w:pPr>
        <w:pStyle w:val="Subsection"/>
      </w:pPr>
      <w:r>
        <w:tab/>
      </w:r>
      <w:r>
        <w:rPr>
          <w:snapToGrid w:val="0"/>
        </w:rPr>
        <w:t>(2)</w:t>
      </w:r>
      <w:r>
        <w:tab/>
        <w:t xml:space="preserve">For the purposes of this rule, a Powerpik entry is taken to have selected the </w:t>
      </w:r>
      <w:r>
        <w:rPr>
          <w:snapToGrid w:val="0"/>
        </w:rPr>
        <w:t>barrel B</w:t>
      </w:r>
      <w:r>
        <w:t xml:space="preserve"> number in a game.</w:t>
      </w:r>
    </w:p>
    <w:p>
      <w:pPr>
        <w:pStyle w:val="Footnotesection"/>
      </w:pPr>
      <w:r>
        <w:tab/>
        <w:t>[Rule 92 amended: Gazette 10 Apr 2018 p. 1251.]</w:t>
      </w:r>
    </w:p>
    <w:p>
      <w:pPr>
        <w:pStyle w:val="Heading5"/>
        <w:rPr>
          <w:snapToGrid w:val="0"/>
        </w:rPr>
      </w:pPr>
      <w:bookmarkStart w:id="367" w:name="_Toc34291491"/>
      <w:bookmarkStart w:id="368" w:name="_Toc25761194"/>
      <w:r>
        <w:rPr>
          <w:rStyle w:val="CharSectno"/>
        </w:rPr>
        <w:t>93</w:t>
      </w:r>
      <w:r>
        <w:t>.</w:t>
      </w:r>
      <w:r>
        <w:rPr>
          <w:snapToGrid w:val="0"/>
        </w:rPr>
        <w:tab/>
        <w:t>Only one prize per game except for system entries</w:t>
      </w:r>
      <w:bookmarkEnd w:id="367"/>
      <w:bookmarkEnd w:id="368"/>
    </w:p>
    <w:p>
      <w:pPr>
        <w:pStyle w:val="Subsection"/>
        <w:rPr>
          <w:snapToGrid w:val="0"/>
        </w:rPr>
      </w:pPr>
      <w:r>
        <w:rPr>
          <w:snapToGrid w:val="0"/>
        </w:rPr>
        <w:tab/>
        <w:t>(1)</w:t>
      </w:r>
      <w:r>
        <w:rPr>
          <w:snapToGrid w:val="0"/>
        </w:rPr>
        <w:tab/>
        <w:t xml:space="preserve">The holder of a receipted ticket which </w:t>
      </w:r>
      <w:r>
        <w:t>contains, or the purchaser of an entry under Part 2 Division 5 of these rules</w:t>
      </w:r>
      <w:r>
        <w:rPr>
          <w:iCs/>
        </w:rPr>
        <w:t xml:space="preserve"> </w:t>
      </w:r>
      <w:r>
        <w:t xml:space="preserve">which comprises, </w:t>
      </w:r>
      <w:r>
        <w:rPr>
          <w:snapToGrid w:val="0"/>
        </w:rPr>
        <w:t>a system entry</w:t>
      </w:r>
      <w:r>
        <w:t xml:space="preserve"> or Powerpik system entry</w:t>
      </w:r>
      <w:r>
        <w:rPr>
          <w:snapToGrid w:val="0"/>
        </w:rPr>
        <w:t xml:space="preserve"> may claim a prize in one division for each notional game making up that system entry</w:t>
      </w:r>
      <w:r>
        <w:t xml:space="preserve"> or Powerpik system entry</w:t>
      </w:r>
      <w:r>
        <w:rPr>
          <w:snapToGrid w:val="0"/>
        </w:rPr>
        <w:t xml:space="preserve">, </w:t>
      </w:r>
      <w:r>
        <w:t>which can result in</w:t>
      </w:r>
      <w:r>
        <w:rPr>
          <w:snapToGrid w:val="0"/>
        </w:rPr>
        <w:t xml:space="preserve"> prizes in more than one division for that entry.</w:t>
      </w:r>
    </w:p>
    <w:p>
      <w:pPr>
        <w:pStyle w:val="Subsection"/>
      </w:pPr>
      <w:r>
        <w:tab/>
      </w:r>
      <w:r>
        <w:rPr>
          <w:snapToGrid w:val="0"/>
        </w:rPr>
        <w:t>(2)</w:t>
      </w:r>
      <w:r>
        <w:tab/>
        <w:t>The holders of a syndicate share receipted ticket which contains a system entry may claim a share in a prize in one division for each notional game making up that system entry, resulting in shares in prizes in more than one division for that entry.</w:t>
      </w:r>
    </w:p>
    <w:p>
      <w:pPr>
        <w:pStyle w:val="Heading5"/>
        <w:rPr>
          <w:snapToGrid w:val="0"/>
        </w:rPr>
      </w:pPr>
      <w:bookmarkStart w:id="369" w:name="_Toc34291492"/>
      <w:bookmarkStart w:id="370" w:name="_Toc25761195"/>
      <w:r>
        <w:rPr>
          <w:rStyle w:val="CharSectno"/>
        </w:rPr>
        <w:t>94</w:t>
      </w:r>
      <w:r>
        <w:t>.</w:t>
      </w:r>
      <w:r>
        <w:rPr>
          <w:snapToGrid w:val="0"/>
        </w:rPr>
        <w:tab/>
        <w:t>Distribution of prize pool</w:t>
      </w:r>
      <w:bookmarkEnd w:id="369"/>
      <w:bookmarkEnd w:id="370"/>
    </w:p>
    <w:p>
      <w:pPr>
        <w:pStyle w:val="Subsection"/>
        <w:rPr>
          <w:snapToGrid w:val="0"/>
        </w:rPr>
      </w:pPr>
      <w:r>
        <w:rPr>
          <w:snapToGrid w:val="0"/>
        </w:rPr>
        <w:tab/>
        <w:t>(1)</w:t>
      </w:r>
      <w:r>
        <w:rPr>
          <w:snapToGrid w:val="0"/>
        </w:rPr>
        <w:tab/>
        <w:t xml:space="preserve">If no </w:t>
      </w:r>
      <w:r>
        <w:t>one</w:t>
      </w:r>
      <w:r>
        <w:rPr>
          <w:snapToGrid w:val="0"/>
        </w:rPr>
        <w:t xml:space="preserve"> wins a division 1 prize in a particular Powerball draw, then the division 1 prize pool for that draw (calculated without any prize reserve fund augmentation) is to be added to, and then forms part of, the division 1 prize pool for the next Powerball draw.</w:t>
      </w:r>
    </w:p>
    <w:p>
      <w:pPr>
        <w:pStyle w:val="Subsection"/>
        <w:rPr>
          <w:snapToGrid w:val="0"/>
        </w:rPr>
      </w:pPr>
      <w:r>
        <w:rPr>
          <w:snapToGrid w:val="0"/>
        </w:rPr>
        <w:tab/>
        <w:t>(2)</w:t>
      </w:r>
      <w:r>
        <w:rPr>
          <w:snapToGrid w:val="0"/>
        </w:rPr>
        <w:tab/>
        <w:t>Where there is no Powerball division 1 prize winner for 26 consecutive Powerball draws, the Commission must allocate the accumulated division 1 prize pool in the 26th Powerball draw to the prize pool for the division 2 winners in that Powerball draw.</w:t>
      </w:r>
    </w:p>
    <w:p>
      <w:pPr>
        <w:pStyle w:val="Subsection"/>
        <w:keepNext/>
        <w:rPr>
          <w:snapToGrid w:val="0"/>
        </w:rPr>
      </w:pPr>
      <w:r>
        <w:rPr>
          <w:snapToGrid w:val="0"/>
        </w:rPr>
        <w:tab/>
        <w:t>(3)</w:t>
      </w:r>
      <w:r>
        <w:rPr>
          <w:snapToGrid w:val="0"/>
        </w:rPr>
        <w:tab/>
        <w:t xml:space="preserve">If a </w:t>
      </w:r>
      <w:r>
        <w:t>Powerball division</w:t>
      </w:r>
      <w:r>
        <w:rPr>
          <w:snapToGrid w:val="0"/>
        </w:rPr>
        <w:t> 1 prize pool is to be distributed to division 2 winners, the prize money is still treated as a division 1 prize for the purposes of claiming and payment of prizes.</w:t>
      </w:r>
    </w:p>
    <w:p>
      <w:pPr>
        <w:pStyle w:val="Footnotesection"/>
      </w:pPr>
      <w:r>
        <w:tab/>
        <w:t>[Rule 94 amended: Gazette 4 Oct 2017 p. 5133.]</w:t>
      </w:r>
    </w:p>
    <w:p>
      <w:pPr>
        <w:pStyle w:val="Heading5"/>
        <w:rPr>
          <w:snapToGrid w:val="0"/>
        </w:rPr>
      </w:pPr>
      <w:bookmarkStart w:id="371" w:name="_Toc34291493"/>
      <w:bookmarkStart w:id="372" w:name="_Toc25761196"/>
      <w:r>
        <w:rPr>
          <w:rStyle w:val="CharSectno"/>
        </w:rPr>
        <w:t>95</w:t>
      </w:r>
      <w:r>
        <w:t>.</w:t>
      </w:r>
      <w:r>
        <w:rPr>
          <w:snapToGrid w:val="0"/>
        </w:rPr>
        <w:tab/>
        <w:t>Application of prize pool if divisions 2 to 8 prize not won</w:t>
      </w:r>
      <w:bookmarkEnd w:id="371"/>
      <w:bookmarkEnd w:id="372"/>
    </w:p>
    <w:p>
      <w:pPr>
        <w:pStyle w:val="Subsection"/>
        <w:rPr>
          <w:snapToGrid w:val="0"/>
        </w:rPr>
      </w:pPr>
      <w:r>
        <w:rPr>
          <w:snapToGrid w:val="0"/>
        </w:rPr>
        <w:tab/>
      </w:r>
      <w:r>
        <w:rPr>
          <w:snapToGrid w:val="0"/>
        </w:rPr>
        <w:tab/>
        <w:t xml:space="preserve">If no </w:t>
      </w:r>
      <w:r>
        <w:t>one</w:t>
      </w:r>
      <w:r>
        <w:rPr>
          <w:snapToGrid w:val="0"/>
        </w:rPr>
        <w:t xml:space="preserve"> wins a prize in division 2, 3, 4, 5, 6, 7 or 8 in a particular Powerball draw, then the prize pool for that division is to be added to the prize pool for the next lower division in which there is at least one winner in that Powerball draw.</w:t>
      </w:r>
    </w:p>
    <w:p>
      <w:pPr>
        <w:pStyle w:val="Footnotesection"/>
      </w:pPr>
      <w:r>
        <w:tab/>
        <w:t>[Rule 95 amended: Gazette 10 Apr 2018 p. 1251.]</w:t>
      </w:r>
    </w:p>
    <w:p>
      <w:pPr>
        <w:pStyle w:val="Heading5"/>
        <w:rPr>
          <w:snapToGrid w:val="0"/>
        </w:rPr>
      </w:pPr>
      <w:bookmarkStart w:id="373" w:name="_Toc34291494"/>
      <w:bookmarkStart w:id="374" w:name="_Toc25761197"/>
      <w:r>
        <w:rPr>
          <w:rStyle w:val="CharSectno"/>
        </w:rPr>
        <w:t>96</w:t>
      </w:r>
      <w:r>
        <w:t>.</w:t>
      </w:r>
      <w:r>
        <w:rPr>
          <w:snapToGrid w:val="0"/>
        </w:rPr>
        <w:tab/>
        <w:t>Bonus draws and guaranteed prize pools for division 1</w:t>
      </w:r>
      <w:bookmarkEnd w:id="373"/>
      <w:bookmarkEnd w:id="374"/>
    </w:p>
    <w:p>
      <w:pPr>
        <w:pStyle w:val="Subsection"/>
        <w:rPr>
          <w:snapToGrid w:val="0"/>
        </w:rPr>
      </w:pPr>
      <w:r>
        <w:rPr>
          <w:snapToGrid w:val="0"/>
        </w:rPr>
        <w:tab/>
        <w:t>(1)</w:t>
      </w:r>
      <w:r>
        <w:rPr>
          <w:snapToGrid w:val="0"/>
        </w:rPr>
        <w:tab/>
        <w:t>The Commission may from time to time declare a Powerball draw to be a bonus draw and fix a minimum guaranteed prize pool for division 1 in that draw.</w:t>
      </w:r>
    </w:p>
    <w:p>
      <w:pPr>
        <w:pStyle w:val="Subsection"/>
        <w:rPr>
          <w:snapToGrid w:val="0"/>
        </w:rPr>
      </w:pPr>
      <w:r>
        <w:rPr>
          <w:snapToGrid w:val="0"/>
        </w:rPr>
        <w:tab/>
        <w:t>(2)</w:t>
      </w:r>
      <w:r>
        <w:rPr>
          <w:snapToGrid w:val="0"/>
        </w:rPr>
        <w:tab/>
        <w:t xml:space="preserve">The </w:t>
      </w:r>
      <w:r>
        <w:t>Commission</w:t>
      </w:r>
      <w:r>
        <w:rPr>
          <w:snapToGrid w:val="0"/>
        </w:rPr>
        <w:t xml:space="preserve"> may add all or part of the prize reserve fund to the division 1 prize pool in a bonus draw to increase the division 1 prize pool to the guaranteed amount and any amount so added forms part of that prize pool.</w:t>
      </w:r>
    </w:p>
    <w:p>
      <w:pPr>
        <w:pStyle w:val="Subsection"/>
        <w:rPr>
          <w:snapToGrid w:val="0"/>
        </w:rPr>
      </w:pPr>
      <w:r>
        <w:rPr>
          <w:snapToGrid w:val="0"/>
        </w:rPr>
        <w:tab/>
        <w:t>(3)</w:t>
      </w:r>
      <w:r>
        <w:rPr>
          <w:snapToGrid w:val="0"/>
        </w:rPr>
        <w:tab/>
        <w:t>Where a bonus draw is declared under this rule, and a jackpot division 1 prize coincides with that draw, the Commission may elect to reduce the augmentation under subrule</w:t>
      </w:r>
      <w:r>
        <w:t> </w:t>
      </w:r>
      <w:r>
        <w:rPr>
          <w:snapToGrid w:val="0"/>
        </w:rPr>
        <w:t>(2) by the amount of the jackpot.</w:t>
      </w:r>
    </w:p>
    <w:p>
      <w:pPr>
        <w:pStyle w:val="Subsection"/>
        <w:rPr>
          <w:snapToGrid w:val="0"/>
        </w:rPr>
      </w:pPr>
      <w:r>
        <w:rPr>
          <w:snapToGrid w:val="0"/>
        </w:rPr>
        <w:tab/>
        <w:t>(4)</w:t>
      </w:r>
      <w:r>
        <w:rPr>
          <w:snapToGrid w:val="0"/>
        </w:rPr>
        <w:tab/>
        <w:t>If —</w:t>
      </w:r>
    </w:p>
    <w:p>
      <w:pPr>
        <w:pStyle w:val="Indenta"/>
        <w:rPr>
          <w:snapToGrid w:val="0"/>
        </w:rPr>
      </w:pPr>
      <w:r>
        <w:rPr>
          <w:snapToGrid w:val="0"/>
        </w:rPr>
        <w:tab/>
        <w:t>(a)</w:t>
      </w:r>
      <w:r>
        <w:rPr>
          <w:snapToGrid w:val="0"/>
        </w:rPr>
        <w:tab/>
        <w:t>no one wins a division 1 prize in a bonus draw; and</w:t>
      </w:r>
    </w:p>
    <w:p>
      <w:pPr>
        <w:pStyle w:val="Indenta"/>
        <w:rPr>
          <w:snapToGrid w:val="0"/>
        </w:rPr>
      </w:pPr>
      <w:r>
        <w:rPr>
          <w:snapToGrid w:val="0"/>
        </w:rPr>
        <w:tab/>
        <w:t>(b)</w:t>
      </w:r>
      <w:r>
        <w:rPr>
          <w:snapToGrid w:val="0"/>
        </w:rPr>
        <w:tab/>
        <w:t>all or part of the prize reserve fund would have to have been used to increase the division 1 prize pool to a guaranteed amount had there been a division 1 winner,</w:t>
      </w:r>
    </w:p>
    <w:p>
      <w:pPr>
        <w:pStyle w:val="Subsection"/>
        <w:rPr>
          <w:snapToGrid w:val="0"/>
        </w:rPr>
      </w:pPr>
      <w:r>
        <w:rPr>
          <w:snapToGrid w:val="0"/>
        </w:rPr>
        <w:tab/>
      </w:r>
      <w:r>
        <w:rPr>
          <w:snapToGrid w:val="0"/>
        </w:rPr>
        <w:tab/>
        <w:t>the amount of the reserve that would have been so used is to be returned to the prize reserve fund and is not to be counted when calculating the jackpot prize pool for the next Powerball draw.</w:t>
      </w:r>
    </w:p>
    <w:p>
      <w:pPr>
        <w:pStyle w:val="Heading5"/>
        <w:rPr>
          <w:snapToGrid w:val="0"/>
        </w:rPr>
      </w:pPr>
      <w:bookmarkStart w:id="375" w:name="_Toc34291495"/>
      <w:bookmarkStart w:id="376" w:name="_Toc25761198"/>
      <w:r>
        <w:rPr>
          <w:rStyle w:val="CharSectno"/>
        </w:rPr>
        <w:t>97</w:t>
      </w:r>
      <w:r>
        <w:rPr>
          <w:snapToGrid w:val="0"/>
        </w:rPr>
        <w:t>.</w:t>
      </w:r>
      <w:r>
        <w:rPr>
          <w:snapToGrid w:val="0"/>
        </w:rPr>
        <w:tab/>
        <w:t>Combination of jackpot and prize reserve amount to form single division 1 prize pool</w:t>
      </w:r>
      <w:bookmarkEnd w:id="375"/>
      <w:bookmarkEnd w:id="376"/>
    </w:p>
    <w:p>
      <w:pPr>
        <w:pStyle w:val="Subsection"/>
        <w:rPr>
          <w:snapToGrid w:val="0"/>
        </w:rPr>
      </w:pPr>
      <w:r>
        <w:rPr>
          <w:snapToGrid w:val="0"/>
        </w:rPr>
        <w:tab/>
      </w:r>
      <w:r>
        <w:rPr>
          <w:snapToGrid w:val="0"/>
        </w:rPr>
        <w:tab/>
        <w:t>If a jackpot is available for a Powerball draw division 1 prize pool and an amount is to be distributed from the prize reserve fund for that Powerball draw division 1 prize pool, then both amounts form a single Powerball division 1 prize pool for the purposes of these rules.</w:t>
      </w:r>
    </w:p>
    <w:p>
      <w:pPr>
        <w:pStyle w:val="Heading5"/>
        <w:rPr>
          <w:snapToGrid w:val="0"/>
        </w:rPr>
      </w:pPr>
      <w:bookmarkStart w:id="377" w:name="_Toc34291496"/>
      <w:bookmarkStart w:id="378" w:name="_Toc25761199"/>
      <w:r>
        <w:rPr>
          <w:rStyle w:val="CharSectno"/>
        </w:rPr>
        <w:t>98</w:t>
      </w:r>
      <w:r>
        <w:rPr>
          <w:snapToGrid w:val="0"/>
        </w:rPr>
        <w:t>.</w:t>
      </w:r>
      <w:r>
        <w:rPr>
          <w:snapToGrid w:val="0"/>
        </w:rPr>
        <w:tab/>
        <w:t>Minimum division 1 prize pool may be guaranteed</w:t>
      </w:r>
      <w:bookmarkEnd w:id="377"/>
      <w:bookmarkEnd w:id="378"/>
    </w:p>
    <w:p>
      <w:pPr>
        <w:pStyle w:val="Subsection"/>
        <w:rPr>
          <w:snapToGrid w:val="0"/>
        </w:rPr>
      </w:pPr>
      <w:r>
        <w:rPr>
          <w:snapToGrid w:val="0"/>
        </w:rPr>
        <w:tab/>
      </w:r>
      <w:r>
        <w:rPr>
          <w:snapToGrid w:val="0"/>
          <w:spacing w:val="-4"/>
        </w:rPr>
        <w:t>(1)</w:t>
      </w:r>
      <w:r>
        <w:rPr>
          <w:snapToGrid w:val="0"/>
        </w:rPr>
        <w:tab/>
        <w:t>The Commission may from time to time guarantee that a minimum amount for a Powerball draw division 1 prize pool will be available for a particular Powerball draw.</w:t>
      </w:r>
    </w:p>
    <w:p>
      <w:pPr>
        <w:pStyle w:val="Subsection"/>
        <w:rPr>
          <w:snapToGrid w:val="0"/>
        </w:rPr>
      </w:pPr>
      <w:r>
        <w:rPr>
          <w:snapToGrid w:val="0"/>
        </w:rPr>
        <w:tab/>
      </w:r>
      <w:r>
        <w:rPr>
          <w:snapToGrid w:val="0"/>
          <w:spacing w:val="-4"/>
        </w:rPr>
        <w:t>(2)</w:t>
      </w:r>
      <w:r>
        <w:rPr>
          <w:snapToGrid w:val="0"/>
        </w:rPr>
        <w:tab/>
        <w:t>If a minimum Powerball draw division 1 prize pool is guaranteed for a particular Powerball draw, and the Commission is obliged to contribute an amount to that division 1 prize pool to make up the guaranteed minimum, then the extra amount contributed is not to be taken into account when calculating a jackpot prize pool.</w:t>
      </w:r>
    </w:p>
    <w:p>
      <w:pPr>
        <w:pStyle w:val="Heading2"/>
      </w:pPr>
      <w:bookmarkStart w:id="379" w:name="_Toc34139560"/>
      <w:bookmarkStart w:id="380" w:name="_Toc34139772"/>
      <w:bookmarkStart w:id="381" w:name="_Toc34147949"/>
      <w:bookmarkStart w:id="382" w:name="_Toc34207502"/>
      <w:bookmarkStart w:id="383" w:name="_Toc34291497"/>
      <w:bookmarkStart w:id="384" w:name="_Toc25657405"/>
      <w:bookmarkStart w:id="385" w:name="_Toc25760871"/>
      <w:bookmarkStart w:id="386" w:name="_Toc25761200"/>
      <w:r>
        <w:rPr>
          <w:rStyle w:val="CharPartNo"/>
        </w:rPr>
        <w:t>Part 7</w:t>
      </w:r>
      <w:r>
        <w:t> — </w:t>
      </w:r>
      <w:r>
        <w:rPr>
          <w:rStyle w:val="CharPartText"/>
        </w:rPr>
        <w:t>Saturday Lotto rules</w:t>
      </w:r>
      <w:bookmarkEnd w:id="379"/>
      <w:bookmarkEnd w:id="380"/>
      <w:bookmarkEnd w:id="381"/>
      <w:bookmarkEnd w:id="382"/>
      <w:bookmarkEnd w:id="383"/>
      <w:bookmarkEnd w:id="384"/>
      <w:bookmarkEnd w:id="385"/>
      <w:bookmarkEnd w:id="386"/>
    </w:p>
    <w:p>
      <w:pPr>
        <w:pStyle w:val="Heading3"/>
      </w:pPr>
      <w:bookmarkStart w:id="387" w:name="_Toc34139561"/>
      <w:bookmarkStart w:id="388" w:name="_Toc34139773"/>
      <w:bookmarkStart w:id="389" w:name="_Toc34147950"/>
      <w:bookmarkStart w:id="390" w:name="_Toc34207503"/>
      <w:bookmarkStart w:id="391" w:name="_Toc34291498"/>
      <w:bookmarkStart w:id="392" w:name="_Toc25657406"/>
      <w:bookmarkStart w:id="393" w:name="_Toc25760872"/>
      <w:bookmarkStart w:id="394" w:name="_Toc25761201"/>
      <w:r>
        <w:rPr>
          <w:rStyle w:val="CharDivNo"/>
        </w:rPr>
        <w:t>Division 1</w:t>
      </w:r>
      <w:r>
        <w:t> — </w:t>
      </w:r>
      <w:r>
        <w:rPr>
          <w:rStyle w:val="CharDivText"/>
        </w:rPr>
        <w:t>Requirements for entry</w:t>
      </w:r>
      <w:bookmarkEnd w:id="387"/>
      <w:bookmarkEnd w:id="388"/>
      <w:bookmarkEnd w:id="389"/>
      <w:bookmarkEnd w:id="390"/>
      <w:bookmarkEnd w:id="391"/>
      <w:bookmarkEnd w:id="392"/>
      <w:bookmarkEnd w:id="393"/>
      <w:bookmarkEnd w:id="394"/>
    </w:p>
    <w:p>
      <w:pPr>
        <w:pStyle w:val="Heading5"/>
      </w:pPr>
      <w:bookmarkStart w:id="395" w:name="_Toc34291499"/>
      <w:bookmarkStart w:id="396" w:name="_Toc25761202"/>
      <w:r>
        <w:rPr>
          <w:rStyle w:val="CharSectno"/>
        </w:rPr>
        <w:t>99</w:t>
      </w:r>
      <w:r>
        <w:t>.</w:t>
      </w:r>
      <w:r>
        <w:tab/>
        <w:t>Terms used</w:t>
      </w:r>
      <w:bookmarkEnd w:id="395"/>
      <w:bookmarkEnd w:id="396"/>
      <w:r>
        <w:t xml:space="preserve"> </w:t>
      </w:r>
    </w:p>
    <w:p>
      <w:pPr>
        <w:pStyle w:val="Subsection"/>
        <w:rPr>
          <w:snapToGrid w:val="0"/>
        </w:rPr>
      </w:pPr>
      <w:r>
        <w:tab/>
      </w:r>
      <w:r>
        <w:tab/>
      </w:r>
      <w:r>
        <w:rPr>
          <w:snapToGrid w:val="0"/>
        </w:rPr>
        <w:t>In this Part —</w:t>
      </w:r>
    </w:p>
    <w:p>
      <w:pPr>
        <w:pStyle w:val="Defstart"/>
      </w:pPr>
      <w:r>
        <w:rPr>
          <w:b/>
        </w:rPr>
        <w:tab/>
      </w:r>
      <w:r>
        <w:rPr>
          <w:rStyle w:val="CharDefText"/>
        </w:rPr>
        <w:t>agent’s component</w:t>
      </w:r>
      <w:r>
        <w:t xml:space="preserve"> means that part of the entry cost (added to the subscription) calculated in accordance with the formula set out in Schedule 6 Division 1 that is payable to the agent;</w:t>
      </w:r>
    </w:p>
    <w:p>
      <w:pPr>
        <w:pStyle w:val="Defstart"/>
      </w:pPr>
      <w:r>
        <w:rPr>
          <w:b/>
        </w:rPr>
        <w:tab/>
      </w:r>
      <w:r>
        <w:rPr>
          <w:rStyle w:val="CharDefText"/>
        </w:rPr>
        <w:t>entry</w:t>
      </w:r>
      <w:r>
        <w:t xml:space="preserve"> means an entry as described in rule 4 or an entry as a result of redemption of a promotional coupon;</w:t>
      </w:r>
    </w:p>
    <w:p>
      <w:pPr>
        <w:pStyle w:val="Defstart"/>
      </w:pPr>
      <w:r>
        <w:rPr>
          <w:b/>
        </w:rPr>
        <w:tab/>
      </w:r>
      <w:r>
        <w:rPr>
          <w:rStyle w:val="CharDefText"/>
        </w:rPr>
        <w:t>game</w:t>
      </w:r>
      <w:r>
        <w:t xml:space="preserve"> means —</w:t>
      </w:r>
    </w:p>
    <w:p>
      <w:pPr>
        <w:pStyle w:val="Defpara"/>
      </w:pPr>
      <w:r>
        <w:tab/>
        <w:t>(a)</w:t>
      </w:r>
      <w:r>
        <w:tab/>
        <w:t>that part of an entry consisting of 6 selected numbers; and</w:t>
      </w:r>
    </w:p>
    <w:p>
      <w:pPr>
        <w:pStyle w:val="Defpara"/>
      </w:pPr>
      <w:r>
        <w:tab/>
        <w:t>(b)</w:t>
      </w:r>
      <w:r>
        <w:tab/>
        <w:t>in relation to a system entry, one of the notional multiple games making up that system entry;</w:t>
      </w:r>
    </w:p>
    <w:p>
      <w:pPr>
        <w:pStyle w:val="Defstart"/>
      </w:pPr>
      <w:r>
        <w:rPr>
          <w:b/>
        </w:rPr>
        <w:tab/>
      </w:r>
      <w:r>
        <w:rPr>
          <w:rStyle w:val="CharDefText"/>
        </w:rPr>
        <w:t>prize fund</w:t>
      </w:r>
      <w:r>
        <w:t xml:space="preserve"> means the fund maintained by the Lotto Bloc in accordance with the agreement referred to in rule 103(1) and consisting of the Saturday Lotto prize pool and the prize reserve fund;</w:t>
      </w:r>
    </w:p>
    <w:p>
      <w:pPr>
        <w:pStyle w:val="Defstart"/>
      </w:pPr>
      <w:r>
        <w:rPr>
          <w:b/>
        </w:rPr>
        <w:tab/>
      </w:r>
      <w:r>
        <w:rPr>
          <w:rStyle w:val="CharDefText"/>
        </w:rPr>
        <w:t>prize pool</w:t>
      </w:r>
      <w:r>
        <w:t xml:space="preserve"> means the prize pool referred to in rule 103(2)(a);</w:t>
      </w:r>
    </w:p>
    <w:p>
      <w:pPr>
        <w:pStyle w:val="Defstart"/>
      </w:pPr>
      <w:r>
        <w:rPr>
          <w:b/>
        </w:rPr>
        <w:tab/>
      </w:r>
      <w:r>
        <w:rPr>
          <w:rStyle w:val="CharDefText"/>
        </w:rPr>
        <w:t>prize reserve fund</w:t>
      </w:r>
      <w:r>
        <w:t xml:space="preserve"> means the fund referred to in rule 103(2)(b);</w:t>
      </w:r>
    </w:p>
    <w:p>
      <w:pPr>
        <w:pStyle w:val="Defstart"/>
      </w:pPr>
      <w:r>
        <w:rPr>
          <w:b/>
        </w:rPr>
        <w:tab/>
      </w:r>
      <w:r>
        <w:rPr>
          <w:rStyle w:val="CharDefText"/>
        </w:rPr>
        <w:t>supplementary number</w:t>
      </w:r>
      <w:r>
        <w:t xml:space="preserve"> means either of the last 2 numbers drawn in a Saturday Lotto draw;</w:t>
      </w:r>
    </w:p>
    <w:p>
      <w:pPr>
        <w:pStyle w:val="Defstart"/>
      </w:pPr>
      <w:r>
        <w:rPr>
          <w:b/>
        </w:rPr>
        <w:tab/>
      </w:r>
      <w:r>
        <w:rPr>
          <w:rStyle w:val="CharDefText"/>
        </w:rPr>
        <w:t>total prize pool</w:t>
      </w:r>
      <w:r>
        <w:t xml:space="preserve"> means the prize pool for a Saturday Lotto draw, plus any jackpot from a previous draw and any amount that has been taken from the prize reserve fund under rule 109 to increase the division 1 prize pool to a guaranteed minimum amount;</w:t>
      </w:r>
    </w:p>
    <w:p>
      <w:pPr>
        <w:pStyle w:val="Defstart"/>
      </w:pPr>
      <w:r>
        <w:tab/>
      </w:r>
      <w:r>
        <w:rPr>
          <w:rStyle w:val="CharDefText"/>
        </w:rPr>
        <w:t>validation period</w:t>
      </w:r>
      <w:r>
        <w:t xml:space="preserve"> means the period of time commencing at midnight on the day of determination of a Saturday Lotto draw’s results and ending at the close of business on the 14th</w:t>
      </w:r>
      <w:r>
        <w:rPr>
          <w:vertAlign w:val="superscript"/>
        </w:rPr>
        <w:t> </w:t>
      </w:r>
      <w:r>
        <w:t>day following that day (or on the business day preceding that 14th</w:t>
      </w:r>
      <w:r>
        <w:rPr>
          <w:vertAlign w:val="superscript"/>
        </w:rPr>
        <w:t> </w:t>
      </w:r>
      <w:r>
        <w:t>day, if the day falls on a weekend or public holiday);</w:t>
      </w:r>
    </w:p>
    <w:p>
      <w:pPr>
        <w:pStyle w:val="Defstart"/>
      </w:pPr>
      <w:r>
        <w:rPr>
          <w:b/>
        </w:rPr>
        <w:tab/>
      </w:r>
      <w:r>
        <w:rPr>
          <w:rStyle w:val="CharDefText"/>
        </w:rPr>
        <w:t>winning number</w:t>
      </w:r>
      <w:r>
        <w:t xml:space="preserve"> means any one of the first 6 numbers drawn in a Saturday Lotto draw.</w:t>
      </w:r>
    </w:p>
    <w:p>
      <w:pPr>
        <w:pStyle w:val="Footnotesection"/>
      </w:pPr>
      <w:r>
        <w:tab/>
        <w:t>[Rule 99 amended: Gazette 4 Oct 2017 p. 5133.]</w:t>
      </w:r>
    </w:p>
    <w:p>
      <w:pPr>
        <w:pStyle w:val="Ednotesection"/>
      </w:pPr>
      <w:r>
        <w:t>[</w:t>
      </w:r>
      <w:r>
        <w:rPr>
          <w:b/>
        </w:rPr>
        <w:t>100.</w:t>
      </w:r>
      <w:r>
        <w:tab/>
        <w:t>Deleted: Gazette 4 Oct 2017 p. 5134.]</w:t>
      </w:r>
    </w:p>
    <w:p>
      <w:pPr>
        <w:pStyle w:val="Heading5"/>
        <w:rPr>
          <w:snapToGrid w:val="0"/>
        </w:rPr>
      </w:pPr>
      <w:bookmarkStart w:id="397" w:name="_Toc34291500"/>
      <w:bookmarkStart w:id="398" w:name="_Toc25761203"/>
      <w:r>
        <w:rPr>
          <w:rStyle w:val="CharSectno"/>
        </w:rPr>
        <w:t>101</w:t>
      </w:r>
      <w:r>
        <w:t>.</w:t>
      </w:r>
      <w:r>
        <w:rPr>
          <w:snapToGrid w:val="0"/>
        </w:rPr>
        <w:tab/>
        <w:t>How to fill out a playslip</w:t>
      </w:r>
      <w:bookmarkEnd w:id="397"/>
      <w:bookmarkEnd w:id="398"/>
    </w:p>
    <w:p>
      <w:pPr>
        <w:pStyle w:val="Subsection"/>
        <w:rPr>
          <w:snapToGrid w:val="0"/>
        </w:rPr>
      </w:pPr>
      <w:r>
        <w:rPr>
          <w:snapToGrid w:val="0"/>
        </w:rPr>
        <w:tab/>
      </w:r>
      <w:r>
        <w:t>(1)</w:t>
      </w:r>
      <w:r>
        <w:rPr>
          <w:snapToGrid w:val="0"/>
        </w:rPr>
        <w:tab/>
        <w:t>To enter Saturday Lotto using</w:t>
      </w:r>
      <w:r>
        <w:t xml:space="preserve"> a playslip,</w:t>
      </w:r>
      <w:r>
        <w:rPr>
          <w:snapToGrid w:val="0"/>
        </w:rPr>
        <w:t xml:space="preserve"> a subscriber must —</w:t>
      </w:r>
    </w:p>
    <w:p>
      <w:pPr>
        <w:pStyle w:val="Indenta"/>
        <w:rPr>
          <w:snapToGrid w:val="0"/>
        </w:rPr>
      </w:pPr>
      <w:r>
        <w:rPr>
          <w:snapToGrid w:val="0"/>
        </w:rPr>
        <w:tab/>
      </w:r>
      <w:r>
        <w:t>(a)</w:t>
      </w:r>
      <w:r>
        <w:rPr>
          <w:snapToGrid w:val="0"/>
        </w:rPr>
        <w:tab/>
        <w:t>select 6 numbers between 1 and 45 in each of at least 4 game boards on</w:t>
      </w:r>
      <w:r>
        <w:t xml:space="preserve"> the playslip;</w:t>
      </w:r>
      <w:r>
        <w:rPr>
          <w:snapToGrid w:val="0"/>
        </w:rPr>
        <w:t xml:space="preserve"> or</w:t>
      </w:r>
    </w:p>
    <w:p>
      <w:pPr>
        <w:pStyle w:val="Indenta"/>
        <w:rPr>
          <w:snapToGrid w:val="0"/>
        </w:rPr>
      </w:pPr>
      <w:r>
        <w:rPr>
          <w:snapToGrid w:val="0"/>
        </w:rPr>
        <w:tab/>
      </w:r>
      <w:r>
        <w:t>(b)</w:t>
      </w:r>
      <w:r>
        <w:rPr>
          <w:snapToGrid w:val="0"/>
        </w:rPr>
        <w:tab/>
        <w:t>select between 4 and 20 numbers (but not 6 numbers) between 1 and 45 in one or more game boards on</w:t>
      </w:r>
      <w:r>
        <w:t xml:space="preserve"> the playslip (</w:t>
      </w:r>
      <w:r>
        <w:rPr>
          <w:i/>
        </w:rPr>
        <w:t>i.e. a system entry</w:t>
      </w:r>
      <w:r>
        <w:t>).</w:t>
      </w:r>
    </w:p>
    <w:p>
      <w:pPr>
        <w:pStyle w:val="Subsection"/>
        <w:rPr>
          <w:snapToGrid w:val="0"/>
        </w:rPr>
      </w:pPr>
      <w:r>
        <w:rPr>
          <w:snapToGrid w:val="0"/>
        </w:rPr>
        <w:tab/>
      </w:r>
      <w:r>
        <w:t>(2)</w:t>
      </w:r>
      <w:r>
        <w:rPr>
          <w:snapToGrid w:val="0"/>
        </w:rPr>
        <w:tab/>
        <w:t xml:space="preserve">A subscriber who has filled out a game board on a </w:t>
      </w:r>
      <w:r>
        <w:t>playslip</w:t>
      </w:r>
      <w:r>
        <w:rPr>
          <w:snapToGrid w:val="0"/>
        </w:rPr>
        <w:t xml:space="preserve"> in accordance with subrule (1) may enter up to 17 further entries on that </w:t>
      </w:r>
      <w:r>
        <w:t>playslip</w:t>
      </w:r>
      <w:r>
        <w:rPr>
          <w:snapToGrid w:val="0"/>
        </w:rPr>
        <w:t xml:space="preserve"> by selecting, in each further game board, the same number of numbers as were selected in the first game board, but only up to an entry cost that does not, in aggregate, exceed</w:t>
      </w:r>
      <w:r>
        <w:t xml:space="preserve"> $100 000.</w:t>
      </w:r>
    </w:p>
    <w:p>
      <w:pPr>
        <w:pStyle w:val="Subsection"/>
        <w:rPr>
          <w:snapToGrid w:val="0"/>
        </w:rPr>
      </w:pPr>
      <w:r>
        <w:rPr>
          <w:snapToGrid w:val="0"/>
        </w:rPr>
        <w:tab/>
      </w:r>
      <w:r>
        <w:t>(3)</w:t>
      </w:r>
      <w:r>
        <w:rPr>
          <w:snapToGrid w:val="0"/>
        </w:rPr>
        <w:tab/>
        <w:t>The subscriber must also mark in the appropriate boxes on the</w:t>
      </w:r>
      <w:r>
        <w:t xml:space="preserve"> playslip</w:t>
      </w:r>
      <w:r>
        <w:rPr>
          <w:snapToGrid w:val="0"/>
        </w:rPr>
        <w:t> —</w:t>
      </w:r>
    </w:p>
    <w:p>
      <w:pPr>
        <w:pStyle w:val="Indenta"/>
        <w:rPr>
          <w:snapToGrid w:val="0"/>
        </w:rPr>
      </w:pPr>
      <w:r>
        <w:rPr>
          <w:snapToGrid w:val="0"/>
        </w:rPr>
        <w:tab/>
      </w:r>
      <w:r>
        <w:t>(a)</w:t>
      </w:r>
      <w:r>
        <w:rPr>
          <w:snapToGrid w:val="0"/>
        </w:rPr>
        <w:tab/>
        <w:t xml:space="preserve">whether the </w:t>
      </w:r>
      <w:r>
        <w:t>playslip</w:t>
      </w:r>
      <w:r>
        <w:rPr>
          <w:snapToGrid w:val="0"/>
        </w:rPr>
        <w:t xml:space="preserve"> is to be entered in Saturday Lotto; and</w:t>
      </w:r>
    </w:p>
    <w:p>
      <w:pPr>
        <w:pStyle w:val="Indenta"/>
        <w:rPr>
          <w:snapToGrid w:val="0"/>
        </w:rPr>
      </w:pPr>
      <w:r>
        <w:rPr>
          <w:snapToGrid w:val="0"/>
        </w:rPr>
        <w:tab/>
      </w:r>
      <w:r>
        <w:t>(b)</w:t>
      </w:r>
      <w:r>
        <w:rPr>
          <w:snapToGrid w:val="0"/>
        </w:rPr>
        <w:tab/>
        <w:t>whether the method of entry is a “system” entry, being either a system 4</w:t>
      </w:r>
      <w:r>
        <w:rPr>
          <w:snapToGrid w:val="0"/>
        </w:rPr>
        <w:noBreakHyphen/>
        <w:t>5 or a system 7</w:t>
      </w:r>
      <w:r>
        <w:rPr>
          <w:snapToGrid w:val="0"/>
        </w:rPr>
        <w:noBreakHyphen/>
        <w:t>20, depending on the number of selected numbers in each completed game board.</w:t>
      </w:r>
    </w:p>
    <w:p>
      <w:pPr>
        <w:pStyle w:val="Subsection"/>
      </w:pPr>
      <w:r>
        <w:tab/>
        <w:t>(4)</w:t>
      </w:r>
      <w:r>
        <w:tab/>
        <w:t>In addition to allowing an entry for a particular draw or draws, the Commission may allow a Saturday Lotto entry to be for up to 10 consecutive weeks and, where offered, the subscriber must specify how many consecutive weeks they wish to enter.</w:t>
      </w:r>
    </w:p>
    <w:p>
      <w:pPr>
        <w:pStyle w:val="Subsection"/>
        <w:rPr>
          <w:snapToGrid w:val="0"/>
        </w:rPr>
      </w:pPr>
      <w:r>
        <w:rPr>
          <w:snapToGrid w:val="0"/>
        </w:rPr>
        <w:tab/>
      </w:r>
      <w:r>
        <w:t>(5)</w:t>
      </w:r>
      <w:r>
        <w:rPr>
          <w:snapToGrid w:val="0"/>
        </w:rPr>
        <w:tab/>
        <w:t>If a subscriber selects, in each completed game board on the</w:t>
      </w:r>
      <w:r>
        <w:t xml:space="preserve"> playslip</w:t>
      </w:r>
      <w:r>
        <w:rPr>
          <w:snapToGrid w:val="0"/>
        </w:rPr>
        <w:t> —</w:t>
      </w:r>
    </w:p>
    <w:p>
      <w:pPr>
        <w:pStyle w:val="Indenta"/>
        <w:rPr>
          <w:snapToGrid w:val="0"/>
        </w:rPr>
      </w:pPr>
      <w:r>
        <w:rPr>
          <w:snapToGrid w:val="0"/>
        </w:rPr>
        <w:tab/>
      </w:r>
      <w:r>
        <w:t>(a)</w:t>
      </w:r>
      <w:r>
        <w:rPr>
          <w:snapToGrid w:val="0"/>
        </w:rPr>
        <w:tab/>
        <w:t>6 selected numbers, the resulting receipted ticket constitutes one entry (made up of no fewer than 4 and up to 18 games) in Saturday Lotto; or</w:t>
      </w:r>
    </w:p>
    <w:p>
      <w:pPr>
        <w:pStyle w:val="Indenta"/>
        <w:rPr>
          <w:snapToGrid w:val="0"/>
        </w:rPr>
      </w:pPr>
      <w:r>
        <w:rPr>
          <w:snapToGrid w:val="0"/>
        </w:rPr>
        <w:tab/>
      </w:r>
      <w:r>
        <w:t>(b)</w:t>
      </w:r>
      <w:r>
        <w:rPr>
          <w:snapToGrid w:val="0"/>
        </w:rPr>
        <w:tab/>
        <w:t>between 4 and 20 numbers (but not 6 numbers), the resulting receipted ticket constitutes one entry in Saturday Lotto for each completed game board on the</w:t>
      </w:r>
      <w:r>
        <w:t xml:space="preserve"> playslip (</w:t>
      </w:r>
      <w:r>
        <w:rPr>
          <w:i/>
        </w:rPr>
        <w:t>i.e. a system entry</w:t>
      </w:r>
      <w:r>
        <w:t>).</w:t>
      </w:r>
    </w:p>
    <w:p>
      <w:pPr>
        <w:pStyle w:val="Subsection"/>
      </w:pPr>
      <w:r>
        <w:tab/>
        <w:t>(6)</w:t>
      </w:r>
      <w:r>
        <w:tab/>
        <w:t>A receipted ticket must be given to the subscriber upon payment of the amount calculated in accordance with Schedule 6 Division 1.</w:t>
      </w:r>
    </w:p>
    <w:p>
      <w:pPr>
        <w:pStyle w:val="Footnotesection"/>
      </w:pPr>
      <w:r>
        <w:tab/>
        <w:t>[Rule 101 amended: Gazette 4 Oct 2017 p. 5134.]</w:t>
      </w:r>
    </w:p>
    <w:p>
      <w:pPr>
        <w:pStyle w:val="Heading5"/>
        <w:rPr>
          <w:snapToGrid w:val="0"/>
        </w:rPr>
      </w:pPr>
      <w:bookmarkStart w:id="399" w:name="_Toc34291501"/>
      <w:bookmarkStart w:id="400" w:name="_Toc25761204"/>
      <w:r>
        <w:rPr>
          <w:rStyle w:val="CharSectno"/>
        </w:rPr>
        <w:t>102</w:t>
      </w:r>
      <w:r>
        <w:t>.</w:t>
      </w:r>
      <w:r>
        <w:rPr>
          <w:snapToGrid w:val="0"/>
        </w:rPr>
        <w:tab/>
        <w:t>Oral request for entry</w:t>
      </w:r>
      <w:bookmarkEnd w:id="399"/>
      <w:bookmarkEnd w:id="400"/>
    </w:p>
    <w:p>
      <w:pPr>
        <w:pStyle w:val="Subsection"/>
        <w:rPr>
          <w:snapToGrid w:val="0"/>
        </w:rPr>
      </w:pPr>
      <w:r>
        <w:rPr>
          <w:snapToGrid w:val="0"/>
        </w:rPr>
        <w:tab/>
      </w:r>
      <w:r>
        <w:t>(1)</w:t>
      </w:r>
      <w:r>
        <w:rPr>
          <w:snapToGrid w:val="0"/>
        </w:rPr>
        <w:tab/>
        <w:t xml:space="preserve">To enter Saturday Lotto without </w:t>
      </w:r>
      <w:r>
        <w:t xml:space="preserve">a playslip or a promotional coupon, and without requesting a ticket repeat or favourite numbers option, </w:t>
      </w:r>
      <w:r>
        <w:rPr>
          <w:snapToGrid w:val="0"/>
        </w:rPr>
        <w:t>a subscriber must make an oral request to an agent stating —</w:t>
      </w:r>
    </w:p>
    <w:p>
      <w:pPr>
        <w:pStyle w:val="Indenta"/>
        <w:rPr>
          <w:snapToGrid w:val="0"/>
        </w:rPr>
      </w:pPr>
      <w:r>
        <w:rPr>
          <w:snapToGrid w:val="0"/>
        </w:rPr>
        <w:tab/>
      </w:r>
      <w:r>
        <w:t>(a)</w:t>
      </w:r>
      <w:r>
        <w:rPr>
          <w:snapToGrid w:val="0"/>
        </w:rPr>
        <w:tab/>
        <w:t>that the entry is for Saturday Lotto; and</w:t>
      </w:r>
    </w:p>
    <w:p>
      <w:pPr>
        <w:pStyle w:val="Indenta"/>
        <w:rPr>
          <w:snapToGrid w:val="0"/>
        </w:rPr>
      </w:pPr>
      <w:r>
        <w:rPr>
          <w:snapToGrid w:val="0"/>
        </w:rPr>
        <w:tab/>
      </w:r>
      <w:r>
        <w:t>(b)</w:t>
      </w:r>
      <w:r>
        <w:rPr>
          <w:snapToGrid w:val="0"/>
        </w:rPr>
        <w:tab/>
        <w:t>which day or days that the entry is to be for; and</w:t>
      </w:r>
    </w:p>
    <w:p>
      <w:pPr>
        <w:pStyle w:val="Indenta"/>
        <w:rPr>
          <w:snapToGrid w:val="0"/>
        </w:rPr>
      </w:pPr>
      <w:r>
        <w:rPr>
          <w:snapToGrid w:val="0"/>
        </w:rPr>
        <w:tab/>
      </w:r>
      <w:r>
        <w:t>(c)</w:t>
      </w:r>
      <w:r>
        <w:rPr>
          <w:snapToGrid w:val="0"/>
        </w:rPr>
        <w:tab/>
        <w:t>whether the subscriber wishes to select —</w:t>
      </w:r>
    </w:p>
    <w:p>
      <w:pPr>
        <w:pStyle w:val="Indenti"/>
        <w:rPr>
          <w:snapToGrid w:val="0"/>
        </w:rPr>
      </w:pPr>
      <w:r>
        <w:rPr>
          <w:snapToGrid w:val="0"/>
        </w:rPr>
        <w:tab/>
        <w:t>(i)</w:t>
      </w:r>
      <w:r>
        <w:rPr>
          <w:snapToGrid w:val="0"/>
        </w:rPr>
        <w:tab/>
        <w:t>6 numbers; or</w:t>
      </w:r>
    </w:p>
    <w:p>
      <w:pPr>
        <w:pStyle w:val="Indenti"/>
        <w:keepNext/>
        <w:rPr>
          <w:snapToGrid w:val="0"/>
        </w:rPr>
      </w:pPr>
      <w:r>
        <w:rPr>
          <w:snapToGrid w:val="0"/>
        </w:rPr>
        <w:tab/>
        <w:t>(ii)</w:t>
      </w:r>
      <w:r>
        <w:rPr>
          <w:snapToGrid w:val="0"/>
        </w:rPr>
        <w:tab/>
        <w:t>between 4 and 20 numbers (but not 6 numbers) (</w:t>
      </w:r>
      <w:bookmarkStart w:id="401" w:name="RuleErr_5"/>
      <w:r>
        <w:rPr>
          <w:i/>
          <w:snapToGrid w:val="0"/>
        </w:rPr>
        <w:t>i.e. a system entry</w:t>
      </w:r>
      <w:bookmarkEnd w:id="401"/>
      <w:r>
        <w:rPr>
          <w:snapToGrid w:val="0"/>
        </w:rPr>
        <w:t>);</w:t>
      </w:r>
    </w:p>
    <w:p>
      <w:pPr>
        <w:pStyle w:val="Indenta"/>
        <w:keepNext/>
      </w:pPr>
      <w:r>
        <w:tab/>
      </w:r>
      <w:r>
        <w:tab/>
      </w:r>
      <w:r>
        <w:rPr>
          <w:snapToGrid w:val="0"/>
        </w:rPr>
        <w:t>and</w:t>
      </w:r>
    </w:p>
    <w:p>
      <w:pPr>
        <w:pStyle w:val="Indenta"/>
      </w:pPr>
      <w:r>
        <w:tab/>
        <w:t>(d)</w:t>
      </w:r>
      <w:r>
        <w:tab/>
        <w:t>if the subscriber selects 6 numbers, where available, exactly how many games the subscriber wants to be entered, with a minimum of 4 and a maximum of 50.</w:t>
      </w:r>
    </w:p>
    <w:p>
      <w:pPr>
        <w:pStyle w:val="Subsection"/>
        <w:keepNext/>
        <w:rPr>
          <w:snapToGrid w:val="0"/>
        </w:rPr>
      </w:pPr>
      <w:r>
        <w:rPr>
          <w:snapToGrid w:val="0"/>
        </w:rPr>
        <w:tab/>
      </w:r>
      <w:r>
        <w:t>(2)</w:t>
      </w:r>
      <w:r>
        <w:rPr>
          <w:snapToGrid w:val="0"/>
        </w:rPr>
        <w:tab/>
        <w:t>If a subscriber requests —</w:t>
      </w:r>
    </w:p>
    <w:p>
      <w:pPr>
        <w:pStyle w:val="Indenta"/>
        <w:rPr>
          <w:snapToGrid w:val="0"/>
        </w:rPr>
      </w:pPr>
      <w:r>
        <w:rPr>
          <w:snapToGrid w:val="0"/>
        </w:rPr>
        <w:tab/>
      </w:r>
      <w:r>
        <w:t>(a)</w:t>
      </w:r>
      <w:r>
        <w:rPr>
          <w:snapToGrid w:val="0"/>
        </w:rPr>
        <w:tab/>
        <w:t>6 numbers, the entry will be entered in</w:t>
      </w:r>
      <w:r>
        <w:t xml:space="preserve"> the number of games selected under subrule (1)(d);</w:t>
      </w:r>
      <w:r>
        <w:rPr>
          <w:snapToGrid w:val="0"/>
        </w:rPr>
        <w:t xml:space="preserve"> or</w:t>
      </w:r>
    </w:p>
    <w:p>
      <w:pPr>
        <w:pStyle w:val="Indenta"/>
        <w:keepNext/>
        <w:rPr>
          <w:snapToGrid w:val="0"/>
        </w:rPr>
      </w:pPr>
      <w:r>
        <w:rPr>
          <w:snapToGrid w:val="0"/>
        </w:rPr>
        <w:tab/>
      </w:r>
      <w:r>
        <w:t>(b)</w:t>
      </w:r>
      <w:r>
        <w:rPr>
          <w:snapToGrid w:val="0"/>
        </w:rPr>
        <w:tab/>
        <w:t>between 4 and 20 numbers (but not 6 numbers), the entry will be entered as one system entry,</w:t>
      </w:r>
    </w:p>
    <w:p>
      <w:pPr>
        <w:pStyle w:val="Subsection"/>
        <w:spacing w:before="120"/>
        <w:rPr>
          <w:snapToGrid w:val="0"/>
        </w:rPr>
      </w:pPr>
      <w:r>
        <w:rPr>
          <w:snapToGrid w:val="0"/>
        </w:rPr>
        <w:tab/>
      </w:r>
      <w:r>
        <w:rPr>
          <w:snapToGrid w:val="0"/>
        </w:rPr>
        <w:tab/>
        <w:t>and the resulting receipted ticket constitutes one entry in Saturday Lotto.</w:t>
      </w:r>
    </w:p>
    <w:p>
      <w:pPr>
        <w:pStyle w:val="Subsection"/>
      </w:pPr>
      <w:r>
        <w:tab/>
        <w:t>(3)</w:t>
      </w:r>
      <w:r>
        <w:tab/>
        <w:t>A receipted ticket must be given to the subscriber upon payment of the amount calculated in accordance with Schedule 6 Division 1.</w:t>
      </w:r>
    </w:p>
    <w:p>
      <w:pPr>
        <w:pStyle w:val="Footnotesection"/>
      </w:pPr>
      <w:r>
        <w:tab/>
        <w:t>[Rule 102 amended: Gazette 4 Oct 2017 p. 5134.]</w:t>
      </w:r>
    </w:p>
    <w:p>
      <w:pPr>
        <w:pStyle w:val="Heading3"/>
      </w:pPr>
      <w:bookmarkStart w:id="402" w:name="_Toc34139565"/>
      <w:bookmarkStart w:id="403" w:name="_Toc34139777"/>
      <w:bookmarkStart w:id="404" w:name="_Toc34147954"/>
      <w:bookmarkStart w:id="405" w:name="_Toc34207507"/>
      <w:bookmarkStart w:id="406" w:name="_Toc34291502"/>
      <w:bookmarkStart w:id="407" w:name="_Toc25657410"/>
      <w:bookmarkStart w:id="408" w:name="_Toc25760876"/>
      <w:bookmarkStart w:id="409" w:name="_Toc25761205"/>
      <w:r>
        <w:rPr>
          <w:rStyle w:val="CharDivNo"/>
        </w:rPr>
        <w:t>Division 2</w:t>
      </w:r>
      <w:r>
        <w:t> — </w:t>
      </w:r>
      <w:r>
        <w:rPr>
          <w:rStyle w:val="CharDivText"/>
        </w:rPr>
        <w:t>Prize pool and prize reserve fund</w:t>
      </w:r>
      <w:bookmarkEnd w:id="402"/>
      <w:bookmarkEnd w:id="403"/>
      <w:bookmarkEnd w:id="404"/>
      <w:bookmarkEnd w:id="405"/>
      <w:bookmarkEnd w:id="406"/>
      <w:bookmarkEnd w:id="407"/>
      <w:bookmarkEnd w:id="408"/>
      <w:bookmarkEnd w:id="409"/>
    </w:p>
    <w:p>
      <w:pPr>
        <w:pStyle w:val="Heading5"/>
        <w:rPr>
          <w:snapToGrid w:val="0"/>
        </w:rPr>
      </w:pPr>
      <w:bookmarkStart w:id="410" w:name="_Toc34291503"/>
      <w:bookmarkStart w:id="411" w:name="_Toc25761206"/>
      <w:r>
        <w:rPr>
          <w:rStyle w:val="CharSectno"/>
        </w:rPr>
        <w:t>103</w:t>
      </w:r>
      <w:r>
        <w:rPr>
          <w:snapToGrid w:val="0"/>
        </w:rPr>
        <w:t>.</w:t>
      </w:r>
      <w:r>
        <w:rPr>
          <w:snapToGrid w:val="0"/>
        </w:rPr>
        <w:tab/>
      </w:r>
      <w:r>
        <w:t>Lotto Bloc’s prize pool and prize reserve fund</w:t>
      </w:r>
      <w:bookmarkEnd w:id="410"/>
      <w:bookmarkEnd w:id="411"/>
    </w:p>
    <w:p>
      <w:pPr>
        <w:pStyle w:val="Subsection"/>
        <w:rPr>
          <w:snapToGrid w:val="0"/>
        </w:rPr>
      </w:pPr>
      <w:r>
        <w:rPr>
          <w:snapToGrid w:val="0"/>
        </w:rPr>
        <w:tab/>
      </w:r>
      <w:r>
        <w:t>(1)</w:t>
      </w:r>
      <w:r>
        <w:rPr>
          <w:snapToGrid w:val="0"/>
        </w:rPr>
        <w:tab/>
        <w:t xml:space="preserve">The Commission must contribute a percentage of all subscriptions received for each Saturday Lotto draw to a combined </w:t>
      </w:r>
      <w:r>
        <w:t xml:space="preserve">Lotto Bloc’s </w:t>
      </w:r>
      <w:r>
        <w:rPr>
          <w:snapToGrid w:val="0"/>
        </w:rPr>
        <w:t>prize fund in accordance with the appropriate agreement and the permit for that lotto draw.</w:t>
      </w:r>
    </w:p>
    <w:p>
      <w:pPr>
        <w:pStyle w:val="Subsection"/>
        <w:rPr>
          <w:snapToGrid w:val="0"/>
        </w:rPr>
      </w:pPr>
      <w:r>
        <w:rPr>
          <w:snapToGrid w:val="0"/>
        </w:rPr>
        <w:tab/>
      </w:r>
      <w:r>
        <w:t>(2)</w:t>
      </w:r>
      <w:r>
        <w:rPr>
          <w:snapToGrid w:val="0"/>
        </w:rPr>
        <w:tab/>
        <w:t xml:space="preserve">The </w:t>
      </w:r>
      <w:r>
        <w:t>total contribution under subrule (1) is</w:t>
      </w:r>
      <w:r>
        <w:rPr>
          <w:snapToGrid w:val="0"/>
        </w:rPr>
        <w:t xml:space="preserve"> to be divided so that —</w:t>
      </w:r>
    </w:p>
    <w:p>
      <w:pPr>
        <w:pStyle w:val="Indenta"/>
        <w:rPr>
          <w:snapToGrid w:val="0"/>
        </w:rPr>
      </w:pPr>
      <w:r>
        <w:rPr>
          <w:snapToGrid w:val="0"/>
        </w:rPr>
        <w:tab/>
      </w:r>
      <w:r>
        <w:t>(a)</w:t>
      </w:r>
      <w:r>
        <w:rPr>
          <w:snapToGrid w:val="0"/>
        </w:rPr>
        <w:tab/>
      </w:r>
      <w:r>
        <w:t xml:space="preserve">not less than 55% </w:t>
      </w:r>
      <w:r>
        <w:rPr>
          <w:snapToGrid w:val="0"/>
        </w:rPr>
        <w:t xml:space="preserve">of the Commission’s subscriptions go to the </w:t>
      </w:r>
      <w:r>
        <w:t xml:space="preserve">Lotto Bloc’s </w:t>
      </w:r>
      <w:r>
        <w:rPr>
          <w:snapToGrid w:val="0"/>
        </w:rPr>
        <w:t>prize pool; and</w:t>
      </w:r>
    </w:p>
    <w:p>
      <w:pPr>
        <w:pStyle w:val="Indenta"/>
        <w:rPr>
          <w:snapToGrid w:val="0"/>
        </w:rPr>
      </w:pPr>
      <w:r>
        <w:rPr>
          <w:snapToGrid w:val="0"/>
        </w:rPr>
        <w:tab/>
      </w:r>
      <w:r>
        <w:t>(b)</w:t>
      </w:r>
      <w:r>
        <w:rPr>
          <w:snapToGrid w:val="0"/>
        </w:rPr>
        <w:tab/>
        <w:t xml:space="preserve">the </w:t>
      </w:r>
      <w:r>
        <w:t>balance of the contribution</w:t>
      </w:r>
      <w:r>
        <w:rPr>
          <w:snapToGrid w:val="0"/>
        </w:rPr>
        <w:t xml:space="preserve"> goes to the </w:t>
      </w:r>
      <w:r>
        <w:t xml:space="preserve">Lotto Bloc’s </w:t>
      </w:r>
      <w:r>
        <w:rPr>
          <w:snapToGrid w:val="0"/>
        </w:rPr>
        <w:t>prize reserve fund.</w:t>
      </w:r>
    </w:p>
    <w:p>
      <w:pPr>
        <w:pStyle w:val="Subsection"/>
        <w:rPr>
          <w:snapToGrid w:val="0"/>
        </w:rPr>
      </w:pPr>
      <w:r>
        <w:rPr>
          <w:snapToGrid w:val="0"/>
        </w:rPr>
        <w:tab/>
      </w:r>
      <w:r>
        <w:t>(3)</w:t>
      </w:r>
      <w:r>
        <w:rPr>
          <w:snapToGrid w:val="0"/>
        </w:rPr>
        <w:tab/>
        <w:t xml:space="preserve">The prize reserve fund may only be distributed as additional prize money or promotional prizes, in such amounts and in such Saturday Lotto draws, as are agreed by the members of the </w:t>
      </w:r>
      <w:r>
        <w:t>Lotto Bloc.</w:t>
      </w:r>
    </w:p>
    <w:p>
      <w:pPr>
        <w:pStyle w:val="Footnotesection"/>
      </w:pPr>
      <w:r>
        <w:tab/>
        <w:t>[Rule 103 amended: Gazette 4 Oct 2017 p. 5135.]</w:t>
      </w:r>
    </w:p>
    <w:p>
      <w:pPr>
        <w:pStyle w:val="Heading3"/>
      </w:pPr>
      <w:bookmarkStart w:id="412" w:name="_Toc34139567"/>
      <w:bookmarkStart w:id="413" w:name="_Toc34139779"/>
      <w:bookmarkStart w:id="414" w:name="_Toc34147956"/>
      <w:bookmarkStart w:id="415" w:name="_Toc34207509"/>
      <w:bookmarkStart w:id="416" w:name="_Toc34291504"/>
      <w:bookmarkStart w:id="417" w:name="_Toc25657412"/>
      <w:bookmarkStart w:id="418" w:name="_Toc25760878"/>
      <w:bookmarkStart w:id="419" w:name="_Toc25761207"/>
      <w:r>
        <w:rPr>
          <w:rStyle w:val="CharDivNo"/>
        </w:rPr>
        <w:t>Division 3</w:t>
      </w:r>
      <w:r>
        <w:t> — </w:t>
      </w:r>
      <w:r>
        <w:rPr>
          <w:rStyle w:val="CharDivText"/>
        </w:rPr>
        <w:t>Saturday Lotto draw</w:t>
      </w:r>
      <w:bookmarkEnd w:id="412"/>
      <w:bookmarkEnd w:id="413"/>
      <w:bookmarkEnd w:id="414"/>
      <w:bookmarkEnd w:id="415"/>
      <w:bookmarkEnd w:id="416"/>
      <w:bookmarkEnd w:id="417"/>
      <w:bookmarkEnd w:id="418"/>
      <w:bookmarkEnd w:id="419"/>
    </w:p>
    <w:p>
      <w:pPr>
        <w:pStyle w:val="Heading5"/>
        <w:spacing w:before="180"/>
        <w:rPr>
          <w:snapToGrid w:val="0"/>
        </w:rPr>
      </w:pPr>
      <w:bookmarkStart w:id="420" w:name="_Toc34291505"/>
      <w:bookmarkStart w:id="421" w:name="_Toc25761208"/>
      <w:r>
        <w:rPr>
          <w:rStyle w:val="CharSectno"/>
        </w:rPr>
        <w:t>104</w:t>
      </w:r>
      <w:r>
        <w:t>.</w:t>
      </w:r>
      <w:r>
        <w:tab/>
        <w:t>Nature of a Saturday Lotto d</w:t>
      </w:r>
      <w:r>
        <w:rPr>
          <w:snapToGrid w:val="0"/>
        </w:rPr>
        <w:t>raw</w:t>
      </w:r>
      <w:bookmarkEnd w:id="420"/>
      <w:bookmarkEnd w:id="421"/>
    </w:p>
    <w:p>
      <w:pPr>
        <w:pStyle w:val="Subsection"/>
        <w:rPr>
          <w:snapToGrid w:val="0"/>
        </w:rPr>
      </w:pPr>
      <w:r>
        <w:rPr>
          <w:snapToGrid w:val="0"/>
        </w:rPr>
        <w:tab/>
      </w:r>
      <w:r>
        <w:rPr>
          <w:snapToGrid w:val="0"/>
        </w:rPr>
        <w:tab/>
        <w:t xml:space="preserve">A Saturday Lotto draw consists of the mechanical, equally random selection of 8 numbered </w:t>
      </w:r>
      <w:r>
        <w:t>balls (6 winning numbered balls and 2 supplementary numbered balls) from balls individually numbered from 1 to 45 inclusive</w:t>
      </w:r>
      <w:r>
        <w:rPr>
          <w:snapToGrid w:val="0"/>
        </w:rPr>
        <w:t xml:space="preserve"> in a manner and using such equipment as the Commission or a designated authority determines.</w:t>
      </w:r>
    </w:p>
    <w:p>
      <w:pPr>
        <w:pStyle w:val="Footnotesection"/>
      </w:pPr>
      <w:r>
        <w:tab/>
        <w:t>[Rule 104 amended: Gazette 4 Oct 2017 p. 5135.]</w:t>
      </w:r>
    </w:p>
    <w:p>
      <w:pPr>
        <w:pStyle w:val="Heading5"/>
        <w:rPr>
          <w:snapToGrid w:val="0"/>
        </w:rPr>
      </w:pPr>
      <w:bookmarkStart w:id="422" w:name="_Toc34291506"/>
      <w:bookmarkStart w:id="423" w:name="_Toc25761209"/>
      <w:r>
        <w:rPr>
          <w:rStyle w:val="CharSectno"/>
        </w:rPr>
        <w:t>105</w:t>
      </w:r>
      <w:r>
        <w:rPr>
          <w:snapToGrid w:val="0"/>
        </w:rPr>
        <w:t>.</w:t>
      </w:r>
      <w:r>
        <w:rPr>
          <w:snapToGrid w:val="0"/>
        </w:rPr>
        <w:tab/>
        <w:t>Criteria for winning</w:t>
      </w:r>
      <w:bookmarkEnd w:id="422"/>
      <w:bookmarkEnd w:id="423"/>
    </w:p>
    <w:p>
      <w:pPr>
        <w:pStyle w:val="Subsection"/>
        <w:rPr>
          <w:snapToGrid w:val="0"/>
        </w:rPr>
      </w:pPr>
      <w:r>
        <w:rPr>
          <w:snapToGrid w:val="0"/>
        </w:rPr>
        <w:tab/>
      </w:r>
      <w:r>
        <w:rPr>
          <w:snapToGrid w:val="0"/>
        </w:rPr>
        <w:tab/>
        <w:t xml:space="preserve">In a Saturday Lotto draw the holder of a receipted ticket </w:t>
      </w:r>
      <w:r>
        <w:t>or the purchaser of an entry under Part 2 Division 5 of these rules</w:t>
      </w:r>
      <w:r>
        <w:rPr>
          <w:iCs/>
        </w:rPr>
        <w:t xml:space="preserve"> </w:t>
      </w:r>
      <w:r>
        <w:rPr>
          <w:snapToGrid w:val="0"/>
        </w:rPr>
        <w:t>wins —</w:t>
      </w:r>
    </w:p>
    <w:p>
      <w:pPr>
        <w:pStyle w:val="Indenta"/>
        <w:spacing w:before="60"/>
        <w:rPr>
          <w:snapToGrid w:val="0"/>
        </w:rPr>
      </w:pPr>
      <w:r>
        <w:rPr>
          <w:snapToGrid w:val="0"/>
        </w:rPr>
        <w:tab/>
      </w:r>
      <w:r>
        <w:t>(a)</w:t>
      </w:r>
      <w:r>
        <w:rPr>
          <w:snapToGrid w:val="0"/>
        </w:rPr>
        <w:tab/>
        <w:t>division 1, if all 6 winning numbers;</w:t>
      </w:r>
    </w:p>
    <w:p>
      <w:pPr>
        <w:pStyle w:val="Indenta"/>
        <w:spacing w:before="60"/>
        <w:rPr>
          <w:snapToGrid w:val="0"/>
        </w:rPr>
      </w:pPr>
      <w:r>
        <w:rPr>
          <w:snapToGrid w:val="0"/>
        </w:rPr>
        <w:tab/>
      </w:r>
      <w:r>
        <w:t>(b)</w:t>
      </w:r>
      <w:r>
        <w:rPr>
          <w:snapToGrid w:val="0"/>
        </w:rPr>
        <w:tab/>
        <w:t>division 2, if any 5 winning numbers and a supplementary number;</w:t>
      </w:r>
    </w:p>
    <w:p>
      <w:pPr>
        <w:pStyle w:val="Indenta"/>
        <w:spacing w:before="60"/>
        <w:rPr>
          <w:snapToGrid w:val="0"/>
        </w:rPr>
      </w:pPr>
      <w:r>
        <w:rPr>
          <w:snapToGrid w:val="0"/>
        </w:rPr>
        <w:tab/>
      </w:r>
      <w:r>
        <w:t>(c)</w:t>
      </w:r>
      <w:r>
        <w:rPr>
          <w:snapToGrid w:val="0"/>
        </w:rPr>
        <w:tab/>
        <w:t>division 3, if any 5 winning numbers;</w:t>
      </w:r>
    </w:p>
    <w:p>
      <w:pPr>
        <w:pStyle w:val="Indenta"/>
        <w:spacing w:before="60"/>
        <w:rPr>
          <w:snapToGrid w:val="0"/>
        </w:rPr>
      </w:pPr>
      <w:r>
        <w:rPr>
          <w:snapToGrid w:val="0"/>
        </w:rPr>
        <w:tab/>
      </w:r>
      <w:r>
        <w:t>(d)</w:t>
      </w:r>
      <w:r>
        <w:rPr>
          <w:snapToGrid w:val="0"/>
        </w:rPr>
        <w:tab/>
        <w:t xml:space="preserve">division 4, if any 4 winning numbers; </w:t>
      </w:r>
    </w:p>
    <w:p>
      <w:pPr>
        <w:pStyle w:val="Indenta"/>
        <w:spacing w:before="60"/>
        <w:rPr>
          <w:snapToGrid w:val="0"/>
        </w:rPr>
      </w:pPr>
      <w:r>
        <w:rPr>
          <w:snapToGrid w:val="0"/>
        </w:rPr>
        <w:tab/>
      </w:r>
      <w:r>
        <w:t>(e)</w:t>
      </w:r>
      <w:r>
        <w:rPr>
          <w:snapToGrid w:val="0"/>
        </w:rPr>
        <w:tab/>
        <w:t>division 5, if any 3 winning numbers and a supplementary number;</w:t>
      </w:r>
    </w:p>
    <w:p>
      <w:pPr>
        <w:pStyle w:val="Indenta"/>
        <w:rPr>
          <w:snapToGrid w:val="0"/>
        </w:rPr>
      </w:pPr>
      <w:r>
        <w:tab/>
        <w:t>(f)</w:t>
      </w:r>
      <w:r>
        <w:tab/>
        <w:t>division 6, if any one or 2 winning numbers and 2 supplementary numbers,</w:t>
      </w:r>
    </w:p>
    <w:p>
      <w:pPr>
        <w:pStyle w:val="Subsection"/>
        <w:spacing w:before="60"/>
        <w:rPr>
          <w:snapToGrid w:val="0"/>
        </w:rPr>
      </w:pPr>
      <w:r>
        <w:rPr>
          <w:snapToGrid w:val="0"/>
        </w:rPr>
        <w:tab/>
      </w:r>
      <w:r>
        <w:rPr>
          <w:snapToGrid w:val="0"/>
        </w:rPr>
        <w:tab/>
        <w:t>are selected in the one game.</w:t>
      </w:r>
    </w:p>
    <w:p>
      <w:pPr>
        <w:pStyle w:val="Heading5"/>
        <w:rPr>
          <w:snapToGrid w:val="0"/>
        </w:rPr>
      </w:pPr>
      <w:bookmarkStart w:id="424" w:name="_Toc34291507"/>
      <w:bookmarkStart w:id="425" w:name="_Toc25761210"/>
      <w:r>
        <w:rPr>
          <w:rStyle w:val="CharSectno"/>
        </w:rPr>
        <w:t>106</w:t>
      </w:r>
      <w:r>
        <w:rPr>
          <w:snapToGrid w:val="0"/>
        </w:rPr>
        <w:t>.</w:t>
      </w:r>
      <w:r>
        <w:rPr>
          <w:snapToGrid w:val="0"/>
        </w:rPr>
        <w:tab/>
        <w:t>Only one prize per game except for system entries</w:t>
      </w:r>
      <w:bookmarkEnd w:id="424"/>
      <w:bookmarkEnd w:id="425"/>
    </w:p>
    <w:p>
      <w:pPr>
        <w:pStyle w:val="Subsection"/>
        <w:rPr>
          <w:snapToGrid w:val="0"/>
        </w:rPr>
      </w:pPr>
      <w:r>
        <w:rPr>
          <w:snapToGrid w:val="0"/>
        </w:rPr>
        <w:tab/>
      </w:r>
      <w:r>
        <w:t>(1)</w:t>
      </w:r>
      <w:r>
        <w:rPr>
          <w:snapToGrid w:val="0"/>
        </w:rPr>
        <w:tab/>
        <w:t xml:space="preserve">The holder of a receipted ticket which </w:t>
      </w:r>
      <w:r>
        <w:t xml:space="preserve">contains, or the purchaser of an entry under Part 2 Division 5 of these rules which comprises, </w:t>
      </w:r>
      <w:r>
        <w:rPr>
          <w:snapToGrid w:val="0"/>
        </w:rPr>
        <w:t>a system entry may claim a prize in one division for each notional game making up that system entry, resulting in prizes in more than one division for that entry.</w:t>
      </w:r>
    </w:p>
    <w:p>
      <w:pPr>
        <w:pStyle w:val="Subsection"/>
      </w:pPr>
      <w:r>
        <w:tab/>
        <w:t>(2)</w:t>
      </w:r>
      <w:r>
        <w:tab/>
        <w:t>The holders of a syndicate share receipted ticket which contains a system entry may claim a share in a prize in one division for each notional game making up that system entry, resulting in shares in prizes in more than one division for that entry.</w:t>
      </w:r>
    </w:p>
    <w:p>
      <w:pPr>
        <w:pStyle w:val="Heading5"/>
        <w:rPr>
          <w:snapToGrid w:val="0"/>
        </w:rPr>
      </w:pPr>
      <w:bookmarkStart w:id="426" w:name="_Toc34291508"/>
      <w:bookmarkStart w:id="427" w:name="_Toc25761211"/>
      <w:r>
        <w:rPr>
          <w:rStyle w:val="CharSectno"/>
        </w:rPr>
        <w:t>107</w:t>
      </w:r>
      <w:r>
        <w:rPr>
          <w:snapToGrid w:val="0"/>
        </w:rPr>
        <w:t>.</w:t>
      </w:r>
      <w:r>
        <w:rPr>
          <w:snapToGrid w:val="0"/>
        </w:rPr>
        <w:tab/>
        <w:t>Distribution of prize pool</w:t>
      </w:r>
      <w:bookmarkEnd w:id="426"/>
      <w:bookmarkEnd w:id="427"/>
    </w:p>
    <w:p>
      <w:pPr>
        <w:pStyle w:val="Subsection"/>
        <w:rPr>
          <w:snapToGrid w:val="0"/>
        </w:rPr>
      </w:pPr>
      <w:r>
        <w:rPr>
          <w:snapToGrid w:val="0"/>
        </w:rPr>
        <w:tab/>
      </w:r>
      <w:r>
        <w:t>(1)</w:t>
      </w:r>
      <w:r>
        <w:rPr>
          <w:snapToGrid w:val="0"/>
        </w:rPr>
        <w:tab/>
        <w:t xml:space="preserve">If no one </w:t>
      </w:r>
      <w:r>
        <w:t>wins</w:t>
      </w:r>
      <w:r>
        <w:rPr>
          <w:snapToGrid w:val="0"/>
        </w:rPr>
        <w:t xml:space="preserve"> a division 1 prize in a particular Saturday Lotto draw, then the division 1 prize pool for that draw (including any prize reserve fund augmentation) is to be added to, and then forms part of, the division 1 prize pool for the next Saturday Lotto draw.</w:t>
      </w:r>
    </w:p>
    <w:p>
      <w:pPr>
        <w:pStyle w:val="Subsection"/>
        <w:rPr>
          <w:snapToGrid w:val="0"/>
        </w:rPr>
      </w:pPr>
      <w:r>
        <w:rPr>
          <w:snapToGrid w:val="0"/>
        </w:rPr>
        <w:tab/>
      </w:r>
      <w:r>
        <w:t>(2)</w:t>
      </w:r>
      <w:r>
        <w:rPr>
          <w:snapToGrid w:val="0"/>
        </w:rPr>
        <w:tab/>
        <w:t xml:space="preserve">If no one </w:t>
      </w:r>
      <w:r>
        <w:t>wins</w:t>
      </w:r>
      <w:r>
        <w:rPr>
          <w:snapToGrid w:val="0"/>
        </w:rPr>
        <w:t xml:space="preserve"> a division 1 prize for 5 consecutive Saturday Lotto draws, the accumulated division 1 prize pool in that 5th draw is to be added to the division 2 prize pool in that draw.</w:t>
      </w:r>
    </w:p>
    <w:p>
      <w:pPr>
        <w:pStyle w:val="Subsection"/>
        <w:rPr>
          <w:snapToGrid w:val="0"/>
        </w:rPr>
      </w:pPr>
      <w:r>
        <w:rPr>
          <w:snapToGrid w:val="0"/>
        </w:rPr>
        <w:tab/>
      </w:r>
      <w:r>
        <w:t>(3)</w:t>
      </w:r>
      <w:r>
        <w:rPr>
          <w:snapToGrid w:val="0"/>
        </w:rPr>
        <w:tab/>
        <w:t>If a division 1 prize pool is to be distributed to division 2 winners, the prize money is still treated as a division 1 prize for the purposes of claiming and payment of prizes.</w:t>
      </w:r>
    </w:p>
    <w:p>
      <w:pPr>
        <w:pStyle w:val="Heading5"/>
        <w:rPr>
          <w:snapToGrid w:val="0"/>
        </w:rPr>
      </w:pPr>
      <w:bookmarkStart w:id="428" w:name="_Toc34291509"/>
      <w:bookmarkStart w:id="429" w:name="_Toc25761212"/>
      <w:r>
        <w:rPr>
          <w:rStyle w:val="CharSectno"/>
        </w:rPr>
        <w:t>108</w:t>
      </w:r>
      <w:r>
        <w:rPr>
          <w:snapToGrid w:val="0"/>
        </w:rPr>
        <w:t>.</w:t>
      </w:r>
      <w:r>
        <w:rPr>
          <w:snapToGrid w:val="0"/>
        </w:rPr>
        <w:tab/>
        <w:t>Application of prize pool if divisions 2 to 5 prize not won</w:t>
      </w:r>
      <w:bookmarkEnd w:id="428"/>
      <w:bookmarkEnd w:id="429"/>
    </w:p>
    <w:p>
      <w:pPr>
        <w:pStyle w:val="Subsection"/>
        <w:rPr>
          <w:snapToGrid w:val="0"/>
        </w:rPr>
      </w:pPr>
      <w:r>
        <w:rPr>
          <w:snapToGrid w:val="0"/>
        </w:rPr>
        <w:tab/>
      </w:r>
      <w:r>
        <w:rPr>
          <w:snapToGrid w:val="0"/>
        </w:rPr>
        <w:tab/>
        <w:t>If no one wins a prize in division 2, 3, 4 or 5 in a particular Saturday Lotto draw, then the prize pool for that division is to be added to the prize pool for the next lower division in which there is at least one winner in that Saturday Lotto draw.</w:t>
      </w:r>
    </w:p>
    <w:p>
      <w:pPr>
        <w:pStyle w:val="Heading5"/>
        <w:rPr>
          <w:snapToGrid w:val="0"/>
        </w:rPr>
      </w:pPr>
      <w:bookmarkStart w:id="430" w:name="_Toc34291510"/>
      <w:bookmarkStart w:id="431" w:name="_Toc25761213"/>
      <w:r>
        <w:rPr>
          <w:rStyle w:val="CharSectno"/>
        </w:rPr>
        <w:t>109</w:t>
      </w:r>
      <w:r>
        <w:rPr>
          <w:snapToGrid w:val="0"/>
        </w:rPr>
        <w:t>.</w:t>
      </w:r>
      <w:r>
        <w:rPr>
          <w:snapToGrid w:val="0"/>
        </w:rPr>
        <w:tab/>
        <w:t>Bonus draws and guaranteed prize pools for division 1</w:t>
      </w:r>
      <w:bookmarkEnd w:id="430"/>
      <w:bookmarkEnd w:id="431"/>
    </w:p>
    <w:p>
      <w:pPr>
        <w:pStyle w:val="Subsection"/>
        <w:rPr>
          <w:snapToGrid w:val="0"/>
        </w:rPr>
      </w:pPr>
      <w:r>
        <w:rPr>
          <w:snapToGrid w:val="0"/>
        </w:rPr>
        <w:tab/>
        <w:t>(1)</w:t>
      </w:r>
      <w:r>
        <w:rPr>
          <w:snapToGrid w:val="0"/>
        </w:rPr>
        <w:tab/>
        <w:t xml:space="preserve">The Commission may from time to time declare a Saturday Lotto draw to be a bonus draw and either — </w:t>
      </w:r>
    </w:p>
    <w:p>
      <w:pPr>
        <w:pStyle w:val="Indenta"/>
        <w:spacing w:before="60"/>
        <w:rPr>
          <w:snapToGrid w:val="0"/>
        </w:rPr>
      </w:pPr>
      <w:r>
        <w:rPr>
          <w:snapToGrid w:val="0"/>
        </w:rPr>
        <w:tab/>
        <w:t>(a)</w:t>
      </w:r>
      <w:r>
        <w:rPr>
          <w:snapToGrid w:val="0"/>
        </w:rPr>
        <w:tab/>
        <w:t>fix a minimum guaranteed prize pool for division 1 in that draw; or</w:t>
      </w:r>
    </w:p>
    <w:p>
      <w:pPr>
        <w:pStyle w:val="Indenta"/>
        <w:spacing w:before="60"/>
        <w:rPr>
          <w:snapToGrid w:val="0"/>
        </w:rPr>
      </w:pPr>
      <w:r>
        <w:rPr>
          <w:snapToGrid w:val="0"/>
        </w:rPr>
        <w:tab/>
        <w:t>(b)</w:t>
      </w:r>
      <w:r>
        <w:rPr>
          <w:snapToGrid w:val="0"/>
        </w:rPr>
        <w:tab/>
        <w:t>fix a guaranteed prize pool for division 1 in that draw with a guaranteed division 1 prize for a maximum number of winners.</w:t>
      </w:r>
    </w:p>
    <w:p>
      <w:pPr>
        <w:pStyle w:val="Subsection"/>
        <w:rPr>
          <w:snapToGrid w:val="0"/>
        </w:rPr>
      </w:pPr>
      <w:r>
        <w:rPr>
          <w:snapToGrid w:val="0"/>
        </w:rPr>
        <w:tab/>
        <w:t>(2)</w:t>
      </w:r>
      <w:r>
        <w:rPr>
          <w:snapToGrid w:val="0"/>
        </w:rPr>
        <w:tab/>
        <w:t xml:space="preserve">If the Commission declares a Saturday Lotto draw to be a bonus draw under subrule (1)(b) — </w:t>
      </w:r>
    </w:p>
    <w:p>
      <w:pPr>
        <w:pStyle w:val="Indenta"/>
        <w:spacing w:before="60"/>
        <w:rPr>
          <w:snapToGrid w:val="0"/>
        </w:rPr>
      </w:pPr>
      <w:r>
        <w:rPr>
          <w:snapToGrid w:val="0"/>
        </w:rPr>
        <w:tab/>
        <w:t>(a)</w:t>
      </w:r>
      <w:r>
        <w:rPr>
          <w:snapToGrid w:val="0"/>
        </w:rPr>
        <w:tab/>
        <w:t>If the number of winners of a division 1 prize equals or is less than the maximum number of winners fixed by the Commission under subrule (1)(b), the guaranteed prize pool for division 1 is to be used to pay the guaranteed division 1 prize to each of those winners;</w:t>
      </w:r>
    </w:p>
    <w:p>
      <w:pPr>
        <w:pStyle w:val="Indenta"/>
        <w:spacing w:before="60"/>
        <w:rPr>
          <w:snapToGrid w:val="0"/>
        </w:rPr>
      </w:pPr>
      <w:r>
        <w:rPr>
          <w:snapToGrid w:val="0"/>
        </w:rPr>
        <w:tab/>
        <w:t>(b)</w:t>
      </w:r>
      <w:r>
        <w:rPr>
          <w:snapToGrid w:val="0"/>
        </w:rPr>
        <w:tab/>
        <w:t>If the number of winners of a division 1 prize exceeds the maximum number of winners fixed by the Commission under subrule (1)(b), the guaranteed prize pool for division 1 is to be used to pay each division 1 winner an equal share of the guaranteed prize pool for division 1;</w:t>
      </w:r>
    </w:p>
    <w:p>
      <w:pPr>
        <w:pStyle w:val="Indenta"/>
        <w:spacing w:before="60"/>
        <w:rPr>
          <w:snapToGrid w:val="0"/>
        </w:rPr>
      </w:pPr>
      <w:r>
        <w:rPr>
          <w:snapToGrid w:val="0"/>
        </w:rPr>
        <w:tab/>
        <w:t>(c)</w:t>
      </w:r>
      <w:r>
        <w:rPr>
          <w:snapToGrid w:val="0"/>
        </w:rPr>
        <w:tab/>
        <w:t>If the number of winners of a division 1 prize is less than the maximum number of winners fixed by the Commission under subrule (1)(b), the balance of the guaranteed prize pool for division 1 not used to pay each division 1 winner returns to the prize reserve fund;</w:t>
      </w:r>
    </w:p>
    <w:p>
      <w:pPr>
        <w:pStyle w:val="Indenta"/>
        <w:spacing w:before="60"/>
        <w:rPr>
          <w:snapToGrid w:val="0"/>
        </w:rPr>
      </w:pPr>
      <w:r>
        <w:rPr>
          <w:snapToGrid w:val="0"/>
        </w:rPr>
        <w:tab/>
        <w:t>(d)</w:t>
      </w:r>
      <w:r>
        <w:rPr>
          <w:snapToGrid w:val="0"/>
        </w:rPr>
        <w:tab/>
        <w:t>If there is no division 1 winner under subrule (1)(b), the prize reserve fund retains the entire amount allocated to it for that draw</w:t>
      </w:r>
    </w:p>
    <w:p>
      <w:pPr>
        <w:pStyle w:val="Subsection"/>
        <w:rPr>
          <w:snapToGrid w:val="0"/>
        </w:rPr>
      </w:pPr>
      <w:r>
        <w:rPr>
          <w:snapToGrid w:val="0"/>
        </w:rPr>
        <w:tab/>
        <w:t>(3)</w:t>
      </w:r>
      <w:r>
        <w:rPr>
          <w:snapToGrid w:val="0"/>
        </w:rPr>
        <w:tab/>
        <w:t xml:space="preserve">When a bonus draw is declared under subrule (1) (a) and — </w:t>
      </w:r>
    </w:p>
    <w:p>
      <w:pPr>
        <w:pStyle w:val="Indenta"/>
        <w:spacing w:before="60"/>
        <w:rPr>
          <w:snapToGrid w:val="0"/>
        </w:rPr>
      </w:pPr>
      <w:r>
        <w:rPr>
          <w:snapToGrid w:val="0"/>
        </w:rPr>
        <w:tab/>
        <w:t>(a)</w:t>
      </w:r>
      <w:r>
        <w:rPr>
          <w:snapToGrid w:val="0"/>
        </w:rPr>
        <w:tab/>
        <w:t>no one wins a division 1 prize in a bonus draw; and</w:t>
      </w:r>
    </w:p>
    <w:p>
      <w:pPr>
        <w:pStyle w:val="Indenta"/>
        <w:spacing w:before="60"/>
        <w:rPr>
          <w:snapToGrid w:val="0"/>
        </w:rPr>
      </w:pPr>
      <w:r>
        <w:rPr>
          <w:snapToGrid w:val="0"/>
        </w:rPr>
        <w:tab/>
        <w:t>(b)</w:t>
      </w:r>
      <w:r>
        <w:rPr>
          <w:snapToGrid w:val="0"/>
        </w:rPr>
        <w:tab/>
        <w:t>all or part of the prize reserve fund would have to have been used to increase the division 1 prize pool to a guaranteed amount had there been a division 1 winner,</w:t>
      </w:r>
    </w:p>
    <w:p>
      <w:pPr>
        <w:pStyle w:val="Subsection"/>
        <w:rPr>
          <w:snapToGrid w:val="0"/>
        </w:rPr>
      </w:pPr>
      <w:r>
        <w:rPr>
          <w:snapToGrid w:val="0"/>
        </w:rPr>
        <w:tab/>
      </w:r>
      <w:r>
        <w:rPr>
          <w:snapToGrid w:val="0"/>
        </w:rPr>
        <w:tab/>
        <w:t>the amount of the reserve that would have been so used is to be included as part of the division 1 prize pool for that draw when calculating the jackpot prize pool for the next Saturday Lotto draw.</w:t>
      </w:r>
    </w:p>
    <w:p>
      <w:pPr>
        <w:pStyle w:val="Subsection"/>
        <w:rPr>
          <w:snapToGrid w:val="0"/>
        </w:rPr>
      </w:pPr>
      <w:r>
        <w:rPr>
          <w:snapToGrid w:val="0"/>
        </w:rPr>
        <w:tab/>
        <w:t>(4)</w:t>
      </w:r>
      <w:r>
        <w:rPr>
          <w:snapToGrid w:val="0"/>
        </w:rPr>
        <w:tab/>
        <w:t>The Commission may add all or part of the prize reserve fund to the division 1 prize pool in a bonus draw to increase the division 1 prize pool to the guaranteed amount and any amount so added forms part of that prize pool.</w:t>
      </w:r>
    </w:p>
    <w:p>
      <w:pPr>
        <w:pStyle w:val="Subsection"/>
        <w:rPr>
          <w:snapToGrid w:val="0"/>
        </w:rPr>
      </w:pPr>
      <w:r>
        <w:rPr>
          <w:snapToGrid w:val="0"/>
        </w:rPr>
        <w:tab/>
        <w:t>(5)</w:t>
      </w:r>
      <w:r>
        <w:rPr>
          <w:snapToGrid w:val="0"/>
        </w:rPr>
        <w:tab/>
        <w:t>Where a bonus draw is declared under this rule, and a jackpot division 1 prize coincides with that draw, the Commission may elect to reduce the augmentation under subrule (4) by the amount of the jackpot.</w:t>
      </w:r>
    </w:p>
    <w:p>
      <w:pPr>
        <w:pStyle w:val="Footnotesection"/>
      </w:pPr>
      <w:r>
        <w:tab/>
        <w:t>[Rule 109 inserted: Gazette 9 Feb 2018 p. 406.]</w:t>
      </w:r>
    </w:p>
    <w:p>
      <w:pPr>
        <w:pStyle w:val="Heading2"/>
      </w:pPr>
      <w:bookmarkStart w:id="432" w:name="_Toc34139574"/>
      <w:bookmarkStart w:id="433" w:name="_Toc34139786"/>
      <w:bookmarkStart w:id="434" w:name="_Toc34147963"/>
      <w:bookmarkStart w:id="435" w:name="_Toc34207516"/>
      <w:bookmarkStart w:id="436" w:name="_Toc34291511"/>
      <w:bookmarkStart w:id="437" w:name="_Toc25657419"/>
      <w:bookmarkStart w:id="438" w:name="_Toc25760885"/>
      <w:bookmarkStart w:id="439" w:name="_Toc25761214"/>
      <w:r>
        <w:rPr>
          <w:rStyle w:val="CharPartNo"/>
        </w:rPr>
        <w:t>Part 8</w:t>
      </w:r>
      <w:r>
        <w:t> — </w:t>
      </w:r>
      <w:r>
        <w:rPr>
          <w:rStyle w:val="CharPartText"/>
        </w:rPr>
        <w:t>Set for Life rules</w:t>
      </w:r>
      <w:bookmarkEnd w:id="432"/>
      <w:bookmarkEnd w:id="433"/>
      <w:bookmarkEnd w:id="434"/>
      <w:bookmarkEnd w:id="435"/>
      <w:bookmarkEnd w:id="436"/>
      <w:bookmarkEnd w:id="437"/>
      <w:bookmarkEnd w:id="438"/>
      <w:bookmarkEnd w:id="439"/>
    </w:p>
    <w:p>
      <w:pPr>
        <w:pStyle w:val="Heading3"/>
      </w:pPr>
      <w:bookmarkStart w:id="440" w:name="_Toc34139575"/>
      <w:bookmarkStart w:id="441" w:name="_Toc34139787"/>
      <w:bookmarkStart w:id="442" w:name="_Toc34147964"/>
      <w:bookmarkStart w:id="443" w:name="_Toc34207517"/>
      <w:bookmarkStart w:id="444" w:name="_Toc34291512"/>
      <w:bookmarkStart w:id="445" w:name="_Toc25657420"/>
      <w:bookmarkStart w:id="446" w:name="_Toc25760886"/>
      <w:bookmarkStart w:id="447" w:name="_Toc25761215"/>
      <w:r>
        <w:rPr>
          <w:rStyle w:val="CharDivNo"/>
        </w:rPr>
        <w:t>Division 1</w:t>
      </w:r>
      <w:r>
        <w:t> — </w:t>
      </w:r>
      <w:r>
        <w:rPr>
          <w:rStyle w:val="CharDivText"/>
        </w:rPr>
        <w:t>Requirements for entry</w:t>
      </w:r>
      <w:bookmarkEnd w:id="440"/>
      <w:bookmarkEnd w:id="441"/>
      <w:bookmarkEnd w:id="442"/>
      <w:bookmarkEnd w:id="443"/>
      <w:bookmarkEnd w:id="444"/>
      <w:bookmarkEnd w:id="445"/>
      <w:bookmarkEnd w:id="446"/>
      <w:bookmarkEnd w:id="447"/>
    </w:p>
    <w:p>
      <w:pPr>
        <w:pStyle w:val="Heading5"/>
      </w:pPr>
      <w:bookmarkStart w:id="448" w:name="_Toc34291513"/>
      <w:bookmarkStart w:id="449" w:name="_Toc25761216"/>
      <w:r>
        <w:rPr>
          <w:rStyle w:val="CharSectno"/>
        </w:rPr>
        <w:t>110</w:t>
      </w:r>
      <w:r>
        <w:t>.</w:t>
      </w:r>
      <w:r>
        <w:tab/>
        <w:t>Terms used</w:t>
      </w:r>
      <w:bookmarkEnd w:id="448"/>
      <w:bookmarkEnd w:id="449"/>
    </w:p>
    <w:p>
      <w:pPr>
        <w:pStyle w:val="Subsection"/>
      </w:pPr>
      <w:r>
        <w:tab/>
      </w:r>
      <w:r>
        <w:tab/>
        <w:t>In this Part —</w:t>
      </w:r>
    </w:p>
    <w:p>
      <w:pPr>
        <w:pStyle w:val="Defstart"/>
      </w:pPr>
      <w:r>
        <w:tab/>
      </w:r>
      <w:r>
        <w:rPr>
          <w:rStyle w:val="CharDefText"/>
        </w:rPr>
        <w:t>agent’s component</w:t>
      </w:r>
      <w:r>
        <w:t xml:space="preserve"> means that part of the entry cost (added to the subscription) calculated in accordance with the formula set out in Schedule 7</w:t>
      </w:r>
      <w:r>
        <w:rPr>
          <w:spacing w:val="-2"/>
        </w:rPr>
        <w:t xml:space="preserve"> Division</w:t>
      </w:r>
      <w:r>
        <w:t> 1 that is payable to the agent;</w:t>
      </w:r>
    </w:p>
    <w:p>
      <w:pPr>
        <w:pStyle w:val="Defstart"/>
      </w:pPr>
      <w:r>
        <w:rPr>
          <w:b/>
        </w:rPr>
        <w:tab/>
      </w:r>
      <w:r>
        <w:rPr>
          <w:rStyle w:val="CharDefText"/>
        </w:rPr>
        <w:t>bonus number</w:t>
      </w:r>
      <w:r>
        <w:t xml:space="preserve"> means either of the last 2 numbers generated in a Set for Life draw;</w:t>
      </w:r>
    </w:p>
    <w:p>
      <w:pPr>
        <w:pStyle w:val="Defstart"/>
      </w:pPr>
      <w:r>
        <w:rPr>
          <w:b/>
        </w:rPr>
        <w:tab/>
      </w:r>
      <w:r>
        <w:rPr>
          <w:rStyle w:val="CharDefText"/>
        </w:rPr>
        <w:t>entry</w:t>
      </w:r>
      <w:r>
        <w:t xml:space="preserve"> means an entry as described in rule 4, or an entry as a result of redemption of a promotional coupon;</w:t>
      </w:r>
    </w:p>
    <w:p>
      <w:pPr>
        <w:pStyle w:val="Defstart"/>
      </w:pPr>
      <w:r>
        <w:rPr>
          <w:b/>
        </w:rPr>
        <w:tab/>
      </w:r>
      <w:r>
        <w:rPr>
          <w:rStyle w:val="CharDefText"/>
        </w:rPr>
        <w:t>prize fund</w:t>
      </w:r>
      <w:r>
        <w:t xml:space="preserve"> means the fund maintained by the Lotto Bloc in accordance with the agreement referred to in rule 113(1) and consisting of the Lotto Bloc’s prize pool and the prize reserve fund;</w:t>
      </w:r>
    </w:p>
    <w:p>
      <w:pPr>
        <w:pStyle w:val="Defstart"/>
      </w:pPr>
      <w:r>
        <w:rPr>
          <w:b/>
        </w:rPr>
        <w:tab/>
      </w:r>
      <w:r>
        <w:rPr>
          <w:rStyle w:val="CharDefText"/>
        </w:rPr>
        <w:t>prize pool</w:t>
      </w:r>
      <w:r>
        <w:t xml:space="preserve"> means the prize pool referred to in rule 113(2)(a);</w:t>
      </w:r>
    </w:p>
    <w:p>
      <w:pPr>
        <w:pStyle w:val="Defstart"/>
      </w:pPr>
      <w:r>
        <w:rPr>
          <w:b/>
        </w:rPr>
        <w:tab/>
      </w:r>
      <w:r>
        <w:rPr>
          <w:rStyle w:val="CharDefText"/>
        </w:rPr>
        <w:t>prize reserve fund</w:t>
      </w:r>
      <w:r>
        <w:t xml:space="preserve"> means the fund referred to in rule 113(2)(b);</w:t>
      </w:r>
    </w:p>
    <w:p>
      <w:pPr>
        <w:pStyle w:val="Defstart"/>
      </w:pPr>
      <w:r>
        <w:tab/>
      </w:r>
      <w:r>
        <w:rPr>
          <w:rStyle w:val="CharDefText"/>
        </w:rPr>
        <w:t>QuickSET entry</w:t>
      </w:r>
      <w:r>
        <w:t xml:space="preserve"> means a nomination made by a player indicating that the player wishes to make a QuickSET selection in accordance with rule 112;</w:t>
      </w:r>
    </w:p>
    <w:p>
      <w:pPr>
        <w:pStyle w:val="Defstart"/>
        <w:keepNext/>
      </w:pPr>
      <w:r>
        <w:rPr>
          <w:b/>
        </w:rPr>
        <w:tab/>
      </w:r>
      <w:r>
        <w:rPr>
          <w:rStyle w:val="CharDefText"/>
        </w:rPr>
        <w:t>SET</w:t>
      </w:r>
      <w:r>
        <w:t xml:space="preserve"> means —</w:t>
      </w:r>
    </w:p>
    <w:p>
      <w:pPr>
        <w:pStyle w:val="Defpara"/>
      </w:pPr>
      <w:r>
        <w:tab/>
        <w:t>(a)</w:t>
      </w:r>
      <w:r>
        <w:tab/>
        <w:t>that part of an entry consisting of 8 selected numbers; and</w:t>
      </w:r>
    </w:p>
    <w:p>
      <w:pPr>
        <w:pStyle w:val="Defpara"/>
      </w:pPr>
      <w:r>
        <w:tab/>
        <w:t>(b)</w:t>
      </w:r>
      <w:r>
        <w:tab/>
        <w:t>in relation to a system entry, one of the multiple SETs making up that system entry;</w:t>
      </w:r>
    </w:p>
    <w:p>
      <w:pPr>
        <w:pStyle w:val="Defstart"/>
      </w:pPr>
      <w:r>
        <w:rPr>
          <w:b/>
        </w:rPr>
        <w:tab/>
      </w:r>
      <w:r>
        <w:rPr>
          <w:rStyle w:val="CharDefText"/>
        </w:rPr>
        <w:t>validation period</w:t>
      </w:r>
      <w:r>
        <w:t xml:space="preserve"> means the period of time commencing at midnight on the day of determination of a Set for Life draw’s results and ending at the close of business on the 14th</w:t>
      </w:r>
      <w:r>
        <w:rPr>
          <w:vertAlign w:val="superscript"/>
        </w:rPr>
        <w:t> </w:t>
      </w:r>
      <w:r>
        <w:t>day following that day (or on the business day preceding that 14th day, if the day falls on a weekend or public holiday);</w:t>
      </w:r>
    </w:p>
    <w:p>
      <w:pPr>
        <w:pStyle w:val="Defstart"/>
      </w:pPr>
      <w:r>
        <w:rPr>
          <w:b/>
        </w:rPr>
        <w:tab/>
      </w:r>
      <w:r>
        <w:rPr>
          <w:rStyle w:val="CharDefText"/>
        </w:rPr>
        <w:t>winning number</w:t>
      </w:r>
      <w:r>
        <w:t xml:space="preserve"> means any one of the first 8 numbers generated in a Set for Life draw.</w:t>
      </w:r>
    </w:p>
    <w:p>
      <w:pPr>
        <w:pStyle w:val="Footnotesection"/>
      </w:pPr>
      <w:r>
        <w:tab/>
        <w:t>[Rule 110 amended: Gazette 4 Oct 2017 p. 5135</w:t>
      </w:r>
      <w:r>
        <w:noBreakHyphen/>
        <w:t>6.]</w:t>
      </w:r>
    </w:p>
    <w:p>
      <w:pPr>
        <w:pStyle w:val="Heading5"/>
      </w:pPr>
      <w:bookmarkStart w:id="450" w:name="_Toc34291514"/>
      <w:bookmarkStart w:id="451" w:name="_Toc25761217"/>
      <w:r>
        <w:rPr>
          <w:rStyle w:val="CharSectno"/>
        </w:rPr>
        <w:t>111</w:t>
      </w:r>
      <w:r>
        <w:t>.</w:t>
      </w:r>
      <w:r>
        <w:tab/>
      </w:r>
      <w:r>
        <w:rPr>
          <w:snapToGrid w:val="0"/>
        </w:rPr>
        <w:t>How to fill out a playslip</w:t>
      </w:r>
      <w:bookmarkEnd w:id="450"/>
      <w:bookmarkEnd w:id="451"/>
    </w:p>
    <w:p>
      <w:pPr>
        <w:pStyle w:val="Subsection"/>
        <w:keepNext/>
        <w:keepLines/>
        <w:rPr>
          <w:spacing w:val="-2"/>
        </w:rPr>
      </w:pPr>
      <w:r>
        <w:rPr>
          <w:spacing w:val="-2"/>
        </w:rPr>
        <w:tab/>
      </w:r>
      <w:r>
        <w:t>(1)</w:t>
      </w:r>
      <w:r>
        <w:rPr>
          <w:spacing w:val="-2"/>
        </w:rPr>
        <w:tab/>
        <w:t>To enter Set for Life using a playslip, a subscriber must —</w:t>
      </w:r>
    </w:p>
    <w:p>
      <w:pPr>
        <w:pStyle w:val="Indenta"/>
        <w:keepNext/>
        <w:keepLines/>
      </w:pPr>
      <w:r>
        <w:tab/>
        <w:t>(a)</w:t>
      </w:r>
      <w:r>
        <w:tab/>
        <w:t>select 8 numbers between 1 and 37 in each of at least 2 SETs on the playslip for at least 7 consecutive draws; or</w:t>
      </w:r>
    </w:p>
    <w:p>
      <w:pPr>
        <w:pStyle w:val="Indenta"/>
      </w:pPr>
      <w:r>
        <w:tab/>
        <w:t>(b)</w:t>
      </w:r>
      <w:r>
        <w:tab/>
        <w:t>select between 5 and 16 numbers (but not 8 numbers) between 1 and 37 in one or more SETs on the playslip for at least 7 consecutive draws (</w:t>
      </w:r>
      <w:r>
        <w:rPr>
          <w:i/>
        </w:rPr>
        <w:t>i.e. a system entry</w:t>
      </w:r>
      <w:r>
        <w:t>).</w:t>
      </w:r>
    </w:p>
    <w:p>
      <w:pPr>
        <w:pStyle w:val="Subsection"/>
        <w:rPr>
          <w:spacing w:val="-2"/>
        </w:rPr>
      </w:pPr>
      <w:r>
        <w:rPr>
          <w:spacing w:val="-2"/>
        </w:rPr>
        <w:tab/>
      </w:r>
      <w:r>
        <w:t>(2)</w:t>
      </w:r>
      <w:r>
        <w:rPr>
          <w:spacing w:val="-2"/>
        </w:rPr>
        <w:tab/>
        <w:t>A subscriber who has filled out a SET on a playslip in accordance with subrule (1)(b) may enter up to 17 further system entries on that playslip by selecting, in each further SET, the same number of numbers as were selected in the first SET, but only up to an entry cost that does not, in aggregate, exceed $100 000.</w:t>
      </w:r>
    </w:p>
    <w:p>
      <w:pPr>
        <w:pStyle w:val="Subsection"/>
        <w:rPr>
          <w:spacing w:val="-2"/>
        </w:rPr>
      </w:pPr>
      <w:r>
        <w:rPr>
          <w:spacing w:val="-2"/>
        </w:rPr>
        <w:tab/>
      </w:r>
      <w:r>
        <w:t>(3)</w:t>
      </w:r>
      <w:r>
        <w:rPr>
          <w:spacing w:val="-2"/>
        </w:rPr>
        <w:tab/>
        <w:t>The subscriber must also mark in the appropriate boxes on the playslip whether the method of entry is a “system” entry, being either a system 5</w:t>
      </w:r>
      <w:r>
        <w:rPr>
          <w:spacing w:val="-2"/>
        </w:rPr>
        <w:noBreakHyphen/>
        <w:t>7 or a system 9</w:t>
      </w:r>
      <w:r>
        <w:rPr>
          <w:spacing w:val="-2"/>
        </w:rPr>
        <w:noBreakHyphen/>
        <w:t>16, depending on the number of selected numbers in each completed SET.</w:t>
      </w:r>
    </w:p>
    <w:p>
      <w:pPr>
        <w:pStyle w:val="Subsection"/>
      </w:pPr>
      <w:r>
        <w:tab/>
        <w:t>(4)</w:t>
      </w:r>
      <w:r>
        <w:tab/>
        <w:t xml:space="preserve">In addition to allowing an entry for a particular week of draws, the Commission may allow a Set for Life entry to be for up to 10 consecutive weeks and, where offered, the subscriber must specify how many consecutive weeks they wish to enter. </w:t>
      </w:r>
    </w:p>
    <w:p>
      <w:pPr>
        <w:pStyle w:val="Subsection"/>
        <w:rPr>
          <w:spacing w:val="-2"/>
        </w:rPr>
      </w:pPr>
      <w:r>
        <w:rPr>
          <w:spacing w:val="-2"/>
        </w:rPr>
        <w:tab/>
      </w:r>
      <w:r>
        <w:t>(5)</w:t>
      </w:r>
      <w:r>
        <w:rPr>
          <w:spacing w:val="-2"/>
        </w:rPr>
        <w:tab/>
        <w:t>If a subscriber selects, in each completed SET on the playslip —</w:t>
      </w:r>
    </w:p>
    <w:p>
      <w:pPr>
        <w:pStyle w:val="Indenta"/>
      </w:pPr>
      <w:r>
        <w:tab/>
        <w:t>(a)</w:t>
      </w:r>
      <w:r>
        <w:tab/>
        <w:t>8 selected numbers for 7 consecutive draws, the resulting receipted ticket constitutes one entry (made up of no fewer than 2 SETs to 18 SETs) in Set for Life; or</w:t>
      </w:r>
    </w:p>
    <w:p>
      <w:pPr>
        <w:pStyle w:val="Indenta"/>
      </w:pPr>
      <w:r>
        <w:tab/>
        <w:t>(b)</w:t>
      </w:r>
      <w:r>
        <w:tab/>
        <w:t>between 5 and 16 selected numbers (but not 8 numbers) for 7 consecutive draws, the resulting receipted ticket constitutes one entry in Set for Life for each completed SET on the playslip (</w:t>
      </w:r>
      <w:r>
        <w:rPr>
          <w:i/>
        </w:rPr>
        <w:t>i.e. a system entry</w:t>
      </w:r>
      <w:r>
        <w:t>).</w:t>
      </w:r>
    </w:p>
    <w:p>
      <w:pPr>
        <w:pStyle w:val="Subsection"/>
      </w:pPr>
      <w:r>
        <w:tab/>
        <w:t>(6)</w:t>
      </w:r>
      <w:r>
        <w:tab/>
        <w:t>A receipted ticket must be given to the subscriber upon payment of the amount calculated in accordance with Schedule 7 Division 1.</w:t>
      </w:r>
    </w:p>
    <w:p>
      <w:pPr>
        <w:pStyle w:val="Footnotesection"/>
      </w:pPr>
      <w:r>
        <w:tab/>
        <w:t>[Rule 111 amended: Gazette 4 Oct 2017 p. 5136</w:t>
      </w:r>
      <w:r>
        <w:noBreakHyphen/>
        <w:t>7.]</w:t>
      </w:r>
    </w:p>
    <w:p>
      <w:pPr>
        <w:pStyle w:val="Heading5"/>
      </w:pPr>
      <w:bookmarkStart w:id="452" w:name="_Toc34291515"/>
      <w:bookmarkStart w:id="453" w:name="_Toc25761218"/>
      <w:r>
        <w:rPr>
          <w:rStyle w:val="CharSectno"/>
        </w:rPr>
        <w:t>112</w:t>
      </w:r>
      <w:r>
        <w:t>.</w:t>
      </w:r>
      <w:r>
        <w:tab/>
        <w:t>Oral request for entry</w:t>
      </w:r>
      <w:bookmarkEnd w:id="452"/>
      <w:bookmarkEnd w:id="453"/>
    </w:p>
    <w:p>
      <w:pPr>
        <w:pStyle w:val="Subsection"/>
        <w:rPr>
          <w:spacing w:val="-2"/>
        </w:rPr>
      </w:pPr>
      <w:r>
        <w:rPr>
          <w:spacing w:val="-2"/>
        </w:rPr>
        <w:tab/>
      </w:r>
      <w:r>
        <w:t>(1)</w:t>
      </w:r>
      <w:r>
        <w:rPr>
          <w:spacing w:val="-2"/>
        </w:rPr>
        <w:tab/>
        <w:t>To enter Set for Life without a playslip or a promotional coupon, and without requesting a ticket repeat or favourite numbers option, a subscriber must make an oral request to an agent stating —</w:t>
      </w:r>
    </w:p>
    <w:p>
      <w:pPr>
        <w:pStyle w:val="Indenta"/>
      </w:pPr>
      <w:r>
        <w:tab/>
        <w:t>(a)</w:t>
      </w:r>
      <w:r>
        <w:tab/>
        <w:t>that the entry is for Set for Life; and</w:t>
      </w:r>
    </w:p>
    <w:p>
      <w:pPr>
        <w:pStyle w:val="Indenta"/>
      </w:pPr>
      <w:r>
        <w:tab/>
        <w:t>(b)</w:t>
      </w:r>
      <w:r>
        <w:tab/>
        <w:t>which day or days that the Set for Life entry is to start (no more than 6 days in advance); and</w:t>
      </w:r>
    </w:p>
    <w:p>
      <w:pPr>
        <w:pStyle w:val="Indenta"/>
      </w:pPr>
      <w:r>
        <w:tab/>
        <w:t>(c)</w:t>
      </w:r>
      <w:r>
        <w:tab/>
        <w:t>whether the subscriber wishes to select —</w:t>
      </w:r>
    </w:p>
    <w:p>
      <w:pPr>
        <w:pStyle w:val="Indenti"/>
        <w:rPr>
          <w:snapToGrid w:val="0"/>
        </w:rPr>
      </w:pPr>
      <w:r>
        <w:rPr>
          <w:snapToGrid w:val="0"/>
        </w:rPr>
        <w:tab/>
        <w:t>(i)</w:t>
      </w:r>
      <w:r>
        <w:rPr>
          <w:snapToGrid w:val="0"/>
        </w:rPr>
        <w:tab/>
        <w:t>8 numbers between 1 and 37 for 7 consecutive draws; or</w:t>
      </w:r>
    </w:p>
    <w:p>
      <w:pPr>
        <w:pStyle w:val="Indenti"/>
        <w:rPr>
          <w:snapToGrid w:val="0"/>
        </w:rPr>
      </w:pPr>
      <w:r>
        <w:rPr>
          <w:snapToGrid w:val="0"/>
        </w:rPr>
        <w:tab/>
        <w:t>(ii)</w:t>
      </w:r>
      <w:r>
        <w:rPr>
          <w:snapToGrid w:val="0"/>
        </w:rPr>
        <w:tab/>
        <w:t xml:space="preserve">between 5 and 16 numbers (but not 8 numbers) between 1 and 37 for 7 consecutive draws </w:t>
      </w:r>
      <w:r>
        <w:t>(</w:t>
      </w:r>
      <w:r>
        <w:rPr>
          <w:i/>
        </w:rPr>
        <w:t>i.e. a system entry</w:t>
      </w:r>
      <w:r>
        <w:t>)</w:t>
      </w:r>
      <w:r>
        <w:rPr>
          <w:snapToGrid w:val="0"/>
        </w:rPr>
        <w:t>;</w:t>
      </w:r>
    </w:p>
    <w:p>
      <w:pPr>
        <w:pStyle w:val="Indenta"/>
      </w:pPr>
      <w:r>
        <w:tab/>
      </w:r>
      <w:r>
        <w:tab/>
        <w:t>and</w:t>
      </w:r>
    </w:p>
    <w:p>
      <w:pPr>
        <w:pStyle w:val="Indenta"/>
      </w:pPr>
      <w:r>
        <w:tab/>
        <w:t>(d)</w:t>
      </w:r>
      <w:r>
        <w:tab/>
        <w:t>if the subscriber selects 8 numbers, where available, exactly how many SETs the subscriber wants to enter, with a minimum of 2 and a maximum of 50.</w:t>
      </w:r>
    </w:p>
    <w:p>
      <w:pPr>
        <w:pStyle w:val="Subsection"/>
        <w:rPr>
          <w:spacing w:val="-2"/>
        </w:rPr>
      </w:pPr>
      <w:r>
        <w:rPr>
          <w:spacing w:val="-2"/>
        </w:rPr>
        <w:tab/>
      </w:r>
      <w:r>
        <w:t>(2)</w:t>
      </w:r>
      <w:r>
        <w:rPr>
          <w:spacing w:val="-2"/>
        </w:rPr>
        <w:tab/>
        <w:t>If a subscriber requests —</w:t>
      </w:r>
    </w:p>
    <w:p>
      <w:pPr>
        <w:pStyle w:val="Indenta"/>
      </w:pPr>
      <w:r>
        <w:tab/>
        <w:t>(a)</w:t>
      </w:r>
      <w:r>
        <w:tab/>
        <w:t>8 numbers, the entry will be entered in the number of SETs selected under subrule (1)(d); or</w:t>
      </w:r>
    </w:p>
    <w:p>
      <w:pPr>
        <w:pStyle w:val="Indenta"/>
        <w:keepNext/>
      </w:pPr>
      <w:r>
        <w:tab/>
        <w:t>(b)</w:t>
      </w:r>
      <w:r>
        <w:tab/>
        <w:t>between 5 and 16 numbers (but not 8 numbers), the entry will be entered as one system entry,</w:t>
      </w:r>
    </w:p>
    <w:p>
      <w:pPr>
        <w:pStyle w:val="Subsection"/>
        <w:rPr>
          <w:spacing w:val="-2"/>
        </w:rPr>
      </w:pPr>
      <w:r>
        <w:rPr>
          <w:spacing w:val="-2"/>
        </w:rPr>
        <w:tab/>
      </w:r>
      <w:r>
        <w:rPr>
          <w:spacing w:val="-2"/>
        </w:rPr>
        <w:tab/>
        <w:t>and the resulting receipted ticket constitutes one entry in Set for Life for 7 consecutive draws.</w:t>
      </w:r>
    </w:p>
    <w:p>
      <w:pPr>
        <w:pStyle w:val="Subsection"/>
      </w:pPr>
      <w:r>
        <w:tab/>
        <w:t>(3)</w:t>
      </w:r>
      <w:r>
        <w:tab/>
        <w:t xml:space="preserve">In addition to allowing an entry for a particular draw, the Commission may allow a Set for Life entry to be for up to 10 consecutive weeks and, where offered, the subscriber must specify how many consecutive weeks they wish to enter. </w:t>
      </w:r>
    </w:p>
    <w:p>
      <w:pPr>
        <w:pStyle w:val="Subsection"/>
      </w:pPr>
      <w:r>
        <w:tab/>
        <w:t>(4)</w:t>
      </w:r>
      <w:r>
        <w:tab/>
        <w:t>A receipted ticket must be given to the subscriber upon payment of the amount calculated in accordance with Schedule 7 Division 1.</w:t>
      </w:r>
    </w:p>
    <w:p>
      <w:pPr>
        <w:pStyle w:val="Footnotesection"/>
      </w:pPr>
      <w:r>
        <w:tab/>
        <w:t>[Rule 112 amended: Gazette 4 Oct 2017 p. 5137.]</w:t>
      </w:r>
    </w:p>
    <w:p>
      <w:pPr>
        <w:pStyle w:val="Heading3"/>
        <w:keepNext w:val="0"/>
        <w:widowControl w:val="0"/>
      </w:pPr>
      <w:bookmarkStart w:id="454" w:name="_Toc34139579"/>
      <w:bookmarkStart w:id="455" w:name="_Toc34139791"/>
      <w:bookmarkStart w:id="456" w:name="_Toc34147968"/>
      <w:bookmarkStart w:id="457" w:name="_Toc34207521"/>
      <w:bookmarkStart w:id="458" w:name="_Toc34291516"/>
      <w:bookmarkStart w:id="459" w:name="_Toc25657424"/>
      <w:bookmarkStart w:id="460" w:name="_Toc25760890"/>
      <w:bookmarkStart w:id="461" w:name="_Toc25761219"/>
      <w:r>
        <w:rPr>
          <w:rStyle w:val="CharDivNo"/>
        </w:rPr>
        <w:t>Division 2</w:t>
      </w:r>
      <w:r>
        <w:t> — </w:t>
      </w:r>
      <w:r>
        <w:rPr>
          <w:rStyle w:val="CharDivText"/>
        </w:rPr>
        <w:t>Prize pool and prize reserve fund</w:t>
      </w:r>
      <w:bookmarkEnd w:id="454"/>
      <w:bookmarkEnd w:id="455"/>
      <w:bookmarkEnd w:id="456"/>
      <w:bookmarkEnd w:id="457"/>
      <w:bookmarkEnd w:id="458"/>
      <w:bookmarkEnd w:id="459"/>
      <w:bookmarkEnd w:id="460"/>
      <w:bookmarkEnd w:id="461"/>
    </w:p>
    <w:p>
      <w:pPr>
        <w:pStyle w:val="Heading5"/>
        <w:keepNext w:val="0"/>
        <w:keepLines w:val="0"/>
        <w:widowControl w:val="0"/>
      </w:pPr>
      <w:bookmarkStart w:id="462" w:name="_Toc34291517"/>
      <w:bookmarkStart w:id="463" w:name="_Toc25761220"/>
      <w:r>
        <w:rPr>
          <w:rStyle w:val="CharSectno"/>
        </w:rPr>
        <w:t>113</w:t>
      </w:r>
      <w:r>
        <w:t>.</w:t>
      </w:r>
      <w:r>
        <w:tab/>
        <w:t>Lotto Bloc’s prize pool and prize reserve fund</w:t>
      </w:r>
      <w:bookmarkEnd w:id="462"/>
      <w:bookmarkEnd w:id="463"/>
    </w:p>
    <w:p>
      <w:pPr>
        <w:pStyle w:val="Subsection"/>
        <w:rPr>
          <w:snapToGrid w:val="0"/>
        </w:rPr>
      </w:pPr>
      <w:r>
        <w:rPr>
          <w:spacing w:val="-2"/>
        </w:rPr>
        <w:tab/>
      </w:r>
      <w:r>
        <w:t>(1)</w:t>
      </w:r>
      <w:r>
        <w:rPr>
          <w:spacing w:val="-2"/>
        </w:rPr>
        <w:tab/>
      </w:r>
      <w:r>
        <w:rPr>
          <w:snapToGrid w:val="0"/>
        </w:rPr>
        <w:t xml:space="preserve">The Commission must contribute a percentage of all subscriptions received </w:t>
      </w:r>
      <w:r>
        <w:rPr>
          <w:spacing w:val="-2"/>
        </w:rPr>
        <w:t xml:space="preserve">for each Set for Life draw to a combined </w:t>
      </w:r>
      <w:r>
        <w:t>Set for Life</w:t>
      </w:r>
      <w:r>
        <w:rPr>
          <w:spacing w:val="-2"/>
        </w:rPr>
        <w:t xml:space="preserve"> prize fund in accordance with the appropriate agreement</w:t>
      </w:r>
      <w:r>
        <w:rPr>
          <w:snapToGrid w:val="0"/>
        </w:rPr>
        <w:t xml:space="preserve"> and the permit for that lotto draw.</w:t>
      </w:r>
    </w:p>
    <w:p>
      <w:pPr>
        <w:pStyle w:val="Subsection"/>
        <w:rPr>
          <w:spacing w:val="-2"/>
        </w:rPr>
      </w:pPr>
      <w:r>
        <w:rPr>
          <w:spacing w:val="-2"/>
        </w:rPr>
        <w:tab/>
      </w:r>
      <w:r>
        <w:t>(2)</w:t>
      </w:r>
      <w:r>
        <w:rPr>
          <w:spacing w:val="-2"/>
        </w:rPr>
        <w:tab/>
        <w:t>The total contribution under subrule (1) is to be divided so that —</w:t>
      </w:r>
    </w:p>
    <w:p>
      <w:pPr>
        <w:pStyle w:val="Indenta"/>
      </w:pPr>
      <w:r>
        <w:tab/>
        <w:t>(a)</w:t>
      </w:r>
      <w:r>
        <w:tab/>
        <w:t>not less than 38.645% of the Commission’s subscriptions go to the Lotto Bloc’s prize pool; and</w:t>
      </w:r>
    </w:p>
    <w:p>
      <w:pPr>
        <w:pStyle w:val="Indenta"/>
      </w:pPr>
      <w:r>
        <w:tab/>
        <w:t>(b)</w:t>
      </w:r>
      <w:r>
        <w:tab/>
        <w:t>the balance of the contribution goes to the prize reserve fund.</w:t>
      </w:r>
    </w:p>
    <w:p>
      <w:pPr>
        <w:pStyle w:val="Subsection"/>
      </w:pPr>
      <w:r>
        <w:tab/>
        <w:t>(3)</w:t>
      </w:r>
      <w:r>
        <w:tab/>
        <w:t>The prize reserve fund is to be used to pay the 1st Prize in accordance with rule 119.</w:t>
      </w:r>
    </w:p>
    <w:p>
      <w:pPr>
        <w:pStyle w:val="Subsection"/>
        <w:rPr>
          <w:spacing w:val="-2"/>
        </w:rPr>
      </w:pPr>
      <w:r>
        <w:rPr>
          <w:spacing w:val="-2"/>
        </w:rPr>
        <w:tab/>
      </w:r>
      <w:r>
        <w:t>(4)</w:t>
      </w:r>
      <w:r>
        <w:rPr>
          <w:spacing w:val="-2"/>
        </w:rPr>
        <w:tab/>
        <w:t xml:space="preserve">The prize reserve fund may only be distributed as additional prize money or promotional prizes, in such amounts and in such Set for Life draws, as agreed by the </w:t>
      </w:r>
      <w:r>
        <w:t>members of the Lotto Bloc.</w:t>
      </w:r>
    </w:p>
    <w:p>
      <w:pPr>
        <w:pStyle w:val="Footnotesection"/>
      </w:pPr>
      <w:r>
        <w:tab/>
        <w:t>[Rule 113 amended: Gazette 4 Oct 2017 p. 5137</w:t>
      </w:r>
      <w:r>
        <w:noBreakHyphen/>
        <w:t>8.]</w:t>
      </w:r>
    </w:p>
    <w:p>
      <w:pPr>
        <w:pStyle w:val="Heading3"/>
      </w:pPr>
      <w:bookmarkStart w:id="464" w:name="_Toc34139581"/>
      <w:bookmarkStart w:id="465" w:name="_Toc34139793"/>
      <w:bookmarkStart w:id="466" w:name="_Toc34147970"/>
      <w:bookmarkStart w:id="467" w:name="_Toc34207523"/>
      <w:bookmarkStart w:id="468" w:name="_Toc34291518"/>
      <w:bookmarkStart w:id="469" w:name="_Toc25657426"/>
      <w:bookmarkStart w:id="470" w:name="_Toc25760892"/>
      <w:bookmarkStart w:id="471" w:name="_Toc25761221"/>
      <w:r>
        <w:rPr>
          <w:rStyle w:val="CharDivNo"/>
        </w:rPr>
        <w:t>Division 3</w:t>
      </w:r>
      <w:r>
        <w:t> — </w:t>
      </w:r>
      <w:r>
        <w:rPr>
          <w:rStyle w:val="CharDivText"/>
        </w:rPr>
        <w:t>Set for Life draw</w:t>
      </w:r>
      <w:bookmarkEnd w:id="464"/>
      <w:bookmarkEnd w:id="465"/>
      <w:bookmarkEnd w:id="466"/>
      <w:bookmarkEnd w:id="467"/>
      <w:bookmarkEnd w:id="468"/>
      <w:bookmarkEnd w:id="469"/>
      <w:bookmarkEnd w:id="470"/>
      <w:bookmarkEnd w:id="471"/>
    </w:p>
    <w:p>
      <w:pPr>
        <w:pStyle w:val="Heading5"/>
      </w:pPr>
      <w:bookmarkStart w:id="472" w:name="_Toc34291519"/>
      <w:bookmarkStart w:id="473" w:name="_Toc25761222"/>
      <w:r>
        <w:rPr>
          <w:rStyle w:val="CharSectno"/>
        </w:rPr>
        <w:t>114</w:t>
      </w:r>
      <w:r>
        <w:t>.</w:t>
      </w:r>
      <w:r>
        <w:tab/>
        <w:t>Nature of a Set for Life draw</w:t>
      </w:r>
      <w:bookmarkEnd w:id="472"/>
      <w:bookmarkEnd w:id="473"/>
    </w:p>
    <w:p>
      <w:pPr>
        <w:pStyle w:val="Subsection"/>
        <w:rPr>
          <w:spacing w:val="-2"/>
        </w:rPr>
      </w:pPr>
      <w:r>
        <w:rPr>
          <w:spacing w:val="-2"/>
        </w:rPr>
        <w:tab/>
      </w:r>
      <w:r>
        <w:rPr>
          <w:spacing w:val="-2"/>
        </w:rPr>
        <w:tab/>
        <w:t>A Set for Life draw consists of the random generation of 10 numbers (</w:t>
      </w:r>
      <w:r>
        <w:rPr>
          <w:i/>
          <w:spacing w:val="-2"/>
        </w:rPr>
        <w:t>8 winning numbers and 2 bonus numbers</w:t>
      </w:r>
      <w:r>
        <w:rPr>
          <w:spacing w:val="-2"/>
        </w:rPr>
        <w:t>), from the numbers 1 to 37 inclusive, in a manner and using such equipment as the Commission or a designated authority determines.</w:t>
      </w:r>
    </w:p>
    <w:p>
      <w:pPr>
        <w:pStyle w:val="Heading5"/>
      </w:pPr>
      <w:bookmarkStart w:id="474" w:name="_Toc34291520"/>
      <w:bookmarkStart w:id="475" w:name="_Toc25761223"/>
      <w:r>
        <w:rPr>
          <w:rStyle w:val="CharSectno"/>
        </w:rPr>
        <w:t>115</w:t>
      </w:r>
      <w:r>
        <w:t>.</w:t>
      </w:r>
      <w:r>
        <w:tab/>
        <w:t>Criteria for winning</w:t>
      </w:r>
      <w:bookmarkEnd w:id="474"/>
      <w:bookmarkEnd w:id="475"/>
    </w:p>
    <w:p>
      <w:pPr>
        <w:pStyle w:val="Subsection"/>
        <w:rPr>
          <w:spacing w:val="-2"/>
        </w:rPr>
      </w:pPr>
      <w:r>
        <w:rPr>
          <w:spacing w:val="-2"/>
        </w:rPr>
        <w:tab/>
      </w:r>
      <w:r>
        <w:rPr>
          <w:spacing w:val="-2"/>
        </w:rPr>
        <w:tab/>
        <w:t xml:space="preserve">In a Set for Life draw the holder of a receipted ticket or the purchaser of an entry under </w:t>
      </w:r>
      <w:r>
        <w:t>Part 2 Division 5</w:t>
      </w:r>
      <w:r>
        <w:rPr>
          <w:spacing w:val="-2"/>
        </w:rPr>
        <w:t xml:space="preserve"> of these rules wins —</w:t>
      </w:r>
    </w:p>
    <w:p>
      <w:pPr>
        <w:pStyle w:val="Indenta"/>
      </w:pPr>
      <w:r>
        <w:tab/>
        <w:t>(a)</w:t>
      </w:r>
      <w:r>
        <w:tab/>
        <w:t>1st Prize, if all 8 winning numbers;</w:t>
      </w:r>
    </w:p>
    <w:p>
      <w:pPr>
        <w:pStyle w:val="Indenta"/>
      </w:pPr>
      <w:r>
        <w:tab/>
        <w:t>(b)</w:t>
      </w:r>
      <w:r>
        <w:tab/>
        <w:t>2nd Prize, if any 7 winning numbers and 1 or 2 bonus numbers;</w:t>
      </w:r>
    </w:p>
    <w:p>
      <w:pPr>
        <w:pStyle w:val="Indenta"/>
      </w:pPr>
      <w:r>
        <w:tab/>
        <w:t>(c)</w:t>
      </w:r>
      <w:r>
        <w:tab/>
        <w:t>3rd Prize, if any 7 winning numbers;</w:t>
      </w:r>
    </w:p>
    <w:p>
      <w:pPr>
        <w:pStyle w:val="Indenta"/>
      </w:pPr>
      <w:r>
        <w:tab/>
        <w:t>(d)</w:t>
      </w:r>
      <w:r>
        <w:tab/>
        <w:t xml:space="preserve">4th Prize, if any 6 winning numbers and 1 or 2 bonus numbers; </w:t>
      </w:r>
    </w:p>
    <w:p>
      <w:pPr>
        <w:pStyle w:val="Indenta"/>
      </w:pPr>
      <w:r>
        <w:tab/>
        <w:t>(e)</w:t>
      </w:r>
      <w:r>
        <w:tab/>
        <w:t>5th Prize, if any 6 winning numbers;</w:t>
      </w:r>
    </w:p>
    <w:p>
      <w:pPr>
        <w:pStyle w:val="Indenta"/>
      </w:pPr>
      <w:r>
        <w:tab/>
        <w:t>(f)</w:t>
      </w:r>
      <w:r>
        <w:tab/>
        <w:t>6th Prize, if any 5 winning numbers and 1 or 2 bonus numbers;</w:t>
      </w:r>
    </w:p>
    <w:p>
      <w:pPr>
        <w:pStyle w:val="Indenta"/>
      </w:pPr>
      <w:r>
        <w:tab/>
        <w:t>(g)</w:t>
      </w:r>
      <w:r>
        <w:tab/>
        <w:t>7th Prize, if any 5 winning numbers;</w:t>
      </w:r>
    </w:p>
    <w:p>
      <w:pPr>
        <w:pStyle w:val="Indenta"/>
      </w:pPr>
      <w:r>
        <w:tab/>
        <w:t>(h)</w:t>
      </w:r>
      <w:r>
        <w:tab/>
        <w:t>8th Prize, if any 4 winning numbers and 1 or 2 bonus numbers,</w:t>
      </w:r>
    </w:p>
    <w:p>
      <w:pPr>
        <w:pStyle w:val="Subsection"/>
        <w:rPr>
          <w:spacing w:val="-2"/>
        </w:rPr>
      </w:pPr>
      <w:r>
        <w:rPr>
          <w:spacing w:val="-2"/>
        </w:rPr>
        <w:tab/>
      </w:r>
      <w:r>
        <w:rPr>
          <w:spacing w:val="-2"/>
        </w:rPr>
        <w:tab/>
        <w:t>are selected in the one SET.</w:t>
      </w:r>
    </w:p>
    <w:p>
      <w:pPr>
        <w:pStyle w:val="Footnotesection"/>
      </w:pPr>
      <w:r>
        <w:tab/>
        <w:t>[Rule 115 amended: Gazette 4 Oct 2017 p. 5138.]</w:t>
      </w:r>
    </w:p>
    <w:p>
      <w:pPr>
        <w:pStyle w:val="Heading5"/>
      </w:pPr>
      <w:bookmarkStart w:id="476" w:name="_Toc34291521"/>
      <w:bookmarkStart w:id="477" w:name="_Toc25761224"/>
      <w:r>
        <w:rPr>
          <w:rStyle w:val="CharSectno"/>
        </w:rPr>
        <w:t>116</w:t>
      </w:r>
      <w:r>
        <w:t>.</w:t>
      </w:r>
      <w:r>
        <w:tab/>
        <w:t>Only one prize per SET except for system entries</w:t>
      </w:r>
      <w:bookmarkEnd w:id="476"/>
      <w:bookmarkEnd w:id="477"/>
    </w:p>
    <w:p>
      <w:pPr>
        <w:pStyle w:val="Subsection"/>
        <w:rPr>
          <w:spacing w:val="-2"/>
        </w:rPr>
      </w:pPr>
      <w:r>
        <w:rPr>
          <w:spacing w:val="-2"/>
        </w:rPr>
        <w:tab/>
      </w:r>
      <w:r>
        <w:t>(1)</w:t>
      </w:r>
      <w:r>
        <w:rPr>
          <w:spacing w:val="-2"/>
        </w:rPr>
        <w:tab/>
        <w:t xml:space="preserve">The holder of a receipted ticket or the purchaser of an entry under </w:t>
      </w:r>
      <w:r>
        <w:t xml:space="preserve">Part 2 Division 5 </w:t>
      </w:r>
      <w:r>
        <w:rPr>
          <w:spacing w:val="-2"/>
        </w:rPr>
        <w:t>of these rules may claim a prize in only one Prize Level for each Set for Life SET entered with that ticket or entry.</w:t>
      </w:r>
    </w:p>
    <w:p>
      <w:pPr>
        <w:pStyle w:val="Subsection"/>
        <w:rPr>
          <w:spacing w:val="-2"/>
        </w:rPr>
      </w:pPr>
      <w:r>
        <w:rPr>
          <w:spacing w:val="-2"/>
        </w:rPr>
        <w:tab/>
      </w:r>
      <w:r>
        <w:t>(2)</w:t>
      </w:r>
      <w:r>
        <w:rPr>
          <w:spacing w:val="-2"/>
        </w:rPr>
        <w:tab/>
        <w:t xml:space="preserve">The holder of a receipted ticket which contains, or the purchaser of an entry under </w:t>
      </w:r>
      <w:r>
        <w:t>Part 2 Division 5</w:t>
      </w:r>
      <w:r>
        <w:rPr>
          <w:spacing w:val="-2"/>
        </w:rPr>
        <w:t xml:space="preserve"> of these rules which comprises, a system entry may claim a prize in one Prize Level for each Set for Life SET making up that system entry, resulting in prizes in more than one Prize Level for each notional entry.</w:t>
      </w:r>
    </w:p>
    <w:p>
      <w:pPr>
        <w:pStyle w:val="Heading5"/>
      </w:pPr>
      <w:bookmarkStart w:id="478" w:name="_Toc34291522"/>
      <w:bookmarkStart w:id="479" w:name="_Toc25761225"/>
      <w:r>
        <w:rPr>
          <w:rStyle w:val="CharSectno"/>
        </w:rPr>
        <w:t>117</w:t>
      </w:r>
      <w:r>
        <w:t>.</w:t>
      </w:r>
      <w:r>
        <w:tab/>
        <w:t>Distribution of prize pool</w:t>
      </w:r>
      <w:bookmarkEnd w:id="478"/>
      <w:bookmarkEnd w:id="479"/>
    </w:p>
    <w:p>
      <w:pPr>
        <w:pStyle w:val="Subsection"/>
        <w:rPr>
          <w:snapToGrid w:val="0"/>
        </w:rPr>
      </w:pPr>
      <w:r>
        <w:rPr>
          <w:snapToGrid w:val="0"/>
        </w:rPr>
        <w:tab/>
        <w:t>(1)</w:t>
      </w:r>
      <w:r>
        <w:rPr>
          <w:snapToGrid w:val="0"/>
        </w:rPr>
        <w:tab/>
        <w:t>This rule is subject to rules 118 and 119.</w:t>
      </w:r>
    </w:p>
    <w:p>
      <w:pPr>
        <w:pStyle w:val="Subsection"/>
        <w:rPr>
          <w:spacing w:val="-2"/>
        </w:rPr>
      </w:pPr>
      <w:r>
        <w:rPr>
          <w:spacing w:val="-2"/>
        </w:rPr>
        <w:tab/>
      </w:r>
      <w:r>
        <w:t>(2)</w:t>
      </w:r>
      <w:r>
        <w:rPr>
          <w:spacing w:val="-2"/>
        </w:rPr>
        <w:tab/>
        <w:t>The prize pool for a Prize Level is to be divided equally between the winning SETs in that Prize Level.</w:t>
      </w:r>
    </w:p>
    <w:p>
      <w:pPr>
        <w:pStyle w:val="Subsection"/>
        <w:rPr>
          <w:spacing w:val="-2"/>
        </w:rPr>
      </w:pPr>
      <w:r>
        <w:rPr>
          <w:spacing w:val="-2"/>
        </w:rPr>
        <w:tab/>
      </w:r>
      <w:r>
        <w:t>(3)</w:t>
      </w:r>
      <w:r>
        <w:rPr>
          <w:spacing w:val="-2"/>
        </w:rPr>
        <w:tab/>
        <w:t>The Commission may round off the individual entitlement for a prize in a Prize Level to the nearest sum containing a 5 cent multiple.</w:t>
      </w:r>
    </w:p>
    <w:p>
      <w:pPr>
        <w:pStyle w:val="Subsection"/>
      </w:pPr>
      <w:r>
        <w:tab/>
        <w:t>(4)</w:t>
      </w:r>
      <w:r>
        <w:tab/>
        <w:t>Where a rounding off takes place under subrule (3), the Commission may adjust the prize pool for 1st Prize to ensure that the whole of the prize pool for that draw is distributed.</w:t>
      </w:r>
    </w:p>
    <w:p>
      <w:pPr>
        <w:pStyle w:val="Heading5"/>
      </w:pPr>
      <w:bookmarkStart w:id="480" w:name="_Toc34291523"/>
      <w:bookmarkStart w:id="481" w:name="_Toc25761226"/>
      <w:r>
        <w:rPr>
          <w:rStyle w:val="CharSectno"/>
        </w:rPr>
        <w:t>118</w:t>
      </w:r>
      <w:r>
        <w:t>.</w:t>
      </w:r>
      <w:r>
        <w:tab/>
        <w:t>Application of prize pool if 2nd Prize to 7th Prize not won</w:t>
      </w:r>
      <w:bookmarkEnd w:id="480"/>
      <w:bookmarkEnd w:id="481"/>
    </w:p>
    <w:p>
      <w:pPr>
        <w:pStyle w:val="Subsection"/>
        <w:rPr>
          <w:spacing w:val="-2"/>
        </w:rPr>
      </w:pPr>
      <w:r>
        <w:rPr>
          <w:spacing w:val="-2"/>
        </w:rPr>
        <w:tab/>
      </w:r>
      <w:r>
        <w:rPr>
          <w:spacing w:val="-2"/>
        </w:rPr>
        <w:tab/>
        <w:t xml:space="preserve">If no one wins a prize in one or more of 2nd Prize to 7th Prize in a particular Set for Life draw, then the prize </w:t>
      </w:r>
      <w:r>
        <w:t>pool for that</w:t>
      </w:r>
      <w:r>
        <w:rPr>
          <w:spacing w:val="-2"/>
        </w:rPr>
        <w:t xml:space="preserve"> Prize Level without a winner is to be added to the prize pool for the next lower Prize Level in which there is at least one winner in that Set for Life draw.</w:t>
      </w:r>
    </w:p>
    <w:p>
      <w:pPr>
        <w:pStyle w:val="Footnotesection"/>
      </w:pPr>
      <w:r>
        <w:tab/>
        <w:t>[Rule 118 amended: Gazette 4 Oct 2017 p. 5138.]</w:t>
      </w:r>
    </w:p>
    <w:p>
      <w:pPr>
        <w:pStyle w:val="Heading5"/>
      </w:pPr>
      <w:bookmarkStart w:id="482" w:name="_Toc34291524"/>
      <w:bookmarkStart w:id="483" w:name="_Toc25761227"/>
      <w:r>
        <w:rPr>
          <w:rStyle w:val="CharSectno"/>
        </w:rPr>
        <w:t>119</w:t>
      </w:r>
      <w:r>
        <w:t>.</w:t>
      </w:r>
      <w:r>
        <w:tab/>
        <w:t>Application of prize reserve fund to 1st Prize</w:t>
      </w:r>
      <w:bookmarkEnd w:id="482"/>
      <w:bookmarkEnd w:id="483"/>
    </w:p>
    <w:p>
      <w:pPr>
        <w:pStyle w:val="Subsection"/>
        <w:rPr>
          <w:spacing w:val="-2"/>
        </w:rPr>
      </w:pPr>
      <w:r>
        <w:rPr>
          <w:spacing w:val="-2"/>
        </w:rPr>
        <w:tab/>
      </w:r>
      <w:r>
        <w:t>(1)</w:t>
      </w:r>
      <w:r>
        <w:rPr>
          <w:spacing w:val="-2"/>
        </w:rPr>
        <w:tab/>
        <w:t>If there is no 1st Prize winner in a particular Set for Life draw, the prize reserve fund retains the entire amount allocated to it for that draw.</w:t>
      </w:r>
    </w:p>
    <w:p>
      <w:pPr>
        <w:pStyle w:val="Subsection"/>
        <w:rPr>
          <w:spacing w:val="-2"/>
        </w:rPr>
      </w:pPr>
      <w:r>
        <w:rPr>
          <w:spacing w:val="-2"/>
        </w:rPr>
        <w:tab/>
      </w:r>
      <w:r>
        <w:t>(2)</w:t>
      </w:r>
      <w:r>
        <w:rPr>
          <w:spacing w:val="-2"/>
        </w:rPr>
        <w:tab/>
        <w:t>If up to 4 winners win 1st Prize in a particular Set for Life draw, then each winner is entitled to $20 000 a month for a period of 20 years.</w:t>
      </w:r>
    </w:p>
    <w:p>
      <w:pPr>
        <w:pStyle w:val="Subsection"/>
        <w:rPr>
          <w:spacing w:val="-2"/>
        </w:rPr>
      </w:pPr>
      <w:r>
        <w:rPr>
          <w:spacing w:val="-2"/>
        </w:rPr>
        <w:tab/>
      </w:r>
      <w:r>
        <w:t>(3)</w:t>
      </w:r>
      <w:r>
        <w:rPr>
          <w:spacing w:val="-2"/>
        </w:rPr>
        <w:tab/>
        <w:t>If more than 4 winners win 1st Prize in a particular Set for Life draw, then each winner is entitled to an equal share of $80 000 a month, paid in monthly instalments for a period of 20 years.</w:t>
      </w:r>
    </w:p>
    <w:p>
      <w:pPr>
        <w:pStyle w:val="Subsection"/>
        <w:rPr>
          <w:spacing w:val="-2"/>
        </w:rPr>
      </w:pPr>
      <w:r>
        <w:rPr>
          <w:spacing w:val="-2"/>
        </w:rPr>
        <w:tab/>
      </w:r>
      <w:r>
        <w:t>(4)</w:t>
      </w:r>
      <w:r>
        <w:rPr>
          <w:spacing w:val="-2"/>
        </w:rPr>
        <w:tab/>
        <w:t>If a 1st Prize winner dies before the payment term is completed, upon the Commission being satisfied of the circumstances, the deceased’s remaining entitlement to prize payment is to be calculated and paid as a lump sum, which may be dealt with as a part of the deceased’s estate.</w:t>
      </w:r>
    </w:p>
    <w:p>
      <w:pPr>
        <w:pStyle w:val="Heading5"/>
      </w:pPr>
      <w:bookmarkStart w:id="484" w:name="_Toc34291525"/>
      <w:bookmarkStart w:id="485" w:name="_Toc25761228"/>
      <w:r>
        <w:rPr>
          <w:rStyle w:val="CharSectno"/>
        </w:rPr>
        <w:t>120</w:t>
      </w:r>
      <w:r>
        <w:t>.</w:t>
      </w:r>
      <w:r>
        <w:tab/>
        <w:t>Claims for and payment of 1st Prizes</w:t>
      </w:r>
      <w:bookmarkEnd w:id="484"/>
      <w:bookmarkEnd w:id="485"/>
    </w:p>
    <w:p>
      <w:pPr>
        <w:pStyle w:val="Subsection"/>
        <w:rPr>
          <w:spacing w:val="-2"/>
        </w:rPr>
      </w:pPr>
      <w:r>
        <w:rPr>
          <w:spacing w:val="-2"/>
        </w:rPr>
        <w:tab/>
      </w:r>
      <w:r>
        <w:t>(1)</w:t>
      </w:r>
      <w:r>
        <w:rPr>
          <w:spacing w:val="-2"/>
        </w:rPr>
        <w:tab/>
        <w:t xml:space="preserve">Other than in the circumstances set out in rule 119(4), 1st Prize in a Set for Life draw is to be paid in monthly instalments in accordance with this Part and </w:t>
      </w:r>
      <w:r>
        <w:t>Part 2 Division 5</w:t>
      </w:r>
      <w:r>
        <w:rPr>
          <w:spacing w:val="-2"/>
        </w:rPr>
        <w:t xml:space="preserve"> of these rules and cannot be taken as a lump sum.</w:t>
      </w:r>
    </w:p>
    <w:p>
      <w:pPr>
        <w:pStyle w:val="Subsection"/>
        <w:rPr>
          <w:spacing w:val="-2"/>
        </w:rPr>
      </w:pPr>
      <w:r>
        <w:rPr>
          <w:spacing w:val="-2"/>
        </w:rPr>
        <w:tab/>
      </w:r>
      <w:r>
        <w:t>(2)</w:t>
      </w:r>
      <w:r>
        <w:rPr>
          <w:spacing w:val="-2"/>
        </w:rPr>
        <w:tab/>
        <w:t>To claim 1st Prize in a Set for Life draw the holder of a winning receipted ticket must present it at the Commission’s head office within the payout period for that draw.</w:t>
      </w:r>
    </w:p>
    <w:p>
      <w:pPr>
        <w:pStyle w:val="Subsection"/>
      </w:pPr>
      <w:r>
        <w:tab/>
        <w:t>(3)</w:t>
      </w:r>
      <w:r>
        <w:tab/>
        <w:t xml:space="preserve">The </w:t>
      </w:r>
      <w:r>
        <w:rPr>
          <w:spacing w:val="-2"/>
        </w:rPr>
        <w:t xml:space="preserve">purchaser of an entry under </w:t>
      </w:r>
      <w:r>
        <w:t>Part 2 Division 5</w:t>
      </w:r>
      <w:r>
        <w:rPr>
          <w:spacing w:val="-2"/>
        </w:rPr>
        <w:t xml:space="preserve"> of these rules that wins 1st Prize in a Set for Life draw will be paid in accordance with subrule (4).</w:t>
      </w:r>
    </w:p>
    <w:p>
      <w:pPr>
        <w:pStyle w:val="Subsection"/>
        <w:rPr>
          <w:spacing w:val="-2"/>
        </w:rPr>
      </w:pPr>
      <w:r>
        <w:rPr>
          <w:spacing w:val="-2"/>
        </w:rPr>
        <w:tab/>
      </w:r>
      <w:r>
        <w:t>(4)</w:t>
      </w:r>
      <w:r>
        <w:rPr>
          <w:spacing w:val="-2"/>
        </w:rPr>
        <w:tab/>
        <w:t>Subject to rule 34, 1st Prize in a Set for Life draw is to be paid to the holder of a winning receipted ticket —</w:t>
      </w:r>
    </w:p>
    <w:p>
      <w:pPr>
        <w:pStyle w:val="Indenta"/>
      </w:pPr>
      <w:r>
        <w:tab/>
        <w:t>(a)</w:t>
      </w:r>
      <w:r>
        <w:tab/>
        <w:t>by the Commission; and</w:t>
      </w:r>
    </w:p>
    <w:p>
      <w:pPr>
        <w:pStyle w:val="Indenta"/>
      </w:pPr>
      <w:r>
        <w:tab/>
        <w:t>(b)</w:t>
      </w:r>
      <w:r>
        <w:tab/>
        <w:t>by electronic funds transfer or in any other manner determined by the Commission; and</w:t>
      </w:r>
    </w:p>
    <w:p>
      <w:pPr>
        <w:pStyle w:val="Indenta"/>
      </w:pPr>
      <w:r>
        <w:tab/>
        <w:t>(c)</w:t>
      </w:r>
      <w:r>
        <w:tab/>
        <w:t>to an authorised financial institution account in the winner’s name, nominated by the winner; and</w:t>
      </w:r>
    </w:p>
    <w:p>
      <w:pPr>
        <w:pStyle w:val="Indenta"/>
      </w:pPr>
      <w:r>
        <w:tab/>
        <w:t>(d)</w:t>
      </w:r>
      <w:r>
        <w:tab/>
        <w:t>after the validation period for that draw; and</w:t>
      </w:r>
    </w:p>
    <w:p>
      <w:pPr>
        <w:pStyle w:val="Indenta"/>
      </w:pPr>
      <w:r>
        <w:tab/>
        <w:t>(e)</w:t>
      </w:r>
      <w:r>
        <w:tab/>
        <w:t>on or around a set regular date, as determined by the Commission.</w:t>
      </w:r>
    </w:p>
    <w:p>
      <w:pPr>
        <w:pStyle w:val="Subsection"/>
        <w:rPr>
          <w:spacing w:val="-2"/>
        </w:rPr>
      </w:pPr>
      <w:r>
        <w:rPr>
          <w:spacing w:val="-2"/>
        </w:rPr>
        <w:tab/>
      </w:r>
      <w:r>
        <w:t>(5)</w:t>
      </w:r>
      <w:r>
        <w:rPr>
          <w:spacing w:val="-2"/>
        </w:rPr>
        <w:tab/>
        <w:t>Where the holder of a receipted ticket wins 1st Prize in a Set for Life draw and one or more other prizes on the same ticket, none of those prizes are to be paid until after the validation period for that draw.</w:t>
      </w:r>
    </w:p>
    <w:p>
      <w:pPr>
        <w:pStyle w:val="Subsection"/>
        <w:rPr>
          <w:spacing w:val="-2"/>
        </w:rPr>
      </w:pPr>
      <w:r>
        <w:rPr>
          <w:spacing w:val="-2"/>
        </w:rPr>
        <w:tab/>
      </w:r>
      <w:r>
        <w:t>(6)</w:t>
      </w:r>
      <w:r>
        <w:rPr>
          <w:spacing w:val="-2"/>
        </w:rPr>
        <w:tab/>
        <w:t>If a 1st Prize winner provides payment details to the Commission that change or require updating, it is the prize winner’s responsibility to ensure that their details are correct and any instalments that cannot be made due to incorrect account details will be held by the Commission until payment can be facilitated.</w:t>
      </w:r>
    </w:p>
    <w:p>
      <w:pPr>
        <w:pStyle w:val="Heading2"/>
      </w:pPr>
      <w:bookmarkStart w:id="486" w:name="_Toc34139589"/>
      <w:bookmarkStart w:id="487" w:name="_Toc34139801"/>
      <w:bookmarkStart w:id="488" w:name="_Toc34147978"/>
      <w:bookmarkStart w:id="489" w:name="_Toc34207531"/>
      <w:bookmarkStart w:id="490" w:name="_Toc34291526"/>
      <w:bookmarkStart w:id="491" w:name="_Toc25657434"/>
      <w:bookmarkStart w:id="492" w:name="_Toc25760900"/>
      <w:bookmarkStart w:id="493" w:name="_Toc25761229"/>
      <w:r>
        <w:rPr>
          <w:rStyle w:val="CharPartNo"/>
        </w:rPr>
        <w:t>Part 9</w:t>
      </w:r>
      <w:r>
        <w:t> — </w:t>
      </w:r>
      <w:r>
        <w:rPr>
          <w:rStyle w:val="CharPartText"/>
        </w:rPr>
        <w:t>Soccer Pools rules</w:t>
      </w:r>
      <w:bookmarkEnd w:id="486"/>
      <w:bookmarkEnd w:id="487"/>
      <w:bookmarkEnd w:id="488"/>
      <w:bookmarkEnd w:id="489"/>
      <w:bookmarkEnd w:id="490"/>
      <w:bookmarkEnd w:id="491"/>
      <w:bookmarkEnd w:id="492"/>
      <w:bookmarkEnd w:id="493"/>
    </w:p>
    <w:p>
      <w:pPr>
        <w:pStyle w:val="Heading3"/>
      </w:pPr>
      <w:bookmarkStart w:id="494" w:name="_Toc34139590"/>
      <w:bookmarkStart w:id="495" w:name="_Toc34139802"/>
      <w:bookmarkStart w:id="496" w:name="_Toc34147979"/>
      <w:bookmarkStart w:id="497" w:name="_Toc34207532"/>
      <w:bookmarkStart w:id="498" w:name="_Toc34291527"/>
      <w:bookmarkStart w:id="499" w:name="_Toc25657435"/>
      <w:bookmarkStart w:id="500" w:name="_Toc25760901"/>
      <w:bookmarkStart w:id="501" w:name="_Toc25761230"/>
      <w:r>
        <w:rPr>
          <w:rStyle w:val="CharDivNo"/>
        </w:rPr>
        <w:t>Division 1</w:t>
      </w:r>
      <w:r>
        <w:t> — </w:t>
      </w:r>
      <w:r>
        <w:rPr>
          <w:rStyle w:val="CharDivText"/>
        </w:rPr>
        <w:t>Requirements for entry</w:t>
      </w:r>
      <w:bookmarkEnd w:id="494"/>
      <w:bookmarkEnd w:id="495"/>
      <w:bookmarkEnd w:id="496"/>
      <w:bookmarkEnd w:id="497"/>
      <w:bookmarkEnd w:id="498"/>
      <w:bookmarkEnd w:id="499"/>
      <w:bookmarkEnd w:id="500"/>
      <w:bookmarkEnd w:id="501"/>
    </w:p>
    <w:p>
      <w:pPr>
        <w:pStyle w:val="Heading5"/>
      </w:pPr>
      <w:bookmarkStart w:id="502" w:name="_Toc34291528"/>
      <w:bookmarkStart w:id="503" w:name="_Toc25761231"/>
      <w:r>
        <w:rPr>
          <w:rStyle w:val="CharSectno"/>
        </w:rPr>
        <w:t>121</w:t>
      </w:r>
      <w:r>
        <w:t>.</w:t>
      </w:r>
      <w:r>
        <w:tab/>
        <w:t>Terms used</w:t>
      </w:r>
      <w:bookmarkEnd w:id="502"/>
      <w:bookmarkEnd w:id="503"/>
    </w:p>
    <w:p>
      <w:pPr>
        <w:pStyle w:val="Subsection"/>
      </w:pPr>
      <w:r>
        <w:tab/>
      </w:r>
      <w:r>
        <w:tab/>
        <w:t>In this Part —</w:t>
      </w:r>
    </w:p>
    <w:p>
      <w:pPr>
        <w:pStyle w:val="Defstart"/>
      </w:pPr>
      <w:r>
        <w:tab/>
      </w:r>
      <w:r>
        <w:rPr>
          <w:rStyle w:val="CharDefText"/>
        </w:rPr>
        <w:t>agent’s component</w:t>
      </w:r>
      <w:r>
        <w:t xml:space="preserve"> means that part of the entry cost (added to the subscription) calculated in accordance with the formula set out in Schedule 8 Division 1 that is payable to the agent;</w:t>
      </w:r>
    </w:p>
    <w:p>
      <w:pPr>
        <w:pStyle w:val="Defstart"/>
      </w:pPr>
      <w:r>
        <w:rPr>
          <w:b/>
        </w:rPr>
        <w:tab/>
      </w:r>
      <w:r>
        <w:rPr>
          <w:rStyle w:val="CharDefText"/>
        </w:rPr>
        <w:t>Away win</w:t>
      </w:r>
      <w:r>
        <w:t xml:space="preserve"> means a result where the team printed in the right hand column of the match list has, or is deemed to have, scored more goals in the match than the other team;</w:t>
      </w:r>
    </w:p>
    <w:p>
      <w:pPr>
        <w:pStyle w:val="Defstart"/>
      </w:pPr>
      <w:r>
        <w:rPr>
          <w:b/>
        </w:rPr>
        <w:tab/>
      </w:r>
      <w:r>
        <w:rPr>
          <w:rStyle w:val="CharDefText"/>
        </w:rPr>
        <w:t>entry</w:t>
      </w:r>
      <w:r>
        <w:t xml:space="preserve"> means an entry as described in rule 4 or an entry as a result of redemption of a promotional coupon;</w:t>
      </w:r>
    </w:p>
    <w:p>
      <w:pPr>
        <w:pStyle w:val="Defstart"/>
        <w:keepNext/>
      </w:pPr>
      <w:r>
        <w:rPr>
          <w:b/>
        </w:rPr>
        <w:tab/>
      </w:r>
      <w:r>
        <w:rPr>
          <w:rStyle w:val="CharDefText"/>
        </w:rPr>
        <w:t>game</w:t>
      </w:r>
      <w:r>
        <w:t xml:space="preserve"> means — </w:t>
      </w:r>
    </w:p>
    <w:p>
      <w:pPr>
        <w:pStyle w:val="Defpara"/>
      </w:pPr>
      <w:r>
        <w:tab/>
        <w:t>(a)</w:t>
      </w:r>
      <w:r>
        <w:tab/>
        <w:t>that part of an entry consisting of 6 selected numbers; and</w:t>
      </w:r>
    </w:p>
    <w:p>
      <w:pPr>
        <w:pStyle w:val="Defpara"/>
      </w:pPr>
      <w:r>
        <w:tab/>
        <w:t>(b)</w:t>
      </w:r>
      <w:r>
        <w:tab/>
        <w:t xml:space="preserve">in relation to a system entry, one of the notional multiple games making up that system entry; </w:t>
      </w:r>
    </w:p>
    <w:p>
      <w:pPr>
        <w:pStyle w:val="Defstart"/>
      </w:pPr>
      <w:r>
        <w:rPr>
          <w:b/>
        </w:rPr>
        <w:tab/>
      </w:r>
      <w:r>
        <w:rPr>
          <w:rStyle w:val="CharDefText"/>
        </w:rPr>
        <w:t>Home win</w:t>
      </w:r>
      <w:r>
        <w:t xml:space="preserve"> means a result where the team printed in the left hand column of the match list has, or is deemed to have, scored more goals in the match than the other team;</w:t>
      </w:r>
    </w:p>
    <w:p>
      <w:pPr>
        <w:pStyle w:val="Defstart"/>
      </w:pPr>
      <w:r>
        <w:rPr>
          <w:b/>
        </w:rPr>
        <w:tab/>
      </w:r>
      <w:r>
        <w:rPr>
          <w:rStyle w:val="CharDefText"/>
        </w:rPr>
        <w:t>match list</w:t>
      </w:r>
      <w:r>
        <w:t xml:space="preserve"> means a list of matches published under rule 125;</w:t>
      </w:r>
    </w:p>
    <w:p>
      <w:pPr>
        <w:pStyle w:val="Defstart"/>
      </w:pPr>
      <w:r>
        <w:rPr>
          <w:b/>
        </w:rPr>
        <w:tab/>
      </w:r>
      <w:r>
        <w:rPr>
          <w:rStyle w:val="CharDefText"/>
        </w:rPr>
        <w:t>prize fund</w:t>
      </w:r>
      <w:r>
        <w:t xml:space="preserve"> means the fund maintained by the Lotto Bloc in accordance with the agreement referred to in rule 131(1) and consisting of the Soccer Pools prize pool and the prize reserve fund;</w:t>
      </w:r>
    </w:p>
    <w:p>
      <w:pPr>
        <w:pStyle w:val="Defstart"/>
      </w:pPr>
      <w:r>
        <w:rPr>
          <w:b/>
        </w:rPr>
        <w:tab/>
      </w:r>
      <w:r>
        <w:rPr>
          <w:rStyle w:val="CharDefText"/>
        </w:rPr>
        <w:t>prize pool</w:t>
      </w:r>
      <w:r>
        <w:t xml:space="preserve"> means the prize pool referred to in rule 131(2)(a);</w:t>
      </w:r>
    </w:p>
    <w:p>
      <w:pPr>
        <w:pStyle w:val="Defstart"/>
      </w:pPr>
      <w:r>
        <w:rPr>
          <w:b/>
        </w:rPr>
        <w:tab/>
      </w:r>
      <w:r>
        <w:rPr>
          <w:rStyle w:val="CharDefText"/>
        </w:rPr>
        <w:t>score draw</w:t>
      </w:r>
      <w:r>
        <w:t xml:space="preserve"> means a result where both teams have scored, or are deemed to have scored, the same number of goals (being a number more than zero);</w:t>
      </w:r>
    </w:p>
    <w:p>
      <w:pPr>
        <w:pStyle w:val="Defstart"/>
      </w:pPr>
      <w:r>
        <w:rPr>
          <w:b/>
        </w:rPr>
        <w:tab/>
      </w:r>
      <w:r>
        <w:rPr>
          <w:rStyle w:val="CharDefText"/>
        </w:rPr>
        <w:t>scoreless draw</w:t>
      </w:r>
      <w:r>
        <w:t xml:space="preserve"> means a result where both teams have not scored, or are deemed not to have scored, any goals;</w:t>
      </w:r>
    </w:p>
    <w:p>
      <w:pPr>
        <w:pStyle w:val="Defstart"/>
      </w:pPr>
      <w:r>
        <w:rPr>
          <w:b/>
        </w:rPr>
        <w:tab/>
      </w:r>
      <w:r>
        <w:rPr>
          <w:rStyle w:val="CharDefText"/>
        </w:rPr>
        <w:t>subscription</w:t>
      </w:r>
      <w:r>
        <w:t xml:space="preserve"> means the amount payable (exclusive of the agent’s component) to enter Soccer Pools;</w:t>
      </w:r>
    </w:p>
    <w:p>
      <w:pPr>
        <w:pStyle w:val="Defstart"/>
      </w:pPr>
      <w:r>
        <w:rPr>
          <w:b/>
        </w:rPr>
        <w:tab/>
      </w:r>
      <w:r>
        <w:rPr>
          <w:rStyle w:val="CharDefText"/>
        </w:rPr>
        <w:t>supplementary number</w:t>
      </w:r>
      <w:r>
        <w:t xml:space="preserve"> means the number referred to in rule 126(3);</w:t>
      </w:r>
    </w:p>
    <w:p>
      <w:pPr>
        <w:pStyle w:val="Defstart"/>
      </w:pPr>
      <w:r>
        <w:rPr>
          <w:b/>
        </w:rPr>
        <w:tab/>
      </w:r>
      <w:r>
        <w:rPr>
          <w:rStyle w:val="CharDefText"/>
        </w:rPr>
        <w:t>total prize pool</w:t>
      </w:r>
      <w:r>
        <w:t xml:space="preserve"> means the prize pool for a Soccer Pools Game, plus any jackpot from a previous Soccer Pools Game and any amount that has been taken from the prize reserve fund under rule 136 to increase the division 1 prize pool to a guaranteed minimum amount;</w:t>
      </w:r>
    </w:p>
    <w:p>
      <w:pPr>
        <w:pStyle w:val="Defstart"/>
      </w:pPr>
      <w:r>
        <w:rPr>
          <w:b/>
        </w:rPr>
        <w:tab/>
      </w:r>
      <w:r>
        <w:rPr>
          <w:rStyle w:val="CharDefText"/>
        </w:rPr>
        <w:t>validation period</w:t>
      </w:r>
      <w:r>
        <w:t xml:space="preserve"> means the period of time commencing at midnight on the day of determination of a Soccer Pools Game results and ending at the close of business on the 14</w:t>
      </w:r>
      <w:r>
        <w:rPr>
          <w:vertAlign w:val="superscript"/>
        </w:rPr>
        <w:t>th</w:t>
      </w:r>
      <w:r>
        <w:t> day following that day (or on the business day preceding that 14</w:t>
      </w:r>
      <w:r>
        <w:rPr>
          <w:vertAlign w:val="superscript"/>
        </w:rPr>
        <w:t>th</w:t>
      </w:r>
      <w:r>
        <w:t> day, if the day falls on a weekend or public holiday);</w:t>
      </w:r>
    </w:p>
    <w:p>
      <w:pPr>
        <w:pStyle w:val="Defstart"/>
      </w:pPr>
      <w:r>
        <w:rPr>
          <w:b/>
        </w:rPr>
        <w:tab/>
      </w:r>
      <w:r>
        <w:rPr>
          <w:rStyle w:val="CharDefText"/>
        </w:rPr>
        <w:t>void match</w:t>
      </w:r>
      <w:r>
        <w:t xml:space="preserve"> means a match on the match list that has been declared to be a void match by the Lotto Bloc;</w:t>
      </w:r>
    </w:p>
    <w:p>
      <w:pPr>
        <w:pStyle w:val="Defstart"/>
      </w:pPr>
      <w:r>
        <w:rPr>
          <w:b/>
        </w:rPr>
        <w:tab/>
      </w:r>
      <w:r>
        <w:rPr>
          <w:rStyle w:val="CharDefText"/>
        </w:rPr>
        <w:t>winning number</w:t>
      </w:r>
      <w:r>
        <w:t xml:space="preserve"> means any one of the 6 numbers referred to in rule 126(2).</w:t>
      </w:r>
    </w:p>
    <w:p>
      <w:pPr>
        <w:pStyle w:val="Footnotesection"/>
      </w:pPr>
      <w:r>
        <w:tab/>
        <w:t>[Rule 121 amended: Gazette 4 Oct 2017 p. 5139</w:t>
      </w:r>
      <w:r>
        <w:noBreakHyphen/>
        <w:t>40.]</w:t>
      </w:r>
    </w:p>
    <w:p>
      <w:pPr>
        <w:pStyle w:val="Ednotesection"/>
      </w:pPr>
      <w:r>
        <w:t>[</w:t>
      </w:r>
      <w:r>
        <w:rPr>
          <w:b/>
        </w:rPr>
        <w:t>122.</w:t>
      </w:r>
      <w:r>
        <w:tab/>
        <w:t>Deleted: Gazette 4 Oct 2017 p. 5140.]</w:t>
      </w:r>
    </w:p>
    <w:p>
      <w:pPr>
        <w:pStyle w:val="Heading5"/>
        <w:rPr>
          <w:snapToGrid w:val="0"/>
        </w:rPr>
      </w:pPr>
      <w:bookmarkStart w:id="504" w:name="_Toc34291529"/>
      <w:bookmarkStart w:id="505" w:name="_Toc25761232"/>
      <w:r>
        <w:rPr>
          <w:rStyle w:val="CharSectno"/>
        </w:rPr>
        <w:t>123</w:t>
      </w:r>
      <w:r>
        <w:rPr>
          <w:snapToGrid w:val="0"/>
        </w:rPr>
        <w:t>.</w:t>
      </w:r>
      <w:r>
        <w:rPr>
          <w:snapToGrid w:val="0"/>
        </w:rPr>
        <w:tab/>
        <w:t>How to fill out a playslip</w:t>
      </w:r>
      <w:bookmarkEnd w:id="504"/>
      <w:bookmarkEnd w:id="505"/>
    </w:p>
    <w:p>
      <w:pPr>
        <w:pStyle w:val="Subsection"/>
        <w:rPr>
          <w:snapToGrid w:val="0"/>
        </w:rPr>
      </w:pPr>
      <w:r>
        <w:rPr>
          <w:snapToGrid w:val="0"/>
        </w:rPr>
        <w:tab/>
        <w:t>(1)</w:t>
      </w:r>
      <w:r>
        <w:rPr>
          <w:snapToGrid w:val="0"/>
        </w:rPr>
        <w:tab/>
        <w:t xml:space="preserve">To enter Soccer Pools using </w:t>
      </w:r>
      <w:r>
        <w:t xml:space="preserve">a playslip, </w:t>
      </w:r>
      <w:r>
        <w:rPr>
          <w:snapToGrid w:val="0"/>
        </w:rPr>
        <w:t>a subscriber must — </w:t>
      </w:r>
    </w:p>
    <w:p>
      <w:pPr>
        <w:pStyle w:val="Indenta"/>
        <w:rPr>
          <w:snapToGrid w:val="0"/>
        </w:rPr>
      </w:pPr>
      <w:r>
        <w:rPr>
          <w:snapToGrid w:val="0"/>
        </w:rPr>
        <w:tab/>
        <w:t>(a)</w:t>
      </w:r>
      <w:r>
        <w:rPr>
          <w:snapToGrid w:val="0"/>
        </w:rPr>
        <w:tab/>
        <w:t xml:space="preserve">select 6 numbers between 1 and 38 in each of at least 2 games on the </w:t>
      </w:r>
      <w:r>
        <w:t xml:space="preserve">playslip; </w:t>
      </w:r>
      <w:r>
        <w:rPr>
          <w:snapToGrid w:val="0"/>
        </w:rPr>
        <w:t>or</w:t>
      </w:r>
    </w:p>
    <w:p>
      <w:pPr>
        <w:pStyle w:val="Indenta"/>
        <w:rPr>
          <w:snapToGrid w:val="0"/>
        </w:rPr>
      </w:pPr>
      <w:r>
        <w:rPr>
          <w:snapToGrid w:val="0"/>
        </w:rPr>
        <w:tab/>
        <w:t>(b)</w:t>
      </w:r>
      <w:r>
        <w:rPr>
          <w:snapToGrid w:val="0"/>
        </w:rPr>
        <w:tab/>
        <w:t xml:space="preserve">select between 4 and 20 numbers (but not 6 numbers) between 1 and 38 in one or more games on the </w:t>
      </w:r>
      <w:r>
        <w:t>playslip (</w:t>
      </w:r>
      <w:r>
        <w:rPr>
          <w:i/>
        </w:rPr>
        <w:t>i.e. a system entry</w:t>
      </w:r>
      <w:r>
        <w:t>).</w:t>
      </w:r>
    </w:p>
    <w:p>
      <w:pPr>
        <w:pStyle w:val="Subsection"/>
      </w:pPr>
      <w:r>
        <w:tab/>
        <w:t>(2)</w:t>
      </w:r>
      <w:r>
        <w:tab/>
        <w:t>A subscriber who has filled out a game board on a playslip in accordance with subrule (1) may enter up to 17 further entries on that playslip by selecting, in each further game board, the same number of numbers as were selected in the first game, but only up to an entry cost that does not, in aggregate, exceed $100 000.</w:t>
      </w:r>
    </w:p>
    <w:p>
      <w:pPr>
        <w:pStyle w:val="Subsection"/>
      </w:pPr>
      <w:r>
        <w:tab/>
        <w:t>(3)</w:t>
      </w:r>
      <w:r>
        <w:tab/>
        <w:t>The subscriber must also mark in the appropriate boxes on the playslip whether the method of entry is a “system” entry, being either a system 4</w:t>
      </w:r>
      <w:r>
        <w:noBreakHyphen/>
        <w:t>5 or a system 7</w:t>
      </w:r>
      <w:r>
        <w:noBreakHyphen/>
        <w:t>20, depending on the number of numbers selected in each completed game board.</w:t>
      </w:r>
    </w:p>
    <w:p>
      <w:pPr>
        <w:pStyle w:val="Subsection"/>
      </w:pPr>
      <w:r>
        <w:tab/>
        <w:t>(3A)</w:t>
      </w:r>
      <w:r>
        <w:tab/>
        <w:t>In addition to allowing an entry for a particular Soccer Pools Game or Games, the Commission may allow a Soccer Pools entry to be for up to 10 consecutive weeks and, where offered, the subscriber must specify how many consecutive weeks they wish to enter.</w:t>
      </w:r>
    </w:p>
    <w:p>
      <w:pPr>
        <w:pStyle w:val="Subsection"/>
        <w:spacing w:before="180"/>
        <w:rPr>
          <w:snapToGrid w:val="0"/>
        </w:rPr>
      </w:pPr>
      <w:r>
        <w:rPr>
          <w:snapToGrid w:val="0"/>
        </w:rPr>
        <w:tab/>
        <w:t>(4)</w:t>
      </w:r>
      <w:r>
        <w:rPr>
          <w:snapToGrid w:val="0"/>
        </w:rPr>
        <w:tab/>
        <w:t>If a subscriber selects, in each completed game on the</w:t>
      </w:r>
      <w:r>
        <w:t xml:space="preserve"> playslip</w:t>
      </w:r>
      <w:r>
        <w:rPr>
          <w:snapToGrid w:val="0"/>
        </w:rPr>
        <w:t> —</w:t>
      </w:r>
    </w:p>
    <w:p>
      <w:pPr>
        <w:pStyle w:val="Indenta"/>
        <w:rPr>
          <w:snapToGrid w:val="0"/>
        </w:rPr>
      </w:pPr>
      <w:r>
        <w:rPr>
          <w:snapToGrid w:val="0"/>
        </w:rPr>
        <w:tab/>
        <w:t>(a)</w:t>
      </w:r>
      <w:r>
        <w:rPr>
          <w:snapToGrid w:val="0"/>
        </w:rPr>
        <w:tab/>
        <w:t xml:space="preserve">6 numbers, the resulting receipted ticket constitutes one entry (made up of </w:t>
      </w:r>
      <w:r>
        <w:t>no fewer than 2 and</w:t>
      </w:r>
      <w:r>
        <w:rPr>
          <w:snapToGrid w:val="0"/>
        </w:rPr>
        <w:t xml:space="preserve"> up to 18 games) in Soccer Pools; or</w:t>
      </w:r>
    </w:p>
    <w:p>
      <w:pPr>
        <w:pStyle w:val="Indenta"/>
        <w:rPr>
          <w:snapToGrid w:val="0"/>
        </w:rPr>
      </w:pPr>
      <w:r>
        <w:rPr>
          <w:snapToGrid w:val="0"/>
        </w:rPr>
        <w:tab/>
        <w:t>(b)</w:t>
      </w:r>
      <w:r>
        <w:rPr>
          <w:snapToGrid w:val="0"/>
        </w:rPr>
        <w:tab/>
        <w:t>between 4 and 20 numbers (but not 6 numbers), the resulting receipted ticket constitutes one entry in Soccer Pools for each completed game on the</w:t>
      </w:r>
      <w:r>
        <w:t xml:space="preserve"> playslip (</w:t>
      </w:r>
      <w:r>
        <w:rPr>
          <w:i/>
        </w:rPr>
        <w:t>i.e. a system entry</w:t>
      </w:r>
      <w:r>
        <w:t>).</w:t>
      </w:r>
    </w:p>
    <w:p>
      <w:pPr>
        <w:pStyle w:val="Subsection"/>
      </w:pPr>
      <w:r>
        <w:tab/>
        <w:t>(5)</w:t>
      </w:r>
      <w:r>
        <w:tab/>
        <w:t>A receipted ticket must be given to the subscriber upon payment of the amount calculated in accordance with Schedule 8 Division 1.</w:t>
      </w:r>
    </w:p>
    <w:p>
      <w:pPr>
        <w:pStyle w:val="Footnotesection"/>
      </w:pPr>
      <w:r>
        <w:tab/>
        <w:t>[Rule 123 amended: Gazette 4 Oct 2017 p. 5140</w:t>
      </w:r>
      <w:r>
        <w:noBreakHyphen/>
        <w:t>1.]</w:t>
      </w:r>
    </w:p>
    <w:p>
      <w:pPr>
        <w:pStyle w:val="Heading5"/>
        <w:rPr>
          <w:snapToGrid w:val="0"/>
        </w:rPr>
      </w:pPr>
      <w:bookmarkStart w:id="506" w:name="_Toc34291530"/>
      <w:bookmarkStart w:id="507" w:name="_Toc25761233"/>
      <w:r>
        <w:rPr>
          <w:rStyle w:val="CharSectno"/>
        </w:rPr>
        <w:t>124</w:t>
      </w:r>
      <w:r>
        <w:rPr>
          <w:snapToGrid w:val="0"/>
        </w:rPr>
        <w:t>.</w:t>
      </w:r>
      <w:r>
        <w:rPr>
          <w:snapToGrid w:val="0"/>
        </w:rPr>
        <w:tab/>
        <w:t>Oral request for entry</w:t>
      </w:r>
      <w:bookmarkEnd w:id="506"/>
      <w:bookmarkEnd w:id="507"/>
    </w:p>
    <w:p>
      <w:pPr>
        <w:pStyle w:val="Subsection"/>
        <w:rPr>
          <w:snapToGrid w:val="0"/>
        </w:rPr>
      </w:pPr>
      <w:r>
        <w:rPr>
          <w:snapToGrid w:val="0"/>
        </w:rPr>
        <w:tab/>
        <w:t>(1)</w:t>
      </w:r>
      <w:r>
        <w:rPr>
          <w:snapToGrid w:val="0"/>
        </w:rPr>
        <w:tab/>
        <w:t xml:space="preserve">To enter Soccer Pools without </w:t>
      </w:r>
      <w:r>
        <w:t xml:space="preserve">a playslip or a promotional coupon, and without requesting a ticket repeat or favourite numbers option, </w:t>
      </w:r>
      <w:r>
        <w:rPr>
          <w:snapToGrid w:val="0"/>
        </w:rPr>
        <w:t>a subscriber must make an oral request to an agent stating — </w:t>
      </w:r>
    </w:p>
    <w:p>
      <w:pPr>
        <w:pStyle w:val="Indenta"/>
        <w:rPr>
          <w:snapToGrid w:val="0"/>
        </w:rPr>
      </w:pPr>
      <w:r>
        <w:rPr>
          <w:snapToGrid w:val="0"/>
        </w:rPr>
        <w:tab/>
        <w:t>(a)</w:t>
      </w:r>
      <w:r>
        <w:rPr>
          <w:snapToGrid w:val="0"/>
        </w:rPr>
        <w:tab/>
        <w:t>that the entry is for Soccer Pools; and</w:t>
      </w:r>
    </w:p>
    <w:p>
      <w:pPr>
        <w:pStyle w:val="Indenta"/>
        <w:rPr>
          <w:snapToGrid w:val="0"/>
        </w:rPr>
      </w:pPr>
      <w:r>
        <w:rPr>
          <w:snapToGrid w:val="0"/>
        </w:rPr>
        <w:tab/>
      </w:r>
      <w:r>
        <w:t>(b)</w:t>
      </w:r>
      <w:r>
        <w:rPr>
          <w:snapToGrid w:val="0"/>
        </w:rPr>
        <w:tab/>
        <w:t>which day or days that the entry is to be for; and</w:t>
      </w:r>
    </w:p>
    <w:p>
      <w:pPr>
        <w:pStyle w:val="Indenta"/>
        <w:rPr>
          <w:snapToGrid w:val="0"/>
        </w:rPr>
      </w:pPr>
      <w:r>
        <w:rPr>
          <w:snapToGrid w:val="0"/>
        </w:rPr>
        <w:tab/>
        <w:t>(c)</w:t>
      </w:r>
      <w:r>
        <w:rPr>
          <w:snapToGrid w:val="0"/>
        </w:rPr>
        <w:tab/>
        <w:t>whether the subscriber wishes to select —</w:t>
      </w:r>
    </w:p>
    <w:p>
      <w:pPr>
        <w:pStyle w:val="Indenti"/>
        <w:rPr>
          <w:snapToGrid w:val="0"/>
        </w:rPr>
      </w:pPr>
      <w:r>
        <w:rPr>
          <w:snapToGrid w:val="0"/>
        </w:rPr>
        <w:tab/>
        <w:t>(i)</w:t>
      </w:r>
      <w:r>
        <w:rPr>
          <w:snapToGrid w:val="0"/>
        </w:rPr>
        <w:tab/>
        <w:t>6 numbers; or</w:t>
      </w:r>
    </w:p>
    <w:p>
      <w:pPr>
        <w:pStyle w:val="Indenti"/>
        <w:rPr>
          <w:snapToGrid w:val="0"/>
        </w:rPr>
      </w:pPr>
      <w:r>
        <w:rPr>
          <w:snapToGrid w:val="0"/>
        </w:rPr>
        <w:tab/>
        <w:t>(ii)</w:t>
      </w:r>
      <w:r>
        <w:rPr>
          <w:snapToGrid w:val="0"/>
        </w:rPr>
        <w:tab/>
        <w:t>between 4 and 20 numbers (but not 6 numbers) (</w:t>
      </w:r>
      <w:bookmarkStart w:id="508" w:name="RuleErr_6"/>
      <w:r>
        <w:rPr>
          <w:i/>
          <w:snapToGrid w:val="0"/>
        </w:rPr>
        <w:t>i.e. a system entry</w:t>
      </w:r>
      <w:bookmarkEnd w:id="508"/>
      <w:r>
        <w:rPr>
          <w:snapToGrid w:val="0"/>
        </w:rPr>
        <w:t>);</w:t>
      </w:r>
    </w:p>
    <w:p>
      <w:pPr>
        <w:pStyle w:val="Indenta"/>
        <w:rPr>
          <w:snapToGrid w:val="0"/>
        </w:rPr>
      </w:pPr>
      <w:r>
        <w:rPr>
          <w:snapToGrid w:val="0"/>
        </w:rPr>
        <w:tab/>
      </w:r>
      <w:r>
        <w:rPr>
          <w:snapToGrid w:val="0"/>
        </w:rPr>
        <w:tab/>
        <w:t>and</w:t>
      </w:r>
    </w:p>
    <w:p>
      <w:pPr>
        <w:pStyle w:val="Indenta"/>
      </w:pPr>
      <w:r>
        <w:tab/>
        <w:t>(d)</w:t>
      </w:r>
      <w:r>
        <w:tab/>
        <w:t>if the subscriber selects 6 numbers, where available, exactly how many games the subscriber wants to be entered, with a minimum of 2 and a maximum of 50.</w:t>
      </w:r>
    </w:p>
    <w:p>
      <w:pPr>
        <w:pStyle w:val="Ednotepara"/>
      </w:pPr>
      <w:r>
        <w:tab/>
        <w:t>[(e)</w:t>
      </w:r>
      <w:r>
        <w:tab/>
        <w:t>deleted]</w:t>
      </w:r>
    </w:p>
    <w:p>
      <w:pPr>
        <w:pStyle w:val="Subsection"/>
        <w:rPr>
          <w:snapToGrid w:val="0"/>
        </w:rPr>
      </w:pPr>
      <w:r>
        <w:rPr>
          <w:snapToGrid w:val="0"/>
        </w:rPr>
        <w:tab/>
        <w:t>(2)</w:t>
      </w:r>
      <w:r>
        <w:rPr>
          <w:snapToGrid w:val="0"/>
        </w:rPr>
        <w:tab/>
        <w:t>If a subscriber requests —</w:t>
      </w:r>
    </w:p>
    <w:p>
      <w:pPr>
        <w:pStyle w:val="Indenta"/>
        <w:rPr>
          <w:snapToGrid w:val="0"/>
        </w:rPr>
      </w:pPr>
      <w:r>
        <w:rPr>
          <w:snapToGrid w:val="0"/>
        </w:rPr>
        <w:tab/>
        <w:t>(a)</w:t>
      </w:r>
      <w:r>
        <w:rPr>
          <w:snapToGrid w:val="0"/>
        </w:rPr>
        <w:tab/>
        <w:t xml:space="preserve">6 numbers, the entry will be entered in </w:t>
      </w:r>
      <w:r>
        <w:t>the number of games selected</w:t>
      </w:r>
      <w:r>
        <w:rPr>
          <w:snapToGrid w:val="0"/>
        </w:rPr>
        <w:t xml:space="preserve"> under subrule (1)(d); or</w:t>
      </w:r>
    </w:p>
    <w:p>
      <w:pPr>
        <w:pStyle w:val="Indenta"/>
        <w:rPr>
          <w:snapToGrid w:val="0"/>
        </w:rPr>
      </w:pPr>
      <w:r>
        <w:rPr>
          <w:snapToGrid w:val="0"/>
        </w:rPr>
        <w:tab/>
        <w:t>(b)</w:t>
      </w:r>
      <w:r>
        <w:rPr>
          <w:snapToGrid w:val="0"/>
        </w:rPr>
        <w:tab/>
        <w:t>between 4 and 20 numbers (but not 6 numbers) the entry will be entered as one system entry,</w:t>
      </w:r>
    </w:p>
    <w:p>
      <w:pPr>
        <w:pStyle w:val="Subsection"/>
        <w:rPr>
          <w:snapToGrid w:val="0"/>
        </w:rPr>
      </w:pPr>
      <w:r>
        <w:rPr>
          <w:snapToGrid w:val="0"/>
        </w:rPr>
        <w:tab/>
      </w:r>
      <w:r>
        <w:rPr>
          <w:snapToGrid w:val="0"/>
        </w:rPr>
        <w:tab/>
        <w:t>and the resulting receipted ticket constitutes one entry in Soccer Pools.</w:t>
      </w:r>
    </w:p>
    <w:p>
      <w:pPr>
        <w:pStyle w:val="Subsection"/>
      </w:pPr>
      <w:r>
        <w:tab/>
        <w:t>(3)</w:t>
      </w:r>
      <w:r>
        <w:tab/>
        <w:t>A receipted ticket must be given to the subscriber upon payment of the amount calculated in accordance with Schedule 8 Division 1.</w:t>
      </w:r>
    </w:p>
    <w:p>
      <w:pPr>
        <w:pStyle w:val="Footnotesection"/>
      </w:pPr>
      <w:r>
        <w:tab/>
        <w:t>[Rule 124 amended: Gazette 4 Oct 2017 p. 5141.]</w:t>
      </w:r>
    </w:p>
    <w:p>
      <w:pPr>
        <w:pStyle w:val="Heading3"/>
      </w:pPr>
      <w:bookmarkStart w:id="509" w:name="_Toc34139594"/>
      <w:bookmarkStart w:id="510" w:name="_Toc34139806"/>
      <w:bookmarkStart w:id="511" w:name="_Toc34147983"/>
      <w:bookmarkStart w:id="512" w:name="_Toc34207536"/>
      <w:bookmarkStart w:id="513" w:name="_Toc34291531"/>
      <w:bookmarkStart w:id="514" w:name="_Toc25657439"/>
      <w:bookmarkStart w:id="515" w:name="_Toc25760905"/>
      <w:bookmarkStart w:id="516" w:name="_Toc25761234"/>
      <w:r>
        <w:rPr>
          <w:rStyle w:val="CharDivNo"/>
        </w:rPr>
        <w:t>Division 2</w:t>
      </w:r>
      <w:r>
        <w:t> — </w:t>
      </w:r>
      <w:r>
        <w:rPr>
          <w:rStyle w:val="CharDivText"/>
        </w:rPr>
        <w:t>Determination of results of Soccer Pools</w:t>
      </w:r>
      <w:bookmarkEnd w:id="509"/>
      <w:bookmarkEnd w:id="510"/>
      <w:bookmarkEnd w:id="511"/>
      <w:bookmarkEnd w:id="512"/>
      <w:bookmarkEnd w:id="513"/>
      <w:bookmarkEnd w:id="514"/>
      <w:bookmarkEnd w:id="515"/>
      <w:bookmarkEnd w:id="516"/>
    </w:p>
    <w:p>
      <w:pPr>
        <w:pStyle w:val="Heading5"/>
        <w:rPr>
          <w:snapToGrid w:val="0"/>
        </w:rPr>
      </w:pPr>
      <w:bookmarkStart w:id="517" w:name="_Toc34291532"/>
      <w:bookmarkStart w:id="518" w:name="_Toc25761235"/>
      <w:r>
        <w:rPr>
          <w:rStyle w:val="CharSectno"/>
        </w:rPr>
        <w:t>125</w:t>
      </w:r>
      <w:r>
        <w:t>.</w:t>
      </w:r>
      <w:r>
        <w:tab/>
      </w:r>
      <w:r>
        <w:rPr>
          <w:snapToGrid w:val="0"/>
        </w:rPr>
        <w:t>Publication of match list</w:t>
      </w:r>
      <w:bookmarkEnd w:id="517"/>
      <w:bookmarkEnd w:id="518"/>
    </w:p>
    <w:p>
      <w:pPr>
        <w:pStyle w:val="Subsection"/>
      </w:pPr>
      <w:r>
        <w:tab/>
      </w:r>
      <w:r>
        <w:rPr>
          <w:snapToGrid w:val="0"/>
        </w:rPr>
        <w:t>(1)</w:t>
      </w:r>
      <w:r>
        <w:tab/>
        <w:t>Before each Soccer Pools Game the Commission must publish the list of soccer matches included in the list of matches for that week.</w:t>
      </w:r>
    </w:p>
    <w:p>
      <w:pPr>
        <w:pStyle w:val="Subsection"/>
      </w:pPr>
      <w:r>
        <w:rPr>
          <w:snapToGrid w:val="0"/>
        </w:rPr>
        <w:tab/>
        <w:t>(2)</w:t>
      </w:r>
      <w:r>
        <w:rPr>
          <w:snapToGrid w:val="0"/>
        </w:rPr>
        <w:tab/>
      </w:r>
      <w:r>
        <w:t xml:space="preserve">The Commission is to ensure that, as a minimum, </w:t>
      </w:r>
      <w:r>
        <w:rPr>
          <w:snapToGrid w:val="0"/>
        </w:rPr>
        <w:t>a copy of the match list for each week</w:t>
      </w:r>
      <w:r>
        <w:t xml:space="preserve"> is available on the Lotterywest website.</w:t>
      </w:r>
    </w:p>
    <w:p>
      <w:pPr>
        <w:pStyle w:val="Heading5"/>
        <w:rPr>
          <w:snapToGrid w:val="0"/>
        </w:rPr>
      </w:pPr>
      <w:bookmarkStart w:id="519" w:name="_Toc34291533"/>
      <w:bookmarkStart w:id="520" w:name="_Toc25761236"/>
      <w:r>
        <w:rPr>
          <w:rStyle w:val="CharSectno"/>
        </w:rPr>
        <w:t>126</w:t>
      </w:r>
      <w:r>
        <w:rPr>
          <w:snapToGrid w:val="0"/>
        </w:rPr>
        <w:t>.</w:t>
      </w:r>
      <w:r>
        <w:rPr>
          <w:snapToGrid w:val="0"/>
        </w:rPr>
        <w:tab/>
        <w:t>Determination of the winning numbers</w:t>
      </w:r>
      <w:bookmarkEnd w:id="519"/>
      <w:bookmarkEnd w:id="520"/>
    </w:p>
    <w:p>
      <w:pPr>
        <w:pStyle w:val="Subsection"/>
        <w:rPr>
          <w:snapToGrid w:val="0"/>
        </w:rPr>
      </w:pPr>
      <w:r>
        <w:rPr>
          <w:snapToGrid w:val="0"/>
        </w:rPr>
        <w:tab/>
        <w:t>(1)</w:t>
      </w:r>
      <w:r>
        <w:rPr>
          <w:snapToGrid w:val="0"/>
        </w:rPr>
        <w:tab/>
        <w:t>The winning numbers and the supplementary number for a Soccer Pools Game are to be determined by — </w:t>
      </w:r>
    </w:p>
    <w:p>
      <w:pPr>
        <w:pStyle w:val="Indenta"/>
        <w:rPr>
          <w:snapToGrid w:val="0"/>
        </w:rPr>
      </w:pPr>
      <w:r>
        <w:rPr>
          <w:snapToGrid w:val="0"/>
        </w:rPr>
        <w:tab/>
        <w:t>(a)</w:t>
      </w:r>
      <w:r>
        <w:rPr>
          <w:snapToGrid w:val="0"/>
        </w:rPr>
        <w:tab/>
        <w:t>ranking the matches on the match list for that</w:t>
      </w:r>
      <w:r>
        <w:t xml:space="preserve"> </w:t>
      </w:r>
      <w:r>
        <w:rPr>
          <w:snapToGrid w:val="0"/>
        </w:rPr>
        <w:t>Soccer Pools Game in accordance with rule 127; and</w:t>
      </w:r>
    </w:p>
    <w:p>
      <w:pPr>
        <w:pStyle w:val="Indenta"/>
        <w:rPr>
          <w:snapToGrid w:val="0"/>
        </w:rPr>
      </w:pPr>
      <w:r>
        <w:rPr>
          <w:snapToGrid w:val="0"/>
        </w:rPr>
        <w:tab/>
        <w:t>(b)</w:t>
      </w:r>
      <w:r>
        <w:rPr>
          <w:snapToGrid w:val="0"/>
        </w:rPr>
        <w:tab/>
        <w:t>identifying the numbers on the match list corresponding to — </w:t>
      </w:r>
    </w:p>
    <w:p>
      <w:pPr>
        <w:pStyle w:val="Indenti"/>
        <w:rPr>
          <w:snapToGrid w:val="0"/>
        </w:rPr>
      </w:pPr>
      <w:r>
        <w:rPr>
          <w:snapToGrid w:val="0"/>
        </w:rPr>
        <w:tab/>
        <w:t>(i)</w:t>
      </w:r>
      <w:r>
        <w:rPr>
          <w:snapToGrid w:val="0"/>
        </w:rPr>
        <w:tab/>
        <w:t>the 6 highest ranked matches; and</w:t>
      </w:r>
    </w:p>
    <w:p>
      <w:pPr>
        <w:pStyle w:val="Indenti"/>
        <w:rPr>
          <w:snapToGrid w:val="0"/>
        </w:rPr>
      </w:pPr>
      <w:r>
        <w:rPr>
          <w:snapToGrid w:val="0"/>
        </w:rPr>
        <w:tab/>
        <w:t>(ii)</w:t>
      </w:r>
      <w:r>
        <w:rPr>
          <w:snapToGrid w:val="0"/>
        </w:rPr>
        <w:tab/>
        <w:t>the 7th highest ranked match.</w:t>
      </w:r>
    </w:p>
    <w:p>
      <w:pPr>
        <w:pStyle w:val="Subsection"/>
        <w:rPr>
          <w:snapToGrid w:val="0"/>
        </w:rPr>
      </w:pPr>
      <w:r>
        <w:rPr>
          <w:snapToGrid w:val="0"/>
        </w:rPr>
        <w:tab/>
        <w:t>(2)</w:t>
      </w:r>
      <w:r>
        <w:rPr>
          <w:snapToGrid w:val="0"/>
        </w:rPr>
        <w:tab/>
        <w:t>The numbers identified under subrule</w:t>
      </w:r>
      <w:r>
        <w:t> </w:t>
      </w:r>
      <w:r>
        <w:rPr>
          <w:snapToGrid w:val="0"/>
        </w:rPr>
        <w:t>(1)(b)(i) are the 6 winning numbers for that Soccer Pools Game.</w:t>
      </w:r>
    </w:p>
    <w:p>
      <w:pPr>
        <w:pStyle w:val="Subsection"/>
        <w:rPr>
          <w:snapToGrid w:val="0"/>
        </w:rPr>
      </w:pPr>
      <w:r>
        <w:rPr>
          <w:snapToGrid w:val="0"/>
        </w:rPr>
        <w:tab/>
        <w:t>(3)</w:t>
      </w:r>
      <w:r>
        <w:rPr>
          <w:snapToGrid w:val="0"/>
        </w:rPr>
        <w:tab/>
        <w:t>The number identified under subrule</w:t>
      </w:r>
      <w:r>
        <w:t> </w:t>
      </w:r>
      <w:r>
        <w:rPr>
          <w:snapToGrid w:val="0"/>
        </w:rPr>
        <w:t>(1)(b)(ii) is the supplementary number for that Soccer Pools Game.</w:t>
      </w:r>
    </w:p>
    <w:p>
      <w:pPr>
        <w:pStyle w:val="Heading5"/>
        <w:rPr>
          <w:snapToGrid w:val="0"/>
        </w:rPr>
      </w:pPr>
      <w:bookmarkStart w:id="521" w:name="_Toc34291534"/>
      <w:bookmarkStart w:id="522" w:name="_Toc25761237"/>
      <w:r>
        <w:rPr>
          <w:rStyle w:val="CharSectno"/>
        </w:rPr>
        <w:t>127</w:t>
      </w:r>
      <w:r>
        <w:rPr>
          <w:snapToGrid w:val="0"/>
        </w:rPr>
        <w:t>.</w:t>
      </w:r>
      <w:r>
        <w:rPr>
          <w:snapToGrid w:val="0"/>
        </w:rPr>
        <w:tab/>
        <w:t>Ranking matches</w:t>
      </w:r>
      <w:bookmarkEnd w:id="521"/>
      <w:bookmarkEnd w:id="522"/>
    </w:p>
    <w:p>
      <w:pPr>
        <w:pStyle w:val="Subsection"/>
        <w:rPr>
          <w:snapToGrid w:val="0"/>
        </w:rPr>
      </w:pPr>
      <w:r>
        <w:rPr>
          <w:snapToGrid w:val="0"/>
        </w:rPr>
        <w:tab/>
        <w:t>(1)</w:t>
      </w:r>
      <w:r>
        <w:rPr>
          <w:snapToGrid w:val="0"/>
        </w:rPr>
        <w:tab/>
        <w:t>The matches on the match list for a Soccer Pools Game are to be ranked in the following order — </w:t>
      </w:r>
    </w:p>
    <w:p>
      <w:pPr>
        <w:pStyle w:val="Indenta"/>
        <w:rPr>
          <w:snapToGrid w:val="0"/>
        </w:rPr>
      </w:pPr>
      <w:r>
        <w:rPr>
          <w:snapToGrid w:val="0"/>
        </w:rPr>
        <w:tab/>
        <w:t>(a)</w:t>
      </w:r>
      <w:r>
        <w:rPr>
          <w:snapToGrid w:val="0"/>
        </w:rPr>
        <w:tab/>
        <w:t>score draws;</w:t>
      </w:r>
    </w:p>
    <w:p>
      <w:pPr>
        <w:pStyle w:val="Indenta"/>
        <w:rPr>
          <w:snapToGrid w:val="0"/>
        </w:rPr>
      </w:pPr>
      <w:r>
        <w:rPr>
          <w:snapToGrid w:val="0"/>
        </w:rPr>
        <w:tab/>
        <w:t>(b)</w:t>
      </w:r>
      <w:r>
        <w:rPr>
          <w:snapToGrid w:val="0"/>
        </w:rPr>
        <w:tab/>
        <w:t>scoreless draws;</w:t>
      </w:r>
    </w:p>
    <w:p>
      <w:pPr>
        <w:pStyle w:val="Indenta"/>
        <w:rPr>
          <w:snapToGrid w:val="0"/>
        </w:rPr>
      </w:pPr>
      <w:r>
        <w:rPr>
          <w:snapToGrid w:val="0"/>
        </w:rPr>
        <w:tab/>
        <w:t>(c)</w:t>
      </w:r>
      <w:r>
        <w:rPr>
          <w:snapToGrid w:val="0"/>
        </w:rPr>
        <w:tab/>
        <w:t>Away wins;</w:t>
      </w:r>
    </w:p>
    <w:p>
      <w:pPr>
        <w:pStyle w:val="Indenta"/>
        <w:rPr>
          <w:snapToGrid w:val="0"/>
        </w:rPr>
      </w:pPr>
      <w:r>
        <w:rPr>
          <w:snapToGrid w:val="0"/>
        </w:rPr>
        <w:tab/>
        <w:t>(d)</w:t>
      </w:r>
      <w:r>
        <w:rPr>
          <w:snapToGrid w:val="0"/>
        </w:rPr>
        <w:tab/>
        <w:t>Home wins.</w:t>
      </w:r>
    </w:p>
    <w:p>
      <w:pPr>
        <w:pStyle w:val="Subsection"/>
        <w:rPr>
          <w:snapToGrid w:val="0"/>
        </w:rPr>
      </w:pPr>
      <w:r>
        <w:rPr>
          <w:snapToGrid w:val="0"/>
        </w:rPr>
        <w:tab/>
        <w:t>(2)</w:t>
      </w:r>
      <w:r>
        <w:rPr>
          <w:snapToGrid w:val="0"/>
        </w:rPr>
        <w:tab/>
        <w:t>Within the category of score draws matches are to be ranked in order according to the number of goals scored (i.e. the higher the score, the higher the ranking).</w:t>
      </w:r>
    </w:p>
    <w:p>
      <w:pPr>
        <w:pStyle w:val="Subsection"/>
        <w:rPr>
          <w:snapToGrid w:val="0"/>
        </w:rPr>
      </w:pPr>
      <w:r>
        <w:rPr>
          <w:snapToGrid w:val="0"/>
        </w:rPr>
        <w:tab/>
        <w:t>(3)</w:t>
      </w:r>
      <w:r>
        <w:rPr>
          <w:snapToGrid w:val="0"/>
        </w:rPr>
        <w:tab/>
        <w:t>Within the category of scoreless draws, all matches rank equally.</w:t>
      </w:r>
    </w:p>
    <w:p>
      <w:pPr>
        <w:pStyle w:val="Subsection"/>
        <w:rPr>
          <w:snapToGrid w:val="0"/>
        </w:rPr>
      </w:pPr>
      <w:r>
        <w:rPr>
          <w:snapToGrid w:val="0"/>
        </w:rPr>
        <w:tab/>
        <w:t>(4)</w:t>
      </w:r>
      <w:r>
        <w:rPr>
          <w:snapToGrid w:val="0"/>
        </w:rPr>
        <w:tab/>
        <w:t>Within the category of Away wins — </w:t>
      </w:r>
    </w:p>
    <w:p>
      <w:pPr>
        <w:pStyle w:val="Indenta"/>
        <w:rPr>
          <w:snapToGrid w:val="0"/>
        </w:rPr>
      </w:pPr>
      <w:r>
        <w:rPr>
          <w:snapToGrid w:val="0"/>
        </w:rPr>
        <w:tab/>
        <w:t>(a)</w:t>
      </w:r>
      <w:r>
        <w:rPr>
          <w:snapToGrid w:val="0"/>
        </w:rPr>
        <w:tab/>
        <w:t>matches are to be ranked in order according to the goal difference between teams (i.e. the smaller the difference, the higher the ranking); and</w:t>
      </w:r>
    </w:p>
    <w:p>
      <w:pPr>
        <w:pStyle w:val="Indenta"/>
        <w:rPr>
          <w:snapToGrid w:val="0"/>
        </w:rPr>
      </w:pPr>
      <w:r>
        <w:rPr>
          <w:snapToGrid w:val="0"/>
        </w:rPr>
        <w:tab/>
        <w:t>(b)</w:t>
      </w:r>
      <w:r>
        <w:rPr>
          <w:snapToGrid w:val="0"/>
        </w:rPr>
        <w:tab/>
        <w:t>if the goal difference is the same in 2 or more matches, the match in which more goals overall were scored is to be ranked higher than a match in which fewer goals overall were scored.</w:t>
      </w:r>
    </w:p>
    <w:p>
      <w:pPr>
        <w:pStyle w:val="Subsection"/>
        <w:keepNext/>
        <w:rPr>
          <w:snapToGrid w:val="0"/>
        </w:rPr>
      </w:pPr>
      <w:r>
        <w:rPr>
          <w:snapToGrid w:val="0"/>
        </w:rPr>
        <w:tab/>
        <w:t>(5)</w:t>
      </w:r>
      <w:r>
        <w:rPr>
          <w:snapToGrid w:val="0"/>
        </w:rPr>
        <w:tab/>
        <w:t>Within the category of Home wins — </w:t>
      </w:r>
    </w:p>
    <w:p>
      <w:pPr>
        <w:pStyle w:val="Indenta"/>
        <w:rPr>
          <w:snapToGrid w:val="0"/>
        </w:rPr>
      </w:pPr>
      <w:r>
        <w:rPr>
          <w:snapToGrid w:val="0"/>
        </w:rPr>
        <w:tab/>
        <w:t>(a)</w:t>
      </w:r>
      <w:r>
        <w:rPr>
          <w:snapToGrid w:val="0"/>
        </w:rPr>
        <w:tab/>
        <w:t>matches are to be ranked in order according to the goal difference between the teams (i.e. the smaller the difference, the higher the ranking); and</w:t>
      </w:r>
    </w:p>
    <w:p>
      <w:pPr>
        <w:pStyle w:val="Indenta"/>
        <w:rPr>
          <w:snapToGrid w:val="0"/>
        </w:rPr>
      </w:pPr>
      <w:r>
        <w:rPr>
          <w:snapToGrid w:val="0"/>
        </w:rPr>
        <w:tab/>
        <w:t>(b)</w:t>
      </w:r>
      <w:r>
        <w:rPr>
          <w:snapToGrid w:val="0"/>
        </w:rPr>
        <w:tab/>
        <w:t>if the goal difference is the same in 2 or more matches, the match in which more goals overall were scored is to be ranked higher than a match in which fewer goals overall were scored.</w:t>
      </w:r>
    </w:p>
    <w:p>
      <w:pPr>
        <w:pStyle w:val="Subsection"/>
        <w:rPr>
          <w:snapToGrid w:val="0"/>
        </w:rPr>
      </w:pPr>
      <w:r>
        <w:rPr>
          <w:snapToGrid w:val="0"/>
        </w:rPr>
        <w:tab/>
        <w:t>(6)</w:t>
      </w:r>
      <w:r>
        <w:rPr>
          <w:snapToGrid w:val="0"/>
        </w:rPr>
        <w:tab/>
        <w:t>If, having been ranked in accordance with this rule, 2 or more matches are ranked equally, then those matches are to be ranked in descending order according to the numbers corresponding to them in the match list (i.e. the higher the number on the match list, the higher the ranking).</w:t>
      </w:r>
    </w:p>
    <w:p>
      <w:pPr>
        <w:pStyle w:val="Heading5"/>
        <w:rPr>
          <w:snapToGrid w:val="0"/>
        </w:rPr>
      </w:pPr>
      <w:bookmarkStart w:id="523" w:name="_Toc34291535"/>
      <w:bookmarkStart w:id="524" w:name="_Toc25761238"/>
      <w:r>
        <w:rPr>
          <w:rStyle w:val="CharSectno"/>
        </w:rPr>
        <w:t>128</w:t>
      </w:r>
      <w:r>
        <w:rPr>
          <w:snapToGrid w:val="0"/>
        </w:rPr>
        <w:t>.</w:t>
      </w:r>
      <w:r>
        <w:rPr>
          <w:snapToGrid w:val="0"/>
        </w:rPr>
        <w:tab/>
        <w:t>Dealing with void matches</w:t>
      </w:r>
      <w:bookmarkEnd w:id="523"/>
      <w:bookmarkEnd w:id="524"/>
    </w:p>
    <w:p>
      <w:pPr>
        <w:pStyle w:val="Subsection"/>
        <w:rPr>
          <w:snapToGrid w:val="0"/>
        </w:rPr>
      </w:pPr>
      <w:r>
        <w:rPr>
          <w:snapToGrid w:val="0"/>
        </w:rPr>
        <w:tab/>
        <w:t>(1)</w:t>
      </w:r>
      <w:r>
        <w:rPr>
          <w:snapToGrid w:val="0"/>
        </w:rPr>
        <w:tab/>
        <w:t xml:space="preserve">If one or more of the matches numbered 1 to 38 on the match list for a Soccer Pools Game are void matches, those matches are to be replaced on the match list, starting with the void match with the lowest number. </w:t>
      </w:r>
    </w:p>
    <w:p>
      <w:pPr>
        <w:pStyle w:val="Subsection"/>
        <w:rPr>
          <w:snapToGrid w:val="0"/>
        </w:rPr>
      </w:pPr>
      <w:r>
        <w:rPr>
          <w:snapToGrid w:val="0"/>
        </w:rPr>
        <w:tab/>
        <w:t>(2)</w:t>
      </w:r>
      <w:r>
        <w:rPr>
          <w:snapToGrid w:val="0"/>
        </w:rPr>
        <w:tab/>
        <w:t>If a void match is to be replaced under subrule</w:t>
      </w:r>
      <w:r>
        <w:t> </w:t>
      </w:r>
      <w:r>
        <w:rPr>
          <w:snapToGrid w:val="0"/>
        </w:rPr>
        <w:t>(1) it is to be replaced with the first match numbered 39 or higher on the match list which — </w:t>
      </w:r>
    </w:p>
    <w:p>
      <w:pPr>
        <w:pStyle w:val="Indenta"/>
        <w:rPr>
          <w:snapToGrid w:val="0"/>
        </w:rPr>
      </w:pPr>
      <w:r>
        <w:rPr>
          <w:snapToGrid w:val="0"/>
        </w:rPr>
        <w:tab/>
        <w:t>(a)</w:t>
      </w:r>
      <w:r>
        <w:rPr>
          <w:snapToGrid w:val="0"/>
        </w:rPr>
        <w:tab/>
        <w:t>is not a void match; and</w:t>
      </w:r>
    </w:p>
    <w:p>
      <w:pPr>
        <w:pStyle w:val="Indenta"/>
        <w:rPr>
          <w:snapToGrid w:val="0"/>
        </w:rPr>
      </w:pPr>
      <w:r>
        <w:rPr>
          <w:snapToGrid w:val="0"/>
        </w:rPr>
        <w:tab/>
        <w:t>(b)</w:t>
      </w:r>
      <w:r>
        <w:rPr>
          <w:snapToGrid w:val="0"/>
        </w:rPr>
        <w:tab/>
        <w:t>has not already been used as a replacement for another void match.</w:t>
      </w:r>
    </w:p>
    <w:p>
      <w:pPr>
        <w:pStyle w:val="Heading5"/>
        <w:rPr>
          <w:snapToGrid w:val="0"/>
        </w:rPr>
      </w:pPr>
      <w:bookmarkStart w:id="525" w:name="_Toc34291536"/>
      <w:bookmarkStart w:id="526" w:name="_Toc25761239"/>
      <w:r>
        <w:rPr>
          <w:rStyle w:val="CharSectno"/>
        </w:rPr>
        <w:t>129</w:t>
      </w:r>
      <w:r>
        <w:rPr>
          <w:snapToGrid w:val="0"/>
        </w:rPr>
        <w:t>.</w:t>
      </w:r>
      <w:r>
        <w:rPr>
          <w:snapToGrid w:val="0"/>
        </w:rPr>
        <w:tab/>
        <w:t>When Soccer Pools Games are to be cancelled</w:t>
      </w:r>
      <w:bookmarkEnd w:id="525"/>
      <w:bookmarkEnd w:id="526"/>
    </w:p>
    <w:p>
      <w:pPr>
        <w:pStyle w:val="Subsection"/>
        <w:rPr>
          <w:snapToGrid w:val="0"/>
        </w:rPr>
      </w:pPr>
      <w:r>
        <w:rPr>
          <w:snapToGrid w:val="0"/>
        </w:rPr>
        <w:tab/>
        <w:t>(1)</w:t>
      </w:r>
      <w:r>
        <w:rPr>
          <w:snapToGrid w:val="0"/>
        </w:rPr>
        <w:tab/>
        <w:t xml:space="preserve">The Commission is to cancel a Soccer Pools Game if the </w:t>
      </w:r>
      <w:r>
        <w:t>Lotto Bloc</w:t>
      </w:r>
      <w:r>
        <w:rPr>
          <w:snapToGrid w:val="0"/>
        </w:rPr>
        <w:t xml:space="preserve"> determines for any reason that the Soccer Pools Game for that week is to be cancelled.</w:t>
      </w:r>
    </w:p>
    <w:p>
      <w:pPr>
        <w:pStyle w:val="Subsection"/>
        <w:rPr>
          <w:snapToGrid w:val="0"/>
        </w:rPr>
      </w:pPr>
      <w:r>
        <w:rPr>
          <w:snapToGrid w:val="0"/>
        </w:rPr>
        <w:tab/>
        <w:t>(2)</w:t>
      </w:r>
      <w:r>
        <w:rPr>
          <w:snapToGrid w:val="0"/>
        </w:rPr>
        <w:tab/>
        <w:t>If a Soccer Pools Game is cancelled — </w:t>
      </w:r>
    </w:p>
    <w:p>
      <w:pPr>
        <w:pStyle w:val="Indenta"/>
        <w:rPr>
          <w:snapToGrid w:val="0"/>
        </w:rPr>
      </w:pPr>
      <w:r>
        <w:rPr>
          <w:snapToGrid w:val="0"/>
        </w:rPr>
        <w:tab/>
        <w:t>(a)</w:t>
      </w:r>
      <w:r>
        <w:rPr>
          <w:snapToGrid w:val="0"/>
        </w:rPr>
        <w:tab/>
        <w:t>no prizes are to be paid for that Soccer Pools Game; and</w:t>
      </w:r>
    </w:p>
    <w:p>
      <w:pPr>
        <w:pStyle w:val="Indenta"/>
        <w:rPr>
          <w:snapToGrid w:val="0"/>
        </w:rPr>
      </w:pPr>
      <w:r>
        <w:rPr>
          <w:snapToGrid w:val="0"/>
        </w:rPr>
        <w:tab/>
        <w:t>(b)</w:t>
      </w:r>
      <w:r>
        <w:rPr>
          <w:snapToGrid w:val="0"/>
        </w:rPr>
        <w:tab/>
        <w:t>all entries received by the Commission in respect of that Soccer Pools Game are to be entered in the next Soccer Pools Game in place of the cancelled Soccer Pools Game.</w:t>
      </w:r>
    </w:p>
    <w:p>
      <w:pPr>
        <w:pStyle w:val="Footnotesection"/>
      </w:pPr>
      <w:r>
        <w:tab/>
        <w:t>[Rule 129 amended: Gazette 4 Oct 2017 p. 5142.]</w:t>
      </w:r>
    </w:p>
    <w:p>
      <w:pPr>
        <w:pStyle w:val="Heading5"/>
        <w:spacing w:before="180"/>
      </w:pPr>
      <w:bookmarkStart w:id="527" w:name="_Toc34291537"/>
      <w:bookmarkStart w:id="528" w:name="_Toc25761240"/>
      <w:r>
        <w:rPr>
          <w:rStyle w:val="CharSectno"/>
        </w:rPr>
        <w:t>130</w:t>
      </w:r>
      <w:r>
        <w:t>.</w:t>
      </w:r>
      <w:r>
        <w:tab/>
        <w:t>Commission may withdraw from non</w:t>
      </w:r>
      <w:r>
        <w:noBreakHyphen/>
        <w:t>conforming Soccer Pools Game</w:t>
      </w:r>
      <w:bookmarkEnd w:id="527"/>
      <w:bookmarkEnd w:id="528"/>
    </w:p>
    <w:p>
      <w:pPr>
        <w:pStyle w:val="Subsection"/>
        <w:keepNext/>
        <w:keepLines/>
        <w:spacing w:before="120"/>
      </w:pPr>
      <w:r>
        <w:tab/>
      </w:r>
      <w:r>
        <w:rPr>
          <w:snapToGrid w:val="0"/>
        </w:rPr>
        <w:t>(1)</w:t>
      </w:r>
      <w:r>
        <w:tab/>
        <w:t xml:space="preserve">The Commission may withdraw all entries received by the Commission in respect of a particular Soccer Pools Game if — </w:t>
      </w:r>
    </w:p>
    <w:p>
      <w:pPr>
        <w:pStyle w:val="Indenta"/>
      </w:pPr>
      <w:r>
        <w:tab/>
      </w:r>
      <w:r>
        <w:rPr>
          <w:snapToGrid w:val="0"/>
        </w:rPr>
        <w:t>(a)</w:t>
      </w:r>
      <w:r>
        <w:tab/>
        <w:t>fewer than 38 matches remain scheduled to be played immediately before the close of entries for that Soccer Pools Game; or</w:t>
      </w:r>
    </w:p>
    <w:p>
      <w:pPr>
        <w:pStyle w:val="Indenta"/>
      </w:pPr>
      <w:r>
        <w:tab/>
      </w:r>
      <w:r>
        <w:rPr>
          <w:snapToGrid w:val="0"/>
        </w:rPr>
        <w:t>(b)</w:t>
      </w:r>
      <w:r>
        <w:tab/>
        <w:t>results are declared in fewer than 7 matches; or</w:t>
      </w:r>
    </w:p>
    <w:p>
      <w:pPr>
        <w:pStyle w:val="Indenta"/>
      </w:pPr>
      <w:r>
        <w:tab/>
      </w:r>
      <w:r>
        <w:rPr>
          <w:snapToGrid w:val="0"/>
        </w:rPr>
        <w:t>(c)</w:t>
      </w:r>
      <w:r>
        <w:tab/>
        <w:t>the Lotto Bloc</w:t>
      </w:r>
      <w:r>
        <w:rPr>
          <w:snapToGrid w:val="0"/>
        </w:rPr>
        <w:t xml:space="preserve"> </w:t>
      </w:r>
      <w:r>
        <w:t>determines that the Soccer Pools Game for that week is to be conducted in a manner that is inconsistent with the Act.</w:t>
      </w:r>
    </w:p>
    <w:p>
      <w:pPr>
        <w:pStyle w:val="Subsection"/>
      </w:pPr>
      <w:r>
        <w:tab/>
      </w:r>
      <w:r>
        <w:rPr>
          <w:snapToGrid w:val="0"/>
        </w:rPr>
        <w:t>(2)</w:t>
      </w:r>
      <w:r>
        <w:tab/>
        <w:t xml:space="preserve">If the Commission withdraws from a Soccer Pools Game — </w:t>
      </w:r>
    </w:p>
    <w:p>
      <w:pPr>
        <w:pStyle w:val="Indenta"/>
      </w:pPr>
      <w:r>
        <w:tab/>
      </w:r>
      <w:r>
        <w:rPr>
          <w:snapToGrid w:val="0"/>
        </w:rPr>
        <w:t>(a)</w:t>
      </w:r>
      <w:r>
        <w:tab/>
        <w:t>no prizes are to be paid by the Commission for that Soccer Pools Game; and</w:t>
      </w:r>
    </w:p>
    <w:p>
      <w:pPr>
        <w:pStyle w:val="Indenta"/>
      </w:pPr>
      <w:r>
        <w:tab/>
      </w:r>
      <w:r>
        <w:rPr>
          <w:snapToGrid w:val="0"/>
        </w:rPr>
        <w:t>(b)</w:t>
      </w:r>
      <w:r>
        <w:tab/>
        <w:t>all entries received by the Commission in respect of that Soccer Pools Game are to be entered in the next Soccer Pools Game following the inconsistent Soccer Pools Game.</w:t>
      </w:r>
    </w:p>
    <w:p>
      <w:pPr>
        <w:pStyle w:val="Footnotesection"/>
      </w:pPr>
      <w:r>
        <w:tab/>
        <w:t>[Rule 130 amended: Gazette 4 Oct 2017 p. 5142.]</w:t>
      </w:r>
    </w:p>
    <w:p>
      <w:pPr>
        <w:pStyle w:val="Heading3"/>
        <w:keepNext w:val="0"/>
        <w:keepLines/>
      </w:pPr>
      <w:bookmarkStart w:id="529" w:name="_Toc34139601"/>
      <w:bookmarkStart w:id="530" w:name="_Toc34139813"/>
      <w:bookmarkStart w:id="531" w:name="_Toc34147990"/>
      <w:bookmarkStart w:id="532" w:name="_Toc34207543"/>
      <w:bookmarkStart w:id="533" w:name="_Toc34291538"/>
      <w:bookmarkStart w:id="534" w:name="_Toc25657446"/>
      <w:bookmarkStart w:id="535" w:name="_Toc25760912"/>
      <w:bookmarkStart w:id="536" w:name="_Toc25761241"/>
      <w:r>
        <w:rPr>
          <w:rStyle w:val="CharDivNo"/>
        </w:rPr>
        <w:t>Division 3</w:t>
      </w:r>
      <w:r>
        <w:t> — </w:t>
      </w:r>
      <w:r>
        <w:rPr>
          <w:rStyle w:val="CharDivText"/>
        </w:rPr>
        <w:t>Prize pool and prize reserve fund</w:t>
      </w:r>
      <w:bookmarkEnd w:id="529"/>
      <w:bookmarkEnd w:id="530"/>
      <w:bookmarkEnd w:id="531"/>
      <w:bookmarkEnd w:id="532"/>
      <w:bookmarkEnd w:id="533"/>
      <w:bookmarkEnd w:id="534"/>
      <w:bookmarkEnd w:id="535"/>
      <w:bookmarkEnd w:id="536"/>
    </w:p>
    <w:p>
      <w:pPr>
        <w:pStyle w:val="Heading5"/>
        <w:keepNext w:val="0"/>
        <w:rPr>
          <w:snapToGrid w:val="0"/>
        </w:rPr>
      </w:pPr>
      <w:bookmarkStart w:id="537" w:name="_Toc34291539"/>
      <w:bookmarkStart w:id="538" w:name="_Toc25761242"/>
      <w:r>
        <w:rPr>
          <w:rStyle w:val="CharSectno"/>
        </w:rPr>
        <w:t>131</w:t>
      </w:r>
      <w:r>
        <w:rPr>
          <w:snapToGrid w:val="0"/>
        </w:rPr>
        <w:t>.</w:t>
      </w:r>
      <w:r>
        <w:rPr>
          <w:snapToGrid w:val="0"/>
        </w:rPr>
        <w:tab/>
        <w:t>Lotto Bloc’s prize pool and prize reserve fund</w:t>
      </w:r>
      <w:bookmarkEnd w:id="537"/>
      <w:bookmarkEnd w:id="538"/>
    </w:p>
    <w:p>
      <w:pPr>
        <w:pStyle w:val="Subsection"/>
        <w:keepLines/>
        <w:rPr>
          <w:snapToGrid w:val="0"/>
        </w:rPr>
      </w:pPr>
      <w:r>
        <w:rPr>
          <w:snapToGrid w:val="0"/>
        </w:rPr>
        <w:tab/>
        <w:t>(1)</w:t>
      </w:r>
      <w:r>
        <w:rPr>
          <w:snapToGrid w:val="0"/>
        </w:rPr>
        <w:tab/>
        <w:t xml:space="preserve">The Commission must contribute a percentage of all subscriptions received for each Soccer Pools Game to a combined </w:t>
      </w:r>
      <w:r>
        <w:t>Lotto Bloc’s</w:t>
      </w:r>
      <w:r>
        <w:rPr>
          <w:snapToGrid w:val="0"/>
        </w:rPr>
        <w:t xml:space="preserve"> prize fund in accordance with the appropriate agreement and the permit for that Soccer Pools game.</w:t>
      </w:r>
    </w:p>
    <w:p>
      <w:pPr>
        <w:pStyle w:val="Subsection"/>
        <w:keepNext/>
        <w:rPr>
          <w:snapToGrid w:val="0"/>
        </w:rPr>
      </w:pPr>
      <w:r>
        <w:rPr>
          <w:snapToGrid w:val="0"/>
        </w:rPr>
        <w:tab/>
        <w:t>(2)</w:t>
      </w:r>
      <w:r>
        <w:rPr>
          <w:snapToGrid w:val="0"/>
        </w:rPr>
        <w:tab/>
        <w:t>The total contribution under subrule</w:t>
      </w:r>
      <w:r>
        <w:t> </w:t>
      </w:r>
      <w:r>
        <w:rPr>
          <w:snapToGrid w:val="0"/>
        </w:rPr>
        <w:t>(1) is to be divided so that —</w:t>
      </w:r>
    </w:p>
    <w:p>
      <w:pPr>
        <w:pStyle w:val="Indenta"/>
        <w:rPr>
          <w:snapToGrid w:val="0"/>
        </w:rPr>
      </w:pPr>
      <w:r>
        <w:rPr>
          <w:snapToGrid w:val="0"/>
        </w:rPr>
        <w:tab/>
        <w:t>(a)</w:t>
      </w:r>
      <w:r>
        <w:rPr>
          <w:snapToGrid w:val="0"/>
        </w:rPr>
        <w:tab/>
      </w:r>
      <w:r>
        <w:t xml:space="preserve">not less than 45% </w:t>
      </w:r>
      <w:r>
        <w:rPr>
          <w:snapToGrid w:val="0"/>
        </w:rPr>
        <w:t xml:space="preserve">of the Commission’s </w:t>
      </w:r>
      <w:r>
        <w:t>subscriptions</w:t>
      </w:r>
      <w:r>
        <w:rPr>
          <w:snapToGrid w:val="0"/>
        </w:rPr>
        <w:t xml:space="preserve"> go to the </w:t>
      </w:r>
      <w:r>
        <w:t>Lotto Bloc’s</w:t>
      </w:r>
      <w:r>
        <w:rPr>
          <w:snapToGrid w:val="0"/>
        </w:rPr>
        <w:t xml:space="preserve"> prize pool; and</w:t>
      </w:r>
    </w:p>
    <w:p>
      <w:pPr>
        <w:pStyle w:val="Indenta"/>
        <w:rPr>
          <w:snapToGrid w:val="0"/>
        </w:rPr>
      </w:pPr>
      <w:r>
        <w:rPr>
          <w:snapToGrid w:val="0"/>
        </w:rPr>
        <w:tab/>
        <w:t>(b)</w:t>
      </w:r>
      <w:r>
        <w:rPr>
          <w:snapToGrid w:val="0"/>
        </w:rPr>
        <w:tab/>
        <w:t xml:space="preserve">the </w:t>
      </w:r>
      <w:r>
        <w:t xml:space="preserve">balance of the contribution </w:t>
      </w:r>
      <w:r>
        <w:rPr>
          <w:snapToGrid w:val="0"/>
        </w:rPr>
        <w:t>goes to the prize reserve fund.</w:t>
      </w:r>
    </w:p>
    <w:p>
      <w:pPr>
        <w:pStyle w:val="Subsection"/>
        <w:rPr>
          <w:snapToGrid w:val="0"/>
        </w:rPr>
      </w:pPr>
      <w:r>
        <w:rPr>
          <w:snapToGrid w:val="0"/>
        </w:rPr>
        <w:tab/>
        <w:t>(3)</w:t>
      </w:r>
      <w:r>
        <w:rPr>
          <w:snapToGrid w:val="0"/>
        </w:rPr>
        <w:tab/>
        <w:t xml:space="preserve">The prize reserve fund may only be distributed as additional prize money or promotional prizes, in such amounts and in such Soccer Pools Games as are agreed by the members of the </w:t>
      </w:r>
      <w:r>
        <w:t>Lotto Bloc.</w:t>
      </w:r>
    </w:p>
    <w:p>
      <w:pPr>
        <w:pStyle w:val="Footnotesection"/>
      </w:pPr>
      <w:r>
        <w:tab/>
        <w:t>[Rule 131 amended: Gazette 4 Oct 2017 p. 5142.]</w:t>
      </w:r>
    </w:p>
    <w:p>
      <w:pPr>
        <w:pStyle w:val="Heading3"/>
      </w:pPr>
      <w:bookmarkStart w:id="539" w:name="_Toc34139603"/>
      <w:bookmarkStart w:id="540" w:name="_Toc34139815"/>
      <w:bookmarkStart w:id="541" w:name="_Toc34147992"/>
      <w:bookmarkStart w:id="542" w:name="_Toc34207545"/>
      <w:bookmarkStart w:id="543" w:name="_Toc34291540"/>
      <w:bookmarkStart w:id="544" w:name="_Toc25657448"/>
      <w:bookmarkStart w:id="545" w:name="_Toc25760914"/>
      <w:bookmarkStart w:id="546" w:name="_Toc25761243"/>
      <w:r>
        <w:rPr>
          <w:rStyle w:val="CharDivNo"/>
        </w:rPr>
        <w:t>Division 4</w:t>
      </w:r>
      <w:r>
        <w:t> — </w:t>
      </w:r>
      <w:r>
        <w:rPr>
          <w:rStyle w:val="CharDivText"/>
        </w:rPr>
        <w:t>Determination of Soccer Pools Game prizes</w:t>
      </w:r>
      <w:bookmarkEnd w:id="539"/>
      <w:bookmarkEnd w:id="540"/>
      <w:bookmarkEnd w:id="541"/>
      <w:bookmarkEnd w:id="542"/>
      <w:bookmarkEnd w:id="543"/>
      <w:bookmarkEnd w:id="544"/>
      <w:bookmarkEnd w:id="545"/>
      <w:bookmarkEnd w:id="546"/>
    </w:p>
    <w:p>
      <w:pPr>
        <w:pStyle w:val="Heading5"/>
        <w:rPr>
          <w:snapToGrid w:val="0"/>
        </w:rPr>
      </w:pPr>
      <w:bookmarkStart w:id="547" w:name="_Toc34291541"/>
      <w:bookmarkStart w:id="548" w:name="_Toc25761244"/>
      <w:r>
        <w:rPr>
          <w:rStyle w:val="CharSectno"/>
        </w:rPr>
        <w:t>132</w:t>
      </w:r>
      <w:r>
        <w:t>.</w:t>
      </w:r>
      <w:r>
        <w:tab/>
      </w:r>
      <w:r>
        <w:rPr>
          <w:snapToGrid w:val="0"/>
        </w:rPr>
        <w:t>Criteria for winning</w:t>
      </w:r>
      <w:bookmarkEnd w:id="547"/>
      <w:bookmarkEnd w:id="548"/>
    </w:p>
    <w:p>
      <w:pPr>
        <w:pStyle w:val="Subsection"/>
        <w:rPr>
          <w:snapToGrid w:val="0"/>
        </w:rPr>
      </w:pPr>
      <w:r>
        <w:rPr>
          <w:snapToGrid w:val="0"/>
        </w:rPr>
        <w:tab/>
      </w:r>
      <w:r>
        <w:rPr>
          <w:snapToGrid w:val="0"/>
        </w:rPr>
        <w:tab/>
        <w:t>In a Soccer Pools Game, the holder of a receipted ticket</w:t>
      </w:r>
      <w:r>
        <w:t xml:space="preserve"> or the purchaser of an entry under Part 2 Division 5 of these rules </w:t>
      </w:r>
      <w:r>
        <w:rPr>
          <w:snapToGrid w:val="0"/>
        </w:rPr>
        <w:t>wins —</w:t>
      </w:r>
    </w:p>
    <w:p>
      <w:pPr>
        <w:pStyle w:val="Indenta"/>
        <w:rPr>
          <w:snapToGrid w:val="0"/>
        </w:rPr>
      </w:pPr>
      <w:r>
        <w:rPr>
          <w:snapToGrid w:val="0"/>
        </w:rPr>
        <w:tab/>
        <w:t>(a)</w:t>
      </w:r>
      <w:r>
        <w:rPr>
          <w:snapToGrid w:val="0"/>
        </w:rPr>
        <w:tab/>
        <w:t>division 1, if all 6 winning numbers;</w:t>
      </w:r>
    </w:p>
    <w:p>
      <w:pPr>
        <w:pStyle w:val="Indenta"/>
        <w:rPr>
          <w:snapToGrid w:val="0"/>
        </w:rPr>
      </w:pPr>
      <w:r>
        <w:rPr>
          <w:snapToGrid w:val="0"/>
        </w:rPr>
        <w:tab/>
        <w:t>(b)</w:t>
      </w:r>
      <w:r>
        <w:rPr>
          <w:snapToGrid w:val="0"/>
        </w:rPr>
        <w:tab/>
        <w:t>division 2, if any 5 winning numbers and the supplementary number;</w:t>
      </w:r>
    </w:p>
    <w:p>
      <w:pPr>
        <w:pStyle w:val="Indenta"/>
        <w:rPr>
          <w:snapToGrid w:val="0"/>
        </w:rPr>
      </w:pPr>
      <w:r>
        <w:rPr>
          <w:snapToGrid w:val="0"/>
        </w:rPr>
        <w:tab/>
        <w:t>(c)</w:t>
      </w:r>
      <w:r>
        <w:rPr>
          <w:snapToGrid w:val="0"/>
        </w:rPr>
        <w:tab/>
        <w:t>division 3, if any 5 winning numbers;</w:t>
      </w:r>
    </w:p>
    <w:p>
      <w:pPr>
        <w:pStyle w:val="Indenta"/>
        <w:rPr>
          <w:snapToGrid w:val="0"/>
        </w:rPr>
      </w:pPr>
      <w:r>
        <w:rPr>
          <w:snapToGrid w:val="0"/>
        </w:rPr>
        <w:tab/>
        <w:t>(d)</w:t>
      </w:r>
      <w:r>
        <w:rPr>
          <w:snapToGrid w:val="0"/>
        </w:rPr>
        <w:tab/>
        <w:t>division 4, if any 4 winning numbers;</w:t>
      </w:r>
    </w:p>
    <w:p>
      <w:pPr>
        <w:pStyle w:val="Indenta"/>
        <w:rPr>
          <w:snapToGrid w:val="0"/>
        </w:rPr>
      </w:pPr>
      <w:r>
        <w:rPr>
          <w:snapToGrid w:val="0"/>
        </w:rPr>
        <w:tab/>
        <w:t>(e)</w:t>
      </w:r>
      <w:r>
        <w:rPr>
          <w:snapToGrid w:val="0"/>
        </w:rPr>
        <w:tab/>
        <w:t>division 5, if any 3 winning numbers and the supplementary number,</w:t>
      </w:r>
    </w:p>
    <w:p>
      <w:pPr>
        <w:pStyle w:val="Subsection"/>
        <w:rPr>
          <w:snapToGrid w:val="0"/>
        </w:rPr>
      </w:pPr>
      <w:r>
        <w:rPr>
          <w:snapToGrid w:val="0"/>
        </w:rPr>
        <w:tab/>
      </w:r>
      <w:r>
        <w:rPr>
          <w:snapToGrid w:val="0"/>
        </w:rPr>
        <w:tab/>
        <w:t>are selected in the one game.</w:t>
      </w:r>
    </w:p>
    <w:p>
      <w:pPr>
        <w:pStyle w:val="Heading5"/>
        <w:rPr>
          <w:snapToGrid w:val="0"/>
        </w:rPr>
      </w:pPr>
      <w:bookmarkStart w:id="549" w:name="_Toc34291542"/>
      <w:bookmarkStart w:id="550" w:name="_Toc25761245"/>
      <w:r>
        <w:rPr>
          <w:rStyle w:val="CharSectno"/>
        </w:rPr>
        <w:t>133</w:t>
      </w:r>
      <w:r>
        <w:rPr>
          <w:snapToGrid w:val="0"/>
        </w:rPr>
        <w:t>.</w:t>
      </w:r>
      <w:r>
        <w:rPr>
          <w:snapToGrid w:val="0"/>
        </w:rPr>
        <w:tab/>
        <w:t>Only one prize per game except for system entries</w:t>
      </w:r>
      <w:bookmarkEnd w:id="549"/>
      <w:bookmarkEnd w:id="550"/>
    </w:p>
    <w:p>
      <w:pPr>
        <w:pStyle w:val="Subsection"/>
        <w:rPr>
          <w:snapToGrid w:val="0"/>
        </w:rPr>
      </w:pPr>
      <w:r>
        <w:rPr>
          <w:snapToGrid w:val="0"/>
        </w:rPr>
        <w:tab/>
        <w:t>(1)</w:t>
      </w:r>
      <w:r>
        <w:rPr>
          <w:snapToGrid w:val="0"/>
        </w:rPr>
        <w:tab/>
        <w:t xml:space="preserve">The holder of a receipted ticket which </w:t>
      </w:r>
      <w:r>
        <w:t xml:space="preserve">contains, or the purchaser of an entry under Part 2 Division 5 of these rules which comprises, </w:t>
      </w:r>
      <w:r>
        <w:rPr>
          <w:snapToGrid w:val="0"/>
        </w:rPr>
        <w:t>a system entry may claim a prize in one division for each notional game making up that system entry, resulting in prizes in more than one division for that entry.</w:t>
      </w:r>
    </w:p>
    <w:p>
      <w:pPr>
        <w:pStyle w:val="Subsection"/>
      </w:pPr>
      <w:r>
        <w:tab/>
      </w:r>
      <w:r>
        <w:rPr>
          <w:snapToGrid w:val="0"/>
        </w:rPr>
        <w:t>(2)</w:t>
      </w:r>
      <w:r>
        <w:tab/>
        <w:t>The holders of a syndicate share receipted ticket which contains a system entry may claim a share in a prize in one division for each notional game making up that system entry, resulting in shares in prizes in more than one division for that entry.</w:t>
      </w:r>
    </w:p>
    <w:p>
      <w:pPr>
        <w:pStyle w:val="Heading5"/>
        <w:rPr>
          <w:snapToGrid w:val="0"/>
        </w:rPr>
      </w:pPr>
      <w:bookmarkStart w:id="551" w:name="_Toc34291543"/>
      <w:bookmarkStart w:id="552" w:name="_Toc25761246"/>
      <w:r>
        <w:rPr>
          <w:rStyle w:val="CharSectno"/>
        </w:rPr>
        <w:t>134</w:t>
      </w:r>
      <w:r>
        <w:rPr>
          <w:snapToGrid w:val="0"/>
        </w:rPr>
        <w:t>.</w:t>
      </w:r>
      <w:r>
        <w:rPr>
          <w:snapToGrid w:val="0"/>
        </w:rPr>
        <w:tab/>
        <w:t>Distribution of prize pool</w:t>
      </w:r>
      <w:bookmarkEnd w:id="551"/>
      <w:bookmarkEnd w:id="552"/>
    </w:p>
    <w:p>
      <w:pPr>
        <w:pStyle w:val="Subsection"/>
        <w:rPr>
          <w:snapToGrid w:val="0"/>
        </w:rPr>
      </w:pPr>
      <w:r>
        <w:rPr>
          <w:snapToGrid w:val="0"/>
        </w:rPr>
        <w:tab/>
        <w:t>(1)</w:t>
      </w:r>
      <w:r>
        <w:rPr>
          <w:snapToGrid w:val="0"/>
        </w:rPr>
        <w:tab/>
        <w:t xml:space="preserve">Subject to subrule (3), if no one </w:t>
      </w:r>
      <w:r>
        <w:t>wins</w:t>
      </w:r>
      <w:r>
        <w:rPr>
          <w:snapToGrid w:val="0"/>
        </w:rPr>
        <w:t xml:space="preserve"> a division 1 prize in a particular Soccer Pools Game, then the division 1 prize pool for that Soccer Pools Game (calculated without any prize reserve fund augmentation) is to be added to, and then forms part of, the division 1 prize pool for the next Soccer Pools Game.</w:t>
      </w:r>
    </w:p>
    <w:p>
      <w:pPr>
        <w:pStyle w:val="Subsection"/>
        <w:rPr>
          <w:snapToGrid w:val="0"/>
        </w:rPr>
      </w:pPr>
      <w:r>
        <w:rPr>
          <w:snapToGrid w:val="0"/>
        </w:rPr>
        <w:tab/>
        <w:t>(2)</w:t>
      </w:r>
      <w:r>
        <w:rPr>
          <w:snapToGrid w:val="0"/>
        </w:rPr>
        <w:tab/>
        <w:t xml:space="preserve">The division 1 prize pool is to continue to jackpot in accordance with subrule (1), (without any limit to the number of consecutive times the prize may jackpot), until there is a division 1 winner. </w:t>
      </w:r>
    </w:p>
    <w:p>
      <w:pPr>
        <w:pStyle w:val="Subsection"/>
        <w:rPr>
          <w:snapToGrid w:val="0"/>
        </w:rPr>
      </w:pPr>
      <w:r>
        <w:rPr>
          <w:snapToGrid w:val="0"/>
        </w:rPr>
        <w:tab/>
        <w:t>(3)</w:t>
      </w:r>
      <w:r>
        <w:rPr>
          <w:snapToGrid w:val="0"/>
        </w:rPr>
        <w:tab/>
        <w:t>The Commission may from time to time declare that if there is no winner of a division 1 prize in a particular Soccer Pools Game, then the division 1 prize pool is to be added to the prize pool for the next lower division in which there is at least one winner in that Soccer Pools Game.</w:t>
      </w:r>
    </w:p>
    <w:p>
      <w:pPr>
        <w:pStyle w:val="Subsection"/>
        <w:keepNext/>
        <w:rPr>
          <w:snapToGrid w:val="0"/>
        </w:rPr>
      </w:pPr>
      <w:r>
        <w:rPr>
          <w:snapToGrid w:val="0"/>
        </w:rPr>
        <w:tab/>
        <w:t>(4)</w:t>
      </w:r>
      <w:r>
        <w:rPr>
          <w:snapToGrid w:val="0"/>
        </w:rPr>
        <w:tab/>
        <w:t>If a division 1 prize is to be distributed to division 2 winners, the prize money is still treated as a division 1 prize for the purposes of claiming and payment of prizes.</w:t>
      </w:r>
    </w:p>
    <w:p>
      <w:pPr>
        <w:pStyle w:val="Footnotesection"/>
      </w:pPr>
      <w:r>
        <w:tab/>
        <w:t>[Rule 134 amended: Gazette 9 Feb 2018 p. 406.]</w:t>
      </w:r>
    </w:p>
    <w:p>
      <w:pPr>
        <w:pStyle w:val="Heading5"/>
        <w:rPr>
          <w:snapToGrid w:val="0"/>
        </w:rPr>
      </w:pPr>
      <w:bookmarkStart w:id="553" w:name="_Toc34291544"/>
      <w:bookmarkStart w:id="554" w:name="_Toc25761247"/>
      <w:r>
        <w:rPr>
          <w:rStyle w:val="CharSectno"/>
        </w:rPr>
        <w:t>135</w:t>
      </w:r>
      <w:r>
        <w:rPr>
          <w:snapToGrid w:val="0"/>
        </w:rPr>
        <w:t>.</w:t>
      </w:r>
      <w:r>
        <w:rPr>
          <w:snapToGrid w:val="0"/>
        </w:rPr>
        <w:tab/>
        <w:t>Application of prize pool if divisions 2 to 4 prize not won</w:t>
      </w:r>
      <w:bookmarkEnd w:id="553"/>
      <w:bookmarkEnd w:id="554"/>
    </w:p>
    <w:p>
      <w:pPr>
        <w:pStyle w:val="Subsection"/>
        <w:rPr>
          <w:snapToGrid w:val="0"/>
        </w:rPr>
      </w:pPr>
      <w:r>
        <w:rPr>
          <w:snapToGrid w:val="0"/>
        </w:rPr>
        <w:tab/>
        <w:t>(1)</w:t>
      </w:r>
      <w:r>
        <w:rPr>
          <w:snapToGrid w:val="0"/>
        </w:rPr>
        <w:tab/>
        <w:t>If no one wins a prize in division 2, 3 or 4 in a particular Soccer Pools Game, then the prize pool for that division is to be added to the prize pool for the next lower division in which there is at least one winner in that Soccer Pools Game.</w:t>
      </w:r>
    </w:p>
    <w:p>
      <w:pPr>
        <w:pStyle w:val="Subsection"/>
        <w:rPr>
          <w:snapToGrid w:val="0"/>
        </w:rPr>
      </w:pPr>
      <w:r>
        <w:rPr>
          <w:snapToGrid w:val="0"/>
        </w:rPr>
        <w:tab/>
        <w:t>(2)</w:t>
      </w:r>
      <w:r>
        <w:rPr>
          <w:snapToGrid w:val="0"/>
        </w:rPr>
        <w:tab/>
        <w:t>If an individual prize entitlement in division 2, 3 or 4 is less than the individual prize entitlement in any lower division, the prize pool for that division and all lower divisions are to be combined and divided equally among all winners in all the divisions the prize pools for which were combined.</w:t>
      </w:r>
    </w:p>
    <w:p>
      <w:pPr>
        <w:pStyle w:val="Subsection"/>
        <w:rPr>
          <w:snapToGrid w:val="0"/>
        </w:rPr>
      </w:pPr>
      <w:r>
        <w:rPr>
          <w:snapToGrid w:val="0"/>
        </w:rPr>
        <w:tab/>
        <w:t>(3)</w:t>
      </w:r>
      <w:r>
        <w:rPr>
          <w:snapToGrid w:val="0"/>
        </w:rPr>
        <w:tab/>
        <w:t>If an individual prize entitlement in division 2, 3, 4 or 5 would (after the application of subrule (2) if that subrule is applicable) be less than $1.00, the Commission is to increase the entitlement to $1.00.</w:t>
      </w:r>
    </w:p>
    <w:p>
      <w:pPr>
        <w:pStyle w:val="Heading5"/>
        <w:rPr>
          <w:snapToGrid w:val="0"/>
        </w:rPr>
      </w:pPr>
      <w:bookmarkStart w:id="555" w:name="_Toc34291545"/>
      <w:bookmarkStart w:id="556" w:name="_Toc25761248"/>
      <w:r>
        <w:rPr>
          <w:rStyle w:val="CharSectno"/>
        </w:rPr>
        <w:t>136</w:t>
      </w:r>
      <w:r>
        <w:rPr>
          <w:snapToGrid w:val="0"/>
        </w:rPr>
        <w:t>.</w:t>
      </w:r>
      <w:r>
        <w:rPr>
          <w:snapToGrid w:val="0"/>
        </w:rPr>
        <w:tab/>
        <w:t>Bonus Soccer Pools Games and guaranteed prize pools</w:t>
      </w:r>
      <w:bookmarkEnd w:id="555"/>
      <w:bookmarkEnd w:id="556"/>
    </w:p>
    <w:p>
      <w:pPr>
        <w:pStyle w:val="Subsection"/>
        <w:rPr>
          <w:snapToGrid w:val="0"/>
        </w:rPr>
      </w:pPr>
      <w:r>
        <w:rPr>
          <w:snapToGrid w:val="0"/>
        </w:rPr>
        <w:tab/>
        <w:t>(1)</w:t>
      </w:r>
      <w:r>
        <w:rPr>
          <w:snapToGrid w:val="0"/>
        </w:rPr>
        <w:tab/>
        <w:t>The Commission may from time to time declare a Soccer Pools Game to be a bonus Soccer Pools Game and fix a minimum guaranteed prize pool for division 1 in that Game.</w:t>
      </w:r>
    </w:p>
    <w:p>
      <w:pPr>
        <w:pStyle w:val="Subsection"/>
        <w:rPr>
          <w:snapToGrid w:val="0"/>
        </w:rPr>
      </w:pPr>
      <w:r>
        <w:rPr>
          <w:snapToGrid w:val="0"/>
        </w:rPr>
        <w:tab/>
        <w:t>(2)</w:t>
      </w:r>
      <w:r>
        <w:rPr>
          <w:snapToGrid w:val="0"/>
        </w:rPr>
        <w:tab/>
        <w:t>The Commission may add all or part of the prize reserve fund to the division 1 prize pool in a bonus Soccer Pools Game to increase the division 1 prize pool to the guaranteed amount and any amount so added forms part of that prize pool.</w:t>
      </w:r>
    </w:p>
    <w:p>
      <w:pPr>
        <w:pStyle w:val="Subsection"/>
        <w:rPr>
          <w:snapToGrid w:val="0"/>
        </w:rPr>
      </w:pPr>
      <w:r>
        <w:rPr>
          <w:snapToGrid w:val="0"/>
        </w:rPr>
        <w:tab/>
        <w:t>(3)</w:t>
      </w:r>
      <w:r>
        <w:rPr>
          <w:snapToGrid w:val="0"/>
        </w:rPr>
        <w:tab/>
        <w:t>Where a bonus Soccer Pools Game is declared under this rule, and a jackpot division 1 prize coincides with that Soccer Pools Game, the Commission may elect to reduce the augmentation under subrule (2) by the amount of the jackpot.</w:t>
      </w:r>
    </w:p>
    <w:p>
      <w:pPr>
        <w:pStyle w:val="Subsection"/>
        <w:keepNext/>
        <w:rPr>
          <w:snapToGrid w:val="0"/>
        </w:rPr>
      </w:pPr>
      <w:r>
        <w:rPr>
          <w:snapToGrid w:val="0"/>
        </w:rPr>
        <w:tab/>
        <w:t>(4)</w:t>
      </w:r>
      <w:r>
        <w:rPr>
          <w:snapToGrid w:val="0"/>
        </w:rPr>
        <w:tab/>
        <w:t>If —</w:t>
      </w:r>
    </w:p>
    <w:p>
      <w:pPr>
        <w:pStyle w:val="Indenta"/>
        <w:rPr>
          <w:snapToGrid w:val="0"/>
        </w:rPr>
      </w:pPr>
      <w:r>
        <w:rPr>
          <w:snapToGrid w:val="0"/>
        </w:rPr>
        <w:tab/>
        <w:t>(a)</w:t>
      </w:r>
      <w:r>
        <w:rPr>
          <w:snapToGrid w:val="0"/>
        </w:rPr>
        <w:tab/>
        <w:t xml:space="preserve">no one </w:t>
      </w:r>
      <w:r>
        <w:t>wins</w:t>
      </w:r>
      <w:r>
        <w:rPr>
          <w:snapToGrid w:val="0"/>
        </w:rPr>
        <w:t xml:space="preserve"> a division 1 prize in a bonus Soccer Pools Game; and</w:t>
      </w:r>
    </w:p>
    <w:p>
      <w:pPr>
        <w:pStyle w:val="Indenta"/>
        <w:rPr>
          <w:snapToGrid w:val="0"/>
        </w:rPr>
      </w:pPr>
      <w:r>
        <w:rPr>
          <w:snapToGrid w:val="0"/>
        </w:rPr>
        <w:tab/>
        <w:t>(b)</w:t>
      </w:r>
      <w:r>
        <w:rPr>
          <w:snapToGrid w:val="0"/>
        </w:rPr>
        <w:tab/>
        <w:t>all or part of the prize reserve fund would have to have been used to increase the division 1 prize pool to a guaranteed amount had there been a division 1 winner,</w:t>
      </w:r>
    </w:p>
    <w:p>
      <w:pPr>
        <w:pStyle w:val="Subsection"/>
        <w:rPr>
          <w:snapToGrid w:val="0"/>
        </w:rPr>
      </w:pPr>
      <w:r>
        <w:rPr>
          <w:snapToGrid w:val="0"/>
        </w:rPr>
        <w:tab/>
      </w:r>
      <w:r>
        <w:rPr>
          <w:snapToGrid w:val="0"/>
        </w:rPr>
        <w:tab/>
        <w:t xml:space="preserve">the amount of the reserve that would have been so used is to be returned to the prize reserve fund and is not to be counted when calculating the jackpot prize pool for the next Soccer Pools Game. </w:t>
      </w:r>
    </w:p>
    <w:p>
      <w:pPr>
        <w:pStyle w:val="Heading2"/>
      </w:pPr>
      <w:bookmarkStart w:id="557" w:name="_Toc34139609"/>
      <w:bookmarkStart w:id="558" w:name="_Toc34139821"/>
      <w:bookmarkStart w:id="559" w:name="_Toc34147998"/>
      <w:bookmarkStart w:id="560" w:name="_Toc34207551"/>
      <w:bookmarkStart w:id="561" w:name="_Toc34291546"/>
      <w:bookmarkStart w:id="562" w:name="_Toc25657454"/>
      <w:bookmarkStart w:id="563" w:name="_Toc25760920"/>
      <w:bookmarkStart w:id="564" w:name="_Toc25761249"/>
      <w:r>
        <w:rPr>
          <w:rStyle w:val="CharPartNo"/>
        </w:rPr>
        <w:t>Part 10</w:t>
      </w:r>
      <w:r>
        <w:t> — </w:t>
      </w:r>
      <w:r>
        <w:rPr>
          <w:rStyle w:val="CharPartText"/>
        </w:rPr>
        <w:t>Super66 rules</w:t>
      </w:r>
      <w:bookmarkEnd w:id="557"/>
      <w:bookmarkEnd w:id="558"/>
      <w:bookmarkEnd w:id="559"/>
      <w:bookmarkEnd w:id="560"/>
      <w:bookmarkEnd w:id="561"/>
      <w:bookmarkEnd w:id="562"/>
      <w:bookmarkEnd w:id="563"/>
      <w:bookmarkEnd w:id="564"/>
    </w:p>
    <w:p>
      <w:pPr>
        <w:pStyle w:val="Heading3"/>
      </w:pPr>
      <w:bookmarkStart w:id="565" w:name="_Toc34139610"/>
      <w:bookmarkStart w:id="566" w:name="_Toc34139822"/>
      <w:bookmarkStart w:id="567" w:name="_Toc34147999"/>
      <w:bookmarkStart w:id="568" w:name="_Toc34207552"/>
      <w:bookmarkStart w:id="569" w:name="_Toc34291547"/>
      <w:bookmarkStart w:id="570" w:name="_Toc25657455"/>
      <w:bookmarkStart w:id="571" w:name="_Toc25760921"/>
      <w:bookmarkStart w:id="572" w:name="_Toc25761250"/>
      <w:r>
        <w:rPr>
          <w:rStyle w:val="CharDivNo"/>
        </w:rPr>
        <w:t>Division 1</w:t>
      </w:r>
      <w:r>
        <w:t> — </w:t>
      </w:r>
      <w:r>
        <w:rPr>
          <w:rStyle w:val="CharDivText"/>
        </w:rPr>
        <w:t>Requirements for entry</w:t>
      </w:r>
      <w:bookmarkEnd w:id="565"/>
      <w:bookmarkEnd w:id="566"/>
      <w:bookmarkEnd w:id="567"/>
      <w:bookmarkEnd w:id="568"/>
      <w:bookmarkEnd w:id="569"/>
      <w:bookmarkEnd w:id="570"/>
      <w:bookmarkEnd w:id="571"/>
      <w:bookmarkEnd w:id="572"/>
    </w:p>
    <w:p>
      <w:pPr>
        <w:pStyle w:val="Heading5"/>
      </w:pPr>
      <w:bookmarkStart w:id="573" w:name="_Toc34291548"/>
      <w:bookmarkStart w:id="574" w:name="_Toc25761251"/>
      <w:r>
        <w:rPr>
          <w:rStyle w:val="CharSectno"/>
        </w:rPr>
        <w:t>137</w:t>
      </w:r>
      <w:r>
        <w:t>.</w:t>
      </w:r>
      <w:r>
        <w:tab/>
        <w:t>Terms used</w:t>
      </w:r>
      <w:bookmarkEnd w:id="573"/>
      <w:bookmarkEnd w:id="574"/>
    </w:p>
    <w:p>
      <w:pPr>
        <w:pStyle w:val="Subsection"/>
      </w:pPr>
      <w:r>
        <w:tab/>
      </w:r>
      <w:r>
        <w:tab/>
        <w:t>In this Part —</w:t>
      </w:r>
    </w:p>
    <w:p>
      <w:pPr>
        <w:pStyle w:val="Defstart"/>
      </w:pPr>
      <w:r>
        <w:rPr>
          <w:b/>
        </w:rPr>
        <w:tab/>
      </w:r>
      <w:r>
        <w:rPr>
          <w:rStyle w:val="CharDefText"/>
        </w:rPr>
        <w:t>entry</w:t>
      </w:r>
      <w:r>
        <w:t xml:space="preserve"> means an entry in Super66 as described in rule 139 or an entry as a result of redemption of a promotional coupon;</w:t>
      </w:r>
    </w:p>
    <w:p>
      <w:pPr>
        <w:pStyle w:val="Defstart"/>
      </w:pPr>
      <w:r>
        <w:rPr>
          <w:b/>
        </w:rPr>
        <w:tab/>
      </w:r>
      <w:r>
        <w:rPr>
          <w:rStyle w:val="CharDefText"/>
        </w:rPr>
        <w:t>game</w:t>
      </w:r>
      <w:r>
        <w:t xml:space="preserve"> means a selection of 6 digits as shown on a receipted ticket or in an entry purchased under Part 2 Division 5 of these rules; </w:t>
      </w:r>
    </w:p>
    <w:p>
      <w:pPr>
        <w:pStyle w:val="Defstart"/>
      </w:pPr>
      <w:r>
        <w:rPr>
          <w:b/>
        </w:rPr>
        <w:tab/>
      </w:r>
      <w:r>
        <w:rPr>
          <w:rStyle w:val="CharDefText"/>
        </w:rPr>
        <w:t>prize fund</w:t>
      </w:r>
      <w:r>
        <w:t xml:space="preserve"> means the fund maintained by the Lotto Bloc in accordance with the agreement referred to in rule 140(1) and consisting of the Super66 prize pool and the prize reserve fund;</w:t>
      </w:r>
    </w:p>
    <w:p>
      <w:pPr>
        <w:pStyle w:val="Defstart"/>
      </w:pPr>
      <w:r>
        <w:rPr>
          <w:b/>
        </w:rPr>
        <w:tab/>
      </w:r>
      <w:r>
        <w:rPr>
          <w:rStyle w:val="CharDefText"/>
        </w:rPr>
        <w:t>prize pool</w:t>
      </w:r>
      <w:r>
        <w:t xml:space="preserve"> means the prize pool referred to in rule 140(2)(a);</w:t>
      </w:r>
    </w:p>
    <w:p>
      <w:pPr>
        <w:pStyle w:val="Defstart"/>
      </w:pPr>
      <w:r>
        <w:rPr>
          <w:b/>
        </w:rPr>
        <w:tab/>
      </w:r>
      <w:r>
        <w:rPr>
          <w:rStyle w:val="CharDefText"/>
        </w:rPr>
        <w:t>prize reserve fund</w:t>
      </w:r>
      <w:r>
        <w:t xml:space="preserve"> means the fund referred to in rule 140(2)(b);</w:t>
      </w:r>
    </w:p>
    <w:p>
      <w:pPr>
        <w:pStyle w:val="Defstart"/>
      </w:pPr>
      <w:r>
        <w:rPr>
          <w:b/>
        </w:rPr>
        <w:tab/>
      </w:r>
      <w:r>
        <w:rPr>
          <w:rStyle w:val="CharDefText"/>
        </w:rPr>
        <w:t>selected digits</w:t>
      </w:r>
      <w:r>
        <w:t xml:space="preserve"> means the 6 digits shown on a receipted ticket in accordance with rule 139(9) or purchased under Part 2 Division 5 of these rules, in the order in which they are shown;</w:t>
      </w:r>
    </w:p>
    <w:p>
      <w:pPr>
        <w:pStyle w:val="Defstart"/>
      </w:pPr>
      <w:r>
        <w:rPr>
          <w:b/>
        </w:rPr>
        <w:tab/>
      </w:r>
      <w:r>
        <w:rPr>
          <w:rStyle w:val="CharDefText"/>
        </w:rPr>
        <w:t>total prize pool</w:t>
      </w:r>
      <w:r>
        <w:t xml:space="preserve"> means the prize pool for a Super66 draw, plus any jackpot from a previous draw and any amount that has been taken from the prize reserve fund under rule 140(3) to increase the division 1 prize pool to a guaranteed minimum amount;</w:t>
      </w:r>
    </w:p>
    <w:p>
      <w:pPr>
        <w:pStyle w:val="Defstart"/>
      </w:pPr>
      <w:r>
        <w:rPr>
          <w:b/>
        </w:rPr>
        <w:tab/>
      </w:r>
      <w:r>
        <w:rPr>
          <w:rStyle w:val="CharDefText"/>
        </w:rPr>
        <w:t>validation period</w:t>
      </w:r>
      <w:r>
        <w:t xml:space="preserve"> means the period of time commencing at midnight on the day of determination of a Super66 draw’s results and ending at the close of business on the 14th day following that day (or on the business day preceding that 14th</w:t>
      </w:r>
      <w:r>
        <w:rPr>
          <w:vertAlign w:val="superscript"/>
        </w:rPr>
        <w:t> </w:t>
      </w:r>
      <w:r>
        <w:t>day, if the day falls on a weekend or public holiday);</w:t>
      </w:r>
    </w:p>
    <w:p>
      <w:pPr>
        <w:pStyle w:val="Defstart"/>
      </w:pPr>
      <w:r>
        <w:rPr>
          <w:b/>
        </w:rPr>
        <w:tab/>
      </w:r>
      <w:r>
        <w:rPr>
          <w:rStyle w:val="CharDefText"/>
        </w:rPr>
        <w:t>winning digits</w:t>
      </w:r>
      <w:r>
        <w:t xml:space="preserve"> means the 6 digits selected in a Super66 draw in the order in which they are drawn.</w:t>
      </w:r>
    </w:p>
    <w:p>
      <w:pPr>
        <w:pStyle w:val="Footnotesection"/>
      </w:pPr>
      <w:r>
        <w:tab/>
        <w:t>[Rule 137 amended: Gazette 4 Oct 2017 p. 5142</w:t>
      </w:r>
      <w:r>
        <w:noBreakHyphen/>
        <w:t>3.]</w:t>
      </w:r>
    </w:p>
    <w:p>
      <w:pPr>
        <w:pStyle w:val="Heading5"/>
      </w:pPr>
      <w:bookmarkStart w:id="575" w:name="_Toc34291549"/>
      <w:bookmarkStart w:id="576" w:name="_Toc25761252"/>
      <w:r>
        <w:rPr>
          <w:rStyle w:val="CharSectno"/>
        </w:rPr>
        <w:t>138</w:t>
      </w:r>
      <w:r>
        <w:t>.</w:t>
      </w:r>
      <w:r>
        <w:tab/>
        <w:t>How to fill out a playslip when entering another lotto</w:t>
      </w:r>
      <w:bookmarkEnd w:id="575"/>
      <w:bookmarkEnd w:id="576"/>
    </w:p>
    <w:p>
      <w:pPr>
        <w:pStyle w:val="Subsection"/>
      </w:pPr>
      <w:r>
        <w:tab/>
      </w:r>
      <w:r>
        <w:tab/>
        <w:t>The Commission must ensure that a playslip for all lotto games displays — </w:t>
      </w:r>
    </w:p>
    <w:p>
      <w:pPr>
        <w:pStyle w:val="Indenta"/>
      </w:pPr>
      <w:r>
        <w:tab/>
        <w:t>(a)</w:t>
      </w:r>
      <w:r>
        <w:tab/>
        <w:t>such details to facilitate entry in Super66 (where offered) as the Commission considers necessary; and</w:t>
      </w:r>
    </w:p>
    <w:p>
      <w:pPr>
        <w:pStyle w:val="Indenta"/>
      </w:pPr>
      <w:r>
        <w:tab/>
        <w:t>(b)</w:t>
      </w:r>
      <w:r>
        <w:tab/>
        <w:t>such instructions to subscribers in Super66 (if entry is offered) as the Commission considers necessary.</w:t>
      </w:r>
    </w:p>
    <w:p>
      <w:pPr>
        <w:pStyle w:val="Footnotesection"/>
      </w:pPr>
      <w:r>
        <w:tab/>
        <w:t>[Rule 138 inserted: Gazette 4 Oct 2017 p. 5143.]</w:t>
      </w:r>
    </w:p>
    <w:p>
      <w:pPr>
        <w:pStyle w:val="Heading5"/>
      </w:pPr>
      <w:bookmarkStart w:id="577" w:name="_Toc34291550"/>
      <w:bookmarkStart w:id="578" w:name="_Toc25761253"/>
      <w:r>
        <w:rPr>
          <w:rStyle w:val="CharSectno"/>
        </w:rPr>
        <w:t>139</w:t>
      </w:r>
      <w:r>
        <w:t>.</w:t>
      </w:r>
      <w:r>
        <w:tab/>
        <w:t>Request for entry (with or without a lotto entry)</w:t>
      </w:r>
      <w:bookmarkEnd w:id="577"/>
      <w:bookmarkEnd w:id="578"/>
    </w:p>
    <w:p>
      <w:pPr>
        <w:pStyle w:val="Subsection"/>
      </w:pPr>
      <w:r>
        <w:tab/>
        <w:t>(1)</w:t>
      </w:r>
      <w:r>
        <w:tab/>
        <w:t>A person may request an entry in a Super66 draw in conjunction with an entry in another game of lotto offered by the Commission.</w:t>
      </w:r>
    </w:p>
    <w:p>
      <w:pPr>
        <w:pStyle w:val="Subsection"/>
      </w:pPr>
      <w:r>
        <w:tab/>
        <w:t>(2)</w:t>
      </w:r>
      <w:r>
        <w:tab/>
        <w:t>A person may orally request an entry in the Super66 draw to be held on a particular Saturday without entering another game of lotto offered by the Commission.</w:t>
      </w:r>
    </w:p>
    <w:p>
      <w:pPr>
        <w:pStyle w:val="Subsection"/>
      </w:pPr>
      <w:r>
        <w:tab/>
        <w:t>(3)</w:t>
      </w:r>
      <w:r>
        <w:tab/>
        <w:t>A subscriber may choose to enter up to 50 Super66 games as part of each oral request for an entry in Super66 in isolation or in conjunction with another game of lotto offered by the Commission.</w:t>
      </w:r>
    </w:p>
    <w:p>
      <w:pPr>
        <w:pStyle w:val="Subsection"/>
      </w:pPr>
      <w:r>
        <w:tab/>
        <w:t>(4)</w:t>
      </w:r>
      <w:r>
        <w:tab/>
        <w:t>A subscriber who enters a Super66 draw by marking a playslip must also indicate how many games in that Super66 draw they wish to enter, with a maximum of 50.</w:t>
      </w:r>
    </w:p>
    <w:p>
      <w:pPr>
        <w:pStyle w:val="Subsection"/>
      </w:pPr>
      <w:r>
        <w:tab/>
        <w:t>(5)</w:t>
      </w:r>
      <w:r>
        <w:tab/>
        <w:t xml:space="preserve">A subscriber may also enter a Super66 draw — </w:t>
      </w:r>
    </w:p>
    <w:p>
      <w:pPr>
        <w:pStyle w:val="Indenta"/>
      </w:pPr>
      <w:r>
        <w:tab/>
        <w:t>(a)</w:t>
      </w:r>
      <w:r>
        <w:tab/>
        <w:t>by requesting the required number of games digitally, using Play Online, the Lotterywest App or a self</w:t>
      </w:r>
      <w:r>
        <w:noBreakHyphen/>
        <w:t>serve kiosk and paying $1.00 for each Super66 game to be entered; or</w:t>
      </w:r>
    </w:p>
    <w:p>
      <w:pPr>
        <w:pStyle w:val="Indenta"/>
      </w:pPr>
      <w:r>
        <w:tab/>
        <w:t>(b)</w:t>
      </w:r>
      <w:r>
        <w:tab/>
        <w:t>using the ticket repeat method set out in rule 6 and paying $1.00 for each Super66 game to be entered.</w:t>
      </w:r>
    </w:p>
    <w:p>
      <w:pPr>
        <w:pStyle w:val="Subsection"/>
      </w:pPr>
      <w:r>
        <w:tab/>
        <w:t>(6)</w:t>
      </w:r>
      <w:r>
        <w:tab/>
        <w:t>A person may enter Super66 by redeeming a promotional coupon and, in that case, may be required to pay less than the amount payable under subrule (5).</w:t>
      </w:r>
    </w:p>
    <w:p>
      <w:pPr>
        <w:pStyle w:val="Subsection"/>
      </w:pPr>
      <w:r>
        <w:tab/>
        <w:t>(7)</w:t>
      </w:r>
      <w:r>
        <w:tab/>
        <w:t>Where a subscriber enters Super66 in conjunction with a multiweek lotto entry, the Super66 entry is to be entered in the Super66 draw for each week in which that lotto entry is entered.</w:t>
      </w:r>
    </w:p>
    <w:p>
      <w:pPr>
        <w:pStyle w:val="Subsection"/>
      </w:pPr>
      <w:r>
        <w:tab/>
        <w:t>(8)</w:t>
      </w:r>
      <w:r>
        <w:tab/>
        <w:t>If a subscriber makes a request for an entry to be in a combination of Monday Lotto draws, Wednesday Lotto draws and even Saturday Lotto draws for the requested period, the resulting receipted ticket is taken as being 1 entry for the purposes of requesting Super66.</w:t>
      </w:r>
    </w:p>
    <w:p>
      <w:pPr>
        <w:pStyle w:val="Subsection"/>
      </w:pPr>
      <w:r>
        <w:tab/>
        <w:t>(9)</w:t>
      </w:r>
      <w:r>
        <w:tab/>
        <w:t>Each Super66 receipted ticket is to have printed on it a random selection of 6 digits, generated by computer, for each Super66 game entered.</w:t>
      </w:r>
    </w:p>
    <w:p>
      <w:pPr>
        <w:pStyle w:val="Footnotesection"/>
      </w:pPr>
      <w:r>
        <w:tab/>
        <w:t>[Rule 139 inserted: Gazette 4 Oct 2017 p. 5143</w:t>
      </w:r>
      <w:r>
        <w:noBreakHyphen/>
        <w:t>4.]</w:t>
      </w:r>
    </w:p>
    <w:p>
      <w:pPr>
        <w:pStyle w:val="Heading3"/>
      </w:pPr>
      <w:bookmarkStart w:id="579" w:name="_Toc34139614"/>
      <w:bookmarkStart w:id="580" w:name="_Toc34139826"/>
      <w:bookmarkStart w:id="581" w:name="_Toc34148003"/>
      <w:bookmarkStart w:id="582" w:name="_Toc34207556"/>
      <w:bookmarkStart w:id="583" w:name="_Toc34291551"/>
      <w:bookmarkStart w:id="584" w:name="_Toc25657459"/>
      <w:bookmarkStart w:id="585" w:name="_Toc25760925"/>
      <w:bookmarkStart w:id="586" w:name="_Toc25761254"/>
      <w:r>
        <w:rPr>
          <w:rStyle w:val="CharDivNo"/>
        </w:rPr>
        <w:t>Division 2</w:t>
      </w:r>
      <w:r>
        <w:t> — </w:t>
      </w:r>
      <w:r>
        <w:rPr>
          <w:rStyle w:val="CharDivText"/>
        </w:rPr>
        <w:t>Prize pool and prize reserve fund</w:t>
      </w:r>
      <w:bookmarkEnd w:id="579"/>
      <w:bookmarkEnd w:id="580"/>
      <w:bookmarkEnd w:id="581"/>
      <w:bookmarkEnd w:id="582"/>
      <w:bookmarkEnd w:id="583"/>
      <w:bookmarkEnd w:id="584"/>
      <w:bookmarkEnd w:id="585"/>
      <w:bookmarkEnd w:id="586"/>
    </w:p>
    <w:p>
      <w:pPr>
        <w:pStyle w:val="Heading5"/>
        <w:rPr>
          <w:snapToGrid w:val="0"/>
        </w:rPr>
      </w:pPr>
      <w:bookmarkStart w:id="587" w:name="_Toc34291552"/>
      <w:bookmarkStart w:id="588" w:name="_Toc25761255"/>
      <w:r>
        <w:rPr>
          <w:rStyle w:val="CharSectno"/>
        </w:rPr>
        <w:t>140</w:t>
      </w:r>
      <w:r>
        <w:rPr>
          <w:snapToGrid w:val="0"/>
        </w:rPr>
        <w:t>.</w:t>
      </w:r>
      <w:r>
        <w:rPr>
          <w:snapToGrid w:val="0"/>
        </w:rPr>
        <w:tab/>
        <w:t>Lotto Bloc’s prize pool and prize reserve fund</w:t>
      </w:r>
      <w:bookmarkEnd w:id="587"/>
      <w:bookmarkEnd w:id="588"/>
    </w:p>
    <w:p>
      <w:pPr>
        <w:pStyle w:val="Subsection"/>
        <w:rPr>
          <w:snapToGrid w:val="0"/>
        </w:rPr>
      </w:pPr>
      <w:r>
        <w:rPr>
          <w:snapToGrid w:val="0"/>
        </w:rPr>
        <w:tab/>
      </w:r>
      <w:r>
        <w:t>(1)</w:t>
      </w:r>
      <w:r>
        <w:rPr>
          <w:snapToGrid w:val="0"/>
        </w:rPr>
        <w:tab/>
        <w:t xml:space="preserve">The Commission must contribute a percentage of all subscriptions received </w:t>
      </w:r>
      <w:r>
        <w:rPr>
          <w:spacing w:val="-2"/>
        </w:rPr>
        <w:t xml:space="preserve">for each Super66 draw to a combined </w:t>
      </w:r>
      <w:r>
        <w:t>Lotto Bloc’s</w:t>
      </w:r>
      <w:r>
        <w:rPr>
          <w:snapToGrid w:val="0"/>
        </w:rPr>
        <w:t xml:space="preserve"> prize fund </w:t>
      </w:r>
      <w:r>
        <w:rPr>
          <w:spacing w:val="-2"/>
        </w:rPr>
        <w:t>in accordance with the appropriate agreement</w:t>
      </w:r>
      <w:r>
        <w:rPr>
          <w:snapToGrid w:val="0"/>
        </w:rPr>
        <w:t xml:space="preserve"> and the permit for that draw.</w:t>
      </w:r>
    </w:p>
    <w:p>
      <w:pPr>
        <w:pStyle w:val="Subsection"/>
        <w:keepNext/>
        <w:rPr>
          <w:snapToGrid w:val="0"/>
        </w:rPr>
      </w:pPr>
      <w:r>
        <w:rPr>
          <w:snapToGrid w:val="0"/>
        </w:rPr>
        <w:tab/>
      </w:r>
      <w:r>
        <w:t>(2)</w:t>
      </w:r>
      <w:r>
        <w:rPr>
          <w:snapToGrid w:val="0"/>
        </w:rPr>
        <w:tab/>
        <w:t xml:space="preserve">The </w:t>
      </w:r>
      <w:r>
        <w:t>total</w:t>
      </w:r>
      <w:r>
        <w:rPr>
          <w:snapToGrid w:val="0"/>
        </w:rPr>
        <w:t xml:space="preserve"> contribution under subrule</w:t>
      </w:r>
      <w:r>
        <w:t> </w:t>
      </w:r>
      <w:r>
        <w:rPr>
          <w:snapToGrid w:val="0"/>
        </w:rPr>
        <w:t>(1) is to be divided so that —</w:t>
      </w:r>
    </w:p>
    <w:p>
      <w:pPr>
        <w:pStyle w:val="Indenta"/>
        <w:rPr>
          <w:snapToGrid w:val="0"/>
        </w:rPr>
      </w:pPr>
      <w:r>
        <w:rPr>
          <w:snapToGrid w:val="0"/>
        </w:rPr>
        <w:tab/>
        <w:t>(a)</w:t>
      </w:r>
      <w:r>
        <w:rPr>
          <w:snapToGrid w:val="0"/>
        </w:rPr>
        <w:tab/>
      </w:r>
      <w:r>
        <w:t xml:space="preserve">not less than 55% </w:t>
      </w:r>
      <w:r>
        <w:rPr>
          <w:snapToGrid w:val="0"/>
        </w:rPr>
        <w:t xml:space="preserve">of the Commission’s subscriptions go to the </w:t>
      </w:r>
      <w:r>
        <w:t>Lotto Bloc’s</w:t>
      </w:r>
      <w:r>
        <w:rPr>
          <w:snapToGrid w:val="0"/>
        </w:rPr>
        <w:t xml:space="preserve"> prize pool; and</w:t>
      </w:r>
    </w:p>
    <w:p>
      <w:pPr>
        <w:pStyle w:val="Indenta"/>
        <w:rPr>
          <w:snapToGrid w:val="0"/>
        </w:rPr>
      </w:pPr>
      <w:r>
        <w:rPr>
          <w:snapToGrid w:val="0"/>
        </w:rPr>
        <w:tab/>
        <w:t>(b)</w:t>
      </w:r>
      <w:r>
        <w:rPr>
          <w:snapToGrid w:val="0"/>
        </w:rPr>
        <w:tab/>
        <w:t xml:space="preserve">the </w:t>
      </w:r>
      <w:r>
        <w:t>balance of the contribution</w:t>
      </w:r>
      <w:r>
        <w:rPr>
          <w:snapToGrid w:val="0"/>
        </w:rPr>
        <w:t xml:space="preserve"> goes to the prize reserve fund.</w:t>
      </w:r>
    </w:p>
    <w:p>
      <w:pPr>
        <w:pStyle w:val="Subsection"/>
        <w:keepNext/>
        <w:rPr>
          <w:snapToGrid w:val="0"/>
        </w:rPr>
      </w:pPr>
      <w:r>
        <w:rPr>
          <w:snapToGrid w:val="0"/>
        </w:rPr>
        <w:tab/>
      </w:r>
      <w:r>
        <w:t>(3)</w:t>
      </w:r>
      <w:r>
        <w:rPr>
          <w:snapToGrid w:val="0"/>
        </w:rPr>
        <w:tab/>
        <w:t xml:space="preserve">The prize reserve fund may only be distributed as additional prize money or promotional prizes, in such amounts and in such Super66 draws, as are agreed by the members of the </w:t>
      </w:r>
      <w:r>
        <w:t>Lotto Bloc.</w:t>
      </w:r>
    </w:p>
    <w:p>
      <w:pPr>
        <w:pStyle w:val="Footnotesection"/>
      </w:pPr>
      <w:r>
        <w:tab/>
        <w:t>[Rule 140 amended: Gazette 4 Oct 2017 p. 5145.]</w:t>
      </w:r>
    </w:p>
    <w:p>
      <w:pPr>
        <w:pStyle w:val="Heading3"/>
      </w:pPr>
      <w:bookmarkStart w:id="589" w:name="_Toc34139616"/>
      <w:bookmarkStart w:id="590" w:name="_Toc34139828"/>
      <w:bookmarkStart w:id="591" w:name="_Toc34148005"/>
      <w:bookmarkStart w:id="592" w:name="_Toc34207558"/>
      <w:bookmarkStart w:id="593" w:name="_Toc34291553"/>
      <w:bookmarkStart w:id="594" w:name="_Toc25657461"/>
      <w:bookmarkStart w:id="595" w:name="_Toc25760927"/>
      <w:bookmarkStart w:id="596" w:name="_Toc25761256"/>
      <w:r>
        <w:rPr>
          <w:rStyle w:val="CharDivNo"/>
        </w:rPr>
        <w:t>Division 3</w:t>
      </w:r>
      <w:r>
        <w:t> — </w:t>
      </w:r>
      <w:r>
        <w:rPr>
          <w:rStyle w:val="CharDivText"/>
        </w:rPr>
        <w:t>Super66 draw</w:t>
      </w:r>
      <w:bookmarkEnd w:id="589"/>
      <w:bookmarkEnd w:id="590"/>
      <w:bookmarkEnd w:id="591"/>
      <w:bookmarkEnd w:id="592"/>
      <w:bookmarkEnd w:id="593"/>
      <w:bookmarkEnd w:id="594"/>
      <w:bookmarkEnd w:id="595"/>
      <w:bookmarkEnd w:id="596"/>
    </w:p>
    <w:p>
      <w:pPr>
        <w:pStyle w:val="Heading5"/>
        <w:rPr>
          <w:snapToGrid w:val="0"/>
        </w:rPr>
      </w:pPr>
      <w:bookmarkStart w:id="597" w:name="_Toc34291554"/>
      <w:bookmarkStart w:id="598" w:name="_Toc25761257"/>
      <w:r>
        <w:rPr>
          <w:rStyle w:val="CharSectno"/>
        </w:rPr>
        <w:t>141</w:t>
      </w:r>
      <w:r>
        <w:t>.</w:t>
      </w:r>
      <w:r>
        <w:tab/>
        <w:t>Nature of a Super66 draw</w:t>
      </w:r>
      <w:bookmarkEnd w:id="597"/>
      <w:bookmarkEnd w:id="598"/>
    </w:p>
    <w:p>
      <w:pPr>
        <w:pStyle w:val="Subsection"/>
        <w:rPr>
          <w:snapToGrid w:val="0"/>
        </w:rPr>
      </w:pPr>
      <w:r>
        <w:rPr>
          <w:snapToGrid w:val="0"/>
        </w:rPr>
        <w:tab/>
      </w:r>
      <w:r>
        <w:rPr>
          <w:snapToGrid w:val="0"/>
        </w:rPr>
        <w:tab/>
        <w:t>A Super66 draw consists of the mechanical, equally random selection of 6 digits, each selected from the digits 0 to 9 inclusive, in a manner and using such equipment as the Commission</w:t>
      </w:r>
      <w:r>
        <w:t>, or designated authority supervising the Super66 draw,</w:t>
      </w:r>
      <w:r>
        <w:rPr>
          <w:snapToGrid w:val="0"/>
        </w:rPr>
        <w:t xml:space="preserve"> determines.</w:t>
      </w:r>
    </w:p>
    <w:p>
      <w:pPr>
        <w:pStyle w:val="Heading5"/>
        <w:rPr>
          <w:snapToGrid w:val="0"/>
        </w:rPr>
      </w:pPr>
      <w:bookmarkStart w:id="599" w:name="_Toc34291555"/>
      <w:bookmarkStart w:id="600" w:name="_Toc25761258"/>
      <w:r>
        <w:rPr>
          <w:rStyle w:val="CharSectno"/>
        </w:rPr>
        <w:t>142</w:t>
      </w:r>
      <w:r>
        <w:t>.</w:t>
      </w:r>
      <w:r>
        <w:rPr>
          <w:snapToGrid w:val="0"/>
        </w:rPr>
        <w:tab/>
        <w:t>Criteria for winning</w:t>
      </w:r>
      <w:bookmarkEnd w:id="599"/>
      <w:bookmarkEnd w:id="600"/>
    </w:p>
    <w:p>
      <w:pPr>
        <w:pStyle w:val="Subsection"/>
        <w:rPr>
          <w:snapToGrid w:val="0"/>
        </w:rPr>
      </w:pPr>
      <w:r>
        <w:rPr>
          <w:snapToGrid w:val="0"/>
        </w:rPr>
        <w:tab/>
        <w:t>(1)</w:t>
      </w:r>
      <w:r>
        <w:rPr>
          <w:snapToGrid w:val="0"/>
        </w:rPr>
        <w:tab/>
        <w:t>Subject to subrule</w:t>
      </w:r>
      <w:r>
        <w:t> </w:t>
      </w:r>
      <w:r>
        <w:rPr>
          <w:snapToGrid w:val="0"/>
        </w:rPr>
        <w:t xml:space="preserve">(2), in a Super66 draw the holder of a receipted ticket </w:t>
      </w:r>
      <w:r>
        <w:t xml:space="preserve">or the purchaser of an entry under Part 2 Division 5 </w:t>
      </w:r>
      <w:r>
        <w:rPr>
          <w:iCs/>
        </w:rPr>
        <w:t xml:space="preserve">of these rules </w:t>
      </w:r>
      <w:r>
        <w:rPr>
          <w:snapToGrid w:val="0"/>
        </w:rPr>
        <w:t>wins —</w:t>
      </w:r>
    </w:p>
    <w:p>
      <w:pPr>
        <w:pStyle w:val="Indenta"/>
        <w:spacing w:before="60"/>
        <w:rPr>
          <w:snapToGrid w:val="0"/>
        </w:rPr>
      </w:pPr>
      <w:r>
        <w:rPr>
          <w:snapToGrid w:val="0"/>
        </w:rPr>
        <w:tab/>
        <w:t>(a)</w:t>
      </w:r>
      <w:r>
        <w:rPr>
          <w:snapToGrid w:val="0"/>
        </w:rPr>
        <w:tab/>
        <w:t>division 1, if the 6 selected digits in a game match the value, position and order of the 6 winning digits;</w:t>
      </w:r>
    </w:p>
    <w:p>
      <w:pPr>
        <w:pStyle w:val="Indenta"/>
        <w:spacing w:before="60"/>
        <w:rPr>
          <w:snapToGrid w:val="0"/>
        </w:rPr>
      </w:pPr>
      <w:r>
        <w:rPr>
          <w:snapToGrid w:val="0"/>
        </w:rPr>
        <w:tab/>
        <w:t>(b)</w:t>
      </w:r>
      <w:r>
        <w:rPr>
          <w:snapToGrid w:val="0"/>
        </w:rPr>
        <w:tab/>
        <w:t>division 2, if 5 of the selected digits in a game match the value, position and order of —</w:t>
      </w:r>
    </w:p>
    <w:p>
      <w:pPr>
        <w:pStyle w:val="Indenti"/>
        <w:rPr>
          <w:snapToGrid w:val="0"/>
        </w:rPr>
      </w:pPr>
      <w:r>
        <w:rPr>
          <w:snapToGrid w:val="0"/>
        </w:rPr>
        <w:tab/>
        <w:t>(i)</w:t>
      </w:r>
      <w:r>
        <w:rPr>
          <w:snapToGrid w:val="0"/>
        </w:rPr>
        <w:tab/>
        <w:t>the first, second, third, fourth and fifth winning digits; or</w:t>
      </w:r>
    </w:p>
    <w:p>
      <w:pPr>
        <w:pStyle w:val="Indenti"/>
        <w:spacing w:before="60"/>
        <w:rPr>
          <w:snapToGrid w:val="0"/>
        </w:rPr>
      </w:pPr>
      <w:r>
        <w:rPr>
          <w:snapToGrid w:val="0"/>
        </w:rPr>
        <w:tab/>
        <w:t>(ii)</w:t>
      </w:r>
      <w:r>
        <w:rPr>
          <w:snapToGrid w:val="0"/>
        </w:rPr>
        <w:tab/>
        <w:t>the second, third, fourth, fifth and sixth winning digits;</w:t>
      </w:r>
    </w:p>
    <w:p>
      <w:pPr>
        <w:pStyle w:val="Indenta"/>
        <w:keepNext/>
        <w:spacing w:before="60"/>
        <w:rPr>
          <w:snapToGrid w:val="0"/>
        </w:rPr>
      </w:pPr>
      <w:r>
        <w:rPr>
          <w:snapToGrid w:val="0"/>
        </w:rPr>
        <w:tab/>
        <w:t>(c)</w:t>
      </w:r>
      <w:r>
        <w:rPr>
          <w:snapToGrid w:val="0"/>
        </w:rPr>
        <w:tab/>
        <w:t>division 3, if 4 of the selected digits in a game match the value, position and order of —</w:t>
      </w:r>
    </w:p>
    <w:p>
      <w:pPr>
        <w:pStyle w:val="Indenti"/>
        <w:spacing w:before="60"/>
        <w:rPr>
          <w:snapToGrid w:val="0"/>
        </w:rPr>
      </w:pPr>
      <w:r>
        <w:rPr>
          <w:snapToGrid w:val="0"/>
        </w:rPr>
        <w:tab/>
        <w:t>(i)</w:t>
      </w:r>
      <w:r>
        <w:rPr>
          <w:snapToGrid w:val="0"/>
        </w:rPr>
        <w:tab/>
      </w:r>
      <w:r>
        <w:rPr>
          <w:snapToGrid w:val="0"/>
          <w:spacing w:val="-3"/>
        </w:rPr>
        <w:t>the first, second, third and fourth winning digits; or</w:t>
      </w:r>
    </w:p>
    <w:p>
      <w:pPr>
        <w:pStyle w:val="Indenti"/>
        <w:spacing w:before="60"/>
        <w:rPr>
          <w:snapToGrid w:val="0"/>
        </w:rPr>
      </w:pPr>
      <w:r>
        <w:rPr>
          <w:snapToGrid w:val="0"/>
        </w:rPr>
        <w:tab/>
        <w:t>(ii)</w:t>
      </w:r>
      <w:r>
        <w:rPr>
          <w:snapToGrid w:val="0"/>
        </w:rPr>
        <w:tab/>
        <w:t xml:space="preserve">the third, fourth, fifth and sixth winning digits; </w:t>
      </w:r>
    </w:p>
    <w:p>
      <w:pPr>
        <w:pStyle w:val="Indenta"/>
        <w:spacing w:before="60"/>
        <w:rPr>
          <w:snapToGrid w:val="0"/>
        </w:rPr>
      </w:pPr>
      <w:r>
        <w:rPr>
          <w:snapToGrid w:val="0"/>
        </w:rPr>
        <w:tab/>
        <w:t>(d)</w:t>
      </w:r>
      <w:r>
        <w:rPr>
          <w:snapToGrid w:val="0"/>
        </w:rPr>
        <w:tab/>
        <w:t>division 4, if 3 of the selected digits in a game match the value, position and order of —</w:t>
      </w:r>
    </w:p>
    <w:p>
      <w:pPr>
        <w:pStyle w:val="Indenti"/>
        <w:spacing w:before="60"/>
        <w:rPr>
          <w:snapToGrid w:val="0"/>
        </w:rPr>
      </w:pPr>
      <w:r>
        <w:rPr>
          <w:snapToGrid w:val="0"/>
        </w:rPr>
        <w:tab/>
        <w:t>(i)</w:t>
      </w:r>
      <w:r>
        <w:rPr>
          <w:snapToGrid w:val="0"/>
        </w:rPr>
        <w:tab/>
        <w:t>the first, second and third winning digits; or</w:t>
      </w:r>
    </w:p>
    <w:p>
      <w:pPr>
        <w:pStyle w:val="Indenti"/>
        <w:spacing w:before="60"/>
        <w:rPr>
          <w:snapToGrid w:val="0"/>
        </w:rPr>
      </w:pPr>
      <w:r>
        <w:rPr>
          <w:snapToGrid w:val="0"/>
        </w:rPr>
        <w:tab/>
        <w:t>(ii)</w:t>
      </w:r>
      <w:r>
        <w:rPr>
          <w:snapToGrid w:val="0"/>
        </w:rPr>
        <w:tab/>
        <w:t>the fourth, fifth and sixth winning digits;</w:t>
      </w:r>
    </w:p>
    <w:p>
      <w:pPr>
        <w:pStyle w:val="Indenta"/>
        <w:spacing w:before="60"/>
        <w:rPr>
          <w:snapToGrid w:val="0"/>
        </w:rPr>
      </w:pPr>
      <w:r>
        <w:rPr>
          <w:snapToGrid w:val="0"/>
        </w:rPr>
        <w:tab/>
        <w:t>(e)</w:t>
      </w:r>
      <w:r>
        <w:rPr>
          <w:snapToGrid w:val="0"/>
        </w:rPr>
        <w:tab/>
        <w:t>division 5, if 2 of the selected digits in a game match the value, position and order of —</w:t>
      </w:r>
    </w:p>
    <w:p>
      <w:pPr>
        <w:pStyle w:val="Indenti"/>
        <w:spacing w:before="60"/>
        <w:rPr>
          <w:snapToGrid w:val="0"/>
        </w:rPr>
      </w:pPr>
      <w:r>
        <w:rPr>
          <w:snapToGrid w:val="0"/>
        </w:rPr>
        <w:tab/>
        <w:t>(i)</w:t>
      </w:r>
      <w:r>
        <w:rPr>
          <w:snapToGrid w:val="0"/>
        </w:rPr>
        <w:tab/>
        <w:t>the first and second winning digits; or</w:t>
      </w:r>
    </w:p>
    <w:p>
      <w:pPr>
        <w:pStyle w:val="Indenti"/>
        <w:spacing w:before="60"/>
        <w:rPr>
          <w:snapToGrid w:val="0"/>
        </w:rPr>
      </w:pPr>
      <w:r>
        <w:rPr>
          <w:snapToGrid w:val="0"/>
        </w:rPr>
        <w:tab/>
        <w:t>(ii)</w:t>
      </w:r>
      <w:r>
        <w:rPr>
          <w:snapToGrid w:val="0"/>
        </w:rPr>
        <w:tab/>
        <w:t xml:space="preserve">the fifth and sixth winning digits. </w:t>
      </w:r>
    </w:p>
    <w:p>
      <w:pPr>
        <w:pStyle w:val="Subsection"/>
        <w:rPr>
          <w:snapToGrid w:val="0"/>
        </w:rPr>
      </w:pPr>
      <w:r>
        <w:rPr>
          <w:snapToGrid w:val="0"/>
        </w:rPr>
        <w:tab/>
      </w:r>
      <w:r>
        <w:t>(2)</w:t>
      </w:r>
      <w:r>
        <w:rPr>
          <w:snapToGrid w:val="0"/>
        </w:rPr>
        <w:tab/>
        <w:t>If the selected digits in one game satisfy the winning criteria for more than one division, that game is a winning game only in the highest of those divisions.</w:t>
      </w:r>
    </w:p>
    <w:p>
      <w:pPr>
        <w:pStyle w:val="Heading5"/>
        <w:rPr>
          <w:snapToGrid w:val="0"/>
        </w:rPr>
      </w:pPr>
      <w:bookmarkStart w:id="601" w:name="_Toc34291556"/>
      <w:bookmarkStart w:id="602" w:name="_Toc25761259"/>
      <w:r>
        <w:rPr>
          <w:rStyle w:val="CharSectno"/>
        </w:rPr>
        <w:t>143</w:t>
      </w:r>
      <w:r>
        <w:t>.</w:t>
      </w:r>
      <w:r>
        <w:rPr>
          <w:snapToGrid w:val="0"/>
        </w:rPr>
        <w:tab/>
        <w:t>Distribution of prize pool</w:t>
      </w:r>
      <w:bookmarkEnd w:id="601"/>
      <w:bookmarkEnd w:id="602"/>
    </w:p>
    <w:p>
      <w:pPr>
        <w:pStyle w:val="Subsection"/>
        <w:rPr>
          <w:snapToGrid w:val="0"/>
        </w:rPr>
      </w:pPr>
      <w:r>
        <w:rPr>
          <w:snapToGrid w:val="0"/>
        </w:rPr>
        <w:tab/>
      </w:r>
      <w:r>
        <w:t>(1)</w:t>
      </w:r>
      <w:r>
        <w:rPr>
          <w:snapToGrid w:val="0"/>
        </w:rPr>
        <w:tab/>
        <w:t>Subject to rule 144, the Commission must distribute the total prize pool for a Super66 draw as follows —</w:t>
      </w:r>
    </w:p>
    <w:p>
      <w:pPr>
        <w:pStyle w:val="Indenta"/>
        <w:rPr>
          <w:snapToGrid w:val="0"/>
        </w:rPr>
      </w:pPr>
      <w:r>
        <w:rPr>
          <w:snapToGrid w:val="0"/>
        </w:rPr>
        <w:tab/>
        <w:t>(a)</w:t>
      </w:r>
      <w:r>
        <w:rPr>
          <w:snapToGrid w:val="0"/>
        </w:rPr>
        <w:tab/>
        <w:t>division 1 —</w:t>
      </w:r>
    </w:p>
    <w:p>
      <w:pPr>
        <w:pStyle w:val="Indenti"/>
        <w:rPr>
          <w:snapToGrid w:val="0"/>
        </w:rPr>
      </w:pPr>
      <w:r>
        <w:rPr>
          <w:snapToGrid w:val="0"/>
        </w:rPr>
        <w:tab/>
        <w:t>(i)</w:t>
      </w:r>
      <w:r>
        <w:rPr>
          <w:snapToGrid w:val="0"/>
        </w:rPr>
        <w:tab/>
        <w:t>the balance of the total prize pool after payment of prizes referred to in paragraphs (b), (c), (d) and (e); or</w:t>
      </w:r>
    </w:p>
    <w:p>
      <w:pPr>
        <w:pStyle w:val="Indenti"/>
        <w:rPr>
          <w:snapToGrid w:val="0"/>
        </w:rPr>
      </w:pPr>
      <w:r>
        <w:rPr>
          <w:snapToGrid w:val="0"/>
        </w:rPr>
        <w:tab/>
        <w:t>(ii)</w:t>
      </w:r>
      <w:r>
        <w:rPr>
          <w:snapToGrid w:val="0"/>
        </w:rPr>
        <w:tab/>
        <w:t>$16 666; or</w:t>
      </w:r>
    </w:p>
    <w:p>
      <w:pPr>
        <w:pStyle w:val="Indenti"/>
        <w:rPr>
          <w:snapToGrid w:val="0"/>
        </w:rPr>
      </w:pPr>
      <w:r>
        <w:rPr>
          <w:snapToGrid w:val="0"/>
        </w:rPr>
        <w:tab/>
        <w:t>(iii)</w:t>
      </w:r>
      <w:r>
        <w:rPr>
          <w:snapToGrid w:val="0"/>
        </w:rPr>
        <w:tab/>
        <w:t>in a bonus draw, the minimum guaranteed amount,</w:t>
      </w:r>
    </w:p>
    <w:p>
      <w:pPr>
        <w:pStyle w:val="Indenta"/>
        <w:rPr>
          <w:snapToGrid w:val="0"/>
        </w:rPr>
      </w:pPr>
      <w:r>
        <w:rPr>
          <w:snapToGrid w:val="0"/>
        </w:rPr>
        <w:tab/>
      </w:r>
      <w:r>
        <w:rPr>
          <w:snapToGrid w:val="0"/>
        </w:rPr>
        <w:tab/>
        <w:t>whichever is the higher amount;</w:t>
      </w:r>
    </w:p>
    <w:p>
      <w:pPr>
        <w:pStyle w:val="Indenta"/>
        <w:rPr>
          <w:snapToGrid w:val="0"/>
        </w:rPr>
      </w:pPr>
      <w:r>
        <w:rPr>
          <w:snapToGrid w:val="0"/>
        </w:rPr>
        <w:tab/>
        <w:t>(b)</w:t>
      </w:r>
      <w:r>
        <w:rPr>
          <w:snapToGrid w:val="0"/>
        </w:rPr>
        <w:tab/>
        <w:t>division 2 — $6 666 for each winning game in that division;</w:t>
      </w:r>
    </w:p>
    <w:p>
      <w:pPr>
        <w:pStyle w:val="Indenta"/>
        <w:rPr>
          <w:snapToGrid w:val="0"/>
        </w:rPr>
      </w:pPr>
      <w:r>
        <w:rPr>
          <w:snapToGrid w:val="0"/>
        </w:rPr>
        <w:tab/>
        <w:t>(c)</w:t>
      </w:r>
      <w:r>
        <w:rPr>
          <w:snapToGrid w:val="0"/>
        </w:rPr>
        <w:tab/>
        <w:t>division 3 — $666 for each winning game in that division;</w:t>
      </w:r>
    </w:p>
    <w:p>
      <w:pPr>
        <w:pStyle w:val="Indenta"/>
        <w:rPr>
          <w:snapToGrid w:val="0"/>
        </w:rPr>
      </w:pPr>
      <w:r>
        <w:rPr>
          <w:snapToGrid w:val="0"/>
        </w:rPr>
        <w:tab/>
        <w:t>(d)</w:t>
      </w:r>
      <w:r>
        <w:rPr>
          <w:snapToGrid w:val="0"/>
        </w:rPr>
        <w:tab/>
        <w:t>division 4 — $66 for each winning game in that division;</w:t>
      </w:r>
    </w:p>
    <w:p>
      <w:pPr>
        <w:pStyle w:val="Indenta"/>
        <w:rPr>
          <w:snapToGrid w:val="0"/>
        </w:rPr>
      </w:pPr>
      <w:r>
        <w:rPr>
          <w:snapToGrid w:val="0"/>
        </w:rPr>
        <w:tab/>
        <w:t>(e)</w:t>
      </w:r>
      <w:r>
        <w:rPr>
          <w:snapToGrid w:val="0"/>
        </w:rPr>
        <w:tab/>
        <w:t>division 5 — $6.60 for each winning game in that division.</w:t>
      </w:r>
    </w:p>
    <w:p>
      <w:pPr>
        <w:pStyle w:val="Subsection"/>
        <w:rPr>
          <w:snapToGrid w:val="0"/>
        </w:rPr>
      </w:pPr>
      <w:r>
        <w:rPr>
          <w:snapToGrid w:val="0"/>
        </w:rPr>
        <w:tab/>
      </w:r>
      <w:r>
        <w:t>(2)</w:t>
      </w:r>
      <w:r>
        <w:rPr>
          <w:snapToGrid w:val="0"/>
        </w:rPr>
        <w:tab/>
        <w:t>The division 1 prize pool is to be divided equally between the winning games in that division.</w:t>
      </w:r>
    </w:p>
    <w:p>
      <w:pPr>
        <w:pStyle w:val="Heading5"/>
        <w:rPr>
          <w:snapToGrid w:val="0"/>
        </w:rPr>
      </w:pPr>
      <w:bookmarkStart w:id="603" w:name="_Toc34291557"/>
      <w:bookmarkStart w:id="604" w:name="_Toc25761260"/>
      <w:r>
        <w:rPr>
          <w:rStyle w:val="CharSectno"/>
        </w:rPr>
        <w:t>144</w:t>
      </w:r>
      <w:r>
        <w:t>.</w:t>
      </w:r>
      <w:r>
        <w:rPr>
          <w:snapToGrid w:val="0"/>
        </w:rPr>
        <w:tab/>
        <w:t>Application of prize pool if division 1 not won</w:t>
      </w:r>
      <w:bookmarkEnd w:id="603"/>
      <w:bookmarkEnd w:id="604"/>
    </w:p>
    <w:p>
      <w:pPr>
        <w:pStyle w:val="Subsection"/>
        <w:rPr>
          <w:snapToGrid w:val="0"/>
        </w:rPr>
      </w:pPr>
      <w:r>
        <w:rPr>
          <w:snapToGrid w:val="0"/>
        </w:rPr>
        <w:tab/>
      </w:r>
      <w:r>
        <w:t>(1)</w:t>
      </w:r>
      <w:r>
        <w:rPr>
          <w:snapToGrid w:val="0"/>
        </w:rPr>
        <w:tab/>
        <w:t xml:space="preserve">If no one </w:t>
      </w:r>
      <w:r>
        <w:t>wins</w:t>
      </w:r>
      <w:r>
        <w:rPr>
          <w:snapToGrid w:val="0"/>
        </w:rPr>
        <w:t xml:space="preserve"> a division 1 prize in a particular Super66 draw, then the balance of the total prize pool for that draw, including any prize reserve fund augmentation, is to be added to, and then forms part of, the division 1 prize pool for the next Super66 draw.</w:t>
      </w:r>
    </w:p>
    <w:p>
      <w:pPr>
        <w:pStyle w:val="Subsection"/>
      </w:pPr>
      <w:r>
        <w:tab/>
        <w:t>(2)</w:t>
      </w:r>
      <w:r>
        <w:tab/>
        <w:t>Where there is no Super66 division 1 prize winner for 26 consecutive Super66 draws, the Commission must allocate the accumulated division 1 prize pool in the 26th Super66 draw to the next lowest division in which there is a winner in that draw.</w:t>
      </w:r>
    </w:p>
    <w:p>
      <w:pPr>
        <w:pStyle w:val="Subsection"/>
        <w:rPr>
          <w:snapToGrid w:val="0"/>
        </w:rPr>
      </w:pPr>
      <w:r>
        <w:rPr>
          <w:snapToGrid w:val="0"/>
        </w:rPr>
        <w:tab/>
      </w:r>
      <w:r>
        <w:t>(3)</w:t>
      </w:r>
      <w:r>
        <w:rPr>
          <w:snapToGrid w:val="0"/>
        </w:rPr>
        <w:tab/>
        <w:t>If the balance of the total prize pool is to be distributed to winners in a division other than division 1, the prize money is to be treated as a division 1 prize for the purposes of claiming and payment of prizes.</w:t>
      </w:r>
    </w:p>
    <w:p>
      <w:pPr>
        <w:pStyle w:val="Heading5"/>
        <w:rPr>
          <w:snapToGrid w:val="0"/>
        </w:rPr>
      </w:pPr>
      <w:bookmarkStart w:id="605" w:name="_Toc34291558"/>
      <w:bookmarkStart w:id="606" w:name="_Toc25761261"/>
      <w:r>
        <w:rPr>
          <w:rStyle w:val="CharSectno"/>
        </w:rPr>
        <w:t>145</w:t>
      </w:r>
      <w:r>
        <w:t>.</w:t>
      </w:r>
      <w:r>
        <w:rPr>
          <w:snapToGrid w:val="0"/>
        </w:rPr>
        <w:tab/>
        <w:t>Bonus draws and guaranteed prize pools for division 1</w:t>
      </w:r>
      <w:bookmarkEnd w:id="605"/>
      <w:bookmarkEnd w:id="606"/>
    </w:p>
    <w:p>
      <w:pPr>
        <w:pStyle w:val="Subsection"/>
        <w:rPr>
          <w:snapToGrid w:val="0"/>
        </w:rPr>
      </w:pPr>
      <w:r>
        <w:rPr>
          <w:snapToGrid w:val="0"/>
        </w:rPr>
        <w:tab/>
      </w:r>
      <w:r>
        <w:t>(1)</w:t>
      </w:r>
      <w:r>
        <w:rPr>
          <w:snapToGrid w:val="0"/>
        </w:rPr>
        <w:tab/>
        <w:t>The Commission may from time to time declare a Super66 draw to be a bonus draw and fix a minimum guaranteed prize pool for division 1 in that draw.</w:t>
      </w:r>
    </w:p>
    <w:p>
      <w:pPr>
        <w:pStyle w:val="Subsection"/>
        <w:rPr>
          <w:snapToGrid w:val="0"/>
        </w:rPr>
      </w:pPr>
      <w:r>
        <w:rPr>
          <w:snapToGrid w:val="0"/>
        </w:rPr>
        <w:tab/>
      </w:r>
      <w:r>
        <w:t>(2)</w:t>
      </w:r>
      <w:r>
        <w:rPr>
          <w:snapToGrid w:val="0"/>
        </w:rPr>
        <w:tab/>
        <w:t>The Commission may add all or part of the prize reserve fund to the total prize pool in a bonus draw to increase the division 1 prize pool to the guaranteed amount and any amount so added forms part of that prize pool.</w:t>
      </w:r>
    </w:p>
    <w:p>
      <w:pPr>
        <w:pStyle w:val="Subsection"/>
        <w:rPr>
          <w:snapToGrid w:val="0"/>
        </w:rPr>
      </w:pPr>
      <w:r>
        <w:rPr>
          <w:snapToGrid w:val="0"/>
        </w:rPr>
        <w:tab/>
      </w:r>
      <w:r>
        <w:t>(3)</w:t>
      </w:r>
      <w:r>
        <w:rPr>
          <w:snapToGrid w:val="0"/>
        </w:rPr>
        <w:tab/>
        <w:t>Where a bonus draw is declared under this rule, and a jackpot division 1 prize coincides with that draw, the Commission may elect to reduce the augmentation under subrule</w:t>
      </w:r>
      <w:r>
        <w:t> </w:t>
      </w:r>
      <w:r>
        <w:rPr>
          <w:snapToGrid w:val="0"/>
        </w:rPr>
        <w:t>(2) by the amount of the jackpot.</w:t>
      </w:r>
    </w:p>
    <w:p>
      <w:pPr>
        <w:pStyle w:val="Subsection"/>
        <w:rPr>
          <w:snapToGrid w:val="0"/>
        </w:rPr>
      </w:pPr>
      <w:r>
        <w:rPr>
          <w:snapToGrid w:val="0"/>
        </w:rPr>
        <w:tab/>
      </w:r>
      <w:r>
        <w:t>(4)</w:t>
      </w:r>
      <w:r>
        <w:rPr>
          <w:snapToGrid w:val="0"/>
        </w:rPr>
        <w:tab/>
        <w:t>If —</w:t>
      </w:r>
    </w:p>
    <w:p>
      <w:pPr>
        <w:pStyle w:val="Indenta"/>
        <w:rPr>
          <w:snapToGrid w:val="0"/>
        </w:rPr>
      </w:pPr>
      <w:r>
        <w:rPr>
          <w:snapToGrid w:val="0"/>
        </w:rPr>
        <w:tab/>
        <w:t>(a)</w:t>
      </w:r>
      <w:r>
        <w:rPr>
          <w:snapToGrid w:val="0"/>
        </w:rPr>
        <w:tab/>
        <w:t xml:space="preserve">no one </w:t>
      </w:r>
      <w:r>
        <w:t>wins</w:t>
      </w:r>
      <w:r>
        <w:rPr>
          <w:snapToGrid w:val="0"/>
        </w:rPr>
        <w:t xml:space="preserve"> a division 1 prize in a bonus draw; and</w:t>
      </w:r>
    </w:p>
    <w:p>
      <w:pPr>
        <w:pStyle w:val="Indenta"/>
        <w:rPr>
          <w:snapToGrid w:val="0"/>
        </w:rPr>
      </w:pPr>
      <w:r>
        <w:rPr>
          <w:snapToGrid w:val="0"/>
        </w:rPr>
        <w:tab/>
        <w:t>(b)</w:t>
      </w:r>
      <w:r>
        <w:rPr>
          <w:snapToGrid w:val="0"/>
        </w:rPr>
        <w:tab/>
        <w:t xml:space="preserve">all or part of the prize reserve fund would have to have been used to increase the division 1 prize pool to a guaranteed amount had there been a division 1 winner, </w:t>
      </w:r>
    </w:p>
    <w:p>
      <w:pPr>
        <w:pStyle w:val="Subsection"/>
        <w:rPr>
          <w:snapToGrid w:val="0"/>
        </w:rPr>
      </w:pPr>
      <w:r>
        <w:rPr>
          <w:snapToGrid w:val="0"/>
        </w:rPr>
        <w:tab/>
      </w:r>
      <w:r>
        <w:rPr>
          <w:snapToGrid w:val="0"/>
        </w:rPr>
        <w:tab/>
        <w:t>the amount of the reserve that would have been so used is to be included as part of the division 1 prize pool for that draw when calculating the jackpot division 1 prize pool for the next Super66 draw.</w:t>
      </w:r>
    </w:p>
    <w:p>
      <w:pPr>
        <w:pStyle w:val="Heading2"/>
      </w:pPr>
      <w:bookmarkStart w:id="607" w:name="_Toc34139622"/>
      <w:bookmarkStart w:id="608" w:name="_Toc34139834"/>
      <w:bookmarkStart w:id="609" w:name="_Toc34148011"/>
      <w:bookmarkStart w:id="610" w:name="_Toc34207564"/>
      <w:bookmarkStart w:id="611" w:name="_Toc34291559"/>
      <w:bookmarkStart w:id="612" w:name="_Toc25657467"/>
      <w:bookmarkStart w:id="613" w:name="_Toc25760933"/>
      <w:bookmarkStart w:id="614" w:name="_Toc25761262"/>
      <w:r>
        <w:rPr>
          <w:rStyle w:val="CharPartNo"/>
        </w:rPr>
        <w:t>Part 11</w:t>
      </w:r>
      <w:r>
        <w:rPr>
          <w:rStyle w:val="CharDivNo"/>
        </w:rPr>
        <w:t> </w:t>
      </w:r>
      <w:r>
        <w:t>—</w:t>
      </w:r>
      <w:r>
        <w:rPr>
          <w:rStyle w:val="CharDivText"/>
        </w:rPr>
        <w:t> </w:t>
      </w:r>
      <w:r>
        <w:rPr>
          <w:rStyle w:val="CharPartText"/>
        </w:rPr>
        <w:t>Repeals</w:t>
      </w:r>
      <w:bookmarkEnd w:id="607"/>
      <w:bookmarkEnd w:id="608"/>
      <w:bookmarkEnd w:id="609"/>
      <w:bookmarkEnd w:id="610"/>
      <w:bookmarkEnd w:id="611"/>
      <w:bookmarkEnd w:id="612"/>
      <w:bookmarkEnd w:id="613"/>
      <w:bookmarkEnd w:id="614"/>
    </w:p>
    <w:p>
      <w:pPr>
        <w:pStyle w:val="Heading5"/>
      </w:pPr>
      <w:bookmarkStart w:id="615" w:name="_Toc34291560"/>
      <w:bookmarkStart w:id="616" w:name="_Toc25761263"/>
      <w:r>
        <w:rPr>
          <w:rStyle w:val="CharSectno"/>
        </w:rPr>
        <w:t>146</w:t>
      </w:r>
      <w:r>
        <w:t>.</w:t>
      </w:r>
      <w:r>
        <w:tab/>
        <w:t>Rules repealed</w:t>
      </w:r>
      <w:bookmarkEnd w:id="615"/>
      <w:bookmarkEnd w:id="616"/>
    </w:p>
    <w:p>
      <w:pPr>
        <w:pStyle w:val="Subsection"/>
        <w:tabs>
          <w:tab w:val="left" w:pos="2977"/>
        </w:tabs>
      </w:pPr>
      <w:r>
        <w:tab/>
      </w:r>
      <w:r>
        <w:tab/>
        <w:t xml:space="preserve">These rules are repealed — </w:t>
      </w:r>
    </w:p>
    <w:p>
      <w:pPr>
        <w:pStyle w:val="Indenta"/>
      </w:pPr>
      <w:r>
        <w:tab/>
        <w:t>(a)</w:t>
      </w:r>
      <w:r>
        <w:tab/>
      </w:r>
      <w:r>
        <w:rPr>
          <w:i/>
        </w:rPr>
        <w:t>Lotteries Commission (Cash 3) Rules 1998</w:t>
      </w:r>
      <w:r>
        <w:t>;</w:t>
      </w:r>
    </w:p>
    <w:p>
      <w:pPr>
        <w:pStyle w:val="Indenta"/>
      </w:pPr>
      <w:r>
        <w:tab/>
        <w:t>(b)</w:t>
      </w:r>
      <w:r>
        <w:tab/>
      </w:r>
      <w:r>
        <w:rPr>
          <w:i/>
        </w:rPr>
        <w:t>Lotteries Commission (Internet Entries) Rules 2010</w:t>
      </w:r>
      <w:r>
        <w:t>;</w:t>
      </w:r>
    </w:p>
    <w:p>
      <w:pPr>
        <w:pStyle w:val="Indenta"/>
      </w:pPr>
      <w:r>
        <w:tab/>
        <w:t>(c)</w:t>
      </w:r>
      <w:r>
        <w:tab/>
      </w:r>
      <w:r>
        <w:rPr>
          <w:i/>
        </w:rPr>
        <w:t>Lotteries Commission (Monday and Wednesday Lotto) Rules 2006</w:t>
      </w:r>
      <w:r>
        <w:t>;</w:t>
      </w:r>
    </w:p>
    <w:p>
      <w:pPr>
        <w:pStyle w:val="Indenta"/>
      </w:pPr>
      <w:r>
        <w:tab/>
        <w:t>(d)</w:t>
      </w:r>
      <w:r>
        <w:tab/>
      </w:r>
      <w:r>
        <w:rPr>
          <w:i/>
        </w:rPr>
        <w:t>Lotteries Commission (Oz Lotto) Rules 1995</w:t>
      </w:r>
      <w:r>
        <w:t>;</w:t>
      </w:r>
    </w:p>
    <w:p>
      <w:pPr>
        <w:pStyle w:val="Indenta"/>
      </w:pPr>
      <w:r>
        <w:tab/>
        <w:t>(e)</w:t>
      </w:r>
      <w:r>
        <w:tab/>
      </w:r>
      <w:r>
        <w:rPr>
          <w:i/>
        </w:rPr>
        <w:t>Lotteries Commission (Powerball) Rules 1996</w:t>
      </w:r>
      <w:r>
        <w:t xml:space="preserve">; </w:t>
      </w:r>
    </w:p>
    <w:p>
      <w:pPr>
        <w:pStyle w:val="Indenta"/>
      </w:pPr>
      <w:r>
        <w:tab/>
        <w:t>(f)</w:t>
      </w:r>
      <w:r>
        <w:tab/>
      </w:r>
      <w:r>
        <w:rPr>
          <w:i/>
        </w:rPr>
        <w:t>Lotteries Commission (Saturday Lotto) Rules 1996</w:t>
      </w:r>
      <w:r>
        <w:t>;</w:t>
      </w:r>
    </w:p>
    <w:p>
      <w:pPr>
        <w:pStyle w:val="Indenta"/>
      </w:pPr>
      <w:r>
        <w:tab/>
        <w:t>(g)</w:t>
      </w:r>
      <w:r>
        <w:tab/>
      </w:r>
      <w:r>
        <w:rPr>
          <w:i/>
        </w:rPr>
        <w:t>Lotteries Commission (Set for Life) Rules 2014</w:t>
      </w:r>
      <w:r>
        <w:t>;</w:t>
      </w:r>
    </w:p>
    <w:p>
      <w:pPr>
        <w:pStyle w:val="Indenta"/>
      </w:pPr>
      <w:r>
        <w:tab/>
        <w:t>(h)</w:t>
      </w:r>
      <w:r>
        <w:tab/>
      </w:r>
      <w:r>
        <w:rPr>
          <w:i/>
        </w:rPr>
        <w:t>Lotteries Commission (Soccer Pools) Rules 1996</w:t>
      </w:r>
      <w:r>
        <w:t>;</w:t>
      </w:r>
    </w:p>
    <w:p>
      <w:pPr>
        <w:pStyle w:val="Indenta"/>
      </w:pPr>
      <w:r>
        <w:tab/>
        <w:t>(i)</w:t>
      </w:r>
      <w:r>
        <w:tab/>
      </w:r>
      <w:r>
        <w:rPr>
          <w:i/>
        </w:rPr>
        <w:t>Lotteries Commission (Super 66) Rules 1996</w:t>
      </w:r>
      <w:r>
        <w:t>.</w:t>
      </w:r>
    </w:p>
    <w:p>
      <w:pPr>
        <w:pStyle w:val="Subsection"/>
      </w:pPr>
    </w:p>
    <w:p>
      <w:pPr>
        <w:pStyle w:val="ByCommand"/>
        <w:sectPr>
          <w:headerReference w:type="even" r:id="rId15"/>
          <w:headerReference w:type="default" r:id="rId16"/>
          <w:footerReference w:type="even" r:id="rId17"/>
          <w:footerReference w:type="default" r:id="rId18"/>
          <w:headerReference w:type="first" r:id="rId19"/>
          <w:footerReference w:type="first" r:id="rId20"/>
          <w:endnotePr>
            <w:numFmt w:val="decimal"/>
          </w:endnotePr>
          <w:pgSz w:w="11907" w:h="16840" w:code="9"/>
          <w:pgMar w:top="2381" w:right="2410" w:bottom="3544" w:left="2410" w:header="720" w:footer="3544" w:gutter="0"/>
          <w:pgNumType w:start="1"/>
          <w:cols w:space="720"/>
          <w:noEndnote/>
          <w:titlePg/>
        </w:sectPr>
      </w:pPr>
    </w:p>
    <w:p>
      <w:pPr>
        <w:pStyle w:val="yScheduleHeading"/>
      </w:pPr>
      <w:bookmarkStart w:id="617" w:name="_Toc34139624"/>
      <w:bookmarkStart w:id="618" w:name="_Toc34139836"/>
      <w:bookmarkStart w:id="619" w:name="_Toc34148013"/>
      <w:bookmarkStart w:id="620" w:name="_Toc34207566"/>
      <w:bookmarkStart w:id="621" w:name="_Toc34291561"/>
      <w:bookmarkStart w:id="622" w:name="_Toc25657469"/>
      <w:bookmarkStart w:id="623" w:name="_Toc25760935"/>
      <w:bookmarkStart w:id="624" w:name="_Toc25761264"/>
      <w:r>
        <w:rPr>
          <w:rStyle w:val="CharSchNo"/>
        </w:rPr>
        <w:t>Schedule 1</w:t>
      </w:r>
      <w:r>
        <w:rPr>
          <w:rStyle w:val="CharSDivNo"/>
        </w:rPr>
        <w:t> </w:t>
      </w:r>
      <w:r>
        <w:t>—</w:t>
      </w:r>
      <w:r>
        <w:rPr>
          <w:rStyle w:val="CharSDivText"/>
        </w:rPr>
        <w:t> </w:t>
      </w:r>
      <w:r>
        <w:rPr>
          <w:rStyle w:val="CharSchText"/>
        </w:rPr>
        <w:t>Cash 3 Types of Play, Odds, etc.</w:t>
      </w:r>
      <w:bookmarkEnd w:id="617"/>
      <w:bookmarkEnd w:id="618"/>
      <w:bookmarkEnd w:id="619"/>
      <w:bookmarkEnd w:id="620"/>
      <w:bookmarkEnd w:id="621"/>
      <w:bookmarkEnd w:id="622"/>
      <w:bookmarkEnd w:id="623"/>
      <w:bookmarkEnd w:id="624"/>
    </w:p>
    <w:p>
      <w:pPr>
        <w:pStyle w:val="yShoulderClause"/>
      </w:pPr>
      <w:r>
        <w:t>[r. 52, 54, 55, 59, 60, 61 and 62]</w:t>
      </w:r>
    </w:p>
    <w:p>
      <w:pPr>
        <w:pStyle w:val="yFootnoteheading"/>
        <w:spacing w:after="60"/>
      </w:pPr>
      <w:r>
        <w:tab/>
        <w:t>[Heading amended: Gazette 4 Oct 2017 p. 5145.]</w:t>
      </w:r>
    </w:p>
    <w:tbl>
      <w:tblPr>
        <w:tblW w:w="0" w:type="auto"/>
        <w:tblInd w:w="1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496"/>
        <w:gridCol w:w="709"/>
        <w:gridCol w:w="1842"/>
        <w:gridCol w:w="993"/>
        <w:gridCol w:w="959"/>
      </w:tblGrid>
      <w:tr>
        <w:tc>
          <w:tcPr>
            <w:tcW w:w="2496" w:type="dxa"/>
            <w:tcBorders>
              <w:top w:val="single" w:sz="18" w:space="0" w:color="auto"/>
              <w:left w:val="single" w:sz="18" w:space="0" w:color="auto"/>
              <w:bottom w:val="single" w:sz="18" w:space="0" w:color="auto"/>
            </w:tcBorders>
            <w:shd w:val="pct15" w:color="auto" w:fill="auto"/>
          </w:tcPr>
          <w:p>
            <w:pPr>
              <w:pStyle w:val="yTableNAm"/>
              <w:rPr>
                <w:b/>
                <w:sz w:val="18"/>
                <w:szCs w:val="18"/>
              </w:rPr>
            </w:pPr>
            <w:r>
              <w:rPr>
                <w:b/>
                <w:sz w:val="18"/>
                <w:szCs w:val="18"/>
              </w:rPr>
              <w:t>Description of possible 3 Digit individual play types/Odds</w:t>
            </w:r>
          </w:p>
        </w:tc>
        <w:tc>
          <w:tcPr>
            <w:tcW w:w="709" w:type="dxa"/>
            <w:tcBorders>
              <w:top w:val="single" w:sz="18" w:space="0" w:color="auto"/>
              <w:bottom w:val="single" w:sz="18" w:space="0" w:color="auto"/>
            </w:tcBorders>
            <w:shd w:val="pct15" w:color="auto" w:fill="auto"/>
          </w:tcPr>
          <w:p>
            <w:pPr>
              <w:pStyle w:val="yTableNAm"/>
              <w:rPr>
                <w:b/>
                <w:sz w:val="18"/>
                <w:szCs w:val="18"/>
              </w:rPr>
            </w:pPr>
            <w:r>
              <w:rPr>
                <w:b/>
                <w:sz w:val="18"/>
                <w:szCs w:val="18"/>
              </w:rPr>
              <w:t xml:space="preserve">If you pick </w:t>
            </w:r>
            <w:bookmarkStart w:id="625" w:name="RuleErr_7"/>
            <w:r>
              <w:rPr>
                <w:b/>
                <w:i/>
                <w:sz w:val="18"/>
                <w:szCs w:val="18"/>
              </w:rPr>
              <w:t>(e.g.)</w:t>
            </w:r>
            <w:bookmarkEnd w:id="625"/>
          </w:p>
        </w:tc>
        <w:tc>
          <w:tcPr>
            <w:tcW w:w="1842" w:type="dxa"/>
            <w:tcBorders>
              <w:top w:val="single" w:sz="18" w:space="0" w:color="auto"/>
              <w:bottom w:val="single" w:sz="18" w:space="0" w:color="auto"/>
            </w:tcBorders>
            <w:shd w:val="pct15" w:color="auto" w:fill="auto"/>
          </w:tcPr>
          <w:p>
            <w:pPr>
              <w:pStyle w:val="yTableNAm"/>
              <w:rPr>
                <w:b/>
                <w:sz w:val="18"/>
                <w:szCs w:val="18"/>
              </w:rPr>
            </w:pPr>
            <w:r>
              <w:rPr>
                <w:b/>
                <w:sz w:val="18"/>
                <w:szCs w:val="18"/>
              </w:rPr>
              <w:t xml:space="preserve">You win if any of these combinations are drawn </w:t>
            </w:r>
            <w:bookmarkStart w:id="626" w:name="RuleErr_8"/>
            <w:r>
              <w:rPr>
                <w:b/>
                <w:i/>
                <w:sz w:val="18"/>
                <w:szCs w:val="18"/>
              </w:rPr>
              <w:t>(e.g.)</w:t>
            </w:r>
            <w:bookmarkEnd w:id="626"/>
          </w:p>
        </w:tc>
        <w:tc>
          <w:tcPr>
            <w:tcW w:w="993" w:type="dxa"/>
            <w:tcBorders>
              <w:top w:val="single" w:sz="18" w:space="0" w:color="auto"/>
              <w:bottom w:val="single" w:sz="18" w:space="0" w:color="auto"/>
            </w:tcBorders>
            <w:shd w:val="pct15" w:color="auto" w:fill="auto"/>
          </w:tcPr>
          <w:p>
            <w:pPr>
              <w:pStyle w:val="yTableNAm"/>
              <w:rPr>
                <w:b/>
                <w:sz w:val="18"/>
                <w:szCs w:val="18"/>
              </w:rPr>
            </w:pPr>
            <w:r>
              <w:rPr>
                <w:b/>
                <w:sz w:val="18"/>
                <w:szCs w:val="18"/>
              </w:rPr>
              <w:t>Payout</w:t>
            </w:r>
            <w:r>
              <w:rPr>
                <w:b/>
                <w:sz w:val="18"/>
                <w:szCs w:val="18"/>
              </w:rPr>
              <w:br/>
              <w:t>50 cent wager</w:t>
            </w:r>
          </w:p>
        </w:tc>
        <w:tc>
          <w:tcPr>
            <w:tcW w:w="959" w:type="dxa"/>
            <w:tcBorders>
              <w:top w:val="single" w:sz="18" w:space="0" w:color="auto"/>
              <w:bottom w:val="single" w:sz="18" w:space="0" w:color="auto"/>
              <w:right w:val="single" w:sz="18" w:space="0" w:color="auto"/>
            </w:tcBorders>
            <w:shd w:val="pct15" w:color="auto" w:fill="auto"/>
          </w:tcPr>
          <w:p>
            <w:pPr>
              <w:pStyle w:val="yTableNAm"/>
              <w:rPr>
                <w:b/>
                <w:sz w:val="18"/>
                <w:szCs w:val="18"/>
              </w:rPr>
            </w:pPr>
            <w:r>
              <w:rPr>
                <w:b/>
                <w:sz w:val="18"/>
                <w:szCs w:val="18"/>
              </w:rPr>
              <w:t>Payout</w:t>
            </w:r>
            <w:r>
              <w:rPr>
                <w:b/>
                <w:sz w:val="18"/>
                <w:szCs w:val="18"/>
              </w:rPr>
              <w:br/>
              <w:t>$1.00 wager</w:t>
            </w:r>
          </w:p>
        </w:tc>
      </w:tr>
      <w:tr>
        <w:tc>
          <w:tcPr>
            <w:tcW w:w="2496" w:type="dxa"/>
            <w:tcBorders>
              <w:top w:val="nil"/>
              <w:left w:val="single" w:sz="12" w:space="0" w:color="auto"/>
              <w:bottom w:val="nil"/>
            </w:tcBorders>
          </w:tcPr>
          <w:p>
            <w:pPr>
              <w:pStyle w:val="yTableNAm"/>
              <w:rPr>
                <w:sz w:val="20"/>
              </w:rPr>
            </w:pPr>
            <w:r>
              <w:rPr>
                <w:sz w:val="20"/>
              </w:rPr>
              <w:t>Exact order</w:t>
            </w:r>
          </w:p>
          <w:p>
            <w:pPr>
              <w:pStyle w:val="yTableNAm"/>
              <w:rPr>
                <w:i/>
                <w:sz w:val="20"/>
              </w:rPr>
            </w:pPr>
            <w:bookmarkStart w:id="627" w:name="RuleErr_9"/>
            <w:r>
              <w:rPr>
                <w:i/>
                <w:sz w:val="20"/>
              </w:rPr>
              <w:t>Odds 1 in 1000</w:t>
            </w:r>
            <w:bookmarkEnd w:id="627"/>
          </w:p>
        </w:tc>
        <w:tc>
          <w:tcPr>
            <w:tcW w:w="709" w:type="dxa"/>
            <w:tcBorders>
              <w:top w:val="nil"/>
              <w:bottom w:val="nil"/>
            </w:tcBorders>
          </w:tcPr>
          <w:p>
            <w:pPr>
              <w:pStyle w:val="yTableNAm"/>
              <w:jc w:val="center"/>
              <w:rPr>
                <w:sz w:val="20"/>
              </w:rPr>
            </w:pPr>
            <w:r>
              <w:rPr>
                <w:sz w:val="20"/>
              </w:rPr>
              <w:t>123</w:t>
            </w:r>
          </w:p>
        </w:tc>
        <w:tc>
          <w:tcPr>
            <w:tcW w:w="1842" w:type="dxa"/>
            <w:tcBorders>
              <w:top w:val="nil"/>
              <w:bottom w:val="nil"/>
            </w:tcBorders>
          </w:tcPr>
          <w:p>
            <w:pPr>
              <w:pStyle w:val="yTableNAm"/>
              <w:jc w:val="center"/>
              <w:rPr>
                <w:sz w:val="20"/>
              </w:rPr>
            </w:pPr>
            <w:r>
              <w:rPr>
                <w:sz w:val="20"/>
              </w:rPr>
              <w:t>123</w:t>
            </w:r>
          </w:p>
        </w:tc>
        <w:tc>
          <w:tcPr>
            <w:tcW w:w="993" w:type="dxa"/>
            <w:tcBorders>
              <w:top w:val="nil"/>
              <w:bottom w:val="nil"/>
            </w:tcBorders>
          </w:tcPr>
          <w:p>
            <w:pPr>
              <w:pStyle w:val="yTableNAm"/>
              <w:rPr>
                <w:sz w:val="20"/>
              </w:rPr>
            </w:pPr>
            <w:r>
              <w:rPr>
                <w:sz w:val="20"/>
              </w:rPr>
              <w:t>$250</w:t>
            </w:r>
          </w:p>
        </w:tc>
        <w:tc>
          <w:tcPr>
            <w:tcW w:w="959" w:type="dxa"/>
            <w:tcBorders>
              <w:top w:val="nil"/>
              <w:bottom w:val="nil"/>
              <w:right w:val="single" w:sz="12" w:space="0" w:color="auto"/>
            </w:tcBorders>
          </w:tcPr>
          <w:p>
            <w:pPr>
              <w:pStyle w:val="yTableNAm"/>
              <w:rPr>
                <w:sz w:val="20"/>
              </w:rPr>
            </w:pPr>
            <w:r>
              <w:rPr>
                <w:sz w:val="20"/>
              </w:rPr>
              <w:t>$500</w:t>
            </w:r>
          </w:p>
        </w:tc>
      </w:tr>
      <w:tr>
        <w:tc>
          <w:tcPr>
            <w:tcW w:w="2496" w:type="dxa"/>
            <w:tcBorders>
              <w:top w:val="single" w:sz="12" w:space="0" w:color="auto"/>
              <w:left w:val="single" w:sz="12" w:space="0" w:color="auto"/>
              <w:bottom w:val="nil"/>
            </w:tcBorders>
          </w:tcPr>
          <w:p>
            <w:pPr>
              <w:pStyle w:val="yTableNAm"/>
              <w:rPr>
                <w:sz w:val="20"/>
              </w:rPr>
            </w:pPr>
            <w:r>
              <w:rPr>
                <w:sz w:val="20"/>
              </w:rPr>
              <w:t>Any order – 3</w:t>
            </w:r>
            <w:r>
              <w:rPr>
                <w:sz w:val="20"/>
              </w:rPr>
              <w:noBreakHyphen/>
              <w:t>way (Playing 2 like digits)</w:t>
            </w:r>
          </w:p>
          <w:p>
            <w:pPr>
              <w:pStyle w:val="yTableNAm"/>
              <w:rPr>
                <w:i/>
                <w:sz w:val="20"/>
              </w:rPr>
            </w:pPr>
            <w:bookmarkStart w:id="628" w:name="RuleErr_10"/>
            <w:r>
              <w:rPr>
                <w:i/>
                <w:sz w:val="20"/>
              </w:rPr>
              <w:t>Odds 1 in 333.33</w:t>
            </w:r>
            <w:bookmarkEnd w:id="628"/>
          </w:p>
        </w:tc>
        <w:tc>
          <w:tcPr>
            <w:tcW w:w="709" w:type="dxa"/>
            <w:tcBorders>
              <w:top w:val="single" w:sz="12" w:space="0" w:color="auto"/>
              <w:bottom w:val="nil"/>
            </w:tcBorders>
          </w:tcPr>
          <w:p>
            <w:pPr>
              <w:pStyle w:val="yTableNAm"/>
              <w:jc w:val="center"/>
              <w:rPr>
                <w:sz w:val="20"/>
              </w:rPr>
            </w:pPr>
            <w:r>
              <w:rPr>
                <w:sz w:val="20"/>
              </w:rPr>
              <w:br/>
              <w:t>118</w:t>
            </w:r>
          </w:p>
        </w:tc>
        <w:tc>
          <w:tcPr>
            <w:tcW w:w="1842" w:type="dxa"/>
            <w:tcBorders>
              <w:top w:val="single" w:sz="12" w:space="0" w:color="auto"/>
              <w:bottom w:val="nil"/>
            </w:tcBorders>
          </w:tcPr>
          <w:p>
            <w:pPr>
              <w:pStyle w:val="yTableNAm"/>
              <w:jc w:val="center"/>
              <w:rPr>
                <w:sz w:val="20"/>
              </w:rPr>
            </w:pPr>
            <w:r>
              <w:rPr>
                <w:sz w:val="20"/>
              </w:rPr>
              <w:t>118</w:t>
            </w:r>
          </w:p>
          <w:p>
            <w:pPr>
              <w:pStyle w:val="yTableNAm"/>
              <w:jc w:val="center"/>
              <w:rPr>
                <w:sz w:val="20"/>
              </w:rPr>
            </w:pPr>
            <w:r>
              <w:rPr>
                <w:sz w:val="20"/>
              </w:rPr>
              <w:t>181</w:t>
            </w:r>
          </w:p>
          <w:p>
            <w:pPr>
              <w:pStyle w:val="yTableNAm"/>
              <w:jc w:val="center"/>
              <w:rPr>
                <w:sz w:val="20"/>
              </w:rPr>
            </w:pPr>
            <w:r>
              <w:rPr>
                <w:sz w:val="20"/>
              </w:rPr>
              <w:t>811</w:t>
            </w:r>
          </w:p>
        </w:tc>
        <w:tc>
          <w:tcPr>
            <w:tcW w:w="993" w:type="dxa"/>
            <w:tcBorders>
              <w:top w:val="single" w:sz="12" w:space="0" w:color="auto"/>
              <w:bottom w:val="nil"/>
            </w:tcBorders>
          </w:tcPr>
          <w:p>
            <w:pPr>
              <w:pStyle w:val="yTableNAm"/>
              <w:rPr>
                <w:sz w:val="20"/>
              </w:rPr>
            </w:pPr>
            <w:r>
              <w:rPr>
                <w:sz w:val="20"/>
              </w:rPr>
              <w:t>$80</w:t>
            </w:r>
          </w:p>
        </w:tc>
        <w:tc>
          <w:tcPr>
            <w:tcW w:w="959" w:type="dxa"/>
            <w:tcBorders>
              <w:top w:val="single" w:sz="12" w:space="0" w:color="auto"/>
              <w:bottom w:val="nil"/>
              <w:right w:val="single" w:sz="12" w:space="0" w:color="auto"/>
            </w:tcBorders>
          </w:tcPr>
          <w:p>
            <w:pPr>
              <w:pStyle w:val="yTableNAm"/>
              <w:rPr>
                <w:sz w:val="20"/>
              </w:rPr>
            </w:pPr>
            <w:r>
              <w:rPr>
                <w:sz w:val="20"/>
              </w:rPr>
              <w:t>$160</w:t>
            </w:r>
          </w:p>
        </w:tc>
      </w:tr>
      <w:tr>
        <w:tc>
          <w:tcPr>
            <w:tcW w:w="2496" w:type="dxa"/>
            <w:tcBorders>
              <w:top w:val="single" w:sz="4" w:space="0" w:color="auto"/>
              <w:left w:val="single" w:sz="12" w:space="0" w:color="auto"/>
              <w:bottom w:val="single" w:sz="18" w:space="0" w:color="auto"/>
            </w:tcBorders>
          </w:tcPr>
          <w:p>
            <w:pPr>
              <w:pStyle w:val="yTableNAm"/>
              <w:rPr>
                <w:sz w:val="20"/>
              </w:rPr>
            </w:pPr>
            <w:r>
              <w:rPr>
                <w:sz w:val="20"/>
              </w:rPr>
              <w:t>Any order – 6</w:t>
            </w:r>
            <w:r>
              <w:rPr>
                <w:sz w:val="20"/>
              </w:rPr>
              <w:noBreakHyphen/>
              <w:t>way (Playing 3 different digits)</w:t>
            </w:r>
          </w:p>
          <w:p>
            <w:pPr>
              <w:pStyle w:val="yTableNAm"/>
              <w:rPr>
                <w:i/>
                <w:sz w:val="20"/>
              </w:rPr>
            </w:pPr>
            <w:bookmarkStart w:id="629" w:name="RuleErr_11"/>
            <w:r>
              <w:rPr>
                <w:i/>
                <w:sz w:val="20"/>
              </w:rPr>
              <w:t>Odds 1 in 166.67</w:t>
            </w:r>
            <w:bookmarkEnd w:id="629"/>
          </w:p>
        </w:tc>
        <w:tc>
          <w:tcPr>
            <w:tcW w:w="709" w:type="dxa"/>
            <w:tcBorders>
              <w:top w:val="single" w:sz="4" w:space="0" w:color="auto"/>
              <w:bottom w:val="single" w:sz="18" w:space="0" w:color="auto"/>
            </w:tcBorders>
          </w:tcPr>
          <w:p>
            <w:pPr>
              <w:pStyle w:val="yTableNAm"/>
              <w:jc w:val="center"/>
              <w:rPr>
                <w:sz w:val="20"/>
              </w:rPr>
            </w:pPr>
            <w:r>
              <w:rPr>
                <w:sz w:val="20"/>
              </w:rPr>
              <w:br/>
              <w:t>158</w:t>
            </w:r>
          </w:p>
        </w:tc>
        <w:tc>
          <w:tcPr>
            <w:tcW w:w="1842" w:type="dxa"/>
            <w:tcBorders>
              <w:top w:val="single" w:sz="4" w:space="0" w:color="auto"/>
              <w:bottom w:val="single" w:sz="18" w:space="0" w:color="auto"/>
            </w:tcBorders>
          </w:tcPr>
          <w:p>
            <w:pPr>
              <w:pStyle w:val="yTableNAm"/>
              <w:jc w:val="center"/>
              <w:rPr>
                <w:sz w:val="20"/>
              </w:rPr>
            </w:pPr>
            <w:r>
              <w:rPr>
                <w:sz w:val="20"/>
              </w:rPr>
              <w:t>158</w:t>
            </w:r>
            <w:r>
              <w:rPr>
                <w:sz w:val="20"/>
              </w:rPr>
              <w:tab/>
              <w:t>185</w:t>
            </w:r>
          </w:p>
          <w:p>
            <w:pPr>
              <w:pStyle w:val="yTableNAm"/>
              <w:jc w:val="center"/>
              <w:rPr>
                <w:sz w:val="20"/>
              </w:rPr>
            </w:pPr>
            <w:r>
              <w:rPr>
                <w:sz w:val="20"/>
              </w:rPr>
              <w:t>518</w:t>
            </w:r>
            <w:r>
              <w:rPr>
                <w:sz w:val="20"/>
              </w:rPr>
              <w:tab/>
              <w:t>581</w:t>
            </w:r>
          </w:p>
          <w:p>
            <w:pPr>
              <w:pStyle w:val="yTableNAm"/>
              <w:jc w:val="center"/>
              <w:rPr>
                <w:sz w:val="20"/>
              </w:rPr>
            </w:pPr>
            <w:r>
              <w:rPr>
                <w:sz w:val="20"/>
              </w:rPr>
              <w:t>815</w:t>
            </w:r>
            <w:r>
              <w:rPr>
                <w:sz w:val="20"/>
              </w:rPr>
              <w:tab/>
              <w:t>851</w:t>
            </w:r>
          </w:p>
        </w:tc>
        <w:tc>
          <w:tcPr>
            <w:tcW w:w="993" w:type="dxa"/>
            <w:tcBorders>
              <w:top w:val="single" w:sz="4" w:space="0" w:color="auto"/>
              <w:bottom w:val="single" w:sz="18" w:space="0" w:color="auto"/>
            </w:tcBorders>
          </w:tcPr>
          <w:p>
            <w:pPr>
              <w:pStyle w:val="yTableNAm"/>
              <w:rPr>
                <w:sz w:val="20"/>
              </w:rPr>
            </w:pPr>
            <w:r>
              <w:rPr>
                <w:sz w:val="20"/>
              </w:rPr>
              <w:t>$40</w:t>
            </w:r>
          </w:p>
        </w:tc>
        <w:tc>
          <w:tcPr>
            <w:tcW w:w="959" w:type="dxa"/>
            <w:tcBorders>
              <w:top w:val="single" w:sz="4" w:space="0" w:color="auto"/>
              <w:bottom w:val="single" w:sz="18" w:space="0" w:color="auto"/>
              <w:right w:val="single" w:sz="12" w:space="0" w:color="auto"/>
            </w:tcBorders>
          </w:tcPr>
          <w:p>
            <w:pPr>
              <w:pStyle w:val="yTableNAm"/>
              <w:rPr>
                <w:sz w:val="20"/>
              </w:rPr>
            </w:pPr>
            <w:r>
              <w:rPr>
                <w:sz w:val="20"/>
              </w:rPr>
              <w:t>$80</w:t>
            </w:r>
          </w:p>
        </w:tc>
      </w:tr>
    </w:tbl>
    <w:p>
      <w:pPr>
        <w:pStyle w:val="yMiscellaneousBody"/>
        <w:spacing w:before="0"/>
      </w:pPr>
    </w:p>
    <w:tbl>
      <w:tblPr>
        <w:tblW w:w="0" w:type="auto"/>
        <w:tblInd w:w="1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468"/>
        <w:gridCol w:w="709"/>
        <w:gridCol w:w="1842"/>
        <w:gridCol w:w="993"/>
        <w:gridCol w:w="959"/>
      </w:tblGrid>
      <w:tr>
        <w:trPr>
          <w:tblHeader/>
        </w:trPr>
        <w:tc>
          <w:tcPr>
            <w:tcW w:w="2468" w:type="dxa"/>
            <w:tcBorders>
              <w:top w:val="single" w:sz="18" w:space="0" w:color="auto"/>
              <w:left w:val="single" w:sz="18" w:space="0" w:color="auto"/>
              <w:bottom w:val="single" w:sz="18" w:space="0" w:color="auto"/>
            </w:tcBorders>
            <w:shd w:val="pct15" w:color="auto" w:fill="auto"/>
          </w:tcPr>
          <w:p>
            <w:pPr>
              <w:pStyle w:val="yTableNAm"/>
              <w:rPr>
                <w:b/>
                <w:sz w:val="18"/>
                <w:szCs w:val="18"/>
              </w:rPr>
            </w:pPr>
            <w:r>
              <w:rPr>
                <w:b/>
                <w:sz w:val="18"/>
                <w:szCs w:val="18"/>
              </w:rPr>
              <w:br w:type="page"/>
            </w:r>
            <w:r>
              <w:rPr>
                <w:b/>
                <w:sz w:val="18"/>
                <w:szCs w:val="18"/>
              </w:rPr>
              <w:br w:type="page"/>
              <w:t>Description of possible 3 Digit combination play types/Odds</w:t>
            </w:r>
          </w:p>
        </w:tc>
        <w:tc>
          <w:tcPr>
            <w:tcW w:w="709" w:type="dxa"/>
            <w:tcBorders>
              <w:top w:val="single" w:sz="18" w:space="0" w:color="auto"/>
              <w:bottom w:val="single" w:sz="18" w:space="0" w:color="auto"/>
            </w:tcBorders>
            <w:shd w:val="pct15" w:color="auto" w:fill="auto"/>
          </w:tcPr>
          <w:p>
            <w:pPr>
              <w:pStyle w:val="yTableNAm"/>
              <w:rPr>
                <w:b/>
                <w:sz w:val="18"/>
                <w:szCs w:val="18"/>
              </w:rPr>
            </w:pPr>
            <w:r>
              <w:rPr>
                <w:b/>
                <w:sz w:val="18"/>
                <w:szCs w:val="18"/>
              </w:rPr>
              <w:t xml:space="preserve">If you pick </w:t>
            </w:r>
            <w:bookmarkStart w:id="630" w:name="RuleErr_12"/>
            <w:r>
              <w:rPr>
                <w:b/>
                <w:i/>
                <w:sz w:val="18"/>
                <w:szCs w:val="18"/>
              </w:rPr>
              <w:t>(e.g.)</w:t>
            </w:r>
            <w:bookmarkEnd w:id="630"/>
          </w:p>
        </w:tc>
        <w:tc>
          <w:tcPr>
            <w:tcW w:w="1842" w:type="dxa"/>
            <w:tcBorders>
              <w:top w:val="single" w:sz="18" w:space="0" w:color="auto"/>
              <w:bottom w:val="single" w:sz="18" w:space="0" w:color="auto"/>
            </w:tcBorders>
            <w:shd w:val="pct15" w:color="auto" w:fill="auto"/>
          </w:tcPr>
          <w:p>
            <w:pPr>
              <w:pStyle w:val="yTableNAm"/>
              <w:rPr>
                <w:b/>
                <w:sz w:val="18"/>
                <w:szCs w:val="18"/>
              </w:rPr>
            </w:pPr>
            <w:r>
              <w:rPr>
                <w:b/>
                <w:sz w:val="18"/>
                <w:szCs w:val="18"/>
              </w:rPr>
              <w:t xml:space="preserve">You win if any of these combinations are drawn </w:t>
            </w:r>
            <w:bookmarkStart w:id="631" w:name="RuleErr_13"/>
            <w:r>
              <w:rPr>
                <w:b/>
                <w:i/>
                <w:sz w:val="18"/>
                <w:szCs w:val="18"/>
              </w:rPr>
              <w:t>(e.g.)</w:t>
            </w:r>
            <w:bookmarkEnd w:id="631"/>
          </w:p>
        </w:tc>
        <w:tc>
          <w:tcPr>
            <w:tcW w:w="993" w:type="dxa"/>
            <w:tcBorders>
              <w:top w:val="single" w:sz="18" w:space="0" w:color="auto"/>
              <w:bottom w:val="single" w:sz="18" w:space="0" w:color="auto"/>
            </w:tcBorders>
            <w:shd w:val="pct15" w:color="auto" w:fill="auto"/>
          </w:tcPr>
          <w:p>
            <w:pPr>
              <w:pStyle w:val="yTableNAm"/>
              <w:rPr>
                <w:b/>
                <w:sz w:val="18"/>
                <w:szCs w:val="18"/>
              </w:rPr>
            </w:pPr>
            <w:r>
              <w:rPr>
                <w:b/>
                <w:sz w:val="18"/>
                <w:szCs w:val="18"/>
              </w:rPr>
              <w:t>Payout For a</w:t>
            </w:r>
            <w:r>
              <w:rPr>
                <w:b/>
                <w:sz w:val="18"/>
                <w:szCs w:val="18"/>
              </w:rPr>
              <w:br/>
              <w:t>50 cent wager on each</w:t>
            </w:r>
          </w:p>
        </w:tc>
        <w:tc>
          <w:tcPr>
            <w:tcW w:w="959" w:type="dxa"/>
            <w:tcBorders>
              <w:top w:val="single" w:sz="18" w:space="0" w:color="auto"/>
              <w:bottom w:val="single" w:sz="18" w:space="0" w:color="auto"/>
              <w:right w:val="single" w:sz="18" w:space="0" w:color="auto"/>
            </w:tcBorders>
            <w:shd w:val="pct15" w:color="auto" w:fill="auto"/>
          </w:tcPr>
          <w:p>
            <w:pPr>
              <w:pStyle w:val="yTableNAm"/>
              <w:rPr>
                <w:b/>
                <w:sz w:val="18"/>
                <w:szCs w:val="18"/>
              </w:rPr>
            </w:pPr>
            <w:r>
              <w:rPr>
                <w:b/>
                <w:sz w:val="18"/>
                <w:szCs w:val="18"/>
              </w:rPr>
              <w:t>Payout For a $1.00 wager on each</w:t>
            </w:r>
          </w:p>
        </w:tc>
      </w:tr>
      <w:tr>
        <w:trPr>
          <w:cantSplit/>
          <w:trHeight w:val="218"/>
        </w:trPr>
        <w:tc>
          <w:tcPr>
            <w:tcW w:w="2468" w:type="dxa"/>
            <w:vMerge w:val="restart"/>
            <w:tcBorders>
              <w:top w:val="nil"/>
              <w:left w:val="single" w:sz="12" w:space="0" w:color="auto"/>
            </w:tcBorders>
          </w:tcPr>
          <w:p>
            <w:pPr>
              <w:pStyle w:val="yTableNAm"/>
              <w:rPr>
                <w:sz w:val="20"/>
              </w:rPr>
            </w:pPr>
            <w:r>
              <w:rPr>
                <w:sz w:val="20"/>
                <w:u w:val="single"/>
              </w:rPr>
              <w:t>Both</w:t>
            </w:r>
            <w:r>
              <w:rPr>
                <w:sz w:val="20"/>
              </w:rPr>
              <w:t xml:space="preserve"> an Exact order and an Any order – 3</w:t>
            </w:r>
            <w:r>
              <w:rPr>
                <w:sz w:val="20"/>
              </w:rPr>
              <w:noBreakHyphen/>
              <w:t>way (Playing 2 like digits)</w:t>
            </w:r>
          </w:p>
          <w:p>
            <w:pPr>
              <w:pStyle w:val="yTableNAm"/>
              <w:rPr>
                <w:i/>
                <w:sz w:val="20"/>
              </w:rPr>
            </w:pPr>
            <w:bookmarkStart w:id="632" w:name="RuleErr_14"/>
            <w:r>
              <w:rPr>
                <w:i/>
                <w:sz w:val="20"/>
              </w:rPr>
              <w:t>Odds 1 in 333.33</w:t>
            </w:r>
            <w:bookmarkEnd w:id="632"/>
          </w:p>
        </w:tc>
        <w:tc>
          <w:tcPr>
            <w:tcW w:w="709" w:type="dxa"/>
            <w:vMerge w:val="restart"/>
            <w:tcBorders>
              <w:top w:val="nil"/>
            </w:tcBorders>
          </w:tcPr>
          <w:p>
            <w:pPr>
              <w:pStyle w:val="yTableNAm"/>
              <w:jc w:val="center"/>
              <w:rPr>
                <w:sz w:val="20"/>
              </w:rPr>
            </w:pPr>
            <w:r>
              <w:rPr>
                <w:sz w:val="20"/>
              </w:rPr>
              <w:br/>
            </w:r>
            <w:r>
              <w:rPr>
                <w:sz w:val="20"/>
              </w:rPr>
              <w:br/>
              <w:t>797</w:t>
            </w:r>
          </w:p>
        </w:tc>
        <w:tc>
          <w:tcPr>
            <w:tcW w:w="1842" w:type="dxa"/>
            <w:tcBorders>
              <w:top w:val="nil"/>
            </w:tcBorders>
          </w:tcPr>
          <w:p>
            <w:pPr>
              <w:pStyle w:val="yTableNAm"/>
              <w:jc w:val="center"/>
              <w:rPr>
                <w:sz w:val="20"/>
              </w:rPr>
            </w:pPr>
            <w:r>
              <w:rPr>
                <w:sz w:val="20"/>
              </w:rPr>
              <w:t>797</w:t>
            </w:r>
          </w:p>
        </w:tc>
        <w:tc>
          <w:tcPr>
            <w:tcW w:w="993" w:type="dxa"/>
            <w:tcBorders>
              <w:top w:val="nil"/>
            </w:tcBorders>
          </w:tcPr>
          <w:p>
            <w:pPr>
              <w:pStyle w:val="yTableNAm"/>
              <w:rPr>
                <w:sz w:val="20"/>
              </w:rPr>
            </w:pPr>
            <w:r>
              <w:rPr>
                <w:sz w:val="20"/>
              </w:rPr>
              <w:t>$250 + $80 = $330</w:t>
            </w:r>
          </w:p>
        </w:tc>
        <w:tc>
          <w:tcPr>
            <w:tcW w:w="959" w:type="dxa"/>
            <w:tcBorders>
              <w:top w:val="nil"/>
              <w:right w:val="single" w:sz="12" w:space="0" w:color="auto"/>
            </w:tcBorders>
          </w:tcPr>
          <w:p>
            <w:pPr>
              <w:pStyle w:val="yTableNAm"/>
              <w:rPr>
                <w:sz w:val="20"/>
              </w:rPr>
            </w:pPr>
            <w:r>
              <w:rPr>
                <w:sz w:val="20"/>
              </w:rPr>
              <w:t>$500 + $160 = $660</w:t>
            </w:r>
          </w:p>
        </w:tc>
      </w:tr>
      <w:tr>
        <w:trPr>
          <w:cantSplit/>
          <w:trHeight w:val="217"/>
        </w:trPr>
        <w:tc>
          <w:tcPr>
            <w:tcW w:w="2468" w:type="dxa"/>
            <w:vMerge/>
            <w:tcBorders>
              <w:left w:val="single" w:sz="12" w:space="0" w:color="auto"/>
              <w:bottom w:val="nil"/>
            </w:tcBorders>
          </w:tcPr>
          <w:p>
            <w:pPr>
              <w:pStyle w:val="yTableNAm"/>
              <w:rPr>
                <w:sz w:val="20"/>
              </w:rPr>
            </w:pPr>
          </w:p>
        </w:tc>
        <w:tc>
          <w:tcPr>
            <w:tcW w:w="709" w:type="dxa"/>
            <w:vMerge/>
            <w:tcBorders>
              <w:bottom w:val="nil"/>
            </w:tcBorders>
          </w:tcPr>
          <w:p>
            <w:pPr>
              <w:pStyle w:val="yTableNAm"/>
              <w:jc w:val="center"/>
              <w:rPr>
                <w:sz w:val="20"/>
              </w:rPr>
            </w:pPr>
          </w:p>
        </w:tc>
        <w:tc>
          <w:tcPr>
            <w:tcW w:w="1842" w:type="dxa"/>
            <w:tcBorders>
              <w:bottom w:val="nil"/>
            </w:tcBorders>
          </w:tcPr>
          <w:p>
            <w:pPr>
              <w:pStyle w:val="yTableNAm"/>
              <w:jc w:val="center"/>
              <w:rPr>
                <w:sz w:val="20"/>
              </w:rPr>
            </w:pPr>
            <w:r>
              <w:rPr>
                <w:sz w:val="20"/>
              </w:rPr>
              <w:t>977</w:t>
            </w:r>
            <w:r>
              <w:rPr>
                <w:sz w:val="20"/>
              </w:rPr>
              <w:tab/>
              <w:t>779</w:t>
            </w:r>
          </w:p>
        </w:tc>
        <w:tc>
          <w:tcPr>
            <w:tcW w:w="993" w:type="dxa"/>
            <w:tcBorders>
              <w:bottom w:val="nil"/>
            </w:tcBorders>
          </w:tcPr>
          <w:p>
            <w:pPr>
              <w:pStyle w:val="yTableNAm"/>
              <w:rPr>
                <w:sz w:val="20"/>
              </w:rPr>
            </w:pPr>
            <w:r>
              <w:rPr>
                <w:sz w:val="20"/>
              </w:rPr>
              <w:t>$80</w:t>
            </w:r>
          </w:p>
        </w:tc>
        <w:tc>
          <w:tcPr>
            <w:tcW w:w="959" w:type="dxa"/>
            <w:tcBorders>
              <w:bottom w:val="nil"/>
              <w:right w:val="single" w:sz="12" w:space="0" w:color="auto"/>
            </w:tcBorders>
          </w:tcPr>
          <w:p>
            <w:pPr>
              <w:pStyle w:val="yTableNAm"/>
              <w:rPr>
                <w:sz w:val="20"/>
              </w:rPr>
            </w:pPr>
            <w:r>
              <w:rPr>
                <w:sz w:val="20"/>
              </w:rPr>
              <w:t>$160</w:t>
            </w:r>
          </w:p>
        </w:tc>
      </w:tr>
      <w:tr>
        <w:trPr>
          <w:cantSplit/>
          <w:trHeight w:val="218"/>
        </w:trPr>
        <w:tc>
          <w:tcPr>
            <w:tcW w:w="2468" w:type="dxa"/>
            <w:vMerge w:val="restart"/>
            <w:tcBorders>
              <w:top w:val="single" w:sz="4" w:space="0" w:color="auto"/>
              <w:left w:val="single" w:sz="12" w:space="0" w:color="auto"/>
            </w:tcBorders>
          </w:tcPr>
          <w:p>
            <w:pPr>
              <w:pStyle w:val="yTableNAm"/>
              <w:rPr>
                <w:sz w:val="20"/>
              </w:rPr>
            </w:pPr>
            <w:r>
              <w:rPr>
                <w:sz w:val="20"/>
                <w:u w:val="single"/>
              </w:rPr>
              <w:t>Both</w:t>
            </w:r>
            <w:r>
              <w:rPr>
                <w:sz w:val="20"/>
              </w:rPr>
              <w:t xml:space="preserve"> an Exact order and an Any order – 6</w:t>
            </w:r>
            <w:r>
              <w:rPr>
                <w:sz w:val="20"/>
              </w:rPr>
              <w:noBreakHyphen/>
              <w:t>way (Playing 3 different digits)</w:t>
            </w:r>
          </w:p>
          <w:p>
            <w:pPr>
              <w:pStyle w:val="yTableNAm"/>
              <w:rPr>
                <w:i/>
                <w:sz w:val="20"/>
              </w:rPr>
            </w:pPr>
            <w:bookmarkStart w:id="633" w:name="RuleErr_15"/>
            <w:r>
              <w:rPr>
                <w:i/>
                <w:sz w:val="20"/>
              </w:rPr>
              <w:t>Odds 1 in 166.67</w:t>
            </w:r>
            <w:bookmarkEnd w:id="633"/>
          </w:p>
        </w:tc>
        <w:tc>
          <w:tcPr>
            <w:tcW w:w="709" w:type="dxa"/>
            <w:vMerge w:val="restart"/>
            <w:tcBorders>
              <w:top w:val="single" w:sz="4" w:space="0" w:color="auto"/>
            </w:tcBorders>
          </w:tcPr>
          <w:p>
            <w:pPr>
              <w:pStyle w:val="yTableNAm"/>
              <w:jc w:val="center"/>
              <w:rPr>
                <w:sz w:val="20"/>
              </w:rPr>
            </w:pPr>
            <w:r>
              <w:rPr>
                <w:sz w:val="20"/>
              </w:rPr>
              <w:br/>
            </w:r>
            <w:r>
              <w:rPr>
                <w:sz w:val="20"/>
              </w:rPr>
              <w:br/>
              <w:t>654</w:t>
            </w:r>
          </w:p>
        </w:tc>
        <w:tc>
          <w:tcPr>
            <w:tcW w:w="1842" w:type="dxa"/>
            <w:tcBorders>
              <w:top w:val="single" w:sz="4" w:space="0" w:color="auto"/>
            </w:tcBorders>
          </w:tcPr>
          <w:p>
            <w:pPr>
              <w:pStyle w:val="yTableNAm"/>
              <w:jc w:val="center"/>
              <w:rPr>
                <w:sz w:val="20"/>
              </w:rPr>
            </w:pPr>
            <w:r>
              <w:rPr>
                <w:sz w:val="20"/>
              </w:rPr>
              <w:t>654</w:t>
            </w:r>
          </w:p>
        </w:tc>
        <w:tc>
          <w:tcPr>
            <w:tcW w:w="993" w:type="dxa"/>
            <w:tcBorders>
              <w:top w:val="single" w:sz="4" w:space="0" w:color="auto"/>
            </w:tcBorders>
          </w:tcPr>
          <w:p>
            <w:pPr>
              <w:pStyle w:val="yTableNAm"/>
              <w:rPr>
                <w:sz w:val="20"/>
              </w:rPr>
            </w:pPr>
            <w:r>
              <w:rPr>
                <w:sz w:val="20"/>
              </w:rPr>
              <w:t>$250 + $40 = $290</w:t>
            </w:r>
          </w:p>
        </w:tc>
        <w:tc>
          <w:tcPr>
            <w:tcW w:w="959" w:type="dxa"/>
            <w:tcBorders>
              <w:top w:val="single" w:sz="4" w:space="0" w:color="auto"/>
              <w:right w:val="single" w:sz="12" w:space="0" w:color="auto"/>
            </w:tcBorders>
          </w:tcPr>
          <w:p>
            <w:pPr>
              <w:pStyle w:val="yTableNAm"/>
              <w:rPr>
                <w:sz w:val="20"/>
              </w:rPr>
            </w:pPr>
            <w:r>
              <w:rPr>
                <w:sz w:val="20"/>
              </w:rPr>
              <w:t>$500 + $80 = $580</w:t>
            </w:r>
          </w:p>
        </w:tc>
      </w:tr>
      <w:tr>
        <w:trPr>
          <w:cantSplit/>
          <w:trHeight w:val="217"/>
        </w:trPr>
        <w:tc>
          <w:tcPr>
            <w:tcW w:w="2468" w:type="dxa"/>
            <w:vMerge/>
            <w:tcBorders>
              <w:left w:val="single" w:sz="12" w:space="0" w:color="auto"/>
              <w:bottom w:val="single" w:sz="12" w:space="0" w:color="auto"/>
            </w:tcBorders>
          </w:tcPr>
          <w:p>
            <w:pPr>
              <w:pStyle w:val="yTableNAm"/>
              <w:rPr>
                <w:sz w:val="20"/>
              </w:rPr>
            </w:pPr>
          </w:p>
        </w:tc>
        <w:tc>
          <w:tcPr>
            <w:tcW w:w="709" w:type="dxa"/>
            <w:vMerge/>
            <w:tcBorders>
              <w:bottom w:val="single" w:sz="12" w:space="0" w:color="auto"/>
            </w:tcBorders>
          </w:tcPr>
          <w:p>
            <w:pPr>
              <w:pStyle w:val="yTableNAm"/>
              <w:jc w:val="center"/>
              <w:rPr>
                <w:sz w:val="20"/>
              </w:rPr>
            </w:pPr>
          </w:p>
        </w:tc>
        <w:tc>
          <w:tcPr>
            <w:tcW w:w="1842" w:type="dxa"/>
            <w:tcBorders>
              <w:bottom w:val="single" w:sz="12" w:space="0" w:color="auto"/>
            </w:tcBorders>
          </w:tcPr>
          <w:p>
            <w:pPr>
              <w:pStyle w:val="yTableNAm"/>
              <w:jc w:val="center"/>
              <w:rPr>
                <w:sz w:val="20"/>
              </w:rPr>
            </w:pPr>
            <w:r>
              <w:rPr>
                <w:sz w:val="20"/>
              </w:rPr>
              <w:t>645</w:t>
            </w:r>
            <w:r>
              <w:rPr>
                <w:sz w:val="20"/>
              </w:rPr>
              <w:tab/>
              <w:t>465</w:t>
            </w:r>
          </w:p>
          <w:p>
            <w:pPr>
              <w:pStyle w:val="yTableNAm"/>
              <w:jc w:val="center"/>
              <w:rPr>
                <w:sz w:val="20"/>
              </w:rPr>
            </w:pPr>
            <w:r>
              <w:rPr>
                <w:sz w:val="20"/>
              </w:rPr>
              <w:t>456</w:t>
            </w:r>
            <w:r>
              <w:rPr>
                <w:sz w:val="20"/>
              </w:rPr>
              <w:tab/>
              <w:t>564</w:t>
            </w:r>
          </w:p>
          <w:p>
            <w:pPr>
              <w:pStyle w:val="yTableNAm"/>
              <w:jc w:val="center"/>
              <w:rPr>
                <w:sz w:val="20"/>
              </w:rPr>
            </w:pPr>
            <w:r>
              <w:rPr>
                <w:sz w:val="20"/>
              </w:rPr>
              <w:t>546</w:t>
            </w:r>
          </w:p>
        </w:tc>
        <w:tc>
          <w:tcPr>
            <w:tcW w:w="993" w:type="dxa"/>
            <w:tcBorders>
              <w:bottom w:val="single" w:sz="12" w:space="0" w:color="auto"/>
            </w:tcBorders>
          </w:tcPr>
          <w:p>
            <w:pPr>
              <w:pStyle w:val="yTableNAm"/>
              <w:rPr>
                <w:sz w:val="20"/>
              </w:rPr>
            </w:pPr>
          </w:p>
          <w:p>
            <w:pPr>
              <w:pStyle w:val="yTableNAm"/>
              <w:rPr>
                <w:sz w:val="20"/>
              </w:rPr>
            </w:pPr>
            <w:r>
              <w:rPr>
                <w:sz w:val="20"/>
              </w:rPr>
              <w:t>$40</w:t>
            </w:r>
          </w:p>
        </w:tc>
        <w:tc>
          <w:tcPr>
            <w:tcW w:w="959" w:type="dxa"/>
            <w:tcBorders>
              <w:bottom w:val="single" w:sz="12" w:space="0" w:color="auto"/>
              <w:right w:val="single" w:sz="12" w:space="0" w:color="auto"/>
            </w:tcBorders>
          </w:tcPr>
          <w:p>
            <w:pPr>
              <w:pStyle w:val="yTableNAm"/>
              <w:rPr>
                <w:sz w:val="20"/>
              </w:rPr>
            </w:pPr>
          </w:p>
          <w:p>
            <w:pPr>
              <w:pStyle w:val="yTableNAm"/>
              <w:rPr>
                <w:sz w:val="20"/>
              </w:rPr>
            </w:pPr>
            <w:r>
              <w:rPr>
                <w:sz w:val="20"/>
              </w:rPr>
              <w:t>$80</w:t>
            </w:r>
          </w:p>
        </w:tc>
      </w:tr>
      <w:tr>
        <w:trPr>
          <w:cantSplit/>
          <w:trHeight w:val="217"/>
        </w:trPr>
        <w:tc>
          <w:tcPr>
            <w:tcW w:w="2468" w:type="dxa"/>
            <w:vMerge/>
            <w:tcBorders>
              <w:left w:val="single" w:sz="12" w:space="0" w:color="auto"/>
              <w:bottom w:val="single" w:sz="12" w:space="0" w:color="auto"/>
            </w:tcBorders>
          </w:tcPr>
          <w:p>
            <w:pPr>
              <w:pStyle w:val="yTableNAm"/>
              <w:rPr>
                <w:sz w:val="20"/>
              </w:rPr>
            </w:pPr>
          </w:p>
        </w:tc>
        <w:tc>
          <w:tcPr>
            <w:tcW w:w="709" w:type="dxa"/>
            <w:vMerge/>
            <w:tcBorders>
              <w:bottom w:val="single" w:sz="12" w:space="0" w:color="auto"/>
            </w:tcBorders>
          </w:tcPr>
          <w:p>
            <w:pPr>
              <w:pStyle w:val="yTableNAm"/>
              <w:jc w:val="center"/>
              <w:rPr>
                <w:sz w:val="20"/>
              </w:rPr>
            </w:pPr>
          </w:p>
        </w:tc>
        <w:tc>
          <w:tcPr>
            <w:tcW w:w="1842" w:type="dxa"/>
            <w:tcBorders>
              <w:bottom w:val="single" w:sz="12" w:space="0" w:color="auto"/>
            </w:tcBorders>
          </w:tcPr>
          <w:p>
            <w:pPr>
              <w:pStyle w:val="yTableNAm"/>
              <w:jc w:val="center"/>
              <w:rPr>
                <w:sz w:val="20"/>
              </w:rPr>
            </w:pPr>
            <w:r>
              <w:rPr>
                <w:sz w:val="20"/>
              </w:rPr>
              <w:t>645</w:t>
            </w:r>
            <w:r>
              <w:rPr>
                <w:sz w:val="20"/>
              </w:rPr>
              <w:tab/>
              <w:t>465</w:t>
            </w:r>
          </w:p>
          <w:p>
            <w:pPr>
              <w:pStyle w:val="yTableNAm"/>
              <w:jc w:val="center"/>
              <w:rPr>
                <w:sz w:val="20"/>
              </w:rPr>
            </w:pPr>
            <w:r>
              <w:rPr>
                <w:sz w:val="20"/>
              </w:rPr>
              <w:t>456</w:t>
            </w:r>
            <w:r>
              <w:rPr>
                <w:sz w:val="20"/>
              </w:rPr>
              <w:tab/>
              <w:t>564</w:t>
            </w:r>
          </w:p>
          <w:p>
            <w:pPr>
              <w:pStyle w:val="yTableNAm"/>
              <w:jc w:val="center"/>
              <w:rPr>
                <w:sz w:val="20"/>
              </w:rPr>
            </w:pPr>
            <w:r>
              <w:rPr>
                <w:sz w:val="20"/>
              </w:rPr>
              <w:t>546</w:t>
            </w:r>
          </w:p>
        </w:tc>
        <w:tc>
          <w:tcPr>
            <w:tcW w:w="993" w:type="dxa"/>
            <w:tcBorders>
              <w:bottom w:val="single" w:sz="12" w:space="0" w:color="auto"/>
            </w:tcBorders>
          </w:tcPr>
          <w:p>
            <w:pPr>
              <w:pStyle w:val="yTableNAm"/>
              <w:rPr>
                <w:sz w:val="20"/>
              </w:rPr>
            </w:pPr>
          </w:p>
          <w:p>
            <w:pPr>
              <w:pStyle w:val="yTableNAm"/>
              <w:rPr>
                <w:sz w:val="20"/>
              </w:rPr>
            </w:pPr>
            <w:r>
              <w:rPr>
                <w:sz w:val="20"/>
              </w:rPr>
              <w:t>$40</w:t>
            </w:r>
          </w:p>
        </w:tc>
        <w:tc>
          <w:tcPr>
            <w:tcW w:w="959" w:type="dxa"/>
            <w:tcBorders>
              <w:bottom w:val="single" w:sz="12" w:space="0" w:color="auto"/>
              <w:right w:val="single" w:sz="12" w:space="0" w:color="auto"/>
            </w:tcBorders>
          </w:tcPr>
          <w:p>
            <w:pPr>
              <w:pStyle w:val="yTableNAm"/>
              <w:rPr>
                <w:sz w:val="20"/>
              </w:rPr>
            </w:pPr>
          </w:p>
          <w:p>
            <w:pPr>
              <w:pStyle w:val="yTableNAm"/>
              <w:rPr>
                <w:sz w:val="20"/>
              </w:rPr>
            </w:pPr>
            <w:r>
              <w:rPr>
                <w:sz w:val="20"/>
              </w:rPr>
              <w:t>$80</w:t>
            </w:r>
          </w:p>
        </w:tc>
      </w:tr>
    </w:tbl>
    <w:p>
      <w:pPr>
        <w:pStyle w:val="yMiscellaneousHeading"/>
        <w:jc w:val="left"/>
        <w:rPr>
          <w:b/>
        </w:rPr>
      </w:pPr>
      <w:r>
        <w:rPr>
          <w:b/>
        </w:rPr>
        <w:t>Wager Amounts (per day entered)</w:t>
      </w:r>
    </w:p>
    <w:p>
      <w:pPr>
        <w:pStyle w:val="yMiscellaneousBody"/>
        <w:spacing w:before="120"/>
      </w:pPr>
      <w:r>
        <w:t>50 cent wagers or $1.00 wagers can be made on an “Exact order” play type.</w:t>
      </w:r>
    </w:p>
    <w:p>
      <w:pPr>
        <w:pStyle w:val="yMiscellaneousBody"/>
        <w:spacing w:before="120"/>
      </w:pPr>
      <w:r>
        <w:t>50 cent wagers or $1.00 wagers can be made on an “Any order” play type.</w:t>
      </w:r>
    </w:p>
    <w:p>
      <w:pPr>
        <w:pStyle w:val="yMiscellaneousBody"/>
        <w:spacing w:before="120"/>
      </w:pPr>
      <w:r>
        <w:t>If a combination of an “Exact order” play type and an “Any order” play type is selected, then each play type may have either a 50 cent wager on it, or a $1.00 wager on it (</w:t>
      </w:r>
      <w:bookmarkStart w:id="634" w:name="RuleErr_16"/>
      <w:r>
        <w:rPr>
          <w:i/>
        </w:rPr>
        <w:t>a combination of the play types must therefore be accompanied by either a $1.00 or a $2.00 total wager per day entered</w:t>
      </w:r>
      <w:bookmarkEnd w:id="634"/>
      <w:r>
        <w:t>).</w:t>
      </w:r>
    </w:p>
    <w:p>
      <w:pPr>
        <w:pStyle w:val="yScheduleHeading"/>
      </w:pPr>
      <w:bookmarkStart w:id="635" w:name="_Toc34139625"/>
      <w:bookmarkStart w:id="636" w:name="_Toc34139837"/>
      <w:bookmarkStart w:id="637" w:name="_Toc34148014"/>
      <w:bookmarkStart w:id="638" w:name="_Toc34207567"/>
      <w:bookmarkStart w:id="639" w:name="_Toc34291562"/>
      <w:bookmarkStart w:id="640" w:name="_Toc25657470"/>
      <w:bookmarkStart w:id="641" w:name="_Toc25760936"/>
      <w:bookmarkStart w:id="642" w:name="_Toc25761265"/>
      <w:r>
        <w:rPr>
          <w:rStyle w:val="CharSchNo"/>
        </w:rPr>
        <w:t>Schedule 2</w:t>
      </w:r>
      <w:r>
        <w:t> — </w:t>
      </w:r>
      <w:r>
        <w:rPr>
          <w:rStyle w:val="CharSchText"/>
        </w:rPr>
        <w:t>Syndicate cost parameters</w:t>
      </w:r>
      <w:bookmarkEnd w:id="635"/>
      <w:bookmarkEnd w:id="636"/>
      <w:bookmarkEnd w:id="637"/>
      <w:bookmarkEnd w:id="638"/>
      <w:bookmarkEnd w:id="639"/>
      <w:bookmarkEnd w:id="640"/>
      <w:bookmarkEnd w:id="641"/>
      <w:bookmarkEnd w:id="642"/>
    </w:p>
    <w:p>
      <w:pPr>
        <w:pStyle w:val="yShoulderClause"/>
      </w:pPr>
      <w:r>
        <w:t>[r. 27 and 29]</w:t>
      </w:r>
    </w:p>
    <w:p>
      <w:pPr>
        <w:pStyle w:val="yMiscellaneousBody"/>
      </w:pPr>
      <w:r>
        <w:t>The minimum cost of entry for a syndicate master ticket is $25.</w:t>
      </w:r>
    </w:p>
    <w:p>
      <w:pPr>
        <w:pStyle w:val="yMiscellaneousBody"/>
      </w:pPr>
      <w:r>
        <w:t>The maximum cost of entry for a syndicate master ticket is $100 000.</w:t>
      </w:r>
    </w:p>
    <w:p>
      <w:pPr>
        <w:pStyle w:val="yMiscellaneousBody"/>
      </w:pPr>
      <w:r>
        <w:t>The minimum share cost for a syndicate is $5.</w:t>
      </w:r>
    </w:p>
    <w:p>
      <w:pPr>
        <w:pStyle w:val="yMiscellaneousBody"/>
      </w:pPr>
      <w:r>
        <w:t>The maximum share cost for a syndicate is $20 000.</w:t>
      </w:r>
    </w:p>
    <w:p>
      <w:pPr>
        <w:pStyle w:val="yMiscellaneousBody"/>
      </w:pPr>
      <w:r>
        <w:t>The aggregate cost of a syndicate entry for more than one system entry of the same system type on the one playslip cannot exceed $100 000.</w:t>
      </w:r>
    </w:p>
    <w:p>
      <w:pPr>
        <w:pStyle w:val="yScheduleHeading"/>
      </w:pPr>
      <w:bookmarkStart w:id="643" w:name="_Toc34139626"/>
      <w:bookmarkStart w:id="644" w:name="_Toc34139838"/>
      <w:bookmarkStart w:id="645" w:name="_Toc34148015"/>
      <w:bookmarkStart w:id="646" w:name="_Toc34207568"/>
      <w:bookmarkStart w:id="647" w:name="_Toc34291563"/>
      <w:bookmarkStart w:id="648" w:name="_Toc25657471"/>
      <w:bookmarkStart w:id="649" w:name="_Toc25760937"/>
      <w:bookmarkStart w:id="650" w:name="_Toc25761266"/>
      <w:r>
        <w:rPr>
          <w:rStyle w:val="CharSchNo"/>
        </w:rPr>
        <w:t>Schedule 3</w:t>
      </w:r>
      <w:r>
        <w:t> — </w:t>
      </w:r>
      <w:r>
        <w:rPr>
          <w:rStyle w:val="CharSchText"/>
        </w:rPr>
        <w:t>Monday and Wednesday Lotto</w:t>
      </w:r>
      <w:bookmarkEnd w:id="643"/>
      <w:bookmarkEnd w:id="644"/>
      <w:bookmarkEnd w:id="645"/>
      <w:bookmarkEnd w:id="646"/>
      <w:bookmarkEnd w:id="647"/>
      <w:bookmarkEnd w:id="648"/>
      <w:bookmarkEnd w:id="649"/>
      <w:bookmarkEnd w:id="650"/>
    </w:p>
    <w:p>
      <w:pPr>
        <w:pStyle w:val="yShoulderClause"/>
      </w:pPr>
      <w:r>
        <w:t>[r. 4]</w:t>
      </w:r>
    </w:p>
    <w:p>
      <w:pPr>
        <w:pStyle w:val="yHeading3"/>
      </w:pPr>
      <w:bookmarkStart w:id="651" w:name="_Toc34139627"/>
      <w:bookmarkStart w:id="652" w:name="_Toc34139839"/>
      <w:bookmarkStart w:id="653" w:name="_Toc34148016"/>
      <w:bookmarkStart w:id="654" w:name="_Toc34207569"/>
      <w:bookmarkStart w:id="655" w:name="_Toc34291564"/>
      <w:bookmarkStart w:id="656" w:name="_Toc25657472"/>
      <w:bookmarkStart w:id="657" w:name="_Toc25760938"/>
      <w:bookmarkStart w:id="658" w:name="_Toc25761267"/>
      <w:r>
        <w:rPr>
          <w:rStyle w:val="CharSDivNo"/>
        </w:rPr>
        <w:t>Division 1</w:t>
      </w:r>
      <w:r>
        <w:t> — </w:t>
      </w:r>
      <w:r>
        <w:rPr>
          <w:rStyle w:val="CharSDivText"/>
        </w:rPr>
        <w:t>Calculating the total cost of entry</w:t>
      </w:r>
      <w:bookmarkEnd w:id="651"/>
      <w:bookmarkEnd w:id="652"/>
      <w:bookmarkEnd w:id="653"/>
      <w:bookmarkEnd w:id="654"/>
      <w:bookmarkEnd w:id="655"/>
      <w:bookmarkEnd w:id="656"/>
      <w:bookmarkEnd w:id="657"/>
      <w:bookmarkEnd w:id="658"/>
    </w:p>
    <w:p>
      <w:pPr>
        <w:pStyle w:val="yFootnoteheading"/>
        <w:spacing w:after="60"/>
      </w:pPr>
      <w:r>
        <w:tab/>
        <w:t>[Heading amended: Gazette 4 Oct 2017 p. 5145.]</w:t>
      </w:r>
    </w:p>
    <w:p>
      <w:pPr>
        <w:pStyle w:val="yMiscellaneousBody"/>
      </w:pPr>
      <w:r>
        <w:t>The unit cost of entering a Monday Lotto or a Wednesday Lotto draw, is made up of a subscription of 55 cents per game and an agent’s component.</w:t>
      </w:r>
    </w:p>
    <w:p>
      <w:pPr>
        <w:pStyle w:val="yMiscellaneousBody"/>
        <w:rPr>
          <w:b/>
        </w:rPr>
      </w:pPr>
      <m:oMathPara>
        <m:oMathParaPr>
          <m:jc m:val="left"/>
        </m:oMathParaPr>
        <m:oMath>
          <m:d>
            <m:dPr>
              <m:ctrlPr>
                <w:rPr>
                  <w:rFonts w:ascii="Cambria Math" w:eastAsiaTheme="minorHAnsi" w:hAnsi="Cambria Math" w:cstheme="minorBidi"/>
                  <w:b/>
                  <w:szCs w:val="22"/>
                </w:rPr>
              </m:ctrlPr>
            </m:dPr>
            <m:e>
              <m:d>
                <m:dPr>
                  <m:ctrlPr>
                    <w:rPr>
                      <w:rFonts w:ascii="Cambria Math" w:eastAsiaTheme="minorHAnsi" w:hAnsi="Cambria Math" w:cstheme="minorBidi"/>
                      <w:b/>
                      <w:szCs w:val="22"/>
                    </w:rPr>
                  </m:ctrlPr>
                </m:dPr>
                <m:e>
                  <m:r>
                    <m:rPr>
                      <m:sty m:val="b"/>
                    </m:rPr>
                    <w:rPr>
                      <w:rFonts w:ascii="Cambria Math" w:hAnsi="Cambria Math"/>
                    </w:rPr>
                    <m:t>G</m:t>
                  </m:r>
                  <m:r>
                    <m:rPr>
                      <m:sty m:val="b"/>
                    </m:rPr>
                    <w:rPr>
                      <w:rFonts w:ascii="Cambria Math" w:hAnsi="Cambria Math" w:hint="eastAsia"/>
                    </w:rPr>
                    <m:t>×</m:t>
                  </m:r>
                  <m:r>
                    <m:rPr>
                      <m:sty m:val="b"/>
                    </m:rPr>
                    <w:rPr>
                      <w:rFonts w:ascii="Cambria Math" w:hAnsi="Cambria Math"/>
                    </w:rPr>
                    <m:t>$0.55</m:t>
                  </m:r>
                </m:e>
              </m:d>
              <m:r>
                <m:rPr>
                  <m:sty m:val="b"/>
                </m:rPr>
                <w:rPr>
                  <w:rFonts w:ascii="Cambria Math" w:hAnsi="Cambria Math" w:hint="eastAsia"/>
                </w:rPr>
                <m:t>×</m:t>
              </m:r>
              <m:r>
                <m:rPr>
                  <m:sty m:val="b"/>
                </m:rPr>
                <w:rPr>
                  <w:rFonts w:ascii="Cambria Math" w:hAnsi="Cambria Math"/>
                </w:rPr>
                <m:t xml:space="preserve"> </m:t>
              </m:r>
              <m:r>
                <m:rPr>
                  <m:sty m:val="b"/>
                </m:rPr>
                <w:rPr>
                  <w:rFonts w:ascii="Cambria Math" w:eastAsia="Calibri" w:hAnsi="Cambria Math"/>
                </w:rPr>
                <m:t>A</m:t>
              </m:r>
              <m:r>
                <m:rPr>
                  <m:sty m:val="b"/>
                </m:rPr>
                <w:rPr>
                  <w:rFonts w:ascii="Cambria Math" w:hAnsi="Cambria Math"/>
                </w:rPr>
                <m:t>→rounded</m:t>
              </m:r>
            </m:e>
          </m:d>
          <m:r>
            <m:rPr>
              <m:sty m:val="b"/>
            </m:rPr>
            <w:rPr>
              <w:rFonts w:ascii="Cambria Math" w:hAnsi="Cambria Math"/>
            </w:rPr>
            <m:t>×W=T</m:t>
          </m:r>
        </m:oMath>
      </m:oMathPara>
    </w:p>
    <w:p>
      <w:pPr>
        <w:pStyle w:val="yMiscellaneousBody"/>
        <w:rPr>
          <w:szCs w:val="22"/>
        </w:rPr>
      </w:pPr>
      <w:r>
        <w:rPr>
          <w:szCs w:val="22"/>
        </w:rPr>
        <w:t>where —</w:t>
      </w:r>
    </w:p>
    <w:p>
      <w:pPr>
        <w:pStyle w:val="yMiscellaneousBody"/>
        <w:tabs>
          <w:tab w:val="left" w:pos="567"/>
        </w:tabs>
        <w:spacing w:before="120"/>
      </w:pPr>
      <w:r>
        <w:t>G</w:t>
      </w:r>
      <w:r>
        <w:tab/>
        <w:t>No. of games entered in a draw;</w:t>
      </w:r>
    </w:p>
    <w:p>
      <w:pPr>
        <w:pStyle w:val="yMiscellaneousBody"/>
        <w:ind w:left="567" w:hanging="567"/>
      </w:pPr>
      <w:r>
        <w:t>A</w:t>
      </w:r>
      <w:r>
        <w:tab/>
        <w:t>Agent’s component of the total subscription amount for a particular week’s entry, rounded* (where necessary) to the nearest 5 cent multiple, being:</w:t>
      </w:r>
    </w:p>
    <w:p>
      <w:pPr>
        <w:pStyle w:val="yMiscellaneousBody"/>
        <w:ind w:left="2694" w:hanging="2127"/>
      </w:pPr>
      <w:r>
        <w:t>Monday Lotto:</w:t>
      </w:r>
      <w:r>
        <w:tab/>
        <w:t>0.1</w:t>
      </w:r>
    </w:p>
    <w:p>
      <w:pPr>
        <w:pStyle w:val="yMiscellaneousBody"/>
        <w:ind w:left="2694" w:hanging="2127"/>
      </w:pPr>
      <w:r>
        <w:t>Wednesday Lotto:</w:t>
      </w:r>
      <w:r>
        <w:tab/>
        <w:t>0.1</w:t>
      </w:r>
    </w:p>
    <w:p>
      <w:pPr>
        <w:pStyle w:val="yMiscellaneousBody"/>
        <w:tabs>
          <w:tab w:val="left" w:pos="567"/>
        </w:tabs>
        <w:spacing w:before="120"/>
      </w:pPr>
      <w:r>
        <w:t>W</w:t>
      </w:r>
      <w:r>
        <w:tab/>
        <w:t>No. of weeks the entry spans;</w:t>
      </w:r>
    </w:p>
    <w:p>
      <w:pPr>
        <w:pStyle w:val="yMiscellaneousBody"/>
        <w:tabs>
          <w:tab w:val="left" w:pos="567"/>
        </w:tabs>
        <w:spacing w:before="120"/>
      </w:pPr>
      <w:r>
        <w:t>T</w:t>
      </w:r>
      <w:r>
        <w:tab/>
        <w:t>Total agent’s component cost payable by the subscriber.</w:t>
      </w:r>
    </w:p>
    <w:p>
      <w:pPr>
        <w:pStyle w:val="yMiscellaneousBody"/>
        <w:ind w:left="142" w:hanging="142"/>
      </w:pPr>
      <w:r>
        <w:t>* Rounding is calculated using the method known as “bankers rounding” or “round</w:t>
      </w:r>
      <w:r>
        <w:noBreakHyphen/>
        <w:t>to</w:t>
      </w:r>
      <w:r>
        <w:noBreakHyphen/>
        <w:t>even” rounding.</w:t>
      </w:r>
    </w:p>
    <w:p>
      <w:pPr>
        <w:pStyle w:val="yFootnotesection"/>
      </w:pPr>
      <w:r>
        <w:tab/>
        <w:t>[Division 1 amended: Gazette 12 Nov 2019 p. 4019.]</w:t>
      </w:r>
    </w:p>
    <w:p>
      <w:pPr>
        <w:pStyle w:val="yHeading3"/>
        <w:spacing w:after="240"/>
      </w:pPr>
      <w:bookmarkStart w:id="659" w:name="_Toc34139628"/>
      <w:bookmarkStart w:id="660" w:name="_Toc34139840"/>
      <w:bookmarkStart w:id="661" w:name="_Toc34148017"/>
      <w:bookmarkStart w:id="662" w:name="_Toc34207570"/>
      <w:bookmarkStart w:id="663" w:name="_Toc34291565"/>
      <w:bookmarkStart w:id="664" w:name="_Toc25657473"/>
      <w:bookmarkStart w:id="665" w:name="_Toc25760939"/>
      <w:bookmarkStart w:id="666" w:name="_Toc25761268"/>
      <w:r>
        <w:rPr>
          <w:rStyle w:val="CharSDivNo"/>
        </w:rPr>
        <w:t>Division 2</w:t>
      </w:r>
      <w:r>
        <w:t> — </w:t>
      </w:r>
      <w:r>
        <w:rPr>
          <w:rStyle w:val="CharSDivText"/>
        </w:rPr>
        <w:t>System entries and game equivalents</w:t>
      </w:r>
      <w:bookmarkEnd w:id="659"/>
      <w:bookmarkEnd w:id="660"/>
      <w:bookmarkEnd w:id="661"/>
      <w:bookmarkEnd w:id="662"/>
      <w:bookmarkEnd w:id="663"/>
      <w:bookmarkEnd w:id="664"/>
      <w:bookmarkEnd w:id="665"/>
      <w:bookmarkEnd w:id="666"/>
    </w:p>
    <w:tbl>
      <w:tblPr>
        <w:tblW w:w="0" w:type="auto"/>
        <w:tblInd w:w="2013" w:type="dxa"/>
        <w:tblBorders>
          <w:top w:val="single" w:sz="4" w:space="0" w:color="auto"/>
          <w:left w:val="single" w:sz="4" w:space="0" w:color="auto"/>
          <w:bottom w:val="single" w:sz="4" w:space="0" w:color="auto"/>
          <w:right w:val="single" w:sz="4" w:space="0" w:color="auto"/>
        </w:tblBorders>
        <w:tblLayout w:type="fixed"/>
        <w:tblCellMar>
          <w:left w:w="28" w:type="dxa"/>
          <w:right w:w="28" w:type="dxa"/>
        </w:tblCellMar>
        <w:tblLook w:val="0000" w:firstRow="0" w:lastRow="0" w:firstColumn="0" w:lastColumn="0" w:noHBand="0" w:noVBand="0"/>
      </w:tblPr>
      <w:tblGrid>
        <w:gridCol w:w="1276"/>
        <w:gridCol w:w="1984"/>
      </w:tblGrid>
      <w:tr>
        <w:trPr>
          <w:tblHeader/>
        </w:trPr>
        <w:tc>
          <w:tcPr>
            <w:tcW w:w="3260" w:type="dxa"/>
            <w:gridSpan w:val="2"/>
            <w:tcBorders>
              <w:top w:val="single" w:sz="4" w:space="0" w:color="auto"/>
              <w:left w:val="single" w:sz="4" w:space="0" w:color="auto"/>
              <w:bottom w:val="single" w:sz="4" w:space="0" w:color="auto"/>
              <w:right w:val="single" w:sz="4" w:space="0" w:color="auto"/>
            </w:tcBorders>
          </w:tcPr>
          <w:p>
            <w:pPr>
              <w:pStyle w:val="yTableNAm"/>
              <w:jc w:val="center"/>
              <w:rPr>
                <w:b/>
              </w:rPr>
            </w:pPr>
            <w:r>
              <w:rPr>
                <w:b/>
              </w:rPr>
              <w:t>Monday and Wednesday Lotto</w:t>
            </w:r>
          </w:p>
        </w:tc>
      </w:tr>
      <w:tr>
        <w:trPr>
          <w:tblHeader/>
        </w:trPr>
        <w:tc>
          <w:tcPr>
            <w:tcW w:w="1276" w:type="dxa"/>
            <w:tcBorders>
              <w:top w:val="single" w:sz="4" w:space="0" w:color="auto"/>
              <w:left w:val="single" w:sz="4" w:space="0" w:color="auto"/>
              <w:bottom w:val="single" w:sz="4" w:space="0" w:color="auto"/>
              <w:right w:val="single" w:sz="4" w:space="0" w:color="auto"/>
            </w:tcBorders>
          </w:tcPr>
          <w:p>
            <w:pPr>
              <w:pStyle w:val="yTableNAm"/>
              <w:jc w:val="center"/>
              <w:rPr>
                <w:b/>
              </w:rPr>
            </w:pPr>
            <w:r>
              <w:rPr>
                <w:b/>
              </w:rPr>
              <w:t>System</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b/>
              </w:rPr>
            </w:pPr>
            <w:r>
              <w:rPr>
                <w:b/>
              </w:rPr>
              <w:t>No. of games per game board</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4</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820</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5</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40</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7</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7</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8</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28</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9</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84</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10</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210</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11</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462</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12</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924</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13</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1 716</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14</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3 003</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15</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5 005</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16</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8 008</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17</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12 376</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18</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18 564</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19</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27 132</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20</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38 760</w:t>
            </w:r>
          </w:p>
        </w:tc>
      </w:tr>
    </w:tbl>
    <w:p>
      <w:pPr>
        <w:pStyle w:val="yHeading3"/>
        <w:spacing w:after="240"/>
      </w:pPr>
      <w:bookmarkStart w:id="667" w:name="_Toc34139629"/>
      <w:bookmarkStart w:id="668" w:name="_Toc34139841"/>
      <w:bookmarkStart w:id="669" w:name="_Toc34148018"/>
      <w:bookmarkStart w:id="670" w:name="_Toc34207571"/>
      <w:bookmarkStart w:id="671" w:name="_Toc34291566"/>
      <w:bookmarkStart w:id="672" w:name="_Toc25657474"/>
      <w:bookmarkStart w:id="673" w:name="_Toc25760940"/>
      <w:bookmarkStart w:id="674" w:name="_Toc25761269"/>
      <w:r>
        <w:rPr>
          <w:rStyle w:val="CharSDivNo"/>
        </w:rPr>
        <w:t>Division 3</w:t>
      </w:r>
      <w:r>
        <w:t> — </w:t>
      </w:r>
      <w:r>
        <w:rPr>
          <w:rStyle w:val="CharSDivText"/>
        </w:rPr>
        <w:t>Summary of parameters within which Monday and Wednesday Lotto is conducted</w:t>
      </w:r>
      <w:bookmarkEnd w:id="667"/>
      <w:bookmarkEnd w:id="668"/>
      <w:bookmarkEnd w:id="669"/>
      <w:bookmarkEnd w:id="670"/>
      <w:bookmarkEnd w:id="671"/>
      <w:bookmarkEnd w:id="672"/>
      <w:bookmarkEnd w:id="673"/>
      <w:bookmarkEnd w:id="674"/>
    </w:p>
    <w:tbl>
      <w:tblPr>
        <w:tblW w:w="0" w:type="auto"/>
        <w:tblInd w:w="225" w:type="dxa"/>
        <w:tblLayout w:type="fixed"/>
        <w:tblCellMar>
          <w:left w:w="141" w:type="dxa"/>
          <w:right w:w="141" w:type="dxa"/>
        </w:tblCellMar>
        <w:tblLook w:val="04A0" w:firstRow="1" w:lastRow="0" w:firstColumn="1" w:lastColumn="0" w:noHBand="0" w:noVBand="1"/>
      </w:tblPr>
      <w:tblGrid>
        <w:gridCol w:w="58"/>
        <w:gridCol w:w="4734"/>
        <w:gridCol w:w="2065"/>
        <w:gridCol w:w="142"/>
      </w:tblGrid>
      <w:tr>
        <w:trPr>
          <w:gridBefore w:val="1"/>
          <w:wBefore w:w="58" w:type="dxa"/>
          <w:trHeight w:val="425"/>
        </w:trPr>
        <w:tc>
          <w:tcPr>
            <w:tcW w:w="4734" w:type="dxa"/>
            <w:hideMark/>
          </w:tcPr>
          <w:p>
            <w:pPr>
              <w:pStyle w:val="yTableNAm"/>
              <w:ind w:left="1"/>
            </w:pPr>
            <w:r>
              <w:t xml:space="preserve">Unit cost for a Monday Lotto draw </w:t>
            </w:r>
          </w:p>
        </w:tc>
        <w:tc>
          <w:tcPr>
            <w:tcW w:w="2207" w:type="dxa"/>
            <w:gridSpan w:val="2"/>
            <w:hideMark/>
          </w:tcPr>
          <w:p>
            <w:pPr>
              <w:pStyle w:val="yTableNAm"/>
            </w:pPr>
            <w:r>
              <w:t>$0.55 (+ a 10% agent’s component)</w:t>
            </w:r>
          </w:p>
        </w:tc>
      </w:tr>
      <w:tr>
        <w:trPr>
          <w:gridBefore w:val="1"/>
          <w:wBefore w:w="58" w:type="dxa"/>
          <w:trHeight w:val="425"/>
        </w:trPr>
        <w:tc>
          <w:tcPr>
            <w:tcW w:w="4734" w:type="dxa"/>
            <w:hideMark/>
          </w:tcPr>
          <w:p>
            <w:pPr>
              <w:pStyle w:val="yTableNAm"/>
              <w:ind w:left="1"/>
            </w:pPr>
            <w:r>
              <w:t>Unit cost for a Wednesday Lotto draw</w:t>
            </w:r>
          </w:p>
        </w:tc>
        <w:tc>
          <w:tcPr>
            <w:tcW w:w="2207" w:type="dxa"/>
            <w:gridSpan w:val="2"/>
            <w:hideMark/>
          </w:tcPr>
          <w:p>
            <w:pPr>
              <w:pStyle w:val="yTableNAm"/>
            </w:pPr>
            <w:r>
              <w:t>$0.55 (+ a 10% agent’s component)</w:t>
            </w:r>
          </w:p>
        </w:tc>
      </w:tr>
      <w:tr>
        <w:tblPrEx>
          <w:tblLook w:val="0000" w:firstRow="0" w:lastRow="0" w:firstColumn="0" w:lastColumn="0" w:noHBand="0" w:noVBand="0"/>
        </w:tblPrEx>
        <w:trPr>
          <w:gridAfter w:val="1"/>
          <w:wAfter w:w="142" w:type="dxa"/>
        </w:trPr>
        <w:tc>
          <w:tcPr>
            <w:tcW w:w="4792" w:type="dxa"/>
            <w:gridSpan w:val="2"/>
          </w:tcPr>
          <w:p>
            <w:pPr>
              <w:pStyle w:val="yTableNAm"/>
              <w:ind w:left="59"/>
            </w:pPr>
            <w:r>
              <w:t>Prize fund — % of subscriptions</w:t>
            </w:r>
          </w:p>
        </w:tc>
        <w:tc>
          <w:tcPr>
            <w:tcW w:w="2065" w:type="dxa"/>
          </w:tcPr>
          <w:p>
            <w:pPr>
              <w:pStyle w:val="yTableNAm"/>
            </w:pPr>
            <w:r>
              <w:t>60.0%</w:t>
            </w:r>
          </w:p>
        </w:tc>
      </w:tr>
      <w:tr>
        <w:tblPrEx>
          <w:tblLook w:val="0000" w:firstRow="0" w:lastRow="0" w:firstColumn="0" w:lastColumn="0" w:noHBand="0" w:noVBand="0"/>
        </w:tblPrEx>
        <w:trPr>
          <w:gridAfter w:val="1"/>
          <w:wAfter w:w="142" w:type="dxa"/>
        </w:trPr>
        <w:tc>
          <w:tcPr>
            <w:tcW w:w="4792" w:type="dxa"/>
            <w:gridSpan w:val="2"/>
          </w:tcPr>
          <w:p>
            <w:pPr>
              <w:pStyle w:val="yTableNAm"/>
              <w:ind w:left="59"/>
            </w:pPr>
            <w:r>
              <w:t>Prize pool — % of subscriptions</w:t>
            </w:r>
          </w:p>
        </w:tc>
        <w:tc>
          <w:tcPr>
            <w:tcW w:w="2065" w:type="dxa"/>
          </w:tcPr>
          <w:p>
            <w:pPr>
              <w:pStyle w:val="yTableNAm"/>
            </w:pPr>
            <w:r>
              <w:t>no less than 33.0%</w:t>
            </w:r>
          </w:p>
        </w:tc>
      </w:tr>
      <w:tr>
        <w:tblPrEx>
          <w:tblLook w:val="0000" w:firstRow="0" w:lastRow="0" w:firstColumn="0" w:lastColumn="0" w:noHBand="0" w:noVBand="0"/>
        </w:tblPrEx>
        <w:trPr>
          <w:gridAfter w:val="1"/>
          <w:wAfter w:w="142" w:type="dxa"/>
        </w:trPr>
        <w:tc>
          <w:tcPr>
            <w:tcW w:w="4792" w:type="dxa"/>
            <w:gridSpan w:val="2"/>
          </w:tcPr>
          <w:p>
            <w:pPr>
              <w:pStyle w:val="yTableNAm"/>
              <w:ind w:left="59"/>
            </w:pPr>
            <w:r>
              <w:t>Prize reserve fund — % of subscriptions</w:t>
            </w:r>
          </w:p>
        </w:tc>
        <w:tc>
          <w:tcPr>
            <w:tcW w:w="2065" w:type="dxa"/>
          </w:tcPr>
          <w:p>
            <w:pPr>
              <w:pStyle w:val="yTableNAm"/>
            </w:pPr>
            <w:r>
              <w:t>balance of prize fund after prize pool</w:t>
            </w:r>
            <w:r>
              <w:br/>
              <w:t>(up to 27.0%)</w:t>
            </w:r>
          </w:p>
        </w:tc>
      </w:tr>
      <w:tr>
        <w:tblPrEx>
          <w:tblLook w:val="0000" w:firstRow="0" w:lastRow="0" w:firstColumn="0" w:lastColumn="0" w:noHBand="0" w:noVBand="0"/>
        </w:tblPrEx>
        <w:trPr>
          <w:gridAfter w:val="1"/>
          <w:wAfter w:w="142" w:type="dxa"/>
        </w:trPr>
        <w:tc>
          <w:tcPr>
            <w:tcW w:w="4792" w:type="dxa"/>
            <w:gridSpan w:val="2"/>
          </w:tcPr>
          <w:p>
            <w:pPr>
              <w:pStyle w:val="yTableNAm"/>
              <w:ind w:left="59"/>
            </w:pPr>
            <w:r>
              <w:t>Number of divisions</w:t>
            </w:r>
          </w:p>
        </w:tc>
        <w:tc>
          <w:tcPr>
            <w:tcW w:w="2065" w:type="dxa"/>
          </w:tcPr>
          <w:p>
            <w:pPr>
              <w:pStyle w:val="yTableNAm"/>
            </w:pPr>
            <w:r>
              <w:t>6</w:t>
            </w:r>
          </w:p>
        </w:tc>
      </w:tr>
      <w:tr>
        <w:tblPrEx>
          <w:tblLook w:val="0000" w:firstRow="0" w:lastRow="0" w:firstColumn="0" w:lastColumn="0" w:noHBand="0" w:noVBand="0"/>
        </w:tblPrEx>
        <w:trPr>
          <w:gridAfter w:val="1"/>
          <w:wAfter w:w="142" w:type="dxa"/>
        </w:trPr>
        <w:tc>
          <w:tcPr>
            <w:tcW w:w="4792" w:type="dxa"/>
            <w:gridSpan w:val="2"/>
          </w:tcPr>
          <w:p>
            <w:pPr>
              <w:pStyle w:val="yTableNAm"/>
              <w:ind w:left="59"/>
            </w:pPr>
            <w:r>
              <w:t>Winning numbers drawn</w:t>
            </w:r>
          </w:p>
        </w:tc>
        <w:tc>
          <w:tcPr>
            <w:tcW w:w="2065" w:type="dxa"/>
          </w:tcPr>
          <w:p>
            <w:pPr>
              <w:pStyle w:val="yTableNAm"/>
            </w:pPr>
            <w:r>
              <w:t>6</w:t>
            </w:r>
          </w:p>
        </w:tc>
      </w:tr>
      <w:tr>
        <w:tblPrEx>
          <w:tblLook w:val="0000" w:firstRow="0" w:lastRow="0" w:firstColumn="0" w:lastColumn="0" w:noHBand="0" w:noVBand="0"/>
        </w:tblPrEx>
        <w:trPr>
          <w:gridAfter w:val="1"/>
          <w:wAfter w:w="142" w:type="dxa"/>
        </w:trPr>
        <w:tc>
          <w:tcPr>
            <w:tcW w:w="4792" w:type="dxa"/>
            <w:gridSpan w:val="2"/>
          </w:tcPr>
          <w:p>
            <w:pPr>
              <w:pStyle w:val="yTableNAm"/>
              <w:ind w:left="59"/>
            </w:pPr>
            <w:r>
              <w:t>Supplementary numbers drawn</w:t>
            </w:r>
          </w:p>
        </w:tc>
        <w:tc>
          <w:tcPr>
            <w:tcW w:w="2065" w:type="dxa"/>
          </w:tcPr>
          <w:p>
            <w:pPr>
              <w:pStyle w:val="yTableNAm"/>
            </w:pPr>
            <w:r>
              <w:t>2</w:t>
            </w:r>
          </w:p>
        </w:tc>
      </w:tr>
      <w:tr>
        <w:tblPrEx>
          <w:tblLook w:val="0000" w:firstRow="0" w:lastRow="0" w:firstColumn="0" w:lastColumn="0" w:noHBand="0" w:noVBand="0"/>
        </w:tblPrEx>
        <w:trPr>
          <w:gridAfter w:val="1"/>
          <w:wAfter w:w="142" w:type="dxa"/>
        </w:trPr>
        <w:tc>
          <w:tcPr>
            <w:tcW w:w="4792" w:type="dxa"/>
            <w:gridSpan w:val="2"/>
          </w:tcPr>
          <w:p>
            <w:pPr>
              <w:pStyle w:val="yTableNAm"/>
              <w:ind w:left="59"/>
            </w:pPr>
            <w:r>
              <w:t>Forecast range </w:t>
            </w:r>
          </w:p>
        </w:tc>
        <w:tc>
          <w:tcPr>
            <w:tcW w:w="2065" w:type="dxa"/>
          </w:tcPr>
          <w:p>
            <w:pPr>
              <w:pStyle w:val="yTableNAm"/>
            </w:pPr>
            <w:r>
              <w:t>1 to 45 inclusive</w:t>
            </w:r>
          </w:p>
        </w:tc>
      </w:tr>
      <w:tr>
        <w:tblPrEx>
          <w:tblLook w:val="0000" w:firstRow="0" w:lastRow="0" w:firstColumn="0" w:lastColumn="0" w:noHBand="0" w:noVBand="0"/>
        </w:tblPrEx>
        <w:trPr>
          <w:gridAfter w:val="1"/>
          <w:wAfter w:w="142" w:type="dxa"/>
        </w:trPr>
        <w:tc>
          <w:tcPr>
            <w:tcW w:w="4792" w:type="dxa"/>
            <w:gridSpan w:val="2"/>
          </w:tcPr>
          <w:p>
            <w:pPr>
              <w:pStyle w:val="yTableNAm"/>
              <w:ind w:left="59"/>
            </w:pPr>
            <w:r>
              <w:t>Odds of winning —</w:t>
            </w:r>
          </w:p>
          <w:p>
            <w:pPr>
              <w:pStyle w:val="yTableNAm"/>
              <w:ind w:left="59"/>
            </w:pPr>
            <w:r>
              <w:t>division 1</w:t>
            </w:r>
          </w:p>
          <w:p>
            <w:pPr>
              <w:pStyle w:val="yTableNAm"/>
              <w:ind w:left="59"/>
            </w:pPr>
            <w:r>
              <w:t>division 2</w:t>
            </w:r>
          </w:p>
          <w:p>
            <w:pPr>
              <w:pStyle w:val="yTableNAm"/>
              <w:ind w:left="59"/>
            </w:pPr>
            <w:r>
              <w:t>division 3</w:t>
            </w:r>
          </w:p>
          <w:p>
            <w:pPr>
              <w:pStyle w:val="yTableNAm"/>
              <w:ind w:left="59"/>
            </w:pPr>
            <w:r>
              <w:t>division 4</w:t>
            </w:r>
          </w:p>
          <w:p>
            <w:pPr>
              <w:pStyle w:val="yTableNAm"/>
              <w:ind w:left="59"/>
            </w:pPr>
            <w:r>
              <w:t>division 5</w:t>
            </w:r>
          </w:p>
          <w:p>
            <w:pPr>
              <w:pStyle w:val="yTableNAm"/>
              <w:ind w:left="59"/>
            </w:pPr>
            <w:r>
              <w:t>division 6</w:t>
            </w:r>
          </w:p>
        </w:tc>
        <w:tc>
          <w:tcPr>
            <w:tcW w:w="2065" w:type="dxa"/>
          </w:tcPr>
          <w:p>
            <w:pPr>
              <w:pStyle w:val="yTableNAm"/>
            </w:pPr>
          </w:p>
          <w:p>
            <w:pPr>
              <w:pStyle w:val="yTableNAm"/>
            </w:pPr>
            <w:r>
              <w:t>1 in 8 145 060</w:t>
            </w:r>
          </w:p>
          <w:p>
            <w:pPr>
              <w:pStyle w:val="yTableNAm"/>
            </w:pPr>
            <w:r>
              <w:t>1 in 678 755</w:t>
            </w:r>
          </w:p>
          <w:p>
            <w:pPr>
              <w:pStyle w:val="yTableNAm"/>
            </w:pPr>
            <w:r>
              <w:t>1 in 36 690</w:t>
            </w:r>
          </w:p>
          <w:p>
            <w:pPr>
              <w:pStyle w:val="yTableNAm"/>
            </w:pPr>
            <w:r>
              <w:t>1 in 733</w:t>
            </w:r>
          </w:p>
          <w:p>
            <w:pPr>
              <w:pStyle w:val="yTableNAm"/>
            </w:pPr>
            <w:r>
              <w:t>1 in 298</w:t>
            </w:r>
          </w:p>
          <w:p>
            <w:pPr>
              <w:pStyle w:val="yTableNAm"/>
            </w:pPr>
            <w:r>
              <w:t>1 in 144</w:t>
            </w:r>
          </w:p>
        </w:tc>
      </w:tr>
      <w:tr>
        <w:tblPrEx>
          <w:tblLook w:val="0000" w:firstRow="0" w:lastRow="0" w:firstColumn="0" w:lastColumn="0" w:noHBand="0" w:noVBand="0"/>
        </w:tblPrEx>
        <w:trPr>
          <w:gridAfter w:val="1"/>
          <w:wAfter w:w="142" w:type="dxa"/>
        </w:trPr>
        <w:tc>
          <w:tcPr>
            <w:tcW w:w="4792" w:type="dxa"/>
            <w:gridSpan w:val="2"/>
          </w:tcPr>
          <w:p>
            <w:pPr>
              <w:pStyle w:val="yTableNAm"/>
              <w:ind w:left="59"/>
            </w:pPr>
            <w:r>
              <w:t>Systems range</w:t>
            </w:r>
          </w:p>
        </w:tc>
        <w:tc>
          <w:tcPr>
            <w:tcW w:w="2065" w:type="dxa"/>
          </w:tcPr>
          <w:p>
            <w:pPr>
              <w:pStyle w:val="yTableNAm"/>
            </w:pPr>
            <w:r>
              <w:t>4</w:t>
            </w:r>
            <w:r>
              <w:noBreakHyphen/>
              <w:t>5/7</w:t>
            </w:r>
            <w:r>
              <w:noBreakHyphen/>
              <w:t>20 inclusive</w:t>
            </w:r>
          </w:p>
        </w:tc>
      </w:tr>
      <w:tr>
        <w:tblPrEx>
          <w:tblLook w:val="0000" w:firstRow="0" w:lastRow="0" w:firstColumn="0" w:lastColumn="0" w:noHBand="0" w:noVBand="0"/>
        </w:tblPrEx>
        <w:trPr>
          <w:gridAfter w:val="1"/>
          <w:wAfter w:w="142" w:type="dxa"/>
        </w:trPr>
        <w:tc>
          <w:tcPr>
            <w:tcW w:w="4792" w:type="dxa"/>
            <w:gridSpan w:val="2"/>
          </w:tcPr>
          <w:p>
            <w:pPr>
              <w:pStyle w:val="yTableNAm"/>
              <w:ind w:left="59"/>
            </w:pPr>
            <w:r>
              <w:t>Multiweek options (</w:t>
            </w:r>
            <w:bookmarkStart w:id="675" w:name="RuleErr_17"/>
            <w:r>
              <w:rPr>
                <w:i/>
                <w:iCs/>
              </w:rPr>
              <w:t>if available</w:t>
            </w:r>
            <w:bookmarkEnd w:id="675"/>
            <w:r>
              <w:t>)</w:t>
            </w:r>
          </w:p>
        </w:tc>
        <w:tc>
          <w:tcPr>
            <w:tcW w:w="2065" w:type="dxa"/>
          </w:tcPr>
          <w:p>
            <w:pPr>
              <w:pStyle w:val="yTableNAm"/>
            </w:pPr>
            <w:r>
              <w:rPr>
                <w:szCs w:val="22"/>
              </w:rPr>
              <w:t>Up to</w:t>
            </w:r>
            <w:r>
              <w:t xml:space="preserve"> 10 weeks</w:t>
            </w:r>
          </w:p>
        </w:tc>
      </w:tr>
      <w:tr>
        <w:tblPrEx>
          <w:tblLook w:val="0000" w:firstRow="0" w:lastRow="0" w:firstColumn="0" w:lastColumn="0" w:noHBand="0" w:noVBand="0"/>
        </w:tblPrEx>
        <w:trPr>
          <w:gridAfter w:val="1"/>
          <w:wAfter w:w="142" w:type="dxa"/>
        </w:trPr>
        <w:tc>
          <w:tcPr>
            <w:tcW w:w="4792" w:type="dxa"/>
            <w:gridSpan w:val="2"/>
          </w:tcPr>
          <w:p>
            <w:pPr>
              <w:pStyle w:val="yTableNAm"/>
              <w:ind w:left="59"/>
            </w:pPr>
            <w:r>
              <w:t>Advance sales (maximum) (</w:t>
            </w:r>
            <w:bookmarkStart w:id="676" w:name="RuleErr_18"/>
            <w:r>
              <w:rPr>
                <w:i/>
                <w:iCs/>
              </w:rPr>
              <w:t>if available</w:t>
            </w:r>
            <w:bookmarkEnd w:id="676"/>
            <w:r>
              <w:t>)</w:t>
            </w:r>
          </w:p>
        </w:tc>
        <w:tc>
          <w:tcPr>
            <w:tcW w:w="2065" w:type="dxa"/>
          </w:tcPr>
          <w:p>
            <w:pPr>
              <w:pStyle w:val="yTableNAm"/>
            </w:pPr>
            <w:r>
              <w:t>10 weeks</w:t>
            </w:r>
          </w:p>
        </w:tc>
      </w:tr>
      <w:tr>
        <w:tblPrEx>
          <w:tblLook w:val="0000" w:firstRow="0" w:lastRow="0" w:firstColumn="0" w:lastColumn="0" w:noHBand="0" w:noVBand="0"/>
        </w:tblPrEx>
        <w:trPr>
          <w:gridAfter w:val="1"/>
          <w:wAfter w:w="142" w:type="dxa"/>
        </w:trPr>
        <w:tc>
          <w:tcPr>
            <w:tcW w:w="4792" w:type="dxa"/>
            <w:gridSpan w:val="2"/>
          </w:tcPr>
          <w:p>
            <w:pPr>
              <w:pStyle w:val="yTableNAm"/>
              <w:ind w:left="59"/>
            </w:pPr>
            <w:r>
              <w:t>Games per playslip (minimum)</w:t>
            </w:r>
          </w:p>
        </w:tc>
        <w:tc>
          <w:tcPr>
            <w:tcW w:w="2065" w:type="dxa"/>
          </w:tcPr>
          <w:p>
            <w:pPr>
              <w:pStyle w:val="yTableNAm"/>
            </w:pPr>
            <w:r>
              <w:t>4</w:t>
            </w:r>
          </w:p>
        </w:tc>
      </w:tr>
      <w:tr>
        <w:tblPrEx>
          <w:tblLook w:val="0000" w:firstRow="0" w:lastRow="0" w:firstColumn="0" w:lastColumn="0" w:noHBand="0" w:noVBand="0"/>
        </w:tblPrEx>
        <w:trPr>
          <w:gridAfter w:val="1"/>
          <w:wAfter w:w="142" w:type="dxa"/>
        </w:trPr>
        <w:tc>
          <w:tcPr>
            <w:tcW w:w="4792" w:type="dxa"/>
            <w:gridSpan w:val="2"/>
          </w:tcPr>
          <w:p>
            <w:pPr>
              <w:pStyle w:val="yTableNAm"/>
              <w:ind w:left="59"/>
            </w:pPr>
            <w:r>
              <w:t xml:space="preserve">System entries per playslip (maximum) </w:t>
            </w:r>
          </w:p>
        </w:tc>
        <w:tc>
          <w:tcPr>
            <w:tcW w:w="2065" w:type="dxa"/>
          </w:tcPr>
          <w:p>
            <w:pPr>
              <w:pStyle w:val="yTableNAm"/>
            </w:pPr>
            <w:r>
              <w:t>18 (</w:t>
            </w:r>
            <w:r>
              <w:rPr>
                <w:i/>
              </w:rPr>
              <w:t>subject to maximum aggregate entry cost</w:t>
            </w:r>
            <w:r>
              <w:t>)</w:t>
            </w:r>
          </w:p>
        </w:tc>
      </w:tr>
      <w:tr>
        <w:tblPrEx>
          <w:tblLook w:val="0000" w:firstRow="0" w:lastRow="0" w:firstColumn="0" w:lastColumn="0" w:noHBand="0" w:noVBand="0"/>
        </w:tblPrEx>
        <w:trPr>
          <w:gridAfter w:val="1"/>
          <w:wAfter w:w="142" w:type="dxa"/>
        </w:trPr>
        <w:tc>
          <w:tcPr>
            <w:tcW w:w="4792" w:type="dxa"/>
            <w:gridSpan w:val="2"/>
          </w:tcPr>
          <w:p>
            <w:pPr>
              <w:pStyle w:val="yTableNAm"/>
              <w:ind w:left="59"/>
            </w:pPr>
            <w:r>
              <w:t>Games per playslip (maximum)</w:t>
            </w:r>
          </w:p>
        </w:tc>
        <w:tc>
          <w:tcPr>
            <w:tcW w:w="2065" w:type="dxa"/>
          </w:tcPr>
          <w:p>
            <w:pPr>
              <w:pStyle w:val="yTableNAm"/>
            </w:pPr>
            <w:r>
              <w:t>18</w:t>
            </w:r>
          </w:p>
        </w:tc>
      </w:tr>
      <w:tr>
        <w:tblPrEx>
          <w:tblLook w:val="0000" w:firstRow="0" w:lastRow="0" w:firstColumn="0" w:lastColumn="0" w:noHBand="0" w:noVBand="0"/>
        </w:tblPrEx>
        <w:trPr>
          <w:gridAfter w:val="1"/>
          <w:wAfter w:w="142" w:type="dxa"/>
        </w:trPr>
        <w:tc>
          <w:tcPr>
            <w:tcW w:w="4792" w:type="dxa"/>
            <w:gridSpan w:val="2"/>
          </w:tcPr>
          <w:p>
            <w:pPr>
              <w:pStyle w:val="yTableNAm"/>
              <w:ind w:left="59"/>
            </w:pPr>
            <w:r>
              <w:t>Games per oral request (</w:t>
            </w:r>
            <w:bookmarkStart w:id="677" w:name="RuleErr_19"/>
            <w:r>
              <w:rPr>
                <w:i/>
                <w:iCs/>
              </w:rPr>
              <w:t>if available</w:t>
            </w:r>
            <w:bookmarkEnd w:id="677"/>
            <w:r>
              <w:t>)</w:t>
            </w:r>
          </w:p>
        </w:tc>
        <w:tc>
          <w:tcPr>
            <w:tcW w:w="2065" w:type="dxa"/>
          </w:tcPr>
          <w:p>
            <w:pPr>
              <w:pStyle w:val="yTableNAm"/>
            </w:pPr>
            <w:r>
              <w:t>4 to 50</w:t>
            </w:r>
          </w:p>
        </w:tc>
      </w:tr>
      <w:tr>
        <w:tblPrEx>
          <w:tblLook w:val="0000" w:firstRow="0" w:lastRow="0" w:firstColumn="0" w:lastColumn="0" w:noHBand="0" w:noVBand="0"/>
        </w:tblPrEx>
        <w:trPr>
          <w:gridAfter w:val="1"/>
          <w:wAfter w:w="142" w:type="dxa"/>
        </w:trPr>
        <w:tc>
          <w:tcPr>
            <w:tcW w:w="4792" w:type="dxa"/>
            <w:gridSpan w:val="2"/>
          </w:tcPr>
          <w:p>
            <w:pPr>
              <w:pStyle w:val="yTableNAm"/>
              <w:keepNext/>
              <w:keepLines/>
              <w:ind w:left="59"/>
            </w:pPr>
            <w:r>
              <w:t>Syndicate entries may be purchased (</w:t>
            </w:r>
            <w:bookmarkStart w:id="678" w:name="RuleErr_20"/>
            <w:r>
              <w:rPr>
                <w:i/>
                <w:iCs/>
              </w:rPr>
              <w:t>if available</w:t>
            </w:r>
            <w:bookmarkEnd w:id="678"/>
            <w:r>
              <w:t>)</w:t>
            </w:r>
          </w:p>
        </w:tc>
        <w:tc>
          <w:tcPr>
            <w:tcW w:w="2065" w:type="dxa"/>
          </w:tcPr>
          <w:p>
            <w:pPr>
              <w:pStyle w:val="yTableNAm"/>
              <w:keepNext/>
              <w:keepLines/>
            </w:pPr>
            <w:r>
              <w:t>(see Part 2 Division 3)</w:t>
            </w:r>
          </w:p>
        </w:tc>
      </w:tr>
      <w:tr>
        <w:tblPrEx>
          <w:tblLook w:val="0000" w:firstRow="0" w:lastRow="0" w:firstColumn="0" w:lastColumn="0" w:noHBand="0" w:noVBand="0"/>
        </w:tblPrEx>
        <w:trPr>
          <w:gridAfter w:val="1"/>
          <w:wAfter w:w="142" w:type="dxa"/>
        </w:trPr>
        <w:tc>
          <w:tcPr>
            <w:tcW w:w="4792" w:type="dxa"/>
            <w:gridSpan w:val="2"/>
          </w:tcPr>
          <w:p>
            <w:pPr>
              <w:pStyle w:val="yTableNAm"/>
              <w:keepNext/>
              <w:keepLines/>
              <w:ind w:left="59"/>
            </w:pPr>
            <w:r>
              <w:t>System entries per oral request</w:t>
            </w:r>
          </w:p>
        </w:tc>
        <w:tc>
          <w:tcPr>
            <w:tcW w:w="2065" w:type="dxa"/>
          </w:tcPr>
          <w:p>
            <w:pPr>
              <w:pStyle w:val="yTableNAm"/>
              <w:keepNext/>
              <w:keepLines/>
            </w:pPr>
            <w:r>
              <w:rPr>
                <w:szCs w:val="22"/>
              </w:rPr>
              <w:t>Up to 50</w:t>
            </w:r>
          </w:p>
        </w:tc>
      </w:tr>
      <w:tr>
        <w:tblPrEx>
          <w:tblLook w:val="0000" w:firstRow="0" w:lastRow="0" w:firstColumn="0" w:lastColumn="0" w:noHBand="0" w:noVBand="0"/>
        </w:tblPrEx>
        <w:trPr>
          <w:gridAfter w:val="1"/>
          <w:wAfter w:w="142" w:type="dxa"/>
        </w:trPr>
        <w:tc>
          <w:tcPr>
            <w:tcW w:w="4792" w:type="dxa"/>
            <w:gridSpan w:val="2"/>
          </w:tcPr>
          <w:p>
            <w:pPr>
              <w:pStyle w:val="yTableNAm"/>
              <w:keepNext/>
              <w:keepLines/>
              <w:ind w:left="59"/>
            </w:pPr>
            <w:r>
              <w:t>Prize payout period</w:t>
            </w:r>
          </w:p>
        </w:tc>
        <w:tc>
          <w:tcPr>
            <w:tcW w:w="2065" w:type="dxa"/>
          </w:tcPr>
          <w:p>
            <w:pPr>
              <w:pStyle w:val="yTableNAm"/>
              <w:keepNext/>
              <w:keepLines/>
            </w:pPr>
            <w:r>
              <w:t>12 months</w:t>
            </w:r>
          </w:p>
        </w:tc>
      </w:tr>
      <w:tr>
        <w:tblPrEx>
          <w:tblLook w:val="0000" w:firstRow="0" w:lastRow="0" w:firstColumn="0" w:lastColumn="0" w:noHBand="0" w:noVBand="0"/>
        </w:tblPrEx>
        <w:trPr>
          <w:gridAfter w:val="1"/>
          <w:wAfter w:w="142" w:type="dxa"/>
        </w:trPr>
        <w:tc>
          <w:tcPr>
            <w:tcW w:w="4792" w:type="dxa"/>
            <w:gridSpan w:val="2"/>
          </w:tcPr>
          <w:p>
            <w:pPr>
              <w:pStyle w:val="yTableNAm"/>
              <w:ind w:left="59"/>
            </w:pPr>
            <w:r>
              <w:t>Maximum aggregate entry cost</w:t>
            </w:r>
          </w:p>
        </w:tc>
        <w:tc>
          <w:tcPr>
            <w:tcW w:w="2065" w:type="dxa"/>
          </w:tcPr>
          <w:p>
            <w:pPr>
              <w:pStyle w:val="yTableNAm"/>
            </w:pPr>
            <w:r>
              <w:t>$100 000</w:t>
            </w:r>
          </w:p>
        </w:tc>
      </w:tr>
    </w:tbl>
    <w:p>
      <w:pPr>
        <w:pStyle w:val="yFootnotesection"/>
      </w:pPr>
      <w:r>
        <w:tab/>
        <w:t>[Division 3 amended: Gazette 4 Oct 2017 p. 5146; 12 Nov 2019 p. 4019.]</w:t>
      </w:r>
    </w:p>
    <w:p>
      <w:pPr>
        <w:pStyle w:val="yScheduleHeading"/>
      </w:pPr>
      <w:bookmarkStart w:id="679" w:name="_Toc34139630"/>
      <w:bookmarkStart w:id="680" w:name="_Toc34139842"/>
      <w:bookmarkStart w:id="681" w:name="_Toc34148019"/>
      <w:bookmarkStart w:id="682" w:name="_Toc34207572"/>
      <w:bookmarkStart w:id="683" w:name="_Toc34291567"/>
      <w:bookmarkStart w:id="684" w:name="_Toc25657475"/>
      <w:bookmarkStart w:id="685" w:name="_Toc25760941"/>
      <w:bookmarkStart w:id="686" w:name="_Toc25761270"/>
      <w:r>
        <w:rPr>
          <w:rStyle w:val="CharSchNo"/>
        </w:rPr>
        <w:t>Schedule 4</w:t>
      </w:r>
      <w:r>
        <w:t> — </w:t>
      </w:r>
      <w:r>
        <w:rPr>
          <w:rStyle w:val="CharSchText"/>
        </w:rPr>
        <w:t>OZ Lotto</w:t>
      </w:r>
      <w:bookmarkEnd w:id="679"/>
      <w:bookmarkEnd w:id="680"/>
      <w:bookmarkEnd w:id="681"/>
      <w:bookmarkEnd w:id="682"/>
      <w:bookmarkEnd w:id="683"/>
      <w:bookmarkEnd w:id="684"/>
      <w:bookmarkEnd w:id="685"/>
      <w:bookmarkEnd w:id="686"/>
    </w:p>
    <w:p>
      <w:pPr>
        <w:pStyle w:val="yShoulderClause"/>
      </w:pPr>
      <w:r>
        <w:t>[r. 4, 73, 75 and 76]</w:t>
      </w:r>
    </w:p>
    <w:p>
      <w:pPr>
        <w:pStyle w:val="yHeading3"/>
      </w:pPr>
      <w:bookmarkStart w:id="687" w:name="_Toc34139631"/>
      <w:bookmarkStart w:id="688" w:name="_Toc34139843"/>
      <w:bookmarkStart w:id="689" w:name="_Toc34148020"/>
      <w:bookmarkStart w:id="690" w:name="_Toc34207573"/>
      <w:bookmarkStart w:id="691" w:name="_Toc34291568"/>
      <w:bookmarkStart w:id="692" w:name="_Toc25657476"/>
      <w:bookmarkStart w:id="693" w:name="_Toc25760942"/>
      <w:bookmarkStart w:id="694" w:name="_Toc25761271"/>
      <w:r>
        <w:rPr>
          <w:rStyle w:val="CharSDivNo"/>
        </w:rPr>
        <w:t>Division 1</w:t>
      </w:r>
      <w:r>
        <w:t> — </w:t>
      </w:r>
      <w:r>
        <w:rPr>
          <w:rStyle w:val="CharSDivText"/>
        </w:rPr>
        <w:t>Calculating the total cost of entry</w:t>
      </w:r>
      <w:bookmarkEnd w:id="687"/>
      <w:bookmarkEnd w:id="688"/>
      <w:bookmarkEnd w:id="689"/>
      <w:bookmarkEnd w:id="690"/>
      <w:bookmarkEnd w:id="691"/>
      <w:bookmarkEnd w:id="692"/>
      <w:bookmarkEnd w:id="693"/>
      <w:bookmarkEnd w:id="694"/>
    </w:p>
    <w:p>
      <w:pPr>
        <w:pStyle w:val="yMiscellaneousBody"/>
      </w:pPr>
      <w:r>
        <w:t>The unit cost of entering the OZ Lotto draw is made up of a subscription of $1.20 cents per game and an agent’s component.</w:t>
      </w:r>
    </w:p>
    <w:p>
      <w:pPr>
        <w:pStyle w:val="yMiscellaneousBody"/>
      </w:pPr>
      <w:r>
        <w:t xml:space="preserve">The agent’s component is calculated as </w:t>
      </w:r>
      <w:r>
        <w:rPr>
          <w:rFonts w:eastAsia="Calibri"/>
        </w:rPr>
        <w:t>10%</w:t>
      </w:r>
      <w:r>
        <w:t xml:space="preserve"> of the total subscription amount for a particular week’s entry, rounded* (where necessary) to the nearest 5 cent multiple.</w:t>
      </w:r>
    </w:p>
    <w:p>
      <w:pPr>
        <w:pStyle w:val="yMiscellaneousBody"/>
        <w:rPr>
          <w:b/>
        </w:rPr>
      </w:pPr>
      <m:oMathPara>
        <m:oMathParaPr>
          <m:jc m:val="left"/>
        </m:oMathParaPr>
        <m:oMath>
          <m:d>
            <m:dPr>
              <m:ctrlPr>
                <w:rPr>
                  <w:rFonts w:ascii="Cambria Math" w:eastAsiaTheme="minorHAnsi" w:hAnsi="Cambria Math" w:cstheme="minorBidi"/>
                  <w:b/>
                  <w:szCs w:val="22"/>
                </w:rPr>
              </m:ctrlPr>
            </m:dPr>
            <m:e>
              <m:d>
                <m:dPr>
                  <m:ctrlPr>
                    <w:rPr>
                      <w:rFonts w:ascii="Cambria Math" w:eastAsiaTheme="minorHAnsi" w:hAnsi="Cambria Math" w:cstheme="minorBidi"/>
                      <w:b/>
                      <w:szCs w:val="22"/>
                    </w:rPr>
                  </m:ctrlPr>
                </m:dPr>
                <m:e>
                  <m:r>
                    <m:rPr>
                      <m:sty m:val="b"/>
                    </m:rPr>
                    <w:rPr>
                      <w:rFonts w:ascii="Cambria Math" w:hAnsi="Cambria Math"/>
                    </w:rPr>
                    <m:t>G</m:t>
                  </m:r>
                  <m:r>
                    <m:rPr>
                      <m:sty m:val="b"/>
                    </m:rPr>
                    <w:rPr>
                      <w:rFonts w:ascii="Cambria Math" w:hAnsi="Cambria Math" w:hint="eastAsia"/>
                    </w:rPr>
                    <m:t>×</m:t>
                  </m:r>
                  <m:r>
                    <m:rPr>
                      <m:sty m:val="b"/>
                    </m:rPr>
                    <w:rPr>
                      <w:rFonts w:ascii="Cambria Math" w:hAnsi="Cambria Math"/>
                    </w:rPr>
                    <m:t>$1.20</m:t>
                  </m:r>
                </m:e>
              </m:d>
              <m:r>
                <m:rPr>
                  <m:sty m:val="b"/>
                </m:rPr>
                <w:rPr>
                  <w:rFonts w:ascii="Cambria Math" w:hAnsi="Cambria Math" w:hint="eastAsia"/>
                </w:rPr>
                <m:t>×</m:t>
              </m:r>
              <m:r>
                <m:rPr>
                  <m:sty m:val="b"/>
                </m:rPr>
                <w:rPr>
                  <w:rFonts w:ascii="Cambria Math" w:hAnsi="Cambria Math"/>
                </w:rPr>
                <m:t>0.1→rounded</m:t>
              </m:r>
            </m:e>
          </m:d>
          <m:r>
            <m:rPr>
              <m:sty m:val="b"/>
            </m:rPr>
            <w:rPr>
              <w:rFonts w:ascii="Cambria Math" w:hAnsi="Cambria Math"/>
            </w:rPr>
            <m:t>×W=T</m:t>
          </m:r>
        </m:oMath>
      </m:oMathPara>
    </w:p>
    <w:p>
      <w:pPr>
        <w:pStyle w:val="yMiscellaneousBody"/>
      </w:pPr>
      <w:r>
        <w:t xml:space="preserve">where — </w:t>
      </w:r>
    </w:p>
    <w:p>
      <w:pPr>
        <w:pStyle w:val="yMiscellaneousBody"/>
        <w:tabs>
          <w:tab w:val="left" w:pos="567"/>
        </w:tabs>
        <w:spacing w:before="120"/>
      </w:pPr>
      <w:r>
        <w:t>G</w:t>
      </w:r>
      <w:r>
        <w:tab/>
        <w:t>No. of games entered in a draw;</w:t>
      </w:r>
    </w:p>
    <w:p>
      <w:pPr>
        <w:pStyle w:val="yMiscellaneousBody"/>
        <w:tabs>
          <w:tab w:val="left" w:pos="567"/>
        </w:tabs>
        <w:spacing w:before="120"/>
      </w:pPr>
      <w:r>
        <w:t>W</w:t>
      </w:r>
      <w:r>
        <w:tab/>
        <w:t>No. of weeks the entry spans;</w:t>
      </w:r>
    </w:p>
    <w:p>
      <w:pPr>
        <w:pStyle w:val="yMiscellaneousBody"/>
        <w:tabs>
          <w:tab w:val="left" w:pos="567"/>
        </w:tabs>
        <w:spacing w:before="120"/>
      </w:pPr>
      <w:r>
        <w:t>T</w:t>
      </w:r>
      <w:r>
        <w:tab/>
        <w:t>Total agent’s component cost payable by the subscriber.</w:t>
      </w:r>
    </w:p>
    <w:p>
      <w:pPr>
        <w:pStyle w:val="yMiscellaneousBody"/>
        <w:ind w:left="142" w:hanging="142"/>
      </w:pPr>
      <w:r>
        <w:t>* Rounding is calculated using the method known as “bankers rounding” or “round</w:t>
      </w:r>
      <w:r>
        <w:noBreakHyphen/>
        <w:t>to</w:t>
      </w:r>
      <w:r>
        <w:noBreakHyphen/>
        <w:t>even” rounding.</w:t>
      </w:r>
    </w:p>
    <w:p>
      <w:pPr>
        <w:pStyle w:val="yFootnotesection"/>
      </w:pPr>
      <w:r>
        <w:tab/>
        <w:t>[Division 1 amended: Gazette 4 Oct 2017 p. 5146; 12 Nov 2019 p. 4020.]</w:t>
      </w:r>
    </w:p>
    <w:p>
      <w:pPr>
        <w:pStyle w:val="yHeading3"/>
        <w:pageBreakBefore/>
        <w:spacing w:after="240"/>
      </w:pPr>
      <w:bookmarkStart w:id="695" w:name="_Toc34139632"/>
      <w:bookmarkStart w:id="696" w:name="_Toc34139844"/>
      <w:bookmarkStart w:id="697" w:name="_Toc34148021"/>
      <w:bookmarkStart w:id="698" w:name="_Toc34207574"/>
      <w:bookmarkStart w:id="699" w:name="_Toc34291569"/>
      <w:bookmarkStart w:id="700" w:name="_Toc25657477"/>
      <w:bookmarkStart w:id="701" w:name="_Toc25760943"/>
      <w:bookmarkStart w:id="702" w:name="_Toc25761272"/>
      <w:r>
        <w:rPr>
          <w:rStyle w:val="CharSDivNo"/>
        </w:rPr>
        <w:t>Division 2</w:t>
      </w:r>
      <w:r>
        <w:t> — </w:t>
      </w:r>
      <w:r>
        <w:rPr>
          <w:rStyle w:val="CharSDivText"/>
        </w:rPr>
        <w:t>System entries and game equivalents</w:t>
      </w:r>
      <w:bookmarkEnd w:id="695"/>
      <w:bookmarkEnd w:id="696"/>
      <w:bookmarkEnd w:id="697"/>
      <w:bookmarkEnd w:id="698"/>
      <w:bookmarkEnd w:id="699"/>
      <w:bookmarkEnd w:id="700"/>
      <w:bookmarkEnd w:id="701"/>
      <w:bookmarkEnd w:id="702"/>
    </w:p>
    <w:tbl>
      <w:tblPr>
        <w:tblW w:w="0" w:type="auto"/>
        <w:tblInd w:w="2013" w:type="dxa"/>
        <w:tblBorders>
          <w:top w:val="single" w:sz="4" w:space="0" w:color="auto"/>
          <w:left w:val="single" w:sz="4" w:space="0" w:color="auto"/>
          <w:bottom w:val="single" w:sz="4" w:space="0" w:color="auto"/>
          <w:right w:val="single" w:sz="4" w:space="0" w:color="auto"/>
        </w:tblBorders>
        <w:tblLayout w:type="fixed"/>
        <w:tblCellMar>
          <w:left w:w="28" w:type="dxa"/>
          <w:right w:w="28" w:type="dxa"/>
        </w:tblCellMar>
        <w:tblLook w:val="0000" w:firstRow="0" w:lastRow="0" w:firstColumn="0" w:lastColumn="0" w:noHBand="0" w:noVBand="0"/>
      </w:tblPr>
      <w:tblGrid>
        <w:gridCol w:w="1276"/>
        <w:gridCol w:w="1984"/>
      </w:tblGrid>
      <w:tr>
        <w:trPr>
          <w:tblHeader/>
        </w:trPr>
        <w:tc>
          <w:tcPr>
            <w:tcW w:w="3260" w:type="dxa"/>
            <w:gridSpan w:val="2"/>
            <w:tcBorders>
              <w:top w:val="single" w:sz="4" w:space="0" w:color="auto"/>
              <w:left w:val="single" w:sz="4" w:space="0" w:color="auto"/>
              <w:bottom w:val="single" w:sz="4" w:space="0" w:color="auto"/>
              <w:right w:val="single" w:sz="4" w:space="0" w:color="auto"/>
            </w:tcBorders>
          </w:tcPr>
          <w:p>
            <w:pPr>
              <w:pStyle w:val="yTableNAm"/>
              <w:spacing w:before="60" w:after="60"/>
              <w:jc w:val="center"/>
              <w:rPr>
                <w:b/>
              </w:rPr>
            </w:pPr>
            <w:r>
              <w:rPr>
                <w:b/>
              </w:rPr>
              <w:t>OZ Lotto</w:t>
            </w:r>
          </w:p>
        </w:tc>
      </w:tr>
      <w:tr>
        <w:trPr>
          <w:tblHeader/>
        </w:trPr>
        <w:tc>
          <w:tcPr>
            <w:tcW w:w="1276" w:type="dxa"/>
            <w:tcBorders>
              <w:top w:val="single" w:sz="4" w:space="0" w:color="auto"/>
              <w:left w:val="single" w:sz="4" w:space="0" w:color="auto"/>
              <w:bottom w:val="single" w:sz="4" w:space="0" w:color="auto"/>
              <w:right w:val="single" w:sz="4" w:space="0" w:color="auto"/>
            </w:tcBorders>
          </w:tcPr>
          <w:p>
            <w:pPr>
              <w:pStyle w:val="yTableNAm"/>
              <w:spacing w:before="60" w:after="60"/>
              <w:jc w:val="center"/>
              <w:rPr>
                <w:b/>
              </w:rPr>
            </w:pPr>
            <w:r>
              <w:rPr>
                <w:b/>
              </w:rPr>
              <w:t>System</w:t>
            </w:r>
          </w:p>
        </w:tc>
        <w:tc>
          <w:tcPr>
            <w:tcW w:w="1984" w:type="dxa"/>
            <w:tcBorders>
              <w:top w:val="single" w:sz="4" w:space="0" w:color="auto"/>
              <w:left w:val="single" w:sz="4" w:space="0" w:color="auto"/>
              <w:bottom w:val="single" w:sz="4" w:space="0" w:color="auto"/>
              <w:right w:val="single" w:sz="4" w:space="0" w:color="auto"/>
            </w:tcBorders>
          </w:tcPr>
          <w:p>
            <w:pPr>
              <w:pStyle w:val="yTableNAm"/>
              <w:spacing w:before="60" w:after="60"/>
              <w:jc w:val="center"/>
              <w:rPr>
                <w:b/>
              </w:rPr>
            </w:pPr>
            <w:r>
              <w:rPr>
                <w:b/>
              </w:rPr>
              <w:t>No. of games per game board</w:t>
            </w:r>
          </w:p>
        </w:tc>
      </w:tr>
      <w:tr>
        <w:tc>
          <w:tcPr>
            <w:tcW w:w="1276"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4</w:t>
            </w:r>
          </w:p>
        </w:tc>
        <w:tc>
          <w:tcPr>
            <w:tcW w:w="1984"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10 660</w:t>
            </w:r>
          </w:p>
        </w:tc>
      </w:tr>
      <w:tr>
        <w:tc>
          <w:tcPr>
            <w:tcW w:w="1276"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5</w:t>
            </w:r>
          </w:p>
        </w:tc>
        <w:tc>
          <w:tcPr>
            <w:tcW w:w="1984"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780</w:t>
            </w:r>
          </w:p>
        </w:tc>
      </w:tr>
      <w:tr>
        <w:tc>
          <w:tcPr>
            <w:tcW w:w="1276"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6</w:t>
            </w:r>
          </w:p>
        </w:tc>
        <w:tc>
          <w:tcPr>
            <w:tcW w:w="1984"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39</w:t>
            </w:r>
          </w:p>
        </w:tc>
      </w:tr>
      <w:tr>
        <w:tc>
          <w:tcPr>
            <w:tcW w:w="1276"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8</w:t>
            </w:r>
          </w:p>
        </w:tc>
        <w:tc>
          <w:tcPr>
            <w:tcW w:w="1984"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8</w:t>
            </w:r>
          </w:p>
        </w:tc>
      </w:tr>
      <w:tr>
        <w:tc>
          <w:tcPr>
            <w:tcW w:w="1276"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9</w:t>
            </w:r>
          </w:p>
        </w:tc>
        <w:tc>
          <w:tcPr>
            <w:tcW w:w="1984"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36</w:t>
            </w:r>
          </w:p>
        </w:tc>
      </w:tr>
      <w:tr>
        <w:tc>
          <w:tcPr>
            <w:tcW w:w="1276"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10</w:t>
            </w:r>
          </w:p>
        </w:tc>
        <w:tc>
          <w:tcPr>
            <w:tcW w:w="1984"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120</w:t>
            </w:r>
          </w:p>
        </w:tc>
      </w:tr>
      <w:tr>
        <w:tc>
          <w:tcPr>
            <w:tcW w:w="1276"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11</w:t>
            </w:r>
          </w:p>
        </w:tc>
        <w:tc>
          <w:tcPr>
            <w:tcW w:w="1984"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330</w:t>
            </w:r>
          </w:p>
        </w:tc>
      </w:tr>
      <w:tr>
        <w:tc>
          <w:tcPr>
            <w:tcW w:w="1276"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12</w:t>
            </w:r>
          </w:p>
        </w:tc>
        <w:tc>
          <w:tcPr>
            <w:tcW w:w="1984"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792</w:t>
            </w:r>
          </w:p>
        </w:tc>
      </w:tr>
      <w:tr>
        <w:tc>
          <w:tcPr>
            <w:tcW w:w="1276"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13</w:t>
            </w:r>
          </w:p>
        </w:tc>
        <w:tc>
          <w:tcPr>
            <w:tcW w:w="1984"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1 716</w:t>
            </w:r>
          </w:p>
        </w:tc>
      </w:tr>
      <w:tr>
        <w:tc>
          <w:tcPr>
            <w:tcW w:w="1276"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14</w:t>
            </w:r>
          </w:p>
        </w:tc>
        <w:tc>
          <w:tcPr>
            <w:tcW w:w="1984"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3 432</w:t>
            </w:r>
          </w:p>
        </w:tc>
      </w:tr>
      <w:tr>
        <w:tc>
          <w:tcPr>
            <w:tcW w:w="1276"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15</w:t>
            </w:r>
          </w:p>
        </w:tc>
        <w:tc>
          <w:tcPr>
            <w:tcW w:w="1984"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6 435</w:t>
            </w:r>
          </w:p>
        </w:tc>
      </w:tr>
      <w:tr>
        <w:tc>
          <w:tcPr>
            <w:tcW w:w="1276"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16</w:t>
            </w:r>
          </w:p>
        </w:tc>
        <w:tc>
          <w:tcPr>
            <w:tcW w:w="1984"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11 440</w:t>
            </w:r>
          </w:p>
        </w:tc>
      </w:tr>
      <w:tr>
        <w:tc>
          <w:tcPr>
            <w:tcW w:w="1276"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17</w:t>
            </w:r>
          </w:p>
        </w:tc>
        <w:tc>
          <w:tcPr>
            <w:tcW w:w="1984"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19 448</w:t>
            </w:r>
          </w:p>
        </w:tc>
      </w:tr>
      <w:tr>
        <w:tc>
          <w:tcPr>
            <w:tcW w:w="1276"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18</w:t>
            </w:r>
          </w:p>
        </w:tc>
        <w:tc>
          <w:tcPr>
            <w:tcW w:w="1984"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31 824</w:t>
            </w:r>
          </w:p>
        </w:tc>
      </w:tr>
      <w:tr>
        <w:tc>
          <w:tcPr>
            <w:tcW w:w="1276"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19</w:t>
            </w:r>
          </w:p>
        </w:tc>
        <w:tc>
          <w:tcPr>
            <w:tcW w:w="1984"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50 388</w:t>
            </w:r>
          </w:p>
        </w:tc>
      </w:tr>
    </w:tbl>
    <w:p>
      <w:pPr>
        <w:pStyle w:val="yHeading3"/>
        <w:keepLines/>
        <w:spacing w:after="240"/>
      </w:pPr>
      <w:bookmarkStart w:id="703" w:name="_Toc34139633"/>
      <w:bookmarkStart w:id="704" w:name="_Toc34139845"/>
      <w:bookmarkStart w:id="705" w:name="_Toc34148022"/>
      <w:bookmarkStart w:id="706" w:name="_Toc34207575"/>
      <w:bookmarkStart w:id="707" w:name="_Toc34291570"/>
      <w:bookmarkStart w:id="708" w:name="_Toc25657478"/>
      <w:bookmarkStart w:id="709" w:name="_Toc25760944"/>
      <w:bookmarkStart w:id="710" w:name="_Toc25761273"/>
      <w:r>
        <w:rPr>
          <w:rStyle w:val="CharSDivNo"/>
        </w:rPr>
        <w:t>Division 3</w:t>
      </w:r>
      <w:r>
        <w:t> — </w:t>
      </w:r>
      <w:r>
        <w:rPr>
          <w:rStyle w:val="CharSDivText"/>
        </w:rPr>
        <w:t>Summary of parameters within which OZ Lotto is conducted</w:t>
      </w:r>
      <w:bookmarkEnd w:id="703"/>
      <w:bookmarkEnd w:id="704"/>
      <w:bookmarkEnd w:id="705"/>
      <w:bookmarkEnd w:id="706"/>
      <w:bookmarkEnd w:id="707"/>
      <w:bookmarkEnd w:id="708"/>
      <w:bookmarkEnd w:id="709"/>
      <w:bookmarkEnd w:id="710"/>
    </w:p>
    <w:tbl>
      <w:tblPr>
        <w:tblW w:w="6946" w:type="dxa"/>
        <w:tblInd w:w="283" w:type="dxa"/>
        <w:tblLayout w:type="fixed"/>
        <w:tblCellMar>
          <w:left w:w="141" w:type="dxa"/>
          <w:right w:w="141" w:type="dxa"/>
        </w:tblCellMar>
        <w:tblLook w:val="0000" w:firstRow="0" w:lastRow="0" w:firstColumn="0" w:lastColumn="0" w:noHBand="0" w:noVBand="0"/>
      </w:tblPr>
      <w:tblGrid>
        <w:gridCol w:w="4058"/>
        <w:gridCol w:w="2888"/>
      </w:tblGrid>
      <w:tr>
        <w:trPr>
          <w:cantSplit/>
        </w:trPr>
        <w:tc>
          <w:tcPr>
            <w:tcW w:w="4058" w:type="dxa"/>
          </w:tcPr>
          <w:p>
            <w:pPr>
              <w:pStyle w:val="yTableNAm"/>
              <w:keepNext/>
              <w:keepLines/>
              <w:rPr>
                <w:szCs w:val="22"/>
              </w:rPr>
            </w:pPr>
            <w:r>
              <w:rPr>
                <w:szCs w:val="22"/>
              </w:rPr>
              <w:t>Unit cost for the OZ Lotto draw</w:t>
            </w:r>
          </w:p>
        </w:tc>
        <w:tc>
          <w:tcPr>
            <w:tcW w:w="2888" w:type="dxa"/>
          </w:tcPr>
          <w:p>
            <w:pPr>
              <w:pStyle w:val="yTableNAm"/>
              <w:keepNext/>
              <w:keepLines/>
              <w:rPr>
                <w:szCs w:val="22"/>
              </w:rPr>
            </w:pPr>
            <w:r>
              <w:rPr>
                <w:szCs w:val="22"/>
              </w:rPr>
              <w:t xml:space="preserve">$1.20 </w:t>
            </w:r>
            <w:r>
              <w:rPr>
                <w:szCs w:val="22"/>
              </w:rPr>
              <w:br/>
              <w:t xml:space="preserve">(+ a </w:t>
            </w:r>
            <w:r>
              <w:rPr>
                <w:rFonts w:eastAsia="Calibri"/>
              </w:rPr>
              <w:t>10%</w:t>
            </w:r>
            <w:r>
              <w:rPr>
                <w:szCs w:val="22"/>
              </w:rPr>
              <w:t xml:space="preserve"> agent’s component)</w:t>
            </w:r>
          </w:p>
        </w:tc>
      </w:tr>
      <w:tr>
        <w:trPr>
          <w:cantSplit/>
        </w:trPr>
        <w:tc>
          <w:tcPr>
            <w:tcW w:w="4058" w:type="dxa"/>
          </w:tcPr>
          <w:p>
            <w:pPr>
              <w:pStyle w:val="yTableNAm"/>
              <w:keepNext/>
              <w:keepLines/>
              <w:rPr>
                <w:spacing w:val="-2"/>
                <w:szCs w:val="22"/>
              </w:rPr>
            </w:pPr>
            <w:r>
              <w:rPr>
                <w:spacing w:val="-2"/>
                <w:szCs w:val="22"/>
              </w:rPr>
              <w:t>Prize fund — % subscriptions</w:t>
            </w:r>
          </w:p>
        </w:tc>
        <w:tc>
          <w:tcPr>
            <w:tcW w:w="2888" w:type="dxa"/>
          </w:tcPr>
          <w:p>
            <w:pPr>
              <w:pStyle w:val="yTableNAm"/>
              <w:keepNext/>
              <w:keepLines/>
              <w:rPr>
                <w:spacing w:val="-2"/>
                <w:szCs w:val="22"/>
              </w:rPr>
            </w:pPr>
            <w:r>
              <w:rPr>
                <w:spacing w:val="-2"/>
                <w:szCs w:val="22"/>
              </w:rPr>
              <w:t>60.0%</w:t>
            </w:r>
          </w:p>
        </w:tc>
      </w:tr>
      <w:tr>
        <w:trPr>
          <w:cantSplit/>
        </w:trPr>
        <w:tc>
          <w:tcPr>
            <w:tcW w:w="4058" w:type="dxa"/>
          </w:tcPr>
          <w:p>
            <w:pPr>
              <w:pStyle w:val="yTableNAm"/>
              <w:keepNext/>
              <w:keepLines/>
              <w:rPr>
                <w:spacing w:val="-2"/>
                <w:szCs w:val="22"/>
              </w:rPr>
            </w:pPr>
            <w:r>
              <w:rPr>
                <w:szCs w:val="22"/>
              </w:rPr>
              <w:t>Prize pool — % of subscriptions</w:t>
            </w:r>
          </w:p>
        </w:tc>
        <w:tc>
          <w:tcPr>
            <w:tcW w:w="2888" w:type="dxa"/>
          </w:tcPr>
          <w:p>
            <w:pPr>
              <w:pStyle w:val="yTableNAm"/>
              <w:keepNext/>
              <w:keepLines/>
              <w:rPr>
                <w:spacing w:val="-2"/>
                <w:szCs w:val="22"/>
              </w:rPr>
            </w:pPr>
            <w:r>
              <w:rPr>
                <w:szCs w:val="22"/>
              </w:rPr>
              <w:t>no less than 55.0%</w:t>
            </w:r>
          </w:p>
        </w:tc>
      </w:tr>
      <w:tr>
        <w:trPr>
          <w:cantSplit/>
        </w:trPr>
        <w:tc>
          <w:tcPr>
            <w:tcW w:w="4058" w:type="dxa"/>
          </w:tcPr>
          <w:p>
            <w:pPr>
              <w:pStyle w:val="yTableNAm"/>
              <w:keepNext/>
              <w:keepLines/>
              <w:rPr>
                <w:szCs w:val="22"/>
              </w:rPr>
            </w:pPr>
            <w:r>
              <w:rPr>
                <w:szCs w:val="22"/>
              </w:rPr>
              <w:t>Prize reserve fund — % of subscriptions</w:t>
            </w:r>
          </w:p>
        </w:tc>
        <w:tc>
          <w:tcPr>
            <w:tcW w:w="2888" w:type="dxa"/>
          </w:tcPr>
          <w:p>
            <w:pPr>
              <w:pStyle w:val="yTableNAm"/>
              <w:keepNext/>
              <w:keepLines/>
              <w:rPr>
                <w:szCs w:val="22"/>
              </w:rPr>
            </w:pPr>
            <w:r>
              <w:rPr>
                <w:szCs w:val="22"/>
              </w:rPr>
              <w:t>balance of prize fund after prize pool (up to 5.0%)</w:t>
            </w:r>
          </w:p>
        </w:tc>
      </w:tr>
      <w:tr>
        <w:tc>
          <w:tcPr>
            <w:tcW w:w="4058" w:type="dxa"/>
          </w:tcPr>
          <w:p>
            <w:pPr>
              <w:pStyle w:val="yTableNAm"/>
              <w:rPr>
                <w:spacing w:val="-2"/>
                <w:szCs w:val="22"/>
              </w:rPr>
            </w:pPr>
            <w:r>
              <w:rPr>
                <w:spacing w:val="-2"/>
                <w:szCs w:val="22"/>
              </w:rPr>
              <w:t>Number of divisions</w:t>
            </w:r>
          </w:p>
        </w:tc>
        <w:tc>
          <w:tcPr>
            <w:tcW w:w="2888" w:type="dxa"/>
          </w:tcPr>
          <w:p>
            <w:pPr>
              <w:pStyle w:val="yTableNAm"/>
              <w:rPr>
                <w:spacing w:val="-2"/>
                <w:szCs w:val="22"/>
              </w:rPr>
            </w:pPr>
            <w:r>
              <w:rPr>
                <w:spacing w:val="-2"/>
                <w:szCs w:val="22"/>
              </w:rPr>
              <w:t>7</w:t>
            </w:r>
          </w:p>
        </w:tc>
      </w:tr>
      <w:tr>
        <w:tc>
          <w:tcPr>
            <w:tcW w:w="4058" w:type="dxa"/>
          </w:tcPr>
          <w:p>
            <w:pPr>
              <w:pStyle w:val="yTableNAm"/>
              <w:rPr>
                <w:spacing w:val="-2"/>
                <w:szCs w:val="22"/>
              </w:rPr>
            </w:pPr>
            <w:r>
              <w:rPr>
                <w:spacing w:val="-2"/>
                <w:szCs w:val="22"/>
              </w:rPr>
              <w:t>Winning numbers drawn</w:t>
            </w:r>
          </w:p>
        </w:tc>
        <w:tc>
          <w:tcPr>
            <w:tcW w:w="2888" w:type="dxa"/>
          </w:tcPr>
          <w:p>
            <w:pPr>
              <w:pStyle w:val="yTableNAm"/>
              <w:rPr>
                <w:spacing w:val="-2"/>
                <w:szCs w:val="22"/>
              </w:rPr>
            </w:pPr>
            <w:r>
              <w:rPr>
                <w:spacing w:val="-2"/>
                <w:szCs w:val="22"/>
              </w:rPr>
              <w:t>7</w:t>
            </w:r>
          </w:p>
        </w:tc>
      </w:tr>
      <w:tr>
        <w:tc>
          <w:tcPr>
            <w:tcW w:w="4058" w:type="dxa"/>
          </w:tcPr>
          <w:p>
            <w:pPr>
              <w:pStyle w:val="yTableNAm"/>
              <w:rPr>
                <w:spacing w:val="-2"/>
                <w:szCs w:val="22"/>
              </w:rPr>
            </w:pPr>
            <w:r>
              <w:rPr>
                <w:spacing w:val="-2"/>
                <w:szCs w:val="22"/>
              </w:rPr>
              <w:t>Supplementary numbers drawn</w:t>
            </w:r>
          </w:p>
        </w:tc>
        <w:tc>
          <w:tcPr>
            <w:tcW w:w="2888" w:type="dxa"/>
          </w:tcPr>
          <w:p>
            <w:pPr>
              <w:pStyle w:val="yTableNAm"/>
              <w:rPr>
                <w:spacing w:val="-2"/>
                <w:szCs w:val="22"/>
              </w:rPr>
            </w:pPr>
            <w:r>
              <w:rPr>
                <w:spacing w:val="-2"/>
                <w:szCs w:val="22"/>
              </w:rPr>
              <w:t>2</w:t>
            </w:r>
          </w:p>
        </w:tc>
      </w:tr>
      <w:tr>
        <w:tc>
          <w:tcPr>
            <w:tcW w:w="4058" w:type="dxa"/>
          </w:tcPr>
          <w:p>
            <w:pPr>
              <w:pStyle w:val="yTableNAm"/>
              <w:rPr>
                <w:spacing w:val="-2"/>
                <w:szCs w:val="22"/>
              </w:rPr>
            </w:pPr>
            <w:r>
              <w:rPr>
                <w:spacing w:val="-2"/>
                <w:szCs w:val="22"/>
              </w:rPr>
              <w:t xml:space="preserve">Odds of winning — </w:t>
            </w:r>
          </w:p>
        </w:tc>
        <w:tc>
          <w:tcPr>
            <w:tcW w:w="2888" w:type="dxa"/>
          </w:tcPr>
          <w:p>
            <w:pPr>
              <w:pStyle w:val="yTableNAm"/>
              <w:rPr>
                <w:spacing w:val="-2"/>
                <w:szCs w:val="22"/>
              </w:rPr>
            </w:pPr>
          </w:p>
        </w:tc>
      </w:tr>
      <w:tr>
        <w:tc>
          <w:tcPr>
            <w:tcW w:w="4058" w:type="dxa"/>
          </w:tcPr>
          <w:p>
            <w:pPr>
              <w:pStyle w:val="yTableNAm"/>
              <w:rPr>
                <w:spacing w:val="-2"/>
                <w:szCs w:val="22"/>
              </w:rPr>
            </w:pPr>
            <w:r>
              <w:rPr>
                <w:spacing w:val="-2"/>
                <w:szCs w:val="22"/>
              </w:rPr>
              <w:t>division 1</w:t>
            </w:r>
          </w:p>
        </w:tc>
        <w:tc>
          <w:tcPr>
            <w:tcW w:w="2888" w:type="dxa"/>
          </w:tcPr>
          <w:p>
            <w:pPr>
              <w:pStyle w:val="yTableNAm"/>
              <w:rPr>
                <w:spacing w:val="-2"/>
                <w:szCs w:val="22"/>
              </w:rPr>
            </w:pPr>
            <w:r>
              <w:rPr>
                <w:spacing w:val="-2"/>
                <w:szCs w:val="22"/>
              </w:rPr>
              <w:t>1 in 45 379 620</w:t>
            </w:r>
          </w:p>
        </w:tc>
      </w:tr>
      <w:tr>
        <w:tc>
          <w:tcPr>
            <w:tcW w:w="4058" w:type="dxa"/>
          </w:tcPr>
          <w:p>
            <w:pPr>
              <w:pStyle w:val="yTableNAm"/>
              <w:rPr>
                <w:spacing w:val="-2"/>
                <w:szCs w:val="22"/>
              </w:rPr>
            </w:pPr>
            <w:r>
              <w:rPr>
                <w:spacing w:val="-2"/>
                <w:szCs w:val="22"/>
              </w:rPr>
              <w:t>division 2</w:t>
            </w:r>
          </w:p>
        </w:tc>
        <w:tc>
          <w:tcPr>
            <w:tcW w:w="2888" w:type="dxa"/>
          </w:tcPr>
          <w:p>
            <w:pPr>
              <w:pStyle w:val="yTableNAm"/>
              <w:rPr>
                <w:spacing w:val="-2"/>
                <w:szCs w:val="22"/>
              </w:rPr>
            </w:pPr>
            <w:r>
              <w:rPr>
                <w:spacing w:val="-2"/>
                <w:szCs w:val="22"/>
              </w:rPr>
              <w:t>1 in 3 241 401</w:t>
            </w:r>
          </w:p>
        </w:tc>
      </w:tr>
      <w:tr>
        <w:tc>
          <w:tcPr>
            <w:tcW w:w="4058" w:type="dxa"/>
          </w:tcPr>
          <w:p>
            <w:pPr>
              <w:pStyle w:val="yTableNAm"/>
              <w:rPr>
                <w:spacing w:val="-2"/>
                <w:szCs w:val="22"/>
              </w:rPr>
            </w:pPr>
            <w:r>
              <w:rPr>
                <w:spacing w:val="-2"/>
                <w:szCs w:val="22"/>
              </w:rPr>
              <w:t>division 3</w:t>
            </w:r>
          </w:p>
        </w:tc>
        <w:tc>
          <w:tcPr>
            <w:tcW w:w="2888" w:type="dxa"/>
          </w:tcPr>
          <w:p>
            <w:pPr>
              <w:pStyle w:val="yTableNAm"/>
              <w:rPr>
                <w:spacing w:val="-2"/>
                <w:szCs w:val="22"/>
              </w:rPr>
            </w:pPr>
            <w:r>
              <w:rPr>
                <w:spacing w:val="-2"/>
                <w:szCs w:val="22"/>
              </w:rPr>
              <w:t>1 in 180 078</w:t>
            </w:r>
          </w:p>
        </w:tc>
      </w:tr>
      <w:tr>
        <w:tc>
          <w:tcPr>
            <w:tcW w:w="4058" w:type="dxa"/>
          </w:tcPr>
          <w:p>
            <w:pPr>
              <w:pStyle w:val="yTableNAm"/>
              <w:rPr>
                <w:spacing w:val="-2"/>
                <w:szCs w:val="22"/>
              </w:rPr>
            </w:pPr>
            <w:r>
              <w:rPr>
                <w:spacing w:val="-2"/>
                <w:szCs w:val="22"/>
              </w:rPr>
              <w:t>division 4</w:t>
            </w:r>
          </w:p>
        </w:tc>
        <w:tc>
          <w:tcPr>
            <w:tcW w:w="2888" w:type="dxa"/>
          </w:tcPr>
          <w:p>
            <w:pPr>
              <w:pStyle w:val="yTableNAm"/>
              <w:rPr>
                <w:spacing w:val="-2"/>
                <w:szCs w:val="22"/>
              </w:rPr>
            </w:pPr>
            <w:r>
              <w:rPr>
                <w:spacing w:val="-2"/>
                <w:szCs w:val="22"/>
              </w:rPr>
              <w:t>1 in 29 602</w:t>
            </w:r>
          </w:p>
        </w:tc>
      </w:tr>
      <w:tr>
        <w:tc>
          <w:tcPr>
            <w:tcW w:w="4058" w:type="dxa"/>
          </w:tcPr>
          <w:p>
            <w:pPr>
              <w:pStyle w:val="yTableNAm"/>
              <w:rPr>
                <w:spacing w:val="-2"/>
                <w:szCs w:val="22"/>
              </w:rPr>
            </w:pPr>
            <w:r>
              <w:rPr>
                <w:spacing w:val="-2"/>
                <w:szCs w:val="22"/>
              </w:rPr>
              <w:t>division 5</w:t>
            </w:r>
          </w:p>
        </w:tc>
        <w:tc>
          <w:tcPr>
            <w:tcW w:w="2888" w:type="dxa"/>
          </w:tcPr>
          <w:p>
            <w:pPr>
              <w:pStyle w:val="yTableNAm"/>
              <w:rPr>
                <w:spacing w:val="-2"/>
                <w:szCs w:val="22"/>
              </w:rPr>
            </w:pPr>
            <w:r>
              <w:rPr>
                <w:spacing w:val="-2"/>
                <w:szCs w:val="22"/>
              </w:rPr>
              <w:t>1 in 3 430</w:t>
            </w:r>
          </w:p>
        </w:tc>
      </w:tr>
      <w:tr>
        <w:tc>
          <w:tcPr>
            <w:tcW w:w="4058" w:type="dxa"/>
          </w:tcPr>
          <w:p>
            <w:pPr>
              <w:pStyle w:val="yTableNAm"/>
              <w:rPr>
                <w:spacing w:val="-2"/>
                <w:szCs w:val="22"/>
              </w:rPr>
            </w:pPr>
            <w:r>
              <w:rPr>
                <w:spacing w:val="-2"/>
                <w:szCs w:val="22"/>
              </w:rPr>
              <w:t>division 6</w:t>
            </w:r>
          </w:p>
        </w:tc>
        <w:tc>
          <w:tcPr>
            <w:tcW w:w="2888" w:type="dxa"/>
          </w:tcPr>
          <w:p>
            <w:pPr>
              <w:pStyle w:val="yTableNAm"/>
              <w:rPr>
                <w:spacing w:val="-2"/>
                <w:szCs w:val="22"/>
              </w:rPr>
            </w:pPr>
            <w:r>
              <w:rPr>
                <w:spacing w:val="-2"/>
                <w:szCs w:val="22"/>
              </w:rPr>
              <w:t>1 in 154</w:t>
            </w:r>
          </w:p>
        </w:tc>
      </w:tr>
      <w:tr>
        <w:tc>
          <w:tcPr>
            <w:tcW w:w="4058" w:type="dxa"/>
          </w:tcPr>
          <w:p>
            <w:pPr>
              <w:pStyle w:val="yTableNAm"/>
              <w:rPr>
                <w:spacing w:val="-2"/>
                <w:szCs w:val="22"/>
              </w:rPr>
            </w:pPr>
            <w:r>
              <w:rPr>
                <w:spacing w:val="-2"/>
                <w:szCs w:val="22"/>
              </w:rPr>
              <w:t>division 7</w:t>
            </w:r>
          </w:p>
        </w:tc>
        <w:tc>
          <w:tcPr>
            <w:tcW w:w="2888" w:type="dxa"/>
          </w:tcPr>
          <w:p>
            <w:pPr>
              <w:pStyle w:val="yTableNAm"/>
              <w:rPr>
                <w:spacing w:val="-2"/>
                <w:szCs w:val="22"/>
              </w:rPr>
            </w:pPr>
            <w:r>
              <w:rPr>
                <w:spacing w:val="-2"/>
                <w:szCs w:val="22"/>
              </w:rPr>
              <w:t>1 in 87</w:t>
            </w:r>
          </w:p>
        </w:tc>
      </w:tr>
      <w:tr>
        <w:tc>
          <w:tcPr>
            <w:tcW w:w="4058" w:type="dxa"/>
          </w:tcPr>
          <w:p>
            <w:pPr>
              <w:pStyle w:val="yTableNAm"/>
              <w:rPr>
                <w:spacing w:val="-2"/>
                <w:szCs w:val="22"/>
              </w:rPr>
            </w:pPr>
            <w:r>
              <w:rPr>
                <w:spacing w:val="-2"/>
                <w:szCs w:val="22"/>
              </w:rPr>
              <w:t>Any prize</w:t>
            </w:r>
          </w:p>
        </w:tc>
        <w:tc>
          <w:tcPr>
            <w:tcW w:w="2888" w:type="dxa"/>
          </w:tcPr>
          <w:p>
            <w:pPr>
              <w:pStyle w:val="yTableNAm"/>
              <w:rPr>
                <w:spacing w:val="-2"/>
                <w:szCs w:val="22"/>
              </w:rPr>
            </w:pPr>
            <w:r>
              <w:rPr>
                <w:spacing w:val="-2"/>
                <w:szCs w:val="22"/>
              </w:rPr>
              <w:t>1 in 55</w:t>
            </w:r>
          </w:p>
        </w:tc>
      </w:tr>
      <w:tr>
        <w:tc>
          <w:tcPr>
            <w:tcW w:w="4058" w:type="dxa"/>
          </w:tcPr>
          <w:p>
            <w:pPr>
              <w:pStyle w:val="yTableNAm"/>
              <w:rPr>
                <w:spacing w:val="-2"/>
                <w:szCs w:val="22"/>
              </w:rPr>
            </w:pPr>
            <w:r>
              <w:rPr>
                <w:spacing w:val="-2"/>
                <w:szCs w:val="22"/>
              </w:rPr>
              <w:t>Forecast range</w:t>
            </w:r>
          </w:p>
        </w:tc>
        <w:tc>
          <w:tcPr>
            <w:tcW w:w="2888" w:type="dxa"/>
          </w:tcPr>
          <w:p>
            <w:pPr>
              <w:pStyle w:val="yTableNAm"/>
              <w:rPr>
                <w:spacing w:val="-2"/>
                <w:szCs w:val="22"/>
              </w:rPr>
            </w:pPr>
            <w:r>
              <w:rPr>
                <w:spacing w:val="-2"/>
                <w:szCs w:val="22"/>
              </w:rPr>
              <w:t>1 to 45 inclusive</w:t>
            </w:r>
          </w:p>
        </w:tc>
      </w:tr>
      <w:tr>
        <w:tc>
          <w:tcPr>
            <w:tcW w:w="4058" w:type="dxa"/>
          </w:tcPr>
          <w:p>
            <w:pPr>
              <w:pStyle w:val="yTableNAm"/>
              <w:rPr>
                <w:spacing w:val="-2"/>
                <w:szCs w:val="22"/>
              </w:rPr>
            </w:pPr>
            <w:r>
              <w:rPr>
                <w:spacing w:val="-2"/>
                <w:szCs w:val="22"/>
              </w:rPr>
              <w:t>Systems range</w:t>
            </w:r>
          </w:p>
        </w:tc>
        <w:tc>
          <w:tcPr>
            <w:tcW w:w="2888" w:type="dxa"/>
          </w:tcPr>
          <w:p>
            <w:pPr>
              <w:pStyle w:val="yTableNAm"/>
              <w:rPr>
                <w:spacing w:val="-2"/>
                <w:szCs w:val="22"/>
              </w:rPr>
            </w:pPr>
            <w:r>
              <w:rPr>
                <w:spacing w:val="-2"/>
                <w:szCs w:val="22"/>
              </w:rPr>
              <w:t>4</w:t>
            </w:r>
            <w:r>
              <w:rPr>
                <w:spacing w:val="-2"/>
                <w:szCs w:val="22"/>
              </w:rPr>
              <w:noBreakHyphen/>
              <w:t>6/8</w:t>
            </w:r>
            <w:r>
              <w:rPr>
                <w:spacing w:val="-2"/>
                <w:szCs w:val="22"/>
              </w:rPr>
              <w:noBreakHyphen/>
              <w:t>19 inclusive</w:t>
            </w:r>
          </w:p>
        </w:tc>
      </w:tr>
      <w:tr>
        <w:tc>
          <w:tcPr>
            <w:tcW w:w="4058" w:type="dxa"/>
          </w:tcPr>
          <w:p>
            <w:pPr>
              <w:pStyle w:val="yTableNAm"/>
              <w:rPr>
                <w:spacing w:val="-2"/>
                <w:szCs w:val="22"/>
              </w:rPr>
            </w:pPr>
            <w:r>
              <w:rPr>
                <w:spacing w:val="-2"/>
                <w:szCs w:val="22"/>
              </w:rPr>
              <w:t>Multiweek options (</w:t>
            </w:r>
            <w:bookmarkStart w:id="711" w:name="RuleErr_21"/>
            <w:r>
              <w:rPr>
                <w:i/>
                <w:spacing w:val="-2"/>
                <w:szCs w:val="22"/>
              </w:rPr>
              <w:t>if available</w:t>
            </w:r>
            <w:bookmarkEnd w:id="711"/>
            <w:r>
              <w:rPr>
                <w:spacing w:val="-2"/>
                <w:szCs w:val="22"/>
              </w:rPr>
              <w:t>)</w:t>
            </w:r>
          </w:p>
        </w:tc>
        <w:tc>
          <w:tcPr>
            <w:tcW w:w="2888" w:type="dxa"/>
          </w:tcPr>
          <w:p>
            <w:pPr>
              <w:pStyle w:val="yTableNAm"/>
              <w:rPr>
                <w:spacing w:val="-2"/>
                <w:szCs w:val="22"/>
              </w:rPr>
            </w:pPr>
            <w:r>
              <w:rPr>
                <w:szCs w:val="22"/>
              </w:rPr>
              <w:t>Up to</w:t>
            </w:r>
            <w:r>
              <w:rPr>
                <w:spacing w:val="-2"/>
                <w:szCs w:val="22"/>
              </w:rPr>
              <w:t xml:space="preserve"> 10 weeks</w:t>
            </w:r>
          </w:p>
        </w:tc>
      </w:tr>
      <w:tr>
        <w:tc>
          <w:tcPr>
            <w:tcW w:w="4058" w:type="dxa"/>
          </w:tcPr>
          <w:p>
            <w:pPr>
              <w:pStyle w:val="yTableNAm"/>
              <w:rPr>
                <w:spacing w:val="-2"/>
                <w:szCs w:val="22"/>
              </w:rPr>
            </w:pPr>
            <w:r>
              <w:rPr>
                <w:spacing w:val="-2"/>
                <w:szCs w:val="22"/>
              </w:rPr>
              <w:t>Advance sales (maximum) (</w:t>
            </w:r>
            <w:bookmarkStart w:id="712" w:name="RuleErr_22"/>
            <w:r>
              <w:rPr>
                <w:i/>
                <w:spacing w:val="-2"/>
                <w:szCs w:val="22"/>
              </w:rPr>
              <w:t>if available</w:t>
            </w:r>
            <w:bookmarkEnd w:id="712"/>
            <w:r>
              <w:rPr>
                <w:spacing w:val="-2"/>
                <w:szCs w:val="22"/>
              </w:rPr>
              <w:t>)</w:t>
            </w:r>
          </w:p>
        </w:tc>
        <w:tc>
          <w:tcPr>
            <w:tcW w:w="2888" w:type="dxa"/>
          </w:tcPr>
          <w:p>
            <w:pPr>
              <w:pStyle w:val="yTableNAm"/>
              <w:rPr>
                <w:spacing w:val="-2"/>
                <w:szCs w:val="22"/>
              </w:rPr>
            </w:pPr>
            <w:r>
              <w:rPr>
                <w:spacing w:val="-2"/>
                <w:szCs w:val="22"/>
              </w:rPr>
              <w:t>10 weeks</w:t>
            </w:r>
          </w:p>
        </w:tc>
      </w:tr>
      <w:tr>
        <w:tc>
          <w:tcPr>
            <w:tcW w:w="4058" w:type="dxa"/>
          </w:tcPr>
          <w:p>
            <w:pPr>
              <w:pStyle w:val="yTableNAm"/>
              <w:rPr>
                <w:spacing w:val="-2"/>
                <w:szCs w:val="22"/>
              </w:rPr>
            </w:pPr>
            <w:r>
              <w:rPr>
                <w:spacing w:val="-2"/>
                <w:szCs w:val="22"/>
              </w:rPr>
              <w:t>Entries per playslip (minimum)</w:t>
            </w:r>
          </w:p>
        </w:tc>
        <w:tc>
          <w:tcPr>
            <w:tcW w:w="2888" w:type="dxa"/>
          </w:tcPr>
          <w:p>
            <w:pPr>
              <w:pStyle w:val="yTableNAm"/>
              <w:rPr>
                <w:spacing w:val="-2"/>
                <w:szCs w:val="22"/>
              </w:rPr>
            </w:pPr>
            <w:r>
              <w:rPr>
                <w:spacing w:val="-2"/>
                <w:szCs w:val="22"/>
              </w:rPr>
              <w:t>1</w:t>
            </w:r>
          </w:p>
        </w:tc>
      </w:tr>
      <w:tr>
        <w:tc>
          <w:tcPr>
            <w:tcW w:w="4058" w:type="dxa"/>
          </w:tcPr>
          <w:p>
            <w:pPr>
              <w:pStyle w:val="yTableNAm"/>
              <w:rPr>
                <w:spacing w:val="-2"/>
                <w:szCs w:val="22"/>
              </w:rPr>
            </w:pPr>
            <w:r>
              <w:rPr>
                <w:szCs w:val="22"/>
              </w:rPr>
              <w:t xml:space="preserve">Entries per </w:t>
            </w:r>
            <w:r>
              <w:rPr>
                <w:spacing w:val="-2"/>
                <w:szCs w:val="22"/>
              </w:rPr>
              <w:t>playslip</w:t>
            </w:r>
            <w:r>
              <w:rPr>
                <w:szCs w:val="22"/>
              </w:rPr>
              <w:t xml:space="preserve"> (maximum)</w:t>
            </w:r>
          </w:p>
        </w:tc>
        <w:tc>
          <w:tcPr>
            <w:tcW w:w="2888" w:type="dxa"/>
          </w:tcPr>
          <w:p>
            <w:pPr>
              <w:pStyle w:val="yTableNAm"/>
              <w:rPr>
                <w:spacing w:val="-2"/>
                <w:szCs w:val="22"/>
              </w:rPr>
            </w:pPr>
            <w:r>
              <w:rPr>
                <w:szCs w:val="22"/>
              </w:rPr>
              <w:t>18</w:t>
            </w:r>
            <w:r>
              <w:rPr>
                <w:szCs w:val="22"/>
              </w:rPr>
              <w:br/>
              <w:t>(</w:t>
            </w:r>
            <w:bookmarkStart w:id="713" w:name="RuleErr_23"/>
            <w:r>
              <w:rPr>
                <w:i/>
                <w:szCs w:val="22"/>
              </w:rPr>
              <w:t>subject to maximum aggregate entry cost</w:t>
            </w:r>
            <w:bookmarkEnd w:id="713"/>
            <w:r>
              <w:rPr>
                <w:szCs w:val="22"/>
              </w:rPr>
              <w:t>)</w:t>
            </w:r>
          </w:p>
        </w:tc>
      </w:tr>
      <w:tr>
        <w:tc>
          <w:tcPr>
            <w:tcW w:w="4058" w:type="dxa"/>
          </w:tcPr>
          <w:p>
            <w:pPr>
              <w:pStyle w:val="yTableNAm"/>
              <w:rPr>
                <w:szCs w:val="22"/>
              </w:rPr>
            </w:pPr>
            <w:r>
              <w:rPr>
                <w:szCs w:val="22"/>
              </w:rPr>
              <w:t>Games per oral request (</w:t>
            </w:r>
            <w:bookmarkStart w:id="714" w:name="RuleErr_24"/>
            <w:r>
              <w:rPr>
                <w:i/>
                <w:iCs/>
                <w:szCs w:val="22"/>
              </w:rPr>
              <w:t>if available</w:t>
            </w:r>
            <w:bookmarkEnd w:id="714"/>
            <w:r>
              <w:rPr>
                <w:szCs w:val="22"/>
              </w:rPr>
              <w:t>)</w:t>
            </w:r>
          </w:p>
        </w:tc>
        <w:tc>
          <w:tcPr>
            <w:tcW w:w="2888" w:type="dxa"/>
          </w:tcPr>
          <w:p>
            <w:pPr>
              <w:pStyle w:val="yTableNAm"/>
              <w:rPr>
                <w:szCs w:val="22"/>
              </w:rPr>
            </w:pPr>
            <w:r>
              <w:rPr>
                <w:szCs w:val="22"/>
              </w:rPr>
              <w:t>1 to 50</w:t>
            </w:r>
          </w:p>
        </w:tc>
      </w:tr>
      <w:tr>
        <w:tc>
          <w:tcPr>
            <w:tcW w:w="4058" w:type="dxa"/>
          </w:tcPr>
          <w:p>
            <w:pPr>
              <w:pStyle w:val="yTableNAm"/>
              <w:rPr>
                <w:szCs w:val="22"/>
              </w:rPr>
            </w:pPr>
            <w:r>
              <w:rPr>
                <w:szCs w:val="22"/>
              </w:rPr>
              <w:t>Syndicate entries may be purchased (</w:t>
            </w:r>
            <w:bookmarkStart w:id="715" w:name="RuleErr_25"/>
            <w:r>
              <w:rPr>
                <w:i/>
                <w:iCs/>
                <w:szCs w:val="22"/>
              </w:rPr>
              <w:t>if available</w:t>
            </w:r>
            <w:bookmarkEnd w:id="715"/>
            <w:r>
              <w:rPr>
                <w:szCs w:val="22"/>
              </w:rPr>
              <w:t>)</w:t>
            </w:r>
          </w:p>
        </w:tc>
        <w:tc>
          <w:tcPr>
            <w:tcW w:w="2888" w:type="dxa"/>
          </w:tcPr>
          <w:p>
            <w:pPr>
              <w:pStyle w:val="yTableNAm"/>
              <w:rPr>
                <w:szCs w:val="22"/>
              </w:rPr>
            </w:pPr>
            <w:r>
              <w:rPr>
                <w:szCs w:val="22"/>
              </w:rPr>
              <w:t>(see Part 2 Division 3)</w:t>
            </w:r>
          </w:p>
        </w:tc>
      </w:tr>
      <w:tr>
        <w:tc>
          <w:tcPr>
            <w:tcW w:w="4058" w:type="dxa"/>
          </w:tcPr>
          <w:p>
            <w:pPr>
              <w:pStyle w:val="yTableNAm"/>
              <w:rPr>
                <w:spacing w:val="-2"/>
                <w:szCs w:val="22"/>
              </w:rPr>
            </w:pPr>
            <w:r>
              <w:rPr>
                <w:spacing w:val="-2"/>
                <w:szCs w:val="22"/>
              </w:rPr>
              <w:t>System entries per oral request</w:t>
            </w:r>
          </w:p>
        </w:tc>
        <w:tc>
          <w:tcPr>
            <w:tcW w:w="2888" w:type="dxa"/>
          </w:tcPr>
          <w:p>
            <w:pPr>
              <w:pStyle w:val="yTableNAm"/>
              <w:rPr>
                <w:spacing w:val="-2"/>
                <w:szCs w:val="22"/>
              </w:rPr>
            </w:pPr>
            <w:r>
              <w:rPr>
                <w:szCs w:val="22"/>
              </w:rPr>
              <w:t>Up to 50</w:t>
            </w:r>
          </w:p>
        </w:tc>
      </w:tr>
      <w:tr>
        <w:tc>
          <w:tcPr>
            <w:tcW w:w="4058" w:type="dxa"/>
          </w:tcPr>
          <w:p>
            <w:pPr>
              <w:pStyle w:val="yTableNAm"/>
              <w:rPr>
                <w:spacing w:val="-2"/>
                <w:szCs w:val="22"/>
              </w:rPr>
            </w:pPr>
            <w:r>
              <w:rPr>
                <w:spacing w:val="-2"/>
                <w:szCs w:val="22"/>
              </w:rPr>
              <w:t>Prize payment period</w:t>
            </w:r>
          </w:p>
        </w:tc>
        <w:tc>
          <w:tcPr>
            <w:tcW w:w="2888" w:type="dxa"/>
          </w:tcPr>
          <w:p>
            <w:pPr>
              <w:pStyle w:val="yTableNAm"/>
              <w:rPr>
                <w:spacing w:val="-2"/>
                <w:szCs w:val="22"/>
              </w:rPr>
            </w:pPr>
            <w:r>
              <w:rPr>
                <w:spacing w:val="-2"/>
                <w:szCs w:val="22"/>
              </w:rPr>
              <w:t>12 months</w:t>
            </w:r>
          </w:p>
        </w:tc>
      </w:tr>
      <w:tr>
        <w:tc>
          <w:tcPr>
            <w:tcW w:w="4058" w:type="dxa"/>
          </w:tcPr>
          <w:p>
            <w:pPr>
              <w:pStyle w:val="yTableNAm"/>
              <w:rPr>
                <w:spacing w:val="-2"/>
                <w:szCs w:val="22"/>
              </w:rPr>
            </w:pPr>
            <w:r>
              <w:rPr>
                <w:szCs w:val="22"/>
              </w:rPr>
              <w:t>Maximum aggregate entry cost</w:t>
            </w:r>
          </w:p>
        </w:tc>
        <w:tc>
          <w:tcPr>
            <w:tcW w:w="2888" w:type="dxa"/>
          </w:tcPr>
          <w:p>
            <w:pPr>
              <w:pStyle w:val="yTableNAm"/>
              <w:rPr>
                <w:spacing w:val="-2"/>
                <w:szCs w:val="22"/>
              </w:rPr>
            </w:pPr>
            <w:r>
              <w:rPr>
                <w:szCs w:val="22"/>
              </w:rPr>
              <w:t>$100 000</w:t>
            </w:r>
          </w:p>
        </w:tc>
      </w:tr>
    </w:tbl>
    <w:p>
      <w:pPr>
        <w:pStyle w:val="yFootnotesection"/>
      </w:pPr>
      <w:r>
        <w:tab/>
        <w:t>[Division 3 amended: Gazette 4 Oct 2017 p. 5147; 12 Nov 2019 p. 4020.]</w:t>
      </w:r>
    </w:p>
    <w:p>
      <w:pPr>
        <w:pStyle w:val="yScheduleHeading"/>
      </w:pPr>
      <w:bookmarkStart w:id="716" w:name="_Toc34139634"/>
      <w:bookmarkStart w:id="717" w:name="_Toc34139846"/>
      <w:bookmarkStart w:id="718" w:name="_Toc34148023"/>
      <w:bookmarkStart w:id="719" w:name="_Toc34207576"/>
      <w:bookmarkStart w:id="720" w:name="_Toc34291571"/>
      <w:bookmarkStart w:id="721" w:name="_Toc25657479"/>
      <w:bookmarkStart w:id="722" w:name="_Toc25760945"/>
      <w:bookmarkStart w:id="723" w:name="_Toc25761274"/>
      <w:r>
        <w:rPr>
          <w:rStyle w:val="CharSchNo"/>
        </w:rPr>
        <w:t>Schedule 5</w:t>
      </w:r>
      <w:r>
        <w:t> — </w:t>
      </w:r>
      <w:r>
        <w:rPr>
          <w:rStyle w:val="CharSchText"/>
        </w:rPr>
        <w:t>Powerball</w:t>
      </w:r>
      <w:bookmarkEnd w:id="716"/>
      <w:bookmarkEnd w:id="717"/>
      <w:bookmarkEnd w:id="718"/>
      <w:bookmarkEnd w:id="719"/>
      <w:bookmarkEnd w:id="720"/>
      <w:bookmarkEnd w:id="721"/>
      <w:bookmarkEnd w:id="722"/>
      <w:bookmarkEnd w:id="723"/>
    </w:p>
    <w:p>
      <w:pPr>
        <w:pStyle w:val="yShoulderClause"/>
      </w:pPr>
      <w:r>
        <w:t>[r. 4, 86, 88 and 89]</w:t>
      </w:r>
    </w:p>
    <w:p>
      <w:pPr>
        <w:pStyle w:val="yFootnoteheading"/>
        <w:spacing w:after="60"/>
      </w:pPr>
      <w:r>
        <w:tab/>
        <w:t>[Heading amended: Gazette 4 Oct 2017 p. 5147.]</w:t>
      </w:r>
    </w:p>
    <w:p>
      <w:pPr>
        <w:pStyle w:val="yHeading3"/>
      </w:pPr>
      <w:bookmarkStart w:id="724" w:name="_Toc34139635"/>
      <w:bookmarkStart w:id="725" w:name="_Toc34139847"/>
      <w:bookmarkStart w:id="726" w:name="_Toc34148024"/>
      <w:bookmarkStart w:id="727" w:name="_Toc34207577"/>
      <w:bookmarkStart w:id="728" w:name="_Toc34291572"/>
      <w:bookmarkStart w:id="729" w:name="_Toc25657480"/>
      <w:bookmarkStart w:id="730" w:name="_Toc25760946"/>
      <w:bookmarkStart w:id="731" w:name="_Toc25761275"/>
      <w:r>
        <w:rPr>
          <w:rStyle w:val="CharSDivNo"/>
        </w:rPr>
        <w:t>Division 1</w:t>
      </w:r>
      <w:r>
        <w:t> — </w:t>
      </w:r>
      <w:r>
        <w:rPr>
          <w:rStyle w:val="CharSDivText"/>
        </w:rPr>
        <w:t>Calculating the total cost of entry</w:t>
      </w:r>
      <w:bookmarkEnd w:id="724"/>
      <w:bookmarkEnd w:id="725"/>
      <w:bookmarkEnd w:id="726"/>
      <w:bookmarkEnd w:id="727"/>
      <w:bookmarkEnd w:id="728"/>
      <w:bookmarkEnd w:id="729"/>
      <w:bookmarkEnd w:id="730"/>
      <w:bookmarkEnd w:id="731"/>
    </w:p>
    <w:p>
      <w:pPr>
        <w:pStyle w:val="yMiscellaneousBody"/>
      </w:pPr>
      <w:r>
        <w:t>The unit cost of entering a Powerball draw is made up of a subscription of $1.10 per game and an agent’s component.</w:t>
      </w:r>
    </w:p>
    <w:p>
      <w:pPr>
        <w:pStyle w:val="yMiscellaneousBody"/>
      </w:pPr>
      <w:r>
        <w:t xml:space="preserve">The agent’s component is calculated as </w:t>
      </w:r>
      <w:r>
        <w:rPr>
          <w:rFonts w:eastAsia="Calibri"/>
        </w:rPr>
        <w:t>10%</w:t>
      </w:r>
      <w:r>
        <w:t xml:space="preserve"> of the total subscription amount for a particular week’s entry, rounded* (where necessary) to the nearest 5 cent multiple.</w:t>
      </w:r>
    </w:p>
    <w:p>
      <w:pPr>
        <w:pStyle w:val="yMiscellaneousBody"/>
        <w:rPr>
          <w:b/>
        </w:rPr>
      </w:pPr>
      <m:oMathPara>
        <m:oMathParaPr>
          <m:jc m:val="left"/>
        </m:oMathParaPr>
        <m:oMath>
          <m:d>
            <m:dPr>
              <m:ctrlPr>
                <w:rPr>
                  <w:rFonts w:ascii="Cambria Math" w:eastAsiaTheme="minorHAnsi" w:hAnsi="Cambria Math" w:cstheme="minorBidi"/>
                  <w:b/>
                  <w:szCs w:val="22"/>
                </w:rPr>
              </m:ctrlPr>
            </m:dPr>
            <m:e>
              <m:d>
                <m:dPr>
                  <m:ctrlPr>
                    <w:rPr>
                      <w:rFonts w:ascii="Cambria Math" w:eastAsiaTheme="minorHAnsi" w:hAnsi="Cambria Math" w:cstheme="minorBidi"/>
                      <w:b/>
                      <w:szCs w:val="22"/>
                    </w:rPr>
                  </m:ctrlPr>
                </m:dPr>
                <m:e>
                  <m:r>
                    <m:rPr>
                      <m:sty m:val="b"/>
                    </m:rPr>
                    <w:rPr>
                      <w:rFonts w:ascii="Cambria Math" w:hAnsi="Cambria Math"/>
                    </w:rPr>
                    <m:t>G</m:t>
                  </m:r>
                  <m:r>
                    <m:rPr>
                      <m:sty m:val="b"/>
                    </m:rPr>
                    <w:rPr>
                      <w:rFonts w:ascii="Cambria Math" w:hAnsi="Cambria Math" w:hint="eastAsia"/>
                    </w:rPr>
                    <m:t>×</m:t>
                  </m:r>
                  <m:r>
                    <m:rPr>
                      <m:sty m:val="b"/>
                    </m:rPr>
                    <w:rPr>
                      <w:rFonts w:ascii="Cambria Math" w:hAnsi="Cambria Math"/>
                    </w:rPr>
                    <m:t>$1.10</m:t>
                  </m:r>
                </m:e>
              </m:d>
              <m:r>
                <m:rPr>
                  <m:sty m:val="b"/>
                </m:rPr>
                <w:rPr>
                  <w:rFonts w:ascii="Cambria Math" w:hAnsi="Cambria Math" w:hint="eastAsia"/>
                </w:rPr>
                <m:t>×</m:t>
              </m:r>
              <m:r>
                <m:rPr>
                  <m:sty m:val="b"/>
                </m:rPr>
                <w:rPr>
                  <w:rFonts w:ascii="Cambria Math" w:hAnsi="Cambria Math"/>
                </w:rPr>
                <m:t xml:space="preserve"> </m:t>
              </m:r>
              <m:r>
                <m:rPr>
                  <m:sty m:val="b"/>
                </m:rPr>
                <w:rPr>
                  <w:rFonts w:ascii="Cambria Math" w:eastAsia="Calibri" w:hAnsi="Cambria Math"/>
                </w:rPr>
                <m:t>0.1</m:t>
              </m:r>
              <m:r>
                <m:rPr>
                  <m:sty m:val="b"/>
                </m:rPr>
                <w:rPr>
                  <w:rFonts w:ascii="Cambria Math" w:hAnsi="Cambria Math"/>
                </w:rPr>
                <m:t>→rounded</m:t>
              </m:r>
            </m:e>
          </m:d>
          <m:r>
            <m:rPr>
              <m:sty m:val="b"/>
            </m:rPr>
            <w:rPr>
              <w:rFonts w:ascii="Cambria Math" w:hAnsi="Cambria Math"/>
            </w:rPr>
            <m:t>×W=T</m:t>
          </m:r>
        </m:oMath>
      </m:oMathPara>
    </w:p>
    <w:p>
      <w:pPr>
        <w:pStyle w:val="yMiscellaneousBody"/>
      </w:pPr>
      <w:r>
        <w:t>where —</w:t>
      </w:r>
    </w:p>
    <w:p>
      <w:pPr>
        <w:pStyle w:val="yMiscellaneousBody"/>
        <w:tabs>
          <w:tab w:val="left" w:pos="567"/>
        </w:tabs>
        <w:spacing w:before="120"/>
      </w:pPr>
      <w:r>
        <w:t>G</w:t>
      </w:r>
      <w:r>
        <w:tab/>
        <w:t>No. of games entered in a draw;</w:t>
      </w:r>
    </w:p>
    <w:p>
      <w:pPr>
        <w:pStyle w:val="yMiscellaneousBody"/>
        <w:tabs>
          <w:tab w:val="left" w:pos="567"/>
        </w:tabs>
        <w:spacing w:before="120"/>
      </w:pPr>
      <w:r>
        <w:t>W</w:t>
      </w:r>
      <w:r>
        <w:tab/>
        <w:t>No. of weeks the entry spans;</w:t>
      </w:r>
    </w:p>
    <w:p>
      <w:pPr>
        <w:pStyle w:val="yMiscellaneousBody"/>
        <w:tabs>
          <w:tab w:val="left" w:pos="567"/>
        </w:tabs>
        <w:spacing w:before="120"/>
      </w:pPr>
      <w:r>
        <w:t>T</w:t>
      </w:r>
      <w:r>
        <w:tab/>
        <w:t>Total agent’s component cost payable by the subscriber.</w:t>
      </w:r>
    </w:p>
    <w:p>
      <w:pPr>
        <w:pStyle w:val="yMiscellaneousBody"/>
        <w:ind w:left="142" w:hanging="142"/>
      </w:pPr>
      <w:r>
        <w:t>* Rounding is calculated using the method known as “bankers rounding” or “round</w:t>
      </w:r>
      <w:r>
        <w:noBreakHyphen/>
        <w:t>to</w:t>
      </w:r>
      <w:r>
        <w:noBreakHyphen/>
        <w:t>even” rounding.</w:t>
      </w:r>
    </w:p>
    <w:p>
      <w:pPr>
        <w:pStyle w:val="yFootnotesection"/>
      </w:pPr>
      <w:r>
        <w:tab/>
        <w:t>[Division 1 amended: Gazette 10 Apr 2018 p. 1251; 12 November 2019 p. 4020.]</w:t>
      </w:r>
    </w:p>
    <w:p>
      <w:pPr>
        <w:pStyle w:val="yHeading3"/>
        <w:keepNext w:val="0"/>
        <w:widowControl w:val="0"/>
        <w:spacing w:after="240"/>
      </w:pPr>
      <w:bookmarkStart w:id="732" w:name="_Toc34139636"/>
      <w:bookmarkStart w:id="733" w:name="_Toc34139848"/>
      <w:bookmarkStart w:id="734" w:name="_Toc34148025"/>
      <w:bookmarkStart w:id="735" w:name="_Toc34207578"/>
      <w:bookmarkStart w:id="736" w:name="_Toc34291573"/>
      <w:bookmarkStart w:id="737" w:name="_Toc25657481"/>
      <w:bookmarkStart w:id="738" w:name="_Toc25760947"/>
      <w:bookmarkStart w:id="739" w:name="_Toc25761276"/>
      <w:r>
        <w:rPr>
          <w:rStyle w:val="CharSDivNo"/>
        </w:rPr>
        <w:t>Division 2</w:t>
      </w:r>
      <w:r>
        <w:t> — </w:t>
      </w:r>
      <w:r>
        <w:rPr>
          <w:rStyle w:val="CharSDivText"/>
        </w:rPr>
        <w:t>System entries, Powerpik selections and game equivalents</w:t>
      </w:r>
      <w:bookmarkEnd w:id="732"/>
      <w:bookmarkEnd w:id="733"/>
      <w:bookmarkEnd w:id="734"/>
      <w:bookmarkEnd w:id="735"/>
      <w:bookmarkEnd w:id="736"/>
      <w:bookmarkEnd w:id="737"/>
      <w:bookmarkEnd w:id="738"/>
      <w:bookmarkEnd w:id="739"/>
    </w:p>
    <w:tbl>
      <w:tblPr>
        <w:tblW w:w="0" w:type="auto"/>
        <w:tblInd w:w="2013" w:type="dxa"/>
        <w:tblBorders>
          <w:top w:val="single" w:sz="4" w:space="0" w:color="auto"/>
          <w:left w:val="single" w:sz="4" w:space="0" w:color="auto"/>
          <w:bottom w:val="single" w:sz="4" w:space="0" w:color="auto"/>
          <w:right w:val="single" w:sz="4" w:space="0" w:color="auto"/>
        </w:tblBorders>
        <w:tblLayout w:type="fixed"/>
        <w:tblCellMar>
          <w:left w:w="28" w:type="dxa"/>
          <w:right w:w="28" w:type="dxa"/>
        </w:tblCellMar>
        <w:tblLook w:val="0000" w:firstRow="0" w:lastRow="0" w:firstColumn="0" w:lastColumn="0" w:noHBand="0" w:noVBand="0"/>
      </w:tblPr>
      <w:tblGrid>
        <w:gridCol w:w="1276"/>
        <w:gridCol w:w="1984"/>
      </w:tblGrid>
      <w:tr>
        <w:trPr>
          <w:tblHeader/>
        </w:trPr>
        <w:tc>
          <w:tcPr>
            <w:tcW w:w="3260" w:type="dxa"/>
            <w:gridSpan w:val="2"/>
            <w:tcBorders>
              <w:top w:val="single" w:sz="4" w:space="0" w:color="auto"/>
              <w:left w:val="single" w:sz="4" w:space="0" w:color="auto"/>
              <w:bottom w:val="single" w:sz="4" w:space="0" w:color="auto"/>
              <w:right w:val="single" w:sz="4" w:space="0" w:color="auto"/>
            </w:tcBorders>
          </w:tcPr>
          <w:p>
            <w:pPr>
              <w:pStyle w:val="yTableNAm"/>
              <w:jc w:val="center"/>
            </w:pPr>
            <w:r>
              <w:rPr>
                <w:b/>
              </w:rPr>
              <w:t>Powerball</w:t>
            </w:r>
          </w:p>
        </w:tc>
      </w:tr>
      <w:tr>
        <w:trPr>
          <w:tblHeader/>
        </w:trP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rPr>
                <w:b/>
              </w:rPr>
              <w:t>System</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
              </w:rPr>
            </w:pPr>
            <w:r>
              <w:rPr>
                <w:b/>
              </w:rPr>
              <w:t>No. of games per game board</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rPr>
                <w:i/>
              </w:rPr>
            </w:pPr>
            <w:r>
              <w:t>5</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
              </w:rPr>
            </w:pPr>
            <w:r>
              <w:t>435</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rPr>
                <w:i/>
              </w:rPr>
            </w:pPr>
            <w:r>
              <w:t>6</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
              </w:rPr>
            </w:pPr>
            <w:r>
              <w:t>29</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rPr>
                <w:i/>
              </w:rPr>
            </w:pPr>
            <w:r>
              <w:t>8</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
              </w:rPr>
            </w:pPr>
            <w:r>
              <w:t>8</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rPr>
                <w:i/>
              </w:rPr>
            </w:pPr>
            <w:r>
              <w:t>9</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
              </w:rPr>
            </w:pPr>
            <w:r>
              <w:t>36</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rPr>
                <w:i/>
              </w:rPr>
            </w:pPr>
            <w:r>
              <w:t>10</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
              </w:rPr>
            </w:pPr>
            <w:r>
              <w:t>120</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rPr>
                <w:i/>
              </w:rPr>
            </w:pPr>
            <w:r>
              <w:t>11</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
              </w:rPr>
            </w:pPr>
            <w:r>
              <w:t>330</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rPr>
                <w:i/>
              </w:rPr>
            </w:pPr>
            <w:r>
              <w:t>12</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
              </w:rPr>
            </w:pPr>
            <w:r>
              <w:t>792</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rPr>
                <w:i/>
              </w:rPr>
            </w:pPr>
            <w:r>
              <w:t>13</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
              </w:rPr>
            </w:pPr>
            <w:r>
              <w:t>1 716</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rPr>
                <w:i/>
              </w:rPr>
            </w:pPr>
            <w:r>
              <w:t>14</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
              </w:rPr>
            </w:pPr>
            <w:r>
              <w:t>3 432</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rPr>
                <w:i/>
              </w:rPr>
            </w:pPr>
            <w:r>
              <w:t>15</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
              </w:rPr>
            </w:pPr>
            <w:r>
              <w:t>6 435</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rPr>
                <w:i/>
              </w:rPr>
            </w:pPr>
            <w:r>
              <w:t>16</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
              </w:rPr>
            </w:pPr>
            <w:r>
              <w:t>11 440</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rPr>
                <w:i/>
              </w:rPr>
            </w:pPr>
            <w:r>
              <w:t>17</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
              </w:rPr>
            </w:pPr>
            <w:r>
              <w:t>19 448</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rPr>
                <w:i/>
              </w:rPr>
            </w:pPr>
            <w:r>
              <w:t>18</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
              </w:rPr>
            </w:pPr>
            <w:r>
              <w:t>31 824</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rPr>
                <w:i/>
              </w:rPr>
            </w:pPr>
            <w:r>
              <w:t>19</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
              </w:rPr>
            </w:pPr>
            <w:r>
              <w:t>50 388</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rPr>
                <w:i/>
              </w:rPr>
            </w:pPr>
            <w:r>
              <w:t>20</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
              </w:rPr>
            </w:pPr>
            <w:r>
              <w:t>77 520</w:t>
            </w:r>
          </w:p>
        </w:tc>
      </w:tr>
    </w:tbl>
    <w:p>
      <w:pPr>
        <w:pStyle w:val="yMiscellaneousBody"/>
        <w:spacing w:before="0"/>
      </w:pPr>
    </w:p>
    <w:tbl>
      <w:tblPr>
        <w:tblW w:w="0" w:type="auto"/>
        <w:tblInd w:w="2013" w:type="dxa"/>
        <w:tblBorders>
          <w:top w:val="single" w:sz="4" w:space="0" w:color="auto"/>
          <w:left w:val="single" w:sz="4" w:space="0" w:color="auto"/>
          <w:bottom w:val="single" w:sz="4" w:space="0" w:color="auto"/>
          <w:right w:val="single" w:sz="4" w:space="0" w:color="auto"/>
        </w:tblBorders>
        <w:tblLayout w:type="fixed"/>
        <w:tblCellMar>
          <w:left w:w="28" w:type="dxa"/>
          <w:right w:w="28" w:type="dxa"/>
        </w:tblCellMar>
        <w:tblLook w:val="0000" w:firstRow="0" w:lastRow="0" w:firstColumn="0" w:lastColumn="0" w:noHBand="0" w:noVBand="0"/>
      </w:tblPr>
      <w:tblGrid>
        <w:gridCol w:w="1276"/>
        <w:gridCol w:w="1984"/>
      </w:tblGrid>
      <w:tr>
        <w:trPr>
          <w:tblHeader/>
        </w:trPr>
        <w:tc>
          <w:tcPr>
            <w:tcW w:w="3260" w:type="dxa"/>
            <w:gridSpan w:val="2"/>
            <w:tcBorders>
              <w:top w:val="single" w:sz="4" w:space="0" w:color="auto"/>
              <w:left w:val="single" w:sz="4" w:space="0" w:color="auto"/>
              <w:bottom w:val="single" w:sz="4" w:space="0" w:color="auto"/>
              <w:right w:val="single" w:sz="4" w:space="0" w:color="auto"/>
            </w:tcBorders>
          </w:tcPr>
          <w:p>
            <w:pPr>
              <w:pStyle w:val="yTableNAm"/>
              <w:keepNext/>
              <w:keepLines/>
              <w:jc w:val="center"/>
              <w:rPr>
                <w:i/>
              </w:rPr>
            </w:pPr>
            <w:r>
              <w:rPr>
                <w:b/>
              </w:rPr>
              <w:t>Powerball</w:t>
            </w:r>
          </w:p>
        </w:tc>
      </w:tr>
      <w:tr>
        <w:trPr>
          <w:tblHeader/>
        </w:trPr>
        <w:tc>
          <w:tcPr>
            <w:tcW w:w="1276" w:type="dxa"/>
            <w:tcBorders>
              <w:top w:val="single" w:sz="4" w:space="0" w:color="auto"/>
              <w:left w:val="single" w:sz="4" w:space="0" w:color="auto"/>
              <w:bottom w:val="single" w:sz="4" w:space="0" w:color="auto"/>
              <w:right w:val="single" w:sz="4" w:space="0" w:color="auto"/>
            </w:tcBorders>
          </w:tcPr>
          <w:p>
            <w:pPr>
              <w:pStyle w:val="yTableNAm"/>
              <w:keepNext/>
              <w:keepLines/>
              <w:jc w:val="center"/>
            </w:pPr>
            <w:r>
              <w:rPr>
                <w:b/>
              </w:rPr>
              <w:t>Powerpik</w:t>
            </w:r>
          </w:p>
        </w:tc>
        <w:tc>
          <w:tcPr>
            <w:tcW w:w="1984" w:type="dxa"/>
            <w:tcBorders>
              <w:top w:val="single" w:sz="4" w:space="0" w:color="auto"/>
              <w:left w:val="single" w:sz="4" w:space="0" w:color="auto"/>
              <w:bottom w:val="single" w:sz="4" w:space="0" w:color="auto"/>
              <w:right w:val="single" w:sz="4" w:space="0" w:color="auto"/>
            </w:tcBorders>
          </w:tcPr>
          <w:p>
            <w:pPr>
              <w:pStyle w:val="yTableNAm"/>
              <w:keepNext/>
              <w:keepLines/>
              <w:jc w:val="center"/>
              <w:rPr>
                <w:i/>
              </w:rPr>
            </w:pPr>
            <w:r>
              <w:rPr>
                <w:b/>
              </w:rPr>
              <w:t>No. of games per game board</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rPr>
                <w:i/>
              </w:rPr>
            </w:pPr>
            <w:r>
              <w:t>5</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
              </w:rPr>
            </w:pPr>
            <w:r>
              <w:t>8 700</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rPr>
                <w:i/>
              </w:rPr>
            </w:pPr>
            <w:r>
              <w:t>6</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
              </w:rPr>
            </w:pPr>
            <w:r>
              <w:t>580</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rPr>
                <w:i/>
              </w:rPr>
            </w:pPr>
            <w:r>
              <w:t>7</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
              </w:rPr>
            </w:pPr>
            <w:r>
              <w:t>20</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rPr>
                <w:i/>
              </w:rPr>
            </w:pPr>
            <w:r>
              <w:t>8</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
              </w:rPr>
            </w:pPr>
            <w:r>
              <w:t>160</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rPr>
                <w:i/>
              </w:rPr>
            </w:pPr>
            <w:r>
              <w:t>9</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
              </w:rPr>
            </w:pPr>
            <w:r>
              <w:t>720</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rPr>
                <w:i/>
              </w:rPr>
            </w:pPr>
            <w:r>
              <w:t>10</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
              </w:rPr>
            </w:pPr>
            <w:r>
              <w:t>2 400</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rPr>
                <w:i/>
              </w:rPr>
            </w:pPr>
            <w:r>
              <w:t>11</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
              </w:rPr>
            </w:pPr>
            <w:r>
              <w:t>6 600</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rPr>
                <w:i/>
              </w:rPr>
            </w:pPr>
            <w:r>
              <w:t>12</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
              </w:rPr>
            </w:pPr>
            <w:r>
              <w:t>15 840</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rPr>
                <w:i/>
              </w:rPr>
            </w:pPr>
            <w:r>
              <w:t>13</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
              </w:rPr>
            </w:pPr>
            <w:r>
              <w:t>34 320</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rPr>
                <w:i/>
              </w:rPr>
            </w:pPr>
            <w:r>
              <w:t>14</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
              </w:rPr>
            </w:pPr>
            <w:r>
              <w:t>68 640</w:t>
            </w:r>
          </w:p>
        </w:tc>
      </w:tr>
    </w:tbl>
    <w:p>
      <w:pPr>
        <w:pStyle w:val="yMiscellaneousBody"/>
        <w:spacing w:before="0"/>
      </w:pPr>
    </w:p>
    <w:p>
      <w:pPr>
        <w:pStyle w:val="yFootnotesection"/>
      </w:pPr>
      <w:r>
        <w:tab/>
        <w:t>[Division 2 amended: Gazette 10 Apr 2018 p. 1252.]</w:t>
      </w:r>
    </w:p>
    <w:p>
      <w:pPr>
        <w:pStyle w:val="yHeading3"/>
        <w:spacing w:after="240"/>
      </w:pPr>
      <w:bookmarkStart w:id="740" w:name="_Toc34139637"/>
      <w:bookmarkStart w:id="741" w:name="_Toc34139849"/>
      <w:bookmarkStart w:id="742" w:name="_Toc34148026"/>
      <w:bookmarkStart w:id="743" w:name="_Toc34207579"/>
      <w:bookmarkStart w:id="744" w:name="_Toc34291574"/>
      <w:bookmarkStart w:id="745" w:name="_Toc25657482"/>
      <w:bookmarkStart w:id="746" w:name="_Toc25760948"/>
      <w:bookmarkStart w:id="747" w:name="_Toc25761277"/>
      <w:r>
        <w:rPr>
          <w:rStyle w:val="CharSDivNo"/>
        </w:rPr>
        <w:t>Division 3</w:t>
      </w:r>
      <w:r>
        <w:t> — </w:t>
      </w:r>
      <w:r>
        <w:rPr>
          <w:rStyle w:val="CharSDivText"/>
        </w:rPr>
        <w:t>Summary of parameters within which Powerball is conducted</w:t>
      </w:r>
      <w:bookmarkEnd w:id="740"/>
      <w:bookmarkEnd w:id="741"/>
      <w:bookmarkEnd w:id="742"/>
      <w:bookmarkEnd w:id="743"/>
      <w:bookmarkEnd w:id="744"/>
      <w:bookmarkEnd w:id="745"/>
      <w:bookmarkEnd w:id="746"/>
      <w:bookmarkEnd w:id="747"/>
    </w:p>
    <w:tbl>
      <w:tblPr>
        <w:tblW w:w="6985" w:type="dxa"/>
        <w:tblInd w:w="70" w:type="dxa"/>
        <w:tblLayout w:type="fixed"/>
        <w:tblCellMar>
          <w:left w:w="0" w:type="dxa"/>
          <w:right w:w="0" w:type="dxa"/>
        </w:tblCellMar>
        <w:tblLook w:val="0000" w:firstRow="0" w:lastRow="0" w:firstColumn="0" w:lastColumn="0" w:noHBand="0" w:noVBand="0"/>
      </w:tblPr>
      <w:tblGrid>
        <w:gridCol w:w="4750"/>
        <w:gridCol w:w="2235"/>
      </w:tblGrid>
      <w:tr>
        <w:tc>
          <w:tcPr>
            <w:tcW w:w="4750" w:type="dxa"/>
          </w:tcPr>
          <w:p>
            <w:pPr>
              <w:pStyle w:val="yTableNAm"/>
              <w:ind w:left="134" w:right="284"/>
            </w:pPr>
            <w:r>
              <w:t>Unit cost for a Powerball draw</w:t>
            </w:r>
          </w:p>
        </w:tc>
        <w:tc>
          <w:tcPr>
            <w:tcW w:w="2235" w:type="dxa"/>
          </w:tcPr>
          <w:p>
            <w:pPr>
              <w:pStyle w:val="yTableNAm"/>
              <w:ind w:left="134"/>
            </w:pPr>
            <w:r>
              <w:t>$1.10 (+</w:t>
            </w:r>
            <w:r>
              <w:rPr>
                <w:rFonts w:eastAsia="Calibri"/>
              </w:rPr>
              <w:t>10%</w:t>
            </w:r>
            <w:r>
              <w:t xml:space="preserve"> agent’s component)</w:t>
            </w:r>
          </w:p>
        </w:tc>
      </w:tr>
      <w:tr>
        <w:tc>
          <w:tcPr>
            <w:tcW w:w="4750" w:type="dxa"/>
          </w:tcPr>
          <w:p>
            <w:pPr>
              <w:pStyle w:val="yTableNAm"/>
              <w:ind w:left="134"/>
            </w:pPr>
            <w:r>
              <w:t>Prize fund — % of subscriptions</w:t>
            </w:r>
          </w:p>
        </w:tc>
        <w:tc>
          <w:tcPr>
            <w:tcW w:w="2235" w:type="dxa"/>
          </w:tcPr>
          <w:p>
            <w:pPr>
              <w:pStyle w:val="yTableNAm"/>
              <w:ind w:left="134"/>
            </w:pPr>
            <w:r>
              <w:t>60.0%</w:t>
            </w:r>
          </w:p>
        </w:tc>
      </w:tr>
      <w:tr>
        <w:tc>
          <w:tcPr>
            <w:tcW w:w="4750" w:type="dxa"/>
          </w:tcPr>
          <w:p>
            <w:pPr>
              <w:pStyle w:val="yTableNAm"/>
              <w:ind w:left="134"/>
            </w:pPr>
            <w:r>
              <w:t>Prize pool — % of subscriptions</w:t>
            </w:r>
          </w:p>
        </w:tc>
        <w:tc>
          <w:tcPr>
            <w:tcW w:w="2235" w:type="dxa"/>
          </w:tcPr>
          <w:p>
            <w:pPr>
              <w:pStyle w:val="yTableNAm"/>
              <w:ind w:left="134"/>
            </w:pPr>
            <w:r>
              <w:t>no less than 55.0%</w:t>
            </w:r>
          </w:p>
        </w:tc>
      </w:tr>
      <w:tr>
        <w:tc>
          <w:tcPr>
            <w:tcW w:w="4750" w:type="dxa"/>
          </w:tcPr>
          <w:p>
            <w:pPr>
              <w:pStyle w:val="yTableNAm"/>
              <w:ind w:left="134"/>
            </w:pPr>
            <w:r>
              <w:t>Prize reserve fund — % of subscriptions</w:t>
            </w:r>
          </w:p>
        </w:tc>
        <w:tc>
          <w:tcPr>
            <w:tcW w:w="2235" w:type="dxa"/>
          </w:tcPr>
          <w:p>
            <w:pPr>
              <w:pStyle w:val="yTableNAm"/>
              <w:ind w:left="134"/>
            </w:pPr>
            <w:r>
              <w:t>balance of prize fund after prize pool (up to 5.0%)</w:t>
            </w:r>
          </w:p>
        </w:tc>
      </w:tr>
      <w:tr>
        <w:tc>
          <w:tcPr>
            <w:tcW w:w="4750" w:type="dxa"/>
          </w:tcPr>
          <w:p>
            <w:pPr>
              <w:pStyle w:val="yTableNAm"/>
              <w:ind w:left="134"/>
            </w:pPr>
            <w:r>
              <w:t>Number of divisions</w:t>
            </w:r>
          </w:p>
        </w:tc>
        <w:tc>
          <w:tcPr>
            <w:tcW w:w="2235" w:type="dxa"/>
          </w:tcPr>
          <w:p>
            <w:pPr>
              <w:pStyle w:val="yTableNAm"/>
              <w:ind w:left="134"/>
            </w:pPr>
            <w:r>
              <w:t>9</w:t>
            </w:r>
          </w:p>
        </w:tc>
      </w:tr>
      <w:tr>
        <w:tc>
          <w:tcPr>
            <w:tcW w:w="4750" w:type="dxa"/>
          </w:tcPr>
          <w:p>
            <w:pPr>
              <w:pStyle w:val="yTableNAm"/>
              <w:ind w:left="134"/>
            </w:pPr>
            <w:r>
              <w:t>Winning numbers drawn — barrel A</w:t>
            </w:r>
          </w:p>
        </w:tc>
        <w:tc>
          <w:tcPr>
            <w:tcW w:w="2235" w:type="dxa"/>
          </w:tcPr>
          <w:p>
            <w:pPr>
              <w:pStyle w:val="yTableNAm"/>
              <w:ind w:left="134"/>
            </w:pPr>
            <w:r>
              <w:t>7</w:t>
            </w:r>
          </w:p>
        </w:tc>
      </w:tr>
      <w:tr>
        <w:tc>
          <w:tcPr>
            <w:tcW w:w="4750" w:type="dxa"/>
          </w:tcPr>
          <w:p>
            <w:pPr>
              <w:pStyle w:val="yTableNAm"/>
              <w:ind w:left="134"/>
            </w:pPr>
            <w:r>
              <w:t>Powerball numbers drawn </w:t>
            </w:r>
          </w:p>
        </w:tc>
        <w:tc>
          <w:tcPr>
            <w:tcW w:w="2235" w:type="dxa"/>
          </w:tcPr>
          <w:p>
            <w:pPr>
              <w:pStyle w:val="yTableNAm"/>
              <w:ind w:left="134"/>
            </w:pPr>
            <w:r>
              <w:t>1</w:t>
            </w:r>
          </w:p>
        </w:tc>
      </w:tr>
      <w:tr>
        <w:tc>
          <w:tcPr>
            <w:tcW w:w="4750" w:type="dxa"/>
          </w:tcPr>
          <w:p>
            <w:pPr>
              <w:pStyle w:val="yTableNAm"/>
              <w:ind w:left="134"/>
            </w:pPr>
            <w:r>
              <w:t>Forecast range — barrel A</w:t>
            </w:r>
          </w:p>
        </w:tc>
        <w:tc>
          <w:tcPr>
            <w:tcW w:w="2235" w:type="dxa"/>
          </w:tcPr>
          <w:p>
            <w:pPr>
              <w:pStyle w:val="yTableNAm"/>
              <w:ind w:left="134"/>
            </w:pPr>
            <w:r>
              <w:t>1 to 35 inclusive</w:t>
            </w:r>
          </w:p>
        </w:tc>
      </w:tr>
      <w:tr>
        <w:tc>
          <w:tcPr>
            <w:tcW w:w="4750" w:type="dxa"/>
          </w:tcPr>
          <w:p>
            <w:pPr>
              <w:pStyle w:val="yTableNAm"/>
              <w:ind w:left="134"/>
            </w:pPr>
            <w:r>
              <w:t>Forecast range — Powerball barrel</w:t>
            </w:r>
          </w:p>
        </w:tc>
        <w:tc>
          <w:tcPr>
            <w:tcW w:w="2235" w:type="dxa"/>
          </w:tcPr>
          <w:p>
            <w:pPr>
              <w:pStyle w:val="yTableNAm"/>
              <w:ind w:left="134"/>
            </w:pPr>
            <w:r>
              <w:t>1 to 20 inclusive</w:t>
            </w:r>
          </w:p>
        </w:tc>
      </w:tr>
      <w:tr>
        <w:tc>
          <w:tcPr>
            <w:tcW w:w="4750" w:type="dxa"/>
          </w:tcPr>
          <w:p>
            <w:pPr>
              <w:pStyle w:val="yTableNAm"/>
              <w:ind w:left="134"/>
            </w:pPr>
            <w:r>
              <w:t>Odds of winning —</w:t>
            </w:r>
          </w:p>
          <w:p>
            <w:pPr>
              <w:pStyle w:val="yTableNAm"/>
              <w:ind w:left="134"/>
            </w:pPr>
            <w:r>
              <w:t>division 1</w:t>
            </w:r>
          </w:p>
          <w:p>
            <w:pPr>
              <w:pStyle w:val="yTableNAm"/>
              <w:ind w:left="134"/>
            </w:pPr>
            <w:r>
              <w:t>division 2</w:t>
            </w:r>
          </w:p>
          <w:p>
            <w:pPr>
              <w:pStyle w:val="yTableNAm"/>
              <w:ind w:left="134"/>
            </w:pPr>
            <w:r>
              <w:t>division 3</w:t>
            </w:r>
          </w:p>
          <w:p>
            <w:pPr>
              <w:pStyle w:val="yTableNAm"/>
              <w:ind w:left="134"/>
            </w:pPr>
            <w:r>
              <w:t>division 4</w:t>
            </w:r>
          </w:p>
          <w:p>
            <w:pPr>
              <w:pStyle w:val="yTableNAm"/>
              <w:ind w:left="134"/>
            </w:pPr>
            <w:r>
              <w:t>division 5</w:t>
            </w:r>
          </w:p>
          <w:p>
            <w:pPr>
              <w:pStyle w:val="yTableNAm"/>
              <w:ind w:left="134"/>
            </w:pPr>
            <w:r>
              <w:t>division 6</w:t>
            </w:r>
          </w:p>
          <w:p>
            <w:pPr>
              <w:pStyle w:val="yTableNAm"/>
              <w:ind w:left="134"/>
            </w:pPr>
            <w:r>
              <w:t>division 7</w:t>
            </w:r>
          </w:p>
          <w:p>
            <w:pPr>
              <w:pStyle w:val="yTableNAm"/>
              <w:ind w:left="134"/>
            </w:pPr>
            <w:r>
              <w:t>division 8</w:t>
            </w:r>
          </w:p>
          <w:p>
            <w:pPr>
              <w:pStyle w:val="yTableNAm"/>
              <w:ind w:left="134"/>
            </w:pPr>
            <w:r>
              <w:t>division 9</w:t>
            </w:r>
          </w:p>
        </w:tc>
        <w:tc>
          <w:tcPr>
            <w:tcW w:w="2235" w:type="dxa"/>
          </w:tcPr>
          <w:p>
            <w:pPr>
              <w:pStyle w:val="yTableNAm"/>
              <w:ind w:left="134"/>
            </w:pPr>
          </w:p>
          <w:p>
            <w:pPr>
              <w:pStyle w:val="yTableNAm"/>
              <w:ind w:left="134"/>
            </w:pPr>
            <w:r>
              <w:t>1 in 134 490 400</w:t>
            </w:r>
          </w:p>
          <w:p>
            <w:pPr>
              <w:pStyle w:val="yTableNAm"/>
              <w:ind w:left="134"/>
            </w:pPr>
            <w:r>
              <w:t>1 in 7 078 442</w:t>
            </w:r>
          </w:p>
          <w:p>
            <w:pPr>
              <w:pStyle w:val="yTableNAm"/>
              <w:ind w:left="134"/>
            </w:pPr>
            <w:r>
              <w:t>1 in 686 176</w:t>
            </w:r>
          </w:p>
          <w:p>
            <w:pPr>
              <w:pStyle w:val="yTableNAm"/>
              <w:ind w:left="134"/>
            </w:pPr>
            <w:r>
              <w:t>1 in 36 115</w:t>
            </w:r>
          </w:p>
          <w:p>
            <w:pPr>
              <w:pStyle w:val="yTableNAm"/>
              <w:ind w:left="134"/>
            </w:pPr>
            <w:r>
              <w:t>1 in 16 943</w:t>
            </w:r>
          </w:p>
          <w:p>
            <w:pPr>
              <w:pStyle w:val="yTableNAm"/>
              <w:ind w:left="134"/>
            </w:pPr>
            <w:r>
              <w:t>1 in 1 173</w:t>
            </w:r>
          </w:p>
          <w:p>
            <w:pPr>
              <w:pStyle w:val="yTableNAm"/>
              <w:ind w:left="134"/>
            </w:pPr>
            <w:r>
              <w:t>1 in 892</w:t>
            </w:r>
          </w:p>
          <w:p>
            <w:pPr>
              <w:pStyle w:val="yTableNAm"/>
              <w:ind w:left="134"/>
            </w:pPr>
            <w:r>
              <w:t>1 in 188</w:t>
            </w:r>
          </w:p>
          <w:p>
            <w:pPr>
              <w:pStyle w:val="yTableNAm"/>
              <w:ind w:left="134"/>
            </w:pPr>
            <w:r>
              <w:t>1 in 65</w:t>
            </w:r>
          </w:p>
        </w:tc>
      </w:tr>
      <w:tr>
        <w:tc>
          <w:tcPr>
            <w:tcW w:w="4750" w:type="dxa"/>
          </w:tcPr>
          <w:p>
            <w:pPr>
              <w:pStyle w:val="yTableNAm"/>
              <w:ind w:left="134"/>
            </w:pPr>
            <w:r>
              <w:t>Systems range</w:t>
            </w:r>
          </w:p>
        </w:tc>
        <w:tc>
          <w:tcPr>
            <w:tcW w:w="2235" w:type="dxa"/>
          </w:tcPr>
          <w:p>
            <w:pPr>
              <w:pStyle w:val="yTableNAm"/>
              <w:ind w:left="134"/>
            </w:pPr>
            <w:r>
              <w:t>5-6/8-20 inclusive</w:t>
            </w:r>
          </w:p>
        </w:tc>
      </w:tr>
      <w:tr>
        <w:tc>
          <w:tcPr>
            <w:tcW w:w="4750" w:type="dxa"/>
          </w:tcPr>
          <w:p>
            <w:pPr>
              <w:pStyle w:val="yTableNAm"/>
              <w:ind w:left="134"/>
            </w:pPr>
            <w:r>
              <w:t>Powerpik (simple)</w:t>
            </w:r>
          </w:p>
        </w:tc>
        <w:tc>
          <w:tcPr>
            <w:tcW w:w="2235" w:type="dxa"/>
          </w:tcPr>
          <w:p>
            <w:pPr>
              <w:pStyle w:val="yTableNAm"/>
              <w:ind w:left="134"/>
            </w:pPr>
            <w:r>
              <w:t>7</w:t>
            </w:r>
          </w:p>
        </w:tc>
      </w:tr>
      <w:tr>
        <w:tc>
          <w:tcPr>
            <w:tcW w:w="4750" w:type="dxa"/>
          </w:tcPr>
          <w:p>
            <w:pPr>
              <w:pStyle w:val="yTableNAm"/>
              <w:ind w:left="134"/>
            </w:pPr>
            <w:r>
              <w:t>Powerpik systems range</w:t>
            </w:r>
          </w:p>
        </w:tc>
        <w:tc>
          <w:tcPr>
            <w:tcW w:w="2235" w:type="dxa"/>
          </w:tcPr>
          <w:p>
            <w:pPr>
              <w:pStyle w:val="yTableNAm"/>
              <w:ind w:left="134"/>
            </w:pPr>
            <w:r>
              <w:t>5-6/8-14 inclusive</w:t>
            </w:r>
          </w:p>
        </w:tc>
      </w:tr>
      <w:tr>
        <w:tc>
          <w:tcPr>
            <w:tcW w:w="4750" w:type="dxa"/>
          </w:tcPr>
          <w:p>
            <w:pPr>
              <w:pStyle w:val="yTableNAm"/>
              <w:ind w:left="134"/>
            </w:pPr>
            <w:r>
              <w:t xml:space="preserve">Multiweek options </w:t>
            </w:r>
          </w:p>
        </w:tc>
        <w:tc>
          <w:tcPr>
            <w:tcW w:w="2235" w:type="dxa"/>
          </w:tcPr>
          <w:p>
            <w:pPr>
              <w:pStyle w:val="yTableNAm"/>
              <w:ind w:left="134"/>
            </w:pPr>
            <w:r>
              <w:rPr>
                <w:szCs w:val="22"/>
              </w:rPr>
              <w:t>Up to</w:t>
            </w:r>
            <w:r>
              <w:t xml:space="preserve"> 10 weeks</w:t>
            </w:r>
          </w:p>
        </w:tc>
      </w:tr>
      <w:tr>
        <w:tc>
          <w:tcPr>
            <w:tcW w:w="4750" w:type="dxa"/>
          </w:tcPr>
          <w:p>
            <w:pPr>
              <w:pStyle w:val="yTableNAm"/>
              <w:ind w:left="134"/>
            </w:pPr>
            <w:r>
              <w:t>Advance sales (maximum)</w:t>
            </w:r>
          </w:p>
        </w:tc>
        <w:tc>
          <w:tcPr>
            <w:tcW w:w="2235" w:type="dxa"/>
          </w:tcPr>
          <w:p>
            <w:pPr>
              <w:pStyle w:val="yTableNAm"/>
              <w:ind w:left="134"/>
            </w:pPr>
            <w:r>
              <w:t>10 weeks</w:t>
            </w:r>
          </w:p>
        </w:tc>
      </w:tr>
      <w:tr>
        <w:tc>
          <w:tcPr>
            <w:tcW w:w="4750" w:type="dxa"/>
          </w:tcPr>
          <w:p>
            <w:pPr>
              <w:pStyle w:val="yTableNAm"/>
              <w:ind w:left="134"/>
            </w:pPr>
            <w:r>
              <w:t>Games per playslip (minimum)</w:t>
            </w:r>
          </w:p>
        </w:tc>
        <w:tc>
          <w:tcPr>
            <w:tcW w:w="2235" w:type="dxa"/>
          </w:tcPr>
          <w:p>
            <w:pPr>
              <w:pStyle w:val="yTableNAm"/>
              <w:ind w:left="134"/>
            </w:pPr>
            <w:r>
              <w:t>2</w:t>
            </w:r>
          </w:p>
        </w:tc>
      </w:tr>
      <w:tr>
        <w:tc>
          <w:tcPr>
            <w:tcW w:w="4750" w:type="dxa"/>
          </w:tcPr>
          <w:p>
            <w:pPr>
              <w:pStyle w:val="yTableNAm"/>
              <w:ind w:left="134"/>
            </w:pPr>
            <w:r>
              <w:t>System entries per playslip (minimum)</w:t>
            </w:r>
          </w:p>
        </w:tc>
        <w:tc>
          <w:tcPr>
            <w:tcW w:w="2235" w:type="dxa"/>
          </w:tcPr>
          <w:p>
            <w:pPr>
              <w:pStyle w:val="yTableNAm"/>
              <w:ind w:left="134"/>
            </w:pPr>
            <w:r>
              <w:t>1</w:t>
            </w:r>
          </w:p>
        </w:tc>
      </w:tr>
      <w:tr>
        <w:tc>
          <w:tcPr>
            <w:tcW w:w="4750" w:type="dxa"/>
          </w:tcPr>
          <w:p>
            <w:pPr>
              <w:pStyle w:val="yTableNAm"/>
              <w:ind w:left="134"/>
            </w:pPr>
            <w:r>
              <w:t>Games per playslip (maximum)</w:t>
            </w:r>
          </w:p>
        </w:tc>
        <w:tc>
          <w:tcPr>
            <w:tcW w:w="2235" w:type="dxa"/>
          </w:tcPr>
          <w:p>
            <w:pPr>
              <w:pStyle w:val="yTableNAm"/>
              <w:ind w:left="134"/>
            </w:pPr>
            <w:r>
              <w:t>12</w:t>
            </w:r>
          </w:p>
        </w:tc>
      </w:tr>
      <w:tr>
        <w:tc>
          <w:tcPr>
            <w:tcW w:w="4750" w:type="dxa"/>
          </w:tcPr>
          <w:p>
            <w:pPr>
              <w:pStyle w:val="yTableNAm"/>
              <w:ind w:left="134"/>
            </w:pPr>
            <w:r>
              <w:t>System entries per playslip (maximum)</w:t>
            </w:r>
          </w:p>
        </w:tc>
        <w:tc>
          <w:tcPr>
            <w:tcW w:w="2235" w:type="dxa"/>
          </w:tcPr>
          <w:p>
            <w:pPr>
              <w:pStyle w:val="yTableNAm"/>
              <w:ind w:left="134"/>
            </w:pPr>
            <w:r>
              <w:t>12 (</w:t>
            </w:r>
            <w:bookmarkStart w:id="748" w:name="RuleErr_26"/>
            <w:r>
              <w:rPr>
                <w:i/>
              </w:rPr>
              <w:t>subject to maximum aggregate entry cost</w:t>
            </w:r>
            <w:bookmarkEnd w:id="748"/>
            <w:r>
              <w:t>)</w:t>
            </w:r>
          </w:p>
        </w:tc>
      </w:tr>
      <w:tr>
        <w:tc>
          <w:tcPr>
            <w:tcW w:w="4750" w:type="dxa"/>
          </w:tcPr>
          <w:p>
            <w:pPr>
              <w:pStyle w:val="yTableNAm"/>
              <w:ind w:left="134"/>
            </w:pPr>
            <w:r>
              <w:t>Games per oral request (</w:t>
            </w:r>
            <w:bookmarkStart w:id="749" w:name="RuleErr_27"/>
            <w:r>
              <w:rPr>
                <w:i/>
                <w:iCs/>
              </w:rPr>
              <w:t>if available</w:t>
            </w:r>
            <w:bookmarkEnd w:id="749"/>
            <w:r>
              <w:t>)</w:t>
            </w:r>
          </w:p>
        </w:tc>
        <w:tc>
          <w:tcPr>
            <w:tcW w:w="2235" w:type="dxa"/>
          </w:tcPr>
          <w:p>
            <w:pPr>
              <w:pStyle w:val="yTableNAm"/>
              <w:ind w:left="134"/>
            </w:pPr>
            <w:r>
              <w:t>2 to 50</w:t>
            </w:r>
          </w:p>
        </w:tc>
      </w:tr>
      <w:tr>
        <w:tc>
          <w:tcPr>
            <w:tcW w:w="4750" w:type="dxa"/>
          </w:tcPr>
          <w:p>
            <w:pPr>
              <w:pStyle w:val="yTableNAm"/>
              <w:ind w:left="134"/>
            </w:pPr>
            <w:r>
              <w:t xml:space="preserve">Syndicate entries may be purchased </w:t>
            </w:r>
            <w:r>
              <w:br/>
              <w:t>(</w:t>
            </w:r>
            <w:bookmarkStart w:id="750" w:name="RuleErr_28"/>
            <w:r>
              <w:rPr>
                <w:i/>
                <w:iCs/>
              </w:rPr>
              <w:t>if available</w:t>
            </w:r>
            <w:bookmarkEnd w:id="750"/>
            <w:r>
              <w:t>)</w:t>
            </w:r>
          </w:p>
        </w:tc>
        <w:tc>
          <w:tcPr>
            <w:tcW w:w="2235" w:type="dxa"/>
          </w:tcPr>
          <w:p>
            <w:pPr>
              <w:pStyle w:val="yTableNAm"/>
              <w:ind w:left="134"/>
            </w:pPr>
            <w:r>
              <w:t>(see Part 2 Division 3)</w:t>
            </w:r>
          </w:p>
        </w:tc>
      </w:tr>
      <w:tr>
        <w:tc>
          <w:tcPr>
            <w:tcW w:w="4750" w:type="dxa"/>
          </w:tcPr>
          <w:p>
            <w:pPr>
              <w:pStyle w:val="yTableNAm"/>
              <w:ind w:left="134"/>
            </w:pPr>
            <w:r>
              <w:t>System entries per oral request (</w:t>
            </w:r>
            <w:r>
              <w:rPr>
                <w:i/>
              </w:rPr>
              <w:t>if available</w:t>
            </w:r>
            <w:r>
              <w:t>)</w:t>
            </w:r>
          </w:p>
        </w:tc>
        <w:tc>
          <w:tcPr>
            <w:tcW w:w="2235" w:type="dxa"/>
          </w:tcPr>
          <w:p>
            <w:pPr>
              <w:pStyle w:val="yTableNAm"/>
              <w:ind w:left="134"/>
            </w:pPr>
            <w:r>
              <w:t>Up to 50</w:t>
            </w:r>
          </w:p>
        </w:tc>
      </w:tr>
      <w:tr>
        <w:tc>
          <w:tcPr>
            <w:tcW w:w="4750" w:type="dxa"/>
          </w:tcPr>
          <w:p>
            <w:pPr>
              <w:pStyle w:val="yTableNAm"/>
              <w:ind w:left="134"/>
            </w:pPr>
            <w:r>
              <w:t>Powerpik entries per oral request</w:t>
            </w:r>
          </w:p>
        </w:tc>
        <w:tc>
          <w:tcPr>
            <w:tcW w:w="2235" w:type="dxa"/>
          </w:tcPr>
          <w:p>
            <w:pPr>
              <w:pStyle w:val="yTableNAm"/>
              <w:ind w:left="134"/>
            </w:pPr>
            <w:r>
              <w:rPr>
                <w:szCs w:val="22"/>
              </w:rPr>
              <w:t>Up to 50</w:t>
            </w:r>
          </w:p>
        </w:tc>
      </w:tr>
      <w:tr>
        <w:tc>
          <w:tcPr>
            <w:tcW w:w="4750" w:type="dxa"/>
          </w:tcPr>
          <w:p>
            <w:pPr>
              <w:pStyle w:val="yTableNAm"/>
              <w:ind w:left="134"/>
            </w:pPr>
            <w:r>
              <w:t>Prize payout period</w:t>
            </w:r>
          </w:p>
        </w:tc>
        <w:tc>
          <w:tcPr>
            <w:tcW w:w="2235" w:type="dxa"/>
          </w:tcPr>
          <w:p>
            <w:pPr>
              <w:pStyle w:val="yTableNAm"/>
              <w:ind w:left="134"/>
            </w:pPr>
            <w:r>
              <w:t>12 months</w:t>
            </w:r>
          </w:p>
        </w:tc>
      </w:tr>
      <w:tr>
        <w:tc>
          <w:tcPr>
            <w:tcW w:w="4750" w:type="dxa"/>
          </w:tcPr>
          <w:p>
            <w:pPr>
              <w:pStyle w:val="yTableNAm"/>
              <w:ind w:left="134"/>
            </w:pPr>
            <w:r>
              <w:t>Maximum aggregate entry cost</w:t>
            </w:r>
          </w:p>
        </w:tc>
        <w:tc>
          <w:tcPr>
            <w:tcW w:w="2235" w:type="dxa"/>
          </w:tcPr>
          <w:p>
            <w:pPr>
              <w:pStyle w:val="yTableNAm"/>
              <w:ind w:left="134"/>
            </w:pPr>
            <w:r>
              <w:t>$100 000</w:t>
            </w:r>
          </w:p>
        </w:tc>
      </w:tr>
    </w:tbl>
    <w:p>
      <w:pPr>
        <w:pStyle w:val="yFootnotesection"/>
      </w:pPr>
      <w:r>
        <w:tab/>
        <w:t>[Division 3 amended: Gazette 4 Oct 2017 p. 5147</w:t>
      </w:r>
      <w:r>
        <w:noBreakHyphen/>
        <w:t>8; 10 Apr 2018 p. 1252</w:t>
      </w:r>
      <w:r>
        <w:noBreakHyphen/>
        <w:t>3; 12 Nov 2019 p. 4020.]</w:t>
      </w:r>
    </w:p>
    <w:p>
      <w:pPr>
        <w:pStyle w:val="yScheduleHeading"/>
      </w:pPr>
      <w:bookmarkStart w:id="751" w:name="_Toc34139638"/>
      <w:bookmarkStart w:id="752" w:name="_Toc34139850"/>
      <w:bookmarkStart w:id="753" w:name="_Toc34148027"/>
      <w:bookmarkStart w:id="754" w:name="_Toc34207580"/>
      <w:bookmarkStart w:id="755" w:name="_Toc34291575"/>
      <w:bookmarkStart w:id="756" w:name="_Toc25657483"/>
      <w:bookmarkStart w:id="757" w:name="_Toc25760949"/>
      <w:bookmarkStart w:id="758" w:name="_Toc25761278"/>
      <w:r>
        <w:rPr>
          <w:rStyle w:val="CharSchNo"/>
        </w:rPr>
        <w:t>Schedule 6</w:t>
      </w:r>
      <w:r>
        <w:t> — </w:t>
      </w:r>
      <w:r>
        <w:rPr>
          <w:rStyle w:val="CharSchText"/>
        </w:rPr>
        <w:t>Saturday Lotto</w:t>
      </w:r>
      <w:bookmarkEnd w:id="751"/>
      <w:bookmarkEnd w:id="752"/>
      <w:bookmarkEnd w:id="753"/>
      <w:bookmarkEnd w:id="754"/>
      <w:bookmarkEnd w:id="755"/>
      <w:bookmarkEnd w:id="756"/>
      <w:bookmarkEnd w:id="757"/>
      <w:bookmarkEnd w:id="758"/>
    </w:p>
    <w:p>
      <w:pPr>
        <w:pStyle w:val="yShoulderClause"/>
      </w:pPr>
      <w:r>
        <w:t>[r. 4 and 101]</w:t>
      </w:r>
    </w:p>
    <w:p>
      <w:pPr>
        <w:pStyle w:val="yFootnoteheading"/>
        <w:spacing w:after="60"/>
      </w:pPr>
      <w:r>
        <w:tab/>
        <w:t>[Heading amended: Gazette 4 Oct 2017 p. 5148.]</w:t>
      </w:r>
    </w:p>
    <w:p>
      <w:pPr>
        <w:pStyle w:val="yHeading3"/>
      </w:pPr>
      <w:bookmarkStart w:id="759" w:name="_Toc34139639"/>
      <w:bookmarkStart w:id="760" w:name="_Toc34139851"/>
      <w:bookmarkStart w:id="761" w:name="_Toc34148028"/>
      <w:bookmarkStart w:id="762" w:name="_Toc34207581"/>
      <w:bookmarkStart w:id="763" w:name="_Toc34291576"/>
      <w:bookmarkStart w:id="764" w:name="_Toc25657484"/>
      <w:bookmarkStart w:id="765" w:name="_Toc25760950"/>
      <w:bookmarkStart w:id="766" w:name="_Toc25761279"/>
      <w:r>
        <w:rPr>
          <w:rStyle w:val="CharSDivNo"/>
        </w:rPr>
        <w:t>Division 1</w:t>
      </w:r>
      <w:r>
        <w:t> — </w:t>
      </w:r>
      <w:r>
        <w:rPr>
          <w:rStyle w:val="CharSDivText"/>
        </w:rPr>
        <w:t>Calculating the total cost of entry</w:t>
      </w:r>
      <w:bookmarkEnd w:id="759"/>
      <w:bookmarkEnd w:id="760"/>
      <w:bookmarkEnd w:id="761"/>
      <w:bookmarkEnd w:id="762"/>
      <w:bookmarkEnd w:id="763"/>
      <w:bookmarkEnd w:id="764"/>
      <w:bookmarkEnd w:id="765"/>
      <w:bookmarkEnd w:id="766"/>
    </w:p>
    <w:p>
      <w:pPr>
        <w:pStyle w:val="yMiscellaneousBody"/>
        <w:spacing w:before="120"/>
      </w:pPr>
      <w:r>
        <w:t>The unit cost of entering a Saturday Lotto draw is made up of a subscription of 65 cents per game and an agent’s component.</w:t>
      </w:r>
    </w:p>
    <w:p>
      <w:pPr>
        <w:pStyle w:val="yMiscellaneousBody"/>
        <w:spacing w:before="120"/>
      </w:pPr>
      <w:r>
        <w:t xml:space="preserve">The agent’s component is calculated as </w:t>
      </w:r>
      <w:r>
        <w:rPr>
          <w:rFonts w:eastAsia="Calibri"/>
        </w:rPr>
        <w:t>10%</w:t>
      </w:r>
      <w:r>
        <w:t xml:space="preserve"> of the total subscription amount for a particular week’s entry, rounded* (where necessary) to the nearest 5 cent multiple.</w:t>
      </w:r>
    </w:p>
    <w:p>
      <w:pPr>
        <w:pStyle w:val="yMiscellaneousBody"/>
        <w:spacing w:before="120"/>
      </w:pPr>
      <m:oMathPara>
        <m:oMathParaPr>
          <m:jc m:val="left"/>
        </m:oMathParaPr>
        <m:oMath>
          <m:d>
            <m:dPr>
              <m:ctrlPr>
                <w:rPr>
                  <w:rFonts w:ascii="Cambria Math" w:eastAsiaTheme="minorHAnsi" w:hAnsi="Cambria Math" w:cstheme="minorBidi"/>
                  <w:b/>
                  <w:szCs w:val="22"/>
                </w:rPr>
              </m:ctrlPr>
            </m:dPr>
            <m:e>
              <m:d>
                <m:dPr>
                  <m:ctrlPr>
                    <w:rPr>
                      <w:rFonts w:ascii="Cambria Math" w:eastAsiaTheme="minorHAnsi" w:hAnsi="Cambria Math" w:cstheme="minorBidi"/>
                      <w:b/>
                      <w:szCs w:val="22"/>
                    </w:rPr>
                  </m:ctrlPr>
                </m:dPr>
                <m:e>
                  <m:r>
                    <m:rPr>
                      <m:sty m:val="b"/>
                    </m:rPr>
                    <w:rPr>
                      <w:rFonts w:ascii="Cambria Math" w:hAnsi="Cambria Math"/>
                    </w:rPr>
                    <m:t>G</m:t>
                  </m:r>
                  <m:r>
                    <m:rPr>
                      <m:sty m:val="b"/>
                    </m:rPr>
                    <w:rPr>
                      <w:rFonts w:ascii="Cambria Math" w:hAnsi="Cambria Math" w:hint="eastAsia"/>
                    </w:rPr>
                    <m:t>×</m:t>
                  </m:r>
                  <m:r>
                    <m:rPr>
                      <m:sty m:val="b"/>
                    </m:rPr>
                    <w:rPr>
                      <w:rFonts w:ascii="Cambria Math" w:hAnsi="Cambria Math"/>
                    </w:rPr>
                    <m:t>$0.65</m:t>
                  </m:r>
                </m:e>
              </m:d>
              <m:r>
                <m:rPr>
                  <m:sty m:val="b"/>
                </m:rPr>
                <w:rPr>
                  <w:rFonts w:ascii="Cambria Math" w:hAnsi="Cambria Math" w:hint="eastAsia"/>
                </w:rPr>
                <m:t>×</m:t>
              </m:r>
              <m:r>
                <m:rPr>
                  <m:sty m:val="b"/>
                </m:rPr>
                <w:rPr>
                  <w:rFonts w:ascii="Cambria Math" w:hAnsi="Cambria Math"/>
                </w:rPr>
                <m:t xml:space="preserve"> </m:t>
              </m:r>
              <m:r>
                <m:rPr>
                  <m:sty m:val="b"/>
                </m:rPr>
                <w:rPr>
                  <w:rFonts w:ascii="Cambria Math" w:eastAsia="Calibri" w:hAnsi="Cambria Math"/>
                </w:rPr>
                <m:t>0.1</m:t>
              </m:r>
              <m:r>
                <m:rPr>
                  <m:sty m:val="b"/>
                </m:rPr>
                <w:rPr>
                  <w:rFonts w:ascii="Cambria Math" w:hAnsi="Cambria Math"/>
                </w:rPr>
                <m:t>→rounded</m:t>
              </m:r>
            </m:e>
          </m:d>
          <m:r>
            <m:rPr>
              <m:sty m:val="b"/>
            </m:rPr>
            <w:rPr>
              <w:rFonts w:ascii="Cambria Math" w:hAnsi="Cambria Math"/>
            </w:rPr>
            <m:t>×W=T</m:t>
          </m:r>
        </m:oMath>
      </m:oMathPara>
    </w:p>
    <w:p>
      <w:pPr>
        <w:pStyle w:val="yMiscellaneousBody"/>
        <w:rPr>
          <w:szCs w:val="22"/>
        </w:rPr>
      </w:pPr>
      <w:r>
        <w:rPr>
          <w:szCs w:val="22"/>
        </w:rPr>
        <w:t>where —</w:t>
      </w:r>
    </w:p>
    <w:p>
      <w:pPr>
        <w:pStyle w:val="yMiscellaneousBody"/>
        <w:tabs>
          <w:tab w:val="left" w:pos="567"/>
        </w:tabs>
        <w:spacing w:before="120"/>
      </w:pPr>
      <w:r>
        <w:t>G</w:t>
      </w:r>
      <w:r>
        <w:tab/>
        <w:t>No. of games entered in a draw;</w:t>
      </w:r>
    </w:p>
    <w:p>
      <w:pPr>
        <w:pStyle w:val="yMiscellaneousBody"/>
        <w:tabs>
          <w:tab w:val="left" w:pos="567"/>
        </w:tabs>
        <w:spacing w:before="120"/>
      </w:pPr>
      <w:r>
        <w:t>W</w:t>
      </w:r>
      <w:r>
        <w:tab/>
        <w:t>No. of weeks the entry spans;</w:t>
      </w:r>
    </w:p>
    <w:p>
      <w:pPr>
        <w:pStyle w:val="yMiscellaneousBody"/>
        <w:tabs>
          <w:tab w:val="left" w:pos="567"/>
        </w:tabs>
        <w:spacing w:before="120"/>
      </w:pPr>
      <w:r>
        <w:t>T</w:t>
      </w:r>
      <w:r>
        <w:tab/>
        <w:t>Total agent’s component cost payable by the subscriber.</w:t>
      </w:r>
    </w:p>
    <w:p>
      <w:pPr>
        <w:pStyle w:val="yMiscellaneousBody"/>
        <w:ind w:left="142" w:hanging="142"/>
      </w:pPr>
      <w:r>
        <w:t>* Rounding is calculated using the method known as “bankers rounding” or “round</w:t>
      </w:r>
      <w:r>
        <w:noBreakHyphen/>
        <w:t>to</w:t>
      </w:r>
      <w:r>
        <w:noBreakHyphen/>
        <w:t>even” rounding.</w:t>
      </w:r>
    </w:p>
    <w:p>
      <w:pPr>
        <w:pStyle w:val="yFootnotesection"/>
      </w:pPr>
      <w:r>
        <w:tab/>
        <w:t>[Division 1 amended: Gazette 12 Nov 2019 p. 4020.]</w:t>
      </w:r>
    </w:p>
    <w:p>
      <w:pPr>
        <w:pStyle w:val="yHeading3"/>
        <w:spacing w:after="240"/>
      </w:pPr>
      <w:bookmarkStart w:id="767" w:name="_Toc34139640"/>
      <w:bookmarkStart w:id="768" w:name="_Toc34139852"/>
      <w:bookmarkStart w:id="769" w:name="_Toc34148029"/>
      <w:bookmarkStart w:id="770" w:name="_Toc34207582"/>
      <w:bookmarkStart w:id="771" w:name="_Toc34291577"/>
      <w:bookmarkStart w:id="772" w:name="_Toc25657485"/>
      <w:bookmarkStart w:id="773" w:name="_Toc25760951"/>
      <w:bookmarkStart w:id="774" w:name="_Toc25761280"/>
      <w:r>
        <w:rPr>
          <w:rStyle w:val="CharSDivNo"/>
        </w:rPr>
        <w:t>Division 2</w:t>
      </w:r>
      <w:r>
        <w:t> — </w:t>
      </w:r>
      <w:r>
        <w:rPr>
          <w:rStyle w:val="CharSDivText"/>
        </w:rPr>
        <w:t>System entries and game equivalents</w:t>
      </w:r>
      <w:bookmarkEnd w:id="767"/>
      <w:bookmarkEnd w:id="768"/>
      <w:bookmarkEnd w:id="769"/>
      <w:bookmarkEnd w:id="770"/>
      <w:bookmarkEnd w:id="771"/>
      <w:bookmarkEnd w:id="772"/>
      <w:bookmarkEnd w:id="773"/>
      <w:bookmarkEnd w:id="774"/>
    </w:p>
    <w:tbl>
      <w:tblPr>
        <w:tblW w:w="0" w:type="auto"/>
        <w:tblInd w:w="2013" w:type="dxa"/>
        <w:tblBorders>
          <w:top w:val="single" w:sz="4" w:space="0" w:color="auto"/>
          <w:left w:val="single" w:sz="4" w:space="0" w:color="auto"/>
          <w:bottom w:val="single" w:sz="4" w:space="0" w:color="auto"/>
          <w:right w:val="single" w:sz="4" w:space="0" w:color="auto"/>
        </w:tblBorders>
        <w:tblLayout w:type="fixed"/>
        <w:tblCellMar>
          <w:left w:w="28" w:type="dxa"/>
          <w:right w:w="28" w:type="dxa"/>
        </w:tblCellMar>
        <w:tblLook w:val="0000" w:firstRow="0" w:lastRow="0" w:firstColumn="0" w:lastColumn="0" w:noHBand="0" w:noVBand="0"/>
      </w:tblPr>
      <w:tblGrid>
        <w:gridCol w:w="1276"/>
        <w:gridCol w:w="1984"/>
      </w:tblGrid>
      <w:tr>
        <w:trPr>
          <w:tblHeader/>
        </w:trPr>
        <w:tc>
          <w:tcPr>
            <w:tcW w:w="3260" w:type="dxa"/>
            <w:gridSpan w:val="2"/>
            <w:tcBorders>
              <w:top w:val="single" w:sz="4" w:space="0" w:color="auto"/>
              <w:left w:val="single" w:sz="4" w:space="0" w:color="auto"/>
              <w:bottom w:val="single" w:sz="4" w:space="0" w:color="auto"/>
              <w:right w:val="single" w:sz="4" w:space="0" w:color="auto"/>
            </w:tcBorders>
          </w:tcPr>
          <w:p>
            <w:pPr>
              <w:pStyle w:val="yTableNAm"/>
              <w:jc w:val="center"/>
              <w:rPr>
                <w:b/>
              </w:rPr>
            </w:pPr>
            <w:r>
              <w:rPr>
                <w:b/>
              </w:rPr>
              <w:t>Saturday Lotto</w:t>
            </w:r>
          </w:p>
        </w:tc>
      </w:tr>
      <w:tr>
        <w:trPr>
          <w:tblHeader/>
        </w:trPr>
        <w:tc>
          <w:tcPr>
            <w:tcW w:w="1276" w:type="dxa"/>
            <w:tcBorders>
              <w:top w:val="single" w:sz="4" w:space="0" w:color="auto"/>
              <w:left w:val="single" w:sz="4" w:space="0" w:color="auto"/>
              <w:bottom w:val="single" w:sz="4" w:space="0" w:color="auto"/>
              <w:right w:val="single" w:sz="4" w:space="0" w:color="auto"/>
            </w:tcBorders>
          </w:tcPr>
          <w:p>
            <w:pPr>
              <w:pStyle w:val="yTableNAm"/>
              <w:jc w:val="center"/>
              <w:rPr>
                <w:b/>
              </w:rPr>
            </w:pPr>
            <w:r>
              <w:rPr>
                <w:b/>
              </w:rPr>
              <w:t>System</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b/>
              </w:rPr>
            </w:pPr>
            <w:r>
              <w:rPr>
                <w:b/>
              </w:rPr>
              <w:t>No. of games per game board</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4</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820</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5</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40</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7</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7</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8</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28</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9</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84</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10</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210</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11</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462</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12</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924</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13</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1 716</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14</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3 003</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15</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5 005</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16</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8 008</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17</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12 376</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18</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18 564</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19</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27 132</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20</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38 760</w:t>
            </w:r>
          </w:p>
        </w:tc>
      </w:tr>
    </w:tbl>
    <w:p>
      <w:pPr>
        <w:pStyle w:val="yHeading3"/>
      </w:pPr>
      <w:bookmarkStart w:id="775" w:name="_Toc34139641"/>
      <w:bookmarkStart w:id="776" w:name="_Toc34139853"/>
      <w:bookmarkStart w:id="777" w:name="_Toc34148030"/>
      <w:bookmarkStart w:id="778" w:name="_Toc34207583"/>
      <w:bookmarkStart w:id="779" w:name="_Toc34291578"/>
      <w:bookmarkStart w:id="780" w:name="_Toc25657486"/>
      <w:bookmarkStart w:id="781" w:name="_Toc25760952"/>
      <w:bookmarkStart w:id="782" w:name="_Toc25761281"/>
      <w:r>
        <w:rPr>
          <w:rStyle w:val="CharSDivNo"/>
        </w:rPr>
        <w:t>Division 3</w:t>
      </w:r>
      <w:r>
        <w:t> — </w:t>
      </w:r>
      <w:r>
        <w:rPr>
          <w:rStyle w:val="CharSDivText"/>
        </w:rPr>
        <w:t>Summary of parameters within which Saturday Lotto is conducted</w:t>
      </w:r>
      <w:bookmarkEnd w:id="775"/>
      <w:bookmarkEnd w:id="776"/>
      <w:bookmarkEnd w:id="777"/>
      <w:bookmarkEnd w:id="778"/>
      <w:bookmarkEnd w:id="779"/>
      <w:bookmarkEnd w:id="780"/>
      <w:bookmarkEnd w:id="781"/>
      <w:bookmarkEnd w:id="782"/>
    </w:p>
    <w:tbl>
      <w:tblPr>
        <w:tblW w:w="0" w:type="auto"/>
        <w:tblInd w:w="141" w:type="dxa"/>
        <w:tblLayout w:type="fixed"/>
        <w:tblCellMar>
          <w:left w:w="141" w:type="dxa"/>
          <w:right w:w="141" w:type="dxa"/>
        </w:tblCellMar>
        <w:tblLook w:val="0000" w:firstRow="0" w:lastRow="0" w:firstColumn="0" w:lastColumn="0" w:noHBand="0" w:noVBand="0"/>
      </w:tblPr>
      <w:tblGrid>
        <w:gridCol w:w="5040"/>
        <w:gridCol w:w="2040"/>
        <w:gridCol w:w="8"/>
      </w:tblGrid>
      <w:tr>
        <w:tc>
          <w:tcPr>
            <w:tcW w:w="5040" w:type="dxa"/>
          </w:tcPr>
          <w:p>
            <w:pPr>
              <w:pStyle w:val="yTableNAm"/>
              <w:rPr>
                <w:szCs w:val="22"/>
              </w:rPr>
            </w:pPr>
            <w:r>
              <w:rPr>
                <w:szCs w:val="22"/>
              </w:rPr>
              <w:t>Unit cost for a Saturday Lotto draw</w:t>
            </w:r>
          </w:p>
        </w:tc>
        <w:tc>
          <w:tcPr>
            <w:tcW w:w="2048" w:type="dxa"/>
            <w:gridSpan w:val="2"/>
          </w:tcPr>
          <w:p>
            <w:pPr>
              <w:pStyle w:val="yTableNAm"/>
              <w:rPr>
                <w:szCs w:val="22"/>
              </w:rPr>
            </w:pPr>
            <w:r>
              <w:rPr>
                <w:szCs w:val="22"/>
              </w:rPr>
              <w:t xml:space="preserve">$0.65 (+ a </w:t>
            </w:r>
            <w:r>
              <w:rPr>
                <w:rFonts w:eastAsia="Calibri"/>
              </w:rPr>
              <w:t>10%</w:t>
            </w:r>
            <w:r>
              <w:rPr>
                <w:szCs w:val="22"/>
              </w:rPr>
              <w:t xml:space="preserve"> agent’s component)</w:t>
            </w:r>
          </w:p>
        </w:tc>
      </w:tr>
      <w:tr>
        <w:tc>
          <w:tcPr>
            <w:tcW w:w="5040" w:type="dxa"/>
          </w:tcPr>
          <w:p>
            <w:pPr>
              <w:pStyle w:val="yTableNAm"/>
              <w:rPr>
                <w:szCs w:val="22"/>
              </w:rPr>
            </w:pPr>
            <w:r>
              <w:rPr>
                <w:szCs w:val="22"/>
              </w:rPr>
              <w:t>Prize fund — % of subscriptions</w:t>
            </w:r>
          </w:p>
        </w:tc>
        <w:tc>
          <w:tcPr>
            <w:tcW w:w="2048" w:type="dxa"/>
            <w:gridSpan w:val="2"/>
          </w:tcPr>
          <w:p>
            <w:pPr>
              <w:pStyle w:val="yTableNAm"/>
              <w:rPr>
                <w:szCs w:val="22"/>
              </w:rPr>
            </w:pPr>
            <w:r>
              <w:rPr>
                <w:szCs w:val="22"/>
              </w:rPr>
              <w:t>60.0%</w:t>
            </w:r>
          </w:p>
        </w:tc>
      </w:tr>
      <w:tr>
        <w:trPr>
          <w:gridAfter w:val="1"/>
          <w:wAfter w:w="8" w:type="dxa"/>
        </w:trPr>
        <w:tc>
          <w:tcPr>
            <w:tcW w:w="5040" w:type="dxa"/>
          </w:tcPr>
          <w:p>
            <w:pPr>
              <w:pStyle w:val="yTableNAm"/>
              <w:rPr>
                <w:szCs w:val="22"/>
              </w:rPr>
            </w:pPr>
            <w:r>
              <w:rPr>
                <w:szCs w:val="22"/>
              </w:rPr>
              <w:t>Prize pool — % of subscriptions</w:t>
            </w:r>
          </w:p>
        </w:tc>
        <w:tc>
          <w:tcPr>
            <w:tcW w:w="2040" w:type="dxa"/>
          </w:tcPr>
          <w:p>
            <w:pPr>
              <w:pStyle w:val="yTableNAm"/>
              <w:rPr>
                <w:szCs w:val="22"/>
              </w:rPr>
            </w:pPr>
            <w:r>
              <w:rPr>
                <w:szCs w:val="22"/>
              </w:rPr>
              <w:t>no less than 55.0%</w:t>
            </w:r>
          </w:p>
        </w:tc>
      </w:tr>
      <w:tr>
        <w:trPr>
          <w:gridAfter w:val="1"/>
          <w:wAfter w:w="8" w:type="dxa"/>
        </w:trPr>
        <w:tc>
          <w:tcPr>
            <w:tcW w:w="5040" w:type="dxa"/>
          </w:tcPr>
          <w:p>
            <w:pPr>
              <w:pStyle w:val="yTableNAm"/>
              <w:rPr>
                <w:szCs w:val="22"/>
              </w:rPr>
            </w:pPr>
            <w:r>
              <w:rPr>
                <w:szCs w:val="22"/>
              </w:rPr>
              <w:t>Prize reserve fund — % of subscriptions</w:t>
            </w:r>
          </w:p>
        </w:tc>
        <w:tc>
          <w:tcPr>
            <w:tcW w:w="2040" w:type="dxa"/>
          </w:tcPr>
          <w:p>
            <w:pPr>
              <w:pStyle w:val="yTableNAm"/>
              <w:rPr>
                <w:szCs w:val="22"/>
              </w:rPr>
            </w:pPr>
            <w:r>
              <w:rPr>
                <w:szCs w:val="22"/>
              </w:rPr>
              <w:t>balance of prize fund after prize pool</w:t>
            </w:r>
            <w:r>
              <w:rPr>
                <w:szCs w:val="22"/>
              </w:rPr>
              <w:br/>
              <w:t>(up to 5.0%)</w:t>
            </w:r>
          </w:p>
        </w:tc>
      </w:tr>
      <w:tr>
        <w:trPr>
          <w:gridAfter w:val="1"/>
          <w:wAfter w:w="8" w:type="dxa"/>
        </w:trPr>
        <w:tc>
          <w:tcPr>
            <w:tcW w:w="5040" w:type="dxa"/>
          </w:tcPr>
          <w:p>
            <w:pPr>
              <w:pStyle w:val="yTableNAm"/>
              <w:rPr>
                <w:szCs w:val="22"/>
              </w:rPr>
            </w:pPr>
            <w:r>
              <w:rPr>
                <w:szCs w:val="22"/>
              </w:rPr>
              <w:t>Number of divisions</w:t>
            </w:r>
          </w:p>
        </w:tc>
        <w:tc>
          <w:tcPr>
            <w:tcW w:w="2040" w:type="dxa"/>
          </w:tcPr>
          <w:p>
            <w:pPr>
              <w:pStyle w:val="yTableNAm"/>
              <w:rPr>
                <w:szCs w:val="22"/>
              </w:rPr>
            </w:pPr>
            <w:r>
              <w:rPr>
                <w:szCs w:val="22"/>
              </w:rPr>
              <w:t>6</w:t>
            </w:r>
          </w:p>
        </w:tc>
      </w:tr>
      <w:tr>
        <w:trPr>
          <w:gridAfter w:val="1"/>
          <w:wAfter w:w="8" w:type="dxa"/>
        </w:trPr>
        <w:tc>
          <w:tcPr>
            <w:tcW w:w="5040" w:type="dxa"/>
          </w:tcPr>
          <w:p>
            <w:pPr>
              <w:pStyle w:val="yTableNAm"/>
              <w:rPr>
                <w:szCs w:val="22"/>
              </w:rPr>
            </w:pPr>
            <w:r>
              <w:rPr>
                <w:szCs w:val="22"/>
              </w:rPr>
              <w:t>Winning numbers drawn</w:t>
            </w:r>
          </w:p>
        </w:tc>
        <w:tc>
          <w:tcPr>
            <w:tcW w:w="2040" w:type="dxa"/>
          </w:tcPr>
          <w:p>
            <w:pPr>
              <w:pStyle w:val="yTableNAm"/>
              <w:rPr>
                <w:szCs w:val="22"/>
              </w:rPr>
            </w:pPr>
            <w:r>
              <w:rPr>
                <w:szCs w:val="22"/>
              </w:rPr>
              <w:t>6</w:t>
            </w:r>
          </w:p>
        </w:tc>
      </w:tr>
      <w:tr>
        <w:trPr>
          <w:gridAfter w:val="1"/>
          <w:wAfter w:w="8" w:type="dxa"/>
        </w:trPr>
        <w:tc>
          <w:tcPr>
            <w:tcW w:w="5040" w:type="dxa"/>
          </w:tcPr>
          <w:p>
            <w:pPr>
              <w:pStyle w:val="yTableNAm"/>
              <w:rPr>
                <w:szCs w:val="22"/>
              </w:rPr>
            </w:pPr>
            <w:r>
              <w:rPr>
                <w:szCs w:val="22"/>
              </w:rPr>
              <w:t>Supplementary numbers drawn</w:t>
            </w:r>
          </w:p>
        </w:tc>
        <w:tc>
          <w:tcPr>
            <w:tcW w:w="2040" w:type="dxa"/>
          </w:tcPr>
          <w:p>
            <w:pPr>
              <w:pStyle w:val="yTableNAm"/>
              <w:rPr>
                <w:szCs w:val="22"/>
              </w:rPr>
            </w:pPr>
            <w:r>
              <w:rPr>
                <w:szCs w:val="22"/>
              </w:rPr>
              <w:t>2</w:t>
            </w:r>
          </w:p>
        </w:tc>
      </w:tr>
      <w:tr>
        <w:trPr>
          <w:gridAfter w:val="1"/>
          <w:wAfter w:w="8" w:type="dxa"/>
        </w:trPr>
        <w:tc>
          <w:tcPr>
            <w:tcW w:w="5040" w:type="dxa"/>
          </w:tcPr>
          <w:p>
            <w:pPr>
              <w:pStyle w:val="yTableNAm"/>
              <w:rPr>
                <w:szCs w:val="22"/>
              </w:rPr>
            </w:pPr>
            <w:r>
              <w:rPr>
                <w:szCs w:val="22"/>
              </w:rPr>
              <w:t>Forecast range </w:t>
            </w:r>
          </w:p>
        </w:tc>
        <w:tc>
          <w:tcPr>
            <w:tcW w:w="2040" w:type="dxa"/>
          </w:tcPr>
          <w:p>
            <w:pPr>
              <w:pStyle w:val="yTableNAm"/>
              <w:rPr>
                <w:szCs w:val="22"/>
              </w:rPr>
            </w:pPr>
            <w:r>
              <w:rPr>
                <w:szCs w:val="22"/>
              </w:rPr>
              <w:t>1 to 45 inclusive</w:t>
            </w:r>
          </w:p>
        </w:tc>
      </w:tr>
      <w:tr>
        <w:trPr>
          <w:gridAfter w:val="1"/>
          <w:wAfter w:w="8" w:type="dxa"/>
        </w:trPr>
        <w:tc>
          <w:tcPr>
            <w:tcW w:w="5040" w:type="dxa"/>
          </w:tcPr>
          <w:p>
            <w:pPr>
              <w:pStyle w:val="yTableNAm"/>
              <w:keepNext/>
              <w:rPr>
                <w:szCs w:val="22"/>
              </w:rPr>
            </w:pPr>
            <w:r>
              <w:rPr>
                <w:szCs w:val="22"/>
              </w:rPr>
              <w:t>Odds of winning —</w:t>
            </w:r>
          </w:p>
          <w:p>
            <w:pPr>
              <w:pStyle w:val="yTableNAm"/>
              <w:rPr>
                <w:szCs w:val="22"/>
              </w:rPr>
            </w:pPr>
            <w:r>
              <w:rPr>
                <w:szCs w:val="22"/>
              </w:rPr>
              <w:t>division 1</w:t>
            </w:r>
          </w:p>
          <w:p>
            <w:pPr>
              <w:pStyle w:val="yTableNAm"/>
              <w:rPr>
                <w:szCs w:val="22"/>
              </w:rPr>
            </w:pPr>
            <w:r>
              <w:rPr>
                <w:szCs w:val="22"/>
              </w:rPr>
              <w:t>division 2</w:t>
            </w:r>
          </w:p>
          <w:p>
            <w:pPr>
              <w:pStyle w:val="yTableNAm"/>
              <w:rPr>
                <w:szCs w:val="22"/>
              </w:rPr>
            </w:pPr>
            <w:r>
              <w:rPr>
                <w:szCs w:val="22"/>
              </w:rPr>
              <w:t>division 3</w:t>
            </w:r>
          </w:p>
          <w:p>
            <w:pPr>
              <w:pStyle w:val="yTableNAm"/>
              <w:rPr>
                <w:szCs w:val="22"/>
              </w:rPr>
            </w:pPr>
            <w:r>
              <w:rPr>
                <w:szCs w:val="22"/>
              </w:rPr>
              <w:t>division 4</w:t>
            </w:r>
          </w:p>
          <w:p>
            <w:pPr>
              <w:pStyle w:val="yTableNAm"/>
              <w:rPr>
                <w:szCs w:val="22"/>
              </w:rPr>
            </w:pPr>
            <w:r>
              <w:rPr>
                <w:szCs w:val="22"/>
              </w:rPr>
              <w:t>division 5</w:t>
            </w:r>
          </w:p>
          <w:p>
            <w:pPr>
              <w:pStyle w:val="yTableNAm"/>
              <w:rPr>
                <w:szCs w:val="22"/>
              </w:rPr>
            </w:pPr>
            <w:r>
              <w:rPr>
                <w:szCs w:val="22"/>
              </w:rPr>
              <w:t>division 6</w:t>
            </w:r>
          </w:p>
        </w:tc>
        <w:tc>
          <w:tcPr>
            <w:tcW w:w="2040" w:type="dxa"/>
          </w:tcPr>
          <w:p>
            <w:pPr>
              <w:pStyle w:val="yTableNAm"/>
              <w:rPr>
                <w:szCs w:val="22"/>
              </w:rPr>
            </w:pPr>
          </w:p>
          <w:p>
            <w:pPr>
              <w:pStyle w:val="yTableNAm"/>
              <w:rPr>
                <w:szCs w:val="22"/>
              </w:rPr>
            </w:pPr>
            <w:r>
              <w:rPr>
                <w:szCs w:val="22"/>
              </w:rPr>
              <w:t>1 in 8 145 060</w:t>
            </w:r>
          </w:p>
          <w:p>
            <w:pPr>
              <w:pStyle w:val="yTableNAm"/>
              <w:rPr>
                <w:szCs w:val="22"/>
              </w:rPr>
            </w:pPr>
            <w:r>
              <w:rPr>
                <w:szCs w:val="22"/>
              </w:rPr>
              <w:t>1 in 678 755</w:t>
            </w:r>
          </w:p>
          <w:p>
            <w:pPr>
              <w:pStyle w:val="yTableNAm"/>
              <w:rPr>
                <w:szCs w:val="22"/>
              </w:rPr>
            </w:pPr>
            <w:r>
              <w:rPr>
                <w:szCs w:val="22"/>
              </w:rPr>
              <w:t>1 in 36 690</w:t>
            </w:r>
          </w:p>
          <w:p>
            <w:pPr>
              <w:pStyle w:val="yTableNAm"/>
              <w:rPr>
                <w:szCs w:val="22"/>
              </w:rPr>
            </w:pPr>
            <w:r>
              <w:rPr>
                <w:szCs w:val="22"/>
              </w:rPr>
              <w:t>1 in 733</w:t>
            </w:r>
          </w:p>
          <w:p>
            <w:pPr>
              <w:pStyle w:val="yTableNAm"/>
              <w:rPr>
                <w:szCs w:val="22"/>
              </w:rPr>
            </w:pPr>
            <w:r>
              <w:rPr>
                <w:szCs w:val="22"/>
              </w:rPr>
              <w:t>1 in 298</w:t>
            </w:r>
          </w:p>
          <w:p>
            <w:pPr>
              <w:pStyle w:val="yTableNAm"/>
              <w:rPr>
                <w:szCs w:val="22"/>
              </w:rPr>
            </w:pPr>
            <w:r>
              <w:rPr>
                <w:szCs w:val="22"/>
              </w:rPr>
              <w:t>1 in 144</w:t>
            </w:r>
          </w:p>
        </w:tc>
      </w:tr>
      <w:tr>
        <w:trPr>
          <w:gridAfter w:val="1"/>
          <w:wAfter w:w="8" w:type="dxa"/>
        </w:trPr>
        <w:tc>
          <w:tcPr>
            <w:tcW w:w="5040" w:type="dxa"/>
          </w:tcPr>
          <w:p>
            <w:pPr>
              <w:pStyle w:val="yTableNAm"/>
              <w:rPr>
                <w:szCs w:val="22"/>
              </w:rPr>
            </w:pPr>
            <w:r>
              <w:rPr>
                <w:szCs w:val="22"/>
              </w:rPr>
              <w:t>Systems range</w:t>
            </w:r>
          </w:p>
        </w:tc>
        <w:tc>
          <w:tcPr>
            <w:tcW w:w="2040" w:type="dxa"/>
          </w:tcPr>
          <w:p>
            <w:pPr>
              <w:pStyle w:val="yTableNAm"/>
              <w:rPr>
                <w:szCs w:val="22"/>
              </w:rPr>
            </w:pPr>
            <w:r>
              <w:rPr>
                <w:szCs w:val="22"/>
              </w:rPr>
              <w:t>4</w:t>
            </w:r>
            <w:r>
              <w:rPr>
                <w:szCs w:val="22"/>
              </w:rPr>
              <w:noBreakHyphen/>
              <w:t>5/7</w:t>
            </w:r>
            <w:r>
              <w:rPr>
                <w:szCs w:val="22"/>
              </w:rPr>
              <w:noBreakHyphen/>
              <w:t>20 inclusive</w:t>
            </w:r>
          </w:p>
        </w:tc>
      </w:tr>
      <w:tr>
        <w:trPr>
          <w:gridAfter w:val="1"/>
          <w:wAfter w:w="8" w:type="dxa"/>
        </w:trPr>
        <w:tc>
          <w:tcPr>
            <w:tcW w:w="5040" w:type="dxa"/>
          </w:tcPr>
          <w:p>
            <w:pPr>
              <w:pStyle w:val="yTableNAm"/>
              <w:rPr>
                <w:szCs w:val="22"/>
              </w:rPr>
            </w:pPr>
            <w:r>
              <w:rPr>
                <w:szCs w:val="22"/>
              </w:rPr>
              <w:t>Multiweek options (</w:t>
            </w:r>
            <w:bookmarkStart w:id="783" w:name="RuleErr_29"/>
            <w:r>
              <w:rPr>
                <w:i/>
                <w:iCs/>
                <w:szCs w:val="22"/>
              </w:rPr>
              <w:t>if available</w:t>
            </w:r>
            <w:bookmarkEnd w:id="783"/>
            <w:r>
              <w:rPr>
                <w:szCs w:val="22"/>
              </w:rPr>
              <w:t>)</w:t>
            </w:r>
          </w:p>
        </w:tc>
        <w:tc>
          <w:tcPr>
            <w:tcW w:w="2040" w:type="dxa"/>
          </w:tcPr>
          <w:p>
            <w:pPr>
              <w:pStyle w:val="yTableNAm"/>
              <w:rPr>
                <w:szCs w:val="22"/>
              </w:rPr>
            </w:pPr>
            <w:r>
              <w:rPr>
                <w:szCs w:val="22"/>
              </w:rPr>
              <w:t>Up to 10 weeks</w:t>
            </w:r>
          </w:p>
        </w:tc>
      </w:tr>
      <w:tr>
        <w:trPr>
          <w:gridAfter w:val="1"/>
          <w:wAfter w:w="8" w:type="dxa"/>
        </w:trPr>
        <w:tc>
          <w:tcPr>
            <w:tcW w:w="5040" w:type="dxa"/>
          </w:tcPr>
          <w:p>
            <w:pPr>
              <w:pStyle w:val="yTableNAm"/>
              <w:rPr>
                <w:szCs w:val="22"/>
              </w:rPr>
            </w:pPr>
            <w:r>
              <w:rPr>
                <w:szCs w:val="22"/>
              </w:rPr>
              <w:t>Advance sales (maximum) (</w:t>
            </w:r>
            <w:bookmarkStart w:id="784" w:name="RuleErr_30"/>
            <w:r>
              <w:rPr>
                <w:i/>
                <w:iCs/>
                <w:szCs w:val="22"/>
              </w:rPr>
              <w:t>if available</w:t>
            </w:r>
            <w:bookmarkEnd w:id="784"/>
            <w:r>
              <w:rPr>
                <w:szCs w:val="22"/>
              </w:rPr>
              <w:t>)</w:t>
            </w:r>
          </w:p>
        </w:tc>
        <w:tc>
          <w:tcPr>
            <w:tcW w:w="2040" w:type="dxa"/>
          </w:tcPr>
          <w:p>
            <w:pPr>
              <w:pStyle w:val="yTableNAm"/>
              <w:rPr>
                <w:szCs w:val="22"/>
              </w:rPr>
            </w:pPr>
            <w:r>
              <w:rPr>
                <w:szCs w:val="22"/>
              </w:rPr>
              <w:t>10 weeks</w:t>
            </w:r>
          </w:p>
        </w:tc>
      </w:tr>
      <w:tr>
        <w:trPr>
          <w:gridAfter w:val="1"/>
          <w:wAfter w:w="8" w:type="dxa"/>
        </w:trPr>
        <w:tc>
          <w:tcPr>
            <w:tcW w:w="5040" w:type="dxa"/>
          </w:tcPr>
          <w:p>
            <w:pPr>
              <w:pStyle w:val="yTableNAm"/>
              <w:rPr>
                <w:szCs w:val="22"/>
              </w:rPr>
            </w:pPr>
            <w:r>
              <w:rPr>
                <w:szCs w:val="22"/>
              </w:rPr>
              <w:t>Games per playslip (minimum)</w:t>
            </w:r>
          </w:p>
        </w:tc>
        <w:tc>
          <w:tcPr>
            <w:tcW w:w="2040" w:type="dxa"/>
          </w:tcPr>
          <w:p>
            <w:pPr>
              <w:pStyle w:val="yTableNAm"/>
              <w:rPr>
                <w:szCs w:val="22"/>
              </w:rPr>
            </w:pPr>
            <w:r>
              <w:rPr>
                <w:szCs w:val="22"/>
              </w:rPr>
              <w:t>4</w:t>
            </w:r>
          </w:p>
        </w:tc>
      </w:tr>
      <w:tr>
        <w:trPr>
          <w:gridAfter w:val="1"/>
          <w:wAfter w:w="8" w:type="dxa"/>
        </w:trPr>
        <w:tc>
          <w:tcPr>
            <w:tcW w:w="5040" w:type="dxa"/>
          </w:tcPr>
          <w:p>
            <w:pPr>
              <w:pStyle w:val="yTableNAm"/>
              <w:rPr>
                <w:szCs w:val="22"/>
              </w:rPr>
            </w:pPr>
            <w:r>
              <w:rPr>
                <w:szCs w:val="22"/>
              </w:rPr>
              <w:t>System entries per playslip (maximum)</w:t>
            </w:r>
          </w:p>
        </w:tc>
        <w:tc>
          <w:tcPr>
            <w:tcW w:w="2040" w:type="dxa"/>
          </w:tcPr>
          <w:p>
            <w:pPr>
              <w:pStyle w:val="yTableNAm"/>
              <w:rPr>
                <w:szCs w:val="22"/>
              </w:rPr>
            </w:pPr>
            <w:r>
              <w:rPr>
                <w:szCs w:val="22"/>
              </w:rPr>
              <w:t>18 (</w:t>
            </w:r>
            <w:r>
              <w:rPr>
                <w:i/>
                <w:szCs w:val="22"/>
              </w:rPr>
              <w:t>subject to maximum aggregate entry cost</w:t>
            </w:r>
            <w:r>
              <w:rPr>
                <w:szCs w:val="22"/>
              </w:rPr>
              <w:t>)</w:t>
            </w:r>
          </w:p>
        </w:tc>
      </w:tr>
      <w:tr>
        <w:trPr>
          <w:gridAfter w:val="1"/>
          <w:wAfter w:w="8" w:type="dxa"/>
        </w:trPr>
        <w:tc>
          <w:tcPr>
            <w:tcW w:w="5040" w:type="dxa"/>
          </w:tcPr>
          <w:p>
            <w:pPr>
              <w:pStyle w:val="yTableNAm"/>
              <w:rPr>
                <w:szCs w:val="22"/>
              </w:rPr>
            </w:pPr>
            <w:r>
              <w:rPr>
                <w:szCs w:val="22"/>
              </w:rPr>
              <w:t>Games per playslip (maximum)</w:t>
            </w:r>
          </w:p>
        </w:tc>
        <w:tc>
          <w:tcPr>
            <w:tcW w:w="2040" w:type="dxa"/>
          </w:tcPr>
          <w:p>
            <w:pPr>
              <w:pStyle w:val="yTableNAm"/>
              <w:rPr>
                <w:szCs w:val="22"/>
              </w:rPr>
            </w:pPr>
            <w:r>
              <w:rPr>
                <w:szCs w:val="22"/>
              </w:rPr>
              <w:t>18</w:t>
            </w:r>
          </w:p>
        </w:tc>
      </w:tr>
      <w:tr>
        <w:trPr>
          <w:gridAfter w:val="1"/>
          <w:wAfter w:w="8" w:type="dxa"/>
        </w:trPr>
        <w:tc>
          <w:tcPr>
            <w:tcW w:w="5040" w:type="dxa"/>
          </w:tcPr>
          <w:p>
            <w:pPr>
              <w:pStyle w:val="yTableNAm"/>
              <w:rPr>
                <w:szCs w:val="22"/>
              </w:rPr>
            </w:pPr>
            <w:r>
              <w:rPr>
                <w:szCs w:val="22"/>
              </w:rPr>
              <w:t>Games per oral request (</w:t>
            </w:r>
            <w:bookmarkStart w:id="785" w:name="RuleErr_31"/>
            <w:r>
              <w:rPr>
                <w:i/>
                <w:iCs/>
                <w:szCs w:val="22"/>
              </w:rPr>
              <w:t>if available</w:t>
            </w:r>
            <w:bookmarkEnd w:id="785"/>
            <w:r>
              <w:rPr>
                <w:szCs w:val="22"/>
              </w:rPr>
              <w:t>)</w:t>
            </w:r>
          </w:p>
        </w:tc>
        <w:tc>
          <w:tcPr>
            <w:tcW w:w="2040" w:type="dxa"/>
          </w:tcPr>
          <w:p>
            <w:pPr>
              <w:pStyle w:val="yTableNAm"/>
              <w:rPr>
                <w:szCs w:val="22"/>
              </w:rPr>
            </w:pPr>
            <w:r>
              <w:rPr>
                <w:szCs w:val="22"/>
              </w:rPr>
              <w:t>4 to 50</w:t>
            </w:r>
          </w:p>
        </w:tc>
      </w:tr>
      <w:tr>
        <w:trPr>
          <w:gridAfter w:val="1"/>
          <w:wAfter w:w="8" w:type="dxa"/>
        </w:trPr>
        <w:tc>
          <w:tcPr>
            <w:tcW w:w="5040" w:type="dxa"/>
          </w:tcPr>
          <w:p>
            <w:pPr>
              <w:pStyle w:val="yTableNAm"/>
              <w:rPr>
                <w:szCs w:val="22"/>
              </w:rPr>
            </w:pPr>
            <w:r>
              <w:rPr>
                <w:szCs w:val="22"/>
              </w:rPr>
              <w:t>Syndicate entries may be purchased (</w:t>
            </w:r>
            <w:bookmarkStart w:id="786" w:name="RuleErr_32"/>
            <w:r>
              <w:rPr>
                <w:i/>
                <w:iCs/>
                <w:szCs w:val="22"/>
              </w:rPr>
              <w:t>if available</w:t>
            </w:r>
            <w:bookmarkEnd w:id="786"/>
            <w:r>
              <w:rPr>
                <w:szCs w:val="22"/>
              </w:rPr>
              <w:t>)</w:t>
            </w:r>
          </w:p>
        </w:tc>
        <w:tc>
          <w:tcPr>
            <w:tcW w:w="2040" w:type="dxa"/>
          </w:tcPr>
          <w:p>
            <w:pPr>
              <w:pStyle w:val="yTableNAm"/>
              <w:rPr>
                <w:szCs w:val="22"/>
              </w:rPr>
            </w:pPr>
            <w:r>
              <w:rPr>
                <w:szCs w:val="22"/>
              </w:rPr>
              <w:t>(see Part 2 Division 3)</w:t>
            </w:r>
          </w:p>
        </w:tc>
      </w:tr>
      <w:tr>
        <w:trPr>
          <w:gridAfter w:val="1"/>
          <w:wAfter w:w="8" w:type="dxa"/>
        </w:trPr>
        <w:tc>
          <w:tcPr>
            <w:tcW w:w="5040" w:type="dxa"/>
          </w:tcPr>
          <w:p>
            <w:pPr>
              <w:pStyle w:val="yTableNAm"/>
              <w:rPr>
                <w:szCs w:val="22"/>
              </w:rPr>
            </w:pPr>
            <w:r>
              <w:t>System entries per oral request (</w:t>
            </w:r>
            <w:r>
              <w:rPr>
                <w:i/>
              </w:rPr>
              <w:t>if available</w:t>
            </w:r>
            <w:r>
              <w:t>)</w:t>
            </w:r>
          </w:p>
        </w:tc>
        <w:tc>
          <w:tcPr>
            <w:tcW w:w="2040" w:type="dxa"/>
          </w:tcPr>
          <w:p>
            <w:pPr>
              <w:pStyle w:val="yTableNAm"/>
              <w:rPr>
                <w:szCs w:val="22"/>
              </w:rPr>
            </w:pPr>
            <w:r>
              <w:t>Up to 50</w:t>
            </w:r>
          </w:p>
        </w:tc>
      </w:tr>
      <w:tr>
        <w:trPr>
          <w:gridAfter w:val="1"/>
          <w:wAfter w:w="8" w:type="dxa"/>
        </w:trPr>
        <w:tc>
          <w:tcPr>
            <w:tcW w:w="5040" w:type="dxa"/>
          </w:tcPr>
          <w:p>
            <w:pPr>
              <w:pStyle w:val="yTableNAm"/>
              <w:rPr>
                <w:szCs w:val="22"/>
              </w:rPr>
            </w:pPr>
            <w:r>
              <w:rPr>
                <w:szCs w:val="22"/>
              </w:rPr>
              <w:t>Prize payout period</w:t>
            </w:r>
          </w:p>
        </w:tc>
        <w:tc>
          <w:tcPr>
            <w:tcW w:w="2040" w:type="dxa"/>
          </w:tcPr>
          <w:p>
            <w:pPr>
              <w:pStyle w:val="yTableNAm"/>
              <w:rPr>
                <w:szCs w:val="22"/>
              </w:rPr>
            </w:pPr>
            <w:r>
              <w:rPr>
                <w:szCs w:val="22"/>
              </w:rPr>
              <w:t>12 months</w:t>
            </w:r>
          </w:p>
        </w:tc>
      </w:tr>
      <w:tr>
        <w:trPr>
          <w:gridAfter w:val="1"/>
          <w:wAfter w:w="8" w:type="dxa"/>
        </w:trPr>
        <w:tc>
          <w:tcPr>
            <w:tcW w:w="5040" w:type="dxa"/>
          </w:tcPr>
          <w:p>
            <w:pPr>
              <w:pStyle w:val="yTableNAm"/>
              <w:rPr>
                <w:szCs w:val="22"/>
              </w:rPr>
            </w:pPr>
            <w:r>
              <w:rPr>
                <w:szCs w:val="22"/>
              </w:rPr>
              <w:t>Maximum aggregate entry cost</w:t>
            </w:r>
          </w:p>
        </w:tc>
        <w:tc>
          <w:tcPr>
            <w:tcW w:w="2040" w:type="dxa"/>
          </w:tcPr>
          <w:p>
            <w:pPr>
              <w:pStyle w:val="yTableNAm"/>
              <w:rPr>
                <w:szCs w:val="22"/>
              </w:rPr>
            </w:pPr>
            <w:r>
              <w:rPr>
                <w:szCs w:val="22"/>
              </w:rPr>
              <w:t>$100 000</w:t>
            </w:r>
          </w:p>
        </w:tc>
      </w:tr>
    </w:tbl>
    <w:p>
      <w:pPr>
        <w:pStyle w:val="yFootnotesection"/>
      </w:pPr>
      <w:r>
        <w:tab/>
        <w:t>[Division 3 amended: Gazette 4 Oct 2017 p. 5148; 12 Nov 2019 p. 4020.]</w:t>
      </w:r>
    </w:p>
    <w:p>
      <w:pPr>
        <w:pStyle w:val="yScheduleHeading"/>
      </w:pPr>
      <w:bookmarkStart w:id="787" w:name="_Toc34139642"/>
      <w:bookmarkStart w:id="788" w:name="_Toc34139854"/>
      <w:bookmarkStart w:id="789" w:name="_Toc34148031"/>
      <w:bookmarkStart w:id="790" w:name="_Toc34207584"/>
      <w:bookmarkStart w:id="791" w:name="_Toc34291579"/>
      <w:bookmarkStart w:id="792" w:name="_Toc25657487"/>
      <w:bookmarkStart w:id="793" w:name="_Toc25760953"/>
      <w:bookmarkStart w:id="794" w:name="_Toc25761282"/>
      <w:r>
        <w:rPr>
          <w:rStyle w:val="CharSchNo"/>
        </w:rPr>
        <w:t>Schedule 7</w:t>
      </w:r>
      <w:r>
        <w:t> — </w:t>
      </w:r>
      <w:r>
        <w:rPr>
          <w:rStyle w:val="CharSchText"/>
        </w:rPr>
        <w:t>Set for Life</w:t>
      </w:r>
      <w:bookmarkEnd w:id="787"/>
      <w:bookmarkEnd w:id="788"/>
      <w:bookmarkEnd w:id="789"/>
      <w:bookmarkEnd w:id="790"/>
      <w:bookmarkEnd w:id="791"/>
      <w:bookmarkEnd w:id="792"/>
      <w:bookmarkEnd w:id="793"/>
      <w:bookmarkEnd w:id="794"/>
    </w:p>
    <w:p>
      <w:pPr>
        <w:pStyle w:val="yShoulderClause"/>
      </w:pPr>
      <w:r>
        <w:t>[r. 4, 111 and 112]</w:t>
      </w:r>
    </w:p>
    <w:p>
      <w:pPr>
        <w:pStyle w:val="yFootnoteheading"/>
        <w:spacing w:after="60"/>
      </w:pPr>
      <w:r>
        <w:tab/>
        <w:t>[Heading amended: Gazette 4 Oct 2017 p. 5149.]</w:t>
      </w:r>
    </w:p>
    <w:p>
      <w:pPr>
        <w:pStyle w:val="yHeading3"/>
      </w:pPr>
      <w:bookmarkStart w:id="795" w:name="_Toc34139643"/>
      <w:bookmarkStart w:id="796" w:name="_Toc34139855"/>
      <w:bookmarkStart w:id="797" w:name="_Toc34148032"/>
      <w:bookmarkStart w:id="798" w:name="_Toc34207585"/>
      <w:bookmarkStart w:id="799" w:name="_Toc34291580"/>
      <w:bookmarkStart w:id="800" w:name="_Toc25657488"/>
      <w:bookmarkStart w:id="801" w:name="_Toc25760954"/>
      <w:bookmarkStart w:id="802" w:name="_Toc25761283"/>
      <w:r>
        <w:rPr>
          <w:rStyle w:val="CharSDivNo"/>
        </w:rPr>
        <w:t>Division 1</w:t>
      </w:r>
      <w:r>
        <w:t> — </w:t>
      </w:r>
      <w:r>
        <w:rPr>
          <w:rStyle w:val="CharSDivText"/>
        </w:rPr>
        <w:t>Calculating the total cost of entry</w:t>
      </w:r>
      <w:bookmarkEnd w:id="795"/>
      <w:bookmarkEnd w:id="796"/>
      <w:bookmarkEnd w:id="797"/>
      <w:bookmarkEnd w:id="798"/>
      <w:bookmarkEnd w:id="799"/>
      <w:bookmarkEnd w:id="800"/>
      <w:bookmarkEnd w:id="801"/>
      <w:bookmarkEnd w:id="802"/>
    </w:p>
    <w:p>
      <w:pPr>
        <w:pStyle w:val="yMiscellaneousHeading"/>
        <w:jc w:val="left"/>
        <w:rPr>
          <w:b/>
          <w:bCs/>
        </w:rPr>
      </w:pPr>
      <w:r>
        <w:rPr>
          <w:b/>
          <w:bCs/>
        </w:rPr>
        <w:t>Unit cost</w:t>
      </w:r>
    </w:p>
    <w:p>
      <w:pPr>
        <w:pStyle w:val="yMiscellaneousBody"/>
      </w:pPr>
      <w:r>
        <w:t>The unit cost of entering a Set for Life draw is made up of a subscription of 55 cents per SET and an agent’s component.</w:t>
      </w:r>
    </w:p>
    <w:p>
      <w:pPr>
        <w:pStyle w:val="yMiscellaneousBody"/>
        <w:rPr>
          <w:b/>
        </w:rPr>
      </w:pPr>
      <w:r>
        <w:rPr>
          <w:b/>
        </w:rPr>
        <w:t>Agent’s Component</w:t>
      </w:r>
    </w:p>
    <w:p>
      <w:pPr>
        <w:pStyle w:val="yMiscellaneousBody"/>
      </w:pPr>
      <w:r>
        <w:t xml:space="preserve">The agent’s component is calculated as </w:t>
      </w:r>
      <w:r>
        <w:rPr>
          <w:rFonts w:eastAsia="Calibri"/>
        </w:rPr>
        <w:t>10%</w:t>
      </w:r>
      <w:r>
        <w:t xml:space="preserve"> of the total subscription amount for a particular 7 consecutive day entry, rounded* (where necessary) to the nearest 5 cent multiple.</w:t>
      </w:r>
    </w:p>
    <w:p>
      <w:pPr>
        <w:pStyle w:val="yMiscellaneousBody"/>
        <w:spacing w:before="120"/>
      </w:pPr>
      <m:oMathPara>
        <m:oMathParaPr>
          <m:jc m:val="left"/>
        </m:oMathParaPr>
        <m:oMath>
          <m:d>
            <m:dPr>
              <m:ctrlPr>
                <w:rPr>
                  <w:rFonts w:ascii="Cambria Math" w:eastAsiaTheme="minorHAnsi" w:hAnsi="Cambria Math" w:cstheme="minorBidi"/>
                  <w:b/>
                  <w:szCs w:val="22"/>
                </w:rPr>
              </m:ctrlPr>
            </m:dPr>
            <m:e>
              <m:d>
                <m:dPr>
                  <m:ctrlPr>
                    <w:rPr>
                      <w:rFonts w:ascii="Cambria Math" w:eastAsiaTheme="minorHAnsi" w:hAnsi="Cambria Math" w:cstheme="minorBidi"/>
                      <w:b/>
                      <w:szCs w:val="22"/>
                    </w:rPr>
                  </m:ctrlPr>
                </m:dPr>
                <m:e>
                  <m:r>
                    <m:rPr>
                      <m:sty m:val="b"/>
                    </m:rPr>
                    <w:rPr>
                      <w:rFonts w:ascii="Cambria Math" w:hAnsi="Cambria Math"/>
                    </w:rPr>
                    <m:t>G</m:t>
                  </m:r>
                  <m:r>
                    <m:rPr>
                      <m:sty m:val="b"/>
                    </m:rPr>
                    <w:rPr>
                      <w:rFonts w:ascii="Cambria Math" w:hAnsi="Cambria Math" w:hint="eastAsia"/>
                    </w:rPr>
                    <m:t>×</m:t>
                  </m:r>
                  <m:r>
                    <m:rPr>
                      <m:sty m:val="b"/>
                    </m:rPr>
                    <w:rPr>
                      <w:rFonts w:ascii="Cambria Math" w:hAnsi="Cambria Math"/>
                    </w:rPr>
                    <m:t>$0.55</m:t>
                  </m:r>
                </m:e>
              </m:d>
              <m:r>
                <m:rPr>
                  <m:sty m:val="b"/>
                </m:rPr>
                <w:rPr>
                  <w:rFonts w:ascii="Cambria Math" w:hAnsi="Cambria Math" w:hint="eastAsia"/>
                </w:rPr>
                <m:t>×</m:t>
              </m:r>
              <m:r>
                <m:rPr>
                  <m:sty m:val="b"/>
                </m:rPr>
                <w:rPr>
                  <w:rFonts w:ascii="Cambria Math" w:hAnsi="Cambria Math"/>
                </w:rPr>
                <m:t xml:space="preserve"> </m:t>
              </m:r>
              <m:r>
                <m:rPr>
                  <m:sty m:val="b"/>
                </m:rPr>
                <w:rPr>
                  <w:rFonts w:ascii="Cambria Math" w:eastAsia="Calibri" w:hAnsi="Cambria Math"/>
                </w:rPr>
                <m:t>0.1</m:t>
              </m:r>
              <m:r>
                <m:rPr>
                  <m:sty m:val="b"/>
                </m:rPr>
                <w:rPr>
                  <w:rFonts w:ascii="Cambria Math" w:hAnsi="Cambria Math"/>
                </w:rPr>
                <m:t>→rounded</m:t>
              </m:r>
            </m:e>
          </m:d>
          <m:r>
            <m:rPr>
              <m:sty m:val="b"/>
            </m:rPr>
            <w:rPr>
              <w:rFonts w:ascii="Cambria Math" w:hAnsi="Cambria Math"/>
            </w:rPr>
            <m:t>×D ×W=T</m:t>
          </m:r>
        </m:oMath>
      </m:oMathPara>
    </w:p>
    <w:p>
      <w:pPr>
        <w:pStyle w:val="yMiscellaneousBody"/>
      </w:pPr>
      <w:r>
        <w:t>where —</w:t>
      </w:r>
    </w:p>
    <w:p>
      <w:pPr>
        <w:pStyle w:val="yMiscellaneousBody"/>
        <w:tabs>
          <w:tab w:val="left" w:pos="567"/>
        </w:tabs>
      </w:pPr>
      <w:r>
        <w:rPr>
          <w:bCs/>
        </w:rPr>
        <w:t>G</w:t>
      </w:r>
      <w:r>
        <w:rPr>
          <w:b/>
          <w:bCs/>
        </w:rPr>
        <w:tab/>
      </w:r>
      <w:r>
        <w:t>No. of SETs entered in a draw;</w:t>
      </w:r>
    </w:p>
    <w:p>
      <w:pPr>
        <w:pStyle w:val="yMiscellaneousBody"/>
        <w:tabs>
          <w:tab w:val="left" w:pos="567"/>
        </w:tabs>
      </w:pPr>
      <w:r>
        <w:t>D</w:t>
      </w:r>
      <w:r>
        <w:tab/>
        <w:t>7 consecutive days entered per SET;</w:t>
      </w:r>
    </w:p>
    <w:p>
      <w:pPr>
        <w:pStyle w:val="yMiscellaneousBody"/>
        <w:tabs>
          <w:tab w:val="left" w:pos="567"/>
        </w:tabs>
      </w:pPr>
      <w:r>
        <w:t>W</w:t>
      </w:r>
      <w:r>
        <w:tab/>
        <w:t>No. of weeks the entry spans;</w:t>
      </w:r>
    </w:p>
    <w:p>
      <w:pPr>
        <w:pStyle w:val="yMiscellaneousBody"/>
        <w:tabs>
          <w:tab w:val="left" w:pos="567"/>
        </w:tabs>
      </w:pPr>
      <w:r>
        <w:t>T</w:t>
      </w:r>
      <w:r>
        <w:tab/>
        <w:t>Total agent’s component cost payable by the subscriber.</w:t>
      </w:r>
    </w:p>
    <w:p>
      <w:pPr>
        <w:pStyle w:val="yMiscellaneousBody"/>
        <w:ind w:left="142" w:hanging="142"/>
      </w:pPr>
      <w:r>
        <w:t>* Rounding is calculated using the method known as “bankers rounding” or “round</w:t>
      </w:r>
      <w:r>
        <w:noBreakHyphen/>
        <w:t>to</w:t>
      </w:r>
      <w:r>
        <w:noBreakHyphen/>
        <w:t>even” rounding.</w:t>
      </w:r>
    </w:p>
    <w:p>
      <w:pPr>
        <w:pStyle w:val="yFootnotesection"/>
      </w:pPr>
      <w:r>
        <w:tab/>
        <w:t>[Division 1 amended: Gazette 12 Nov 2019 p. 4020.]</w:t>
      </w:r>
    </w:p>
    <w:p>
      <w:pPr>
        <w:pStyle w:val="yHeading3"/>
        <w:spacing w:after="240"/>
      </w:pPr>
      <w:bookmarkStart w:id="803" w:name="_Toc34139644"/>
      <w:bookmarkStart w:id="804" w:name="_Toc34139856"/>
      <w:bookmarkStart w:id="805" w:name="_Toc34148033"/>
      <w:bookmarkStart w:id="806" w:name="_Toc34207586"/>
      <w:bookmarkStart w:id="807" w:name="_Toc34291581"/>
      <w:bookmarkStart w:id="808" w:name="_Toc25657489"/>
      <w:bookmarkStart w:id="809" w:name="_Toc25760955"/>
      <w:bookmarkStart w:id="810" w:name="_Toc25761284"/>
      <w:r>
        <w:rPr>
          <w:rStyle w:val="CharSDivNo"/>
        </w:rPr>
        <w:t>Division 2</w:t>
      </w:r>
      <w:r>
        <w:t> — </w:t>
      </w:r>
      <w:r>
        <w:rPr>
          <w:rStyle w:val="CharSDivText"/>
        </w:rPr>
        <w:t>System entries and game equivalents</w:t>
      </w:r>
      <w:bookmarkEnd w:id="803"/>
      <w:bookmarkEnd w:id="804"/>
      <w:bookmarkEnd w:id="805"/>
      <w:bookmarkEnd w:id="806"/>
      <w:bookmarkEnd w:id="807"/>
      <w:bookmarkEnd w:id="808"/>
      <w:bookmarkEnd w:id="809"/>
      <w:bookmarkEnd w:id="810"/>
    </w:p>
    <w:tbl>
      <w:tblPr>
        <w:tblW w:w="0" w:type="auto"/>
        <w:tblInd w:w="2013" w:type="dxa"/>
        <w:tblBorders>
          <w:top w:val="single" w:sz="4" w:space="0" w:color="auto"/>
          <w:left w:val="single" w:sz="4" w:space="0" w:color="auto"/>
          <w:bottom w:val="single" w:sz="4" w:space="0" w:color="auto"/>
          <w:right w:val="single" w:sz="4" w:space="0" w:color="auto"/>
        </w:tblBorders>
        <w:tblLayout w:type="fixed"/>
        <w:tblCellMar>
          <w:left w:w="28" w:type="dxa"/>
          <w:right w:w="28" w:type="dxa"/>
        </w:tblCellMar>
        <w:tblLook w:val="0000" w:firstRow="0" w:lastRow="0" w:firstColumn="0" w:lastColumn="0" w:noHBand="0" w:noVBand="0"/>
      </w:tblPr>
      <w:tblGrid>
        <w:gridCol w:w="1276"/>
        <w:gridCol w:w="1984"/>
      </w:tblGrid>
      <w:tr>
        <w:trPr>
          <w:tblHeader/>
        </w:trPr>
        <w:tc>
          <w:tcPr>
            <w:tcW w:w="3260" w:type="dxa"/>
            <w:gridSpan w:val="2"/>
            <w:tcBorders>
              <w:top w:val="single" w:sz="4" w:space="0" w:color="auto"/>
              <w:left w:val="single" w:sz="4" w:space="0" w:color="auto"/>
              <w:bottom w:val="single" w:sz="4" w:space="0" w:color="auto"/>
              <w:right w:val="single" w:sz="4" w:space="0" w:color="auto"/>
            </w:tcBorders>
          </w:tcPr>
          <w:p>
            <w:pPr>
              <w:pStyle w:val="yTableNAm"/>
              <w:jc w:val="center"/>
            </w:pPr>
            <w:r>
              <w:rPr>
                <w:b/>
              </w:rPr>
              <w:t>Set for Life</w:t>
            </w:r>
          </w:p>
        </w:tc>
      </w:tr>
      <w:tr>
        <w:trPr>
          <w:tblHeader/>
        </w:trPr>
        <w:tc>
          <w:tcPr>
            <w:tcW w:w="1276" w:type="dxa"/>
            <w:tcBorders>
              <w:top w:val="single" w:sz="4" w:space="0" w:color="auto"/>
              <w:left w:val="single" w:sz="4" w:space="0" w:color="auto"/>
              <w:bottom w:val="single" w:sz="4" w:space="0" w:color="auto"/>
              <w:right w:val="single" w:sz="4" w:space="0" w:color="auto"/>
            </w:tcBorders>
          </w:tcPr>
          <w:p>
            <w:pPr>
              <w:pStyle w:val="yTableNAm"/>
              <w:jc w:val="center"/>
              <w:rPr>
                <w:b/>
              </w:rPr>
            </w:pPr>
            <w:r>
              <w:rPr>
                <w:b/>
              </w:rPr>
              <w:t>System</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b/>
              </w:rPr>
            </w:pPr>
            <w:r>
              <w:rPr>
                <w:b/>
              </w:rPr>
              <w:t>No. of SETs per SET board*</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5</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4 960</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6</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465</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7</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30</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9</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9</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10</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45</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11</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165</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12</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495</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13</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1 287</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14</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3 003</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15</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6 435</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16</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12 870</w:t>
            </w:r>
          </w:p>
        </w:tc>
      </w:tr>
    </w:tbl>
    <w:p>
      <w:pPr>
        <w:pStyle w:val="yMiscellaneousBody"/>
        <w:ind w:left="142" w:hanging="142"/>
      </w:pPr>
      <w:r>
        <w:t>* Entries, including system entries, must be entered for a minimum of 7 consecutive days.</w:t>
      </w:r>
    </w:p>
    <w:p>
      <w:pPr>
        <w:pStyle w:val="yHeading3"/>
        <w:spacing w:after="240"/>
      </w:pPr>
      <w:bookmarkStart w:id="811" w:name="_Toc34139645"/>
      <w:bookmarkStart w:id="812" w:name="_Toc34139857"/>
      <w:bookmarkStart w:id="813" w:name="_Toc34148034"/>
      <w:bookmarkStart w:id="814" w:name="_Toc34207587"/>
      <w:bookmarkStart w:id="815" w:name="_Toc34291582"/>
      <w:bookmarkStart w:id="816" w:name="_Toc25657490"/>
      <w:bookmarkStart w:id="817" w:name="_Toc25760956"/>
      <w:bookmarkStart w:id="818" w:name="_Toc25761285"/>
      <w:r>
        <w:rPr>
          <w:rStyle w:val="CharSDivNo"/>
        </w:rPr>
        <w:t>Division 3</w:t>
      </w:r>
      <w:r>
        <w:t> — </w:t>
      </w:r>
      <w:r>
        <w:rPr>
          <w:rStyle w:val="CharSDivText"/>
        </w:rPr>
        <w:t>Summary of parameters within which Set for Life is conducted</w:t>
      </w:r>
      <w:bookmarkEnd w:id="811"/>
      <w:bookmarkEnd w:id="812"/>
      <w:bookmarkEnd w:id="813"/>
      <w:bookmarkEnd w:id="814"/>
      <w:bookmarkEnd w:id="815"/>
      <w:bookmarkEnd w:id="816"/>
      <w:bookmarkEnd w:id="817"/>
      <w:bookmarkEnd w:id="818"/>
    </w:p>
    <w:tbl>
      <w:tblPr>
        <w:tblW w:w="0" w:type="auto"/>
        <w:tblInd w:w="283" w:type="dxa"/>
        <w:tblLayout w:type="fixed"/>
        <w:tblCellMar>
          <w:left w:w="141" w:type="dxa"/>
          <w:right w:w="141" w:type="dxa"/>
        </w:tblCellMar>
        <w:tblLook w:val="0000" w:firstRow="0" w:lastRow="0" w:firstColumn="0" w:lastColumn="0" w:noHBand="0" w:noVBand="0"/>
      </w:tblPr>
      <w:tblGrid>
        <w:gridCol w:w="4536"/>
        <w:gridCol w:w="2268"/>
      </w:tblGrid>
      <w:tr>
        <w:tc>
          <w:tcPr>
            <w:tcW w:w="4536" w:type="dxa"/>
          </w:tcPr>
          <w:p>
            <w:pPr>
              <w:pStyle w:val="yTableNAm"/>
            </w:pPr>
            <w:r>
              <w:t>Unit cost for a Set for Life draw</w:t>
            </w:r>
          </w:p>
        </w:tc>
        <w:tc>
          <w:tcPr>
            <w:tcW w:w="2268" w:type="dxa"/>
          </w:tcPr>
          <w:p>
            <w:pPr>
              <w:pStyle w:val="yTableNAm"/>
            </w:pPr>
            <w:r>
              <w:t xml:space="preserve">$0.55 (+ a </w:t>
            </w:r>
            <w:r>
              <w:rPr>
                <w:rFonts w:eastAsia="Calibri"/>
              </w:rPr>
              <w:t>10%</w:t>
            </w:r>
            <w:r>
              <w:t xml:space="preserve"> agent’s component)</w:t>
            </w:r>
          </w:p>
        </w:tc>
      </w:tr>
      <w:tr>
        <w:tc>
          <w:tcPr>
            <w:tcW w:w="4536" w:type="dxa"/>
          </w:tcPr>
          <w:p>
            <w:pPr>
              <w:pStyle w:val="yTableNAm"/>
            </w:pPr>
            <w:r>
              <w:t>Prize fund — % of subscriptions</w:t>
            </w:r>
          </w:p>
        </w:tc>
        <w:tc>
          <w:tcPr>
            <w:tcW w:w="2268" w:type="dxa"/>
          </w:tcPr>
          <w:p>
            <w:pPr>
              <w:pStyle w:val="yTableNAm"/>
            </w:pPr>
            <w:r>
              <w:t>63.25%</w:t>
            </w:r>
          </w:p>
        </w:tc>
      </w:tr>
      <w:tr>
        <w:tc>
          <w:tcPr>
            <w:tcW w:w="4536" w:type="dxa"/>
          </w:tcPr>
          <w:p>
            <w:pPr>
              <w:pStyle w:val="yTableNAm"/>
            </w:pPr>
            <w:r>
              <w:t>Prize pool — % of subscriptions</w:t>
            </w:r>
          </w:p>
        </w:tc>
        <w:tc>
          <w:tcPr>
            <w:tcW w:w="2268" w:type="dxa"/>
          </w:tcPr>
          <w:p>
            <w:pPr>
              <w:pStyle w:val="yTableNAm"/>
            </w:pPr>
            <w:r>
              <w:t>no less than 38.645% (up to 40.0%)</w:t>
            </w:r>
          </w:p>
        </w:tc>
      </w:tr>
      <w:tr>
        <w:tc>
          <w:tcPr>
            <w:tcW w:w="4536" w:type="dxa"/>
          </w:tcPr>
          <w:p>
            <w:pPr>
              <w:pStyle w:val="yTableNAm"/>
            </w:pPr>
            <w:r>
              <w:t>Prize reserve fund — % of subscriptions</w:t>
            </w:r>
          </w:p>
        </w:tc>
        <w:tc>
          <w:tcPr>
            <w:tcW w:w="2268" w:type="dxa"/>
          </w:tcPr>
          <w:p>
            <w:pPr>
              <w:pStyle w:val="yTableNAm"/>
            </w:pPr>
            <w:r>
              <w:t>balance of prize fund after prize pool</w:t>
            </w:r>
            <w:r>
              <w:br/>
              <w:t>(no less than 23.25%)</w:t>
            </w:r>
          </w:p>
        </w:tc>
      </w:tr>
      <w:tr>
        <w:tc>
          <w:tcPr>
            <w:tcW w:w="4536" w:type="dxa"/>
          </w:tcPr>
          <w:p>
            <w:pPr>
              <w:pStyle w:val="yTableNAm"/>
            </w:pPr>
            <w:r>
              <w:t>Number of prize levels</w:t>
            </w:r>
          </w:p>
        </w:tc>
        <w:tc>
          <w:tcPr>
            <w:tcW w:w="2268" w:type="dxa"/>
          </w:tcPr>
          <w:p>
            <w:pPr>
              <w:pStyle w:val="yTableNAm"/>
            </w:pPr>
            <w:r>
              <w:t>8</w:t>
            </w:r>
          </w:p>
        </w:tc>
      </w:tr>
      <w:tr>
        <w:tc>
          <w:tcPr>
            <w:tcW w:w="4536" w:type="dxa"/>
          </w:tcPr>
          <w:p>
            <w:pPr>
              <w:pStyle w:val="yTableNAm"/>
            </w:pPr>
            <w:r>
              <w:t>Winning numbers generated</w:t>
            </w:r>
          </w:p>
        </w:tc>
        <w:tc>
          <w:tcPr>
            <w:tcW w:w="2268" w:type="dxa"/>
          </w:tcPr>
          <w:p>
            <w:pPr>
              <w:pStyle w:val="yTableNAm"/>
            </w:pPr>
            <w:r>
              <w:t>8</w:t>
            </w:r>
          </w:p>
        </w:tc>
      </w:tr>
      <w:tr>
        <w:tc>
          <w:tcPr>
            <w:tcW w:w="4536" w:type="dxa"/>
          </w:tcPr>
          <w:p>
            <w:pPr>
              <w:pStyle w:val="yTableNAm"/>
            </w:pPr>
            <w:r>
              <w:t>Bonus numbers generated</w:t>
            </w:r>
          </w:p>
        </w:tc>
        <w:tc>
          <w:tcPr>
            <w:tcW w:w="2268" w:type="dxa"/>
          </w:tcPr>
          <w:p>
            <w:pPr>
              <w:pStyle w:val="yTableNAm"/>
            </w:pPr>
            <w:r>
              <w:t>2</w:t>
            </w:r>
          </w:p>
        </w:tc>
      </w:tr>
      <w:tr>
        <w:tc>
          <w:tcPr>
            <w:tcW w:w="4536" w:type="dxa"/>
          </w:tcPr>
          <w:p>
            <w:pPr>
              <w:pStyle w:val="yTableNAm"/>
            </w:pPr>
            <w:r>
              <w:t>Forecast range </w:t>
            </w:r>
          </w:p>
        </w:tc>
        <w:tc>
          <w:tcPr>
            <w:tcW w:w="2268" w:type="dxa"/>
          </w:tcPr>
          <w:p>
            <w:pPr>
              <w:pStyle w:val="yTableNAm"/>
            </w:pPr>
            <w:r>
              <w:t>1 to 37 inclusive</w:t>
            </w:r>
          </w:p>
        </w:tc>
      </w:tr>
      <w:tr>
        <w:tc>
          <w:tcPr>
            <w:tcW w:w="4536" w:type="dxa"/>
          </w:tcPr>
          <w:p>
            <w:pPr>
              <w:pStyle w:val="yTableNAm"/>
            </w:pPr>
            <w:r>
              <w:t>Odds of winning (per draw) —</w:t>
            </w:r>
          </w:p>
          <w:p>
            <w:pPr>
              <w:pStyle w:val="yTableNAm"/>
            </w:pPr>
            <w:r>
              <w:t>1</w:t>
            </w:r>
            <w:r>
              <w:rPr>
                <w:vertAlign w:val="superscript"/>
              </w:rPr>
              <w:t>st</w:t>
            </w:r>
            <w:r>
              <w:t xml:space="preserve"> Prize</w:t>
            </w:r>
          </w:p>
          <w:p>
            <w:pPr>
              <w:pStyle w:val="yTableNAm"/>
            </w:pPr>
            <w:r>
              <w:t>2</w:t>
            </w:r>
            <w:r>
              <w:rPr>
                <w:vertAlign w:val="superscript"/>
              </w:rPr>
              <w:t>nd</w:t>
            </w:r>
            <w:r>
              <w:t xml:space="preserve"> Prize</w:t>
            </w:r>
          </w:p>
          <w:p>
            <w:pPr>
              <w:pStyle w:val="yTableNAm"/>
            </w:pPr>
            <w:r>
              <w:t>3</w:t>
            </w:r>
            <w:r>
              <w:rPr>
                <w:vertAlign w:val="superscript"/>
              </w:rPr>
              <w:t>rd</w:t>
            </w:r>
            <w:r>
              <w:t xml:space="preserve"> Prize</w:t>
            </w:r>
          </w:p>
          <w:p>
            <w:pPr>
              <w:pStyle w:val="yTableNAm"/>
            </w:pPr>
            <w:r>
              <w:t>4</w:t>
            </w:r>
            <w:r>
              <w:rPr>
                <w:vertAlign w:val="superscript"/>
              </w:rPr>
              <w:t>th</w:t>
            </w:r>
            <w:r>
              <w:t xml:space="preserve"> Prize</w:t>
            </w:r>
          </w:p>
          <w:p>
            <w:pPr>
              <w:pStyle w:val="yTableNAm"/>
            </w:pPr>
            <w:r>
              <w:t>5</w:t>
            </w:r>
            <w:r>
              <w:rPr>
                <w:vertAlign w:val="superscript"/>
              </w:rPr>
              <w:t>th</w:t>
            </w:r>
            <w:r>
              <w:t xml:space="preserve"> Prize</w:t>
            </w:r>
          </w:p>
          <w:p>
            <w:pPr>
              <w:pStyle w:val="yTableNAm"/>
            </w:pPr>
            <w:r>
              <w:t>6</w:t>
            </w:r>
            <w:r>
              <w:rPr>
                <w:vertAlign w:val="superscript"/>
              </w:rPr>
              <w:t>th</w:t>
            </w:r>
            <w:r>
              <w:t xml:space="preserve"> Prize</w:t>
            </w:r>
          </w:p>
          <w:p>
            <w:pPr>
              <w:pStyle w:val="yTableNAm"/>
            </w:pPr>
            <w:r>
              <w:t>7</w:t>
            </w:r>
            <w:r>
              <w:rPr>
                <w:vertAlign w:val="superscript"/>
              </w:rPr>
              <w:t>th</w:t>
            </w:r>
            <w:r>
              <w:t xml:space="preserve"> Prize</w:t>
            </w:r>
          </w:p>
          <w:p>
            <w:pPr>
              <w:pStyle w:val="yTableNAm"/>
            </w:pPr>
            <w:r>
              <w:t>8</w:t>
            </w:r>
            <w:r>
              <w:rPr>
                <w:vertAlign w:val="superscript"/>
              </w:rPr>
              <w:t>th</w:t>
            </w:r>
            <w:r>
              <w:t xml:space="preserve"> Prize</w:t>
            </w:r>
          </w:p>
        </w:tc>
        <w:tc>
          <w:tcPr>
            <w:tcW w:w="2268" w:type="dxa"/>
          </w:tcPr>
          <w:p>
            <w:pPr>
              <w:pStyle w:val="yTableNAm"/>
            </w:pPr>
          </w:p>
          <w:p>
            <w:pPr>
              <w:pStyle w:val="yTableNAm"/>
            </w:pPr>
            <w:r>
              <w:t>1 in 38 608 202</w:t>
            </w:r>
          </w:p>
          <w:p>
            <w:pPr>
              <w:pStyle w:val="yTableNAm"/>
            </w:pPr>
            <w:r>
              <w:t>1 in 2 413 001</w:t>
            </w:r>
          </w:p>
          <w:p>
            <w:pPr>
              <w:pStyle w:val="yTableNAm"/>
            </w:pPr>
            <w:r>
              <w:t>1 in 178 741</w:t>
            </w:r>
          </w:p>
          <w:p>
            <w:pPr>
              <w:pStyle w:val="yTableNAm"/>
            </w:pPr>
            <w:r>
              <w:t>1 in 25 070</w:t>
            </w:r>
          </w:p>
          <w:p>
            <w:pPr>
              <w:pStyle w:val="yTableNAm"/>
            </w:pPr>
            <w:r>
              <w:t>1 in 3 928</w:t>
            </w:r>
          </w:p>
          <w:p>
            <w:pPr>
              <w:pStyle w:val="yTableNAm"/>
            </w:pPr>
            <w:r>
              <w:t>1 in 946</w:t>
            </w:r>
          </w:p>
          <w:p>
            <w:pPr>
              <w:pStyle w:val="yTableNAm"/>
            </w:pPr>
            <w:r>
              <w:t>1 in 236</w:t>
            </w:r>
          </w:p>
          <w:p>
            <w:pPr>
              <w:pStyle w:val="yTableNAm"/>
            </w:pPr>
            <w:r>
              <w:t>1 in 89</w:t>
            </w:r>
          </w:p>
        </w:tc>
      </w:tr>
      <w:tr>
        <w:tc>
          <w:tcPr>
            <w:tcW w:w="4536" w:type="dxa"/>
          </w:tcPr>
          <w:p>
            <w:pPr>
              <w:pStyle w:val="yTableNAm"/>
            </w:pPr>
            <w:r>
              <w:t>Systems range</w:t>
            </w:r>
          </w:p>
        </w:tc>
        <w:tc>
          <w:tcPr>
            <w:tcW w:w="2268" w:type="dxa"/>
          </w:tcPr>
          <w:p>
            <w:pPr>
              <w:pStyle w:val="yTableNAm"/>
            </w:pPr>
            <w:r>
              <w:t>5</w:t>
            </w:r>
            <w:r>
              <w:noBreakHyphen/>
              <w:t>7/9</w:t>
            </w:r>
            <w:r>
              <w:noBreakHyphen/>
              <w:t>16 inclusive</w:t>
            </w:r>
          </w:p>
        </w:tc>
      </w:tr>
      <w:tr>
        <w:tc>
          <w:tcPr>
            <w:tcW w:w="4536" w:type="dxa"/>
          </w:tcPr>
          <w:p>
            <w:pPr>
              <w:pStyle w:val="yTableNAm"/>
            </w:pPr>
            <w:r>
              <w:t>Multiweek options (</w:t>
            </w:r>
            <w:bookmarkStart w:id="819" w:name="RuleErr_33"/>
            <w:r>
              <w:rPr>
                <w:i/>
                <w:iCs/>
              </w:rPr>
              <w:t>if available</w:t>
            </w:r>
            <w:bookmarkEnd w:id="819"/>
            <w:r>
              <w:t>)</w:t>
            </w:r>
          </w:p>
        </w:tc>
        <w:tc>
          <w:tcPr>
            <w:tcW w:w="2268" w:type="dxa"/>
          </w:tcPr>
          <w:p>
            <w:pPr>
              <w:pStyle w:val="yTableNAm"/>
            </w:pPr>
            <w:r>
              <w:t>Up to 10 weeks</w:t>
            </w:r>
          </w:p>
        </w:tc>
      </w:tr>
      <w:tr>
        <w:tc>
          <w:tcPr>
            <w:tcW w:w="4536" w:type="dxa"/>
          </w:tcPr>
          <w:p>
            <w:pPr>
              <w:pStyle w:val="yTableNAm"/>
            </w:pPr>
            <w:r>
              <w:t>Advance play (maximum) (</w:t>
            </w:r>
            <w:bookmarkStart w:id="820" w:name="RuleErr_34"/>
            <w:r>
              <w:rPr>
                <w:i/>
                <w:iCs/>
              </w:rPr>
              <w:t>if available</w:t>
            </w:r>
            <w:bookmarkEnd w:id="820"/>
            <w:r>
              <w:t>)</w:t>
            </w:r>
          </w:p>
        </w:tc>
        <w:tc>
          <w:tcPr>
            <w:tcW w:w="2268" w:type="dxa"/>
          </w:tcPr>
          <w:p>
            <w:pPr>
              <w:pStyle w:val="yTableNAm"/>
            </w:pPr>
            <w:r>
              <w:t>6 draws</w:t>
            </w:r>
          </w:p>
        </w:tc>
      </w:tr>
      <w:tr>
        <w:tc>
          <w:tcPr>
            <w:tcW w:w="4536" w:type="dxa"/>
          </w:tcPr>
          <w:p>
            <w:pPr>
              <w:pStyle w:val="yTableNAm"/>
            </w:pPr>
            <w:r>
              <w:t>SETs per playslip (minimum)</w:t>
            </w:r>
          </w:p>
        </w:tc>
        <w:tc>
          <w:tcPr>
            <w:tcW w:w="2268" w:type="dxa"/>
          </w:tcPr>
          <w:p>
            <w:pPr>
              <w:pStyle w:val="yTableNAm"/>
            </w:pPr>
            <w:r>
              <w:t>2 SETs for 7 consecutive draws</w:t>
            </w:r>
          </w:p>
        </w:tc>
      </w:tr>
      <w:tr>
        <w:tc>
          <w:tcPr>
            <w:tcW w:w="4536" w:type="dxa"/>
          </w:tcPr>
          <w:p>
            <w:pPr>
              <w:pStyle w:val="yTableNAm"/>
              <w:keepNext/>
            </w:pPr>
            <w:r>
              <w:t>System entries per playslip (maximum)</w:t>
            </w:r>
          </w:p>
        </w:tc>
        <w:tc>
          <w:tcPr>
            <w:tcW w:w="2268" w:type="dxa"/>
          </w:tcPr>
          <w:p>
            <w:pPr>
              <w:pStyle w:val="yTableNAm"/>
              <w:keepNext/>
            </w:pPr>
            <w:r>
              <w:t>18 (</w:t>
            </w:r>
            <w:r>
              <w:rPr>
                <w:i/>
              </w:rPr>
              <w:t>subject to maximum aggregate entry cost</w:t>
            </w:r>
            <w:r>
              <w:t>)</w:t>
            </w:r>
          </w:p>
        </w:tc>
      </w:tr>
      <w:tr>
        <w:tc>
          <w:tcPr>
            <w:tcW w:w="4536" w:type="dxa"/>
          </w:tcPr>
          <w:p>
            <w:pPr>
              <w:pStyle w:val="yTableNAm"/>
              <w:keepNext/>
            </w:pPr>
            <w:r>
              <w:t>SETs per playslip (maximum)</w:t>
            </w:r>
          </w:p>
        </w:tc>
        <w:tc>
          <w:tcPr>
            <w:tcW w:w="2268" w:type="dxa"/>
          </w:tcPr>
          <w:p>
            <w:pPr>
              <w:pStyle w:val="yTableNAm"/>
              <w:keepNext/>
            </w:pPr>
            <w:r>
              <w:t>18</w:t>
            </w:r>
          </w:p>
        </w:tc>
      </w:tr>
      <w:tr>
        <w:tc>
          <w:tcPr>
            <w:tcW w:w="4536" w:type="dxa"/>
          </w:tcPr>
          <w:p>
            <w:pPr>
              <w:pStyle w:val="yTableNAm"/>
            </w:pPr>
            <w:r>
              <w:t>SETs per oral request (</w:t>
            </w:r>
            <w:bookmarkStart w:id="821" w:name="RuleErr_35"/>
            <w:r>
              <w:rPr>
                <w:i/>
                <w:iCs/>
              </w:rPr>
              <w:t>if available</w:t>
            </w:r>
            <w:bookmarkEnd w:id="821"/>
            <w:r>
              <w:t>)</w:t>
            </w:r>
          </w:p>
        </w:tc>
        <w:tc>
          <w:tcPr>
            <w:tcW w:w="2268" w:type="dxa"/>
          </w:tcPr>
          <w:p>
            <w:pPr>
              <w:pStyle w:val="yTableNAm"/>
            </w:pPr>
            <w:r>
              <w:t>2 to 50</w:t>
            </w:r>
          </w:p>
        </w:tc>
      </w:tr>
      <w:tr>
        <w:tc>
          <w:tcPr>
            <w:tcW w:w="4536" w:type="dxa"/>
          </w:tcPr>
          <w:p>
            <w:pPr>
              <w:pStyle w:val="yTableNAm"/>
            </w:pPr>
            <w:r>
              <w:t>System entries per oral request</w:t>
            </w:r>
          </w:p>
        </w:tc>
        <w:tc>
          <w:tcPr>
            <w:tcW w:w="2268" w:type="dxa"/>
          </w:tcPr>
          <w:p>
            <w:pPr>
              <w:pStyle w:val="yTableNAm"/>
            </w:pPr>
            <w:r>
              <w:rPr>
                <w:szCs w:val="22"/>
              </w:rPr>
              <w:t>Up to 50</w:t>
            </w:r>
          </w:p>
        </w:tc>
      </w:tr>
      <w:tr>
        <w:tc>
          <w:tcPr>
            <w:tcW w:w="4536" w:type="dxa"/>
          </w:tcPr>
          <w:p>
            <w:pPr>
              <w:pStyle w:val="yTableNAm"/>
            </w:pPr>
            <w:r>
              <w:t>QuickSET entries per oral request</w:t>
            </w:r>
          </w:p>
        </w:tc>
        <w:tc>
          <w:tcPr>
            <w:tcW w:w="2268" w:type="dxa"/>
          </w:tcPr>
          <w:p>
            <w:pPr>
              <w:pStyle w:val="yTableNAm"/>
            </w:pPr>
            <w:r>
              <w:rPr>
                <w:szCs w:val="22"/>
              </w:rPr>
              <w:t>2 to 50</w:t>
            </w:r>
          </w:p>
        </w:tc>
      </w:tr>
      <w:tr>
        <w:tc>
          <w:tcPr>
            <w:tcW w:w="4536" w:type="dxa"/>
          </w:tcPr>
          <w:p>
            <w:pPr>
              <w:pStyle w:val="yTableNAm"/>
            </w:pPr>
            <w:r>
              <w:t>Prize claim period</w:t>
            </w:r>
          </w:p>
        </w:tc>
        <w:tc>
          <w:tcPr>
            <w:tcW w:w="2268" w:type="dxa"/>
          </w:tcPr>
          <w:p>
            <w:pPr>
              <w:pStyle w:val="yTableNAm"/>
            </w:pPr>
            <w:r>
              <w:t>12 months</w:t>
            </w:r>
          </w:p>
        </w:tc>
      </w:tr>
      <w:tr>
        <w:tc>
          <w:tcPr>
            <w:tcW w:w="4536" w:type="dxa"/>
          </w:tcPr>
          <w:p>
            <w:pPr>
              <w:pStyle w:val="yTableNAm"/>
            </w:pPr>
            <w:r>
              <w:t>Maximum aggregate entry cost</w:t>
            </w:r>
          </w:p>
        </w:tc>
        <w:tc>
          <w:tcPr>
            <w:tcW w:w="2268" w:type="dxa"/>
          </w:tcPr>
          <w:p>
            <w:pPr>
              <w:pStyle w:val="yTableNAm"/>
            </w:pPr>
            <w:r>
              <w:t>$100 000</w:t>
            </w:r>
          </w:p>
        </w:tc>
      </w:tr>
    </w:tbl>
    <w:p>
      <w:pPr>
        <w:pStyle w:val="yFootnotesection"/>
      </w:pPr>
      <w:r>
        <w:tab/>
        <w:t>[Division 3 amended: Gazette 4 Oct 2017 p. 5149; 12 Nov 2019 p. 4020.]</w:t>
      </w:r>
    </w:p>
    <w:p>
      <w:pPr>
        <w:pStyle w:val="yScheduleHeading"/>
      </w:pPr>
      <w:bookmarkStart w:id="822" w:name="_Toc34139646"/>
      <w:bookmarkStart w:id="823" w:name="_Toc34139858"/>
      <w:bookmarkStart w:id="824" w:name="_Toc34148035"/>
      <w:bookmarkStart w:id="825" w:name="_Toc34207588"/>
      <w:bookmarkStart w:id="826" w:name="_Toc34291583"/>
      <w:bookmarkStart w:id="827" w:name="_Toc25657491"/>
      <w:bookmarkStart w:id="828" w:name="_Toc25760957"/>
      <w:bookmarkStart w:id="829" w:name="_Toc25761286"/>
      <w:r>
        <w:rPr>
          <w:rStyle w:val="CharSchNo"/>
        </w:rPr>
        <w:t>Schedule 8</w:t>
      </w:r>
      <w:r>
        <w:t> — </w:t>
      </w:r>
      <w:r>
        <w:rPr>
          <w:rStyle w:val="CharSchText"/>
        </w:rPr>
        <w:t>Soccer Pools</w:t>
      </w:r>
      <w:bookmarkEnd w:id="822"/>
      <w:bookmarkEnd w:id="823"/>
      <w:bookmarkEnd w:id="824"/>
      <w:bookmarkEnd w:id="825"/>
      <w:bookmarkEnd w:id="826"/>
      <w:bookmarkEnd w:id="827"/>
      <w:bookmarkEnd w:id="828"/>
      <w:bookmarkEnd w:id="829"/>
    </w:p>
    <w:p>
      <w:pPr>
        <w:pStyle w:val="yShoulderClause"/>
      </w:pPr>
      <w:r>
        <w:t>[r. 121, 123 and 124]</w:t>
      </w:r>
    </w:p>
    <w:p>
      <w:pPr>
        <w:pStyle w:val="yFootnoteheading"/>
        <w:spacing w:after="60"/>
      </w:pPr>
      <w:r>
        <w:tab/>
        <w:t>[Heading amended: Gazette 4 Oct 2017 p. 5149.]</w:t>
      </w:r>
    </w:p>
    <w:p>
      <w:pPr>
        <w:pStyle w:val="yHeading3"/>
      </w:pPr>
      <w:bookmarkStart w:id="830" w:name="_Toc34139647"/>
      <w:bookmarkStart w:id="831" w:name="_Toc34139859"/>
      <w:bookmarkStart w:id="832" w:name="_Toc34148036"/>
      <w:bookmarkStart w:id="833" w:name="_Toc34207589"/>
      <w:bookmarkStart w:id="834" w:name="_Toc34291584"/>
      <w:bookmarkStart w:id="835" w:name="_Toc25657492"/>
      <w:bookmarkStart w:id="836" w:name="_Toc25760958"/>
      <w:bookmarkStart w:id="837" w:name="_Toc25761287"/>
      <w:r>
        <w:rPr>
          <w:rStyle w:val="CharSDivNo"/>
        </w:rPr>
        <w:t>Division 1</w:t>
      </w:r>
      <w:r>
        <w:t> — </w:t>
      </w:r>
      <w:r>
        <w:rPr>
          <w:rStyle w:val="CharSDivText"/>
        </w:rPr>
        <w:t>Calculating the total cost of entry</w:t>
      </w:r>
      <w:bookmarkEnd w:id="830"/>
      <w:bookmarkEnd w:id="831"/>
      <w:bookmarkEnd w:id="832"/>
      <w:bookmarkEnd w:id="833"/>
      <w:bookmarkEnd w:id="834"/>
      <w:bookmarkEnd w:id="835"/>
      <w:bookmarkEnd w:id="836"/>
      <w:bookmarkEnd w:id="837"/>
    </w:p>
    <w:p>
      <w:pPr>
        <w:pStyle w:val="yMiscellaneousBody"/>
        <w:spacing w:before="120" w:after="80"/>
      </w:pPr>
      <w:r>
        <w:t>The unit cost of entering a Soccer Pools Game is made up of a subscription of 50 cents per game and an agent’s component.</w:t>
      </w:r>
    </w:p>
    <w:p>
      <w:pPr>
        <w:pStyle w:val="yMiscellaneousBody"/>
        <w:spacing w:before="120" w:after="80"/>
      </w:pPr>
      <w:r>
        <w:t>The agent’s component is calculated as 9% of the total subscription amount for a particular week’s entry, rounded* (where necessary) to the nearest 5 cent multiple.</w:t>
      </w:r>
    </w:p>
    <w:p>
      <w:pPr>
        <w:pStyle w:val="yMiscellaneousBody"/>
        <w:shd w:val="clear" w:color="000000" w:fill="auto"/>
        <w:rPr>
          <w:del w:id="838" w:author="Master Repository Process" w:date="2021-08-29T01:56:00Z"/>
        </w:rPr>
      </w:pPr>
      <w:del w:id="839" w:author="Master Repository Process" w:date="2021-08-29T01:56:00Z">
        <w:r>
          <w:rPr>
            <w:position w:val="-10"/>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82.25pt;height:15.75pt">
              <v:imagedata r:id="rId21" o:title=""/>
            </v:shape>
          </w:pict>
        </w:r>
      </w:del>
    </w:p>
    <w:p>
      <w:pPr>
        <w:pStyle w:val="yMiscellaneousBody"/>
        <w:shd w:val="clear" w:color="000000" w:fill="auto"/>
        <w:rPr>
          <w:ins w:id="840" w:author="Master Repository Process" w:date="2021-08-29T01:56:00Z"/>
        </w:rPr>
      </w:pPr>
      <w:ins w:id="841" w:author="Master Repository Process" w:date="2021-08-29T01:56:00Z">
        <w:r>
          <w:rPr>
            <w:position w:val="-10"/>
          </w:rPr>
          <w:pict>
            <v:shape id="_x0000_i1026" type="#_x0000_t75" style="width:183pt;height:16.5pt">
              <v:imagedata r:id="rId21" o:title=""/>
            </v:shape>
          </w:pict>
        </w:r>
      </w:ins>
    </w:p>
    <w:p>
      <w:pPr>
        <w:pStyle w:val="yMiscellaneousBody"/>
        <w:spacing w:before="120" w:after="80"/>
      </w:pPr>
      <w:r>
        <w:t xml:space="preserve">where — </w:t>
      </w:r>
    </w:p>
    <w:p>
      <w:pPr>
        <w:pStyle w:val="yMiscellaneousBody"/>
        <w:tabs>
          <w:tab w:val="left" w:pos="567"/>
        </w:tabs>
        <w:spacing w:before="120"/>
      </w:pPr>
      <w:r>
        <w:t>G</w:t>
      </w:r>
      <w:r>
        <w:tab/>
        <w:t>No. of games entered in a draw;</w:t>
      </w:r>
    </w:p>
    <w:p>
      <w:pPr>
        <w:pStyle w:val="yMiscellaneousBody"/>
        <w:tabs>
          <w:tab w:val="left" w:pos="567"/>
        </w:tabs>
        <w:spacing w:before="120"/>
      </w:pPr>
      <w:r>
        <w:t>W</w:t>
      </w:r>
      <w:r>
        <w:tab/>
        <w:t>No. of weeks the entry spans;</w:t>
      </w:r>
    </w:p>
    <w:p>
      <w:pPr>
        <w:pStyle w:val="yMiscellaneousBody"/>
        <w:tabs>
          <w:tab w:val="left" w:pos="567"/>
        </w:tabs>
        <w:spacing w:before="120"/>
      </w:pPr>
      <w:r>
        <w:t>T</w:t>
      </w:r>
      <w:r>
        <w:tab/>
        <w:t>Total agent’s component cost payable by the subscriber.</w:t>
      </w:r>
    </w:p>
    <w:p>
      <w:pPr>
        <w:pStyle w:val="yMiscellaneousBody"/>
        <w:ind w:left="142" w:hanging="142"/>
      </w:pPr>
      <w:r>
        <w:t>* Rounding is calculated using the method known as “bankers rounding” or “round</w:t>
      </w:r>
      <w:r>
        <w:noBreakHyphen/>
        <w:t>to</w:t>
      </w:r>
      <w:r>
        <w:noBreakHyphen/>
        <w:t>even” rounding.</w:t>
      </w:r>
    </w:p>
    <w:p>
      <w:pPr>
        <w:pStyle w:val="yHeading3"/>
        <w:spacing w:after="240"/>
      </w:pPr>
      <w:bookmarkStart w:id="842" w:name="_Toc34139648"/>
      <w:bookmarkStart w:id="843" w:name="_Toc34139860"/>
      <w:bookmarkStart w:id="844" w:name="_Toc34148037"/>
      <w:bookmarkStart w:id="845" w:name="_Toc34207590"/>
      <w:bookmarkStart w:id="846" w:name="_Toc34291585"/>
      <w:bookmarkStart w:id="847" w:name="_Toc25657493"/>
      <w:bookmarkStart w:id="848" w:name="_Toc25760959"/>
      <w:bookmarkStart w:id="849" w:name="_Toc25761288"/>
      <w:r>
        <w:rPr>
          <w:rStyle w:val="CharSDivNo"/>
        </w:rPr>
        <w:t>Division 2</w:t>
      </w:r>
      <w:r>
        <w:t> — </w:t>
      </w:r>
      <w:r>
        <w:rPr>
          <w:rStyle w:val="CharSDivText"/>
        </w:rPr>
        <w:t>System entries and game equivalents</w:t>
      </w:r>
      <w:bookmarkEnd w:id="842"/>
      <w:bookmarkEnd w:id="843"/>
      <w:bookmarkEnd w:id="844"/>
      <w:bookmarkEnd w:id="845"/>
      <w:bookmarkEnd w:id="846"/>
      <w:bookmarkEnd w:id="847"/>
      <w:bookmarkEnd w:id="848"/>
      <w:bookmarkEnd w:id="849"/>
    </w:p>
    <w:tbl>
      <w:tblPr>
        <w:tblW w:w="0" w:type="auto"/>
        <w:tblInd w:w="2013" w:type="dxa"/>
        <w:tblBorders>
          <w:top w:val="single" w:sz="4" w:space="0" w:color="auto"/>
          <w:left w:val="single" w:sz="4" w:space="0" w:color="auto"/>
          <w:bottom w:val="single" w:sz="4" w:space="0" w:color="auto"/>
          <w:right w:val="single" w:sz="4" w:space="0" w:color="auto"/>
          <w:insideH w:val="single" w:sz="4" w:space="0" w:color="auto"/>
        </w:tblBorders>
        <w:tblLayout w:type="fixed"/>
        <w:tblCellMar>
          <w:left w:w="28" w:type="dxa"/>
          <w:right w:w="28" w:type="dxa"/>
        </w:tblCellMar>
        <w:tblLook w:val="0000" w:firstRow="0" w:lastRow="0" w:firstColumn="0" w:lastColumn="0" w:noHBand="0" w:noVBand="0"/>
      </w:tblPr>
      <w:tblGrid>
        <w:gridCol w:w="1276"/>
        <w:gridCol w:w="1984"/>
      </w:tblGrid>
      <w:tr>
        <w:trPr>
          <w:cantSplit/>
          <w:tblHeader/>
        </w:trPr>
        <w:tc>
          <w:tcPr>
            <w:tcW w:w="3260" w:type="dxa"/>
            <w:gridSpan w:val="2"/>
          </w:tcPr>
          <w:p>
            <w:pPr>
              <w:pStyle w:val="yTable"/>
              <w:spacing w:before="120"/>
              <w:jc w:val="center"/>
              <w:rPr>
                <w:b/>
                <w:bCs/>
                <w:szCs w:val="22"/>
              </w:rPr>
            </w:pPr>
            <w:r>
              <w:rPr>
                <w:b/>
                <w:bCs/>
                <w:szCs w:val="22"/>
              </w:rPr>
              <w:t>Soccer Pools</w:t>
            </w:r>
          </w:p>
        </w:tc>
      </w:tr>
      <w:tr>
        <w:trPr>
          <w:tblHeader/>
        </w:trPr>
        <w:tc>
          <w:tcPr>
            <w:tcW w:w="1276" w:type="dxa"/>
            <w:tcBorders>
              <w:right w:val="single" w:sz="4" w:space="0" w:color="auto"/>
            </w:tcBorders>
          </w:tcPr>
          <w:p>
            <w:pPr>
              <w:pStyle w:val="yTable"/>
              <w:spacing w:before="120"/>
              <w:jc w:val="center"/>
              <w:rPr>
                <w:b/>
                <w:bCs/>
                <w:szCs w:val="22"/>
              </w:rPr>
            </w:pPr>
            <w:r>
              <w:rPr>
                <w:b/>
                <w:bCs/>
                <w:szCs w:val="22"/>
              </w:rPr>
              <w:t>System</w:t>
            </w:r>
          </w:p>
        </w:tc>
        <w:tc>
          <w:tcPr>
            <w:tcW w:w="1984" w:type="dxa"/>
            <w:tcBorders>
              <w:left w:val="single" w:sz="4" w:space="0" w:color="auto"/>
            </w:tcBorders>
          </w:tcPr>
          <w:p>
            <w:pPr>
              <w:pStyle w:val="yTable"/>
              <w:spacing w:before="120"/>
              <w:jc w:val="center"/>
              <w:rPr>
                <w:b/>
                <w:bCs/>
                <w:szCs w:val="22"/>
              </w:rPr>
            </w:pPr>
            <w:r>
              <w:rPr>
                <w:b/>
                <w:bCs/>
                <w:szCs w:val="22"/>
              </w:rPr>
              <w:t>No. of games per game board</w:t>
            </w:r>
          </w:p>
        </w:tc>
      </w:tr>
      <w:tr>
        <w:tc>
          <w:tcPr>
            <w:tcW w:w="1276" w:type="dxa"/>
            <w:tcBorders>
              <w:right w:val="single" w:sz="4" w:space="0" w:color="auto"/>
            </w:tcBorders>
          </w:tcPr>
          <w:p>
            <w:pPr>
              <w:pStyle w:val="yTable"/>
              <w:keepLines/>
              <w:spacing w:before="120"/>
              <w:jc w:val="center"/>
              <w:rPr>
                <w:szCs w:val="22"/>
              </w:rPr>
            </w:pPr>
            <w:r>
              <w:rPr>
                <w:szCs w:val="22"/>
              </w:rPr>
              <w:t>4</w:t>
            </w:r>
          </w:p>
        </w:tc>
        <w:tc>
          <w:tcPr>
            <w:tcW w:w="1984" w:type="dxa"/>
            <w:tcBorders>
              <w:left w:val="single" w:sz="4" w:space="0" w:color="auto"/>
            </w:tcBorders>
          </w:tcPr>
          <w:p>
            <w:pPr>
              <w:pStyle w:val="yTable"/>
              <w:keepNext/>
              <w:keepLines/>
              <w:spacing w:before="120"/>
              <w:jc w:val="center"/>
              <w:rPr>
                <w:szCs w:val="22"/>
              </w:rPr>
            </w:pPr>
            <w:r>
              <w:rPr>
                <w:szCs w:val="22"/>
              </w:rPr>
              <w:t>561</w:t>
            </w:r>
          </w:p>
        </w:tc>
      </w:tr>
      <w:tr>
        <w:tc>
          <w:tcPr>
            <w:tcW w:w="1276" w:type="dxa"/>
            <w:tcBorders>
              <w:right w:val="single" w:sz="4" w:space="0" w:color="auto"/>
            </w:tcBorders>
          </w:tcPr>
          <w:p>
            <w:pPr>
              <w:pStyle w:val="yTable"/>
              <w:keepLines/>
              <w:spacing w:before="120"/>
              <w:jc w:val="center"/>
              <w:rPr>
                <w:szCs w:val="22"/>
              </w:rPr>
            </w:pPr>
            <w:r>
              <w:rPr>
                <w:szCs w:val="22"/>
              </w:rPr>
              <w:t>5</w:t>
            </w:r>
          </w:p>
        </w:tc>
        <w:tc>
          <w:tcPr>
            <w:tcW w:w="1984" w:type="dxa"/>
            <w:tcBorders>
              <w:left w:val="single" w:sz="4" w:space="0" w:color="auto"/>
            </w:tcBorders>
          </w:tcPr>
          <w:p>
            <w:pPr>
              <w:pStyle w:val="yTable"/>
              <w:keepNext/>
              <w:keepLines/>
              <w:spacing w:before="120"/>
              <w:jc w:val="center"/>
              <w:rPr>
                <w:szCs w:val="22"/>
              </w:rPr>
            </w:pPr>
            <w:r>
              <w:rPr>
                <w:szCs w:val="22"/>
              </w:rPr>
              <w:t>33</w:t>
            </w:r>
          </w:p>
        </w:tc>
      </w:tr>
      <w:tr>
        <w:tc>
          <w:tcPr>
            <w:tcW w:w="1276" w:type="dxa"/>
            <w:tcBorders>
              <w:right w:val="single" w:sz="4" w:space="0" w:color="auto"/>
            </w:tcBorders>
          </w:tcPr>
          <w:p>
            <w:pPr>
              <w:pStyle w:val="yTable"/>
              <w:spacing w:before="120"/>
              <w:jc w:val="center"/>
              <w:rPr>
                <w:szCs w:val="22"/>
              </w:rPr>
            </w:pPr>
            <w:r>
              <w:rPr>
                <w:szCs w:val="22"/>
              </w:rPr>
              <w:t>7</w:t>
            </w:r>
          </w:p>
        </w:tc>
        <w:tc>
          <w:tcPr>
            <w:tcW w:w="1984" w:type="dxa"/>
            <w:tcBorders>
              <w:left w:val="single" w:sz="4" w:space="0" w:color="auto"/>
            </w:tcBorders>
          </w:tcPr>
          <w:p>
            <w:pPr>
              <w:pStyle w:val="yTable"/>
              <w:spacing w:before="120"/>
              <w:jc w:val="center"/>
              <w:rPr>
                <w:szCs w:val="22"/>
              </w:rPr>
            </w:pPr>
            <w:r>
              <w:rPr>
                <w:szCs w:val="22"/>
              </w:rPr>
              <w:t>7</w:t>
            </w:r>
          </w:p>
        </w:tc>
      </w:tr>
      <w:tr>
        <w:tc>
          <w:tcPr>
            <w:tcW w:w="1276" w:type="dxa"/>
            <w:tcBorders>
              <w:right w:val="single" w:sz="4" w:space="0" w:color="auto"/>
            </w:tcBorders>
          </w:tcPr>
          <w:p>
            <w:pPr>
              <w:pStyle w:val="yTable"/>
              <w:spacing w:before="120"/>
              <w:jc w:val="center"/>
              <w:rPr>
                <w:szCs w:val="22"/>
              </w:rPr>
            </w:pPr>
            <w:r>
              <w:rPr>
                <w:szCs w:val="22"/>
              </w:rPr>
              <w:t>8</w:t>
            </w:r>
          </w:p>
        </w:tc>
        <w:tc>
          <w:tcPr>
            <w:tcW w:w="1984" w:type="dxa"/>
            <w:tcBorders>
              <w:left w:val="single" w:sz="4" w:space="0" w:color="auto"/>
            </w:tcBorders>
          </w:tcPr>
          <w:p>
            <w:pPr>
              <w:pStyle w:val="yTable"/>
              <w:spacing w:before="120"/>
              <w:jc w:val="center"/>
              <w:rPr>
                <w:szCs w:val="22"/>
              </w:rPr>
            </w:pPr>
            <w:r>
              <w:rPr>
                <w:szCs w:val="22"/>
              </w:rPr>
              <w:t>28</w:t>
            </w:r>
          </w:p>
        </w:tc>
      </w:tr>
      <w:tr>
        <w:tc>
          <w:tcPr>
            <w:tcW w:w="1276" w:type="dxa"/>
            <w:tcBorders>
              <w:right w:val="single" w:sz="4" w:space="0" w:color="auto"/>
            </w:tcBorders>
          </w:tcPr>
          <w:p>
            <w:pPr>
              <w:pStyle w:val="yTable"/>
              <w:spacing w:before="120"/>
              <w:jc w:val="center"/>
              <w:rPr>
                <w:szCs w:val="22"/>
              </w:rPr>
            </w:pPr>
            <w:r>
              <w:rPr>
                <w:szCs w:val="22"/>
              </w:rPr>
              <w:t>9</w:t>
            </w:r>
          </w:p>
        </w:tc>
        <w:tc>
          <w:tcPr>
            <w:tcW w:w="1984" w:type="dxa"/>
            <w:tcBorders>
              <w:left w:val="single" w:sz="4" w:space="0" w:color="auto"/>
            </w:tcBorders>
          </w:tcPr>
          <w:p>
            <w:pPr>
              <w:pStyle w:val="yTable"/>
              <w:spacing w:before="120"/>
              <w:jc w:val="center"/>
              <w:rPr>
                <w:szCs w:val="22"/>
              </w:rPr>
            </w:pPr>
            <w:r>
              <w:rPr>
                <w:szCs w:val="22"/>
              </w:rPr>
              <w:t>84</w:t>
            </w:r>
          </w:p>
        </w:tc>
      </w:tr>
      <w:tr>
        <w:tc>
          <w:tcPr>
            <w:tcW w:w="1276" w:type="dxa"/>
            <w:tcBorders>
              <w:right w:val="single" w:sz="4" w:space="0" w:color="auto"/>
            </w:tcBorders>
          </w:tcPr>
          <w:p>
            <w:pPr>
              <w:pStyle w:val="yTable"/>
              <w:spacing w:before="120"/>
              <w:jc w:val="center"/>
              <w:rPr>
                <w:szCs w:val="22"/>
              </w:rPr>
            </w:pPr>
            <w:r>
              <w:rPr>
                <w:szCs w:val="22"/>
              </w:rPr>
              <w:t>10</w:t>
            </w:r>
          </w:p>
        </w:tc>
        <w:tc>
          <w:tcPr>
            <w:tcW w:w="1984" w:type="dxa"/>
            <w:tcBorders>
              <w:left w:val="single" w:sz="4" w:space="0" w:color="auto"/>
            </w:tcBorders>
          </w:tcPr>
          <w:p>
            <w:pPr>
              <w:pStyle w:val="yTable"/>
              <w:spacing w:before="120"/>
              <w:jc w:val="center"/>
              <w:rPr>
                <w:szCs w:val="22"/>
              </w:rPr>
            </w:pPr>
            <w:r>
              <w:rPr>
                <w:szCs w:val="22"/>
              </w:rPr>
              <w:t>210</w:t>
            </w:r>
          </w:p>
        </w:tc>
      </w:tr>
      <w:tr>
        <w:tc>
          <w:tcPr>
            <w:tcW w:w="1276" w:type="dxa"/>
            <w:tcBorders>
              <w:right w:val="single" w:sz="4" w:space="0" w:color="auto"/>
            </w:tcBorders>
          </w:tcPr>
          <w:p>
            <w:pPr>
              <w:pStyle w:val="yTable"/>
              <w:spacing w:before="120"/>
              <w:jc w:val="center"/>
              <w:rPr>
                <w:szCs w:val="22"/>
              </w:rPr>
            </w:pPr>
            <w:r>
              <w:rPr>
                <w:szCs w:val="22"/>
              </w:rPr>
              <w:t>11</w:t>
            </w:r>
          </w:p>
        </w:tc>
        <w:tc>
          <w:tcPr>
            <w:tcW w:w="1984" w:type="dxa"/>
            <w:tcBorders>
              <w:left w:val="single" w:sz="4" w:space="0" w:color="auto"/>
            </w:tcBorders>
          </w:tcPr>
          <w:p>
            <w:pPr>
              <w:pStyle w:val="yTable"/>
              <w:spacing w:before="120"/>
              <w:jc w:val="center"/>
              <w:rPr>
                <w:szCs w:val="22"/>
              </w:rPr>
            </w:pPr>
            <w:r>
              <w:rPr>
                <w:szCs w:val="22"/>
              </w:rPr>
              <w:t>462</w:t>
            </w:r>
          </w:p>
        </w:tc>
      </w:tr>
      <w:tr>
        <w:tc>
          <w:tcPr>
            <w:tcW w:w="1276" w:type="dxa"/>
            <w:tcBorders>
              <w:right w:val="single" w:sz="4" w:space="0" w:color="auto"/>
            </w:tcBorders>
          </w:tcPr>
          <w:p>
            <w:pPr>
              <w:pStyle w:val="yTable"/>
              <w:spacing w:before="120"/>
              <w:jc w:val="center"/>
              <w:rPr>
                <w:szCs w:val="22"/>
              </w:rPr>
            </w:pPr>
            <w:r>
              <w:rPr>
                <w:szCs w:val="22"/>
              </w:rPr>
              <w:t>12</w:t>
            </w:r>
          </w:p>
        </w:tc>
        <w:tc>
          <w:tcPr>
            <w:tcW w:w="1984" w:type="dxa"/>
            <w:tcBorders>
              <w:left w:val="single" w:sz="4" w:space="0" w:color="auto"/>
            </w:tcBorders>
          </w:tcPr>
          <w:p>
            <w:pPr>
              <w:pStyle w:val="yTable"/>
              <w:spacing w:before="120"/>
              <w:jc w:val="center"/>
              <w:rPr>
                <w:szCs w:val="22"/>
              </w:rPr>
            </w:pPr>
            <w:r>
              <w:rPr>
                <w:szCs w:val="22"/>
              </w:rPr>
              <w:t>924</w:t>
            </w:r>
          </w:p>
        </w:tc>
      </w:tr>
      <w:tr>
        <w:tc>
          <w:tcPr>
            <w:tcW w:w="1276" w:type="dxa"/>
            <w:tcBorders>
              <w:right w:val="single" w:sz="4" w:space="0" w:color="auto"/>
            </w:tcBorders>
          </w:tcPr>
          <w:p>
            <w:pPr>
              <w:pStyle w:val="yTable"/>
              <w:spacing w:before="120"/>
              <w:jc w:val="center"/>
              <w:rPr>
                <w:szCs w:val="22"/>
              </w:rPr>
            </w:pPr>
            <w:r>
              <w:rPr>
                <w:szCs w:val="22"/>
              </w:rPr>
              <w:t>13</w:t>
            </w:r>
          </w:p>
        </w:tc>
        <w:tc>
          <w:tcPr>
            <w:tcW w:w="1984" w:type="dxa"/>
            <w:tcBorders>
              <w:left w:val="single" w:sz="4" w:space="0" w:color="auto"/>
            </w:tcBorders>
          </w:tcPr>
          <w:p>
            <w:pPr>
              <w:pStyle w:val="yTable"/>
              <w:spacing w:before="120"/>
              <w:jc w:val="center"/>
              <w:rPr>
                <w:szCs w:val="22"/>
              </w:rPr>
            </w:pPr>
            <w:r>
              <w:rPr>
                <w:szCs w:val="22"/>
              </w:rPr>
              <w:t>1 716</w:t>
            </w:r>
          </w:p>
        </w:tc>
      </w:tr>
      <w:tr>
        <w:tc>
          <w:tcPr>
            <w:tcW w:w="1276" w:type="dxa"/>
            <w:tcBorders>
              <w:right w:val="single" w:sz="4" w:space="0" w:color="auto"/>
            </w:tcBorders>
          </w:tcPr>
          <w:p>
            <w:pPr>
              <w:pStyle w:val="yTable"/>
              <w:spacing w:before="120"/>
              <w:jc w:val="center"/>
              <w:rPr>
                <w:szCs w:val="22"/>
              </w:rPr>
            </w:pPr>
            <w:r>
              <w:rPr>
                <w:szCs w:val="22"/>
              </w:rPr>
              <w:t>14</w:t>
            </w:r>
          </w:p>
        </w:tc>
        <w:tc>
          <w:tcPr>
            <w:tcW w:w="1984" w:type="dxa"/>
            <w:tcBorders>
              <w:left w:val="single" w:sz="4" w:space="0" w:color="auto"/>
            </w:tcBorders>
          </w:tcPr>
          <w:p>
            <w:pPr>
              <w:pStyle w:val="yTable"/>
              <w:spacing w:before="120"/>
              <w:jc w:val="center"/>
              <w:rPr>
                <w:szCs w:val="22"/>
              </w:rPr>
            </w:pPr>
            <w:r>
              <w:rPr>
                <w:szCs w:val="22"/>
              </w:rPr>
              <w:t>3 003</w:t>
            </w:r>
          </w:p>
        </w:tc>
      </w:tr>
      <w:tr>
        <w:tc>
          <w:tcPr>
            <w:tcW w:w="1276" w:type="dxa"/>
            <w:tcBorders>
              <w:right w:val="single" w:sz="4" w:space="0" w:color="auto"/>
            </w:tcBorders>
          </w:tcPr>
          <w:p>
            <w:pPr>
              <w:pStyle w:val="yTable"/>
              <w:spacing w:before="120"/>
              <w:jc w:val="center"/>
              <w:rPr>
                <w:szCs w:val="22"/>
              </w:rPr>
            </w:pPr>
            <w:r>
              <w:rPr>
                <w:szCs w:val="22"/>
              </w:rPr>
              <w:t>15</w:t>
            </w:r>
          </w:p>
        </w:tc>
        <w:tc>
          <w:tcPr>
            <w:tcW w:w="1984" w:type="dxa"/>
            <w:tcBorders>
              <w:left w:val="single" w:sz="4" w:space="0" w:color="auto"/>
            </w:tcBorders>
          </w:tcPr>
          <w:p>
            <w:pPr>
              <w:pStyle w:val="yTable"/>
              <w:spacing w:before="120"/>
              <w:jc w:val="center"/>
              <w:rPr>
                <w:szCs w:val="22"/>
              </w:rPr>
            </w:pPr>
            <w:r>
              <w:rPr>
                <w:szCs w:val="22"/>
              </w:rPr>
              <w:t>5 005</w:t>
            </w:r>
          </w:p>
        </w:tc>
      </w:tr>
      <w:tr>
        <w:tc>
          <w:tcPr>
            <w:tcW w:w="1276" w:type="dxa"/>
            <w:tcBorders>
              <w:right w:val="single" w:sz="4" w:space="0" w:color="auto"/>
            </w:tcBorders>
          </w:tcPr>
          <w:p>
            <w:pPr>
              <w:pStyle w:val="yTable"/>
              <w:spacing w:before="120"/>
              <w:jc w:val="center"/>
              <w:rPr>
                <w:szCs w:val="22"/>
              </w:rPr>
            </w:pPr>
            <w:r>
              <w:rPr>
                <w:szCs w:val="22"/>
              </w:rPr>
              <w:t>16</w:t>
            </w:r>
          </w:p>
        </w:tc>
        <w:tc>
          <w:tcPr>
            <w:tcW w:w="1984" w:type="dxa"/>
            <w:tcBorders>
              <w:left w:val="single" w:sz="4" w:space="0" w:color="auto"/>
            </w:tcBorders>
          </w:tcPr>
          <w:p>
            <w:pPr>
              <w:pStyle w:val="yTable"/>
              <w:spacing w:before="120"/>
              <w:jc w:val="center"/>
              <w:rPr>
                <w:szCs w:val="22"/>
              </w:rPr>
            </w:pPr>
            <w:r>
              <w:rPr>
                <w:szCs w:val="22"/>
              </w:rPr>
              <w:t>8 008</w:t>
            </w:r>
          </w:p>
        </w:tc>
      </w:tr>
      <w:tr>
        <w:tc>
          <w:tcPr>
            <w:tcW w:w="1276" w:type="dxa"/>
            <w:tcBorders>
              <w:right w:val="single" w:sz="4" w:space="0" w:color="auto"/>
            </w:tcBorders>
          </w:tcPr>
          <w:p>
            <w:pPr>
              <w:pStyle w:val="yTable"/>
              <w:spacing w:before="120"/>
              <w:jc w:val="center"/>
              <w:rPr>
                <w:szCs w:val="22"/>
              </w:rPr>
            </w:pPr>
            <w:r>
              <w:rPr>
                <w:szCs w:val="22"/>
              </w:rPr>
              <w:t>17</w:t>
            </w:r>
          </w:p>
        </w:tc>
        <w:tc>
          <w:tcPr>
            <w:tcW w:w="1984" w:type="dxa"/>
            <w:tcBorders>
              <w:left w:val="single" w:sz="4" w:space="0" w:color="auto"/>
            </w:tcBorders>
          </w:tcPr>
          <w:p>
            <w:pPr>
              <w:pStyle w:val="yTable"/>
              <w:spacing w:before="120"/>
              <w:jc w:val="center"/>
              <w:rPr>
                <w:szCs w:val="22"/>
              </w:rPr>
            </w:pPr>
            <w:r>
              <w:rPr>
                <w:szCs w:val="22"/>
              </w:rPr>
              <w:t>12 376</w:t>
            </w:r>
          </w:p>
        </w:tc>
      </w:tr>
      <w:tr>
        <w:tc>
          <w:tcPr>
            <w:tcW w:w="1276" w:type="dxa"/>
            <w:tcBorders>
              <w:right w:val="single" w:sz="4" w:space="0" w:color="auto"/>
            </w:tcBorders>
          </w:tcPr>
          <w:p>
            <w:pPr>
              <w:pStyle w:val="yTable"/>
              <w:spacing w:before="120"/>
              <w:jc w:val="center"/>
              <w:rPr>
                <w:szCs w:val="22"/>
              </w:rPr>
            </w:pPr>
            <w:r>
              <w:rPr>
                <w:szCs w:val="22"/>
              </w:rPr>
              <w:t>18</w:t>
            </w:r>
          </w:p>
        </w:tc>
        <w:tc>
          <w:tcPr>
            <w:tcW w:w="1984" w:type="dxa"/>
            <w:tcBorders>
              <w:left w:val="single" w:sz="4" w:space="0" w:color="auto"/>
            </w:tcBorders>
          </w:tcPr>
          <w:p>
            <w:pPr>
              <w:pStyle w:val="yTable"/>
              <w:spacing w:before="120"/>
              <w:jc w:val="center"/>
              <w:rPr>
                <w:szCs w:val="22"/>
              </w:rPr>
            </w:pPr>
            <w:r>
              <w:rPr>
                <w:szCs w:val="22"/>
              </w:rPr>
              <w:t>18 564</w:t>
            </w:r>
          </w:p>
        </w:tc>
      </w:tr>
      <w:tr>
        <w:tc>
          <w:tcPr>
            <w:tcW w:w="1276" w:type="dxa"/>
            <w:tcBorders>
              <w:right w:val="single" w:sz="4" w:space="0" w:color="auto"/>
            </w:tcBorders>
          </w:tcPr>
          <w:p>
            <w:pPr>
              <w:pStyle w:val="yTable"/>
              <w:spacing w:before="120"/>
              <w:jc w:val="center"/>
              <w:rPr>
                <w:szCs w:val="22"/>
              </w:rPr>
            </w:pPr>
            <w:r>
              <w:rPr>
                <w:szCs w:val="22"/>
              </w:rPr>
              <w:t>19</w:t>
            </w:r>
          </w:p>
        </w:tc>
        <w:tc>
          <w:tcPr>
            <w:tcW w:w="1984" w:type="dxa"/>
            <w:tcBorders>
              <w:left w:val="single" w:sz="4" w:space="0" w:color="auto"/>
            </w:tcBorders>
          </w:tcPr>
          <w:p>
            <w:pPr>
              <w:pStyle w:val="yTable"/>
              <w:keepNext/>
              <w:spacing w:before="120"/>
              <w:jc w:val="center"/>
              <w:rPr>
                <w:szCs w:val="22"/>
              </w:rPr>
            </w:pPr>
            <w:r>
              <w:rPr>
                <w:szCs w:val="22"/>
              </w:rPr>
              <w:t>27 132</w:t>
            </w:r>
          </w:p>
        </w:tc>
      </w:tr>
      <w:tr>
        <w:tc>
          <w:tcPr>
            <w:tcW w:w="1276" w:type="dxa"/>
            <w:tcBorders>
              <w:right w:val="single" w:sz="4" w:space="0" w:color="auto"/>
            </w:tcBorders>
          </w:tcPr>
          <w:p>
            <w:pPr>
              <w:pStyle w:val="yTable"/>
              <w:spacing w:before="120"/>
              <w:jc w:val="center"/>
              <w:rPr>
                <w:szCs w:val="22"/>
              </w:rPr>
            </w:pPr>
            <w:r>
              <w:rPr>
                <w:szCs w:val="22"/>
              </w:rPr>
              <w:t>20</w:t>
            </w:r>
          </w:p>
        </w:tc>
        <w:tc>
          <w:tcPr>
            <w:tcW w:w="1984" w:type="dxa"/>
            <w:tcBorders>
              <w:left w:val="single" w:sz="4" w:space="0" w:color="auto"/>
            </w:tcBorders>
          </w:tcPr>
          <w:p>
            <w:pPr>
              <w:pStyle w:val="yTable"/>
              <w:keepNext/>
              <w:tabs>
                <w:tab w:val="left" w:pos="681"/>
              </w:tabs>
              <w:spacing w:before="120"/>
              <w:jc w:val="center"/>
              <w:rPr>
                <w:szCs w:val="22"/>
              </w:rPr>
            </w:pPr>
            <w:r>
              <w:rPr>
                <w:szCs w:val="22"/>
              </w:rPr>
              <w:t>38 760</w:t>
            </w:r>
          </w:p>
        </w:tc>
      </w:tr>
    </w:tbl>
    <w:p>
      <w:pPr>
        <w:pStyle w:val="yHeading3"/>
        <w:spacing w:after="240"/>
      </w:pPr>
      <w:bookmarkStart w:id="850" w:name="_Toc34139649"/>
      <w:bookmarkStart w:id="851" w:name="_Toc34139861"/>
      <w:bookmarkStart w:id="852" w:name="_Toc34148038"/>
      <w:bookmarkStart w:id="853" w:name="_Toc34207591"/>
      <w:bookmarkStart w:id="854" w:name="_Toc34291586"/>
      <w:bookmarkStart w:id="855" w:name="_Toc25657494"/>
      <w:bookmarkStart w:id="856" w:name="_Toc25760960"/>
      <w:bookmarkStart w:id="857" w:name="_Toc25761289"/>
      <w:r>
        <w:rPr>
          <w:rStyle w:val="CharSDivNo"/>
        </w:rPr>
        <w:t>Division 3</w:t>
      </w:r>
      <w:r>
        <w:t> — </w:t>
      </w:r>
      <w:r>
        <w:rPr>
          <w:rStyle w:val="CharSDivText"/>
        </w:rPr>
        <w:t>Summary of parameters within which Soccer Pools is conducted</w:t>
      </w:r>
      <w:bookmarkEnd w:id="850"/>
      <w:bookmarkEnd w:id="851"/>
      <w:bookmarkEnd w:id="852"/>
      <w:bookmarkEnd w:id="853"/>
      <w:bookmarkEnd w:id="854"/>
      <w:bookmarkEnd w:id="855"/>
      <w:bookmarkEnd w:id="856"/>
      <w:bookmarkEnd w:id="857"/>
    </w:p>
    <w:tbl>
      <w:tblPr>
        <w:tblW w:w="7088" w:type="dxa"/>
        <w:tblInd w:w="8" w:type="dxa"/>
        <w:tblLayout w:type="fixed"/>
        <w:tblCellMar>
          <w:left w:w="0" w:type="dxa"/>
          <w:right w:w="0" w:type="dxa"/>
        </w:tblCellMar>
        <w:tblLook w:val="0000" w:firstRow="0" w:lastRow="0" w:firstColumn="0" w:lastColumn="0" w:noHBand="0" w:noVBand="0"/>
      </w:tblPr>
      <w:tblGrid>
        <w:gridCol w:w="4962"/>
        <w:gridCol w:w="2126"/>
      </w:tblGrid>
      <w:tr>
        <w:tc>
          <w:tcPr>
            <w:tcW w:w="4962" w:type="dxa"/>
          </w:tcPr>
          <w:p>
            <w:pPr>
              <w:pStyle w:val="yTableNAm"/>
              <w:ind w:left="134"/>
              <w:rPr>
                <w:szCs w:val="22"/>
              </w:rPr>
            </w:pPr>
            <w:r>
              <w:rPr>
                <w:szCs w:val="22"/>
              </w:rPr>
              <w:t>Unit cost</w:t>
            </w:r>
          </w:p>
        </w:tc>
        <w:tc>
          <w:tcPr>
            <w:tcW w:w="2126" w:type="dxa"/>
          </w:tcPr>
          <w:p>
            <w:pPr>
              <w:pStyle w:val="yTableNAm"/>
              <w:ind w:left="134"/>
              <w:rPr>
                <w:szCs w:val="22"/>
              </w:rPr>
            </w:pPr>
            <w:r>
              <w:rPr>
                <w:szCs w:val="22"/>
              </w:rPr>
              <w:t>$0.50 (+ a 9% agent’s component)</w:t>
            </w:r>
          </w:p>
        </w:tc>
      </w:tr>
      <w:tr>
        <w:tc>
          <w:tcPr>
            <w:tcW w:w="4962" w:type="dxa"/>
          </w:tcPr>
          <w:p>
            <w:pPr>
              <w:pStyle w:val="yTableNAm"/>
              <w:ind w:left="134"/>
              <w:rPr>
                <w:szCs w:val="22"/>
              </w:rPr>
            </w:pPr>
            <w:r>
              <w:rPr>
                <w:szCs w:val="22"/>
              </w:rPr>
              <w:t>Prize fund </w:t>
            </w:r>
            <w:r>
              <w:rPr>
                <w:snapToGrid w:val="0"/>
                <w:szCs w:val="22"/>
              </w:rPr>
              <w:t>—</w:t>
            </w:r>
            <w:r>
              <w:rPr>
                <w:szCs w:val="22"/>
              </w:rPr>
              <w:t xml:space="preserve"> % of base costs</w:t>
            </w:r>
          </w:p>
        </w:tc>
        <w:tc>
          <w:tcPr>
            <w:tcW w:w="2126" w:type="dxa"/>
          </w:tcPr>
          <w:p>
            <w:pPr>
              <w:pStyle w:val="yTableNAm"/>
              <w:ind w:left="134"/>
              <w:rPr>
                <w:szCs w:val="22"/>
              </w:rPr>
            </w:pPr>
            <w:r>
              <w:rPr>
                <w:szCs w:val="22"/>
              </w:rPr>
              <w:t>50.0%</w:t>
            </w:r>
          </w:p>
        </w:tc>
      </w:tr>
      <w:tr>
        <w:tc>
          <w:tcPr>
            <w:tcW w:w="4962" w:type="dxa"/>
          </w:tcPr>
          <w:p>
            <w:pPr>
              <w:pStyle w:val="yTableNAm"/>
              <w:ind w:left="134"/>
              <w:rPr>
                <w:szCs w:val="22"/>
              </w:rPr>
            </w:pPr>
            <w:r>
              <w:rPr>
                <w:szCs w:val="22"/>
              </w:rPr>
              <w:t>Prize pool — % of base costs</w:t>
            </w:r>
          </w:p>
        </w:tc>
        <w:tc>
          <w:tcPr>
            <w:tcW w:w="2126" w:type="dxa"/>
          </w:tcPr>
          <w:p>
            <w:pPr>
              <w:pStyle w:val="yTableNAm"/>
              <w:ind w:left="134"/>
              <w:rPr>
                <w:szCs w:val="22"/>
              </w:rPr>
            </w:pPr>
            <w:r>
              <w:rPr>
                <w:szCs w:val="22"/>
              </w:rPr>
              <w:t>no less than 45.0%</w:t>
            </w:r>
          </w:p>
        </w:tc>
      </w:tr>
      <w:tr>
        <w:tc>
          <w:tcPr>
            <w:tcW w:w="4962" w:type="dxa"/>
          </w:tcPr>
          <w:p>
            <w:pPr>
              <w:pStyle w:val="yTableNAm"/>
              <w:ind w:left="134"/>
              <w:rPr>
                <w:szCs w:val="22"/>
              </w:rPr>
            </w:pPr>
            <w:r>
              <w:rPr>
                <w:szCs w:val="22"/>
              </w:rPr>
              <w:t>Prize reserve fund — % of subscriptions</w:t>
            </w:r>
          </w:p>
        </w:tc>
        <w:tc>
          <w:tcPr>
            <w:tcW w:w="2126" w:type="dxa"/>
          </w:tcPr>
          <w:p>
            <w:pPr>
              <w:pStyle w:val="yTableNAm"/>
              <w:ind w:left="134"/>
              <w:rPr>
                <w:szCs w:val="22"/>
              </w:rPr>
            </w:pPr>
            <w:r>
              <w:rPr>
                <w:szCs w:val="22"/>
              </w:rPr>
              <w:t>balance of prize fund after prize pool</w:t>
            </w:r>
            <w:r>
              <w:rPr>
                <w:szCs w:val="22"/>
              </w:rPr>
              <w:br/>
              <w:t>(up to 5.0%)</w:t>
            </w:r>
          </w:p>
        </w:tc>
      </w:tr>
      <w:tr>
        <w:tc>
          <w:tcPr>
            <w:tcW w:w="4962" w:type="dxa"/>
          </w:tcPr>
          <w:p>
            <w:pPr>
              <w:pStyle w:val="yTableNAm"/>
              <w:ind w:left="134"/>
              <w:rPr>
                <w:szCs w:val="22"/>
              </w:rPr>
            </w:pPr>
            <w:r>
              <w:rPr>
                <w:szCs w:val="22"/>
              </w:rPr>
              <w:t>Number of divisions</w:t>
            </w:r>
          </w:p>
        </w:tc>
        <w:tc>
          <w:tcPr>
            <w:tcW w:w="2126" w:type="dxa"/>
          </w:tcPr>
          <w:p>
            <w:pPr>
              <w:pStyle w:val="yTableNAm"/>
              <w:ind w:left="134"/>
              <w:rPr>
                <w:szCs w:val="22"/>
              </w:rPr>
            </w:pPr>
            <w:r>
              <w:rPr>
                <w:szCs w:val="22"/>
              </w:rPr>
              <w:t>5</w:t>
            </w:r>
          </w:p>
        </w:tc>
      </w:tr>
      <w:tr>
        <w:tc>
          <w:tcPr>
            <w:tcW w:w="4962" w:type="dxa"/>
          </w:tcPr>
          <w:p>
            <w:pPr>
              <w:pStyle w:val="yTableNAm"/>
              <w:ind w:left="134"/>
              <w:rPr>
                <w:szCs w:val="22"/>
              </w:rPr>
            </w:pPr>
            <w:r>
              <w:rPr>
                <w:szCs w:val="22"/>
              </w:rPr>
              <w:t>Winning numbers</w:t>
            </w:r>
          </w:p>
        </w:tc>
        <w:tc>
          <w:tcPr>
            <w:tcW w:w="2126" w:type="dxa"/>
          </w:tcPr>
          <w:p>
            <w:pPr>
              <w:pStyle w:val="yTableNAm"/>
              <w:ind w:left="134"/>
              <w:rPr>
                <w:szCs w:val="22"/>
              </w:rPr>
            </w:pPr>
            <w:r>
              <w:rPr>
                <w:szCs w:val="22"/>
              </w:rPr>
              <w:t>6</w:t>
            </w:r>
          </w:p>
        </w:tc>
      </w:tr>
      <w:tr>
        <w:tc>
          <w:tcPr>
            <w:tcW w:w="4962" w:type="dxa"/>
          </w:tcPr>
          <w:p>
            <w:pPr>
              <w:pStyle w:val="yTableNAm"/>
              <w:ind w:left="134"/>
              <w:rPr>
                <w:szCs w:val="22"/>
              </w:rPr>
            </w:pPr>
            <w:r>
              <w:rPr>
                <w:szCs w:val="22"/>
              </w:rPr>
              <w:t>Supplementary numbers</w:t>
            </w:r>
          </w:p>
        </w:tc>
        <w:tc>
          <w:tcPr>
            <w:tcW w:w="2126" w:type="dxa"/>
          </w:tcPr>
          <w:p>
            <w:pPr>
              <w:pStyle w:val="yTableNAm"/>
              <w:ind w:left="134"/>
              <w:rPr>
                <w:szCs w:val="22"/>
              </w:rPr>
            </w:pPr>
            <w:r>
              <w:rPr>
                <w:szCs w:val="22"/>
              </w:rPr>
              <w:t>1</w:t>
            </w:r>
          </w:p>
        </w:tc>
      </w:tr>
      <w:tr>
        <w:tc>
          <w:tcPr>
            <w:tcW w:w="4962" w:type="dxa"/>
          </w:tcPr>
          <w:p>
            <w:pPr>
              <w:pStyle w:val="yTableNAm"/>
              <w:ind w:left="134"/>
              <w:rPr>
                <w:szCs w:val="22"/>
              </w:rPr>
            </w:pPr>
            <w:r>
              <w:rPr>
                <w:szCs w:val="22"/>
              </w:rPr>
              <w:t>Forecast range</w:t>
            </w:r>
          </w:p>
        </w:tc>
        <w:tc>
          <w:tcPr>
            <w:tcW w:w="2126" w:type="dxa"/>
          </w:tcPr>
          <w:p>
            <w:pPr>
              <w:pStyle w:val="yTableNAm"/>
              <w:ind w:left="134"/>
              <w:rPr>
                <w:szCs w:val="22"/>
              </w:rPr>
            </w:pPr>
            <w:r>
              <w:rPr>
                <w:szCs w:val="22"/>
              </w:rPr>
              <w:t>1 to 38 inclusive</w:t>
            </w:r>
          </w:p>
        </w:tc>
      </w:tr>
      <w:tr>
        <w:tc>
          <w:tcPr>
            <w:tcW w:w="4962" w:type="dxa"/>
          </w:tcPr>
          <w:p>
            <w:pPr>
              <w:pStyle w:val="yTableNAm"/>
              <w:ind w:left="134"/>
              <w:rPr>
                <w:szCs w:val="22"/>
              </w:rPr>
            </w:pPr>
            <w:r>
              <w:rPr>
                <w:szCs w:val="22"/>
              </w:rPr>
              <w:t>Odds of winning — </w:t>
            </w:r>
          </w:p>
          <w:p>
            <w:pPr>
              <w:pStyle w:val="yTableNAm"/>
              <w:ind w:left="134"/>
              <w:rPr>
                <w:szCs w:val="22"/>
              </w:rPr>
            </w:pPr>
            <w:r>
              <w:rPr>
                <w:szCs w:val="22"/>
              </w:rPr>
              <w:t>division 1</w:t>
            </w:r>
          </w:p>
          <w:p>
            <w:pPr>
              <w:pStyle w:val="yTableNAm"/>
              <w:ind w:left="134"/>
              <w:rPr>
                <w:szCs w:val="22"/>
              </w:rPr>
            </w:pPr>
            <w:r>
              <w:rPr>
                <w:szCs w:val="22"/>
              </w:rPr>
              <w:t>division 2</w:t>
            </w:r>
          </w:p>
          <w:p>
            <w:pPr>
              <w:pStyle w:val="yTableNAm"/>
              <w:ind w:left="134"/>
              <w:rPr>
                <w:szCs w:val="22"/>
              </w:rPr>
            </w:pPr>
            <w:r>
              <w:rPr>
                <w:szCs w:val="22"/>
              </w:rPr>
              <w:t>division 3</w:t>
            </w:r>
          </w:p>
          <w:p>
            <w:pPr>
              <w:pStyle w:val="yTableNAm"/>
              <w:ind w:left="134"/>
              <w:rPr>
                <w:szCs w:val="22"/>
              </w:rPr>
            </w:pPr>
            <w:r>
              <w:rPr>
                <w:szCs w:val="22"/>
              </w:rPr>
              <w:t>division 4</w:t>
            </w:r>
          </w:p>
          <w:p>
            <w:pPr>
              <w:pStyle w:val="yTableNAm"/>
              <w:ind w:left="134"/>
              <w:rPr>
                <w:szCs w:val="22"/>
              </w:rPr>
            </w:pPr>
            <w:r>
              <w:rPr>
                <w:szCs w:val="22"/>
              </w:rPr>
              <w:t>division 5</w:t>
            </w:r>
          </w:p>
        </w:tc>
        <w:tc>
          <w:tcPr>
            <w:tcW w:w="2126" w:type="dxa"/>
          </w:tcPr>
          <w:p>
            <w:pPr>
              <w:pStyle w:val="yTableNAm"/>
              <w:ind w:left="134"/>
              <w:rPr>
                <w:szCs w:val="22"/>
              </w:rPr>
            </w:pPr>
          </w:p>
          <w:p>
            <w:pPr>
              <w:pStyle w:val="yTableNAm"/>
              <w:ind w:left="134"/>
              <w:rPr>
                <w:szCs w:val="22"/>
              </w:rPr>
            </w:pPr>
            <w:r>
              <w:rPr>
                <w:szCs w:val="22"/>
              </w:rPr>
              <w:t>1 in 2 760 681</w:t>
            </w:r>
          </w:p>
          <w:p>
            <w:pPr>
              <w:pStyle w:val="yTableNAm"/>
              <w:ind w:left="134"/>
              <w:rPr>
                <w:szCs w:val="22"/>
              </w:rPr>
            </w:pPr>
            <w:r>
              <w:rPr>
                <w:szCs w:val="22"/>
              </w:rPr>
              <w:t>1 in 460 114</w:t>
            </w:r>
          </w:p>
          <w:p>
            <w:pPr>
              <w:pStyle w:val="yTableNAm"/>
              <w:ind w:left="134"/>
              <w:rPr>
                <w:szCs w:val="22"/>
              </w:rPr>
            </w:pPr>
            <w:r>
              <w:rPr>
                <w:szCs w:val="22"/>
              </w:rPr>
              <w:t>1 in 14 842</w:t>
            </w:r>
          </w:p>
          <w:p>
            <w:pPr>
              <w:pStyle w:val="yTableNAm"/>
              <w:ind w:left="134"/>
              <w:rPr>
                <w:szCs w:val="22"/>
              </w:rPr>
            </w:pPr>
            <w:r>
              <w:rPr>
                <w:szCs w:val="22"/>
              </w:rPr>
              <w:t>1 in 371</w:t>
            </w:r>
          </w:p>
          <w:p>
            <w:pPr>
              <w:pStyle w:val="yTableNAm"/>
              <w:ind w:left="134"/>
              <w:rPr>
                <w:szCs w:val="22"/>
              </w:rPr>
            </w:pPr>
            <w:r>
              <w:rPr>
                <w:szCs w:val="22"/>
              </w:rPr>
              <w:t>1 in 297</w:t>
            </w:r>
          </w:p>
        </w:tc>
      </w:tr>
      <w:tr>
        <w:tc>
          <w:tcPr>
            <w:tcW w:w="4962" w:type="dxa"/>
          </w:tcPr>
          <w:p>
            <w:pPr>
              <w:pStyle w:val="yTableNAm"/>
              <w:ind w:left="134"/>
              <w:rPr>
                <w:szCs w:val="22"/>
              </w:rPr>
            </w:pPr>
            <w:r>
              <w:rPr>
                <w:szCs w:val="22"/>
              </w:rPr>
              <w:t>Systems range</w:t>
            </w:r>
          </w:p>
        </w:tc>
        <w:tc>
          <w:tcPr>
            <w:tcW w:w="2126" w:type="dxa"/>
          </w:tcPr>
          <w:p>
            <w:pPr>
              <w:pStyle w:val="yTableNAm"/>
              <w:ind w:left="134"/>
              <w:rPr>
                <w:szCs w:val="22"/>
              </w:rPr>
            </w:pPr>
            <w:r>
              <w:rPr>
                <w:szCs w:val="22"/>
              </w:rPr>
              <w:t>4</w:t>
            </w:r>
            <w:r>
              <w:rPr>
                <w:szCs w:val="22"/>
              </w:rPr>
              <w:noBreakHyphen/>
              <w:t>5/7</w:t>
            </w:r>
            <w:r>
              <w:rPr>
                <w:szCs w:val="22"/>
              </w:rPr>
              <w:noBreakHyphen/>
              <w:t>20 inclusive</w:t>
            </w:r>
          </w:p>
        </w:tc>
      </w:tr>
      <w:tr>
        <w:tc>
          <w:tcPr>
            <w:tcW w:w="4962" w:type="dxa"/>
          </w:tcPr>
          <w:p>
            <w:pPr>
              <w:pStyle w:val="yTableNAm"/>
              <w:ind w:left="134"/>
              <w:rPr>
                <w:szCs w:val="22"/>
              </w:rPr>
            </w:pPr>
            <w:r>
              <w:rPr>
                <w:szCs w:val="22"/>
              </w:rPr>
              <w:t>Multiweek options</w:t>
            </w:r>
          </w:p>
        </w:tc>
        <w:tc>
          <w:tcPr>
            <w:tcW w:w="2126" w:type="dxa"/>
          </w:tcPr>
          <w:p>
            <w:pPr>
              <w:pStyle w:val="yTableNAm"/>
              <w:ind w:left="134"/>
              <w:rPr>
                <w:szCs w:val="22"/>
              </w:rPr>
            </w:pPr>
            <w:r>
              <w:rPr>
                <w:szCs w:val="22"/>
              </w:rPr>
              <w:t>Up to 10 weeks</w:t>
            </w:r>
          </w:p>
        </w:tc>
      </w:tr>
      <w:tr>
        <w:tc>
          <w:tcPr>
            <w:tcW w:w="4962" w:type="dxa"/>
          </w:tcPr>
          <w:p>
            <w:pPr>
              <w:pStyle w:val="yTableNAm"/>
              <w:ind w:left="134"/>
              <w:rPr>
                <w:szCs w:val="22"/>
              </w:rPr>
            </w:pPr>
            <w:r>
              <w:rPr>
                <w:szCs w:val="22"/>
              </w:rPr>
              <w:t>Advance sales (maximum)</w:t>
            </w:r>
          </w:p>
        </w:tc>
        <w:tc>
          <w:tcPr>
            <w:tcW w:w="2126" w:type="dxa"/>
          </w:tcPr>
          <w:p>
            <w:pPr>
              <w:pStyle w:val="yTableNAm"/>
              <w:ind w:left="134"/>
              <w:rPr>
                <w:szCs w:val="22"/>
              </w:rPr>
            </w:pPr>
            <w:r>
              <w:rPr>
                <w:szCs w:val="22"/>
              </w:rPr>
              <w:t>10 weeks</w:t>
            </w:r>
          </w:p>
        </w:tc>
      </w:tr>
      <w:tr>
        <w:tc>
          <w:tcPr>
            <w:tcW w:w="4962" w:type="dxa"/>
          </w:tcPr>
          <w:p>
            <w:pPr>
              <w:pStyle w:val="yTableNAm"/>
              <w:ind w:left="134"/>
              <w:rPr>
                <w:szCs w:val="22"/>
              </w:rPr>
            </w:pPr>
            <w:r>
              <w:rPr>
                <w:szCs w:val="22"/>
              </w:rPr>
              <w:t>Games per playslip (minimum)</w:t>
            </w:r>
          </w:p>
        </w:tc>
        <w:tc>
          <w:tcPr>
            <w:tcW w:w="2126" w:type="dxa"/>
          </w:tcPr>
          <w:p>
            <w:pPr>
              <w:pStyle w:val="yTableNAm"/>
              <w:ind w:left="134"/>
              <w:rPr>
                <w:szCs w:val="22"/>
              </w:rPr>
            </w:pPr>
            <w:r>
              <w:rPr>
                <w:szCs w:val="22"/>
              </w:rPr>
              <w:t>2</w:t>
            </w:r>
          </w:p>
        </w:tc>
      </w:tr>
      <w:tr>
        <w:tc>
          <w:tcPr>
            <w:tcW w:w="4962" w:type="dxa"/>
          </w:tcPr>
          <w:p>
            <w:pPr>
              <w:pStyle w:val="yTableNAm"/>
              <w:ind w:left="134"/>
              <w:rPr>
                <w:szCs w:val="22"/>
              </w:rPr>
            </w:pPr>
            <w:r>
              <w:rPr>
                <w:szCs w:val="22"/>
              </w:rPr>
              <w:t>System entries per playslip (minimum)</w:t>
            </w:r>
          </w:p>
        </w:tc>
        <w:tc>
          <w:tcPr>
            <w:tcW w:w="2126" w:type="dxa"/>
          </w:tcPr>
          <w:p>
            <w:pPr>
              <w:pStyle w:val="yTableNAm"/>
              <w:ind w:left="134"/>
              <w:rPr>
                <w:szCs w:val="22"/>
              </w:rPr>
            </w:pPr>
            <w:r>
              <w:rPr>
                <w:szCs w:val="22"/>
              </w:rPr>
              <w:t>1</w:t>
            </w:r>
          </w:p>
        </w:tc>
      </w:tr>
      <w:tr>
        <w:tc>
          <w:tcPr>
            <w:tcW w:w="4962" w:type="dxa"/>
          </w:tcPr>
          <w:p>
            <w:pPr>
              <w:pStyle w:val="yTableNAm"/>
              <w:ind w:left="134"/>
              <w:rPr>
                <w:szCs w:val="22"/>
              </w:rPr>
            </w:pPr>
            <w:r>
              <w:rPr>
                <w:szCs w:val="22"/>
              </w:rPr>
              <w:t>Games per playslip (maximum)</w:t>
            </w:r>
          </w:p>
        </w:tc>
        <w:tc>
          <w:tcPr>
            <w:tcW w:w="2126" w:type="dxa"/>
          </w:tcPr>
          <w:p>
            <w:pPr>
              <w:pStyle w:val="yTableNAm"/>
              <w:ind w:left="134"/>
              <w:rPr>
                <w:szCs w:val="22"/>
              </w:rPr>
            </w:pPr>
            <w:r>
              <w:rPr>
                <w:szCs w:val="22"/>
              </w:rPr>
              <w:t>18</w:t>
            </w:r>
          </w:p>
        </w:tc>
      </w:tr>
      <w:tr>
        <w:tc>
          <w:tcPr>
            <w:tcW w:w="4962" w:type="dxa"/>
          </w:tcPr>
          <w:p>
            <w:pPr>
              <w:pStyle w:val="yTableNAm"/>
              <w:ind w:left="134"/>
              <w:rPr>
                <w:szCs w:val="22"/>
              </w:rPr>
            </w:pPr>
            <w:r>
              <w:rPr>
                <w:szCs w:val="22"/>
              </w:rPr>
              <w:t>System entries per playslip (maximum)</w:t>
            </w:r>
          </w:p>
        </w:tc>
        <w:tc>
          <w:tcPr>
            <w:tcW w:w="2126" w:type="dxa"/>
          </w:tcPr>
          <w:p>
            <w:pPr>
              <w:pStyle w:val="yTableNAm"/>
              <w:ind w:left="134"/>
              <w:rPr>
                <w:szCs w:val="22"/>
              </w:rPr>
            </w:pPr>
            <w:r>
              <w:rPr>
                <w:szCs w:val="22"/>
              </w:rPr>
              <w:t>18 (</w:t>
            </w:r>
            <w:r>
              <w:rPr>
                <w:i/>
                <w:szCs w:val="22"/>
              </w:rPr>
              <w:t>subject to the maximum aggregate entry cost</w:t>
            </w:r>
            <w:r>
              <w:rPr>
                <w:szCs w:val="22"/>
              </w:rPr>
              <w:t>)</w:t>
            </w:r>
          </w:p>
        </w:tc>
      </w:tr>
      <w:tr>
        <w:tc>
          <w:tcPr>
            <w:tcW w:w="4962" w:type="dxa"/>
          </w:tcPr>
          <w:p>
            <w:pPr>
              <w:pStyle w:val="yTableNAm"/>
              <w:ind w:left="134"/>
              <w:rPr>
                <w:szCs w:val="22"/>
              </w:rPr>
            </w:pPr>
            <w:r>
              <w:rPr>
                <w:szCs w:val="22"/>
              </w:rPr>
              <w:t>Games per oral request (</w:t>
            </w:r>
            <w:r>
              <w:rPr>
                <w:i/>
                <w:szCs w:val="22"/>
              </w:rPr>
              <w:t>if available</w:t>
            </w:r>
            <w:r>
              <w:rPr>
                <w:szCs w:val="22"/>
              </w:rPr>
              <w:t>)</w:t>
            </w:r>
          </w:p>
        </w:tc>
        <w:tc>
          <w:tcPr>
            <w:tcW w:w="2126" w:type="dxa"/>
          </w:tcPr>
          <w:p>
            <w:pPr>
              <w:pStyle w:val="yTableNAm"/>
              <w:ind w:left="134"/>
              <w:rPr>
                <w:szCs w:val="22"/>
              </w:rPr>
            </w:pPr>
            <w:r>
              <w:rPr>
                <w:szCs w:val="22"/>
              </w:rPr>
              <w:t>2 to 50</w:t>
            </w:r>
          </w:p>
        </w:tc>
      </w:tr>
      <w:tr>
        <w:tc>
          <w:tcPr>
            <w:tcW w:w="4962" w:type="dxa"/>
          </w:tcPr>
          <w:p>
            <w:pPr>
              <w:pStyle w:val="yTableNAm"/>
              <w:ind w:left="134"/>
              <w:rPr>
                <w:szCs w:val="22"/>
              </w:rPr>
            </w:pPr>
            <w:r>
              <w:rPr>
                <w:szCs w:val="22"/>
              </w:rPr>
              <w:t>Syndicate entries may be purchased (</w:t>
            </w:r>
            <w:r>
              <w:rPr>
                <w:i/>
                <w:szCs w:val="22"/>
              </w:rPr>
              <w:t>if available</w:t>
            </w:r>
            <w:r>
              <w:rPr>
                <w:szCs w:val="22"/>
              </w:rPr>
              <w:t>)</w:t>
            </w:r>
          </w:p>
        </w:tc>
        <w:tc>
          <w:tcPr>
            <w:tcW w:w="2126" w:type="dxa"/>
          </w:tcPr>
          <w:p>
            <w:pPr>
              <w:pStyle w:val="yTableNAm"/>
              <w:ind w:left="134"/>
              <w:rPr>
                <w:szCs w:val="22"/>
              </w:rPr>
            </w:pPr>
            <w:r>
              <w:rPr>
                <w:szCs w:val="22"/>
              </w:rPr>
              <w:t>(see Part 2 Division 3)</w:t>
            </w:r>
          </w:p>
        </w:tc>
      </w:tr>
      <w:tr>
        <w:tc>
          <w:tcPr>
            <w:tcW w:w="4962" w:type="dxa"/>
          </w:tcPr>
          <w:p>
            <w:pPr>
              <w:pStyle w:val="yTableNAm"/>
              <w:ind w:left="134"/>
              <w:rPr>
                <w:szCs w:val="22"/>
              </w:rPr>
            </w:pPr>
            <w:r>
              <w:rPr>
                <w:szCs w:val="22"/>
              </w:rPr>
              <w:t>System entries per oral request</w:t>
            </w:r>
          </w:p>
        </w:tc>
        <w:tc>
          <w:tcPr>
            <w:tcW w:w="2126" w:type="dxa"/>
          </w:tcPr>
          <w:p>
            <w:pPr>
              <w:pStyle w:val="yTableNAm"/>
              <w:ind w:left="134"/>
              <w:rPr>
                <w:szCs w:val="22"/>
              </w:rPr>
            </w:pPr>
            <w:r>
              <w:rPr>
                <w:szCs w:val="22"/>
              </w:rPr>
              <w:t>Up to 50</w:t>
            </w:r>
          </w:p>
        </w:tc>
      </w:tr>
      <w:tr>
        <w:tc>
          <w:tcPr>
            <w:tcW w:w="4962" w:type="dxa"/>
          </w:tcPr>
          <w:p>
            <w:pPr>
              <w:pStyle w:val="yTableNAm"/>
              <w:ind w:left="134"/>
              <w:rPr>
                <w:szCs w:val="22"/>
              </w:rPr>
            </w:pPr>
            <w:r>
              <w:rPr>
                <w:szCs w:val="22"/>
              </w:rPr>
              <w:t>Prize payout period</w:t>
            </w:r>
          </w:p>
        </w:tc>
        <w:tc>
          <w:tcPr>
            <w:tcW w:w="2126" w:type="dxa"/>
          </w:tcPr>
          <w:p>
            <w:pPr>
              <w:pStyle w:val="yTableNAm"/>
              <w:ind w:left="134"/>
              <w:rPr>
                <w:szCs w:val="22"/>
              </w:rPr>
            </w:pPr>
            <w:r>
              <w:rPr>
                <w:szCs w:val="22"/>
              </w:rPr>
              <w:t>12 months</w:t>
            </w:r>
          </w:p>
        </w:tc>
      </w:tr>
      <w:tr>
        <w:tc>
          <w:tcPr>
            <w:tcW w:w="4962" w:type="dxa"/>
          </w:tcPr>
          <w:p>
            <w:pPr>
              <w:pStyle w:val="yTableNAm"/>
              <w:ind w:left="134"/>
              <w:rPr>
                <w:szCs w:val="22"/>
              </w:rPr>
            </w:pPr>
            <w:r>
              <w:rPr>
                <w:szCs w:val="22"/>
              </w:rPr>
              <w:t>Maximum aggregate entry cost</w:t>
            </w:r>
          </w:p>
        </w:tc>
        <w:tc>
          <w:tcPr>
            <w:tcW w:w="2126" w:type="dxa"/>
          </w:tcPr>
          <w:p>
            <w:pPr>
              <w:pStyle w:val="yTableNAm"/>
              <w:ind w:left="134"/>
              <w:rPr>
                <w:szCs w:val="22"/>
              </w:rPr>
            </w:pPr>
            <w:r>
              <w:rPr>
                <w:szCs w:val="22"/>
              </w:rPr>
              <w:t>$100 000</w:t>
            </w:r>
          </w:p>
        </w:tc>
      </w:tr>
    </w:tbl>
    <w:p>
      <w:pPr>
        <w:pStyle w:val="yFootnotesection"/>
      </w:pPr>
      <w:r>
        <w:tab/>
        <w:t>[Division 3 amended: Gazette 4 Oct 2017 p. 5149</w:t>
      </w:r>
      <w:r>
        <w:noBreakHyphen/>
        <w:t>50.]</w:t>
      </w:r>
    </w:p>
    <w:p>
      <w:pPr>
        <w:pStyle w:val="yScheduleHeading"/>
        <w:spacing w:after="240"/>
      </w:pPr>
      <w:bookmarkStart w:id="858" w:name="_Toc34139650"/>
      <w:bookmarkStart w:id="859" w:name="_Toc34139862"/>
      <w:bookmarkStart w:id="860" w:name="_Toc34148039"/>
      <w:bookmarkStart w:id="861" w:name="_Toc34207592"/>
      <w:bookmarkStart w:id="862" w:name="_Toc34291587"/>
      <w:bookmarkStart w:id="863" w:name="_Toc25657495"/>
      <w:bookmarkStart w:id="864" w:name="_Toc25760961"/>
      <w:bookmarkStart w:id="865" w:name="_Toc25761290"/>
      <w:r>
        <w:rPr>
          <w:rStyle w:val="CharSchNo"/>
        </w:rPr>
        <w:t>Schedule 9</w:t>
      </w:r>
      <w:r>
        <w:rPr>
          <w:rStyle w:val="CharSDivNo"/>
        </w:rPr>
        <w:t> </w:t>
      </w:r>
      <w:r>
        <w:t>—</w:t>
      </w:r>
      <w:r>
        <w:rPr>
          <w:rStyle w:val="CharSDivText"/>
        </w:rPr>
        <w:t> </w:t>
      </w:r>
      <w:r>
        <w:rPr>
          <w:rStyle w:val="CharSchText"/>
        </w:rPr>
        <w:t>Summary of parameters within which Super66 is conducted</w:t>
      </w:r>
      <w:bookmarkEnd w:id="858"/>
      <w:bookmarkEnd w:id="859"/>
      <w:bookmarkEnd w:id="860"/>
      <w:bookmarkEnd w:id="861"/>
      <w:bookmarkEnd w:id="862"/>
      <w:bookmarkEnd w:id="863"/>
      <w:bookmarkEnd w:id="864"/>
      <w:bookmarkEnd w:id="865"/>
    </w:p>
    <w:tbl>
      <w:tblPr>
        <w:tblW w:w="6804" w:type="dxa"/>
        <w:tblInd w:w="142" w:type="dxa"/>
        <w:tblLayout w:type="fixed"/>
        <w:tblCellMar>
          <w:left w:w="0" w:type="dxa"/>
          <w:right w:w="0" w:type="dxa"/>
        </w:tblCellMar>
        <w:tblLook w:val="0000" w:firstRow="0" w:lastRow="0" w:firstColumn="0" w:lastColumn="0" w:noHBand="0" w:noVBand="0"/>
      </w:tblPr>
      <w:tblGrid>
        <w:gridCol w:w="4119"/>
        <w:gridCol w:w="2685"/>
      </w:tblGrid>
      <w:tr>
        <w:tc>
          <w:tcPr>
            <w:tcW w:w="4119" w:type="dxa"/>
          </w:tcPr>
          <w:p>
            <w:pPr>
              <w:pStyle w:val="yTableNAm"/>
              <w:ind w:left="142"/>
            </w:pPr>
            <w:r>
              <w:t>Unit cost</w:t>
            </w:r>
          </w:p>
        </w:tc>
        <w:tc>
          <w:tcPr>
            <w:tcW w:w="2685" w:type="dxa"/>
          </w:tcPr>
          <w:p>
            <w:pPr>
              <w:pStyle w:val="yTableNAm"/>
              <w:ind w:left="142"/>
            </w:pPr>
            <w:r>
              <w:t xml:space="preserve">$1.00 </w:t>
            </w:r>
            <w:r>
              <w:rPr>
                <w:szCs w:val="22"/>
              </w:rPr>
              <w:t>(inclusive of agent’s commission)</w:t>
            </w:r>
          </w:p>
        </w:tc>
      </w:tr>
      <w:tr>
        <w:tc>
          <w:tcPr>
            <w:tcW w:w="4119" w:type="dxa"/>
          </w:tcPr>
          <w:p>
            <w:pPr>
              <w:pStyle w:val="yTableNAm"/>
              <w:ind w:left="142"/>
            </w:pPr>
            <w:r>
              <w:t>Prize fund — % of subscriptions</w:t>
            </w:r>
          </w:p>
        </w:tc>
        <w:tc>
          <w:tcPr>
            <w:tcW w:w="2685" w:type="dxa"/>
          </w:tcPr>
          <w:p>
            <w:pPr>
              <w:pStyle w:val="yTableNAm"/>
              <w:ind w:left="142"/>
            </w:pPr>
            <w:r>
              <w:t>60.0%</w:t>
            </w:r>
          </w:p>
        </w:tc>
      </w:tr>
      <w:tr>
        <w:tblPrEx>
          <w:tblCellMar>
            <w:left w:w="141" w:type="dxa"/>
            <w:right w:w="141" w:type="dxa"/>
          </w:tblCellMar>
        </w:tblPrEx>
        <w:tc>
          <w:tcPr>
            <w:tcW w:w="4119" w:type="dxa"/>
          </w:tcPr>
          <w:p>
            <w:pPr>
              <w:pStyle w:val="yTableNAm"/>
              <w:ind w:left="1"/>
            </w:pPr>
            <w:r>
              <w:t>Prize pool — % of subscriptions</w:t>
            </w:r>
          </w:p>
        </w:tc>
        <w:tc>
          <w:tcPr>
            <w:tcW w:w="2685" w:type="dxa"/>
          </w:tcPr>
          <w:p>
            <w:pPr>
              <w:pStyle w:val="yTableNAm"/>
              <w:ind w:left="1"/>
            </w:pPr>
            <w:r>
              <w:t>no less than 55.0%</w:t>
            </w:r>
          </w:p>
        </w:tc>
      </w:tr>
      <w:tr>
        <w:tblPrEx>
          <w:tblCellMar>
            <w:left w:w="141" w:type="dxa"/>
            <w:right w:w="141" w:type="dxa"/>
          </w:tblCellMar>
        </w:tblPrEx>
        <w:tc>
          <w:tcPr>
            <w:tcW w:w="4119" w:type="dxa"/>
          </w:tcPr>
          <w:p>
            <w:pPr>
              <w:pStyle w:val="yTableNAm"/>
              <w:ind w:left="1"/>
            </w:pPr>
            <w:r>
              <w:t>Prize reserve fund — % of subscriptions</w:t>
            </w:r>
          </w:p>
        </w:tc>
        <w:tc>
          <w:tcPr>
            <w:tcW w:w="2685" w:type="dxa"/>
          </w:tcPr>
          <w:p>
            <w:pPr>
              <w:pStyle w:val="yTableNAm"/>
              <w:ind w:left="1"/>
            </w:pPr>
            <w:r>
              <w:t xml:space="preserve">balance of prize fund </w:t>
            </w:r>
            <w:r>
              <w:br/>
              <w:t>after prize pool</w:t>
            </w:r>
            <w:r>
              <w:br/>
              <w:t>(up to 5.0%)</w:t>
            </w:r>
          </w:p>
        </w:tc>
      </w:tr>
      <w:tr>
        <w:tc>
          <w:tcPr>
            <w:tcW w:w="4119" w:type="dxa"/>
          </w:tcPr>
          <w:p>
            <w:pPr>
              <w:pStyle w:val="yTableNAm"/>
              <w:ind w:left="142"/>
            </w:pPr>
            <w:r>
              <w:t>Number of divisions</w:t>
            </w:r>
          </w:p>
        </w:tc>
        <w:tc>
          <w:tcPr>
            <w:tcW w:w="2685" w:type="dxa"/>
          </w:tcPr>
          <w:p>
            <w:pPr>
              <w:pStyle w:val="yTableNAm"/>
              <w:ind w:left="142"/>
            </w:pPr>
            <w:r>
              <w:t>5</w:t>
            </w:r>
          </w:p>
        </w:tc>
      </w:tr>
      <w:tr>
        <w:tc>
          <w:tcPr>
            <w:tcW w:w="4119" w:type="dxa"/>
          </w:tcPr>
          <w:p>
            <w:pPr>
              <w:pStyle w:val="yTableNAm"/>
              <w:ind w:left="142"/>
            </w:pPr>
            <w:r>
              <w:t>Prize per winning game — </w:t>
            </w:r>
          </w:p>
          <w:p>
            <w:pPr>
              <w:pStyle w:val="yTableNAm"/>
              <w:ind w:left="142"/>
            </w:pPr>
            <w:r>
              <w:t>division 1</w:t>
            </w:r>
          </w:p>
          <w:p>
            <w:pPr>
              <w:pStyle w:val="yTableNAm"/>
              <w:ind w:left="142"/>
            </w:pPr>
            <w:r>
              <w:t>division 2</w:t>
            </w:r>
          </w:p>
          <w:p>
            <w:pPr>
              <w:pStyle w:val="yTableNAm"/>
              <w:ind w:left="142"/>
            </w:pPr>
            <w:r>
              <w:t>division 3</w:t>
            </w:r>
          </w:p>
          <w:p>
            <w:pPr>
              <w:pStyle w:val="yTableNAm"/>
              <w:ind w:left="142"/>
            </w:pPr>
            <w:r>
              <w:t>division 4</w:t>
            </w:r>
          </w:p>
          <w:p>
            <w:pPr>
              <w:pStyle w:val="yTableNAm"/>
              <w:ind w:left="142"/>
            </w:pPr>
            <w:r>
              <w:t>division 5</w:t>
            </w:r>
          </w:p>
        </w:tc>
        <w:tc>
          <w:tcPr>
            <w:tcW w:w="2685" w:type="dxa"/>
          </w:tcPr>
          <w:p>
            <w:pPr>
              <w:pStyle w:val="yTableNAm"/>
              <w:ind w:left="142"/>
            </w:pPr>
          </w:p>
          <w:p>
            <w:pPr>
              <w:pStyle w:val="yTableNAm"/>
              <w:ind w:left="142"/>
            </w:pPr>
            <w:r>
              <w:t>Balance of total prize pool</w:t>
            </w:r>
          </w:p>
          <w:p>
            <w:pPr>
              <w:pStyle w:val="yTableNAm"/>
              <w:ind w:left="142"/>
            </w:pPr>
            <w:r>
              <w:t>$6 666.00</w:t>
            </w:r>
          </w:p>
          <w:p>
            <w:pPr>
              <w:pStyle w:val="yTableNAm"/>
              <w:ind w:left="142"/>
            </w:pPr>
            <w:r>
              <w:t>$666.00</w:t>
            </w:r>
          </w:p>
          <w:p>
            <w:pPr>
              <w:pStyle w:val="yTableNAm"/>
              <w:ind w:left="142"/>
            </w:pPr>
            <w:r>
              <w:t>$66.00</w:t>
            </w:r>
          </w:p>
          <w:p>
            <w:pPr>
              <w:pStyle w:val="yTableNAm"/>
              <w:ind w:left="142"/>
            </w:pPr>
            <w:r>
              <w:t>$6.60</w:t>
            </w:r>
          </w:p>
        </w:tc>
      </w:tr>
      <w:tr>
        <w:tc>
          <w:tcPr>
            <w:tcW w:w="4119" w:type="dxa"/>
          </w:tcPr>
          <w:p>
            <w:pPr>
              <w:pStyle w:val="yTableNAm"/>
              <w:ind w:left="142"/>
            </w:pPr>
            <w:r>
              <w:t>Winning digits drawn</w:t>
            </w:r>
          </w:p>
        </w:tc>
        <w:tc>
          <w:tcPr>
            <w:tcW w:w="2685" w:type="dxa"/>
          </w:tcPr>
          <w:p>
            <w:pPr>
              <w:pStyle w:val="yTableNAm"/>
              <w:ind w:left="142"/>
            </w:pPr>
            <w:r>
              <w:t>6</w:t>
            </w:r>
          </w:p>
        </w:tc>
      </w:tr>
      <w:tr>
        <w:tc>
          <w:tcPr>
            <w:tcW w:w="4119" w:type="dxa"/>
          </w:tcPr>
          <w:p>
            <w:pPr>
              <w:pStyle w:val="yTableNAm"/>
              <w:ind w:left="142"/>
            </w:pPr>
            <w:r>
              <w:t>Forecast range </w:t>
            </w:r>
          </w:p>
        </w:tc>
        <w:tc>
          <w:tcPr>
            <w:tcW w:w="2685" w:type="dxa"/>
          </w:tcPr>
          <w:p>
            <w:pPr>
              <w:pStyle w:val="yTableNAm"/>
              <w:ind w:left="142"/>
            </w:pPr>
            <w:r>
              <w:t>0 to 9 for each digit</w:t>
            </w:r>
          </w:p>
        </w:tc>
      </w:tr>
      <w:tr>
        <w:tc>
          <w:tcPr>
            <w:tcW w:w="4119" w:type="dxa"/>
          </w:tcPr>
          <w:p>
            <w:pPr>
              <w:pStyle w:val="yTableNAm"/>
              <w:ind w:left="142"/>
            </w:pPr>
            <w:r>
              <w:t xml:space="preserve">Multiweek options </w:t>
            </w:r>
          </w:p>
        </w:tc>
        <w:tc>
          <w:tcPr>
            <w:tcW w:w="2685" w:type="dxa"/>
          </w:tcPr>
          <w:p>
            <w:pPr>
              <w:pStyle w:val="yTableNAm"/>
              <w:ind w:left="142"/>
            </w:pPr>
            <w:r>
              <w:rPr>
                <w:szCs w:val="22"/>
              </w:rPr>
              <w:t>Up to</w:t>
            </w:r>
            <w:r>
              <w:t xml:space="preserve"> 10 weeks</w:t>
            </w:r>
          </w:p>
        </w:tc>
      </w:tr>
      <w:tr>
        <w:tc>
          <w:tcPr>
            <w:tcW w:w="4119" w:type="dxa"/>
          </w:tcPr>
          <w:p>
            <w:pPr>
              <w:pStyle w:val="yTableNAm"/>
              <w:ind w:left="142"/>
            </w:pPr>
            <w:r>
              <w:t>Advance sales (maximum)</w:t>
            </w:r>
          </w:p>
        </w:tc>
        <w:tc>
          <w:tcPr>
            <w:tcW w:w="2685" w:type="dxa"/>
          </w:tcPr>
          <w:p>
            <w:pPr>
              <w:pStyle w:val="yTableNAm"/>
              <w:ind w:left="142"/>
            </w:pPr>
            <w:r>
              <w:t>10 weeks</w:t>
            </w:r>
          </w:p>
        </w:tc>
      </w:tr>
      <w:tr>
        <w:tc>
          <w:tcPr>
            <w:tcW w:w="4119" w:type="dxa"/>
          </w:tcPr>
          <w:p>
            <w:pPr>
              <w:pStyle w:val="yTableNAm"/>
              <w:ind w:left="142"/>
            </w:pPr>
            <w:r>
              <w:t>Games per entry (minimum) (may depend on the coupon used)</w:t>
            </w:r>
          </w:p>
        </w:tc>
        <w:tc>
          <w:tcPr>
            <w:tcW w:w="2685" w:type="dxa"/>
          </w:tcPr>
          <w:p>
            <w:pPr>
              <w:pStyle w:val="yTableNAm"/>
              <w:ind w:left="142"/>
            </w:pPr>
            <w:r>
              <w:br/>
              <w:t>1</w:t>
            </w:r>
          </w:p>
        </w:tc>
      </w:tr>
      <w:tr>
        <w:tc>
          <w:tcPr>
            <w:tcW w:w="4119" w:type="dxa"/>
          </w:tcPr>
          <w:p>
            <w:pPr>
              <w:pStyle w:val="yTableNAm"/>
              <w:ind w:left="142"/>
            </w:pPr>
            <w:r>
              <w:t>Games per entry (maximum) (may depend on the coupon used)</w:t>
            </w:r>
          </w:p>
        </w:tc>
        <w:tc>
          <w:tcPr>
            <w:tcW w:w="2685" w:type="dxa"/>
          </w:tcPr>
          <w:p>
            <w:pPr>
              <w:pStyle w:val="yTableNAm"/>
              <w:ind w:left="142"/>
            </w:pPr>
            <w:r>
              <w:br/>
              <w:t>50</w:t>
            </w:r>
          </w:p>
        </w:tc>
      </w:tr>
      <w:tr>
        <w:tc>
          <w:tcPr>
            <w:tcW w:w="4119" w:type="dxa"/>
          </w:tcPr>
          <w:p>
            <w:pPr>
              <w:pStyle w:val="yTableNAm"/>
              <w:ind w:left="142"/>
            </w:pPr>
            <w:r>
              <w:t>Prize payout period</w:t>
            </w:r>
          </w:p>
        </w:tc>
        <w:tc>
          <w:tcPr>
            <w:tcW w:w="2685" w:type="dxa"/>
          </w:tcPr>
          <w:p>
            <w:pPr>
              <w:pStyle w:val="yTableNAm"/>
              <w:ind w:left="142"/>
            </w:pPr>
            <w:r>
              <w:t>12 months</w:t>
            </w:r>
          </w:p>
        </w:tc>
      </w:tr>
    </w:tbl>
    <w:p>
      <w:pPr>
        <w:pStyle w:val="yFootnotesection"/>
      </w:pPr>
      <w:r>
        <w:tab/>
        <w:t>[Schedule 9 amended: Gazette 4 Oct 2017 p. 5150.]</w:t>
      </w:r>
    </w:p>
    <w:p>
      <w:pPr>
        <w:pStyle w:val="Subsection"/>
        <w:rPr>
          <w:del w:id="866" w:author="Master Repository Process" w:date="2021-08-29T01:56:00Z"/>
        </w:rPr>
      </w:pPr>
    </w:p>
    <w:p>
      <w:pPr>
        <w:pStyle w:val="CentredBaseLine"/>
        <w:jc w:val="center"/>
      </w:pPr>
      <w:r>
        <w:rPr>
          <w:noProof/>
        </w:rPr>
        <w:drawing>
          <wp:inline distT="0" distB="0" distL="0" distR="0">
            <wp:extent cx="933450" cy="1714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22"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pPr>
        <w:pStyle w:val="Subsection"/>
        <w:sectPr>
          <w:headerReference w:type="even" r:id="rId23"/>
          <w:headerReference w:type="default" r:id="rId24"/>
          <w:pgSz w:w="11907" w:h="16840" w:code="9"/>
          <w:pgMar w:top="2381" w:right="2410" w:bottom="3544" w:left="2410" w:header="720" w:footer="3544" w:gutter="0"/>
          <w:cols w:space="720"/>
        </w:sectPr>
      </w:pPr>
    </w:p>
    <w:p>
      <w:pPr>
        <w:pStyle w:val="nHeading2"/>
      </w:pPr>
      <w:bookmarkStart w:id="868" w:name="_Toc34139651"/>
      <w:bookmarkStart w:id="869" w:name="_Toc34139863"/>
      <w:bookmarkStart w:id="870" w:name="_Toc34148040"/>
      <w:bookmarkStart w:id="871" w:name="_Toc34207593"/>
      <w:bookmarkStart w:id="872" w:name="_Toc34291588"/>
      <w:bookmarkStart w:id="873" w:name="_Toc25657496"/>
      <w:bookmarkStart w:id="874" w:name="_Toc25760962"/>
      <w:bookmarkStart w:id="875" w:name="_Toc25761291"/>
      <w:r>
        <w:t>Notes</w:t>
      </w:r>
      <w:bookmarkEnd w:id="868"/>
      <w:bookmarkEnd w:id="869"/>
      <w:bookmarkEnd w:id="870"/>
      <w:bookmarkEnd w:id="871"/>
      <w:bookmarkEnd w:id="872"/>
      <w:bookmarkEnd w:id="873"/>
      <w:bookmarkEnd w:id="874"/>
      <w:bookmarkEnd w:id="875"/>
    </w:p>
    <w:p>
      <w:pPr>
        <w:pStyle w:val="nStatement"/>
      </w:pPr>
      <w:del w:id="876" w:author="Master Repository Process" w:date="2021-08-29T01:56:00Z">
        <w:r>
          <w:rPr>
            <w:vertAlign w:val="superscript"/>
          </w:rPr>
          <w:delText>1</w:delText>
        </w:r>
        <w:r>
          <w:tab/>
        </w:r>
      </w:del>
      <w:r>
        <w:t xml:space="preserve">This is a compilation of the </w:t>
      </w:r>
      <w:r>
        <w:rPr>
          <w:i/>
          <w:noProof/>
        </w:rPr>
        <w:t>Lotteries Commission (Authorised Lotteries) Rules 2016</w:t>
      </w:r>
      <w:r>
        <w:t xml:space="preserve"> and includes </w:t>
      </w:r>
      <w:del w:id="877" w:author="Master Repository Process" w:date="2021-08-29T01:56:00Z">
        <w:r>
          <w:delText xml:space="preserve">the </w:delText>
        </w:r>
      </w:del>
      <w:r>
        <w:t xml:space="preserve">amendments made by </w:t>
      </w:r>
      <w:del w:id="878" w:author="Master Repository Process" w:date="2021-08-29T01:56:00Z">
        <w:r>
          <w:delText xml:space="preserve">the </w:delText>
        </w:r>
      </w:del>
      <w:r>
        <w:t>other written laws</w:t>
      </w:r>
      <w:del w:id="879" w:author="Master Repository Process" w:date="2021-08-29T01:56:00Z">
        <w:r>
          <w:delText xml:space="preserve"> referred to in the following</w:delText>
        </w:r>
      </w:del>
      <w:ins w:id="880" w:author="Master Repository Process" w:date="2021-08-29T01:56:00Z">
        <w:r>
          <w:t>. For provisions that have come into operation see the compilation table. For provisions that have not yet come into operation see the uncommenced provisions</w:t>
        </w:r>
      </w:ins>
      <w:r>
        <w:t xml:space="preserve"> table.</w:t>
      </w:r>
    </w:p>
    <w:p>
      <w:pPr>
        <w:pStyle w:val="nHeading3"/>
      </w:pPr>
      <w:bookmarkStart w:id="881" w:name="_Toc34291589"/>
      <w:bookmarkStart w:id="882" w:name="_Toc25761292"/>
      <w:r>
        <w:t>Compilation table</w:t>
      </w:r>
      <w:bookmarkEnd w:id="881"/>
      <w:bookmarkEnd w:id="882"/>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Gazettal</w:t>
            </w:r>
          </w:p>
        </w:tc>
        <w:tc>
          <w:tcPr>
            <w:tcW w:w="2693" w:type="dxa"/>
          </w:tcPr>
          <w:p>
            <w:pPr>
              <w:pStyle w:val="nTable"/>
              <w:spacing w:after="40"/>
              <w:rPr>
                <w:b/>
              </w:rPr>
            </w:pPr>
            <w:r>
              <w:rPr>
                <w:b/>
              </w:rPr>
              <w:t>Commencement</w:t>
            </w:r>
          </w:p>
        </w:tc>
      </w:tr>
      <w:tr>
        <w:tc>
          <w:tcPr>
            <w:tcW w:w="3118" w:type="dxa"/>
            <w:tcBorders>
              <w:bottom w:val="nil"/>
            </w:tcBorders>
          </w:tcPr>
          <w:p>
            <w:pPr>
              <w:pStyle w:val="nTable"/>
              <w:spacing w:after="40"/>
            </w:pPr>
            <w:r>
              <w:rPr>
                <w:i/>
                <w:noProof/>
              </w:rPr>
              <w:t>Lotteries Commission (Authorised Lotteries) Rules 2016</w:t>
            </w:r>
          </w:p>
        </w:tc>
        <w:tc>
          <w:tcPr>
            <w:tcW w:w="1276" w:type="dxa"/>
            <w:tcBorders>
              <w:bottom w:val="nil"/>
            </w:tcBorders>
          </w:tcPr>
          <w:p>
            <w:pPr>
              <w:pStyle w:val="nTable"/>
              <w:spacing w:after="40"/>
            </w:pPr>
            <w:r>
              <w:t>7 Oct 2016 p. 4405</w:t>
            </w:r>
            <w:r>
              <w:noBreakHyphen/>
              <w:t>527</w:t>
            </w:r>
          </w:p>
        </w:tc>
        <w:tc>
          <w:tcPr>
            <w:tcW w:w="2693" w:type="dxa"/>
            <w:tcBorders>
              <w:bottom w:val="nil"/>
            </w:tcBorders>
          </w:tcPr>
          <w:p>
            <w:pPr>
              <w:pStyle w:val="nTable"/>
              <w:spacing w:after="40"/>
            </w:pPr>
            <w:r>
              <w:t>r. 1 and 2: 7 Oct 2016 (see r. 2(a));</w:t>
            </w:r>
            <w:r>
              <w:br/>
              <w:t>Rules other than r. 1 and 2: 8 Oct 2016 (see r. 2(b))</w:t>
            </w:r>
          </w:p>
        </w:tc>
      </w:tr>
      <w:tr>
        <w:tc>
          <w:tcPr>
            <w:tcW w:w="3118" w:type="dxa"/>
            <w:tcBorders>
              <w:top w:val="nil"/>
              <w:bottom w:val="nil"/>
            </w:tcBorders>
          </w:tcPr>
          <w:p>
            <w:pPr>
              <w:pStyle w:val="nTable"/>
              <w:spacing w:after="40"/>
              <w:rPr>
                <w:i/>
                <w:noProof/>
              </w:rPr>
            </w:pPr>
            <w:r>
              <w:rPr>
                <w:i/>
              </w:rPr>
              <w:t>Lotteries Commission (Authorised Lotteries) Amendment Rules 2017</w:t>
            </w:r>
          </w:p>
        </w:tc>
        <w:tc>
          <w:tcPr>
            <w:tcW w:w="1276" w:type="dxa"/>
            <w:tcBorders>
              <w:top w:val="nil"/>
              <w:bottom w:val="nil"/>
            </w:tcBorders>
          </w:tcPr>
          <w:p>
            <w:pPr>
              <w:pStyle w:val="nTable"/>
              <w:spacing w:after="40"/>
            </w:pPr>
            <w:r>
              <w:t>4 Oct 2017 p. 5107</w:t>
            </w:r>
            <w:r>
              <w:noBreakHyphen/>
              <w:t>51</w:t>
            </w:r>
          </w:p>
        </w:tc>
        <w:tc>
          <w:tcPr>
            <w:tcW w:w="2693" w:type="dxa"/>
            <w:tcBorders>
              <w:top w:val="nil"/>
              <w:bottom w:val="nil"/>
            </w:tcBorders>
          </w:tcPr>
          <w:p>
            <w:pPr>
              <w:pStyle w:val="nTable"/>
              <w:spacing w:after="40"/>
            </w:pPr>
            <w:r>
              <w:t>r. 1 and 2: 4 Oct 2017 (see r. 2(a));</w:t>
            </w:r>
            <w:r>
              <w:br/>
              <w:t>Rules other than r. 1 and 2: 5 Oct 2017 (see r. 2(b))</w:t>
            </w:r>
          </w:p>
        </w:tc>
      </w:tr>
      <w:tr>
        <w:tc>
          <w:tcPr>
            <w:tcW w:w="3118" w:type="dxa"/>
            <w:tcBorders>
              <w:top w:val="nil"/>
              <w:bottom w:val="nil"/>
            </w:tcBorders>
          </w:tcPr>
          <w:p>
            <w:pPr>
              <w:pStyle w:val="nTable"/>
              <w:spacing w:after="40"/>
              <w:rPr>
                <w:i/>
              </w:rPr>
            </w:pPr>
            <w:r>
              <w:rPr>
                <w:i/>
              </w:rPr>
              <w:t>Lotteries Commission (Authorised Lotteries) (Multiple Games) Amendment Rules 2018</w:t>
            </w:r>
          </w:p>
        </w:tc>
        <w:tc>
          <w:tcPr>
            <w:tcW w:w="1276" w:type="dxa"/>
            <w:tcBorders>
              <w:top w:val="nil"/>
              <w:bottom w:val="nil"/>
            </w:tcBorders>
          </w:tcPr>
          <w:p>
            <w:pPr>
              <w:pStyle w:val="nTable"/>
              <w:spacing w:after="40"/>
            </w:pPr>
            <w:r>
              <w:t>9 Feb 2018 p. 405</w:t>
            </w:r>
            <w:r>
              <w:noBreakHyphen/>
              <w:t>6</w:t>
            </w:r>
          </w:p>
        </w:tc>
        <w:tc>
          <w:tcPr>
            <w:tcW w:w="2693" w:type="dxa"/>
            <w:tcBorders>
              <w:top w:val="nil"/>
              <w:bottom w:val="nil"/>
            </w:tcBorders>
          </w:tcPr>
          <w:p>
            <w:pPr>
              <w:pStyle w:val="nTable"/>
              <w:spacing w:after="40"/>
            </w:pPr>
            <w:r>
              <w:t>r. 1 and 2: 9 Feb 2018 (see r. 2(a));</w:t>
            </w:r>
            <w:r>
              <w:br/>
              <w:t>Rules other than r. 1 and 2: 10 Feb 2018 (see r. 2(b))</w:t>
            </w:r>
          </w:p>
        </w:tc>
      </w:tr>
      <w:tr>
        <w:tc>
          <w:tcPr>
            <w:tcW w:w="3118" w:type="dxa"/>
            <w:tcBorders>
              <w:top w:val="nil"/>
              <w:bottom w:val="nil"/>
            </w:tcBorders>
          </w:tcPr>
          <w:p>
            <w:pPr>
              <w:pStyle w:val="nTable"/>
              <w:spacing w:after="40"/>
              <w:rPr>
                <w:i/>
              </w:rPr>
            </w:pPr>
            <w:r>
              <w:rPr>
                <w:i/>
              </w:rPr>
              <w:t>Lotteries Commission (Authorised Lotteries) (Powerball) Amendment Rules 2018</w:t>
            </w:r>
          </w:p>
        </w:tc>
        <w:tc>
          <w:tcPr>
            <w:tcW w:w="1276" w:type="dxa"/>
            <w:tcBorders>
              <w:top w:val="nil"/>
              <w:bottom w:val="nil"/>
            </w:tcBorders>
          </w:tcPr>
          <w:p>
            <w:pPr>
              <w:pStyle w:val="nTable"/>
              <w:spacing w:after="40"/>
            </w:pPr>
            <w:r>
              <w:t>10 Apr 2018 p. 1249</w:t>
            </w:r>
            <w:r>
              <w:noBreakHyphen/>
              <w:t>53</w:t>
            </w:r>
          </w:p>
        </w:tc>
        <w:tc>
          <w:tcPr>
            <w:tcW w:w="2693" w:type="dxa"/>
            <w:tcBorders>
              <w:top w:val="nil"/>
              <w:bottom w:val="nil"/>
            </w:tcBorders>
          </w:tcPr>
          <w:p>
            <w:pPr>
              <w:pStyle w:val="nTable"/>
              <w:spacing w:after="40"/>
            </w:pPr>
            <w:r>
              <w:t>r. 1 and 2: 10 Apr 2018 (see r. 2(a));</w:t>
            </w:r>
            <w:r>
              <w:br/>
              <w:t>Rules other than r. 1 and 2: 11 Apr 2018 (see r. 2(b))</w:t>
            </w:r>
          </w:p>
        </w:tc>
      </w:tr>
      <w:tr>
        <w:tc>
          <w:tcPr>
            <w:tcW w:w="3118" w:type="dxa"/>
            <w:tcBorders>
              <w:top w:val="nil"/>
              <w:bottom w:val="single" w:sz="4" w:space="0" w:color="auto"/>
            </w:tcBorders>
          </w:tcPr>
          <w:p>
            <w:pPr>
              <w:pStyle w:val="nTable"/>
              <w:spacing w:after="40"/>
              <w:rPr>
                <w:i/>
              </w:rPr>
            </w:pPr>
            <w:r>
              <w:rPr>
                <w:i/>
              </w:rPr>
              <w:t>Lotteries Commission (Authorised Lotteries) Amendment Rules 2019</w:t>
            </w:r>
          </w:p>
        </w:tc>
        <w:tc>
          <w:tcPr>
            <w:tcW w:w="1276" w:type="dxa"/>
            <w:tcBorders>
              <w:top w:val="nil"/>
              <w:bottom w:val="single" w:sz="4" w:space="0" w:color="auto"/>
            </w:tcBorders>
          </w:tcPr>
          <w:p>
            <w:pPr>
              <w:pStyle w:val="nTable"/>
              <w:spacing w:after="40"/>
            </w:pPr>
            <w:r>
              <w:t>12 Nov 2019 p. 4019-20</w:t>
            </w:r>
          </w:p>
        </w:tc>
        <w:tc>
          <w:tcPr>
            <w:tcW w:w="2693" w:type="dxa"/>
            <w:tcBorders>
              <w:top w:val="nil"/>
              <w:bottom w:val="single" w:sz="4" w:space="0" w:color="auto"/>
            </w:tcBorders>
          </w:tcPr>
          <w:p>
            <w:pPr>
              <w:pStyle w:val="nTable"/>
              <w:keepNext/>
            </w:pPr>
            <w:r>
              <w:t>r. 1-3: 12 Nov 2019 (see r. 2(a));</w:t>
            </w:r>
            <w:r>
              <w:br/>
              <w:t>r. 6: immediately after the Powerball draw on 21 Nov 2019 (see r. 2(e));</w:t>
            </w:r>
            <w:r>
              <w:br/>
              <w:t>r. 7: immediately after the Saturday Lotto draw on 23 Nov 2019 (see r. 2(f))</w:t>
            </w:r>
            <w:r>
              <w:br/>
              <w:t>r. 4(1) and (3): immediately after the Monday Lotto draw on 25 Nov 2019 (see r. 2(b));</w:t>
            </w:r>
            <w:r>
              <w:br/>
              <w:t>r. 5: immediately after the OZ Lotto draw on 26 Nov 2019 (see r. 2(d));</w:t>
            </w:r>
            <w:r>
              <w:br/>
              <w:t>r. 4(2) and (4): immediately after the Wednesday Lotto draw on 27 Nov 2019 (see r. 2(c))</w:t>
            </w:r>
            <w:r>
              <w:br/>
              <w:t>r. 8: immediately after the Set for Life draw on 29 Nov 2019 (see r. 2(g))</w:t>
            </w:r>
          </w:p>
        </w:tc>
      </w:tr>
    </w:tbl>
    <w:p>
      <w:pPr>
        <w:pStyle w:val="nHeading3"/>
        <w:rPr>
          <w:ins w:id="883" w:author="Master Repository Process" w:date="2021-08-29T01:56:00Z"/>
        </w:rPr>
      </w:pPr>
      <w:bookmarkStart w:id="884" w:name="_Toc34291590"/>
      <w:ins w:id="885" w:author="Master Repository Process" w:date="2021-08-29T01:56:00Z">
        <w:r>
          <w:t>Uncommenced provisions table</w:t>
        </w:r>
        <w:bookmarkEnd w:id="884"/>
      </w:ins>
    </w:p>
    <w:p>
      <w:pPr>
        <w:pStyle w:val="nStatement"/>
        <w:keepNext/>
        <w:spacing w:after="240"/>
        <w:rPr>
          <w:ins w:id="886" w:author="Master Repository Process" w:date="2021-08-29T01:56:00Z"/>
        </w:rPr>
      </w:pPr>
      <w:ins w:id="887" w:author="Master Repository Process" w:date="2021-08-29T01:56:00Z">
        <w:r>
          <w:t xml:space="preserve">To view the text of the uncommenced provisions see </w:t>
        </w:r>
        <w:r>
          <w:rPr>
            <w:i/>
          </w:rPr>
          <w:t>Subsidiary legislation as made</w:t>
        </w:r>
        <w:r>
          <w:t xml:space="preserve"> on the WA Legislation website.</w:t>
        </w:r>
      </w:ins>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ins w:id="888" w:author="Master Repository Process" w:date="2021-08-29T01:56:00Z"/>
        </w:trPr>
        <w:tc>
          <w:tcPr>
            <w:tcW w:w="3118" w:type="dxa"/>
          </w:tcPr>
          <w:p>
            <w:pPr>
              <w:pStyle w:val="nTable"/>
              <w:spacing w:after="40"/>
              <w:rPr>
                <w:ins w:id="889" w:author="Master Repository Process" w:date="2021-08-29T01:56:00Z"/>
                <w:b/>
              </w:rPr>
            </w:pPr>
            <w:ins w:id="890" w:author="Master Repository Process" w:date="2021-08-29T01:56:00Z">
              <w:r>
                <w:rPr>
                  <w:b/>
                </w:rPr>
                <w:t>Citation</w:t>
              </w:r>
            </w:ins>
          </w:p>
        </w:tc>
        <w:tc>
          <w:tcPr>
            <w:tcW w:w="1276" w:type="dxa"/>
          </w:tcPr>
          <w:p>
            <w:pPr>
              <w:pStyle w:val="nTable"/>
              <w:spacing w:after="40"/>
              <w:rPr>
                <w:ins w:id="891" w:author="Master Repository Process" w:date="2021-08-29T01:56:00Z"/>
                <w:b/>
              </w:rPr>
            </w:pPr>
            <w:ins w:id="892" w:author="Master Repository Process" w:date="2021-08-29T01:56:00Z">
              <w:r>
                <w:rPr>
                  <w:b/>
                </w:rPr>
                <w:t>Published</w:t>
              </w:r>
            </w:ins>
          </w:p>
        </w:tc>
        <w:tc>
          <w:tcPr>
            <w:tcW w:w="2693" w:type="dxa"/>
          </w:tcPr>
          <w:p>
            <w:pPr>
              <w:pStyle w:val="nTable"/>
              <w:spacing w:after="40"/>
              <w:rPr>
                <w:ins w:id="893" w:author="Master Repository Process" w:date="2021-08-29T01:56:00Z"/>
                <w:b/>
              </w:rPr>
            </w:pPr>
            <w:ins w:id="894" w:author="Master Repository Process" w:date="2021-08-29T01:56:00Z">
              <w:r>
                <w:rPr>
                  <w:b/>
                </w:rPr>
                <w:t>Commencement</w:t>
              </w:r>
            </w:ins>
          </w:p>
        </w:tc>
      </w:tr>
      <w:tr>
        <w:trPr>
          <w:ins w:id="895" w:author="Master Repository Process" w:date="2021-08-29T01:56:00Z"/>
        </w:trPr>
        <w:tc>
          <w:tcPr>
            <w:tcW w:w="3118" w:type="dxa"/>
          </w:tcPr>
          <w:p>
            <w:pPr>
              <w:pStyle w:val="nTable"/>
              <w:spacing w:after="40"/>
              <w:rPr>
                <w:ins w:id="896" w:author="Master Repository Process" w:date="2021-08-29T01:56:00Z"/>
              </w:rPr>
            </w:pPr>
            <w:ins w:id="897" w:author="Master Repository Process" w:date="2021-08-29T01:56:00Z">
              <w:r>
                <w:rPr>
                  <w:i/>
                  <w:noProof/>
                </w:rPr>
                <w:t>Lotteries Commission (Authorised Lotteries) (Set for Life) Amendment Rules 2020</w:t>
              </w:r>
            </w:ins>
          </w:p>
        </w:tc>
        <w:tc>
          <w:tcPr>
            <w:tcW w:w="1276" w:type="dxa"/>
          </w:tcPr>
          <w:p>
            <w:pPr>
              <w:pStyle w:val="nTable"/>
              <w:spacing w:after="40"/>
              <w:rPr>
                <w:ins w:id="898" w:author="Master Repository Process" w:date="2021-08-29T01:56:00Z"/>
              </w:rPr>
            </w:pPr>
            <w:ins w:id="899" w:author="Master Repository Process" w:date="2021-08-29T01:56:00Z">
              <w:r>
                <w:t>3 Mar 2020 p. 473</w:t>
              </w:r>
              <w:r>
                <w:noBreakHyphen/>
                <w:t>8</w:t>
              </w:r>
            </w:ins>
          </w:p>
        </w:tc>
        <w:tc>
          <w:tcPr>
            <w:tcW w:w="2693" w:type="dxa"/>
          </w:tcPr>
          <w:p>
            <w:pPr>
              <w:pStyle w:val="nTable"/>
              <w:spacing w:after="40"/>
              <w:rPr>
                <w:ins w:id="900" w:author="Master Repository Process" w:date="2021-08-29T01:56:00Z"/>
              </w:rPr>
            </w:pPr>
            <w:ins w:id="901" w:author="Master Repository Process" w:date="2021-08-29T01:56:00Z">
              <w:r>
                <w:t>r. 1</w:t>
              </w:r>
              <w:r>
                <w:noBreakHyphen/>
                <w:t>3: 3 Mar 2020 (see r. 2(a));</w:t>
              </w:r>
              <w:r>
                <w:br/>
                <w:t>Rules other than r. 1</w:t>
              </w:r>
              <w:r>
                <w:noBreakHyphen/>
                <w:t>3: immediately after the Set For Life draw on 16 Mar 2020</w:t>
              </w:r>
              <w:r>
                <w:br/>
                <w:t>(see r. 2(b))</w:t>
              </w:r>
            </w:ins>
          </w:p>
        </w:tc>
      </w:tr>
    </w:tbl>
    <w:p>
      <w:pPr>
        <w:rPr>
          <w:ins w:id="902" w:author="Master Repository Process" w:date="2021-08-29T01:56:00Z"/>
        </w:rPr>
      </w:pPr>
    </w:p>
    <w:p>
      <w:pPr>
        <w:sectPr>
          <w:headerReference w:type="even" r:id="rId25"/>
          <w:headerReference w:type="default" r:id="rId26"/>
          <w:pgSz w:w="11907" w:h="16840" w:code="9"/>
          <w:pgMar w:top="2376" w:right="2404" w:bottom="3544" w:left="2404" w:header="720" w:footer="3380" w:gutter="0"/>
          <w:cols w:space="720"/>
          <w:noEndnote/>
          <w:docGrid w:linePitch="326"/>
        </w:sectPr>
      </w:pPr>
    </w:p>
    <w:p/>
    <w:sectPr>
      <w:headerReference w:type="even" r:id="rId27"/>
      <w:headerReference w:type="default" r:id="rId28"/>
      <w:footerReference w:type="even" r:id="rId29"/>
      <w:footerReference w:type="default" r:id="rId30"/>
      <w:headerReference w:type="first" r:id="rId31"/>
      <w:footerReference w:type="first" r:id="rId32"/>
      <w:endnotePr>
        <w:numFmt w:val="decimal"/>
      </w:endnotePr>
      <w:type w:val="continuous"/>
      <w:pgSz w:w="11907" w:h="16840" w:code="9"/>
      <w:pgMar w:top="567" w:right="1701" w:bottom="567" w:left="1701" w:header="720" w:footer="72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Math">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29 Nov 2019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00-k0-00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03 Mar 2020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00-l0-02</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29 Nov 2019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00-k0-00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03 Mar 2020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00-l0-02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29 Nov 2019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00-k0-00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03 Mar 2020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00-l0-02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 w:name="TitlePage"/>
    <w:bookmarkEnd w:id="1"/>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Lotteries Commission (Authorised Lotteries) Rules 2016</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spacing w:before="40"/>
            <w:jc w:val="right"/>
          </w:pPr>
          <w:r>
            <w:rPr>
              <w:b/>
              <w:i/>
            </w:rPr>
            <w:fldChar w:fldCharType="begin"/>
          </w:r>
          <w:r>
            <w:rPr>
              <w:b/>
              <w:i/>
            </w:rPr>
            <w:instrText xml:space="preserve"> STYLEREF "Name of Act/Reg" </w:instrText>
          </w:r>
          <w:r>
            <w:rPr>
              <w:b/>
              <w:i/>
            </w:rPr>
            <w:fldChar w:fldCharType="separate"/>
          </w:r>
          <w:r>
            <w:rPr>
              <w:b/>
              <w:i/>
            </w:rPr>
            <w:t>Lotteries Commission (Authorised Lotteries) Rules 2016</w:t>
          </w:r>
          <w:r>
            <w:rPr>
              <w:b/>
              <w:i/>
            </w:rPr>
            <w:fldChar w:fldCharType="end"/>
          </w:r>
        </w:p>
      </w:tc>
    </w:tr>
    <w:t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jc w:val="right"/>
          </w:pPr>
          <w:r>
            <w:rPr>
              <w:b/>
            </w:rPr>
            <w:fldChar w:fldCharType="begin"/>
          </w:r>
          <w:r>
            <w:rPr>
              <w:b/>
            </w:rPr>
            <w:instrText>STYLEREF CharPartNo</w:instrText>
          </w:r>
          <w:r>
            <w:rPr>
              <w:b/>
            </w:rPr>
            <w:fldChar w:fldCharType="end"/>
          </w:r>
        </w:p>
      </w:tc>
    </w:tr>
    <w:tr>
      <w:tc>
        <w:tcPr>
          <w:tcW w:w="5715" w:type="dxa"/>
          <w:vAlign w:val="bottom"/>
        </w:tcPr>
        <w:p>
          <w:pPr>
            <w:pStyle w:val="Header"/>
            <w:jc w:val="right"/>
          </w:pPr>
          <w:r>
            <w:fldChar w:fldCharType="begin"/>
          </w:r>
          <w:r>
            <w:instrText xml:space="preserve"> styleref CharDivText </w:instrText>
          </w:r>
          <w:r>
            <w:fldChar w:fldCharType="end"/>
          </w:r>
        </w:p>
      </w:tc>
      <w:tc>
        <w:tcPr>
          <w:tcW w:w="1548" w:type="dxa"/>
        </w:tcPr>
        <w:p>
          <w:pPr>
            <w:pStyle w:val="Header"/>
            <w:spacing w:before="40"/>
            <w:jc w:val="right"/>
          </w:pPr>
          <w:r>
            <w:rPr>
              <w:b/>
            </w:rPr>
            <w:fldChar w:fldCharType="begin"/>
          </w:r>
          <w:r>
            <w:rPr>
              <w:b/>
            </w:rPr>
            <w:instrText>STYLEREF CharDivNo</w:instrText>
          </w:r>
          <w:r>
            <w:rPr>
              <w:b/>
            </w:rPr>
            <w:fldChar w:fldCharType="end"/>
          </w:r>
        </w:p>
      </w:tc>
    </w:tr>
    <w:tr>
      <w:trPr>
        <w:cantSplit/>
      </w:trPr>
      <w:tc>
        <w:tcPr>
          <w:tcW w:w="7263" w:type="dxa"/>
          <w:gridSpan w:val="2"/>
        </w:tcPr>
        <w:p>
          <w:pPr>
            <w:pStyle w:val="Header"/>
            <w:spacing w:before="40"/>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Lotteries Commission (Authorised Lotteries) Rules 2016</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r>
            <w:rPr>
              <w:b/>
            </w:rPr>
            <w:fldChar w:fldCharType="begin"/>
          </w:r>
          <w:r>
            <w:rPr>
              <w:b/>
            </w:rPr>
            <w:instrText>STYLEREF CharSDivNo</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7258"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Lotteries Commission (Authorised Lotteries) Rules 2016</w:t>
          </w:r>
          <w:r>
            <w:rPr>
              <w:b/>
              <w:i/>
            </w:rPr>
            <w:fldChar w:fldCharType="end"/>
          </w:r>
        </w:p>
      </w:tc>
    </w:tr>
    <w:tr>
      <w:tc>
        <w:tcPr>
          <w:tcW w:w="5715" w:type="dxa"/>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STYLEREF CharSDivNo</w:instrText>
          </w:r>
          <w:r>
            <w:rPr>
              <w:b/>
            </w:rPr>
            <w:fldChar w:fldCharType="end"/>
          </w:r>
        </w:p>
      </w:tc>
    </w:tr>
    <w:tr>
      <w:tc>
        <w:tcPr>
          <w:tcW w:w="7160" w:type="dxa"/>
          <w:gridSpan w:val="2"/>
        </w:tcPr>
        <w:p>
          <w:pPr>
            <w:pStyle w:val="Header"/>
            <w:spacing w:before="40"/>
            <w:ind w:right="17"/>
            <w:jc w:val="right"/>
          </w:pPr>
        </w:p>
      </w:tc>
    </w:tr>
  </w:tbl>
  <w:p>
    <w:pPr>
      <w:pStyle w:val="Header"/>
      <w:pBdr>
        <w:top w:val="single" w:sz="4" w:space="1" w:color="auto"/>
      </w:pBdr>
    </w:pPr>
    <w:bookmarkStart w:id="867" w:name="Schedule"/>
    <w:bookmarkEnd w:id="867"/>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Lotteries Commission (Authorised Lotteries) Rules 2016</w:t>
          </w:r>
          <w:r>
            <w:rPr>
              <w:b/>
              <w:i/>
            </w:rPr>
            <w:fldChar w:fldCharType="end"/>
          </w:r>
        </w:p>
      </w:tc>
    </w:tr>
    <w:t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Lotteries Commission (Authorised Lotteries) Rules 2016</w:t>
          </w:r>
          <w:r>
            <w:rPr>
              <w:b/>
              <w:i/>
            </w:rPr>
            <w:fldChar w:fldCharType="end"/>
          </w:r>
        </w:p>
      </w:tc>
    </w:tr>
    <w:t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903" w:name="Compilation"/>
    <w:bookmarkEnd w:id="903"/>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904" w:name="Coversheet"/>
    <w:bookmarkEnd w:id="904"/>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1F066C2C"/>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EF88F74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4E44E0D6"/>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615A2A1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F54AD31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784C556"/>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56E6702"/>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006F51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3E2D3D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3A14993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2"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3"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9" w15:restartNumberingAfterBreak="0">
    <w:nsid w:val="41B9085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0"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22" w15:restartNumberingAfterBreak="0">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3"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4"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5"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6"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4"/>
  </w:num>
  <w:num w:numId="2">
    <w:abstractNumId w:val="13"/>
  </w:num>
  <w:num w:numId="3">
    <w:abstractNumId w:val="16"/>
  </w:num>
  <w:num w:numId="4">
    <w:abstractNumId w:val="17"/>
  </w:num>
  <w:num w:numId="5">
    <w:abstractNumId w:val="19"/>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isplayHorizontalDrawingGridEvery w:val="0"/>
  <w:displayVerticalDrawingGridEvery w:val="0"/>
  <w:doNotUseMarginsForDrawingGridOrigin/>
  <w:noPunctuationKerning/>
  <w:characterSpacingControl w:val="doNotCompress"/>
  <w:hdrShapeDefaults>
    <o:shapedefaults v:ext="edit" spidmax="4097"/>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200303143513"/>
    <w:docVar w:name="WAFER_20150206084300" w:val="ResetPageSize"/>
    <w:docVar w:name="WAFER_20150206084300_GUID" w:val="de2fbc3d-acf0-43f4-a0fa-d2631ba8b5df"/>
    <w:docVar w:name="WAFER_20151001163606" w:val="RemoveTocBookmarks,RemoveUnusedBookmarks,RemoveLanguageTags,UsedStyles,ResetPageSize,UpdateArrangement"/>
    <w:docVar w:name="WAFER_20151001163606_GUID" w:val="7b15f5ff-04fd-45c9-857a-80d6f3e9a489"/>
    <w:docVar w:name="WAFER_20151002123835" w:val="RemoveTocBookmarks,RemoveUnusedBookmarks,RemoveLanguageTags,UsedStyles,ResetPageSize,UpdateArrangement"/>
    <w:docVar w:name="WAFER_20151002123835_GUID" w:val="ad913fcf-ff23-4eca-b5e6-38deef2686dd"/>
    <w:docVar w:name="WAFER_20151008120202" w:val="RemoveTocBookmarks,RemoveUnusedBookmarks,RemoveLanguageTags,UsedStyles,ResetPageSize,UpdateArrangement"/>
    <w:docVar w:name="WAFER_20151008120202_GUID" w:val="32ade82c-3ee5-43b3-9ca8-ee5c89ee8e46"/>
    <w:docVar w:name="WAFER_20151102131323" w:val="UpdateStyles,UsedStyles"/>
    <w:docVar w:name="WAFER_20151102131323_GUID" w:val="4ff8fb21-5e2b-449e-9bf6-5aef924ec221"/>
    <w:docVar w:name="WAFER_20151126090231" w:val="RemoveTocBookmarks,RemoveUnusedBookmarks,RemoveLanguageTags,UsedStyles,ResetPageSize"/>
    <w:docVar w:name="WAFER_20151126090231_GUID" w:val="7a9b8519-a172-4bff-94d3-5b610c4db92a"/>
    <w:docVar w:name="WAFER_20160111133542" w:val="RemoveTocBookmarks,RemoveUnusedBookmarks,RemoveLanguageTags,UsedStyles,ResetPageSize"/>
    <w:docVar w:name="WAFER_20160111133542_GUID" w:val="6d8af8cd-90b0-49f2-a2bf-ffc538e4b27d"/>
    <w:docVar w:name="WAFER_20191111103943" w:val="RemoveTocBookmarks,RemoveUnusedBookmarks,RemoveLanguageTags,ResetPageSize,RunningHeaders,UpdateStyles,UsedStyles"/>
    <w:docVar w:name="WAFER_20191111103943_GUID" w:val="659c7c48-6ef8-4402-a005-fcbaa0e42f66"/>
    <w:docVar w:name="WAFER_20191119093931" w:val="RemoveTocBookmarks,RemoveUnusedBookmarks,RemoveLanguageTags,ResetPageSize,RunningHeaders,UpdateStyles,UsedStyles"/>
    <w:docVar w:name="WAFER_20191119093931_GUID" w:val="85076ea8-2548-4602-96ef-df65b846fa2f"/>
    <w:docVar w:name="WAFER_20191120095114" w:val="RemoveTocBookmarks,RemoveUnusedBookmarks,RemoveLanguageTags,ResetPageSize,RunningHeaders,UpdateStyles,UsedStyles"/>
    <w:docVar w:name="WAFER_20191120095114_GUID" w:val="5082e86f-62e6-4dbe-84fa-f021aac163bc"/>
    <w:docVar w:name="WAFER_20191122123815" w:val="RemoveTocBookmarks,RemoveUnusedBookmarks,RemoveLanguageTags,ResetPageSize,RunningHeaders,UpdateStyles,UsedStyles"/>
    <w:docVar w:name="WAFER_20191122123815_GUID" w:val="1be60b92-ec69-490b-816c-e88f90b4c446"/>
    <w:docVar w:name="WAFER_20191125095522" w:val="RemoveTocBookmarks,RemoveUnusedBookmarks,RemoveLanguageTags,ResetPageSize,RunningHeaders,UpdateStyles,UsedStyles"/>
    <w:docVar w:name="WAFER_20191125095522_GUID" w:val="8e70d079-c3b0-4516-bed4-0a79be4e3c32"/>
    <w:docVar w:name="WAFER_20191126103506" w:val="RemoveTocBookmarks,RemoveUnusedBookmarks,RemoveLanguageTags,ResetPageSize,RunningHeaders,UpdateStyles,UsedStyles"/>
    <w:docVar w:name="WAFER_20191126103506_GUID" w:val="a30983f2-d82e-43cf-aad7-c04d148d4f56"/>
    <w:docVar w:name="WAFER_2020030314351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303143513_GUID" w:val="20d0c0d5-12e6-4bfa-b872-768a84d87f1c"/>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77E66C6F-6D1F-44FA-BAD4-159AEBB6FD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BlankClose">
    <w:name w:val="BlankClose"/>
    <w:basedOn w:val="Normal"/>
    <w:pPr>
      <w:keepLines/>
      <w:jc w:val="center"/>
    </w:pPr>
    <w:rPr>
      <w:szCs w:val="24"/>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right" w:pos="7088"/>
      </w:tabs>
      <w:spacing w:before="108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SignatureText">
    <w:name w:val="SignatureText"/>
    <w:basedOn w:val="Normal"/>
  </w:style>
  <w:style w:type="paragraph" w:customStyle="1" w:styleId="ExCo">
    <w:name w:val="ExCo"/>
    <w:qFormat/>
    <w:rPr>
      <w:sz w:val="24"/>
    </w:rPr>
  </w:style>
  <w:style w:type="paragraph" w:customStyle="1" w:styleId="Certificate">
    <w:name w:val="Certificate"/>
    <w:qFormat/>
    <w:rPr>
      <w:sz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table" w:styleId="TableGrid">
    <w:name w:val="Table Grid"/>
    <w:basedOn w:val="TableNormal"/>
    <w:uiPriority w:val="5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rincipalActRegPage1">
    <w:name w:val="PrincipalAct_Reg(Page 1)"/>
    <w:pPr>
      <w:spacing w:before="2600"/>
      <w:jc w:val="center"/>
    </w:pPr>
    <w:rPr>
      <w:sz w:val="24"/>
    </w:rPr>
  </w:style>
  <w:style w:type="paragraph" w:customStyle="1" w:styleId="ReprintNo">
    <w:name w:val="ReprintNo"/>
    <w:rPr>
      <w:b/>
      <w:noProof/>
      <w:sz w:val="28"/>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character" w:customStyle="1" w:styleId="FooterChar">
    <w:name w:val="Footer Char"/>
    <w:basedOn w:val="DefaultParagraphFont"/>
    <w:link w:val="Footer"/>
    <w:rPr>
      <w:rFonts w:ascii="Arial" w:hAnsi="Arial"/>
      <w:sz w:val="24"/>
    </w:rPr>
  </w:style>
  <w:style w:type="paragraph" w:styleId="Revision">
    <w:name w:val="Revision"/>
    <w:hidden/>
    <w:uiPriority w:val="99"/>
    <w:semiHidden/>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26895634">
      <w:bodyDiv w:val="1"/>
      <w:marLeft w:val="0"/>
      <w:marRight w:val="0"/>
      <w:marTop w:val="0"/>
      <w:marBottom w:val="0"/>
      <w:divBdr>
        <w:top w:val="none" w:sz="0" w:space="0" w:color="auto"/>
        <w:left w:val="none" w:sz="0" w:space="0" w:color="auto"/>
        <w:bottom w:val="none" w:sz="0" w:space="0" w:color="auto"/>
        <w:right w:val="none" w:sz="0" w:space="0" w:color="auto"/>
      </w:divBdr>
    </w:div>
    <w:div w:id="157964552">
      <w:bodyDiv w:val="1"/>
      <w:marLeft w:val="0"/>
      <w:marRight w:val="0"/>
      <w:marTop w:val="0"/>
      <w:marBottom w:val="0"/>
      <w:divBdr>
        <w:top w:val="none" w:sz="0" w:space="0" w:color="auto"/>
        <w:left w:val="none" w:sz="0" w:space="0" w:color="auto"/>
        <w:bottom w:val="none" w:sz="0" w:space="0" w:color="auto"/>
        <w:right w:val="none" w:sz="0" w:space="0" w:color="auto"/>
      </w:divBdr>
    </w:div>
    <w:div w:id="390884395">
      <w:bodyDiv w:val="1"/>
      <w:marLeft w:val="0"/>
      <w:marRight w:val="0"/>
      <w:marTop w:val="0"/>
      <w:marBottom w:val="0"/>
      <w:divBdr>
        <w:top w:val="none" w:sz="0" w:space="0" w:color="auto"/>
        <w:left w:val="none" w:sz="0" w:space="0" w:color="auto"/>
        <w:bottom w:val="none" w:sz="0" w:space="0" w:color="auto"/>
        <w:right w:val="none" w:sz="0" w:space="0" w:color="auto"/>
      </w:divBdr>
    </w:div>
    <w:div w:id="402139908">
      <w:bodyDiv w:val="1"/>
      <w:marLeft w:val="0"/>
      <w:marRight w:val="0"/>
      <w:marTop w:val="0"/>
      <w:marBottom w:val="0"/>
      <w:divBdr>
        <w:top w:val="none" w:sz="0" w:space="0" w:color="auto"/>
        <w:left w:val="none" w:sz="0" w:space="0" w:color="auto"/>
        <w:bottom w:val="none" w:sz="0" w:space="0" w:color="auto"/>
        <w:right w:val="none" w:sz="0" w:space="0" w:color="auto"/>
      </w:divBdr>
    </w:div>
    <w:div w:id="842625655">
      <w:bodyDiv w:val="1"/>
      <w:marLeft w:val="0"/>
      <w:marRight w:val="0"/>
      <w:marTop w:val="0"/>
      <w:marBottom w:val="0"/>
      <w:divBdr>
        <w:top w:val="none" w:sz="0" w:space="0" w:color="auto"/>
        <w:left w:val="none" w:sz="0" w:space="0" w:color="auto"/>
        <w:bottom w:val="none" w:sz="0" w:space="0" w:color="auto"/>
        <w:right w:val="none" w:sz="0" w:space="0" w:color="auto"/>
      </w:divBdr>
    </w:div>
    <w:div w:id="1212883885">
      <w:bodyDiv w:val="1"/>
      <w:marLeft w:val="0"/>
      <w:marRight w:val="0"/>
      <w:marTop w:val="0"/>
      <w:marBottom w:val="0"/>
      <w:divBdr>
        <w:top w:val="none" w:sz="0" w:space="0" w:color="auto"/>
        <w:left w:val="none" w:sz="0" w:space="0" w:color="auto"/>
        <w:bottom w:val="none" w:sz="0" w:space="0" w:color="auto"/>
        <w:right w:val="none" w:sz="0" w:space="0" w:color="auto"/>
      </w:divBdr>
    </w:div>
    <w:div w:id="1248344944">
      <w:bodyDiv w:val="1"/>
      <w:marLeft w:val="0"/>
      <w:marRight w:val="0"/>
      <w:marTop w:val="0"/>
      <w:marBottom w:val="0"/>
      <w:divBdr>
        <w:top w:val="none" w:sz="0" w:space="0" w:color="auto"/>
        <w:left w:val="none" w:sz="0" w:space="0" w:color="auto"/>
        <w:bottom w:val="none" w:sz="0" w:space="0" w:color="auto"/>
        <w:right w:val="none" w:sz="0" w:space="0" w:color="auto"/>
      </w:divBdr>
    </w:div>
    <w:div w:id="1410620848">
      <w:bodyDiv w:val="1"/>
      <w:marLeft w:val="0"/>
      <w:marRight w:val="0"/>
      <w:marTop w:val="0"/>
      <w:marBottom w:val="0"/>
      <w:divBdr>
        <w:top w:val="none" w:sz="0" w:space="0" w:color="auto"/>
        <w:left w:val="none" w:sz="0" w:space="0" w:color="auto"/>
        <w:bottom w:val="none" w:sz="0" w:space="0" w:color="auto"/>
        <w:right w:val="none" w:sz="0" w:space="0" w:color="auto"/>
      </w:divBdr>
    </w:div>
    <w:div w:id="19584837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0.xml"/><Relationship Id="rId3" Type="http://schemas.openxmlformats.org/officeDocument/2006/relationships/styles" Target="styles.xml"/><Relationship Id="rId21" Type="http://schemas.openxmlformats.org/officeDocument/2006/relationships/image" Target="media/image2.wmf"/><Relationship Id="rId34" Type="http://schemas.microsoft.com/office/2011/relationships/people" Target="peop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9.xml"/><Relationship Id="rId33"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oter" Target="footer7.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7.xml"/><Relationship Id="rId28" Type="http://schemas.openxmlformats.org/officeDocument/2006/relationships/header" Target="header12.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3.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image" Target="media/image3.jpeg"/><Relationship Id="rId27" Type="http://schemas.openxmlformats.org/officeDocument/2006/relationships/header" Target="header11.xml"/><Relationship Id="rId30" Type="http://schemas.openxmlformats.org/officeDocument/2006/relationships/footer" Target="footer8.xml"/><Relationship Id="rId35" Type="http://schemas.openxmlformats.org/officeDocument/2006/relationships/theme" Target="theme/theme1.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60AD525-5C71-4C93-9158-8626A1B32FA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25545</Words>
  <Characters>114447</Characters>
  <Application>Microsoft Office Word</Application>
  <DocSecurity>0</DocSecurity>
  <Lines>3576</Lines>
  <Paragraphs>2372</Paragraphs>
  <ScaleCrop>false</ScaleCrop>
  <HeadingPairs>
    <vt:vector size="2" baseType="variant">
      <vt:variant>
        <vt:lpstr>Title</vt:lpstr>
      </vt:variant>
      <vt:variant>
        <vt:i4>1</vt:i4>
      </vt:variant>
    </vt:vector>
  </HeadingPairs>
  <TitlesOfParts>
    <vt:vector size="1" baseType="lpstr">
      <vt:lpstr>Lotteries Commission (Authorised Lotteries) Rules 2016 - 00-a0-00</vt:lpstr>
    </vt:vector>
  </TitlesOfParts>
  <Manager/>
  <Company/>
  <LinksUpToDate>false</LinksUpToDate>
  <CharactersWithSpaces>137620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Lotteries Commission (Authorised Lotteries) Rules 2016 00-k0-00 - 00-l0-02</dc:title>
  <dc:subject/>
  <dc:creator/>
  <cp:keywords/>
  <dc:description/>
  <cp:lastModifiedBy>Master Repository Process</cp:lastModifiedBy>
  <cp:revision>2</cp:revision>
  <cp:lastPrinted>2019-11-27T07:17:00Z</cp:lastPrinted>
  <dcterms:created xsi:type="dcterms:W3CDTF">2021-08-28T17:56:00Z</dcterms:created>
  <dcterms:modified xsi:type="dcterms:W3CDTF">2021-08-28T17:56:00Z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Type">
    <vt:lpwstr>Reg</vt:lpwstr>
  </property>
  <property fmtid="{D5CDD505-2E9C-101B-9397-08002B2CF9AE}" pid="3" name="ID">
    <vt:lpwstr>7 Oct 2016 p 4405-527</vt:lpwstr>
  </property>
  <property fmtid="{D5CDD505-2E9C-101B-9397-08002B2CF9AE}" pid="4" name="CommencementDate">
    <vt:lpwstr>20200303</vt:lpwstr>
  </property>
  <property fmtid="{D5CDD505-2E9C-101B-9397-08002B2CF9AE}" pid="5" name="FromSuffix">
    <vt:lpwstr>00-k0-00</vt:lpwstr>
  </property>
  <property fmtid="{D5CDD505-2E9C-101B-9397-08002B2CF9AE}" pid="6" name="FromAsAtDate">
    <vt:lpwstr>29 Nov 2019</vt:lpwstr>
  </property>
  <property fmtid="{D5CDD505-2E9C-101B-9397-08002B2CF9AE}" pid="7" name="ToSuffix">
    <vt:lpwstr>00-l0-02</vt:lpwstr>
  </property>
  <property fmtid="{D5CDD505-2E9C-101B-9397-08002B2CF9AE}" pid="8" name="ToAsAtDate">
    <vt:lpwstr>03 Mar 2020</vt:lpwstr>
  </property>
</Properties>
</file>