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Dec 2019</w:t>
      </w:r>
      <w:r>
        <w:fldChar w:fldCharType="end"/>
      </w:r>
      <w:r>
        <w:t xml:space="preserve">, </w:t>
      </w:r>
      <w:r>
        <w:fldChar w:fldCharType="begin"/>
      </w:r>
      <w:r>
        <w:instrText xml:space="preserve"> DocProperty FromSuffix </w:instrText>
      </w:r>
      <w:r>
        <w:fldChar w:fldCharType="separate"/>
      </w:r>
      <w:r>
        <w:t>05-o0-01</w:t>
      </w:r>
      <w:r>
        <w:fldChar w:fldCharType="end"/>
      </w:r>
      <w:r>
        <w:t>] and [</w:t>
      </w:r>
      <w:r>
        <w:fldChar w:fldCharType="begin"/>
      </w:r>
      <w:r>
        <w:instrText xml:space="preserve"> DocProperty ToAsAtDate</w:instrText>
      </w:r>
      <w:r>
        <w:fldChar w:fldCharType="separate"/>
      </w:r>
      <w:r>
        <w:t>01 Apr 2020</w:t>
      </w:r>
      <w:r>
        <w:fldChar w:fldCharType="end"/>
      </w:r>
      <w:r>
        <w:t xml:space="preserve">, </w:t>
      </w:r>
      <w:r>
        <w:fldChar w:fldCharType="begin"/>
      </w:r>
      <w:r>
        <w:instrText xml:space="preserve"> DocProperty ToSuffix</w:instrText>
      </w:r>
      <w:r>
        <w:fldChar w:fldCharType="separate"/>
      </w:r>
      <w:r>
        <w:t>05-p0-03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9-18T03:07:00Z"/>
        </w:rPr>
      </w:pPr>
      <w:del w:id="2" w:author="Master Repository Process" w:date="2021-09-18T03:07:00Z">
        <w:r>
          <w:lastRenderedPageBreak/>
          <w:delText>Western Australia</w:delText>
        </w:r>
      </w:del>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3" w:name="_Toc38030475"/>
      <w:bookmarkStart w:id="4" w:name="_Toc38030518"/>
      <w:bookmarkStart w:id="5" w:name="_Toc38030561"/>
      <w:bookmarkStart w:id="6" w:name="_Toc38031736"/>
      <w:bookmarkStart w:id="7" w:name="_Toc32310822"/>
      <w:bookmarkStart w:id="8" w:name="_Toc32310865"/>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10" w:name="_Toc38031737"/>
      <w:bookmarkStart w:id="11" w:name="_Toc32310866"/>
      <w:r>
        <w:rPr>
          <w:rStyle w:val="CharSectno"/>
        </w:rPr>
        <w:t>1</w:t>
      </w:r>
      <w:r>
        <w:t>.</w:t>
      </w:r>
      <w:r>
        <w:tab/>
        <w:t>Citation</w:t>
      </w:r>
      <w:bookmarkEnd w:id="10"/>
      <w:bookmarkEnd w:id="11"/>
    </w:p>
    <w:p>
      <w:pPr>
        <w:pStyle w:val="Subsection"/>
        <w:spacing w:before="120"/>
      </w:pPr>
      <w:r>
        <w:tab/>
      </w:r>
      <w:r>
        <w:tab/>
      </w:r>
      <w:bookmarkStart w:id="12" w:name="Start_Cursor"/>
      <w:bookmarkEnd w:id="12"/>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13" w:name="_Toc38031738"/>
      <w:bookmarkStart w:id="14" w:name="_Toc32310867"/>
      <w:r>
        <w:rPr>
          <w:rStyle w:val="CharSectno"/>
        </w:rPr>
        <w:t>2</w:t>
      </w:r>
      <w:r>
        <w:rPr>
          <w:spacing w:val="-2"/>
        </w:rPr>
        <w:t>.</w:t>
      </w:r>
      <w:r>
        <w:rPr>
          <w:spacing w:val="-2"/>
        </w:rPr>
        <w:tab/>
        <w:t>Commencement</w:t>
      </w:r>
      <w:bookmarkEnd w:id="13"/>
      <w:bookmarkEnd w:id="14"/>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15" w:name="_Toc38031739"/>
      <w:bookmarkStart w:id="16" w:name="_Toc32310868"/>
      <w:r>
        <w:rPr>
          <w:rStyle w:val="CharSectno"/>
        </w:rPr>
        <w:t>3</w:t>
      </w:r>
      <w:r>
        <w:t>.</w:t>
      </w:r>
      <w:r>
        <w:tab/>
        <w:t>Terms used</w:t>
      </w:r>
      <w:bookmarkEnd w:id="15"/>
      <w:bookmarkEnd w:id="16"/>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w:t>
      </w:r>
    </w:p>
    <w:p>
      <w:pPr>
        <w:pStyle w:val="Heading2"/>
      </w:pPr>
      <w:bookmarkStart w:id="17" w:name="_Toc38030479"/>
      <w:bookmarkStart w:id="18" w:name="_Toc38030522"/>
      <w:bookmarkStart w:id="19" w:name="_Toc38030565"/>
      <w:bookmarkStart w:id="20" w:name="_Toc38031740"/>
      <w:bookmarkStart w:id="21" w:name="_Toc32310826"/>
      <w:bookmarkStart w:id="22" w:name="_Toc32310869"/>
      <w:r>
        <w:rPr>
          <w:rStyle w:val="CharPartNo"/>
        </w:rPr>
        <w:t>Part 2</w:t>
      </w:r>
      <w:r>
        <w:rPr>
          <w:rStyle w:val="CharDivNo"/>
        </w:rPr>
        <w:t> </w:t>
      </w:r>
      <w:r>
        <w:t>—</w:t>
      </w:r>
      <w:r>
        <w:rPr>
          <w:rStyle w:val="CharDivText"/>
        </w:rPr>
        <w:t> </w:t>
      </w:r>
      <w:r>
        <w:rPr>
          <w:rStyle w:val="CharPartText"/>
        </w:rPr>
        <w:t>General</w:t>
      </w:r>
      <w:bookmarkEnd w:id="17"/>
      <w:bookmarkEnd w:id="18"/>
      <w:bookmarkEnd w:id="19"/>
      <w:bookmarkEnd w:id="20"/>
      <w:bookmarkEnd w:id="21"/>
      <w:bookmarkEnd w:id="22"/>
    </w:p>
    <w:p>
      <w:pPr>
        <w:pStyle w:val="Heading5"/>
      </w:pPr>
      <w:bookmarkStart w:id="23" w:name="_Toc38031741"/>
      <w:bookmarkStart w:id="24" w:name="_Toc32310870"/>
      <w:r>
        <w:rPr>
          <w:rStyle w:val="CharSectno"/>
        </w:rPr>
        <w:t>4</w:t>
      </w:r>
      <w:r>
        <w:t>.</w:t>
      </w:r>
      <w:r>
        <w:tab/>
        <w:t xml:space="preserve">Acts prescribed for purpose of definition of </w:t>
      </w:r>
      <w:r>
        <w:rPr>
          <w:i/>
          <w:iCs/>
        </w:rPr>
        <w:t>vocational regulatory body</w:t>
      </w:r>
      <w:bookmarkEnd w:id="23"/>
      <w:bookmarkEnd w:id="24"/>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25" w:name="_Toc38031742"/>
      <w:bookmarkStart w:id="26" w:name="_Toc32310871"/>
      <w:r>
        <w:rPr>
          <w:rStyle w:val="CharSectno"/>
        </w:rPr>
        <w:t>5</w:t>
      </w:r>
      <w:r>
        <w:t>.</w:t>
      </w:r>
      <w:r>
        <w:tab/>
        <w:t>Register of proceedings</w:t>
      </w:r>
      <w:bookmarkEnd w:id="25"/>
      <w:bookmarkEnd w:id="26"/>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27" w:name="_Toc38031743"/>
      <w:bookmarkStart w:id="28" w:name="_Toc32310872"/>
      <w:r>
        <w:rPr>
          <w:rStyle w:val="CharSectno"/>
        </w:rPr>
        <w:t>6</w:t>
      </w:r>
      <w:r>
        <w:t>.</w:t>
      </w:r>
      <w:r>
        <w:tab/>
        <w:t>Prescribed places: s. 116(3)(a) of Act</w:t>
      </w:r>
      <w:bookmarkEnd w:id="27"/>
      <w:bookmarkEnd w:id="28"/>
    </w:p>
    <w:p>
      <w:pPr>
        <w:pStyle w:val="Subsection"/>
      </w:pPr>
      <w:r>
        <w:tab/>
      </w:r>
      <w:r>
        <w:tab/>
        <w:t>For the purposes of the Act section 116(3)(a), the places listed in Schedule 2 are prescribed.</w:t>
      </w:r>
    </w:p>
    <w:p>
      <w:pPr>
        <w:pStyle w:val="Heading5"/>
      </w:pPr>
      <w:bookmarkStart w:id="29" w:name="_Toc38031744"/>
      <w:bookmarkStart w:id="30" w:name="_Toc32310873"/>
      <w:r>
        <w:rPr>
          <w:rStyle w:val="CharSectno"/>
        </w:rPr>
        <w:t>7</w:t>
      </w:r>
      <w:r>
        <w:t>.</w:t>
      </w:r>
      <w:r>
        <w:tab/>
        <w:t>Class prescribed: s. 117(5)(a) of Act</w:t>
      </w:r>
      <w:bookmarkEnd w:id="29"/>
      <w:bookmarkEnd w:id="30"/>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31" w:name="_Toc38030484"/>
      <w:bookmarkStart w:id="32" w:name="_Toc38030527"/>
      <w:bookmarkStart w:id="33" w:name="_Toc38030570"/>
      <w:bookmarkStart w:id="34" w:name="_Toc38031745"/>
      <w:bookmarkStart w:id="35" w:name="_Toc32310831"/>
      <w:bookmarkStart w:id="36" w:name="_Toc32310874"/>
      <w:r>
        <w:rPr>
          <w:rStyle w:val="CharPartNo"/>
        </w:rPr>
        <w:t>Part 3</w:t>
      </w:r>
      <w:r>
        <w:rPr>
          <w:rStyle w:val="CharDivNo"/>
        </w:rPr>
        <w:t> </w:t>
      </w:r>
      <w:r>
        <w:t>—</w:t>
      </w:r>
      <w:r>
        <w:rPr>
          <w:rStyle w:val="CharDivText"/>
        </w:rPr>
        <w:t> </w:t>
      </w:r>
      <w:r>
        <w:rPr>
          <w:rStyle w:val="CharPartText"/>
        </w:rPr>
        <w:t>Fees</w:t>
      </w:r>
      <w:bookmarkEnd w:id="31"/>
      <w:bookmarkEnd w:id="32"/>
      <w:bookmarkEnd w:id="33"/>
      <w:bookmarkEnd w:id="34"/>
      <w:bookmarkEnd w:id="35"/>
      <w:bookmarkEnd w:id="36"/>
    </w:p>
    <w:p>
      <w:pPr>
        <w:pStyle w:val="Heading5"/>
      </w:pPr>
      <w:bookmarkStart w:id="37" w:name="_Toc38031746"/>
      <w:bookmarkStart w:id="38" w:name="_Toc32310875"/>
      <w:r>
        <w:rPr>
          <w:rStyle w:val="CharSectno"/>
        </w:rPr>
        <w:t>8</w:t>
      </w:r>
      <w:r>
        <w:t>.</w:t>
      </w:r>
      <w:r>
        <w:tab/>
        <w:t>General</w:t>
      </w:r>
      <w:bookmarkEnd w:id="37"/>
      <w:bookmarkEnd w:id="38"/>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tab/>
        <w:t>(5)</w:t>
      </w:r>
      <w:r>
        <w:tab/>
        <w:t xml:space="preserve">A person is not required to pay a fee in respect of a matter if — </w:t>
      </w:r>
    </w:p>
    <w:p>
      <w:pPr>
        <w:pStyle w:val="Indenta"/>
        <w:keepNext/>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39" w:name="_Toc38031747"/>
      <w:bookmarkStart w:id="40" w:name="_Toc32310876"/>
      <w:r>
        <w:rPr>
          <w:rStyle w:val="CharSectno"/>
        </w:rPr>
        <w:t>9A</w:t>
      </w:r>
      <w:r>
        <w:t>.</w:t>
      </w:r>
      <w:r>
        <w:tab/>
        <w:t>Who is an eligible individual or eligible entity</w:t>
      </w:r>
      <w:bookmarkEnd w:id="39"/>
      <w:bookmarkEnd w:id="40"/>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41" w:name="_Toc38031748"/>
      <w:bookmarkStart w:id="42" w:name="_Toc32310877"/>
      <w:r>
        <w:rPr>
          <w:rStyle w:val="CharSectno"/>
        </w:rPr>
        <w:t>9B</w:t>
      </w:r>
      <w:r>
        <w:t>.</w:t>
      </w:r>
      <w:r>
        <w:tab/>
        <w:t>Application to be recognised as eligible individual or eligible entity</w:t>
      </w:r>
      <w:bookmarkEnd w:id="41"/>
      <w:bookmarkEnd w:id="42"/>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43" w:name="_Toc38031749"/>
      <w:bookmarkStart w:id="44" w:name="_Toc32310878"/>
      <w:r>
        <w:rPr>
          <w:rStyle w:val="CharSectno"/>
        </w:rPr>
        <w:t>9C</w:t>
      </w:r>
      <w:r>
        <w:t>.</w:t>
      </w:r>
      <w:r>
        <w:tab/>
        <w:t>Recognition as eligible individual or eligible entity</w:t>
      </w:r>
      <w:bookmarkEnd w:id="43"/>
      <w:bookmarkEnd w:id="44"/>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45" w:name="_Toc38031750"/>
      <w:bookmarkStart w:id="46" w:name="_Toc32310879"/>
      <w:r>
        <w:rPr>
          <w:rStyle w:val="CharSectno"/>
        </w:rPr>
        <w:t>9D</w:t>
      </w:r>
      <w:r>
        <w:t>.</w:t>
      </w:r>
      <w:r>
        <w:tab/>
        <w:t>False or misleading statements</w:t>
      </w:r>
      <w:bookmarkEnd w:id="45"/>
      <w:bookmarkEnd w:id="46"/>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47" w:name="_Toc38031751"/>
      <w:bookmarkStart w:id="48" w:name="_Toc32310880"/>
      <w:r>
        <w:rPr>
          <w:rStyle w:val="CharSectno"/>
        </w:rPr>
        <w:t>9E</w:t>
      </w:r>
      <w:r>
        <w:t>.</w:t>
      </w:r>
      <w:r>
        <w:tab/>
        <w:t>Refunds</w:t>
      </w:r>
      <w:bookmarkEnd w:id="47"/>
      <w:bookmarkEnd w:id="48"/>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49" w:name="_Toc38031752"/>
      <w:bookmarkStart w:id="50" w:name="_Toc32310881"/>
      <w:r>
        <w:rPr>
          <w:rStyle w:val="CharSectno"/>
        </w:rPr>
        <w:t>9F</w:t>
      </w:r>
      <w:r>
        <w:t>.</w:t>
      </w:r>
      <w:r>
        <w:tab/>
        <w:t>Waiving fee for copy of document or transcript</w:t>
      </w:r>
      <w:bookmarkEnd w:id="49"/>
      <w:bookmarkEnd w:id="50"/>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Gazette 14 Jun 2016 p. 1941.]</w:t>
      </w:r>
    </w:p>
    <w:p>
      <w:pPr>
        <w:pStyle w:val="Heading5"/>
      </w:pPr>
      <w:bookmarkStart w:id="51" w:name="_Toc38031753"/>
      <w:bookmarkStart w:id="52" w:name="_Toc32310882"/>
      <w:r>
        <w:rPr>
          <w:rStyle w:val="CharSectno"/>
        </w:rPr>
        <w:t>9</w:t>
      </w:r>
      <w:r>
        <w:t>.</w:t>
      </w:r>
      <w:r>
        <w:tab/>
        <w:t>Fees relating to application under provision in Sch. 3, 4 or 6</w:t>
      </w:r>
      <w:bookmarkEnd w:id="51"/>
      <w:bookmarkEnd w:id="52"/>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rPr>
                <w:sz w:val="22"/>
                <w:szCs w:val="22"/>
              </w:rPr>
            </w:pPr>
            <w:r>
              <w:rPr>
                <w:b/>
                <w:sz w:val="22"/>
                <w:szCs w:val="22"/>
              </w:rPr>
              <w:t>Item</w:t>
            </w:r>
          </w:p>
        </w:tc>
        <w:tc>
          <w:tcPr>
            <w:tcW w:w="2268" w:type="dxa"/>
            <w:tcBorders>
              <w:bottom w:val="single" w:sz="4" w:space="0" w:color="auto"/>
            </w:tcBorders>
          </w:tcPr>
          <w:p>
            <w:pPr>
              <w:pStyle w:val="TableNAm"/>
              <w:jc w:val="center"/>
              <w:rPr>
                <w:sz w:val="22"/>
                <w:szCs w:val="22"/>
              </w:rPr>
            </w:pPr>
            <w:r>
              <w:rPr>
                <w:b/>
                <w:sz w:val="22"/>
                <w:szCs w:val="22"/>
              </w:rPr>
              <w:t>Matter</w:t>
            </w:r>
          </w:p>
        </w:tc>
        <w:tc>
          <w:tcPr>
            <w:tcW w:w="1307" w:type="dxa"/>
            <w:tcBorders>
              <w:bottom w:val="single" w:sz="4" w:space="0" w:color="auto"/>
            </w:tcBorders>
          </w:tcPr>
          <w:p>
            <w:pPr>
              <w:pStyle w:val="TableNAm"/>
              <w:jc w:val="center"/>
              <w:rPr>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307" w:type="dxa"/>
            <w:tcBorders>
              <w:bottom w:val="single" w:sz="4" w:space="0" w:color="auto"/>
            </w:tcBorders>
          </w:tcPr>
          <w:p>
            <w:pPr>
              <w:pStyle w:val="TableNAm"/>
              <w:jc w:val="center"/>
              <w:rPr>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pPr>
              <w:pStyle w:val="TableNAm"/>
              <w:jc w:val="center"/>
              <w:rPr>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tcPr>
          <w:p>
            <w:pPr>
              <w:pStyle w:val="TableNAm"/>
              <w:rPr>
                <w:sz w:val="22"/>
                <w:szCs w:val="22"/>
              </w:rPr>
            </w:pPr>
            <w:r>
              <w:rPr>
                <w:sz w:val="22"/>
                <w:szCs w:val="22"/>
              </w:rPr>
              <w:t>1.</w:t>
            </w:r>
          </w:p>
        </w:tc>
        <w:tc>
          <w:tcPr>
            <w:tcW w:w="2268" w:type="dxa"/>
            <w:tcBorders>
              <w:bottom w:val="nil"/>
            </w:tcBorders>
          </w:tcPr>
          <w:p>
            <w:pPr>
              <w:pStyle w:val="TableNAm"/>
              <w:rPr>
                <w:sz w:val="22"/>
                <w:szCs w:val="22"/>
              </w:rPr>
            </w:pPr>
            <w:r>
              <w:rPr>
                <w:sz w:val="22"/>
                <w:szCs w:val="22"/>
              </w:rPr>
              <w:t>Application</w:t>
            </w:r>
          </w:p>
        </w:tc>
        <w:tc>
          <w:tcPr>
            <w:tcW w:w="1307" w:type="dxa"/>
            <w:tcBorders>
              <w:bottom w:val="nil"/>
            </w:tcBorders>
            <w:vAlign w:val="bottom"/>
          </w:tcPr>
          <w:p>
            <w:pPr>
              <w:pStyle w:val="zyTableNAm"/>
              <w:rPr>
                <w:szCs w:val="22"/>
              </w:rPr>
            </w:pPr>
            <w:r>
              <w:rPr>
                <w:szCs w:val="22"/>
              </w:rPr>
              <w:t>1 832.00</w:t>
            </w:r>
          </w:p>
        </w:tc>
        <w:tc>
          <w:tcPr>
            <w:tcW w:w="1307" w:type="dxa"/>
            <w:tcBorders>
              <w:bottom w:val="nil"/>
            </w:tcBorders>
            <w:vAlign w:val="bottom"/>
          </w:tcPr>
          <w:p>
            <w:pPr>
              <w:pStyle w:val="zyTableNAm"/>
              <w:rPr>
                <w:szCs w:val="22"/>
              </w:rPr>
            </w:pPr>
            <w:r>
              <w:rPr>
                <w:szCs w:val="22"/>
              </w:rPr>
              <w:t>1 832.00</w:t>
            </w:r>
          </w:p>
        </w:tc>
        <w:tc>
          <w:tcPr>
            <w:tcW w:w="1308" w:type="dxa"/>
            <w:tcBorders>
              <w:bottom w:val="nil"/>
            </w:tcBorders>
            <w:vAlign w:val="bottom"/>
          </w:tcPr>
          <w:p>
            <w:pPr>
              <w:pStyle w:val="zyTableNAm"/>
              <w:rPr>
                <w:szCs w:val="22"/>
              </w:rPr>
            </w:pPr>
            <w:r>
              <w:rPr>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2.</w:t>
            </w:r>
          </w:p>
        </w:tc>
        <w:tc>
          <w:tcPr>
            <w:tcW w:w="2268"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zyTableNAm"/>
              <w:rPr>
                <w:szCs w:val="22"/>
              </w:rPr>
            </w:pPr>
            <w:r>
              <w:rPr>
                <w:szCs w:val="22"/>
              </w:rPr>
              <w:t>1 832.00</w:t>
            </w:r>
          </w:p>
        </w:tc>
        <w:tc>
          <w:tcPr>
            <w:tcW w:w="1307" w:type="dxa"/>
            <w:tcBorders>
              <w:top w:val="single" w:sz="4" w:space="0" w:color="auto"/>
              <w:bottom w:val="single" w:sz="4" w:space="0" w:color="auto"/>
            </w:tcBorders>
            <w:vAlign w:val="bottom"/>
          </w:tcPr>
          <w:p>
            <w:pPr>
              <w:pStyle w:val="zyTableNAm"/>
              <w:rPr>
                <w:szCs w:val="22"/>
              </w:rPr>
            </w:pPr>
            <w:r>
              <w:rPr>
                <w:szCs w:val="22"/>
              </w:rPr>
              <w:t>1 832.00</w:t>
            </w:r>
          </w:p>
        </w:tc>
        <w:tc>
          <w:tcPr>
            <w:tcW w:w="1308" w:type="dxa"/>
            <w:tcBorders>
              <w:top w:val="single" w:sz="4" w:space="0" w:color="auto"/>
              <w:bottom w:val="single" w:sz="4" w:space="0" w:color="auto"/>
            </w:tcBorders>
            <w:vAlign w:val="bottom"/>
          </w:tcPr>
          <w:p>
            <w:pPr>
              <w:pStyle w:val="zyTableNAm"/>
              <w:rPr>
                <w:szCs w:val="22"/>
              </w:rPr>
            </w:pPr>
            <w:r>
              <w:rPr>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3.</w:t>
            </w:r>
          </w:p>
        </w:tc>
        <w:tc>
          <w:tcPr>
            <w:tcW w:w="2268"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307" w:type="dxa"/>
            <w:tcBorders>
              <w:top w:val="single" w:sz="4" w:space="0" w:color="auto"/>
              <w:bottom w:val="single" w:sz="4" w:space="0" w:color="auto"/>
            </w:tcBorders>
          </w:tcPr>
          <w:p>
            <w:pPr>
              <w:pStyle w:val="TableNAm"/>
              <w:rPr>
                <w:sz w:val="22"/>
                <w:szCs w:val="22"/>
              </w:rPr>
            </w:pPr>
            <w:r>
              <w:rPr>
                <w:sz w:val="22"/>
                <w:szCs w:val="22"/>
              </w:rPr>
              <w:t>342.00 plus assessment fee of 2.50% of the costs claimed in the application</w:t>
            </w:r>
          </w:p>
        </w:tc>
        <w:tc>
          <w:tcPr>
            <w:tcW w:w="1307" w:type="dxa"/>
            <w:tcBorders>
              <w:top w:val="single" w:sz="4" w:space="0" w:color="auto"/>
              <w:bottom w:val="single" w:sz="4" w:space="0" w:color="auto"/>
            </w:tcBorders>
          </w:tcPr>
          <w:p>
            <w:pPr>
              <w:pStyle w:val="TableNAm"/>
              <w:rPr>
                <w:sz w:val="22"/>
                <w:szCs w:val="22"/>
              </w:rPr>
            </w:pPr>
            <w:r>
              <w:rPr>
                <w:sz w:val="22"/>
                <w:szCs w:val="22"/>
              </w:rPr>
              <w:t>509.00 plus assessment fee of 2.50% of the costs claimed in the application</w:t>
            </w:r>
          </w:p>
        </w:tc>
        <w:tc>
          <w:tcPr>
            <w:tcW w:w="1308" w:type="dxa"/>
            <w:tcBorders>
              <w:top w:val="single" w:sz="4" w:space="0" w:color="auto"/>
              <w:bottom w:val="single" w:sz="4" w:space="0" w:color="auto"/>
            </w:tcBorders>
          </w:tcPr>
          <w:p>
            <w:pPr>
              <w:pStyle w:val="TableNAm"/>
              <w:rPr>
                <w:sz w:val="22"/>
                <w:szCs w:val="22"/>
              </w:rPr>
            </w:pPr>
            <w:r>
              <w:rPr>
                <w:sz w:val="22"/>
                <w:szCs w:val="22"/>
              </w:rPr>
              <w:t>100.00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pPr>
            <w:r>
              <w:rPr>
                <w:b/>
                <w:sz w:val="22"/>
                <w:szCs w:val="22"/>
              </w:rPr>
              <w:t>Item</w:t>
            </w:r>
          </w:p>
        </w:tc>
        <w:tc>
          <w:tcPr>
            <w:tcW w:w="2268" w:type="dxa"/>
            <w:tcBorders>
              <w:bottom w:val="single" w:sz="4" w:space="0" w:color="auto"/>
            </w:tcBorders>
          </w:tcPr>
          <w:p>
            <w:pPr>
              <w:pStyle w:val="TableNAm"/>
              <w:jc w:val="center"/>
            </w:pPr>
            <w:r>
              <w:rPr>
                <w:b/>
                <w:sz w:val="22"/>
                <w:szCs w:val="22"/>
              </w:rPr>
              <w:t>Matter</w:t>
            </w:r>
          </w:p>
        </w:tc>
        <w:tc>
          <w:tcPr>
            <w:tcW w:w="1307"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307"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308"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vAlign w:val="bottom"/>
          </w:tcPr>
          <w:p>
            <w:pPr>
              <w:pStyle w:val="TableNAm"/>
            </w:pPr>
            <w:r>
              <w:rPr>
                <w:sz w:val="22"/>
                <w:szCs w:val="22"/>
              </w:rPr>
              <w:t>669.00</w:t>
            </w:r>
          </w:p>
        </w:tc>
        <w:tc>
          <w:tcPr>
            <w:tcW w:w="1307" w:type="dxa"/>
            <w:tcBorders>
              <w:bottom w:val="nil"/>
            </w:tcBorders>
            <w:vAlign w:val="bottom"/>
          </w:tcPr>
          <w:p>
            <w:pPr>
              <w:pStyle w:val="TableNAm"/>
            </w:pPr>
            <w:r>
              <w:rPr>
                <w:sz w:val="22"/>
                <w:szCs w:val="22"/>
              </w:rPr>
              <w:t>1 220.00</w:t>
            </w:r>
          </w:p>
        </w:tc>
        <w:tc>
          <w:tcPr>
            <w:tcW w:w="1308" w:type="dxa"/>
            <w:tcBorders>
              <w:bottom w:val="nil"/>
            </w:tcBorders>
            <w:vAlign w:val="bottom"/>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pPr>
            <w:r>
              <w:rPr>
                <w:sz w:val="22"/>
                <w:szCs w:val="22"/>
              </w:rPr>
              <w:t>612.00</w:t>
            </w:r>
          </w:p>
        </w:tc>
        <w:tc>
          <w:tcPr>
            <w:tcW w:w="1307" w:type="dxa"/>
            <w:tcBorders>
              <w:top w:val="single" w:sz="4" w:space="0" w:color="auto"/>
              <w:bottom w:val="single" w:sz="4" w:space="0" w:color="auto"/>
            </w:tcBorders>
            <w:vAlign w:val="bottom"/>
          </w:tcPr>
          <w:p>
            <w:pPr>
              <w:pStyle w:val="TableNAm"/>
            </w:pPr>
            <w:r>
              <w:rPr>
                <w:sz w:val="22"/>
                <w:szCs w:val="22"/>
              </w:rPr>
              <w:t>792.00</w:t>
            </w:r>
          </w:p>
        </w:tc>
        <w:tc>
          <w:tcPr>
            <w:tcW w:w="1308" w:type="dxa"/>
            <w:tcBorders>
              <w:top w:val="single" w:sz="4" w:space="0" w:color="auto"/>
              <w:bottom w:val="single" w:sz="4" w:space="0" w:color="auto"/>
            </w:tcBorders>
            <w:vAlign w:val="bottom"/>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242.00 plus assessment fee of 2.50% of the costs claimed in the application</w:t>
            </w:r>
          </w:p>
        </w:tc>
        <w:tc>
          <w:tcPr>
            <w:tcW w:w="1307" w:type="dxa"/>
            <w:tcBorders>
              <w:top w:val="single" w:sz="4" w:space="0" w:color="auto"/>
              <w:bottom w:val="single" w:sz="4" w:space="0" w:color="auto"/>
            </w:tcBorders>
          </w:tcPr>
          <w:p>
            <w:pPr>
              <w:pStyle w:val="TableNAm"/>
            </w:pPr>
            <w:r>
              <w:rPr>
                <w:sz w:val="22"/>
                <w:szCs w:val="22"/>
              </w:rPr>
              <w:t>363.00 plus assessment fee of 2.50% of the costs claimed in the application</w:t>
            </w:r>
          </w:p>
        </w:tc>
        <w:tc>
          <w:tcPr>
            <w:tcW w:w="1308" w:type="dxa"/>
            <w:tcBorders>
              <w:top w:val="single" w:sz="4" w:space="0" w:color="auto"/>
              <w:bottom w:val="single" w:sz="4" w:space="0" w:color="auto"/>
            </w:tcBorders>
          </w:tcPr>
          <w:p>
            <w:pPr>
              <w:pStyle w:val="TableNAm"/>
            </w:pPr>
            <w:r>
              <w:rPr>
                <w:sz w:val="22"/>
                <w:szCs w:val="22"/>
              </w:rPr>
              <w:t>72.50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pPr>
            <w:r>
              <w:rPr>
                <w:b/>
                <w:sz w:val="22"/>
                <w:szCs w:val="22"/>
              </w:rPr>
              <w:t>Item</w:t>
            </w:r>
          </w:p>
        </w:tc>
        <w:tc>
          <w:tcPr>
            <w:tcW w:w="2268" w:type="dxa"/>
            <w:tcBorders>
              <w:bottom w:val="single" w:sz="4" w:space="0" w:color="auto"/>
            </w:tcBorders>
          </w:tcPr>
          <w:p>
            <w:pPr>
              <w:pStyle w:val="TableNAm"/>
              <w:jc w:val="center"/>
            </w:pPr>
            <w:r>
              <w:rPr>
                <w:b/>
                <w:sz w:val="22"/>
                <w:szCs w:val="22"/>
              </w:rPr>
              <w:t>Matter</w:t>
            </w:r>
          </w:p>
        </w:tc>
        <w:tc>
          <w:tcPr>
            <w:tcW w:w="1307"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307"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308"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vAlign w:val="bottom"/>
          </w:tcPr>
          <w:p>
            <w:pPr>
              <w:pStyle w:val="TableNAm"/>
            </w:pPr>
            <w:r>
              <w:rPr>
                <w:sz w:val="22"/>
                <w:szCs w:val="22"/>
              </w:rPr>
              <w:t>122.50</w:t>
            </w:r>
          </w:p>
        </w:tc>
        <w:tc>
          <w:tcPr>
            <w:tcW w:w="1307" w:type="dxa"/>
            <w:tcBorders>
              <w:bottom w:val="nil"/>
            </w:tcBorders>
            <w:vAlign w:val="bottom"/>
          </w:tcPr>
          <w:p>
            <w:pPr>
              <w:pStyle w:val="TableNAm"/>
            </w:pPr>
            <w:r>
              <w:rPr>
                <w:sz w:val="22"/>
                <w:szCs w:val="22"/>
              </w:rPr>
              <w:t>122.50</w:t>
            </w:r>
          </w:p>
        </w:tc>
        <w:tc>
          <w:tcPr>
            <w:tcW w:w="1308" w:type="dxa"/>
            <w:tcBorders>
              <w:bottom w:val="nil"/>
            </w:tcBorders>
            <w:vAlign w:val="bottom"/>
          </w:tcPr>
          <w:p>
            <w:pPr>
              <w:pStyle w:val="TableNAm"/>
            </w:pPr>
            <w:r>
              <w:rPr>
                <w:sz w:val="22"/>
                <w:szCs w:val="22"/>
              </w:rPr>
              <w:t>36.80</w:t>
            </w:r>
          </w:p>
        </w:tc>
      </w:tr>
      <w:tr>
        <w:trPr>
          <w:cantSplit/>
        </w:trP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pPr>
            <w:r>
              <w:rPr>
                <w:sz w:val="22"/>
                <w:szCs w:val="22"/>
              </w:rPr>
              <w:t>243.00</w:t>
            </w:r>
          </w:p>
        </w:tc>
        <w:tc>
          <w:tcPr>
            <w:tcW w:w="1307" w:type="dxa"/>
            <w:tcBorders>
              <w:top w:val="single" w:sz="4" w:space="0" w:color="auto"/>
              <w:bottom w:val="single" w:sz="4" w:space="0" w:color="auto"/>
            </w:tcBorders>
            <w:vAlign w:val="bottom"/>
          </w:tcPr>
          <w:p>
            <w:pPr>
              <w:pStyle w:val="TableNAm"/>
            </w:pPr>
            <w:r>
              <w:rPr>
                <w:sz w:val="22"/>
                <w:szCs w:val="22"/>
              </w:rPr>
              <w:t>243.00</w:t>
            </w:r>
          </w:p>
        </w:tc>
        <w:tc>
          <w:tcPr>
            <w:tcW w:w="1308" w:type="dxa"/>
            <w:tcBorders>
              <w:top w:val="single" w:sz="4" w:space="0" w:color="auto"/>
              <w:bottom w:val="single" w:sz="4" w:space="0" w:color="auto"/>
            </w:tcBorders>
            <w:vAlign w:val="bottom"/>
          </w:tcPr>
          <w:p>
            <w:pPr>
              <w:pStyle w:val="TableNAm"/>
            </w:pPr>
            <w:r>
              <w:rPr>
                <w:sz w:val="22"/>
                <w:szCs w:val="22"/>
              </w:rPr>
              <w:t>73.00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118.50 plus assessment fee of 2.50% of the costs claimed in the application</w:t>
            </w:r>
          </w:p>
        </w:tc>
        <w:tc>
          <w:tcPr>
            <w:tcW w:w="1307" w:type="dxa"/>
            <w:tcBorders>
              <w:top w:val="single" w:sz="4" w:space="0" w:color="auto"/>
              <w:bottom w:val="single" w:sz="4" w:space="0" w:color="auto"/>
            </w:tcBorders>
          </w:tcPr>
          <w:p>
            <w:pPr>
              <w:pStyle w:val="TableNAm"/>
            </w:pPr>
            <w:r>
              <w:rPr>
                <w:sz w:val="22"/>
                <w:szCs w:val="22"/>
              </w:rPr>
              <w:t>176.00 plus assessment fee of 2.50% of the costs claimed in the application</w:t>
            </w:r>
          </w:p>
        </w:tc>
        <w:tc>
          <w:tcPr>
            <w:tcW w:w="1308" w:type="dxa"/>
            <w:tcBorders>
              <w:top w:val="single" w:sz="4" w:space="0" w:color="auto"/>
              <w:bottom w:val="single" w:sz="4" w:space="0" w:color="auto"/>
            </w:tcBorders>
          </w:tcPr>
          <w:p>
            <w:pPr>
              <w:pStyle w:val="TableNAm"/>
            </w:pPr>
            <w:r>
              <w:rPr>
                <w:sz w:val="22"/>
                <w:szCs w:val="22"/>
              </w:rPr>
              <w:t>35.50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w:t>
      </w:r>
    </w:p>
    <w:p>
      <w:pPr>
        <w:pStyle w:val="Heading5"/>
        <w:pageBreakBefore/>
        <w:spacing w:before="0"/>
      </w:pPr>
      <w:bookmarkStart w:id="53" w:name="_Toc38031754"/>
      <w:bookmarkStart w:id="54" w:name="_Toc32310883"/>
      <w:r>
        <w:rPr>
          <w:rStyle w:val="CharSectno"/>
        </w:rPr>
        <w:t>10</w:t>
      </w:r>
      <w:r>
        <w:t>.</w:t>
      </w:r>
      <w:r>
        <w:tab/>
        <w:t>Fees relating to application to do with development on land</w:t>
      </w:r>
      <w:bookmarkEnd w:id="53"/>
      <w:bookmarkEnd w:id="54"/>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keepNext/>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pPr>
            <w:r>
              <w:rPr>
                <w:b/>
                <w:sz w:val="22"/>
                <w:szCs w:val="22"/>
              </w:rPr>
              <w:t>Item</w:t>
            </w:r>
          </w:p>
        </w:tc>
        <w:tc>
          <w:tcPr>
            <w:tcW w:w="2268" w:type="dxa"/>
            <w:tcBorders>
              <w:bottom w:val="single" w:sz="4" w:space="0" w:color="auto"/>
            </w:tcBorders>
          </w:tcPr>
          <w:p>
            <w:pPr>
              <w:pStyle w:val="TableNAm"/>
              <w:jc w:val="center"/>
            </w:pPr>
            <w:r>
              <w:rPr>
                <w:b/>
                <w:sz w:val="22"/>
                <w:szCs w:val="22"/>
              </w:rPr>
              <w:t>Matter</w:t>
            </w:r>
          </w:p>
        </w:tc>
        <w:tc>
          <w:tcPr>
            <w:tcW w:w="1307"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307"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308"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vAlign w:val="bottom"/>
          </w:tcPr>
          <w:p>
            <w:pPr>
              <w:pStyle w:val="TableNAm"/>
            </w:pPr>
            <w:r>
              <w:rPr>
                <w:sz w:val="22"/>
                <w:szCs w:val="22"/>
              </w:rPr>
              <w:t>669.00</w:t>
            </w:r>
          </w:p>
        </w:tc>
        <w:tc>
          <w:tcPr>
            <w:tcW w:w="1307" w:type="dxa"/>
            <w:tcBorders>
              <w:bottom w:val="nil"/>
            </w:tcBorders>
            <w:vAlign w:val="bottom"/>
          </w:tcPr>
          <w:p>
            <w:pPr>
              <w:pStyle w:val="TableNAm"/>
            </w:pPr>
            <w:r>
              <w:rPr>
                <w:sz w:val="22"/>
                <w:szCs w:val="22"/>
              </w:rPr>
              <w:t>669.00</w:t>
            </w:r>
          </w:p>
        </w:tc>
        <w:tc>
          <w:tcPr>
            <w:tcW w:w="1308" w:type="dxa"/>
            <w:tcBorders>
              <w:bottom w:val="nil"/>
            </w:tcBorders>
            <w:vAlign w:val="bottom"/>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pPr>
            <w:r>
              <w:rPr>
                <w:sz w:val="22"/>
                <w:szCs w:val="22"/>
              </w:rPr>
              <w:t>612.00</w:t>
            </w:r>
          </w:p>
        </w:tc>
        <w:tc>
          <w:tcPr>
            <w:tcW w:w="1307" w:type="dxa"/>
            <w:tcBorders>
              <w:top w:val="single" w:sz="4" w:space="0" w:color="auto"/>
              <w:bottom w:val="single" w:sz="4" w:space="0" w:color="auto"/>
            </w:tcBorders>
            <w:vAlign w:val="bottom"/>
          </w:tcPr>
          <w:p>
            <w:pPr>
              <w:pStyle w:val="TableNAm"/>
            </w:pPr>
            <w:r>
              <w:rPr>
                <w:sz w:val="22"/>
                <w:szCs w:val="22"/>
              </w:rPr>
              <w:t>612.00</w:t>
            </w:r>
          </w:p>
        </w:tc>
        <w:tc>
          <w:tcPr>
            <w:tcW w:w="1308" w:type="dxa"/>
            <w:tcBorders>
              <w:top w:val="single" w:sz="4" w:space="0" w:color="auto"/>
              <w:bottom w:val="single" w:sz="4" w:space="0" w:color="auto"/>
            </w:tcBorders>
            <w:vAlign w:val="bottom"/>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242.00 plus assessment fee of 2.50% of the costs claimed in the application</w:t>
            </w:r>
          </w:p>
        </w:tc>
        <w:tc>
          <w:tcPr>
            <w:tcW w:w="1307" w:type="dxa"/>
            <w:tcBorders>
              <w:top w:val="single" w:sz="4" w:space="0" w:color="auto"/>
              <w:bottom w:val="single" w:sz="4" w:space="0" w:color="auto"/>
            </w:tcBorders>
          </w:tcPr>
          <w:p>
            <w:pPr>
              <w:pStyle w:val="TableNAm"/>
            </w:pPr>
            <w:r>
              <w:rPr>
                <w:sz w:val="22"/>
                <w:szCs w:val="22"/>
              </w:rPr>
              <w:t>242.00 plus assessment fee of 2.50% of the costs claimed in the application</w:t>
            </w:r>
          </w:p>
        </w:tc>
        <w:tc>
          <w:tcPr>
            <w:tcW w:w="1308" w:type="dxa"/>
            <w:tcBorders>
              <w:top w:val="single" w:sz="4" w:space="0" w:color="auto"/>
              <w:bottom w:val="single" w:sz="4" w:space="0" w:color="auto"/>
            </w:tcBorders>
          </w:tcPr>
          <w:p>
            <w:pPr>
              <w:pStyle w:val="TableNAm"/>
            </w:pPr>
            <w:r>
              <w:rPr>
                <w:sz w:val="22"/>
                <w:szCs w:val="22"/>
              </w:rPr>
              <w:t>72.50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284"/>
        <w:gridCol w:w="1276"/>
        <w:gridCol w:w="1316"/>
        <w:gridCol w:w="1330"/>
      </w:tblGrid>
      <w:tr>
        <w:trPr>
          <w:cantSplit/>
          <w:tblHeader/>
        </w:trPr>
        <w:tc>
          <w:tcPr>
            <w:tcW w:w="751" w:type="dxa"/>
            <w:tcBorders>
              <w:bottom w:val="single" w:sz="4" w:space="0" w:color="auto"/>
            </w:tcBorders>
          </w:tcPr>
          <w:p>
            <w:pPr>
              <w:pStyle w:val="TableNAm"/>
              <w:jc w:val="center"/>
            </w:pPr>
            <w:r>
              <w:rPr>
                <w:b/>
                <w:sz w:val="22"/>
                <w:szCs w:val="22"/>
              </w:rPr>
              <w:t>Item</w:t>
            </w:r>
          </w:p>
        </w:tc>
        <w:tc>
          <w:tcPr>
            <w:tcW w:w="2284" w:type="dxa"/>
            <w:tcBorders>
              <w:bottom w:val="single" w:sz="4" w:space="0" w:color="auto"/>
            </w:tcBorders>
          </w:tcPr>
          <w:p>
            <w:pPr>
              <w:pStyle w:val="TableNAm"/>
              <w:jc w:val="center"/>
            </w:pPr>
            <w:r>
              <w:rPr>
                <w:b/>
                <w:sz w:val="22"/>
                <w:szCs w:val="22"/>
              </w:rPr>
              <w:t>Matter</w:t>
            </w:r>
          </w:p>
        </w:tc>
        <w:tc>
          <w:tcPr>
            <w:tcW w:w="1276"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316"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330"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51" w:type="dxa"/>
            <w:tcBorders>
              <w:bottom w:val="nil"/>
            </w:tcBorders>
          </w:tcPr>
          <w:p>
            <w:pPr>
              <w:pStyle w:val="TableNAm"/>
            </w:pPr>
            <w:r>
              <w:rPr>
                <w:sz w:val="22"/>
                <w:szCs w:val="22"/>
              </w:rPr>
              <w:t>1.</w:t>
            </w:r>
          </w:p>
        </w:tc>
        <w:tc>
          <w:tcPr>
            <w:tcW w:w="2284" w:type="dxa"/>
            <w:tcBorders>
              <w:bottom w:val="nil"/>
            </w:tcBorders>
          </w:tcPr>
          <w:p>
            <w:pPr>
              <w:pStyle w:val="TableNAm"/>
            </w:pPr>
            <w:r>
              <w:rPr>
                <w:sz w:val="22"/>
                <w:szCs w:val="22"/>
              </w:rPr>
              <w:t>Application</w:t>
            </w:r>
          </w:p>
        </w:tc>
        <w:tc>
          <w:tcPr>
            <w:tcW w:w="1276" w:type="dxa"/>
            <w:tcBorders>
              <w:bottom w:val="nil"/>
            </w:tcBorders>
            <w:vAlign w:val="bottom"/>
          </w:tcPr>
          <w:p>
            <w:pPr>
              <w:pStyle w:val="TableNAm"/>
            </w:pPr>
            <w:r>
              <w:rPr>
                <w:sz w:val="22"/>
                <w:szCs w:val="22"/>
              </w:rPr>
              <w:t>1 220.00</w:t>
            </w:r>
          </w:p>
        </w:tc>
        <w:tc>
          <w:tcPr>
            <w:tcW w:w="1316" w:type="dxa"/>
            <w:tcBorders>
              <w:bottom w:val="nil"/>
            </w:tcBorders>
            <w:vAlign w:val="bottom"/>
          </w:tcPr>
          <w:p>
            <w:pPr>
              <w:pStyle w:val="TableNAm"/>
            </w:pPr>
            <w:r>
              <w:rPr>
                <w:sz w:val="22"/>
                <w:szCs w:val="22"/>
              </w:rPr>
              <w:t>1 220.00</w:t>
            </w:r>
          </w:p>
        </w:tc>
        <w:tc>
          <w:tcPr>
            <w:tcW w:w="1330" w:type="dxa"/>
            <w:tcBorders>
              <w:bottom w:val="nil"/>
            </w:tcBorders>
            <w:vAlign w:val="bottom"/>
          </w:tcPr>
          <w:p>
            <w:pPr>
              <w:pStyle w:val="TableNAm"/>
            </w:pPr>
            <w:r>
              <w:rPr>
                <w:sz w:val="22"/>
                <w:szCs w:val="22"/>
              </w:rPr>
              <w:t>100.00</w:t>
            </w:r>
          </w:p>
        </w:tc>
      </w:tr>
      <w:tr>
        <w:trPr>
          <w:cantSplit/>
        </w:trPr>
        <w:tc>
          <w:tcPr>
            <w:tcW w:w="751" w:type="dxa"/>
            <w:tcBorders>
              <w:top w:val="single" w:sz="4" w:space="0" w:color="auto"/>
              <w:bottom w:val="single" w:sz="4" w:space="0" w:color="auto"/>
            </w:tcBorders>
          </w:tcPr>
          <w:p>
            <w:pPr>
              <w:pStyle w:val="TableNAm"/>
            </w:pPr>
            <w:r>
              <w:rPr>
                <w:sz w:val="22"/>
                <w:szCs w:val="22"/>
              </w:rPr>
              <w:t>2.</w:t>
            </w:r>
          </w:p>
        </w:tc>
        <w:tc>
          <w:tcPr>
            <w:tcW w:w="2284"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276" w:type="dxa"/>
            <w:tcBorders>
              <w:top w:val="single" w:sz="4" w:space="0" w:color="auto"/>
              <w:bottom w:val="single" w:sz="4" w:space="0" w:color="auto"/>
            </w:tcBorders>
            <w:vAlign w:val="bottom"/>
          </w:tcPr>
          <w:p>
            <w:pPr>
              <w:pStyle w:val="TableNAm"/>
            </w:pPr>
            <w:r>
              <w:rPr>
                <w:sz w:val="22"/>
                <w:szCs w:val="22"/>
              </w:rPr>
              <w:t>792.00</w:t>
            </w:r>
          </w:p>
        </w:tc>
        <w:tc>
          <w:tcPr>
            <w:tcW w:w="1316" w:type="dxa"/>
            <w:tcBorders>
              <w:top w:val="single" w:sz="4" w:space="0" w:color="auto"/>
              <w:bottom w:val="single" w:sz="4" w:space="0" w:color="auto"/>
            </w:tcBorders>
            <w:vAlign w:val="bottom"/>
          </w:tcPr>
          <w:p>
            <w:pPr>
              <w:pStyle w:val="TableNAm"/>
            </w:pPr>
            <w:r>
              <w:rPr>
                <w:sz w:val="22"/>
                <w:szCs w:val="22"/>
              </w:rPr>
              <w:t>792.00</w:t>
            </w:r>
          </w:p>
        </w:tc>
        <w:tc>
          <w:tcPr>
            <w:tcW w:w="1330" w:type="dxa"/>
            <w:tcBorders>
              <w:top w:val="single" w:sz="4" w:space="0" w:color="auto"/>
              <w:bottom w:val="single" w:sz="4" w:space="0" w:color="auto"/>
            </w:tcBorders>
            <w:vAlign w:val="bottom"/>
          </w:tcPr>
          <w:p>
            <w:pPr>
              <w:pStyle w:val="TableNAm"/>
            </w:pPr>
            <w:r>
              <w:rPr>
                <w:sz w:val="22"/>
                <w:szCs w:val="22"/>
              </w:rPr>
              <w:t>100.00</w:t>
            </w:r>
          </w:p>
        </w:tc>
      </w:tr>
      <w:tr>
        <w:trPr>
          <w:cantSplit/>
        </w:trPr>
        <w:tc>
          <w:tcPr>
            <w:tcW w:w="751" w:type="dxa"/>
            <w:tcBorders>
              <w:top w:val="single" w:sz="4" w:space="0" w:color="auto"/>
              <w:bottom w:val="single" w:sz="4" w:space="0" w:color="auto"/>
            </w:tcBorders>
          </w:tcPr>
          <w:p>
            <w:pPr>
              <w:pStyle w:val="TableNAm"/>
            </w:pPr>
            <w:r>
              <w:rPr>
                <w:sz w:val="22"/>
                <w:szCs w:val="22"/>
              </w:rPr>
              <w:t>3.</w:t>
            </w:r>
          </w:p>
        </w:tc>
        <w:tc>
          <w:tcPr>
            <w:tcW w:w="2284" w:type="dxa"/>
            <w:tcBorders>
              <w:top w:val="single" w:sz="4" w:space="0" w:color="auto"/>
              <w:bottom w:val="single" w:sz="4" w:space="0" w:color="auto"/>
            </w:tcBorders>
          </w:tcPr>
          <w:p>
            <w:pPr>
              <w:pStyle w:val="TableNAm"/>
            </w:pPr>
            <w:r>
              <w:rPr>
                <w:sz w:val="22"/>
                <w:szCs w:val="22"/>
              </w:rPr>
              <w:t>Application for assessment of costs</w:t>
            </w:r>
          </w:p>
        </w:tc>
        <w:tc>
          <w:tcPr>
            <w:tcW w:w="1276" w:type="dxa"/>
            <w:tcBorders>
              <w:top w:val="single" w:sz="4" w:space="0" w:color="auto"/>
              <w:bottom w:val="single" w:sz="4" w:space="0" w:color="auto"/>
            </w:tcBorders>
          </w:tcPr>
          <w:p>
            <w:pPr>
              <w:pStyle w:val="TableNAm"/>
            </w:pPr>
            <w:r>
              <w:rPr>
                <w:sz w:val="22"/>
                <w:szCs w:val="22"/>
              </w:rPr>
              <w:t>363.00 plus assessment fee of 2.50% of the costs claimed in the application</w:t>
            </w:r>
          </w:p>
        </w:tc>
        <w:tc>
          <w:tcPr>
            <w:tcW w:w="1316" w:type="dxa"/>
            <w:tcBorders>
              <w:top w:val="single" w:sz="4" w:space="0" w:color="auto"/>
              <w:bottom w:val="single" w:sz="4" w:space="0" w:color="auto"/>
            </w:tcBorders>
          </w:tcPr>
          <w:p>
            <w:pPr>
              <w:pStyle w:val="TableNAm"/>
            </w:pPr>
            <w:r>
              <w:rPr>
                <w:sz w:val="22"/>
                <w:szCs w:val="22"/>
              </w:rPr>
              <w:t>363.00 plus assessment fee of 2.50% of the costs claimed in the application</w:t>
            </w:r>
          </w:p>
        </w:tc>
        <w:tc>
          <w:tcPr>
            <w:tcW w:w="1330" w:type="dxa"/>
            <w:tcBorders>
              <w:top w:val="single" w:sz="4" w:space="0" w:color="auto"/>
              <w:bottom w:val="single" w:sz="4" w:space="0" w:color="auto"/>
            </w:tcBorders>
          </w:tcPr>
          <w:p>
            <w:pPr>
              <w:pStyle w:val="TableNAm"/>
            </w:pPr>
            <w:r>
              <w:rPr>
                <w:sz w:val="22"/>
                <w:szCs w:val="22"/>
              </w:rP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w:t>
      </w:r>
    </w:p>
    <w:p>
      <w:pPr>
        <w:pStyle w:val="Heading5"/>
      </w:pPr>
      <w:bookmarkStart w:id="55" w:name="_Toc38031755"/>
      <w:bookmarkStart w:id="56" w:name="_Toc32310884"/>
      <w:r>
        <w:rPr>
          <w:rStyle w:val="CharSectno"/>
        </w:rPr>
        <w:t>11A</w:t>
      </w:r>
      <w:r>
        <w:t>.</w:t>
      </w:r>
      <w:r>
        <w:tab/>
        <w:t>No fee relating to application under provision in Sch. 7</w:t>
      </w:r>
      <w:bookmarkEnd w:id="55"/>
      <w:bookmarkEnd w:id="56"/>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Gazette 6 Aug 2013 p. 3652.]</w:t>
      </w:r>
    </w:p>
    <w:p>
      <w:pPr>
        <w:pStyle w:val="Heading5"/>
      </w:pPr>
      <w:bookmarkStart w:id="57" w:name="_Toc38031756"/>
      <w:bookmarkStart w:id="58" w:name="_Toc32310885"/>
      <w:r>
        <w:rPr>
          <w:rStyle w:val="CharSectno"/>
        </w:rPr>
        <w:t>11B</w:t>
      </w:r>
      <w:r>
        <w:t>.</w:t>
      </w:r>
      <w:r>
        <w:tab/>
        <w:t>Fees relating to application not covered by r. 9, 10 or 11A</w:t>
      </w:r>
      <w:bookmarkEnd w:id="57"/>
      <w:bookmarkEnd w:id="58"/>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284"/>
        <w:gridCol w:w="1417"/>
        <w:gridCol w:w="1276"/>
        <w:gridCol w:w="1229"/>
      </w:tblGrid>
      <w:tr>
        <w:trPr>
          <w:cantSplit/>
          <w:tblHeader/>
        </w:trPr>
        <w:tc>
          <w:tcPr>
            <w:tcW w:w="751" w:type="dxa"/>
            <w:tcBorders>
              <w:bottom w:val="single" w:sz="4" w:space="0" w:color="auto"/>
            </w:tcBorders>
          </w:tcPr>
          <w:p>
            <w:pPr>
              <w:pStyle w:val="TableNAm"/>
              <w:jc w:val="center"/>
            </w:pPr>
            <w:r>
              <w:rPr>
                <w:b/>
                <w:sz w:val="22"/>
                <w:szCs w:val="22"/>
              </w:rPr>
              <w:t>Item</w:t>
            </w:r>
          </w:p>
        </w:tc>
        <w:tc>
          <w:tcPr>
            <w:tcW w:w="2284" w:type="dxa"/>
            <w:tcBorders>
              <w:bottom w:val="single" w:sz="4" w:space="0" w:color="auto"/>
            </w:tcBorders>
          </w:tcPr>
          <w:p>
            <w:pPr>
              <w:pStyle w:val="TableNAm"/>
              <w:jc w:val="center"/>
            </w:pPr>
            <w:r>
              <w:rPr>
                <w:b/>
                <w:sz w:val="22"/>
                <w:szCs w:val="22"/>
              </w:rPr>
              <w:t>Matter</w:t>
            </w:r>
          </w:p>
        </w:tc>
        <w:tc>
          <w:tcPr>
            <w:tcW w:w="1417"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276"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229"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51" w:type="dxa"/>
            <w:tcBorders>
              <w:bottom w:val="nil"/>
            </w:tcBorders>
          </w:tcPr>
          <w:p>
            <w:pPr>
              <w:pStyle w:val="TableNAm"/>
            </w:pPr>
            <w:r>
              <w:rPr>
                <w:sz w:val="22"/>
                <w:szCs w:val="22"/>
              </w:rPr>
              <w:t>1.</w:t>
            </w:r>
          </w:p>
        </w:tc>
        <w:tc>
          <w:tcPr>
            <w:tcW w:w="2284" w:type="dxa"/>
            <w:tcBorders>
              <w:bottom w:val="nil"/>
            </w:tcBorders>
          </w:tcPr>
          <w:p>
            <w:pPr>
              <w:pStyle w:val="TableNAm"/>
            </w:pPr>
            <w:r>
              <w:rPr>
                <w:sz w:val="22"/>
                <w:szCs w:val="22"/>
              </w:rPr>
              <w:t>Application</w:t>
            </w:r>
          </w:p>
        </w:tc>
        <w:tc>
          <w:tcPr>
            <w:tcW w:w="1417" w:type="dxa"/>
            <w:tcBorders>
              <w:bottom w:val="nil"/>
            </w:tcBorders>
            <w:vAlign w:val="bottom"/>
          </w:tcPr>
          <w:p>
            <w:pPr>
              <w:pStyle w:val="TableNAm"/>
            </w:pPr>
            <w:r>
              <w:rPr>
                <w:sz w:val="22"/>
                <w:szCs w:val="22"/>
              </w:rPr>
              <w:t>550.00</w:t>
            </w:r>
          </w:p>
        </w:tc>
        <w:tc>
          <w:tcPr>
            <w:tcW w:w="1276" w:type="dxa"/>
            <w:tcBorders>
              <w:bottom w:val="nil"/>
            </w:tcBorders>
            <w:vAlign w:val="bottom"/>
          </w:tcPr>
          <w:p>
            <w:pPr>
              <w:pStyle w:val="TableNAm"/>
            </w:pPr>
            <w:r>
              <w:rPr>
                <w:sz w:val="22"/>
                <w:szCs w:val="22"/>
              </w:rPr>
              <w:t>550.00</w:t>
            </w:r>
          </w:p>
        </w:tc>
        <w:tc>
          <w:tcPr>
            <w:tcW w:w="1229" w:type="dxa"/>
            <w:tcBorders>
              <w:bottom w:val="nil"/>
            </w:tcBorders>
            <w:vAlign w:val="bottom"/>
          </w:tcPr>
          <w:p>
            <w:pPr>
              <w:pStyle w:val="TableNAm"/>
            </w:pPr>
            <w:r>
              <w:rPr>
                <w:sz w:val="22"/>
                <w:szCs w:val="22"/>
              </w:rPr>
              <w:t>100.00</w:t>
            </w:r>
          </w:p>
        </w:tc>
      </w:tr>
      <w:tr>
        <w:trPr>
          <w:cantSplit/>
        </w:trPr>
        <w:tc>
          <w:tcPr>
            <w:tcW w:w="751" w:type="dxa"/>
            <w:tcBorders>
              <w:top w:val="single" w:sz="4" w:space="0" w:color="auto"/>
              <w:bottom w:val="single" w:sz="4" w:space="0" w:color="auto"/>
            </w:tcBorders>
          </w:tcPr>
          <w:p>
            <w:pPr>
              <w:pStyle w:val="TableNAm"/>
            </w:pPr>
            <w:r>
              <w:rPr>
                <w:sz w:val="22"/>
                <w:szCs w:val="22"/>
              </w:rPr>
              <w:t>2.</w:t>
            </w:r>
          </w:p>
        </w:tc>
        <w:tc>
          <w:tcPr>
            <w:tcW w:w="2284"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417" w:type="dxa"/>
            <w:tcBorders>
              <w:top w:val="single" w:sz="4" w:space="0" w:color="auto"/>
              <w:bottom w:val="single" w:sz="4" w:space="0" w:color="auto"/>
            </w:tcBorders>
            <w:vAlign w:val="bottom"/>
          </w:tcPr>
          <w:p>
            <w:pPr>
              <w:pStyle w:val="TableNAm"/>
            </w:pPr>
            <w:r>
              <w:rPr>
                <w:sz w:val="22"/>
                <w:szCs w:val="22"/>
              </w:rPr>
              <w:t>550.00</w:t>
            </w:r>
          </w:p>
        </w:tc>
        <w:tc>
          <w:tcPr>
            <w:tcW w:w="1276" w:type="dxa"/>
            <w:tcBorders>
              <w:top w:val="single" w:sz="4" w:space="0" w:color="auto"/>
              <w:bottom w:val="single" w:sz="4" w:space="0" w:color="auto"/>
            </w:tcBorders>
            <w:vAlign w:val="bottom"/>
          </w:tcPr>
          <w:p>
            <w:pPr>
              <w:pStyle w:val="TableNAm"/>
            </w:pPr>
            <w:r>
              <w:rPr>
                <w:sz w:val="22"/>
                <w:szCs w:val="22"/>
              </w:rPr>
              <w:t>550.00</w:t>
            </w:r>
          </w:p>
        </w:tc>
        <w:tc>
          <w:tcPr>
            <w:tcW w:w="1229" w:type="dxa"/>
            <w:tcBorders>
              <w:top w:val="single" w:sz="4" w:space="0" w:color="auto"/>
              <w:bottom w:val="single" w:sz="4" w:space="0" w:color="auto"/>
            </w:tcBorders>
            <w:vAlign w:val="bottom"/>
          </w:tcPr>
          <w:p>
            <w:pPr>
              <w:pStyle w:val="TableNAm"/>
            </w:pPr>
            <w:r>
              <w:rPr>
                <w:sz w:val="22"/>
                <w:szCs w:val="22"/>
              </w:rPr>
              <w:t>100.00</w:t>
            </w:r>
          </w:p>
        </w:tc>
      </w:tr>
      <w:tr>
        <w:trPr>
          <w:cantSplit/>
        </w:trPr>
        <w:tc>
          <w:tcPr>
            <w:tcW w:w="751" w:type="dxa"/>
            <w:tcBorders>
              <w:top w:val="single" w:sz="4" w:space="0" w:color="auto"/>
              <w:bottom w:val="single" w:sz="4" w:space="0" w:color="auto"/>
            </w:tcBorders>
          </w:tcPr>
          <w:p>
            <w:pPr>
              <w:pStyle w:val="TableNAm"/>
            </w:pPr>
            <w:r>
              <w:rPr>
                <w:sz w:val="22"/>
                <w:szCs w:val="22"/>
              </w:rPr>
              <w:t>3.</w:t>
            </w:r>
          </w:p>
        </w:tc>
        <w:tc>
          <w:tcPr>
            <w:tcW w:w="2284" w:type="dxa"/>
            <w:tcBorders>
              <w:top w:val="single" w:sz="4" w:space="0" w:color="auto"/>
              <w:bottom w:val="single" w:sz="4" w:space="0" w:color="auto"/>
            </w:tcBorders>
          </w:tcPr>
          <w:p>
            <w:pPr>
              <w:pStyle w:val="TableNAm"/>
            </w:pPr>
            <w:r>
              <w:rPr>
                <w:sz w:val="22"/>
                <w:szCs w:val="22"/>
              </w:rPr>
              <w:t>Application for assessment of costs</w:t>
            </w:r>
          </w:p>
        </w:tc>
        <w:tc>
          <w:tcPr>
            <w:tcW w:w="1417" w:type="dxa"/>
            <w:tcBorders>
              <w:top w:val="single" w:sz="4" w:space="0" w:color="auto"/>
              <w:bottom w:val="single" w:sz="4" w:space="0" w:color="auto"/>
            </w:tcBorders>
          </w:tcPr>
          <w:p>
            <w:pPr>
              <w:pStyle w:val="TableNAm"/>
            </w:pPr>
            <w:r>
              <w:rPr>
                <w:sz w:val="22"/>
                <w:szCs w:val="22"/>
              </w:rPr>
              <w:t>190.50 plus assessment fee of 2.50% of the costs claimed in the application</w:t>
            </w:r>
          </w:p>
        </w:tc>
        <w:tc>
          <w:tcPr>
            <w:tcW w:w="1276" w:type="dxa"/>
            <w:tcBorders>
              <w:top w:val="single" w:sz="4" w:space="0" w:color="auto"/>
              <w:bottom w:val="single" w:sz="4" w:space="0" w:color="auto"/>
            </w:tcBorders>
          </w:tcPr>
          <w:p>
            <w:pPr>
              <w:pStyle w:val="TableNAm"/>
            </w:pPr>
            <w:r>
              <w:rPr>
                <w:sz w:val="22"/>
                <w:szCs w:val="22"/>
              </w:rPr>
              <w:t>288.00 plus assessment fee of 2.50% of the costs claimed in the application</w:t>
            </w:r>
          </w:p>
        </w:tc>
        <w:tc>
          <w:tcPr>
            <w:tcW w:w="1229" w:type="dxa"/>
            <w:tcBorders>
              <w:top w:val="single" w:sz="4" w:space="0" w:color="auto"/>
              <w:bottom w:val="single" w:sz="4" w:space="0" w:color="auto"/>
            </w:tcBorders>
          </w:tcPr>
          <w:p>
            <w:pPr>
              <w:pStyle w:val="TableNAm"/>
            </w:pPr>
            <w:r>
              <w:rPr>
                <w:sz w:val="22"/>
                <w:szCs w:val="22"/>
              </w:rPr>
              <w:t>57.00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w:t>
      </w:r>
    </w:p>
    <w:p>
      <w:pPr>
        <w:pStyle w:val="Heading5"/>
        <w:spacing w:before="180"/>
      </w:pPr>
      <w:bookmarkStart w:id="59" w:name="_Toc38031757"/>
      <w:bookmarkStart w:id="60" w:name="_Toc32310886"/>
      <w:r>
        <w:rPr>
          <w:rStyle w:val="CharSectno"/>
        </w:rPr>
        <w:t>11</w:t>
      </w:r>
      <w:r>
        <w:t>.</w:t>
      </w:r>
      <w:r>
        <w:tab/>
        <w:t>Fees for provision of transcripts to third parties</w:t>
      </w:r>
      <w:bookmarkEnd w:id="59"/>
      <w:bookmarkEnd w:id="60"/>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61" w:name="_Toc38031758"/>
      <w:bookmarkStart w:id="62" w:name="_Toc32310887"/>
      <w:r>
        <w:rPr>
          <w:rStyle w:val="CharSectno"/>
        </w:rPr>
        <w:t>27</w:t>
      </w:r>
      <w:r>
        <w:t>.</w:t>
      </w:r>
      <w:r>
        <w:tab/>
        <w:t>Other fees</w:t>
      </w:r>
      <w:bookmarkEnd w:id="61"/>
      <w:bookmarkEnd w:id="62"/>
    </w:p>
    <w:p>
      <w:pPr>
        <w:pStyle w:val="Subsection"/>
      </w:pPr>
      <w:r>
        <w:tab/>
      </w:r>
      <w:r>
        <w:tab/>
        <w:t>The fees set out in Schedule 20 are to be charged in respect of the matters shown in that Schedule.</w:t>
      </w:r>
    </w:p>
    <w:p>
      <w:pPr>
        <w:pStyle w:val="Heading2"/>
      </w:pPr>
      <w:bookmarkStart w:id="63" w:name="_Toc38030498"/>
      <w:bookmarkStart w:id="64" w:name="_Toc38030541"/>
      <w:bookmarkStart w:id="65" w:name="_Toc38030584"/>
      <w:bookmarkStart w:id="66" w:name="_Toc38031759"/>
      <w:bookmarkStart w:id="67" w:name="_Toc32310845"/>
      <w:bookmarkStart w:id="68" w:name="_Toc32310888"/>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63"/>
      <w:bookmarkEnd w:id="64"/>
      <w:bookmarkEnd w:id="65"/>
      <w:bookmarkEnd w:id="66"/>
      <w:bookmarkEnd w:id="67"/>
      <w:bookmarkEnd w:id="68"/>
    </w:p>
    <w:p>
      <w:pPr>
        <w:pStyle w:val="Heading5"/>
        <w:spacing w:before="180"/>
      </w:pPr>
      <w:bookmarkStart w:id="69" w:name="_Toc38031760"/>
      <w:bookmarkStart w:id="70" w:name="_Toc32310889"/>
      <w:r>
        <w:rPr>
          <w:rStyle w:val="CharSectno"/>
        </w:rPr>
        <w:t>28</w:t>
      </w:r>
      <w:r>
        <w:t>.</w:t>
      </w:r>
      <w:r>
        <w:tab/>
        <w:t>Transitional provisions</w:t>
      </w:r>
      <w:bookmarkEnd w:id="69"/>
      <w:bookmarkEnd w:id="70"/>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71" w:name="_Toc38031761"/>
      <w:bookmarkStart w:id="72" w:name="_Toc32310890"/>
      <w:r>
        <w:rPr>
          <w:rStyle w:val="CharSectno"/>
        </w:rPr>
        <w:t>33</w:t>
      </w:r>
      <w:r>
        <w:t>.</w:t>
      </w:r>
      <w:r>
        <w:tab/>
      </w:r>
      <w:r>
        <w:rPr>
          <w:i/>
        </w:rPr>
        <w:t>Land Administration Act 1997</w:t>
      </w:r>
      <w:bookmarkEnd w:id="71"/>
      <w:bookmarkEnd w:id="72"/>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73" w:name="_Toc38030501"/>
      <w:bookmarkStart w:id="74" w:name="_Toc38030544"/>
      <w:bookmarkStart w:id="75" w:name="_Toc38030587"/>
      <w:bookmarkStart w:id="76" w:name="_Toc38031762"/>
      <w:bookmarkStart w:id="77" w:name="_Toc32310848"/>
      <w:bookmarkStart w:id="78" w:name="_Toc32310891"/>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73"/>
      <w:bookmarkEnd w:id="74"/>
      <w:bookmarkEnd w:id="75"/>
      <w:bookmarkEnd w:id="76"/>
      <w:bookmarkEnd w:id="77"/>
      <w:bookmarkEnd w:id="78"/>
    </w:p>
    <w:p>
      <w:pPr>
        <w:pStyle w:val="Heading5"/>
      </w:pPr>
      <w:bookmarkStart w:id="79" w:name="_Toc38031763"/>
      <w:bookmarkStart w:id="80" w:name="_Toc32310892"/>
      <w:r>
        <w:rPr>
          <w:rStyle w:val="CharSectno"/>
        </w:rPr>
        <w:t>42</w:t>
      </w:r>
      <w:r>
        <w:t>.</w:t>
      </w:r>
      <w:r>
        <w:tab/>
        <w:t>Transitional provision</w:t>
      </w:r>
      <w:bookmarkEnd w:id="79"/>
      <w:bookmarkEnd w:id="80"/>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81" w:name="_Toc38031764"/>
      <w:bookmarkStart w:id="82" w:name="_Toc32310893"/>
      <w:r>
        <w:rPr>
          <w:rStyle w:val="CharSectno"/>
        </w:rPr>
        <w:t>55</w:t>
      </w:r>
      <w:r>
        <w:t>.</w:t>
      </w:r>
      <w:r>
        <w:tab/>
      </w:r>
      <w:r>
        <w:rPr>
          <w:i/>
        </w:rPr>
        <w:t>Local Government (Miscellaneous Provisions) Act 1960</w:t>
      </w:r>
      <w:bookmarkEnd w:id="81"/>
      <w:bookmarkEnd w:id="82"/>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83" w:name="_Toc38031765"/>
      <w:bookmarkStart w:id="84" w:name="_Toc32310894"/>
      <w:r>
        <w:rPr>
          <w:rStyle w:val="CharSectno"/>
        </w:rPr>
        <w:t>61</w:t>
      </w:r>
      <w:r>
        <w:t>.</w:t>
      </w:r>
      <w:r>
        <w:tab/>
      </w:r>
      <w:r>
        <w:rPr>
          <w:i/>
        </w:rPr>
        <w:t>Rights in Water and Irrigation Act 1914</w:t>
      </w:r>
      <w:bookmarkEnd w:id="83"/>
      <w:bookmarkEnd w:id="84"/>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85" w:name="_Toc38031766"/>
      <w:bookmarkStart w:id="86" w:name="_Toc32310895"/>
      <w:r>
        <w:rPr>
          <w:rStyle w:val="CharSectno"/>
        </w:rPr>
        <w:t>63</w:t>
      </w:r>
      <w:r>
        <w:t>.</w:t>
      </w:r>
      <w:r>
        <w:tab/>
      </w:r>
      <w:r>
        <w:rPr>
          <w:i/>
        </w:rPr>
        <w:t>Strata Titles Act 1985</w:t>
      </w:r>
      <w:bookmarkEnd w:id="85"/>
      <w:bookmarkEnd w:id="86"/>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7" w:name="_Toc38030506"/>
      <w:bookmarkStart w:id="88" w:name="_Toc38030549"/>
      <w:bookmarkStart w:id="89" w:name="_Toc38030592"/>
      <w:bookmarkStart w:id="90" w:name="_Toc38031767"/>
      <w:bookmarkStart w:id="91" w:name="_Toc32310853"/>
      <w:bookmarkStart w:id="92" w:name="_Toc32310896"/>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87"/>
      <w:bookmarkEnd w:id="88"/>
      <w:bookmarkEnd w:id="89"/>
      <w:bookmarkEnd w:id="90"/>
      <w:bookmarkEnd w:id="91"/>
      <w:bookmarkEnd w:id="92"/>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Gazette 31 Jul 2007 p. 3805; 7 Dec 2012 p. 5994</w:t>
      </w:r>
      <w:r>
        <w:rPr>
          <w:szCs w:val="22"/>
        </w:rPr>
        <w:t>; 6 Aug 2013 p.</w:t>
      </w:r>
      <w:r>
        <w:rPr>
          <w:sz w:val="24"/>
          <w:szCs w:val="24"/>
        </w:rPr>
        <w:t> </w:t>
      </w:r>
      <w:r>
        <w:t>3653</w:t>
      </w:r>
      <w:r>
        <w:noBreakHyphen/>
        <w:t>4; 24 Jan 2017 p. 745.]</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94" w:name="_Toc38030507"/>
      <w:bookmarkStart w:id="95" w:name="_Toc38030550"/>
      <w:bookmarkStart w:id="96" w:name="_Toc38030593"/>
      <w:bookmarkStart w:id="97" w:name="_Toc38031768"/>
      <w:bookmarkStart w:id="98" w:name="_Toc32310854"/>
      <w:bookmarkStart w:id="99" w:name="_Toc32310897"/>
      <w:r>
        <w:rPr>
          <w:rStyle w:val="CharSchNo"/>
        </w:rPr>
        <w:t>Schedule 2</w:t>
      </w:r>
      <w:r>
        <w:t> — </w:t>
      </w:r>
      <w:r>
        <w:rPr>
          <w:rStyle w:val="CharSchText"/>
        </w:rPr>
        <w:t>Places at which a magistrate may be authorised to perform functions as a member of the Tribunal</w:t>
      </w:r>
      <w:bookmarkEnd w:id="94"/>
      <w:bookmarkEnd w:id="95"/>
      <w:bookmarkEnd w:id="96"/>
      <w:bookmarkEnd w:id="97"/>
      <w:bookmarkEnd w:id="98"/>
      <w:bookmarkEnd w:id="99"/>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100" w:name="_Toc38030508"/>
      <w:bookmarkStart w:id="101" w:name="_Toc38030551"/>
      <w:bookmarkStart w:id="102" w:name="_Toc38030594"/>
      <w:bookmarkStart w:id="103" w:name="_Toc38031769"/>
      <w:bookmarkStart w:id="104" w:name="_Toc32310855"/>
      <w:bookmarkStart w:id="105" w:name="_Toc32310898"/>
      <w:r>
        <w:rPr>
          <w:rStyle w:val="CharSchNo"/>
        </w:rPr>
        <w:t>Schedule 3</w:t>
      </w:r>
      <w:r>
        <w:t> — </w:t>
      </w:r>
      <w:r>
        <w:rPr>
          <w:rStyle w:val="CharSchText"/>
        </w:rPr>
        <w:t>Provision under which proceedings commenced</w:t>
      </w:r>
      <w:bookmarkEnd w:id="100"/>
      <w:bookmarkEnd w:id="101"/>
      <w:bookmarkEnd w:id="102"/>
      <w:bookmarkEnd w:id="103"/>
      <w:bookmarkEnd w:id="104"/>
      <w:bookmarkEnd w:id="105"/>
    </w:p>
    <w:p>
      <w:pPr>
        <w:pStyle w:val="yShoulderClause"/>
      </w:pPr>
      <w:r>
        <w:t>[r. 9(1)]</w:t>
      </w:r>
    </w:p>
    <w:p>
      <w:pPr>
        <w:pStyle w:val="yFootnoteheading"/>
      </w:pPr>
      <w:r>
        <w:tab/>
        <w:t>[Heading inserted: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Gazette 26 Jun 2007 p. 2987</w:t>
      </w:r>
      <w:r>
        <w:noBreakHyphen/>
        <w:t xml:space="preserve">8; amended: Gazette </w:t>
      </w:r>
      <w:r>
        <w:rPr>
          <w:szCs w:val="22"/>
        </w:rPr>
        <w:t>6 Aug 2013 p. 3654.]</w:t>
      </w:r>
    </w:p>
    <w:p>
      <w:pPr>
        <w:pStyle w:val="yScheduleHeading"/>
      </w:pPr>
      <w:bookmarkStart w:id="106" w:name="_Toc38030509"/>
      <w:bookmarkStart w:id="107" w:name="_Toc38030552"/>
      <w:bookmarkStart w:id="108" w:name="_Toc38030595"/>
      <w:bookmarkStart w:id="109" w:name="_Toc38031770"/>
      <w:bookmarkStart w:id="110" w:name="_Toc32310856"/>
      <w:bookmarkStart w:id="111" w:name="_Toc32310899"/>
      <w:r>
        <w:rPr>
          <w:rStyle w:val="CharSchNo"/>
        </w:rPr>
        <w:t>Schedule 4</w:t>
      </w:r>
      <w:r>
        <w:t> — </w:t>
      </w:r>
      <w:r>
        <w:rPr>
          <w:rStyle w:val="CharSchText"/>
        </w:rPr>
        <w:t>Provision under which proceedings commenced</w:t>
      </w:r>
      <w:bookmarkEnd w:id="106"/>
      <w:bookmarkEnd w:id="107"/>
      <w:bookmarkEnd w:id="108"/>
      <w:bookmarkEnd w:id="109"/>
      <w:bookmarkEnd w:id="110"/>
      <w:bookmarkEnd w:id="111"/>
    </w:p>
    <w:p>
      <w:pPr>
        <w:pStyle w:val="yShoulderClause"/>
      </w:pPr>
      <w:r>
        <w:t>[r. 9(2)]</w:t>
      </w:r>
    </w:p>
    <w:p>
      <w:pPr>
        <w:pStyle w:val="yFootnoteheading"/>
      </w:pPr>
      <w:r>
        <w:rPr>
          <w:snapToGrid w:val="0"/>
        </w:rPr>
        <w:tab/>
        <w:t>[Heading inserted: Gazette 6 Aug 2013 p. 3655.]</w:t>
      </w:r>
    </w:p>
    <w:p>
      <w:pPr>
        <w:pStyle w:val="yMiscellaneousBody"/>
        <w:spacing w:before="240"/>
      </w:pPr>
      <w:r>
        <w:rPr>
          <w:i/>
        </w:rPr>
        <w:t>Strata Titles Act 1985</w:t>
      </w:r>
      <w:r>
        <w:t xml:space="preserve"> s. 26(4), 26(5) or 27(3)</w:t>
      </w:r>
    </w:p>
    <w:p>
      <w:pPr>
        <w:pStyle w:val="yFootnotesection"/>
      </w:pPr>
      <w:r>
        <w:tab/>
        <w:t>[Schedule 4 inserted: Gazette 6 Aug 2013 p. 3655.]</w:t>
      </w:r>
    </w:p>
    <w:p>
      <w:pPr>
        <w:pStyle w:val="yEdnoteschedule"/>
        <w:rPr>
          <w:szCs w:val="22"/>
        </w:rPr>
      </w:pPr>
      <w:r>
        <w:rPr>
          <w:szCs w:val="22"/>
        </w:rPr>
        <w:t>[Schedule 5 deleted: Gazette 6 Aug 2013 p. 3655.]</w:t>
      </w:r>
    </w:p>
    <w:p>
      <w:pPr>
        <w:pStyle w:val="yScheduleHeading"/>
      </w:pPr>
      <w:bookmarkStart w:id="112" w:name="_Toc38030510"/>
      <w:bookmarkStart w:id="113" w:name="_Toc38030553"/>
      <w:bookmarkStart w:id="114" w:name="_Toc38030596"/>
      <w:bookmarkStart w:id="115" w:name="_Toc38031771"/>
      <w:bookmarkStart w:id="116" w:name="_Toc32310857"/>
      <w:bookmarkStart w:id="117" w:name="_Toc32310900"/>
      <w:r>
        <w:rPr>
          <w:rStyle w:val="CharSchNo"/>
        </w:rPr>
        <w:t>Schedule 6</w:t>
      </w:r>
      <w:r>
        <w:t> — </w:t>
      </w:r>
      <w:r>
        <w:rPr>
          <w:rStyle w:val="CharSchText"/>
        </w:rPr>
        <w:t>Provision under which proceedings commenced</w:t>
      </w:r>
      <w:bookmarkEnd w:id="112"/>
      <w:bookmarkEnd w:id="113"/>
      <w:bookmarkEnd w:id="114"/>
      <w:bookmarkEnd w:id="115"/>
      <w:bookmarkEnd w:id="116"/>
      <w:bookmarkEnd w:id="117"/>
    </w:p>
    <w:p>
      <w:pPr>
        <w:pStyle w:val="yShoulderClause"/>
      </w:pPr>
      <w:r>
        <w:t>[r. 9(4)]</w:t>
      </w:r>
    </w:p>
    <w:p>
      <w:pPr>
        <w:pStyle w:val="yFootnoteheading"/>
      </w:pPr>
      <w:r>
        <w:tab/>
        <w:t>[Heading inserted: Gazette 26 Jun 2007 p. 2993.]</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w:t>
      </w:r>
      <w:del w:id="118" w:author="Master Repository Process" w:date="2021-09-18T03:07:00Z">
        <w:r>
          <w:rPr>
            <w:i/>
          </w:rPr>
          <w:delText xml:space="preserve"> (No. 2) 2019</w:delText>
        </w:r>
      </w:del>
      <w:ins w:id="119" w:author="Master Repository Process" w:date="2021-09-18T03:07:00Z">
        <w:r>
          <w:rPr>
            <w:i/>
          </w:rPr>
          <w:t> 2020</w:t>
        </w:r>
      </w:ins>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w:t>
      </w:r>
      <w:ins w:id="120" w:author="Master Repository Process" w:date="2021-09-18T03:07:00Z">
        <w:r>
          <w:t>; SL 2020/23 r. 4</w:t>
        </w:r>
      </w:ins>
      <w:r>
        <w:t>.]</w:t>
      </w:r>
    </w:p>
    <w:p>
      <w:pPr>
        <w:pStyle w:val="yScheduleHeading"/>
      </w:pPr>
      <w:bookmarkStart w:id="121" w:name="_Toc38030511"/>
      <w:bookmarkStart w:id="122" w:name="_Toc38030554"/>
      <w:bookmarkStart w:id="123" w:name="_Toc38030597"/>
      <w:bookmarkStart w:id="124" w:name="_Toc38031772"/>
      <w:bookmarkStart w:id="125" w:name="_Toc32310858"/>
      <w:bookmarkStart w:id="126" w:name="_Toc32310901"/>
      <w:r>
        <w:rPr>
          <w:rStyle w:val="CharSchNo"/>
        </w:rPr>
        <w:t>Schedule 7</w:t>
      </w:r>
      <w:r>
        <w:t> — </w:t>
      </w:r>
      <w:r>
        <w:rPr>
          <w:rStyle w:val="CharSchText"/>
        </w:rPr>
        <w:t>Enactments under which proceedings commenced</w:t>
      </w:r>
      <w:bookmarkEnd w:id="121"/>
      <w:bookmarkEnd w:id="122"/>
      <w:bookmarkEnd w:id="123"/>
      <w:bookmarkEnd w:id="124"/>
      <w:bookmarkEnd w:id="125"/>
      <w:bookmarkEnd w:id="126"/>
    </w:p>
    <w:p>
      <w:pPr>
        <w:pStyle w:val="yShoulderClause"/>
      </w:pPr>
      <w:r>
        <w:t>[r. 11A]</w:t>
      </w:r>
    </w:p>
    <w:p>
      <w:pPr>
        <w:pStyle w:val="yFootnoteheading"/>
      </w:pPr>
      <w:r>
        <w:rPr>
          <w:snapToGrid w:val="0"/>
        </w:rPr>
        <w:tab/>
        <w:t>[Heading inserted: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Footnotesection"/>
      </w:pPr>
      <w:r>
        <w:tab/>
        <w:t>[Schedule 7 inserted: Gazette 26 Jun 2007 p. 2994</w:t>
      </w:r>
      <w:r>
        <w:noBreakHyphen/>
        <w:t>5; amended: Gazette 22 Jul 2011 p. 3018; 6 Aug 2013 p. 3655</w:t>
      </w:r>
      <w:r>
        <w:noBreakHyphen/>
        <w:t>6; 14 Nov 2013 p. 5069; 29 Dec 2015 p. 5180; 13 Jan 2017 p. 352.]</w:t>
      </w:r>
    </w:p>
    <w:p>
      <w:pPr>
        <w:pStyle w:val="yEdnoteschedule"/>
      </w:pPr>
      <w:r>
        <w:t>[Schedules 8</w:t>
      </w:r>
      <w:r>
        <w:noBreakHyphen/>
        <w:t>19 deleted: Gazette 26 Jun 2007 p. 2987.]</w:t>
      </w:r>
    </w:p>
    <w:p>
      <w:pPr>
        <w:pStyle w:val="yScheduleHeading"/>
      </w:pPr>
      <w:bookmarkStart w:id="127" w:name="_Toc38030512"/>
      <w:bookmarkStart w:id="128" w:name="_Toc38030555"/>
      <w:bookmarkStart w:id="129" w:name="_Toc38030598"/>
      <w:bookmarkStart w:id="130" w:name="_Toc38031773"/>
      <w:bookmarkStart w:id="131" w:name="_Toc32310859"/>
      <w:bookmarkStart w:id="132" w:name="_Toc32310902"/>
      <w:r>
        <w:rPr>
          <w:rStyle w:val="CharSchNo"/>
        </w:rPr>
        <w:t>Schedule 20</w:t>
      </w:r>
      <w:r>
        <w:rPr>
          <w:rStyle w:val="CharSDivNo"/>
        </w:rPr>
        <w:t> </w:t>
      </w:r>
      <w:r>
        <w:t>—</w:t>
      </w:r>
      <w:r>
        <w:rPr>
          <w:rStyle w:val="CharSDivText"/>
        </w:rPr>
        <w:t> </w:t>
      </w:r>
      <w:r>
        <w:rPr>
          <w:rStyle w:val="CharSchText"/>
        </w:rPr>
        <w:t>Other fees</w:t>
      </w:r>
      <w:bookmarkEnd w:id="127"/>
      <w:bookmarkEnd w:id="128"/>
      <w:bookmarkEnd w:id="129"/>
      <w:bookmarkEnd w:id="130"/>
      <w:bookmarkEnd w:id="131"/>
      <w:bookmarkEnd w:id="132"/>
    </w:p>
    <w:p>
      <w:pPr>
        <w:pStyle w:val="yShoulderClause"/>
      </w:pPr>
      <w:r>
        <w:t>[r. 27]</w:t>
      </w:r>
    </w:p>
    <w:p>
      <w:pPr>
        <w:pStyle w:val="yFootnoteheading"/>
        <w:spacing w:after="60"/>
      </w:pPr>
      <w:r>
        <w:tab/>
        <w:t>[Heading inserted: Gazette 28 Jun 2019 p. 2617.]</w:t>
      </w:r>
    </w:p>
    <w:tbl>
      <w:tblPr>
        <w:tblW w:w="7004"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223"/>
      </w:tblGrid>
      <w:tr>
        <w:trPr>
          <w:cantSplit/>
          <w:tblHeader/>
        </w:trPr>
        <w:tc>
          <w:tcPr>
            <w:tcW w:w="767" w:type="dxa"/>
            <w:tcBorders>
              <w:left w:val="nil"/>
              <w:bottom w:val="single" w:sz="4" w:space="0" w:color="auto"/>
              <w:right w:val="nil"/>
            </w:tcBorders>
          </w:tcPr>
          <w:p>
            <w:pPr>
              <w:pStyle w:val="yTableNAm"/>
              <w:jc w:val="center"/>
              <w:rPr>
                <w:b/>
              </w:rPr>
            </w:pPr>
            <w:r>
              <w:rPr>
                <w:b/>
              </w:rPr>
              <w:t>Item</w:t>
            </w:r>
          </w:p>
        </w:tc>
        <w:tc>
          <w:tcPr>
            <w:tcW w:w="2495" w:type="dxa"/>
            <w:tcBorders>
              <w:left w:val="nil"/>
              <w:bottom w:val="single" w:sz="4" w:space="0" w:color="auto"/>
              <w:right w:val="nil"/>
            </w:tcBorders>
          </w:tcPr>
          <w:p>
            <w:pPr>
              <w:pStyle w:val="yTableNAm"/>
              <w:jc w:val="center"/>
              <w:rPr>
                <w:b/>
              </w:rPr>
            </w:pPr>
            <w:r>
              <w:rPr>
                <w:b/>
              </w:rPr>
              <w:t>Matter</w:t>
            </w:r>
          </w:p>
        </w:tc>
        <w:tc>
          <w:tcPr>
            <w:tcW w:w="1260" w:type="dxa"/>
            <w:tcBorders>
              <w:left w:val="nil"/>
              <w:bottom w:val="single" w:sz="4" w:space="0" w:color="auto"/>
              <w:right w:val="nil"/>
            </w:tcBorders>
          </w:tcPr>
          <w:p>
            <w:pPr>
              <w:pStyle w:val="yTableNAm"/>
              <w:jc w:val="center"/>
              <w:rPr>
                <w:b/>
              </w:rPr>
            </w:pPr>
            <w:r>
              <w:rPr>
                <w:b/>
              </w:rPr>
              <w:t>Column A</w:t>
            </w:r>
          </w:p>
          <w:p>
            <w:pPr>
              <w:pStyle w:val="yTableNAm"/>
              <w:jc w:val="center"/>
            </w:pPr>
            <w:r>
              <w:t>Fee for individual or eligible entity</w:t>
            </w:r>
            <w:r>
              <w:br/>
              <w:t>$</w:t>
            </w:r>
          </w:p>
        </w:tc>
        <w:tc>
          <w:tcPr>
            <w:tcW w:w="1259" w:type="dxa"/>
            <w:tcBorders>
              <w:left w:val="nil"/>
              <w:bottom w:val="single" w:sz="4" w:space="0" w:color="auto"/>
              <w:right w:val="nil"/>
            </w:tcBorders>
          </w:tcPr>
          <w:p>
            <w:pPr>
              <w:pStyle w:val="yTableNAm"/>
              <w:jc w:val="center"/>
              <w:rPr>
                <w:b/>
              </w:rPr>
            </w:pPr>
            <w:r>
              <w:rPr>
                <w:b/>
              </w:rPr>
              <w:t>Column B</w:t>
            </w:r>
          </w:p>
          <w:p>
            <w:pPr>
              <w:pStyle w:val="yTableNAm"/>
              <w:jc w:val="center"/>
            </w:pPr>
            <w:r>
              <w:t>Fee for entity</w:t>
            </w:r>
            <w:r>
              <w:br/>
            </w:r>
            <w:r>
              <w:br/>
            </w:r>
            <w:r>
              <w:br/>
              <w:t>$</w:t>
            </w:r>
          </w:p>
        </w:tc>
        <w:tc>
          <w:tcPr>
            <w:tcW w:w="1223" w:type="dxa"/>
            <w:tcBorders>
              <w:left w:val="nil"/>
              <w:bottom w:val="single" w:sz="4" w:space="0" w:color="auto"/>
              <w:right w:val="nil"/>
            </w:tcBorders>
          </w:tcPr>
          <w:p>
            <w:pPr>
              <w:pStyle w:val="yTableNAm"/>
              <w:jc w:val="center"/>
              <w:rPr>
                <w:b/>
              </w:rPr>
            </w:pPr>
            <w:r>
              <w:rPr>
                <w:b/>
              </w:rPr>
              <w:t>Column C</w:t>
            </w:r>
          </w:p>
          <w:p>
            <w:pPr>
              <w:pStyle w:val="yTableNAm"/>
              <w:jc w:val="center"/>
            </w:pPr>
            <w:r>
              <w:t>Fee for eligible individual</w:t>
            </w:r>
            <w:r>
              <w:br/>
            </w:r>
            <w:r>
              <w:br/>
              <w:t>$</w:t>
            </w:r>
          </w:p>
        </w:tc>
      </w:tr>
      <w:tr>
        <w:trPr>
          <w:cantSplit/>
        </w:trPr>
        <w:tc>
          <w:tcPr>
            <w:tcW w:w="767" w:type="dxa"/>
            <w:tcBorders>
              <w:left w:val="nil"/>
              <w:bottom w:val="nil"/>
              <w:right w:val="nil"/>
            </w:tcBorders>
          </w:tcPr>
          <w:p>
            <w:pPr>
              <w:pStyle w:val="yTableNAm"/>
            </w:pPr>
            <w:r>
              <w:t>1.</w:t>
            </w:r>
          </w:p>
        </w:tc>
        <w:tc>
          <w:tcPr>
            <w:tcW w:w="2495" w:type="dxa"/>
            <w:tcBorders>
              <w:left w:val="nil"/>
              <w:bottom w:val="nil"/>
              <w:right w:val="nil"/>
            </w:tcBorders>
          </w:tcPr>
          <w:p>
            <w:pPr>
              <w:pStyle w:val="yTableNAm"/>
            </w:pPr>
            <w:r>
              <w:t xml:space="preserve">Application under section 22(1) of the Act </w:t>
            </w:r>
          </w:p>
        </w:tc>
        <w:tc>
          <w:tcPr>
            <w:tcW w:w="1260" w:type="dxa"/>
            <w:tcBorders>
              <w:left w:val="nil"/>
              <w:bottom w:val="nil"/>
              <w:right w:val="nil"/>
            </w:tcBorders>
            <w:vAlign w:val="bottom"/>
          </w:tcPr>
          <w:p>
            <w:pPr>
              <w:pStyle w:val="yTableNAm"/>
            </w:pPr>
            <w:r>
              <w:t>111.50</w:t>
            </w:r>
          </w:p>
        </w:tc>
        <w:tc>
          <w:tcPr>
            <w:tcW w:w="1259" w:type="dxa"/>
            <w:tcBorders>
              <w:left w:val="nil"/>
              <w:bottom w:val="nil"/>
              <w:right w:val="nil"/>
            </w:tcBorders>
            <w:vAlign w:val="bottom"/>
          </w:tcPr>
          <w:p>
            <w:pPr>
              <w:pStyle w:val="yTableNAm"/>
            </w:pPr>
            <w:r>
              <w:t>224.00</w:t>
            </w:r>
          </w:p>
        </w:tc>
        <w:tc>
          <w:tcPr>
            <w:tcW w:w="1223" w:type="dxa"/>
            <w:tcBorders>
              <w:left w:val="nil"/>
              <w:bottom w:val="nil"/>
              <w:right w:val="nil"/>
            </w:tcBorders>
            <w:vAlign w:val="bottom"/>
          </w:tcPr>
          <w:p>
            <w:pPr>
              <w:pStyle w:val="yTableNAm"/>
            </w:pPr>
            <w:r>
              <w:t>33.40</w:t>
            </w:r>
          </w:p>
        </w:tc>
      </w:tr>
      <w:tr>
        <w:trPr>
          <w:cantSplit/>
        </w:trPr>
        <w:tc>
          <w:tcPr>
            <w:tcW w:w="767" w:type="dxa"/>
            <w:tcBorders>
              <w:top w:val="nil"/>
              <w:left w:val="nil"/>
              <w:bottom w:val="nil"/>
              <w:right w:val="nil"/>
            </w:tcBorders>
          </w:tcPr>
          <w:p>
            <w:pPr>
              <w:pStyle w:val="yTableNAm"/>
            </w:pPr>
            <w:r>
              <w:t>2.</w:t>
            </w:r>
          </w:p>
        </w:tc>
        <w:tc>
          <w:tcPr>
            <w:tcW w:w="2495" w:type="dxa"/>
            <w:tcBorders>
              <w:top w:val="nil"/>
              <w:left w:val="nil"/>
              <w:bottom w:val="nil"/>
              <w:right w:val="nil"/>
            </w:tcBorders>
          </w:tcPr>
          <w:p>
            <w:pPr>
              <w:pStyle w:val="yTableNAm"/>
            </w:pPr>
            <w:r>
              <w:t xml:space="preserve">For a copy of a document, for each page or part of a page </w:t>
            </w:r>
          </w:p>
        </w:tc>
        <w:tc>
          <w:tcPr>
            <w:tcW w:w="1260" w:type="dxa"/>
            <w:tcBorders>
              <w:top w:val="nil"/>
              <w:left w:val="nil"/>
              <w:bottom w:val="nil"/>
              <w:right w:val="nil"/>
            </w:tcBorders>
            <w:vAlign w:val="bottom"/>
          </w:tcPr>
          <w:p>
            <w:pPr>
              <w:pStyle w:val="yTableNAm"/>
            </w:pPr>
            <w:r>
              <w:t>1.60</w:t>
            </w:r>
          </w:p>
        </w:tc>
        <w:tc>
          <w:tcPr>
            <w:tcW w:w="1259" w:type="dxa"/>
            <w:tcBorders>
              <w:top w:val="nil"/>
              <w:left w:val="nil"/>
              <w:bottom w:val="nil"/>
              <w:right w:val="nil"/>
            </w:tcBorders>
            <w:vAlign w:val="bottom"/>
          </w:tcPr>
          <w:p>
            <w:pPr>
              <w:pStyle w:val="yTableNAm"/>
            </w:pPr>
            <w:r>
              <w:t>1.60</w:t>
            </w:r>
          </w:p>
        </w:tc>
        <w:tc>
          <w:tcPr>
            <w:tcW w:w="1223" w:type="dxa"/>
            <w:tcBorders>
              <w:top w:val="nil"/>
              <w:left w:val="nil"/>
              <w:bottom w:val="nil"/>
              <w:right w:val="nil"/>
            </w:tcBorders>
            <w:vAlign w:val="bottom"/>
          </w:tcPr>
          <w:p>
            <w:pPr>
              <w:pStyle w:val="yTableNAm"/>
            </w:pPr>
            <w:r>
              <w:t>0.50</w:t>
            </w:r>
          </w:p>
        </w:tc>
      </w:tr>
      <w:tr>
        <w:trPr>
          <w:cantSplit/>
        </w:trPr>
        <w:tc>
          <w:tcPr>
            <w:tcW w:w="767" w:type="dxa"/>
            <w:tcBorders>
              <w:top w:val="nil"/>
              <w:left w:val="nil"/>
              <w:bottom w:val="nil"/>
              <w:right w:val="nil"/>
            </w:tcBorders>
          </w:tcPr>
          <w:p>
            <w:pPr>
              <w:pStyle w:val="yTableNAm"/>
            </w:pPr>
            <w:r>
              <w:t>3.</w:t>
            </w:r>
          </w:p>
        </w:tc>
        <w:tc>
          <w:tcPr>
            <w:tcW w:w="2495" w:type="dxa"/>
            <w:tcBorders>
              <w:top w:val="nil"/>
              <w:left w:val="nil"/>
              <w:bottom w:val="nil"/>
              <w:right w:val="nil"/>
            </w:tcBorders>
          </w:tcPr>
          <w:p>
            <w:pPr>
              <w:pStyle w:val="yTableNAm"/>
            </w:pPr>
            <w:r>
              <w:t xml:space="preserve">For a copy of reasons for decision, for each page or part of a page — </w:t>
            </w:r>
          </w:p>
        </w:tc>
        <w:tc>
          <w:tcPr>
            <w:tcW w:w="1260" w:type="dxa"/>
            <w:tcBorders>
              <w:top w:val="nil"/>
              <w:left w:val="nil"/>
              <w:bottom w:val="nil"/>
              <w:right w:val="nil"/>
            </w:tcBorders>
            <w:vAlign w:val="bottom"/>
          </w:tcPr>
          <w:p>
            <w:pPr>
              <w:pStyle w:val="yTableNAm"/>
            </w:pPr>
          </w:p>
        </w:tc>
        <w:tc>
          <w:tcPr>
            <w:tcW w:w="1259" w:type="dxa"/>
            <w:tcBorders>
              <w:top w:val="nil"/>
              <w:left w:val="nil"/>
              <w:bottom w:val="nil"/>
              <w:right w:val="nil"/>
            </w:tcBorders>
            <w:vAlign w:val="bottom"/>
          </w:tcPr>
          <w:p>
            <w:pPr>
              <w:pStyle w:val="yTableNAm"/>
            </w:pPr>
          </w:p>
        </w:tc>
        <w:tc>
          <w:tcPr>
            <w:tcW w:w="1223" w:type="dxa"/>
            <w:tcBorders>
              <w:top w:val="nil"/>
              <w:left w:val="nil"/>
              <w:bottom w:val="nil"/>
              <w:right w:val="nil"/>
            </w:tcBorders>
            <w:vAlign w:val="bottom"/>
          </w:tcPr>
          <w:p>
            <w:pPr>
              <w:pStyle w:val="yTableNAm"/>
            </w:pP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55"/>
              </w:tabs>
              <w:ind w:left="441" w:hanging="441"/>
            </w:pPr>
            <w:r>
              <w:t>(a)</w:t>
            </w:r>
            <w:r>
              <w:tab/>
              <w:t xml:space="preserve">for 1 copy on the request of a party to the application </w:t>
            </w:r>
          </w:p>
        </w:tc>
        <w:tc>
          <w:tcPr>
            <w:tcW w:w="1260" w:type="dxa"/>
            <w:tcBorders>
              <w:top w:val="nil"/>
              <w:left w:val="nil"/>
              <w:bottom w:val="nil"/>
              <w:right w:val="nil"/>
            </w:tcBorders>
            <w:vAlign w:val="bottom"/>
          </w:tcPr>
          <w:p>
            <w:pPr>
              <w:pStyle w:val="yTableNAm"/>
            </w:pPr>
            <w:r>
              <w:t>0.00</w:t>
            </w:r>
          </w:p>
        </w:tc>
        <w:tc>
          <w:tcPr>
            <w:tcW w:w="1259" w:type="dxa"/>
            <w:tcBorders>
              <w:top w:val="nil"/>
              <w:left w:val="nil"/>
              <w:bottom w:val="nil"/>
              <w:right w:val="nil"/>
            </w:tcBorders>
            <w:vAlign w:val="bottom"/>
          </w:tcPr>
          <w:p>
            <w:pPr>
              <w:pStyle w:val="yTableNAm"/>
            </w:pPr>
            <w:r>
              <w:t>0.00</w:t>
            </w:r>
          </w:p>
        </w:tc>
        <w:tc>
          <w:tcPr>
            <w:tcW w:w="1223" w:type="dxa"/>
            <w:tcBorders>
              <w:top w:val="nil"/>
              <w:left w:val="nil"/>
              <w:bottom w:val="nil"/>
              <w:right w:val="nil"/>
            </w:tcBorders>
            <w:vAlign w:val="bottom"/>
          </w:tcPr>
          <w:p>
            <w:pPr>
              <w:pStyle w:val="yTableNAm"/>
            </w:pPr>
            <w:r>
              <w:t>0.00</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55"/>
              </w:tabs>
              <w:ind w:left="441" w:hanging="441"/>
            </w:pPr>
            <w:r>
              <w:t>(b)</w:t>
            </w:r>
            <w:r>
              <w:tab/>
              <w:t xml:space="preserve">for each additional copy on the request of a party to the application </w:t>
            </w:r>
          </w:p>
        </w:tc>
        <w:tc>
          <w:tcPr>
            <w:tcW w:w="1260" w:type="dxa"/>
            <w:tcBorders>
              <w:top w:val="nil"/>
              <w:left w:val="nil"/>
              <w:bottom w:val="nil"/>
              <w:right w:val="nil"/>
            </w:tcBorders>
            <w:vAlign w:val="bottom"/>
          </w:tcPr>
          <w:p>
            <w:pPr>
              <w:pStyle w:val="yTableNAm"/>
            </w:pPr>
            <w:r>
              <w:t>1.65</w:t>
            </w:r>
          </w:p>
        </w:tc>
        <w:tc>
          <w:tcPr>
            <w:tcW w:w="1259" w:type="dxa"/>
            <w:tcBorders>
              <w:top w:val="nil"/>
              <w:left w:val="nil"/>
              <w:bottom w:val="nil"/>
              <w:right w:val="nil"/>
            </w:tcBorders>
            <w:vAlign w:val="bottom"/>
          </w:tcPr>
          <w:p>
            <w:pPr>
              <w:pStyle w:val="yTableNAm"/>
            </w:pPr>
            <w:r>
              <w:t>1.65</w:t>
            </w:r>
          </w:p>
        </w:tc>
        <w:tc>
          <w:tcPr>
            <w:tcW w:w="1223" w:type="dxa"/>
            <w:tcBorders>
              <w:top w:val="nil"/>
              <w:left w:val="nil"/>
              <w:bottom w:val="nil"/>
              <w:right w:val="nil"/>
            </w:tcBorders>
            <w:vAlign w:val="bottom"/>
          </w:tcPr>
          <w:p>
            <w:pPr>
              <w:pStyle w:val="yTableNAm"/>
            </w:pPr>
            <w:r>
              <w:t>0.50</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55"/>
              </w:tabs>
              <w:ind w:left="441" w:hanging="441"/>
            </w:pPr>
            <w:r>
              <w:t>(c)</w:t>
            </w:r>
            <w:r>
              <w:tab/>
              <w:t xml:space="preserve">for each copy on the request of a person who is not a party to the application </w:t>
            </w:r>
          </w:p>
        </w:tc>
        <w:tc>
          <w:tcPr>
            <w:tcW w:w="1260" w:type="dxa"/>
            <w:tcBorders>
              <w:top w:val="nil"/>
              <w:left w:val="nil"/>
              <w:bottom w:val="nil"/>
              <w:right w:val="nil"/>
            </w:tcBorders>
            <w:vAlign w:val="bottom"/>
          </w:tcPr>
          <w:p>
            <w:pPr>
              <w:pStyle w:val="yTableNAm"/>
            </w:pPr>
            <w:r>
              <w:t>1.65</w:t>
            </w:r>
          </w:p>
        </w:tc>
        <w:tc>
          <w:tcPr>
            <w:tcW w:w="1259" w:type="dxa"/>
            <w:tcBorders>
              <w:top w:val="nil"/>
              <w:left w:val="nil"/>
              <w:bottom w:val="nil"/>
              <w:right w:val="nil"/>
            </w:tcBorders>
            <w:vAlign w:val="bottom"/>
          </w:tcPr>
          <w:p>
            <w:pPr>
              <w:pStyle w:val="yTableNAm"/>
            </w:pPr>
            <w:r>
              <w:t>1.65</w:t>
            </w:r>
          </w:p>
        </w:tc>
        <w:tc>
          <w:tcPr>
            <w:tcW w:w="1223" w:type="dxa"/>
            <w:tcBorders>
              <w:top w:val="nil"/>
              <w:left w:val="nil"/>
              <w:bottom w:val="nil"/>
              <w:right w:val="nil"/>
            </w:tcBorders>
            <w:vAlign w:val="bottom"/>
          </w:tcPr>
          <w:p>
            <w:pPr>
              <w:pStyle w:val="yTableNAm"/>
            </w:pPr>
            <w:r>
              <w:t>0.50</w:t>
            </w:r>
          </w:p>
        </w:tc>
      </w:tr>
      <w:tr>
        <w:trPr>
          <w:cantSplit/>
        </w:trPr>
        <w:tc>
          <w:tcPr>
            <w:tcW w:w="767" w:type="dxa"/>
            <w:tcBorders>
              <w:top w:val="nil"/>
              <w:left w:val="nil"/>
              <w:bottom w:val="nil"/>
              <w:right w:val="nil"/>
            </w:tcBorders>
          </w:tcPr>
          <w:p>
            <w:pPr>
              <w:pStyle w:val="yTableNAm"/>
            </w:pPr>
            <w:r>
              <w:t>4.</w:t>
            </w:r>
          </w:p>
        </w:tc>
        <w:tc>
          <w:tcPr>
            <w:tcW w:w="2495" w:type="dxa"/>
            <w:tcBorders>
              <w:top w:val="nil"/>
              <w:left w:val="nil"/>
              <w:bottom w:val="nil"/>
              <w:right w:val="nil"/>
            </w:tcBorders>
          </w:tcPr>
          <w:p>
            <w:pPr>
              <w:pStyle w:val="yTableNAm"/>
            </w:pPr>
            <w:r>
              <w:t xml:space="preserve">For certifying under a seal that a document is a true copy, an additional fee of </w:t>
            </w:r>
          </w:p>
        </w:tc>
        <w:tc>
          <w:tcPr>
            <w:tcW w:w="1260" w:type="dxa"/>
            <w:tcBorders>
              <w:top w:val="nil"/>
              <w:left w:val="nil"/>
              <w:bottom w:val="nil"/>
              <w:right w:val="nil"/>
            </w:tcBorders>
            <w:vAlign w:val="bottom"/>
          </w:tcPr>
          <w:p>
            <w:pPr>
              <w:pStyle w:val="yTableNAm"/>
            </w:pPr>
            <w:r>
              <w:t>21.70</w:t>
            </w:r>
          </w:p>
        </w:tc>
        <w:tc>
          <w:tcPr>
            <w:tcW w:w="1259" w:type="dxa"/>
            <w:tcBorders>
              <w:top w:val="nil"/>
              <w:left w:val="nil"/>
              <w:bottom w:val="nil"/>
              <w:right w:val="nil"/>
            </w:tcBorders>
            <w:vAlign w:val="bottom"/>
          </w:tcPr>
          <w:p>
            <w:pPr>
              <w:pStyle w:val="yTableNAm"/>
            </w:pPr>
            <w:r>
              <w:t>21.70</w:t>
            </w:r>
          </w:p>
        </w:tc>
        <w:tc>
          <w:tcPr>
            <w:tcW w:w="1223" w:type="dxa"/>
            <w:tcBorders>
              <w:top w:val="nil"/>
              <w:left w:val="nil"/>
              <w:bottom w:val="nil"/>
              <w:right w:val="nil"/>
            </w:tcBorders>
            <w:vAlign w:val="bottom"/>
          </w:tcPr>
          <w:p>
            <w:pPr>
              <w:pStyle w:val="yTableNAm"/>
            </w:pPr>
            <w:r>
              <w:t>6.50</w:t>
            </w:r>
          </w:p>
        </w:tc>
      </w:tr>
      <w:tr>
        <w:trPr>
          <w:cantSplit/>
        </w:trPr>
        <w:tc>
          <w:tcPr>
            <w:tcW w:w="767" w:type="dxa"/>
            <w:tcBorders>
              <w:top w:val="nil"/>
              <w:left w:val="nil"/>
              <w:bottom w:val="nil"/>
              <w:right w:val="nil"/>
            </w:tcBorders>
          </w:tcPr>
          <w:p>
            <w:pPr>
              <w:pStyle w:val="yTableNAm"/>
            </w:pPr>
            <w:r>
              <w:t>5.</w:t>
            </w:r>
          </w:p>
        </w:tc>
        <w:tc>
          <w:tcPr>
            <w:tcW w:w="2495" w:type="dxa"/>
            <w:tcBorders>
              <w:top w:val="nil"/>
              <w:left w:val="nil"/>
              <w:bottom w:val="nil"/>
              <w:right w:val="nil"/>
            </w:tcBorders>
          </w:tcPr>
          <w:p>
            <w:pPr>
              <w:pStyle w:val="yTableNAm"/>
              <w:tabs>
                <w:tab w:val="clear" w:pos="567"/>
                <w:tab w:val="left" w:pos="455"/>
              </w:tabs>
              <w:ind w:left="441" w:hanging="441"/>
            </w:pPr>
            <w:r>
              <w:t>(a)</w:t>
            </w:r>
            <w:r>
              <w:tab/>
              <w:t xml:space="preserve">For the provision of a transcript, or part of a transcript — </w:t>
            </w:r>
          </w:p>
        </w:tc>
        <w:tc>
          <w:tcPr>
            <w:tcW w:w="1260" w:type="dxa"/>
            <w:tcBorders>
              <w:top w:val="nil"/>
              <w:left w:val="nil"/>
              <w:bottom w:val="nil"/>
              <w:right w:val="nil"/>
            </w:tcBorders>
          </w:tcPr>
          <w:p>
            <w:pPr>
              <w:pStyle w:val="yTableNAm"/>
            </w:pPr>
          </w:p>
        </w:tc>
        <w:tc>
          <w:tcPr>
            <w:tcW w:w="1259" w:type="dxa"/>
            <w:tcBorders>
              <w:top w:val="nil"/>
              <w:left w:val="nil"/>
              <w:bottom w:val="nil"/>
              <w:right w:val="nil"/>
            </w:tcBorders>
          </w:tcPr>
          <w:p>
            <w:pPr>
              <w:pStyle w:val="yTableNAm"/>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w:t>
            </w:r>
            <w:r>
              <w:tab/>
              <w:t xml:space="preserve">provided within 1 day after the day on which the fee is paid </w:t>
            </w:r>
          </w:p>
        </w:tc>
        <w:tc>
          <w:tcPr>
            <w:tcW w:w="1260" w:type="dxa"/>
            <w:tcBorders>
              <w:top w:val="nil"/>
              <w:left w:val="nil"/>
              <w:bottom w:val="nil"/>
              <w:right w:val="nil"/>
            </w:tcBorders>
          </w:tcPr>
          <w:p>
            <w:pPr>
              <w:pStyle w:val="yTableNAm"/>
            </w:pPr>
            <w:r>
              <w:t>22.60 plus</w:t>
            </w:r>
            <w:r>
              <w:br/>
              <w:t>9.30 per page</w:t>
            </w:r>
          </w:p>
        </w:tc>
        <w:tc>
          <w:tcPr>
            <w:tcW w:w="1259" w:type="dxa"/>
            <w:tcBorders>
              <w:top w:val="nil"/>
              <w:left w:val="nil"/>
              <w:bottom w:val="nil"/>
              <w:right w:val="nil"/>
            </w:tcBorders>
          </w:tcPr>
          <w:p>
            <w:pPr>
              <w:pStyle w:val="yTableNAm"/>
            </w:pPr>
            <w:r>
              <w:t>22.60 plus</w:t>
            </w:r>
            <w:r>
              <w:br/>
              <w:t>18.60 per page</w:t>
            </w:r>
          </w:p>
        </w:tc>
        <w:tc>
          <w:tcPr>
            <w:tcW w:w="1223" w:type="dxa"/>
            <w:tcBorders>
              <w:top w:val="nil"/>
              <w:left w:val="nil"/>
              <w:bottom w:val="nil"/>
              <w:right w:val="nil"/>
            </w:tcBorders>
          </w:tcPr>
          <w:p>
            <w:pPr>
              <w:pStyle w:val="yTableNAm"/>
            </w:pPr>
            <w:r>
              <w:t xml:space="preserve">6.80 plus </w:t>
            </w:r>
            <w:r>
              <w:br/>
              <w:t>2.80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(ii)</w:t>
            </w:r>
            <w:r>
              <w:tab/>
              <w:t xml:space="preserve">provided within 2 days after the day on which the fee is paid </w:t>
            </w:r>
          </w:p>
        </w:tc>
        <w:tc>
          <w:tcPr>
            <w:tcW w:w="1260" w:type="dxa"/>
            <w:tcBorders>
              <w:top w:val="nil"/>
              <w:left w:val="nil"/>
              <w:bottom w:val="nil"/>
              <w:right w:val="nil"/>
            </w:tcBorders>
          </w:tcPr>
          <w:p>
            <w:pPr>
              <w:pStyle w:val="yTableNAm"/>
            </w:pPr>
            <w:r>
              <w:t>22.60 plus</w:t>
            </w:r>
            <w:r>
              <w:br/>
              <w:t>8.55 per page</w:t>
            </w:r>
          </w:p>
        </w:tc>
        <w:tc>
          <w:tcPr>
            <w:tcW w:w="1259" w:type="dxa"/>
            <w:tcBorders>
              <w:top w:val="nil"/>
              <w:left w:val="nil"/>
              <w:bottom w:val="nil"/>
              <w:right w:val="nil"/>
            </w:tcBorders>
          </w:tcPr>
          <w:p>
            <w:pPr>
              <w:pStyle w:val="yTableNAm"/>
            </w:pPr>
            <w:r>
              <w:t>22.60 plus</w:t>
            </w:r>
            <w:r>
              <w:br/>
              <w:t>17.05 per page</w:t>
            </w:r>
          </w:p>
        </w:tc>
        <w:tc>
          <w:tcPr>
            <w:tcW w:w="1223" w:type="dxa"/>
            <w:tcBorders>
              <w:top w:val="nil"/>
              <w:left w:val="nil"/>
              <w:bottom w:val="nil"/>
              <w:right w:val="nil"/>
            </w:tcBorders>
          </w:tcPr>
          <w:p>
            <w:pPr>
              <w:pStyle w:val="yTableNAm"/>
            </w:pPr>
            <w:r>
              <w:t xml:space="preserve">6.80 plus </w:t>
            </w:r>
            <w:r>
              <w:br/>
              <w:t>2.55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(iii)</w:t>
            </w:r>
            <w:r>
              <w:tab/>
              <w:t xml:space="preserve">provided within 4 days after the day on which the fee is paid </w:t>
            </w:r>
          </w:p>
        </w:tc>
        <w:tc>
          <w:tcPr>
            <w:tcW w:w="1260" w:type="dxa"/>
            <w:tcBorders>
              <w:top w:val="nil"/>
              <w:left w:val="nil"/>
              <w:bottom w:val="nil"/>
              <w:right w:val="nil"/>
            </w:tcBorders>
          </w:tcPr>
          <w:p>
            <w:pPr>
              <w:pStyle w:val="yTableNAm"/>
            </w:pPr>
            <w:r>
              <w:t>22.60 plus</w:t>
            </w:r>
            <w:r>
              <w:br/>
              <w:t>8.05 per page</w:t>
            </w:r>
          </w:p>
        </w:tc>
        <w:tc>
          <w:tcPr>
            <w:tcW w:w="1259" w:type="dxa"/>
            <w:tcBorders>
              <w:top w:val="nil"/>
              <w:left w:val="nil"/>
              <w:bottom w:val="nil"/>
              <w:right w:val="nil"/>
            </w:tcBorders>
          </w:tcPr>
          <w:p>
            <w:pPr>
              <w:pStyle w:val="yTableNAm"/>
            </w:pPr>
            <w:r>
              <w:t>22.60 plus</w:t>
            </w:r>
            <w:r>
              <w:br/>
              <w:t>16.25 per page</w:t>
            </w:r>
          </w:p>
        </w:tc>
        <w:tc>
          <w:tcPr>
            <w:tcW w:w="1223" w:type="dxa"/>
            <w:tcBorders>
              <w:top w:val="nil"/>
              <w:left w:val="nil"/>
              <w:bottom w:val="nil"/>
              <w:right w:val="nil"/>
            </w:tcBorders>
          </w:tcPr>
          <w:p>
            <w:pPr>
              <w:pStyle w:val="yTableNAm"/>
            </w:pPr>
            <w:r>
              <w:t xml:space="preserve">6.80 plus </w:t>
            </w:r>
            <w:r>
              <w:br/>
              <w:t>2.40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(iv)</w:t>
            </w:r>
            <w:r>
              <w:tab/>
              <w:t xml:space="preserve">provided within 7 days after the day on which the fee is paid </w:t>
            </w:r>
          </w:p>
        </w:tc>
        <w:tc>
          <w:tcPr>
            <w:tcW w:w="1260" w:type="dxa"/>
            <w:tcBorders>
              <w:top w:val="nil"/>
              <w:left w:val="nil"/>
              <w:bottom w:val="nil"/>
              <w:right w:val="nil"/>
            </w:tcBorders>
          </w:tcPr>
          <w:p>
            <w:pPr>
              <w:pStyle w:val="yTableNAm"/>
            </w:pPr>
            <w:r>
              <w:t xml:space="preserve">22.60 plus </w:t>
            </w:r>
            <w:r>
              <w:br/>
              <w:t>7.75 per page</w:t>
            </w:r>
          </w:p>
        </w:tc>
        <w:tc>
          <w:tcPr>
            <w:tcW w:w="1259" w:type="dxa"/>
            <w:tcBorders>
              <w:top w:val="nil"/>
              <w:left w:val="nil"/>
              <w:bottom w:val="nil"/>
              <w:right w:val="nil"/>
            </w:tcBorders>
          </w:tcPr>
          <w:p>
            <w:pPr>
              <w:pStyle w:val="yTableNAm"/>
            </w:pPr>
            <w:r>
              <w:t>22.60 plus</w:t>
            </w:r>
            <w:r>
              <w:br/>
              <w:t>15.45 per page</w:t>
            </w:r>
          </w:p>
        </w:tc>
        <w:tc>
          <w:tcPr>
            <w:tcW w:w="1223" w:type="dxa"/>
            <w:tcBorders>
              <w:top w:val="nil"/>
              <w:left w:val="nil"/>
              <w:bottom w:val="nil"/>
              <w:right w:val="nil"/>
            </w:tcBorders>
          </w:tcPr>
          <w:p>
            <w:pPr>
              <w:pStyle w:val="yTableNAm"/>
            </w:pPr>
            <w:r>
              <w:t xml:space="preserve">6.80 plus </w:t>
            </w:r>
            <w:r>
              <w:br/>
              <w:t>2.30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(v)</w:t>
            </w:r>
            <w:r>
              <w:tab/>
              <w:t xml:space="preserve">provided within 14 days after the day on which the fee is paid </w:t>
            </w:r>
          </w:p>
        </w:tc>
        <w:tc>
          <w:tcPr>
            <w:tcW w:w="1260" w:type="dxa"/>
            <w:tcBorders>
              <w:top w:val="nil"/>
              <w:left w:val="nil"/>
              <w:bottom w:val="nil"/>
              <w:right w:val="nil"/>
            </w:tcBorders>
          </w:tcPr>
          <w:p>
            <w:pPr>
              <w:pStyle w:val="yTableNAm"/>
            </w:pPr>
            <w:r>
              <w:t xml:space="preserve">22.60 plus </w:t>
            </w:r>
            <w:r>
              <w:br/>
              <w:t>6.60 per page</w:t>
            </w:r>
          </w:p>
        </w:tc>
        <w:tc>
          <w:tcPr>
            <w:tcW w:w="1259" w:type="dxa"/>
            <w:tcBorders>
              <w:top w:val="nil"/>
              <w:left w:val="nil"/>
              <w:bottom w:val="nil"/>
              <w:right w:val="nil"/>
            </w:tcBorders>
          </w:tcPr>
          <w:p>
            <w:pPr>
              <w:pStyle w:val="yTableNAm"/>
            </w:pPr>
            <w:r>
              <w:t>22.60 plus</w:t>
            </w:r>
            <w:r>
              <w:br/>
              <w:t>13.20 per page</w:t>
            </w:r>
          </w:p>
        </w:tc>
        <w:tc>
          <w:tcPr>
            <w:tcW w:w="1223" w:type="dxa"/>
            <w:tcBorders>
              <w:top w:val="nil"/>
              <w:left w:val="nil"/>
              <w:bottom w:val="nil"/>
              <w:right w:val="nil"/>
            </w:tcBorders>
          </w:tcPr>
          <w:p>
            <w:pPr>
              <w:pStyle w:val="yTableNAm"/>
            </w:pPr>
            <w:r>
              <w:t xml:space="preserve">6.80 plus </w:t>
            </w:r>
            <w:r>
              <w:br/>
              <w:t>2.00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(vi)</w:t>
            </w:r>
            <w:r>
              <w:tab/>
              <w:t>provided on a running basis (i.e. periodically throughout or following the day of the proceedings)</w:t>
            </w:r>
          </w:p>
        </w:tc>
        <w:tc>
          <w:tcPr>
            <w:tcW w:w="1260" w:type="dxa"/>
            <w:tcBorders>
              <w:top w:val="nil"/>
              <w:left w:val="nil"/>
              <w:bottom w:val="nil"/>
              <w:right w:val="nil"/>
            </w:tcBorders>
          </w:tcPr>
          <w:p>
            <w:pPr>
              <w:pStyle w:val="yTableNAm"/>
            </w:pPr>
            <w:r>
              <w:t xml:space="preserve">22.60 plus </w:t>
            </w:r>
            <w:r>
              <w:br/>
              <w:t>9.90 per page</w:t>
            </w:r>
          </w:p>
        </w:tc>
        <w:tc>
          <w:tcPr>
            <w:tcW w:w="1259" w:type="dxa"/>
            <w:tcBorders>
              <w:top w:val="nil"/>
              <w:left w:val="nil"/>
              <w:bottom w:val="nil"/>
              <w:right w:val="nil"/>
            </w:tcBorders>
          </w:tcPr>
          <w:p>
            <w:pPr>
              <w:pStyle w:val="yTableNAm"/>
            </w:pPr>
            <w:r>
              <w:t>22.60 plus</w:t>
            </w:r>
            <w:r>
              <w:br/>
              <w:t>19.80 per page</w:t>
            </w:r>
          </w:p>
        </w:tc>
        <w:tc>
          <w:tcPr>
            <w:tcW w:w="1223" w:type="dxa"/>
            <w:tcBorders>
              <w:top w:val="nil"/>
              <w:left w:val="nil"/>
              <w:bottom w:val="nil"/>
              <w:right w:val="nil"/>
            </w:tcBorders>
          </w:tcPr>
          <w:p>
            <w:pPr>
              <w:pStyle w:val="yTableNAm"/>
            </w:pPr>
            <w:r>
              <w:t xml:space="preserve">6.80 plus </w:t>
            </w:r>
            <w:r>
              <w:br/>
              <w:t>2.95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55"/>
              </w:tabs>
              <w:ind w:left="441" w:hanging="441"/>
            </w:pPr>
            <w:r>
              <w:t>(b)</w:t>
            </w:r>
            <w:r>
              <w:tab/>
              <w:t xml:space="preserve">For the provision of a copy of a transcript, or part of a transcript, where the transcript or part has already been provided to the person requesting the copy — </w:t>
            </w:r>
          </w:p>
        </w:tc>
        <w:tc>
          <w:tcPr>
            <w:tcW w:w="1260" w:type="dxa"/>
            <w:tcBorders>
              <w:top w:val="nil"/>
              <w:left w:val="nil"/>
              <w:bottom w:val="nil"/>
              <w:right w:val="nil"/>
            </w:tcBorders>
          </w:tcPr>
          <w:p>
            <w:pPr>
              <w:pStyle w:val="yTableNAm"/>
            </w:pPr>
          </w:p>
        </w:tc>
        <w:tc>
          <w:tcPr>
            <w:tcW w:w="1259" w:type="dxa"/>
            <w:tcBorders>
              <w:top w:val="nil"/>
              <w:left w:val="nil"/>
              <w:bottom w:val="nil"/>
              <w:right w:val="nil"/>
            </w:tcBorders>
          </w:tcPr>
          <w:p>
            <w:pPr>
              <w:pStyle w:val="yTableNAm"/>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w:t>
            </w:r>
            <w:r>
              <w:tab/>
              <w:t xml:space="preserve">electronic format </w:t>
            </w:r>
          </w:p>
        </w:tc>
        <w:tc>
          <w:tcPr>
            <w:tcW w:w="1260" w:type="dxa"/>
            <w:tcBorders>
              <w:top w:val="nil"/>
              <w:left w:val="nil"/>
              <w:bottom w:val="nil"/>
              <w:right w:val="nil"/>
            </w:tcBorders>
          </w:tcPr>
          <w:p>
            <w:pPr>
              <w:pStyle w:val="yTableNAm"/>
            </w:pPr>
            <w:r>
              <w:t>23.50 per copy</w:t>
            </w:r>
          </w:p>
        </w:tc>
        <w:tc>
          <w:tcPr>
            <w:tcW w:w="1259" w:type="dxa"/>
            <w:tcBorders>
              <w:top w:val="nil"/>
              <w:left w:val="nil"/>
              <w:bottom w:val="nil"/>
              <w:right w:val="nil"/>
            </w:tcBorders>
          </w:tcPr>
          <w:p>
            <w:pPr>
              <w:pStyle w:val="yTableNAm"/>
            </w:pPr>
            <w:r>
              <w:t>23.50 per copy</w:t>
            </w:r>
          </w:p>
        </w:tc>
        <w:tc>
          <w:tcPr>
            <w:tcW w:w="1223" w:type="dxa"/>
            <w:tcBorders>
              <w:top w:val="nil"/>
              <w:left w:val="nil"/>
              <w:bottom w:val="nil"/>
              <w:right w:val="nil"/>
            </w:tcBorders>
          </w:tcPr>
          <w:p>
            <w:pPr>
              <w:pStyle w:val="yTableNAm"/>
            </w:pPr>
            <w:r>
              <w:t>7.05 per copy</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(ii)</w:t>
            </w:r>
            <w:r>
              <w:tab/>
              <w:t xml:space="preserve">paper copy </w:t>
            </w:r>
          </w:p>
        </w:tc>
        <w:tc>
          <w:tcPr>
            <w:tcW w:w="1260" w:type="dxa"/>
            <w:tcBorders>
              <w:top w:val="nil"/>
              <w:left w:val="nil"/>
              <w:bottom w:val="nil"/>
              <w:right w:val="nil"/>
            </w:tcBorders>
          </w:tcPr>
          <w:p>
            <w:pPr>
              <w:pStyle w:val="yTableNAm"/>
            </w:pPr>
            <w:r>
              <w:t>2.30 per page</w:t>
            </w:r>
          </w:p>
        </w:tc>
        <w:tc>
          <w:tcPr>
            <w:tcW w:w="1259" w:type="dxa"/>
            <w:tcBorders>
              <w:top w:val="nil"/>
              <w:left w:val="nil"/>
              <w:bottom w:val="nil"/>
              <w:right w:val="nil"/>
            </w:tcBorders>
          </w:tcPr>
          <w:p>
            <w:pPr>
              <w:pStyle w:val="yTableNAm"/>
            </w:pPr>
            <w:r>
              <w:t>2.30 per page</w:t>
            </w:r>
          </w:p>
        </w:tc>
        <w:tc>
          <w:tcPr>
            <w:tcW w:w="1223" w:type="dxa"/>
            <w:tcBorders>
              <w:top w:val="nil"/>
              <w:left w:val="nil"/>
              <w:bottom w:val="nil"/>
              <w:right w:val="nil"/>
            </w:tcBorders>
          </w:tcPr>
          <w:p>
            <w:pPr>
              <w:pStyle w:val="yTableNAm"/>
            </w:pPr>
            <w:r>
              <w:t>0.70 per page</w:t>
            </w:r>
          </w:p>
        </w:tc>
      </w:tr>
      <w:tr>
        <w:trPr>
          <w:cantSplit/>
        </w:trPr>
        <w:tc>
          <w:tcPr>
            <w:tcW w:w="767" w:type="dxa"/>
            <w:tcBorders>
              <w:top w:val="nil"/>
              <w:left w:val="nil"/>
              <w:bottom w:val="nil"/>
              <w:right w:val="nil"/>
            </w:tcBorders>
          </w:tcPr>
          <w:p>
            <w:pPr>
              <w:pStyle w:val="yTableNAm"/>
            </w:pPr>
            <w:r>
              <w:t>6.</w:t>
            </w:r>
          </w:p>
        </w:tc>
        <w:tc>
          <w:tcPr>
            <w:tcW w:w="2495" w:type="dxa"/>
            <w:tcBorders>
              <w:top w:val="nil"/>
              <w:left w:val="nil"/>
              <w:bottom w:val="nil"/>
              <w:right w:val="nil"/>
            </w:tcBorders>
          </w:tcPr>
          <w:p>
            <w:pPr>
              <w:pStyle w:val="yTableNAm"/>
            </w:pPr>
            <w:r>
              <w:t>For searching the register of proceedings other than a search made by or on behalf of a party to the application of that part of the register applicable to the application</w:t>
            </w:r>
          </w:p>
        </w:tc>
        <w:tc>
          <w:tcPr>
            <w:tcW w:w="1260" w:type="dxa"/>
            <w:tcBorders>
              <w:top w:val="nil"/>
              <w:left w:val="nil"/>
              <w:bottom w:val="nil"/>
              <w:right w:val="nil"/>
            </w:tcBorders>
            <w:vAlign w:val="bottom"/>
          </w:tcPr>
          <w:p>
            <w:pPr>
              <w:pStyle w:val="yTableNAm"/>
            </w:pPr>
            <w:r>
              <w:t>24.50</w:t>
            </w:r>
          </w:p>
        </w:tc>
        <w:tc>
          <w:tcPr>
            <w:tcW w:w="1259" w:type="dxa"/>
            <w:tcBorders>
              <w:top w:val="nil"/>
              <w:left w:val="nil"/>
              <w:bottom w:val="nil"/>
              <w:right w:val="nil"/>
            </w:tcBorders>
            <w:vAlign w:val="bottom"/>
          </w:tcPr>
          <w:p>
            <w:pPr>
              <w:pStyle w:val="yTableNAm"/>
            </w:pPr>
            <w:r>
              <w:t>24.50</w:t>
            </w:r>
          </w:p>
        </w:tc>
        <w:tc>
          <w:tcPr>
            <w:tcW w:w="1223" w:type="dxa"/>
            <w:tcBorders>
              <w:top w:val="nil"/>
              <w:left w:val="nil"/>
              <w:bottom w:val="nil"/>
              <w:right w:val="nil"/>
            </w:tcBorders>
            <w:vAlign w:val="bottom"/>
          </w:tcPr>
          <w:p>
            <w:pPr>
              <w:pStyle w:val="yTableNAm"/>
            </w:pPr>
            <w:r>
              <w:t>7.35</w:t>
            </w:r>
          </w:p>
        </w:tc>
      </w:tr>
      <w:tr>
        <w:trPr>
          <w:cantSplit/>
        </w:trPr>
        <w:tc>
          <w:tcPr>
            <w:tcW w:w="767" w:type="dxa"/>
            <w:tcBorders>
              <w:top w:val="nil"/>
              <w:left w:val="nil"/>
              <w:bottom w:val="nil"/>
              <w:right w:val="nil"/>
            </w:tcBorders>
          </w:tcPr>
          <w:p>
            <w:pPr>
              <w:pStyle w:val="yTableNAm"/>
            </w:pPr>
            <w:r>
              <w:t>7.</w:t>
            </w:r>
          </w:p>
        </w:tc>
        <w:tc>
          <w:tcPr>
            <w:tcW w:w="2495" w:type="dxa"/>
            <w:tcBorders>
              <w:top w:val="nil"/>
              <w:left w:val="nil"/>
              <w:bottom w:val="nil"/>
              <w:right w:val="nil"/>
            </w:tcBorders>
          </w:tcPr>
          <w:p>
            <w:pPr>
              <w:pStyle w:val="yTableNAm"/>
            </w:pPr>
            <w:r>
              <w:t>For searching any proceeding or record other than a search made by or on behalf of a party to the application</w:t>
            </w:r>
          </w:p>
        </w:tc>
        <w:tc>
          <w:tcPr>
            <w:tcW w:w="1260" w:type="dxa"/>
            <w:tcBorders>
              <w:top w:val="nil"/>
              <w:left w:val="nil"/>
              <w:bottom w:val="nil"/>
              <w:right w:val="nil"/>
            </w:tcBorders>
            <w:vAlign w:val="bottom"/>
          </w:tcPr>
          <w:p>
            <w:pPr>
              <w:pStyle w:val="yTableNAm"/>
            </w:pPr>
            <w:r>
              <w:t>54.50</w:t>
            </w:r>
          </w:p>
        </w:tc>
        <w:tc>
          <w:tcPr>
            <w:tcW w:w="1259" w:type="dxa"/>
            <w:tcBorders>
              <w:top w:val="nil"/>
              <w:left w:val="nil"/>
              <w:bottom w:val="nil"/>
              <w:right w:val="nil"/>
            </w:tcBorders>
            <w:vAlign w:val="bottom"/>
          </w:tcPr>
          <w:p>
            <w:pPr>
              <w:pStyle w:val="yTableNAm"/>
            </w:pPr>
            <w:r>
              <w:t>54.50</w:t>
            </w:r>
          </w:p>
        </w:tc>
        <w:tc>
          <w:tcPr>
            <w:tcW w:w="1223" w:type="dxa"/>
            <w:tcBorders>
              <w:top w:val="nil"/>
              <w:left w:val="nil"/>
              <w:bottom w:val="nil"/>
              <w:right w:val="nil"/>
            </w:tcBorders>
            <w:vAlign w:val="bottom"/>
          </w:tcPr>
          <w:p>
            <w:pPr>
              <w:pStyle w:val="yTableNAm"/>
            </w:pPr>
            <w:r>
              <w:t>16.35</w:t>
            </w:r>
          </w:p>
        </w:tc>
      </w:tr>
      <w:tr>
        <w:trPr>
          <w:cantSplit/>
        </w:trPr>
        <w:tc>
          <w:tcPr>
            <w:tcW w:w="767" w:type="dxa"/>
            <w:tcBorders>
              <w:top w:val="nil"/>
              <w:left w:val="nil"/>
              <w:bottom w:val="single" w:sz="4" w:space="0" w:color="auto"/>
              <w:right w:val="nil"/>
            </w:tcBorders>
          </w:tcPr>
          <w:p>
            <w:pPr>
              <w:pStyle w:val="yTableNAm"/>
            </w:pPr>
            <w:r>
              <w:t>8.</w:t>
            </w:r>
          </w:p>
        </w:tc>
        <w:tc>
          <w:tcPr>
            <w:tcW w:w="2495" w:type="dxa"/>
            <w:tcBorders>
              <w:top w:val="nil"/>
              <w:left w:val="nil"/>
              <w:bottom w:val="single" w:sz="4" w:space="0" w:color="auto"/>
              <w:right w:val="nil"/>
            </w:tcBorders>
          </w:tcPr>
          <w:p>
            <w:pPr>
              <w:pStyle w:val="yTableNAm"/>
            </w:pPr>
            <w:r>
              <w:t>For sealing a summons to a witness</w:t>
            </w:r>
          </w:p>
        </w:tc>
        <w:tc>
          <w:tcPr>
            <w:tcW w:w="1260" w:type="dxa"/>
            <w:tcBorders>
              <w:top w:val="nil"/>
              <w:left w:val="nil"/>
              <w:bottom w:val="single" w:sz="4" w:space="0" w:color="auto"/>
              <w:right w:val="nil"/>
            </w:tcBorders>
            <w:vAlign w:val="bottom"/>
          </w:tcPr>
          <w:p>
            <w:pPr>
              <w:pStyle w:val="yTableNAm"/>
            </w:pPr>
            <w:r>
              <w:t>45.00</w:t>
            </w:r>
          </w:p>
        </w:tc>
        <w:tc>
          <w:tcPr>
            <w:tcW w:w="1259" w:type="dxa"/>
            <w:tcBorders>
              <w:top w:val="nil"/>
              <w:left w:val="nil"/>
              <w:bottom w:val="single" w:sz="4" w:space="0" w:color="auto"/>
              <w:right w:val="nil"/>
            </w:tcBorders>
            <w:vAlign w:val="bottom"/>
          </w:tcPr>
          <w:p>
            <w:pPr>
              <w:pStyle w:val="yTableNAm"/>
            </w:pPr>
            <w:r>
              <w:t>45.00</w:t>
            </w:r>
          </w:p>
        </w:tc>
        <w:tc>
          <w:tcPr>
            <w:tcW w:w="1223" w:type="dxa"/>
            <w:tcBorders>
              <w:top w:val="nil"/>
              <w:left w:val="nil"/>
              <w:bottom w:val="single" w:sz="4" w:space="0" w:color="auto"/>
              <w:right w:val="nil"/>
            </w:tcBorders>
            <w:vAlign w:val="bottom"/>
          </w:tcPr>
          <w:p>
            <w:pPr>
              <w:pStyle w:val="yTableNAm"/>
            </w:pPr>
            <w:r>
              <w:t>13.50</w:t>
            </w:r>
          </w:p>
        </w:tc>
      </w:tr>
    </w:tbl>
    <w:p>
      <w:pPr>
        <w:pStyle w:val="yFootnotesection"/>
      </w:pPr>
      <w:r>
        <w:tab/>
        <w:t>[Schedule 20 inserted: Gazette 28 Jun 2019 p. 2617</w:t>
      </w:r>
      <w:r>
        <w:noBreakHyphen/>
        <w:t>20.]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4" w:bottom="3544" w:left="2404" w:header="709" w:footer="3380" w:gutter="0"/>
          <w:cols w:space="720"/>
          <w:noEndnote/>
          <w:docGrid w:linePitch="326"/>
        </w:sectPr>
      </w:pPr>
    </w:p>
    <w:p>
      <w:pPr>
        <w:pStyle w:val="nHeading2"/>
      </w:pPr>
      <w:bookmarkStart w:id="133" w:name="_Toc38030513"/>
      <w:bookmarkStart w:id="134" w:name="_Toc38030556"/>
      <w:bookmarkStart w:id="135" w:name="_Toc38030599"/>
      <w:bookmarkStart w:id="136" w:name="_Toc38031774"/>
      <w:bookmarkStart w:id="137" w:name="_Toc32310860"/>
      <w:bookmarkStart w:id="138" w:name="_Toc32310903"/>
      <w:r>
        <w:t>Notes</w:t>
      </w:r>
      <w:bookmarkEnd w:id="133"/>
      <w:bookmarkEnd w:id="134"/>
      <w:bookmarkEnd w:id="135"/>
      <w:bookmarkEnd w:id="136"/>
      <w:bookmarkEnd w:id="137"/>
      <w:bookmarkEnd w:id="138"/>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9" w:name="_Toc38031775"/>
      <w:bookmarkStart w:id="140" w:name="_Toc32310904"/>
      <w:r>
        <w:t>Compilation table</w:t>
      </w:r>
      <w:bookmarkEnd w:id="139"/>
      <w:bookmarkEnd w:id="140"/>
    </w:p>
    <w:tbl>
      <w:tblPr>
        <w:tblW w:w="7153"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721"/>
        <w:gridCol w:w="10"/>
      </w:tblGrid>
      <w:tr>
        <w:trPr>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Published</w:t>
            </w:r>
          </w:p>
        </w:tc>
        <w:tc>
          <w:tcPr>
            <w:tcW w:w="2759"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Borders>
              <w:top w:val="single" w:sz="8" w:space="0" w:color="auto"/>
            </w:tcBorders>
          </w:tcPr>
          <w:p>
            <w:pPr>
              <w:pStyle w:val="nTable"/>
              <w:spacing w:after="40"/>
            </w:pPr>
            <w:r>
              <w:rPr>
                <w:i/>
              </w:rPr>
              <w:t>State Administrative Tribunal Regulations 2004</w:t>
            </w:r>
          </w:p>
        </w:tc>
        <w:tc>
          <w:tcPr>
            <w:tcW w:w="1276" w:type="dxa"/>
            <w:gridSpan w:val="2"/>
            <w:tcBorders>
              <w:top w:val="single" w:sz="8" w:space="0" w:color="auto"/>
            </w:tcBorders>
          </w:tcPr>
          <w:p>
            <w:pPr>
              <w:pStyle w:val="nTable"/>
              <w:spacing w:after="40"/>
            </w:pPr>
            <w:r>
              <w:t>30 Dec 2004 p. 6747</w:t>
            </w:r>
            <w:r>
              <w:noBreakHyphen/>
              <w:t>848</w:t>
            </w:r>
          </w:p>
        </w:tc>
        <w:tc>
          <w:tcPr>
            <w:tcW w:w="2721"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2005</w:t>
            </w:r>
          </w:p>
        </w:tc>
        <w:tc>
          <w:tcPr>
            <w:tcW w:w="1276" w:type="dxa"/>
            <w:gridSpan w:val="2"/>
          </w:tcPr>
          <w:p>
            <w:pPr>
              <w:pStyle w:val="nTable"/>
              <w:spacing w:after="40"/>
            </w:pPr>
            <w:r>
              <w:t>9 Aug 2005 p. 3635</w:t>
            </w:r>
            <w:r>
              <w:noBreakHyphen/>
              <w:t>6</w:t>
            </w:r>
          </w:p>
        </w:tc>
        <w:tc>
          <w:tcPr>
            <w:tcW w:w="2721" w:type="dxa"/>
          </w:tcPr>
          <w:p>
            <w:pPr>
              <w:pStyle w:val="nTable"/>
              <w:spacing w:after="40"/>
            </w:pPr>
            <w:r>
              <w:t>9 Aug 2005</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2) 2007</w:t>
            </w:r>
          </w:p>
        </w:tc>
        <w:tc>
          <w:tcPr>
            <w:tcW w:w="1276" w:type="dxa"/>
            <w:gridSpan w:val="2"/>
          </w:tcPr>
          <w:p>
            <w:pPr>
              <w:pStyle w:val="nTable"/>
              <w:spacing w:after="40"/>
            </w:pPr>
            <w:r>
              <w:t>26 Jun 2007 p. 2979</w:t>
            </w:r>
            <w:r>
              <w:noBreakHyphen/>
              <w:t>96</w:t>
            </w:r>
          </w:p>
        </w:tc>
        <w:tc>
          <w:tcPr>
            <w:tcW w:w="2721"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2007</w:t>
            </w:r>
          </w:p>
        </w:tc>
        <w:tc>
          <w:tcPr>
            <w:tcW w:w="1276" w:type="dxa"/>
            <w:gridSpan w:val="2"/>
          </w:tcPr>
          <w:p>
            <w:pPr>
              <w:pStyle w:val="nTable"/>
              <w:spacing w:after="40"/>
            </w:pPr>
            <w:r>
              <w:t>31 Jul 2007 p. 3804</w:t>
            </w:r>
            <w:r>
              <w:noBreakHyphen/>
              <w:t>5</w:t>
            </w:r>
          </w:p>
        </w:tc>
        <w:tc>
          <w:tcPr>
            <w:tcW w:w="2721"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Cs/>
              </w:rPr>
            </w:pPr>
            <w:r>
              <w:rPr>
                <w:i/>
              </w:rPr>
              <w:t>State Administrative Tribunal Amendment (Road Traffic) Regulations 2008</w:t>
            </w:r>
            <w:r>
              <w:rPr>
                <w:iCs/>
              </w:rPr>
              <w:t xml:space="preserve"> </w:t>
            </w:r>
          </w:p>
        </w:tc>
        <w:tc>
          <w:tcPr>
            <w:tcW w:w="1276" w:type="dxa"/>
            <w:gridSpan w:val="2"/>
          </w:tcPr>
          <w:p>
            <w:pPr>
              <w:pStyle w:val="nTable"/>
              <w:spacing w:after="40"/>
            </w:pPr>
            <w:r>
              <w:t>13 Jun 2008 p. 2522</w:t>
            </w:r>
            <w:r>
              <w:noBreakHyphen/>
              <w:t>3</w:t>
            </w:r>
          </w:p>
        </w:tc>
        <w:tc>
          <w:tcPr>
            <w:tcW w:w="2721"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2008</w:t>
            </w:r>
          </w:p>
        </w:tc>
        <w:tc>
          <w:tcPr>
            <w:tcW w:w="1276" w:type="dxa"/>
            <w:gridSpan w:val="2"/>
          </w:tcPr>
          <w:p>
            <w:pPr>
              <w:pStyle w:val="nTable"/>
              <w:spacing w:after="40"/>
            </w:pPr>
            <w:r>
              <w:t>27 Jun 2008 p. 3064</w:t>
            </w:r>
            <w:r>
              <w:noBreakHyphen/>
              <w:t>7</w:t>
            </w:r>
          </w:p>
        </w:tc>
        <w:tc>
          <w:tcPr>
            <w:tcW w:w="2721"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2009</w:t>
            </w:r>
          </w:p>
        </w:tc>
        <w:tc>
          <w:tcPr>
            <w:tcW w:w="1276" w:type="dxa"/>
            <w:gridSpan w:val="2"/>
          </w:tcPr>
          <w:p>
            <w:pPr>
              <w:pStyle w:val="nTable"/>
              <w:spacing w:after="40"/>
            </w:pPr>
            <w:r>
              <w:t>4 Sep 2009 p. 3479</w:t>
            </w:r>
            <w:r>
              <w:noBreakHyphen/>
              <w:t>83</w:t>
            </w:r>
          </w:p>
        </w:tc>
        <w:tc>
          <w:tcPr>
            <w:tcW w:w="2721"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4394" w:type="dxa"/>
            <w:gridSpan w:val="4"/>
          </w:tcPr>
          <w:p>
            <w:pPr>
              <w:pStyle w:val="nTable"/>
              <w:spacing w:after="40"/>
            </w:pPr>
            <w:r>
              <w:rPr>
                <w:i/>
                <w:iCs/>
              </w:rPr>
              <w:t>Statutes (Repeals and Minor Amendments) Act 2009</w:t>
            </w:r>
            <w:r>
              <w:t xml:space="preserve"> s. 10 assented to 3 Dec 2009</w:t>
            </w:r>
          </w:p>
        </w:tc>
        <w:tc>
          <w:tcPr>
            <w:tcW w:w="2721"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4394" w:type="dxa"/>
            <w:gridSpan w:val="4"/>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72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2011</w:t>
            </w:r>
          </w:p>
        </w:tc>
        <w:tc>
          <w:tcPr>
            <w:tcW w:w="1276" w:type="dxa"/>
            <w:gridSpan w:val="2"/>
          </w:tcPr>
          <w:p>
            <w:pPr>
              <w:pStyle w:val="nTable"/>
              <w:spacing w:after="40"/>
            </w:pPr>
            <w:r>
              <w:t>8 Mar 2011 p. 792</w:t>
            </w:r>
            <w:r>
              <w:noBreakHyphen/>
              <w:t>5</w:t>
            </w:r>
          </w:p>
        </w:tc>
        <w:tc>
          <w:tcPr>
            <w:tcW w:w="2721"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4) 2011</w:t>
            </w:r>
          </w:p>
        </w:tc>
        <w:tc>
          <w:tcPr>
            <w:tcW w:w="1276" w:type="dxa"/>
            <w:gridSpan w:val="2"/>
          </w:tcPr>
          <w:p>
            <w:pPr>
              <w:pStyle w:val="nTable"/>
              <w:spacing w:after="40"/>
            </w:pPr>
            <w:r>
              <w:t>22 Jul 2011 p. 3017</w:t>
            </w:r>
            <w:r>
              <w:noBreakHyphen/>
              <w:t>18</w:t>
            </w:r>
          </w:p>
        </w:tc>
        <w:tc>
          <w:tcPr>
            <w:tcW w:w="2721"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5) 2011</w:t>
            </w:r>
          </w:p>
        </w:tc>
        <w:tc>
          <w:tcPr>
            <w:tcW w:w="1276" w:type="dxa"/>
            <w:gridSpan w:val="2"/>
          </w:tcPr>
          <w:p>
            <w:pPr>
              <w:pStyle w:val="nTable"/>
              <w:spacing w:after="40"/>
            </w:pPr>
            <w:r>
              <w:t>20 Dec 2011 p. 5383-7</w:t>
            </w:r>
          </w:p>
        </w:tc>
        <w:tc>
          <w:tcPr>
            <w:tcW w:w="2721"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3) 2012</w:t>
            </w:r>
          </w:p>
        </w:tc>
        <w:tc>
          <w:tcPr>
            <w:tcW w:w="1276" w:type="dxa"/>
            <w:gridSpan w:val="2"/>
          </w:tcPr>
          <w:p>
            <w:pPr>
              <w:pStyle w:val="nTable"/>
              <w:spacing w:after="40"/>
            </w:pPr>
            <w:r>
              <w:t>30 Nov 2012 p. 5795-7</w:t>
            </w:r>
          </w:p>
        </w:tc>
        <w:tc>
          <w:tcPr>
            <w:tcW w:w="2721"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4) 2012</w:t>
            </w:r>
          </w:p>
        </w:tc>
        <w:tc>
          <w:tcPr>
            <w:tcW w:w="1276" w:type="dxa"/>
            <w:gridSpan w:val="2"/>
          </w:tcPr>
          <w:p>
            <w:pPr>
              <w:pStyle w:val="nTable"/>
              <w:spacing w:after="40"/>
            </w:pPr>
            <w:r>
              <w:t>7 Dec 2012 p. 5994</w:t>
            </w:r>
          </w:p>
        </w:tc>
        <w:tc>
          <w:tcPr>
            <w:tcW w:w="2721"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2013</w:t>
            </w:r>
          </w:p>
        </w:tc>
        <w:tc>
          <w:tcPr>
            <w:tcW w:w="1276" w:type="dxa"/>
            <w:gridSpan w:val="2"/>
            <w:shd w:val="clear" w:color="auto" w:fill="auto"/>
          </w:tcPr>
          <w:p>
            <w:pPr>
              <w:pStyle w:val="nTable"/>
              <w:spacing w:after="40"/>
            </w:pPr>
            <w:r>
              <w:t>6 Aug 2013 p. 3649</w:t>
            </w:r>
            <w:r>
              <w:noBreakHyphen/>
              <w:t>56</w:t>
            </w:r>
          </w:p>
        </w:tc>
        <w:tc>
          <w:tcPr>
            <w:tcW w:w="2721"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3) 2013</w:t>
            </w:r>
          </w:p>
        </w:tc>
        <w:tc>
          <w:tcPr>
            <w:tcW w:w="1276" w:type="dxa"/>
            <w:gridSpan w:val="2"/>
            <w:shd w:val="clear" w:color="auto" w:fill="auto"/>
          </w:tcPr>
          <w:p>
            <w:pPr>
              <w:pStyle w:val="nTable"/>
              <w:spacing w:after="40"/>
            </w:pPr>
            <w:r>
              <w:t>14 Nov 2013 p. 5069</w:t>
            </w:r>
          </w:p>
        </w:tc>
        <w:tc>
          <w:tcPr>
            <w:tcW w:w="2721"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gridSpan w:val="2"/>
            <w:shd w:val="clear" w:color="auto" w:fill="auto"/>
          </w:tcPr>
          <w:p>
            <w:pPr>
              <w:pStyle w:val="nTable"/>
              <w:spacing w:after="40"/>
            </w:pPr>
            <w:r>
              <w:t>15 Nov 2013 p. 5245-7</w:t>
            </w:r>
          </w:p>
        </w:tc>
        <w:tc>
          <w:tcPr>
            <w:tcW w:w="2721"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2) 2013</w:t>
            </w:r>
          </w:p>
        </w:tc>
        <w:tc>
          <w:tcPr>
            <w:tcW w:w="1276" w:type="dxa"/>
            <w:gridSpan w:val="2"/>
            <w:shd w:val="clear" w:color="auto" w:fill="auto"/>
          </w:tcPr>
          <w:p>
            <w:pPr>
              <w:pStyle w:val="nTable"/>
              <w:keepNext/>
              <w:spacing w:after="40"/>
            </w:pPr>
            <w:r>
              <w:t>14 Jan 2014 p. 43</w:t>
            </w:r>
            <w:r>
              <w:noBreakHyphen/>
              <w:t>4</w:t>
            </w:r>
          </w:p>
        </w:tc>
        <w:tc>
          <w:tcPr>
            <w:tcW w:w="2721"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5) 2013</w:t>
            </w:r>
          </w:p>
        </w:tc>
        <w:tc>
          <w:tcPr>
            <w:tcW w:w="1276" w:type="dxa"/>
            <w:gridSpan w:val="2"/>
            <w:shd w:val="clear" w:color="auto" w:fill="auto"/>
          </w:tcPr>
          <w:p>
            <w:pPr>
              <w:pStyle w:val="nTable"/>
              <w:keepNext/>
              <w:spacing w:after="40"/>
            </w:pPr>
            <w:r>
              <w:t>8 Apr 2014 p. 920-1</w:t>
            </w:r>
          </w:p>
        </w:tc>
        <w:tc>
          <w:tcPr>
            <w:tcW w:w="2721"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4) 2014</w:t>
            </w:r>
          </w:p>
        </w:tc>
        <w:tc>
          <w:tcPr>
            <w:tcW w:w="1276" w:type="dxa"/>
            <w:gridSpan w:val="2"/>
            <w:shd w:val="clear" w:color="auto" w:fill="auto"/>
          </w:tcPr>
          <w:p>
            <w:pPr>
              <w:pStyle w:val="nTable"/>
              <w:keepNext/>
              <w:spacing w:after="40"/>
            </w:pPr>
            <w:r>
              <w:t>27 Jun 2014 p. 2345-6</w:t>
            </w:r>
          </w:p>
        </w:tc>
        <w:tc>
          <w:tcPr>
            <w:tcW w:w="2721"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2015</w:t>
            </w:r>
          </w:p>
        </w:tc>
        <w:tc>
          <w:tcPr>
            <w:tcW w:w="1276" w:type="dxa"/>
            <w:gridSpan w:val="2"/>
            <w:shd w:val="clear" w:color="auto" w:fill="auto"/>
          </w:tcPr>
          <w:p>
            <w:pPr>
              <w:pStyle w:val="nTable"/>
              <w:keepNext/>
              <w:spacing w:after="40"/>
            </w:pPr>
            <w:r>
              <w:t>10 Feb 2015 p. 623</w:t>
            </w:r>
          </w:p>
        </w:tc>
        <w:tc>
          <w:tcPr>
            <w:tcW w:w="2721"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2) 2015</w:t>
            </w:r>
          </w:p>
        </w:tc>
        <w:tc>
          <w:tcPr>
            <w:tcW w:w="1276" w:type="dxa"/>
            <w:gridSpan w:val="2"/>
            <w:shd w:val="clear" w:color="auto" w:fill="auto"/>
          </w:tcPr>
          <w:p>
            <w:pPr>
              <w:pStyle w:val="nTable"/>
              <w:keepNext/>
              <w:spacing w:after="40"/>
            </w:pPr>
            <w:r>
              <w:t>19 Jun 2015 p. 2128</w:t>
            </w:r>
            <w:r>
              <w:noBreakHyphen/>
              <w:t>30</w:t>
            </w:r>
          </w:p>
        </w:tc>
        <w:tc>
          <w:tcPr>
            <w:tcW w:w="2721"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4) 2015</w:t>
            </w:r>
          </w:p>
        </w:tc>
        <w:tc>
          <w:tcPr>
            <w:tcW w:w="1276" w:type="dxa"/>
            <w:gridSpan w:val="2"/>
            <w:shd w:val="clear" w:color="auto" w:fill="auto"/>
          </w:tcPr>
          <w:p>
            <w:pPr>
              <w:pStyle w:val="nTable"/>
              <w:keepNext/>
              <w:spacing w:after="40"/>
            </w:pPr>
            <w:r>
              <w:t>29 Dec 2015 p. 5179</w:t>
            </w:r>
            <w:r>
              <w:noBreakHyphen/>
              <w:t>80</w:t>
            </w:r>
          </w:p>
        </w:tc>
        <w:tc>
          <w:tcPr>
            <w:tcW w:w="2721"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Attorney General Regulations Amendment (Fees) Regulations 2016</w:t>
            </w:r>
            <w:r>
              <w:t xml:space="preserve"> Pt. 9</w:t>
            </w:r>
          </w:p>
        </w:tc>
        <w:tc>
          <w:tcPr>
            <w:tcW w:w="1276" w:type="dxa"/>
            <w:gridSpan w:val="2"/>
            <w:shd w:val="clear" w:color="auto" w:fill="auto"/>
          </w:tcPr>
          <w:p>
            <w:pPr>
              <w:pStyle w:val="nTable"/>
              <w:keepNext/>
              <w:spacing w:after="40"/>
            </w:pPr>
            <w:r>
              <w:t>14 Jun 2016 p. 1849</w:t>
            </w:r>
            <w:r>
              <w:noBreakHyphen/>
              <w:t>986</w:t>
            </w:r>
          </w:p>
        </w:tc>
        <w:tc>
          <w:tcPr>
            <w:tcW w:w="2721"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pPr>
            <w:r>
              <w:rPr>
                <w:i/>
              </w:rPr>
              <w:t>Attorney General Regulations Amendment (Associations Incorporation) Regulations 2016</w:t>
            </w:r>
            <w:r>
              <w:t xml:space="preserve"> Pt. 5</w:t>
            </w:r>
          </w:p>
        </w:tc>
        <w:tc>
          <w:tcPr>
            <w:tcW w:w="1276" w:type="dxa"/>
            <w:gridSpan w:val="2"/>
            <w:shd w:val="clear" w:color="auto" w:fill="auto"/>
          </w:tcPr>
          <w:p>
            <w:pPr>
              <w:pStyle w:val="nTable"/>
              <w:keepNext/>
              <w:spacing w:after="40"/>
            </w:pPr>
            <w:r>
              <w:t>30 Dec 2016 p. 5965</w:t>
            </w:r>
            <w:r>
              <w:noBreakHyphen/>
              <w:t>6</w:t>
            </w:r>
          </w:p>
        </w:tc>
        <w:tc>
          <w:tcPr>
            <w:tcW w:w="2721"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3) 2016</w:t>
            </w:r>
          </w:p>
        </w:tc>
        <w:tc>
          <w:tcPr>
            <w:tcW w:w="1276" w:type="dxa"/>
            <w:gridSpan w:val="2"/>
            <w:shd w:val="clear" w:color="auto" w:fill="auto"/>
          </w:tcPr>
          <w:p>
            <w:pPr>
              <w:pStyle w:val="nTable"/>
              <w:keepNext/>
              <w:spacing w:after="40"/>
            </w:pPr>
            <w:r>
              <w:t>13 Jan 2017 p. 351</w:t>
            </w:r>
            <w:r>
              <w:noBreakHyphen/>
              <w:t>2</w:t>
            </w:r>
          </w:p>
        </w:tc>
        <w:tc>
          <w:tcPr>
            <w:tcW w:w="2721"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Attorney General Regulations Amendment (Travel Agents) Regulations 2016</w:t>
            </w:r>
            <w:r>
              <w:t xml:space="preserve"> Pt. 5</w:t>
            </w:r>
          </w:p>
        </w:tc>
        <w:tc>
          <w:tcPr>
            <w:tcW w:w="1276" w:type="dxa"/>
            <w:gridSpan w:val="2"/>
            <w:shd w:val="clear" w:color="auto" w:fill="auto"/>
          </w:tcPr>
          <w:p>
            <w:pPr>
              <w:pStyle w:val="nTable"/>
              <w:keepNext/>
              <w:spacing w:after="40"/>
            </w:pPr>
            <w:r>
              <w:t>24 Jan 2017 p. 744</w:t>
            </w:r>
            <w:r>
              <w:noBreakHyphen/>
              <w:t>5</w:t>
            </w:r>
          </w:p>
        </w:tc>
        <w:tc>
          <w:tcPr>
            <w:tcW w:w="2721"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pPr>
            <w:r>
              <w:rPr>
                <w:i/>
              </w:rPr>
              <w:t xml:space="preserve">Attorney General Regulations Amendment (Fees and Charges) Regulations 2017 </w:t>
            </w:r>
            <w:r>
              <w:t>Pt. 9</w:t>
            </w:r>
          </w:p>
        </w:tc>
        <w:tc>
          <w:tcPr>
            <w:tcW w:w="1276" w:type="dxa"/>
            <w:gridSpan w:val="2"/>
            <w:shd w:val="clear" w:color="auto" w:fill="auto"/>
          </w:tcPr>
          <w:p>
            <w:pPr>
              <w:pStyle w:val="nTable"/>
              <w:keepNext/>
              <w:spacing w:after="40"/>
            </w:pPr>
            <w:r>
              <w:t>7 Jul 2017 p. 3721</w:t>
            </w:r>
            <w:r>
              <w:noBreakHyphen/>
              <w:t>98</w:t>
            </w:r>
          </w:p>
        </w:tc>
        <w:tc>
          <w:tcPr>
            <w:tcW w:w="2721"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shd w:val="clear" w:color="auto" w:fill="auto"/>
          </w:tcPr>
          <w:p>
            <w:pPr>
              <w:pStyle w:val="nTable"/>
              <w:keepNext/>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pPr>
            <w:r>
              <w:rPr>
                <w:i/>
              </w:rPr>
              <w:t>Attorney General Regulations Amendment (Fees and Charges) Regulations 2018</w:t>
            </w:r>
            <w:r>
              <w:t xml:space="preserve"> Pt. 9</w:t>
            </w:r>
          </w:p>
        </w:tc>
        <w:tc>
          <w:tcPr>
            <w:tcW w:w="1276" w:type="dxa"/>
            <w:gridSpan w:val="2"/>
            <w:shd w:val="clear" w:color="auto" w:fill="auto"/>
          </w:tcPr>
          <w:p>
            <w:pPr>
              <w:pStyle w:val="nTable"/>
              <w:spacing w:after="40"/>
            </w:pPr>
            <w:r>
              <w:t>15 Jun 2018 p. 1963</w:t>
            </w:r>
            <w:r>
              <w:noBreakHyphen/>
              <w:t>2049</w:t>
            </w:r>
          </w:p>
        </w:tc>
        <w:tc>
          <w:tcPr>
            <w:tcW w:w="2721"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keepNext/>
              <w:spacing w:after="40"/>
            </w:pPr>
            <w:r>
              <w:rPr>
                <w:i/>
              </w:rPr>
              <w:t>State Administrative Tribunal Amendment Regulations 2018</w:t>
            </w:r>
          </w:p>
        </w:tc>
        <w:tc>
          <w:tcPr>
            <w:tcW w:w="1276" w:type="dxa"/>
            <w:gridSpan w:val="2"/>
            <w:shd w:val="clear" w:color="auto" w:fill="auto"/>
          </w:tcPr>
          <w:p>
            <w:pPr>
              <w:pStyle w:val="nTable"/>
              <w:keepNext/>
              <w:spacing w:after="40"/>
            </w:pPr>
            <w:r>
              <w:t>26 Jun 2018 p. 2382</w:t>
            </w:r>
            <w:r>
              <w:noBreakHyphen/>
              <w:t>3</w:t>
            </w:r>
          </w:p>
        </w:tc>
        <w:tc>
          <w:tcPr>
            <w:tcW w:w="2721" w:type="dxa"/>
            <w:shd w:val="clear" w:color="auto" w:fill="auto"/>
          </w:tcPr>
          <w:p>
            <w:pPr>
              <w:pStyle w:val="nTable"/>
              <w:keepNext/>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keepNext/>
              <w:spacing w:after="40"/>
            </w:pPr>
            <w:r>
              <w:rPr>
                <w:i/>
              </w:rPr>
              <w:t>Justice Regulations Amendment (Fee Relief) Regulations 2018</w:t>
            </w:r>
            <w:r>
              <w:t xml:space="preserve"> Pt. 7</w:t>
            </w:r>
          </w:p>
        </w:tc>
        <w:tc>
          <w:tcPr>
            <w:tcW w:w="1276" w:type="dxa"/>
            <w:gridSpan w:val="2"/>
            <w:shd w:val="clear" w:color="auto" w:fill="auto"/>
          </w:tcPr>
          <w:p>
            <w:pPr>
              <w:pStyle w:val="nTable"/>
              <w:keepNext/>
              <w:spacing w:after="40"/>
            </w:pPr>
            <w:r>
              <w:t>20 Jul 2018 p. 2621</w:t>
            </w:r>
            <w:r>
              <w:noBreakHyphen/>
              <w:t>30</w:t>
            </w:r>
          </w:p>
        </w:tc>
        <w:tc>
          <w:tcPr>
            <w:tcW w:w="2731" w:type="dxa"/>
            <w:gridSpan w:val="2"/>
            <w:shd w:val="clear" w:color="auto" w:fill="auto"/>
          </w:tcPr>
          <w:p>
            <w:pPr>
              <w:pStyle w:val="nTable"/>
              <w:keepNext/>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keepNext/>
              <w:spacing w:after="40"/>
              <w:rPr>
                <w:i/>
              </w:rPr>
            </w:pPr>
            <w:r>
              <w:rPr>
                <w:i/>
              </w:rPr>
              <w:t>State Administrative Tribunal Amendment Regulations (No. 2) 2018</w:t>
            </w:r>
          </w:p>
        </w:tc>
        <w:tc>
          <w:tcPr>
            <w:tcW w:w="1276" w:type="dxa"/>
            <w:gridSpan w:val="2"/>
            <w:shd w:val="clear" w:color="auto" w:fill="auto"/>
          </w:tcPr>
          <w:p>
            <w:pPr>
              <w:pStyle w:val="nTable"/>
              <w:keepNext/>
              <w:spacing w:after="40"/>
            </w:pPr>
            <w:r>
              <w:t>28 Sep 2018 p. 3579</w:t>
            </w:r>
          </w:p>
        </w:tc>
        <w:tc>
          <w:tcPr>
            <w:tcW w:w="2731" w:type="dxa"/>
            <w:gridSpan w:val="2"/>
            <w:shd w:val="clear" w:color="auto" w:fill="auto"/>
          </w:tcPr>
          <w:p>
            <w:pPr>
              <w:pStyle w:val="nTable"/>
              <w:keepNext/>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pPr>
            <w:r>
              <w:rPr>
                <w:i/>
              </w:rPr>
              <w:t xml:space="preserve">Attorney General Regulations Amendment (Transcript Fees) Regulations 2018 </w:t>
            </w:r>
            <w:r>
              <w:t>Pt. 6</w:t>
            </w:r>
          </w:p>
        </w:tc>
        <w:tc>
          <w:tcPr>
            <w:tcW w:w="1276" w:type="dxa"/>
            <w:gridSpan w:val="2"/>
            <w:shd w:val="clear" w:color="auto" w:fill="auto"/>
          </w:tcPr>
          <w:p>
            <w:pPr>
              <w:pStyle w:val="nTable"/>
              <w:keepNext/>
              <w:spacing w:after="40"/>
            </w:pPr>
            <w:r>
              <w:t>7 Dec 2018 p. 4667-74</w:t>
            </w:r>
          </w:p>
        </w:tc>
        <w:tc>
          <w:tcPr>
            <w:tcW w:w="2731" w:type="dxa"/>
            <w:gridSpan w:val="2"/>
            <w:shd w:val="clear" w:color="auto" w:fill="auto"/>
          </w:tcPr>
          <w:p>
            <w:pPr>
              <w:pStyle w:val="nTable"/>
              <w:keepNext/>
              <w:spacing w:after="40"/>
              <w:rPr>
                <w:bCs/>
                <w:snapToGrid w:val="0"/>
              </w:rPr>
            </w:pPr>
            <w:r>
              <w:t>18 Dec 2018 (see r. 2(b)(i))</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 xml:space="preserve">Attorney General Regulations Amendment (Transcript Fees) Regulations 2019 </w:t>
            </w:r>
            <w:r>
              <w:t>Pt. 6</w:t>
            </w:r>
          </w:p>
        </w:tc>
        <w:tc>
          <w:tcPr>
            <w:tcW w:w="1276" w:type="dxa"/>
            <w:gridSpan w:val="2"/>
            <w:shd w:val="clear" w:color="auto" w:fill="auto"/>
          </w:tcPr>
          <w:p>
            <w:pPr>
              <w:pStyle w:val="nTable"/>
              <w:keepNext/>
              <w:spacing w:after="40"/>
            </w:pPr>
            <w:r>
              <w:t>12 Mar 2019 p. 666</w:t>
            </w:r>
            <w:r>
              <w:noBreakHyphen/>
              <w:t>9</w:t>
            </w:r>
          </w:p>
        </w:tc>
        <w:tc>
          <w:tcPr>
            <w:tcW w:w="2731" w:type="dxa"/>
            <w:gridSpan w:val="2"/>
            <w:shd w:val="clear" w:color="auto" w:fill="auto"/>
          </w:tcPr>
          <w:p>
            <w:pPr>
              <w:pStyle w:val="nTable"/>
              <w:keepNext/>
              <w:spacing w:after="40"/>
            </w:pPr>
            <w:r>
              <w:rPr>
                <w:bCs/>
                <w:snapToGrid w:val="0"/>
              </w:rPr>
              <w:t>13 Mar 2019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State Administrative Tribunal Amendment Regulations 2019</w:t>
            </w:r>
          </w:p>
        </w:tc>
        <w:tc>
          <w:tcPr>
            <w:tcW w:w="1276" w:type="dxa"/>
            <w:gridSpan w:val="2"/>
            <w:shd w:val="clear" w:color="auto" w:fill="auto"/>
          </w:tcPr>
          <w:p>
            <w:pPr>
              <w:pStyle w:val="nTable"/>
              <w:keepNext/>
              <w:spacing w:after="40"/>
            </w:pPr>
            <w:r>
              <w:t>22 Mar 2019 p. 937</w:t>
            </w:r>
          </w:p>
        </w:tc>
        <w:tc>
          <w:tcPr>
            <w:tcW w:w="2731" w:type="dxa"/>
            <w:gridSpan w:val="2"/>
            <w:shd w:val="clear" w:color="auto" w:fill="auto"/>
          </w:tcPr>
          <w:p>
            <w:pPr>
              <w:pStyle w:val="nTable"/>
              <w:keepNext/>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Attorney General Regulations Amendment (Fees and Charges) Regulations 2019</w:t>
            </w:r>
            <w:r>
              <w:t xml:space="preserve"> Pt. 11</w:t>
            </w:r>
          </w:p>
        </w:tc>
        <w:tc>
          <w:tcPr>
            <w:tcW w:w="1276" w:type="dxa"/>
            <w:gridSpan w:val="2"/>
            <w:shd w:val="clear" w:color="auto" w:fill="auto"/>
          </w:tcPr>
          <w:p>
            <w:pPr>
              <w:pStyle w:val="nTable"/>
              <w:keepNext/>
              <w:spacing w:after="40"/>
            </w:pPr>
            <w:r>
              <w:t>28 Jun 2019 p. 2553</w:t>
            </w:r>
            <w:r>
              <w:noBreakHyphen/>
              <w:t>642</w:t>
            </w:r>
          </w:p>
        </w:tc>
        <w:tc>
          <w:tcPr>
            <w:tcW w:w="2731" w:type="dxa"/>
            <w:gridSpan w:val="2"/>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State Administrative Tribunal Amendment Regulations (No. 2) 2019</w:t>
            </w:r>
          </w:p>
        </w:tc>
        <w:tc>
          <w:tcPr>
            <w:tcW w:w="1276" w:type="dxa"/>
            <w:gridSpan w:val="2"/>
            <w:shd w:val="clear" w:color="auto" w:fill="auto"/>
          </w:tcPr>
          <w:p>
            <w:pPr>
              <w:pStyle w:val="nTable"/>
              <w:keepNext/>
              <w:spacing w:after="40"/>
            </w:pPr>
            <w:r>
              <w:t>27 Sep 2019 p. 3499</w:t>
            </w:r>
          </w:p>
        </w:tc>
        <w:tc>
          <w:tcPr>
            <w:tcW w:w="2731" w:type="dxa"/>
            <w:gridSpan w:val="2"/>
            <w:shd w:val="clear" w:color="auto" w:fill="auto"/>
          </w:tcPr>
          <w:p>
            <w:pPr>
              <w:pStyle w:val="nTable"/>
              <w:keepNext/>
              <w:spacing w:after="40"/>
            </w:pPr>
            <w:r>
              <w:t>r. 1 and 2: 27 Sep 2019 (see r. 2(a));</w:t>
            </w:r>
            <w:r>
              <w:br/>
              <w:t>Regulations other than r. 1 and 2: 1 Oct 2019 (see r.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gridSpan w:val="2"/>
            <w:tcBorders>
              <w:top w:val="nil"/>
              <w:bottom w:val="nil"/>
            </w:tcBorders>
            <w:shd w:val="clear" w:color="auto" w:fill="auto"/>
          </w:tcPr>
          <w:p>
            <w:pPr>
              <w:pStyle w:val="nTable"/>
              <w:keepNext/>
              <w:spacing w:after="40"/>
            </w:pPr>
            <w:r>
              <w:t>24 Dec 2019 p. 4430</w:t>
            </w:r>
            <w:r>
              <w:noBreakHyphen/>
              <w:t>1</w:t>
            </w:r>
          </w:p>
        </w:tc>
        <w:tc>
          <w:tcPr>
            <w:tcW w:w="2731" w:type="dxa"/>
            <w:gridSpan w:val="2"/>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blPrEx>
          <w:tblBorders>
            <w:top w:val="none" w:sz="0" w:space="0" w:color="auto"/>
            <w:bottom w:val="none" w:sz="0" w:space="0" w:color="auto"/>
            <w:insideH w:val="none" w:sz="0" w:space="0" w:color="auto"/>
          </w:tblBorders>
        </w:tblPrEx>
        <w:trPr>
          <w:gridBefore w:val="1"/>
          <w:wBefore w:w="28" w:type="dxa"/>
          <w:ins w:id="141" w:author="Master Repository Process" w:date="2021-09-18T03:07:00Z"/>
        </w:trPr>
        <w:tc>
          <w:tcPr>
            <w:tcW w:w="3118" w:type="dxa"/>
            <w:gridSpan w:val="2"/>
            <w:tcBorders>
              <w:bottom w:val="single" w:sz="4" w:space="0" w:color="auto"/>
            </w:tcBorders>
            <w:shd w:val="clear" w:color="auto" w:fill="auto"/>
          </w:tcPr>
          <w:p>
            <w:pPr>
              <w:pStyle w:val="nTable"/>
              <w:spacing w:after="40"/>
              <w:rPr>
                <w:ins w:id="142" w:author="Master Repository Process" w:date="2021-09-18T03:07:00Z"/>
                <w:i/>
              </w:rPr>
            </w:pPr>
            <w:ins w:id="143" w:author="Master Repository Process" w:date="2021-09-18T03:07:00Z">
              <w:r>
                <w:rPr>
                  <w:i/>
                </w:rPr>
                <w:t>State Administrative Tribunal Amendment Regulations 2020</w:t>
              </w:r>
            </w:ins>
          </w:p>
        </w:tc>
        <w:tc>
          <w:tcPr>
            <w:tcW w:w="1276" w:type="dxa"/>
            <w:gridSpan w:val="2"/>
            <w:tcBorders>
              <w:bottom w:val="single" w:sz="4" w:space="0" w:color="auto"/>
            </w:tcBorders>
            <w:shd w:val="clear" w:color="auto" w:fill="auto"/>
          </w:tcPr>
          <w:p>
            <w:pPr>
              <w:pStyle w:val="nTable"/>
              <w:keepNext/>
              <w:spacing w:after="40"/>
              <w:rPr>
                <w:ins w:id="144" w:author="Master Repository Process" w:date="2021-09-18T03:07:00Z"/>
              </w:rPr>
            </w:pPr>
            <w:ins w:id="145" w:author="Master Repository Process" w:date="2021-09-18T03:07:00Z">
              <w:r>
                <w:t>SL 2020/23 27 Mar 2020</w:t>
              </w:r>
            </w:ins>
          </w:p>
        </w:tc>
        <w:tc>
          <w:tcPr>
            <w:tcW w:w="2731" w:type="dxa"/>
            <w:gridSpan w:val="2"/>
            <w:tcBorders>
              <w:bottom w:val="single" w:sz="4" w:space="0" w:color="auto"/>
            </w:tcBorders>
            <w:shd w:val="clear" w:color="auto" w:fill="auto"/>
          </w:tcPr>
          <w:p>
            <w:pPr>
              <w:pStyle w:val="nTable"/>
              <w:keepNext/>
              <w:spacing w:after="40"/>
              <w:rPr>
                <w:ins w:id="146" w:author="Master Repository Process" w:date="2021-09-18T03:07:00Z"/>
              </w:rPr>
            </w:pPr>
            <w:ins w:id="147" w:author="Master Repository Process" w:date="2021-09-18T03:07:00Z">
              <w:r>
                <w:t>r. 1 and 2: 27 Mar 2020 (see r. 2(a));</w:t>
              </w:r>
              <w:r>
                <w:br/>
                <w:t>Regulations other than r. 1 and 2: 1 Apr 2020 (see r. 2(b))</w:t>
              </w:r>
            </w:ins>
          </w:p>
        </w:tc>
      </w:tr>
    </w:tbl>
    <w:p>
      <w:pPr>
        <w:pStyle w:val="nHeading3"/>
      </w:pPr>
      <w:bookmarkStart w:id="148" w:name="_Toc38031776"/>
      <w:bookmarkStart w:id="149" w:name="_Toc32310905"/>
      <w:r>
        <w:t>Uncommenced provisions table</w:t>
      </w:r>
      <w:bookmarkEnd w:id="148"/>
      <w:bookmarkEnd w:id="14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highlight w:val="yellow"/>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tblHeader/>
        </w:trPr>
        <w:tc>
          <w:tcPr>
            <w:tcW w:w="3118" w:type="dxa"/>
            <w:tcBorders>
              <w:top w:val="single" w:sz="8" w:space="0" w:color="auto"/>
              <w:bottom w:val="single" w:sz="8" w:space="0" w:color="auto"/>
            </w:tcBorders>
            <w:shd w:val="clear" w:color="auto" w:fill="auto"/>
          </w:tcPr>
          <w:p>
            <w:pPr>
              <w:pStyle w:val="nTable"/>
              <w:spacing w:after="40"/>
              <w:rPr>
                <w:b/>
              </w:rPr>
            </w:pPr>
            <w:r>
              <w:rPr>
                <w:i/>
              </w:rPr>
              <w:t>State Administrative Tribunal Amendment Regulations (No. 4) 2019</w:t>
            </w:r>
            <w:r>
              <w:t xml:space="preserve"> r. 3-13</w:t>
            </w:r>
          </w:p>
        </w:tc>
        <w:tc>
          <w:tcPr>
            <w:tcW w:w="1276" w:type="dxa"/>
            <w:tcBorders>
              <w:top w:val="single" w:sz="8" w:space="0" w:color="auto"/>
              <w:bottom w:val="single" w:sz="8" w:space="0" w:color="auto"/>
            </w:tcBorders>
            <w:shd w:val="clear" w:color="auto" w:fill="auto"/>
          </w:tcPr>
          <w:p>
            <w:pPr>
              <w:pStyle w:val="nTable"/>
              <w:spacing w:after="40"/>
            </w:pPr>
            <w:r>
              <w:t>31 Dec 2019 p. 4657-60</w:t>
            </w:r>
          </w:p>
        </w:tc>
        <w:tc>
          <w:tcPr>
            <w:tcW w:w="2693" w:type="dxa"/>
            <w:tcBorders>
              <w:top w:val="single" w:sz="8" w:space="0" w:color="auto"/>
              <w:bottom w:val="single" w:sz="8" w:space="0" w:color="auto"/>
            </w:tcBorders>
            <w:shd w:val="clear" w:color="auto" w:fill="auto"/>
          </w:tcPr>
          <w:p>
            <w:pPr>
              <w:pStyle w:val="nTable"/>
              <w:spacing w:after="40"/>
              <w:rPr>
                <w:b/>
              </w:rPr>
            </w:pPr>
            <w:del w:id="150" w:author="Master Repository Process" w:date="2021-09-18T03:07:00Z">
              <w:r>
                <w:delText xml:space="preserve">Operative on commencement of the </w:delText>
              </w:r>
              <w:r>
                <w:rPr>
                  <w:i/>
                </w:rPr>
                <w:delText>Strata Titles Amendment Act 2018</w:delText>
              </w:r>
              <w:r>
                <w:delText xml:space="preserve"> s. 4</w:delText>
              </w:r>
            </w:del>
            <w:ins w:id="151" w:author="Master Repository Process" w:date="2021-09-18T03:07:00Z">
              <w:r>
                <w:t>1 May 2020</w:t>
              </w:r>
            </w:ins>
            <w:r>
              <w:t xml:space="preserve"> (see r. 2(b</w:t>
            </w:r>
            <w:del w:id="152" w:author="Master Repository Process" w:date="2021-09-18T03:07:00Z">
              <w:r>
                <w:delText>))</w:delText>
              </w:r>
            </w:del>
            <w:ins w:id="153" w:author="Master Repository Process" w:date="2021-09-18T03:07:00Z">
              <w:r>
                <w:t>) and SL 2020/39 cl. 2)</w:t>
              </w:r>
            </w:ins>
          </w:p>
        </w:tc>
      </w:tr>
    </w:tbl>
    <w:p>
      <w:pPr>
        <w:pStyle w:val="nHeading3"/>
      </w:pPr>
      <w:bookmarkStart w:id="154" w:name="_Toc38031777"/>
      <w:bookmarkStart w:id="155" w:name="_Toc32310906"/>
      <w:r>
        <w:t>Other notes</w:t>
      </w:r>
      <w:bookmarkEnd w:id="154"/>
      <w:bookmarkEnd w:id="155"/>
    </w:p>
    <w:p>
      <w:pPr>
        <w:pStyle w:val="nNote"/>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
      <w:pPr>
        <w:rPr>
          <w:del w:id="156" w:author="Master Repository Process" w:date="2021-09-18T03:07:00Z"/>
        </w:rPr>
      </w:pPr>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05-p0-03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05-p0-03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05-p0-03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3" w:name="Schedule"/>
    <w:bookmarkEnd w:id="9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7" w:name="Compilation"/>
    <w:bookmarkEnd w:id="15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8" w:name="Coversheet"/>
    <w:bookmarkEnd w:id="1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417151554"/>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DCA15B-794B-4793-A1DD-B57BEEFD5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374AF5-0D27-48A8-893A-C3410B893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7875</Words>
  <Characters>37328</Characters>
  <Application>Microsoft Office Word</Application>
  <DocSecurity>0</DocSecurity>
  <Lines>1622</Lines>
  <Paragraphs>886</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05-o0-01 - 05-p0-03</dc:title>
  <dc:subject/>
  <dc:creator/>
  <cp:keywords/>
  <dc:description/>
  <cp:lastModifiedBy>Master Repository Process</cp:lastModifiedBy>
  <cp:revision>2</cp:revision>
  <cp:lastPrinted>2018-09-28T01:40:00Z</cp:lastPrinted>
  <dcterms:created xsi:type="dcterms:W3CDTF">2021-09-17T19:07:00Z</dcterms:created>
  <dcterms:modified xsi:type="dcterms:W3CDTF">2021-09-17T19:07:00Z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20200401</vt:lpwstr>
  </property>
  <property fmtid="{D5CDD505-2E9C-101B-9397-08002B2CF9AE}" pid="8" name="FromSuffix">
    <vt:lpwstr>05-o0-01</vt:lpwstr>
  </property>
  <property fmtid="{D5CDD505-2E9C-101B-9397-08002B2CF9AE}" pid="9" name="FromAsAtDate">
    <vt:lpwstr>31 Dec 2019</vt:lpwstr>
  </property>
  <property fmtid="{D5CDD505-2E9C-101B-9397-08002B2CF9AE}" pid="10" name="ToSuffix">
    <vt:lpwstr>05-p0-03</vt:lpwstr>
  </property>
  <property fmtid="{D5CDD505-2E9C-101B-9397-08002B2CF9AE}" pid="11" name="ToAsAtDate">
    <vt:lpwstr>01 Apr 2020</vt:lpwstr>
  </property>
</Properties>
</file>