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(Catastrophic Injuries)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2019</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01 May 2020</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Motor Vehicle (Catastrophic Injuries) Act 2016</w:t>
      </w:r>
    </w:p>
    <w:p>
      <w:pPr>
        <w:pStyle w:val="NameofActReg"/>
      </w:pPr>
      <w:r>
        <w:t>Motor Vehicle (Catastrophic Injuries) Regulations 2016</w:t>
      </w:r>
    </w:p>
    <w:p>
      <w:pPr>
        <w:pStyle w:val="Heading2"/>
        <w:pageBreakBefore w:val="0"/>
        <w:spacing w:before="240"/>
      </w:pPr>
      <w:bookmarkStart w:id="1" w:name="_Toc39130723"/>
      <w:bookmarkStart w:id="2" w:name="_Toc38029721"/>
      <w:bookmarkStart w:id="3" w:name="_Toc38029821"/>
      <w:bookmarkStart w:id="4" w:name="_Toc38031469"/>
      <w:bookmarkStart w:id="5" w:name="_Toc3803156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9130724"/>
      <w:bookmarkStart w:id="8" w:name="_Toc38031570"/>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Motor Vehicle (Catastrophic Injuries) Regulations 2016</w:t>
      </w:r>
      <w:r>
        <w:t>.</w:t>
      </w:r>
    </w:p>
    <w:p>
      <w:pPr>
        <w:pStyle w:val="Heading5"/>
        <w:rPr>
          <w:spacing w:val="-2"/>
        </w:rPr>
      </w:pPr>
      <w:bookmarkStart w:id="10" w:name="_Toc39130725"/>
      <w:bookmarkStart w:id="11" w:name="_Toc38031571"/>
      <w:r>
        <w:rPr>
          <w:rStyle w:val="CharSectno"/>
        </w:rPr>
        <w:t>2</w:t>
      </w:r>
      <w:r>
        <w:rPr>
          <w:spacing w:val="-2"/>
        </w:rPr>
        <w:t>.</w:t>
      </w:r>
      <w:r>
        <w:rPr>
          <w:spacing w:val="-2"/>
        </w:rPr>
        <w:tab/>
        <w:t>Commencement</w:t>
      </w:r>
      <w:bookmarkEnd w:id="10"/>
      <w:bookmarkEnd w:id="11"/>
    </w:p>
    <w:p>
      <w:pPr>
        <w:pStyle w:val="Subsection"/>
      </w:pPr>
      <w:r>
        <w:tab/>
      </w:r>
      <w:r>
        <w:tab/>
        <w:t>These regulations come into operation on the day on which section 34 of the Act comes into operation.</w:t>
      </w:r>
    </w:p>
    <w:p>
      <w:pPr>
        <w:pStyle w:val="Heading5"/>
      </w:pPr>
      <w:bookmarkStart w:id="12" w:name="_Toc39130726"/>
      <w:bookmarkStart w:id="13" w:name="_Toc38031572"/>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14" w:name="_Toc39130727"/>
      <w:bookmarkStart w:id="15" w:name="_Toc38031573"/>
      <w:r>
        <w:rPr>
          <w:rStyle w:val="CharSectno"/>
        </w:rPr>
        <w:t>4</w:t>
      </w:r>
      <w:r>
        <w:t>.</w:t>
      </w:r>
      <w:r>
        <w:tab/>
        <w:t>Assessment tools</w:t>
      </w:r>
      <w:bookmarkEnd w:id="14"/>
      <w:bookmarkEnd w:id="15"/>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16" w:name="_Toc39130728"/>
      <w:bookmarkStart w:id="17" w:name="_Toc38031574"/>
      <w:r>
        <w:rPr>
          <w:rStyle w:val="CharSectno"/>
        </w:rPr>
        <w:t>5</w:t>
      </w:r>
      <w:r>
        <w:t>.</w:t>
      </w:r>
      <w:r>
        <w:tab/>
        <w:t>Excluded treatment, care and support needs</w:t>
      </w:r>
      <w:bookmarkEnd w:id="16"/>
      <w:bookmarkEnd w:id="17"/>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18" w:name="_Toc39130729"/>
      <w:bookmarkStart w:id="19" w:name="_Toc38029727"/>
      <w:bookmarkStart w:id="20" w:name="_Toc38029827"/>
      <w:bookmarkStart w:id="21" w:name="_Toc38031475"/>
      <w:bookmarkStart w:id="22" w:name="_Toc38031575"/>
      <w:r>
        <w:rPr>
          <w:rStyle w:val="CharPartNo"/>
        </w:rPr>
        <w:t>Part 2</w:t>
      </w:r>
      <w:r>
        <w:t> — </w:t>
      </w:r>
      <w:r>
        <w:rPr>
          <w:rStyle w:val="CharPartText"/>
        </w:rPr>
        <w:t>Participation in CISS</w:t>
      </w:r>
      <w:bookmarkEnd w:id="18"/>
      <w:bookmarkEnd w:id="19"/>
      <w:bookmarkEnd w:id="20"/>
      <w:bookmarkEnd w:id="21"/>
      <w:bookmarkEnd w:id="22"/>
    </w:p>
    <w:p>
      <w:pPr>
        <w:pStyle w:val="Heading3"/>
      </w:pPr>
      <w:bookmarkStart w:id="23" w:name="_Toc39130730"/>
      <w:bookmarkStart w:id="24" w:name="_Toc38029728"/>
      <w:bookmarkStart w:id="25" w:name="_Toc38029828"/>
      <w:bookmarkStart w:id="26" w:name="_Toc38031476"/>
      <w:bookmarkStart w:id="27" w:name="_Toc38031576"/>
      <w:r>
        <w:rPr>
          <w:rStyle w:val="CharDivNo"/>
        </w:rPr>
        <w:t>Division 1</w:t>
      </w:r>
      <w:r>
        <w:t> — </w:t>
      </w:r>
      <w:r>
        <w:rPr>
          <w:rStyle w:val="CharDivText"/>
        </w:rPr>
        <w:t>Criteria for catastrophic injury</w:t>
      </w:r>
      <w:bookmarkEnd w:id="23"/>
      <w:bookmarkEnd w:id="24"/>
      <w:bookmarkEnd w:id="25"/>
      <w:bookmarkEnd w:id="26"/>
      <w:bookmarkEnd w:id="27"/>
    </w:p>
    <w:p>
      <w:pPr>
        <w:pStyle w:val="Heading5"/>
      </w:pPr>
      <w:bookmarkStart w:id="28" w:name="_Toc39130731"/>
      <w:bookmarkStart w:id="29" w:name="_Toc38031577"/>
      <w:r>
        <w:rPr>
          <w:rStyle w:val="CharSectno"/>
        </w:rPr>
        <w:t>6</w:t>
      </w:r>
      <w:r>
        <w:t>.</w:t>
      </w:r>
      <w:r>
        <w:tab/>
        <w:t>Purpose of Division</w:t>
      </w:r>
      <w:bookmarkEnd w:id="28"/>
      <w:bookmarkEnd w:id="29"/>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30" w:name="_Toc39130732"/>
      <w:bookmarkStart w:id="31" w:name="_Toc38031578"/>
      <w:r>
        <w:rPr>
          <w:rStyle w:val="CharSectno"/>
        </w:rPr>
        <w:t>7</w:t>
      </w:r>
      <w:r>
        <w:t>.</w:t>
      </w:r>
      <w:r>
        <w:tab/>
        <w:t>Spinal cord injury</w:t>
      </w:r>
      <w:bookmarkEnd w:id="30"/>
      <w:bookmarkEnd w:id="31"/>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 on or after 1 July 2016.</w:t>
      </w:r>
    </w:p>
    <w:p>
      <w:pPr>
        <w:pStyle w:val="Heading5"/>
      </w:pPr>
      <w:bookmarkStart w:id="32" w:name="_Toc39130733"/>
      <w:bookmarkStart w:id="33" w:name="_Toc38031579"/>
      <w:r>
        <w:rPr>
          <w:rStyle w:val="CharSectno"/>
        </w:rPr>
        <w:t>8</w:t>
      </w:r>
      <w:r>
        <w:t>.</w:t>
      </w:r>
      <w:r>
        <w:tab/>
        <w:t>Traumatic brain injury</w:t>
      </w:r>
      <w:bookmarkEnd w:id="32"/>
      <w:bookmarkEnd w:id="33"/>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on or after 1 July 2016.</w:t>
      </w:r>
    </w:p>
    <w:p>
      <w:pPr>
        <w:pStyle w:val="Heading5"/>
      </w:pPr>
      <w:bookmarkStart w:id="34" w:name="_Toc39130734"/>
      <w:bookmarkStart w:id="35" w:name="_Toc38031580"/>
      <w:r>
        <w:rPr>
          <w:rStyle w:val="CharSectno"/>
        </w:rPr>
        <w:t>9</w:t>
      </w:r>
      <w:r>
        <w:t>.</w:t>
      </w:r>
      <w:r>
        <w:tab/>
        <w:t>Amputations</w:t>
      </w:r>
      <w:bookmarkEnd w:id="34"/>
      <w:bookmarkEnd w:id="35"/>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on or after 1 July 2016.</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Heading5"/>
      </w:pPr>
      <w:bookmarkStart w:id="36" w:name="_Toc39130735"/>
      <w:bookmarkStart w:id="37" w:name="_Toc38031581"/>
      <w:r>
        <w:rPr>
          <w:rStyle w:val="CharSectno"/>
        </w:rPr>
        <w:t>10</w:t>
      </w:r>
      <w:r>
        <w:t>.</w:t>
      </w:r>
      <w:r>
        <w:tab/>
        <w:t>Burns</w:t>
      </w:r>
      <w:bookmarkEnd w:id="36"/>
      <w:bookmarkEnd w:id="37"/>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 on or after 1 July 2016.</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Heading5"/>
      </w:pPr>
      <w:bookmarkStart w:id="38" w:name="_Toc39130736"/>
      <w:bookmarkStart w:id="39" w:name="_Toc38031582"/>
      <w:r>
        <w:rPr>
          <w:rStyle w:val="CharSectno"/>
        </w:rPr>
        <w:t>11</w:t>
      </w:r>
      <w:r>
        <w:t>.</w:t>
      </w:r>
      <w:r>
        <w:tab/>
        <w:t>Permanent blindness</w:t>
      </w:r>
      <w:bookmarkEnd w:id="38"/>
      <w:bookmarkEnd w:id="39"/>
    </w:p>
    <w:p>
      <w:pPr>
        <w:pStyle w:val="Subsection"/>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on or after 1 July 2016.</w:t>
      </w:r>
    </w:p>
    <w:p>
      <w:pPr>
        <w:pStyle w:val="Heading3"/>
      </w:pPr>
      <w:bookmarkStart w:id="40" w:name="_Toc39130737"/>
      <w:bookmarkStart w:id="41" w:name="_Toc38029735"/>
      <w:bookmarkStart w:id="42" w:name="_Toc38029835"/>
      <w:bookmarkStart w:id="43" w:name="_Toc38031483"/>
      <w:bookmarkStart w:id="44" w:name="_Toc38031583"/>
      <w:r>
        <w:rPr>
          <w:rStyle w:val="CharDivNo"/>
        </w:rPr>
        <w:t>Division 2</w:t>
      </w:r>
      <w:r>
        <w:t> — </w:t>
      </w:r>
      <w:r>
        <w:rPr>
          <w:rStyle w:val="CharDivText"/>
        </w:rPr>
        <w:t>Application to participate in CISS</w:t>
      </w:r>
      <w:bookmarkEnd w:id="40"/>
      <w:bookmarkEnd w:id="41"/>
      <w:bookmarkEnd w:id="42"/>
      <w:bookmarkEnd w:id="43"/>
      <w:bookmarkEnd w:id="44"/>
    </w:p>
    <w:p>
      <w:pPr>
        <w:pStyle w:val="Heading5"/>
      </w:pPr>
      <w:bookmarkStart w:id="45" w:name="_Toc39130738"/>
      <w:bookmarkStart w:id="46" w:name="_Toc38031584"/>
      <w:r>
        <w:rPr>
          <w:rStyle w:val="CharSectno"/>
        </w:rPr>
        <w:t>12</w:t>
      </w:r>
      <w:r>
        <w:t>.</w:t>
      </w:r>
      <w:r>
        <w:tab/>
        <w:t>Application under s. 9 of Act</w:t>
      </w:r>
      <w:bookmarkEnd w:id="45"/>
      <w:bookmarkEnd w:id="46"/>
    </w:p>
    <w:p>
      <w:pPr>
        <w:pStyle w:val="Subsection"/>
      </w:pPr>
      <w:r>
        <w:tab/>
        <w:t>(1)</w:t>
      </w:r>
      <w:r>
        <w:tab/>
        <w:t xml:space="preserve">In this regulation — </w:t>
      </w:r>
    </w:p>
    <w:p>
      <w:pPr>
        <w:pStyle w:val="Defstart"/>
      </w:pPr>
      <w:r>
        <w:tab/>
      </w:r>
      <w:r>
        <w:rPr>
          <w:rStyle w:val="CharDefText"/>
        </w:rPr>
        <w:t>relevant accident</w:t>
      </w:r>
      <w:r>
        <w:t xml:space="preserve"> means the motor vehicle accident that resulted in the motor vehicle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Heading5"/>
      </w:pPr>
      <w:bookmarkStart w:id="47" w:name="_Toc39130739"/>
      <w:bookmarkStart w:id="48" w:name="_Toc38031585"/>
      <w:r>
        <w:rPr>
          <w:rStyle w:val="CharSectno"/>
        </w:rPr>
        <w:t>13</w:t>
      </w:r>
      <w:r>
        <w:t>.</w:t>
      </w:r>
      <w:r>
        <w:tab/>
        <w:t>Deferral of consideration of application</w:t>
      </w:r>
      <w:bookmarkEnd w:id="47"/>
      <w:bookmarkEnd w:id="48"/>
    </w:p>
    <w:p>
      <w:pPr>
        <w:pStyle w:val="Subsection"/>
      </w:pPr>
      <w:r>
        <w:tab/>
        <w:t>(1)</w:t>
      </w:r>
      <w:r>
        <w:tab/>
        <w:t>The Commission may defer consideration of an application under section 9 of the Act until the Commission is satisfied that the motor vehicle injury to which it relates has stabilised.</w:t>
      </w:r>
    </w:p>
    <w:p>
      <w:pPr>
        <w:pStyle w:val="Subsection"/>
      </w:pPr>
      <w:r>
        <w:tab/>
        <w:t>(2)</w:t>
      </w:r>
      <w:r>
        <w:tab/>
        <w:t>The Commission must give the applicant written notice of a deferral under subregulation (1).</w:t>
      </w:r>
    </w:p>
    <w:p>
      <w:pPr>
        <w:pStyle w:val="Heading5"/>
      </w:pPr>
      <w:bookmarkStart w:id="49" w:name="_Toc39130740"/>
      <w:bookmarkStart w:id="50" w:name="_Toc38031586"/>
      <w:r>
        <w:rPr>
          <w:rStyle w:val="CharSectno"/>
        </w:rPr>
        <w:t>14</w:t>
      </w:r>
      <w:r>
        <w:t>.</w:t>
      </w:r>
      <w:r>
        <w:tab/>
        <w:t>Application under s. 13 of Act</w:t>
      </w:r>
      <w:bookmarkEnd w:id="49"/>
      <w:bookmarkEnd w:id="50"/>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51" w:name="_Toc39130741"/>
      <w:bookmarkStart w:id="52" w:name="_Toc38031587"/>
      <w:r>
        <w:rPr>
          <w:rStyle w:val="CharSectno"/>
        </w:rPr>
        <w:t>15</w:t>
      </w:r>
      <w:r>
        <w:t>.</w:t>
      </w:r>
      <w:r>
        <w:tab/>
        <w:t>Additional information relevant to CISS application</w:t>
      </w:r>
      <w:bookmarkEnd w:id="51"/>
      <w:bookmarkEnd w:id="52"/>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53" w:name="_Toc39130742"/>
      <w:bookmarkStart w:id="54" w:name="_Toc38031588"/>
      <w:r>
        <w:rPr>
          <w:rStyle w:val="CharSectno"/>
        </w:rPr>
        <w:t>16</w:t>
      </w:r>
      <w:r>
        <w:t>.</w:t>
      </w:r>
      <w:r>
        <w:tab/>
        <w:t>Consent to obtain information</w:t>
      </w:r>
      <w:bookmarkEnd w:id="53"/>
      <w:bookmarkEnd w:id="54"/>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55" w:name="_Toc39130743"/>
      <w:bookmarkStart w:id="56" w:name="_Toc38031589"/>
      <w:r>
        <w:rPr>
          <w:rStyle w:val="CharSectno"/>
        </w:rPr>
        <w:t>17</w:t>
      </w:r>
      <w:r>
        <w:t>.</w:t>
      </w:r>
      <w:r>
        <w:tab/>
        <w:t>Notice of decision on CISS application</w:t>
      </w:r>
      <w:bookmarkEnd w:id="55"/>
      <w:bookmarkEnd w:id="56"/>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57" w:name="_Toc39130744"/>
      <w:bookmarkStart w:id="58" w:name="_Toc38031590"/>
      <w:r>
        <w:rPr>
          <w:rStyle w:val="CharSectno"/>
        </w:rPr>
        <w:t>18</w:t>
      </w:r>
      <w:r>
        <w:t>.</w:t>
      </w:r>
      <w:r>
        <w:tab/>
        <w:t>Functional independence assessments</w:t>
      </w:r>
      <w:bookmarkEnd w:id="57"/>
      <w:bookmarkEnd w:id="58"/>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59" w:name="_Toc39130745"/>
      <w:bookmarkStart w:id="60" w:name="_Toc38029743"/>
      <w:bookmarkStart w:id="61" w:name="_Toc38029843"/>
      <w:bookmarkStart w:id="62" w:name="_Toc38031491"/>
      <w:bookmarkStart w:id="63" w:name="_Toc38031591"/>
      <w:r>
        <w:rPr>
          <w:rStyle w:val="CharDivNo"/>
        </w:rPr>
        <w:t>Division 3</w:t>
      </w:r>
      <w:r>
        <w:t> — </w:t>
      </w:r>
      <w:r>
        <w:rPr>
          <w:rStyle w:val="CharDivText"/>
        </w:rPr>
        <w:t>Interim participation</w:t>
      </w:r>
      <w:bookmarkEnd w:id="59"/>
      <w:bookmarkEnd w:id="60"/>
      <w:bookmarkEnd w:id="61"/>
      <w:bookmarkEnd w:id="62"/>
      <w:bookmarkEnd w:id="63"/>
    </w:p>
    <w:p>
      <w:pPr>
        <w:pStyle w:val="Heading5"/>
      </w:pPr>
      <w:bookmarkStart w:id="64" w:name="_Toc39130746"/>
      <w:bookmarkStart w:id="65" w:name="_Toc38031592"/>
      <w:r>
        <w:rPr>
          <w:rStyle w:val="CharSectno"/>
        </w:rPr>
        <w:t>19</w:t>
      </w:r>
      <w:r>
        <w:t>.</w:t>
      </w:r>
      <w:r>
        <w:tab/>
        <w:t>Period of interim participation</w:t>
      </w:r>
      <w:bookmarkEnd w:id="64"/>
      <w:bookmarkEnd w:id="65"/>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66" w:name="_Toc39130747"/>
      <w:bookmarkStart w:id="67" w:name="_Toc38029745"/>
      <w:bookmarkStart w:id="68" w:name="_Toc38029845"/>
      <w:bookmarkStart w:id="69" w:name="_Toc38031493"/>
      <w:bookmarkStart w:id="70" w:name="_Toc38031593"/>
      <w:r>
        <w:rPr>
          <w:rStyle w:val="CharDivNo"/>
        </w:rPr>
        <w:t>Division 4</w:t>
      </w:r>
      <w:r>
        <w:t> — </w:t>
      </w:r>
      <w:r>
        <w:rPr>
          <w:rStyle w:val="CharDivText"/>
        </w:rPr>
        <w:t>Suspension of participation</w:t>
      </w:r>
      <w:bookmarkEnd w:id="66"/>
      <w:bookmarkEnd w:id="67"/>
      <w:bookmarkEnd w:id="68"/>
      <w:bookmarkEnd w:id="69"/>
      <w:bookmarkEnd w:id="70"/>
    </w:p>
    <w:p>
      <w:pPr>
        <w:pStyle w:val="Heading5"/>
      </w:pPr>
      <w:bookmarkStart w:id="71" w:name="_Toc39130748"/>
      <w:bookmarkStart w:id="72" w:name="_Toc38031594"/>
      <w:r>
        <w:rPr>
          <w:rStyle w:val="CharSectno"/>
        </w:rPr>
        <w:t>20</w:t>
      </w:r>
      <w:r>
        <w:t>.</w:t>
      </w:r>
      <w:r>
        <w:tab/>
        <w:t>Commission may suspend participation</w:t>
      </w:r>
      <w:bookmarkEnd w:id="71"/>
      <w:bookmarkEnd w:id="72"/>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73" w:name="_Toc39130749"/>
      <w:bookmarkStart w:id="74" w:name="_Toc38031595"/>
      <w:r>
        <w:rPr>
          <w:rStyle w:val="CharSectno"/>
        </w:rPr>
        <w:t>21</w:t>
      </w:r>
      <w:r>
        <w:t>.</w:t>
      </w:r>
      <w:r>
        <w:tab/>
        <w:t>Notice of decision to suspend</w:t>
      </w:r>
      <w:bookmarkEnd w:id="73"/>
      <w:bookmarkEnd w:id="74"/>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75" w:name="_Toc39130750"/>
      <w:bookmarkStart w:id="76" w:name="_Toc38029748"/>
      <w:bookmarkStart w:id="77" w:name="_Toc38029848"/>
      <w:bookmarkStart w:id="78" w:name="_Toc38031496"/>
      <w:bookmarkStart w:id="79" w:name="_Toc38031596"/>
      <w:r>
        <w:rPr>
          <w:rStyle w:val="CharPartNo"/>
        </w:rPr>
        <w:t>Part 3</w:t>
      </w:r>
      <w:r>
        <w:rPr>
          <w:rStyle w:val="CharDivNo"/>
        </w:rPr>
        <w:t> </w:t>
      </w:r>
      <w:r>
        <w:t>—</w:t>
      </w:r>
      <w:r>
        <w:rPr>
          <w:rStyle w:val="CharDivText"/>
        </w:rPr>
        <w:t> </w:t>
      </w:r>
      <w:r>
        <w:rPr>
          <w:rStyle w:val="CharPartText"/>
        </w:rPr>
        <w:t>Treatment, care and support needs</w:t>
      </w:r>
      <w:bookmarkEnd w:id="75"/>
      <w:bookmarkEnd w:id="76"/>
      <w:bookmarkEnd w:id="77"/>
      <w:bookmarkEnd w:id="78"/>
      <w:bookmarkEnd w:id="79"/>
    </w:p>
    <w:p>
      <w:pPr>
        <w:pStyle w:val="Heading5"/>
      </w:pPr>
      <w:bookmarkStart w:id="80" w:name="_Toc39130751"/>
      <w:bookmarkStart w:id="81" w:name="_Toc38031597"/>
      <w:r>
        <w:rPr>
          <w:rStyle w:val="CharSectno"/>
        </w:rPr>
        <w:t>22</w:t>
      </w:r>
      <w:r>
        <w:t>.</w:t>
      </w:r>
      <w:r>
        <w:tab/>
        <w:t>Principles to be observed in assessment of treatment, care and support needs</w:t>
      </w:r>
      <w:bookmarkEnd w:id="80"/>
      <w:bookmarkEnd w:id="81"/>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82" w:name="_Toc39130752"/>
      <w:bookmarkStart w:id="83" w:name="_Toc38031598"/>
      <w:r>
        <w:rPr>
          <w:rStyle w:val="CharSectno"/>
        </w:rPr>
        <w:t>23</w:t>
      </w:r>
      <w:r>
        <w:t>.</w:t>
      </w:r>
      <w:r>
        <w:tab/>
        <w:t>Requirement to provide information</w:t>
      </w:r>
      <w:bookmarkEnd w:id="82"/>
      <w:bookmarkEnd w:id="83"/>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84" w:name="_Toc39130753"/>
      <w:bookmarkStart w:id="85" w:name="_Toc38031599"/>
      <w:r>
        <w:rPr>
          <w:rStyle w:val="CharSectno"/>
        </w:rPr>
        <w:t>24</w:t>
      </w:r>
      <w:r>
        <w:t>.</w:t>
      </w:r>
      <w:r>
        <w:tab/>
        <w:t>Requirement to undergo examination</w:t>
      </w:r>
      <w:bookmarkEnd w:id="84"/>
      <w:bookmarkEnd w:id="85"/>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86" w:name="_Toc39130754"/>
      <w:bookmarkStart w:id="87" w:name="_Toc38031600"/>
      <w:r>
        <w:rPr>
          <w:rStyle w:val="CharSectno"/>
        </w:rPr>
        <w:t>25</w:t>
      </w:r>
      <w:r>
        <w:t>.</w:t>
      </w:r>
      <w:r>
        <w:tab/>
        <w:t>Participant to comply with requirements in treatment, care and support assessment</w:t>
      </w:r>
      <w:bookmarkEnd w:id="86"/>
      <w:bookmarkEnd w:id="87"/>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88" w:name="_Toc39130755"/>
      <w:bookmarkStart w:id="89" w:name="_Toc38029753"/>
      <w:bookmarkStart w:id="90" w:name="_Toc38029853"/>
      <w:bookmarkStart w:id="91" w:name="_Toc38031501"/>
      <w:bookmarkStart w:id="92" w:name="_Toc38031601"/>
      <w:r>
        <w:rPr>
          <w:rStyle w:val="CharPartNo"/>
        </w:rPr>
        <w:t>Part 4</w:t>
      </w:r>
      <w:r>
        <w:rPr>
          <w:rStyle w:val="CharDivNo"/>
        </w:rPr>
        <w:t> </w:t>
      </w:r>
      <w:r>
        <w:t>—</w:t>
      </w:r>
      <w:r>
        <w:rPr>
          <w:rStyle w:val="CharDivText"/>
        </w:rPr>
        <w:t> </w:t>
      </w:r>
      <w:r>
        <w:rPr>
          <w:rStyle w:val="CharPartText"/>
        </w:rPr>
        <w:t>Registered providers</w:t>
      </w:r>
      <w:bookmarkEnd w:id="88"/>
      <w:bookmarkEnd w:id="89"/>
      <w:bookmarkEnd w:id="90"/>
      <w:bookmarkEnd w:id="91"/>
      <w:bookmarkEnd w:id="92"/>
    </w:p>
    <w:p>
      <w:pPr>
        <w:pStyle w:val="Heading5"/>
      </w:pPr>
      <w:bookmarkStart w:id="93" w:name="_Toc39130756"/>
      <w:bookmarkStart w:id="94" w:name="_Toc38031602"/>
      <w:r>
        <w:rPr>
          <w:rStyle w:val="CharSectno"/>
        </w:rPr>
        <w:t>26</w:t>
      </w:r>
      <w:r>
        <w:t>.</w:t>
      </w:r>
      <w:r>
        <w:tab/>
        <w:t>Services to be provided by registered provider</w:t>
      </w:r>
      <w:bookmarkEnd w:id="93"/>
      <w:bookmarkEnd w:id="94"/>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Heading5"/>
      </w:pPr>
      <w:bookmarkStart w:id="95" w:name="_Toc39130757"/>
      <w:bookmarkStart w:id="96" w:name="_Toc38031603"/>
      <w:r>
        <w:rPr>
          <w:rStyle w:val="CharSectno"/>
        </w:rPr>
        <w:t>27</w:t>
      </w:r>
      <w:r>
        <w:t>.</w:t>
      </w:r>
      <w:r>
        <w:tab/>
        <w:t>Application for registration</w:t>
      </w:r>
      <w:bookmarkEnd w:id="95"/>
      <w:bookmarkEnd w:id="96"/>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97" w:name="_Toc39130758"/>
      <w:bookmarkStart w:id="98" w:name="_Toc38031604"/>
      <w:r>
        <w:rPr>
          <w:rStyle w:val="CharSectno"/>
        </w:rPr>
        <w:t>28</w:t>
      </w:r>
      <w:r>
        <w:t>.</w:t>
      </w:r>
      <w:r>
        <w:tab/>
        <w:t>Notice of decision on application</w:t>
      </w:r>
      <w:bookmarkEnd w:id="97"/>
      <w:bookmarkEnd w:id="98"/>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99" w:name="_Toc39130759"/>
      <w:bookmarkStart w:id="100" w:name="_Toc38031605"/>
      <w:r>
        <w:rPr>
          <w:rStyle w:val="CharSectno"/>
        </w:rPr>
        <w:t>29</w:t>
      </w:r>
      <w:r>
        <w:t>.</w:t>
      </w:r>
      <w:r>
        <w:tab/>
        <w:t>Variation, addition or cancellation of conditions of registration</w:t>
      </w:r>
      <w:bookmarkEnd w:id="99"/>
      <w:bookmarkEnd w:id="100"/>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101" w:name="_Toc39130760"/>
      <w:bookmarkStart w:id="102" w:name="_Toc38031606"/>
      <w:r>
        <w:rPr>
          <w:rStyle w:val="CharSectno"/>
        </w:rPr>
        <w:t>30</w:t>
      </w:r>
      <w:r>
        <w:t>.</w:t>
      </w:r>
      <w:r>
        <w:tab/>
        <w:t>Revocation of registration</w:t>
      </w:r>
      <w:bookmarkEnd w:id="101"/>
      <w:bookmarkEnd w:id="102"/>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103" w:name="_Toc39130761"/>
      <w:bookmarkStart w:id="104" w:name="_Toc38029759"/>
      <w:bookmarkStart w:id="105" w:name="_Toc38029859"/>
      <w:bookmarkStart w:id="106" w:name="_Toc38031507"/>
      <w:bookmarkStart w:id="107" w:name="_Toc38031607"/>
      <w:r>
        <w:rPr>
          <w:rStyle w:val="CharPartNo"/>
        </w:rPr>
        <w:t>Part 5</w:t>
      </w:r>
      <w:r>
        <w:t> — </w:t>
      </w:r>
      <w:r>
        <w:rPr>
          <w:rStyle w:val="CharPartText"/>
        </w:rPr>
        <w:t>Dispute resolution</w:t>
      </w:r>
      <w:bookmarkEnd w:id="103"/>
      <w:bookmarkEnd w:id="104"/>
      <w:bookmarkEnd w:id="105"/>
      <w:bookmarkEnd w:id="106"/>
      <w:bookmarkEnd w:id="107"/>
    </w:p>
    <w:p>
      <w:pPr>
        <w:pStyle w:val="Heading3"/>
      </w:pPr>
      <w:bookmarkStart w:id="108" w:name="_Toc39130762"/>
      <w:bookmarkStart w:id="109" w:name="_Toc38029760"/>
      <w:bookmarkStart w:id="110" w:name="_Toc38029860"/>
      <w:bookmarkStart w:id="111" w:name="_Toc38031508"/>
      <w:bookmarkStart w:id="112" w:name="_Toc38031608"/>
      <w:r>
        <w:rPr>
          <w:rStyle w:val="CharDivNo"/>
        </w:rPr>
        <w:t>Division 1</w:t>
      </w:r>
      <w:r>
        <w:t> — </w:t>
      </w:r>
      <w:r>
        <w:rPr>
          <w:rStyle w:val="CharDivText"/>
        </w:rPr>
        <w:t>Review applications</w:t>
      </w:r>
      <w:bookmarkEnd w:id="108"/>
      <w:bookmarkEnd w:id="109"/>
      <w:bookmarkEnd w:id="110"/>
      <w:bookmarkEnd w:id="111"/>
      <w:bookmarkEnd w:id="112"/>
    </w:p>
    <w:p>
      <w:pPr>
        <w:pStyle w:val="Heading5"/>
      </w:pPr>
      <w:bookmarkStart w:id="113" w:name="_Toc39130763"/>
      <w:bookmarkStart w:id="114" w:name="_Toc38031609"/>
      <w:r>
        <w:rPr>
          <w:rStyle w:val="CharSectno"/>
        </w:rPr>
        <w:t>31</w:t>
      </w:r>
      <w:r>
        <w:t>.</w:t>
      </w:r>
      <w:r>
        <w:tab/>
        <w:t>Review application</w:t>
      </w:r>
      <w:bookmarkEnd w:id="113"/>
      <w:bookmarkEnd w:id="11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115" w:name="_Toc39130764"/>
      <w:bookmarkStart w:id="116" w:name="_Toc38031610"/>
      <w:r>
        <w:rPr>
          <w:rStyle w:val="CharSectno"/>
        </w:rPr>
        <w:t>32</w:t>
      </w:r>
      <w:r>
        <w:t>.</w:t>
      </w:r>
      <w:r>
        <w:tab/>
        <w:t>Commission may request further information</w:t>
      </w:r>
      <w:bookmarkEnd w:id="115"/>
      <w:bookmarkEnd w:id="116"/>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117" w:name="_Toc39130765"/>
      <w:bookmarkStart w:id="118" w:name="_Toc38029763"/>
      <w:bookmarkStart w:id="119" w:name="_Toc38029863"/>
      <w:bookmarkStart w:id="120" w:name="_Toc38031511"/>
      <w:bookmarkStart w:id="121" w:name="_Toc38031611"/>
      <w:r>
        <w:rPr>
          <w:rStyle w:val="CharDivNo"/>
        </w:rPr>
        <w:t>Division 2</w:t>
      </w:r>
      <w:r>
        <w:t> — </w:t>
      </w:r>
      <w:r>
        <w:rPr>
          <w:rStyle w:val="CharDivText"/>
        </w:rPr>
        <w:t>Review of non</w:t>
      </w:r>
      <w:r>
        <w:rPr>
          <w:rStyle w:val="CharDivText"/>
        </w:rPr>
        <w:noBreakHyphen/>
        <w:t>medical decisions</w:t>
      </w:r>
      <w:bookmarkEnd w:id="117"/>
      <w:bookmarkEnd w:id="118"/>
      <w:bookmarkEnd w:id="119"/>
      <w:bookmarkEnd w:id="120"/>
      <w:bookmarkEnd w:id="121"/>
    </w:p>
    <w:p>
      <w:pPr>
        <w:pStyle w:val="Heading5"/>
      </w:pPr>
      <w:bookmarkStart w:id="122" w:name="_Toc39130766"/>
      <w:bookmarkStart w:id="123" w:name="_Toc38031612"/>
      <w:r>
        <w:rPr>
          <w:rStyle w:val="CharSectno"/>
        </w:rPr>
        <w:t>33</w:t>
      </w:r>
      <w:r>
        <w:t>.</w:t>
      </w:r>
      <w:r>
        <w:tab/>
        <w:t>Referral of decision to review officer</w:t>
      </w:r>
      <w:bookmarkEnd w:id="122"/>
      <w:bookmarkEnd w:id="123"/>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124" w:name="_Toc39130767"/>
      <w:bookmarkStart w:id="125" w:name="_Toc38031613"/>
      <w:r>
        <w:rPr>
          <w:rStyle w:val="CharSectno"/>
        </w:rPr>
        <w:t>34</w:t>
      </w:r>
      <w:r>
        <w:t>.</w:t>
      </w:r>
      <w:r>
        <w:tab/>
        <w:t>Objection to review officer</w:t>
      </w:r>
      <w:bookmarkEnd w:id="124"/>
      <w:bookmarkEnd w:id="125"/>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126" w:name="_Toc39130768"/>
      <w:bookmarkStart w:id="127" w:name="_Toc38031614"/>
      <w:r>
        <w:rPr>
          <w:rStyle w:val="CharSectno"/>
        </w:rPr>
        <w:t>35</w:t>
      </w:r>
      <w:r>
        <w:t>.</w:t>
      </w:r>
      <w:r>
        <w:tab/>
        <w:t>Conduct of review</w:t>
      </w:r>
      <w:bookmarkEnd w:id="126"/>
      <w:bookmarkEnd w:id="127"/>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128" w:name="_Toc39130769"/>
      <w:bookmarkStart w:id="129" w:name="_Toc38031615"/>
      <w:r>
        <w:rPr>
          <w:rStyle w:val="CharSectno"/>
        </w:rPr>
        <w:t>36</w:t>
      </w:r>
      <w:r>
        <w:t>.</w:t>
      </w:r>
      <w:r>
        <w:tab/>
        <w:t>Decision on review</w:t>
      </w:r>
      <w:bookmarkEnd w:id="128"/>
      <w:bookmarkEnd w:id="129"/>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130" w:name="_Toc39130770"/>
      <w:bookmarkStart w:id="131" w:name="_Toc38031616"/>
      <w:r>
        <w:rPr>
          <w:rStyle w:val="CharSectno"/>
        </w:rPr>
        <w:t>37</w:t>
      </w:r>
      <w:r>
        <w:t>.</w:t>
      </w:r>
      <w:r>
        <w:tab/>
        <w:t>Review officers</w:t>
      </w:r>
      <w:bookmarkEnd w:id="130"/>
      <w:bookmarkEnd w:id="131"/>
    </w:p>
    <w:p>
      <w:pPr>
        <w:pStyle w:val="Subsection"/>
      </w:pPr>
      <w:r>
        <w:tab/>
      </w:r>
      <w:r>
        <w:tab/>
        <w:t>The Commission may designate a Commission officer as a review officer for the purposes of this Division.</w:t>
      </w:r>
    </w:p>
    <w:p>
      <w:pPr>
        <w:pStyle w:val="Heading3"/>
      </w:pPr>
      <w:bookmarkStart w:id="132" w:name="_Toc39130771"/>
      <w:bookmarkStart w:id="133" w:name="_Toc38029769"/>
      <w:bookmarkStart w:id="134" w:name="_Toc38029869"/>
      <w:bookmarkStart w:id="135" w:name="_Toc38031517"/>
      <w:bookmarkStart w:id="136" w:name="_Toc38031617"/>
      <w:r>
        <w:rPr>
          <w:rStyle w:val="CharDivNo"/>
        </w:rPr>
        <w:t>Division 3</w:t>
      </w:r>
      <w:r>
        <w:t> — </w:t>
      </w:r>
      <w:r>
        <w:rPr>
          <w:rStyle w:val="CharDivText"/>
        </w:rPr>
        <w:t>Review of medical decisions</w:t>
      </w:r>
      <w:bookmarkEnd w:id="132"/>
      <w:bookmarkEnd w:id="133"/>
      <w:bookmarkEnd w:id="134"/>
      <w:bookmarkEnd w:id="135"/>
      <w:bookmarkEnd w:id="136"/>
    </w:p>
    <w:p>
      <w:pPr>
        <w:pStyle w:val="Heading5"/>
      </w:pPr>
      <w:bookmarkStart w:id="137" w:name="_Toc39130772"/>
      <w:bookmarkStart w:id="138" w:name="_Toc38031618"/>
      <w:r>
        <w:rPr>
          <w:rStyle w:val="CharSectno"/>
        </w:rPr>
        <w:t>38</w:t>
      </w:r>
      <w:r>
        <w:t>.</w:t>
      </w:r>
      <w:r>
        <w:tab/>
        <w:t>Referral of decision to expert review panel</w:t>
      </w:r>
      <w:bookmarkEnd w:id="137"/>
      <w:bookmarkEnd w:id="138"/>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139" w:name="_Toc39130773"/>
      <w:bookmarkStart w:id="140" w:name="_Toc38031619"/>
      <w:r>
        <w:rPr>
          <w:rStyle w:val="CharSectno"/>
        </w:rPr>
        <w:t>39</w:t>
      </w:r>
      <w:r>
        <w:t>.</w:t>
      </w:r>
      <w:r>
        <w:tab/>
        <w:t>Decision of expert review panel</w:t>
      </w:r>
      <w:bookmarkEnd w:id="139"/>
      <w:bookmarkEnd w:id="140"/>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141" w:name="_Toc39130774"/>
      <w:bookmarkStart w:id="142" w:name="_Toc38031620"/>
      <w:r>
        <w:rPr>
          <w:rStyle w:val="CharSectno"/>
        </w:rPr>
        <w:t>40</w:t>
      </w:r>
      <w:r>
        <w:t>.</w:t>
      </w:r>
      <w:r>
        <w:tab/>
        <w:t>Application for review of original review decision</w:t>
      </w:r>
      <w:bookmarkEnd w:id="141"/>
      <w:bookmarkEnd w:id="142"/>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143" w:name="_Toc39130775"/>
      <w:bookmarkStart w:id="144" w:name="_Toc38031621"/>
      <w:r>
        <w:rPr>
          <w:rStyle w:val="CharSectno"/>
        </w:rPr>
        <w:t>41</w:t>
      </w:r>
      <w:r>
        <w:t>.</w:t>
      </w:r>
      <w:r>
        <w:tab/>
        <w:t>Referral of original review decision to another expert review panel</w:t>
      </w:r>
      <w:bookmarkEnd w:id="143"/>
      <w:bookmarkEnd w:id="144"/>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145" w:name="_Toc39130776"/>
      <w:bookmarkStart w:id="146" w:name="_Toc38031622"/>
      <w:r>
        <w:rPr>
          <w:rStyle w:val="CharSectno"/>
        </w:rPr>
        <w:t>42</w:t>
      </w:r>
      <w:r>
        <w:t>.</w:t>
      </w:r>
      <w:r>
        <w:tab/>
        <w:t>Decision of second review panel</w:t>
      </w:r>
      <w:bookmarkEnd w:id="145"/>
      <w:bookmarkEnd w:id="146"/>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147" w:name="_Toc39130777"/>
      <w:bookmarkStart w:id="148" w:name="_Toc38031623"/>
      <w:r>
        <w:rPr>
          <w:rStyle w:val="CharSectno"/>
        </w:rPr>
        <w:t>43</w:t>
      </w:r>
      <w:r>
        <w:t>.</w:t>
      </w:r>
      <w:r>
        <w:tab/>
        <w:t>Effect of decision of second review panel</w:t>
      </w:r>
      <w:bookmarkEnd w:id="147"/>
      <w:bookmarkEnd w:id="148"/>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49" w:name="_Toc39130778"/>
      <w:bookmarkStart w:id="150" w:name="_Toc38031624"/>
      <w:r>
        <w:rPr>
          <w:rStyle w:val="CharSectno"/>
        </w:rPr>
        <w:t>44</w:t>
      </w:r>
      <w:r>
        <w:t>.</w:t>
      </w:r>
      <w:r>
        <w:tab/>
        <w:t>Commission to reimburse treatment, care and support expenses in certain circumstances</w:t>
      </w:r>
      <w:bookmarkEnd w:id="149"/>
      <w:bookmarkEnd w:id="150"/>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151" w:name="_Toc39130779"/>
      <w:bookmarkStart w:id="152" w:name="_Toc38029777"/>
      <w:bookmarkStart w:id="153" w:name="_Toc38029877"/>
      <w:bookmarkStart w:id="154" w:name="_Toc38031525"/>
      <w:bookmarkStart w:id="155" w:name="_Toc38031625"/>
      <w:r>
        <w:rPr>
          <w:rStyle w:val="CharDivNo"/>
        </w:rPr>
        <w:t>Division 4</w:t>
      </w:r>
      <w:r>
        <w:t> — </w:t>
      </w:r>
      <w:r>
        <w:rPr>
          <w:rStyle w:val="CharDivText"/>
        </w:rPr>
        <w:t>Review of treatment, care and support assessments</w:t>
      </w:r>
      <w:bookmarkEnd w:id="151"/>
      <w:bookmarkEnd w:id="152"/>
      <w:bookmarkEnd w:id="153"/>
      <w:bookmarkEnd w:id="154"/>
      <w:bookmarkEnd w:id="155"/>
    </w:p>
    <w:p>
      <w:pPr>
        <w:pStyle w:val="Heading5"/>
      </w:pPr>
      <w:bookmarkStart w:id="156" w:name="_Toc39130780"/>
      <w:bookmarkStart w:id="157" w:name="_Toc38031626"/>
      <w:r>
        <w:rPr>
          <w:rStyle w:val="CharSectno"/>
        </w:rPr>
        <w:t>45</w:t>
      </w:r>
      <w:r>
        <w:t>.</w:t>
      </w:r>
      <w:r>
        <w:tab/>
        <w:t>Term used: assessment</w:t>
      </w:r>
      <w:bookmarkEnd w:id="156"/>
      <w:bookmarkEnd w:id="157"/>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158" w:name="_Toc39130781"/>
      <w:bookmarkStart w:id="159" w:name="_Toc38031627"/>
      <w:r>
        <w:rPr>
          <w:rStyle w:val="CharSectno"/>
        </w:rPr>
        <w:t>46</w:t>
      </w:r>
      <w:r>
        <w:t>.</w:t>
      </w:r>
      <w:r>
        <w:tab/>
        <w:t>Referral of decision to expert review panel</w:t>
      </w:r>
      <w:bookmarkEnd w:id="158"/>
      <w:bookmarkEnd w:id="159"/>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160" w:name="_Toc39130782"/>
      <w:bookmarkStart w:id="161" w:name="_Toc38031628"/>
      <w:r>
        <w:rPr>
          <w:rStyle w:val="CharSectno"/>
        </w:rPr>
        <w:t>47</w:t>
      </w:r>
      <w:r>
        <w:t>.</w:t>
      </w:r>
      <w:r>
        <w:tab/>
        <w:t>Decision of expert review panel</w:t>
      </w:r>
      <w:bookmarkEnd w:id="160"/>
      <w:bookmarkEnd w:id="161"/>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162" w:name="_Toc39130783"/>
      <w:bookmarkStart w:id="163" w:name="_Toc38031629"/>
      <w:r>
        <w:rPr>
          <w:rStyle w:val="CharSectno"/>
        </w:rPr>
        <w:t>48</w:t>
      </w:r>
      <w:r>
        <w:t>.</w:t>
      </w:r>
      <w:r>
        <w:tab/>
        <w:t>Effect of decision of expert review panel</w:t>
      </w:r>
      <w:bookmarkEnd w:id="162"/>
      <w:bookmarkEnd w:id="163"/>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64" w:name="_Toc39130784"/>
      <w:bookmarkStart w:id="165" w:name="_Toc38031630"/>
      <w:r>
        <w:rPr>
          <w:rStyle w:val="CharSectno"/>
        </w:rPr>
        <w:t>49</w:t>
      </w:r>
      <w:r>
        <w:t>.</w:t>
      </w:r>
      <w:r>
        <w:tab/>
        <w:t>Commission to revise assessment</w:t>
      </w:r>
      <w:bookmarkEnd w:id="164"/>
      <w:bookmarkEnd w:id="165"/>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166" w:name="_Toc39130785"/>
      <w:bookmarkStart w:id="167" w:name="_Toc38029783"/>
      <w:bookmarkStart w:id="168" w:name="_Toc38029883"/>
      <w:bookmarkStart w:id="169" w:name="_Toc38031531"/>
      <w:bookmarkStart w:id="170" w:name="_Toc38031631"/>
      <w:r>
        <w:rPr>
          <w:rStyle w:val="CharDivNo"/>
        </w:rPr>
        <w:t>Division 5</w:t>
      </w:r>
      <w:r>
        <w:t> — </w:t>
      </w:r>
      <w:r>
        <w:rPr>
          <w:rStyle w:val="CharDivText"/>
        </w:rPr>
        <w:t>Expert review panels</w:t>
      </w:r>
      <w:bookmarkEnd w:id="166"/>
      <w:bookmarkEnd w:id="167"/>
      <w:bookmarkEnd w:id="168"/>
      <w:bookmarkEnd w:id="169"/>
      <w:bookmarkEnd w:id="170"/>
    </w:p>
    <w:p>
      <w:pPr>
        <w:pStyle w:val="Heading5"/>
      </w:pPr>
      <w:bookmarkStart w:id="171" w:name="_Toc39130786"/>
      <w:bookmarkStart w:id="172" w:name="_Toc38031632"/>
      <w:r>
        <w:rPr>
          <w:rStyle w:val="CharSectno"/>
        </w:rPr>
        <w:t>50</w:t>
      </w:r>
      <w:r>
        <w:t>.</w:t>
      </w:r>
      <w:r>
        <w:tab/>
        <w:t>Establishment</w:t>
      </w:r>
      <w:bookmarkEnd w:id="171"/>
      <w:bookmarkEnd w:id="172"/>
    </w:p>
    <w:p>
      <w:pPr>
        <w:pStyle w:val="Subsection"/>
      </w:pPr>
      <w:r>
        <w:tab/>
      </w:r>
      <w:r>
        <w:tab/>
        <w:t>There are to be such expert review panels as are necessary for the purposes of this Part.</w:t>
      </w:r>
    </w:p>
    <w:p>
      <w:pPr>
        <w:pStyle w:val="Heading5"/>
      </w:pPr>
      <w:bookmarkStart w:id="173" w:name="_Toc39130787"/>
      <w:bookmarkStart w:id="174" w:name="_Toc38031633"/>
      <w:r>
        <w:rPr>
          <w:rStyle w:val="CharSectno"/>
        </w:rPr>
        <w:t>51</w:t>
      </w:r>
      <w:r>
        <w:t>.</w:t>
      </w:r>
      <w:r>
        <w:tab/>
        <w:t>Appointment of medical experts</w:t>
      </w:r>
      <w:bookmarkEnd w:id="173"/>
      <w:bookmarkEnd w:id="174"/>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175" w:name="_Toc39130788"/>
      <w:bookmarkStart w:id="176" w:name="_Toc38031634"/>
      <w:r>
        <w:rPr>
          <w:rStyle w:val="CharSectno"/>
        </w:rPr>
        <w:t>52</w:t>
      </w:r>
      <w:r>
        <w:t>.</w:t>
      </w:r>
      <w:r>
        <w:tab/>
        <w:t>Experts list</w:t>
      </w:r>
      <w:bookmarkEnd w:id="175"/>
      <w:bookmarkEnd w:id="176"/>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177" w:name="_Toc39130789"/>
      <w:bookmarkStart w:id="178" w:name="_Toc38031635"/>
      <w:r>
        <w:rPr>
          <w:rStyle w:val="CharSectno"/>
        </w:rPr>
        <w:t>53</w:t>
      </w:r>
      <w:r>
        <w:t>.</w:t>
      </w:r>
      <w:r>
        <w:tab/>
        <w:t>Convenor and deputy convenor</w:t>
      </w:r>
      <w:bookmarkEnd w:id="177"/>
      <w:bookmarkEnd w:id="178"/>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179" w:name="_Toc39130790"/>
      <w:bookmarkStart w:id="180" w:name="_Toc38031636"/>
      <w:r>
        <w:rPr>
          <w:rStyle w:val="CharSectno"/>
        </w:rPr>
        <w:t>54</w:t>
      </w:r>
      <w:r>
        <w:t>.</w:t>
      </w:r>
      <w:r>
        <w:tab/>
        <w:t>Constitution of expert review panel</w:t>
      </w:r>
      <w:bookmarkEnd w:id="179"/>
      <w:bookmarkEnd w:id="180"/>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181" w:name="_Toc39130791"/>
      <w:bookmarkStart w:id="182" w:name="_Toc38031637"/>
      <w:r>
        <w:rPr>
          <w:rStyle w:val="CharSectno"/>
        </w:rPr>
        <w:t>55</w:t>
      </w:r>
      <w:r>
        <w:t>.</w:t>
      </w:r>
      <w:r>
        <w:tab/>
        <w:t>Convenor to give notice of members of panel</w:t>
      </w:r>
      <w:bookmarkEnd w:id="181"/>
      <w:bookmarkEnd w:id="182"/>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183" w:name="_Toc39130792"/>
      <w:bookmarkStart w:id="184" w:name="_Toc38031638"/>
      <w:r>
        <w:rPr>
          <w:rStyle w:val="CharSectno"/>
        </w:rPr>
        <w:t>56</w:t>
      </w:r>
      <w:r>
        <w:t>.</w:t>
      </w:r>
      <w:r>
        <w:tab/>
        <w:t>Objection to member of panel</w:t>
      </w:r>
      <w:bookmarkEnd w:id="183"/>
      <w:bookmarkEnd w:id="184"/>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185" w:name="_Toc39130793"/>
      <w:bookmarkStart w:id="186" w:name="_Toc38031639"/>
      <w:r>
        <w:rPr>
          <w:rStyle w:val="CharSectno"/>
        </w:rPr>
        <w:t>57</w:t>
      </w:r>
      <w:r>
        <w:t>.</w:t>
      </w:r>
      <w:r>
        <w:tab/>
        <w:t>Procedures: general provisions</w:t>
      </w:r>
      <w:bookmarkEnd w:id="185"/>
      <w:bookmarkEnd w:id="186"/>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187" w:name="_Toc39130794"/>
      <w:bookmarkStart w:id="188" w:name="_Toc38031640"/>
      <w:r>
        <w:rPr>
          <w:rStyle w:val="CharSectno"/>
        </w:rPr>
        <w:t>58</w:t>
      </w:r>
      <w:r>
        <w:t>.</w:t>
      </w:r>
      <w:r>
        <w:tab/>
        <w:t>Acts and decisions of 2 or 3 member panel</w:t>
      </w:r>
      <w:bookmarkEnd w:id="187"/>
      <w:bookmarkEnd w:id="188"/>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189" w:name="_Toc39130795"/>
      <w:bookmarkStart w:id="190" w:name="_Toc38031641"/>
      <w:r>
        <w:rPr>
          <w:rStyle w:val="CharSectno"/>
        </w:rPr>
        <w:t>59</w:t>
      </w:r>
      <w:r>
        <w:t>.</w:t>
      </w:r>
      <w:r>
        <w:tab/>
        <w:t>Powers and procedures on review</w:t>
      </w:r>
      <w:bookmarkEnd w:id="189"/>
      <w:bookmarkEnd w:id="190"/>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191" w:name="_Toc39130796"/>
      <w:bookmarkStart w:id="192" w:name="_Toc38031642"/>
      <w:r>
        <w:rPr>
          <w:rStyle w:val="CharSectno"/>
        </w:rPr>
        <w:t>60</w:t>
      </w:r>
      <w:r>
        <w:t>.</w:t>
      </w:r>
      <w:r>
        <w:tab/>
        <w:t>Use of information in subsequent proceedings</w:t>
      </w:r>
      <w:bookmarkEnd w:id="191"/>
      <w:bookmarkEnd w:id="192"/>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193" w:name="_Toc39130797"/>
      <w:bookmarkStart w:id="194" w:name="_Toc38031643"/>
      <w:r>
        <w:rPr>
          <w:rStyle w:val="CharSectno"/>
        </w:rPr>
        <w:t>61</w:t>
      </w:r>
      <w:r>
        <w:t>.</w:t>
      </w:r>
      <w:r>
        <w:tab/>
        <w:t>Admissibility</w:t>
      </w:r>
      <w:bookmarkEnd w:id="193"/>
      <w:bookmarkEnd w:id="194"/>
    </w:p>
    <w:p>
      <w:pPr>
        <w:pStyle w:val="Subsection"/>
      </w:pPr>
      <w:r>
        <w:tab/>
      </w:r>
      <w:r>
        <w:tab/>
        <w:t>An opinion, report, notice of determination or other document given by an expert review panel is admissible in evidence in any proceedings before a court.</w:t>
      </w:r>
    </w:p>
    <w:p>
      <w:pPr>
        <w:pStyle w:val="Heading5"/>
      </w:pPr>
      <w:bookmarkStart w:id="195" w:name="_Toc39130798"/>
      <w:bookmarkStart w:id="196" w:name="_Toc38031644"/>
      <w:r>
        <w:rPr>
          <w:rStyle w:val="CharSectno"/>
        </w:rPr>
        <w:t>62</w:t>
      </w:r>
      <w:r>
        <w:t>.</w:t>
      </w:r>
      <w:r>
        <w:tab/>
        <w:t>Services and facilities</w:t>
      </w:r>
      <w:bookmarkEnd w:id="195"/>
      <w:bookmarkEnd w:id="196"/>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197" w:name="_Toc39130799"/>
      <w:bookmarkStart w:id="198" w:name="_Toc38031645"/>
      <w:r>
        <w:rPr>
          <w:rStyle w:val="CharSectno"/>
        </w:rPr>
        <w:t>63</w:t>
      </w:r>
      <w:r>
        <w:t>.</w:t>
      </w:r>
      <w:r>
        <w:tab/>
        <w:t>Guidelines</w:t>
      </w:r>
      <w:bookmarkEnd w:id="197"/>
      <w:bookmarkEnd w:id="198"/>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199" w:name="_Toc39130800"/>
      <w:bookmarkStart w:id="200" w:name="_Toc38029798"/>
      <w:bookmarkStart w:id="201" w:name="_Toc38029898"/>
      <w:bookmarkStart w:id="202" w:name="_Toc38031546"/>
      <w:bookmarkStart w:id="203" w:name="_Toc38031646"/>
      <w:r>
        <w:rPr>
          <w:rStyle w:val="CharDivNo"/>
        </w:rPr>
        <w:t>Division 6</w:t>
      </w:r>
      <w:r>
        <w:t> — </w:t>
      </w:r>
      <w:r>
        <w:rPr>
          <w:rStyle w:val="CharDivText"/>
        </w:rPr>
        <w:t>Other matters</w:t>
      </w:r>
      <w:bookmarkEnd w:id="199"/>
      <w:bookmarkEnd w:id="200"/>
      <w:bookmarkEnd w:id="201"/>
      <w:bookmarkEnd w:id="202"/>
      <w:bookmarkEnd w:id="203"/>
    </w:p>
    <w:p>
      <w:pPr>
        <w:pStyle w:val="Heading5"/>
      </w:pPr>
      <w:bookmarkStart w:id="204" w:name="_Toc39130801"/>
      <w:bookmarkStart w:id="205" w:name="_Toc38031647"/>
      <w:r>
        <w:rPr>
          <w:rStyle w:val="CharSectno"/>
        </w:rPr>
        <w:t>64</w:t>
      </w:r>
      <w:r>
        <w:t>.</w:t>
      </w:r>
      <w:r>
        <w:tab/>
        <w:t>Costs</w:t>
      </w:r>
      <w:bookmarkEnd w:id="204"/>
      <w:bookmarkEnd w:id="205"/>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206" w:name="_Toc39130802"/>
      <w:bookmarkStart w:id="207" w:name="_Toc38031648"/>
      <w:r>
        <w:rPr>
          <w:rStyle w:val="CharSectno"/>
        </w:rPr>
        <w:t>65</w:t>
      </w:r>
      <w:r>
        <w:t>.</w:t>
      </w:r>
      <w:r>
        <w:tab/>
        <w:t>Extension of period for application or objection</w:t>
      </w:r>
      <w:bookmarkEnd w:id="206"/>
      <w:bookmarkEnd w:id="207"/>
    </w:p>
    <w:p>
      <w:pPr>
        <w:pStyle w:val="Subsection"/>
      </w:pPr>
      <w:r>
        <w:tab/>
      </w:r>
      <w:r>
        <w:tab/>
        <w:t>The Commission may extend the period for making an application or objection under this Part if the Commission considers it appropriate to do so.</w:t>
      </w:r>
    </w:p>
    <w:p>
      <w:pPr>
        <w:pStyle w:val="Heading5"/>
      </w:pPr>
      <w:bookmarkStart w:id="208" w:name="_Toc39130803"/>
      <w:bookmarkStart w:id="209" w:name="_Toc38031649"/>
      <w:r>
        <w:rPr>
          <w:rStyle w:val="CharSectno"/>
        </w:rPr>
        <w:t>66</w:t>
      </w:r>
      <w:r>
        <w:t>.</w:t>
      </w:r>
      <w:r>
        <w:tab/>
        <w:t>Correction of errors</w:t>
      </w:r>
      <w:bookmarkEnd w:id="208"/>
      <w:bookmarkEnd w:id="209"/>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210" w:name="_Toc39130804"/>
      <w:bookmarkStart w:id="211" w:name="_Toc38031650"/>
      <w:r>
        <w:rPr>
          <w:rStyle w:val="CharSectno"/>
        </w:rPr>
        <w:t>67</w:t>
      </w:r>
      <w:r>
        <w:t>.</w:t>
      </w:r>
      <w:r>
        <w:tab/>
        <w:t>Period for commencing appeal</w:t>
      </w:r>
      <w:bookmarkEnd w:id="210"/>
      <w:bookmarkEnd w:id="211"/>
    </w:p>
    <w:p>
      <w:pPr>
        <w:pStyle w:val="Subsection"/>
      </w:pPr>
      <w:r>
        <w:tab/>
      </w:r>
      <w:r>
        <w:tab/>
        <w:t>For the purposes of section 27(5) of the Act, the period is 28 days.</w:t>
      </w:r>
    </w:p>
    <w:p>
      <w:pPr>
        <w:pStyle w:val="Heading2"/>
      </w:pPr>
      <w:bookmarkStart w:id="212" w:name="_Toc39130805"/>
      <w:bookmarkStart w:id="213" w:name="_Toc38029803"/>
      <w:bookmarkStart w:id="214" w:name="_Toc38029903"/>
      <w:bookmarkStart w:id="215" w:name="_Toc38031551"/>
      <w:bookmarkStart w:id="216" w:name="_Toc38031651"/>
      <w:r>
        <w:rPr>
          <w:rStyle w:val="CharPartNo"/>
        </w:rPr>
        <w:t>Part 6</w:t>
      </w:r>
      <w:r>
        <w:rPr>
          <w:rStyle w:val="CharDivNo"/>
        </w:rPr>
        <w:t> </w:t>
      </w:r>
      <w:r>
        <w:t>—</w:t>
      </w:r>
      <w:r>
        <w:rPr>
          <w:rStyle w:val="CharDivText"/>
        </w:rPr>
        <w:t> </w:t>
      </w:r>
      <w:r>
        <w:rPr>
          <w:rStyle w:val="CharPartText"/>
        </w:rPr>
        <w:t>Miscellaneous</w:t>
      </w:r>
      <w:bookmarkEnd w:id="212"/>
      <w:bookmarkEnd w:id="213"/>
      <w:bookmarkEnd w:id="214"/>
      <w:bookmarkEnd w:id="215"/>
      <w:bookmarkEnd w:id="216"/>
    </w:p>
    <w:p>
      <w:pPr>
        <w:pStyle w:val="Heading5"/>
      </w:pPr>
      <w:bookmarkStart w:id="217" w:name="_Toc39130806"/>
      <w:bookmarkStart w:id="218" w:name="_Toc38031652"/>
      <w:r>
        <w:rPr>
          <w:rStyle w:val="CharSectno"/>
        </w:rPr>
        <w:t>68</w:t>
      </w:r>
      <w:r>
        <w:t>.</w:t>
      </w:r>
      <w:r>
        <w:tab/>
        <w:t>Maximum amounts payable for certain services</w:t>
      </w:r>
      <w:bookmarkEnd w:id="217"/>
      <w:bookmarkEnd w:id="218"/>
    </w:p>
    <w:p>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19" w:name="_Toc39130807"/>
      <w:bookmarkStart w:id="220" w:name="_Toc38029805"/>
      <w:bookmarkStart w:id="221" w:name="_Toc38029905"/>
      <w:bookmarkStart w:id="222" w:name="_Toc38031553"/>
      <w:bookmarkStart w:id="223" w:name="_Toc38031653"/>
      <w:r>
        <w:rPr>
          <w:rStyle w:val="CharSchNo"/>
        </w:rPr>
        <w:t>Schedule 1</w:t>
      </w:r>
      <w:r>
        <w:rPr>
          <w:rStyle w:val="CharSDivNo"/>
        </w:rPr>
        <w:t> </w:t>
      </w:r>
      <w:r>
        <w:t>—</w:t>
      </w:r>
      <w:r>
        <w:rPr>
          <w:rStyle w:val="CharSDivText"/>
        </w:rPr>
        <w:t> </w:t>
      </w:r>
      <w:r>
        <w:rPr>
          <w:rStyle w:val="CharSchText"/>
        </w:rPr>
        <w:t>Excluded treatment, care and support needs</w:t>
      </w:r>
      <w:bookmarkEnd w:id="219"/>
      <w:bookmarkEnd w:id="220"/>
      <w:bookmarkEnd w:id="221"/>
      <w:bookmarkEnd w:id="222"/>
      <w:bookmarkEnd w:id="223"/>
    </w:p>
    <w:p>
      <w:pPr>
        <w:pStyle w:val="yShoulderClause"/>
      </w:pPr>
      <w:r>
        <w:t>[r. 5]</w:t>
      </w:r>
    </w:p>
    <w:p>
      <w:pPr>
        <w:pStyle w:val="yHeading5"/>
      </w:pPr>
      <w:bookmarkStart w:id="224" w:name="_Toc39130808"/>
      <w:bookmarkStart w:id="225" w:name="_Toc38031654"/>
      <w:r>
        <w:rPr>
          <w:rStyle w:val="CharSClsNo"/>
        </w:rPr>
        <w:t>1</w:t>
      </w:r>
      <w:r>
        <w:t>.</w:t>
      </w:r>
      <w:r>
        <w:tab/>
        <w:t>Terms used</w:t>
      </w:r>
      <w:bookmarkEnd w:id="224"/>
      <w:bookmarkEnd w:id="225"/>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Heading5"/>
      </w:pPr>
      <w:bookmarkStart w:id="226" w:name="_Toc39130809"/>
      <w:bookmarkStart w:id="227" w:name="_Toc38031655"/>
      <w:r>
        <w:rPr>
          <w:rStyle w:val="CharSClsNo"/>
        </w:rPr>
        <w:t>2</w:t>
      </w:r>
      <w:r>
        <w:t>.</w:t>
      </w:r>
      <w:r>
        <w:tab/>
        <w:t>Attendant care services</w:t>
      </w:r>
      <w:bookmarkEnd w:id="226"/>
      <w:bookmarkEnd w:id="227"/>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228" w:name="_Toc39130810"/>
      <w:bookmarkStart w:id="229" w:name="_Toc38031656"/>
      <w:r>
        <w:rPr>
          <w:rStyle w:val="CharSClsNo"/>
        </w:rPr>
        <w:t>3</w:t>
      </w:r>
      <w:r>
        <w:t>.</w:t>
      </w:r>
      <w:r>
        <w:tab/>
        <w:t>Domestic assistance</w:t>
      </w:r>
      <w:bookmarkEnd w:id="228"/>
      <w:bookmarkEnd w:id="229"/>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230" w:name="_Toc39130811"/>
      <w:bookmarkStart w:id="231" w:name="_Toc38031657"/>
      <w:r>
        <w:rPr>
          <w:rStyle w:val="CharSClsNo"/>
        </w:rPr>
        <w:t>4</w:t>
      </w:r>
      <w:r>
        <w:t>.</w:t>
      </w:r>
      <w:r>
        <w:tab/>
        <w:t>Aids and appliances</w:t>
      </w:r>
      <w:bookmarkEnd w:id="230"/>
      <w:bookmarkEnd w:id="231"/>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232" w:name="_Toc39130812"/>
      <w:bookmarkStart w:id="233" w:name="_Toc38031658"/>
      <w:r>
        <w:rPr>
          <w:rStyle w:val="CharSClsNo"/>
        </w:rPr>
        <w:t>5</w:t>
      </w:r>
      <w:r>
        <w:t>.</w:t>
      </w:r>
      <w:r>
        <w:tab/>
        <w:t>Education support</w:t>
      </w:r>
      <w:bookmarkEnd w:id="232"/>
      <w:bookmarkEnd w:id="233"/>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234" w:name="_Toc39130813"/>
      <w:bookmarkStart w:id="235" w:name="_Toc38031659"/>
      <w:r>
        <w:rPr>
          <w:rStyle w:val="CharSClsNo"/>
        </w:rPr>
        <w:t>6</w:t>
      </w:r>
      <w:r>
        <w:t>.</w:t>
      </w:r>
      <w:r>
        <w:tab/>
        <w:t>Vocational support</w:t>
      </w:r>
      <w:bookmarkEnd w:id="234"/>
      <w:bookmarkEnd w:id="235"/>
    </w:p>
    <w:p>
      <w:pPr>
        <w:pStyle w:val="ySubsection"/>
      </w:pPr>
      <w:r>
        <w:tab/>
      </w:r>
      <w:r>
        <w:tab/>
        <w:t xml:space="preserve">Vocational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Heading5"/>
      </w:pPr>
      <w:bookmarkStart w:id="236" w:name="_Toc39130814"/>
      <w:bookmarkStart w:id="237" w:name="_Toc38031660"/>
      <w:r>
        <w:rPr>
          <w:rStyle w:val="CharSClsNo"/>
        </w:rPr>
        <w:t>7</w:t>
      </w:r>
      <w:r>
        <w:t>.</w:t>
      </w:r>
      <w:r>
        <w:tab/>
        <w:t>Home modifications</w:t>
      </w:r>
      <w:bookmarkEnd w:id="236"/>
      <w:bookmarkEnd w:id="237"/>
    </w:p>
    <w:p>
      <w:pPr>
        <w:pStyle w:val="ySubsection"/>
        <w:rPr>
          <w:ins w:id="238" w:author="Master Repository Process" w:date="2021-08-29T07:36:00Z"/>
        </w:rPr>
      </w:pPr>
      <w:r>
        <w:tab/>
      </w:r>
      <w:ins w:id="239" w:author="Master Repository Process" w:date="2021-08-29T07:36:00Z">
        <w:r>
          <w:t>(1)</w:t>
        </w:r>
        <w:r>
          <w:tab/>
          <w:t xml:space="preserve">In this clause — </w:t>
        </w:r>
      </w:ins>
    </w:p>
    <w:p>
      <w:pPr>
        <w:pStyle w:val="yDefstart"/>
        <w:rPr>
          <w:ins w:id="240" w:author="Master Repository Process" w:date="2021-08-29T07:36:00Z"/>
        </w:rPr>
      </w:pPr>
      <w:ins w:id="241" w:author="Master Repository Process" w:date="2021-08-29T07:36:00Z">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ins>
    </w:p>
    <w:p>
      <w:pPr>
        <w:pStyle w:val="yDefstart"/>
        <w:rPr>
          <w:ins w:id="242" w:author="Master Repository Process" w:date="2021-08-29T07:36:00Z"/>
        </w:rPr>
      </w:pPr>
      <w:ins w:id="243" w:author="Master Repository Process" w:date="2021-08-29T07:36:00Z">
        <w:r>
          <w:tab/>
        </w:r>
        <w:r>
          <w:rPr>
            <w:rStyle w:val="CharDefText"/>
          </w:rPr>
          <w:t>leasehold scheme owner</w:t>
        </w:r>
        <w:r>
          <w:t xml:space="preserve"> has the meaning given to owner, in relation to a leasehold scheme, by the </w:t>
        </w:r>
        <w:r>
          <w:rPr>
            <w:i/>
          </w:rPr>
          <w:t>Strata Titles Act 1985</w:t>
        </w:r>
        <w:r>
          <w:t xml:space="preserve"> section 3(1).</w:t>
        </w:r>
      </w:ins>
    </w:p>
    <w:p>
      <w:pPr>
        <w:pStyle w:val="ySubsection"/>
      </w:pPr>
      <w:ins w:id="244" w:author="Master Repository Process" w:date="2021-08-29T07:36:00Z">
        <w:r>
          <w:tab/>
          <w:t>(2)</w:t>
        </w:r>
      </w:ins>
      <w:r>
        <w:tab/>
        <w:t>Modifications to a participant’s usual place of residence of the following kinds</w:t>
      </w:r>
      <w:del w:id="245" w:author="Master Repository Process" w:date="2021-08-29T07:36:00Z">
        <w:r>
          <w:delText xml:space="preserve"> — </w:delText>
        </w:r>
      </w:del>
      <w:ins w:id="246" w:author="Master Repository Process" w:date="2021-08-29T07:36:00Z">
        <w:r>
          <w:t xml:space="preserve"> —</w:t>
        </w:r>
      </w:ins>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w:t>
      </w:r>
      <w:del w:id="247" w:author="Master Repository Process" w:date="2021-08-29T07:36:00Z">
        <w:r>
          <w:delText xml:space="preserve"> and, if the place of residence is subject to a strata scheme, by the relevant strata company</w:delText>
        </w:r>
      </w:del>
      <w:r>
        <w:t>;</w:t>
      </w:r>
    </w:p>
    <w:p>
      <w:pPr>
        <w:pStyle w:val="yIndenta"/>
        <w:rPr>
          <w:ins w:id="248" w:author="Master Repository Process" w:date="2021-08-29T07:36:00Z"/>
        </w:rPr>
      </w:pPr>
      <w:del w:id="249" w:author="Master Repository Process" w:date="2021-08-29T07:36:00Z">
        <w:r>
          <w:tab/>
          <w:delText>(c</w:delText>
        </w:r>
      </w:del>
      <w:ins w:id="250" w:author="Master Repository Process" w:date="2021-08-29T07:36:00Z">
        <w:r>
          <w:tab/>
          <w:t>(c)</w:t>
        </w:r>
        <w:r>
          <w:tab/>
          <w:t xml:space="preserve">if the place of residence is subject to a strata titles scheme, modifications that have not been permitted by — </w:t>
        </w:r>
      </w:ins>
    </w:p>
    <w:p>
      <w:pPr>
        <w:pStyle w:val="yIndenti0"/>
        <w:rPr>
          <w:ins w:id="251" w:author="Master Repository Process" w:date="2021-08-29T07:36:00Z"/>
        </w:rPr>
      </w:pPr>
      <w:ins w:id="252" w:author="Master Repository Process" w:date="2021-08-29T07:36:00Z">
        <w:r>
          <w:tab/>
          <w:t>(i)</w:t>
        </w:r>
        <w:r>
          <w:tab/>
          <w:t>the relevant strata company; or</w:t>
        </w:r>
      </w:ins>
    </w:p>
    <w:p>
      <w:pPr>
        <w:pStyle w:val="yIndenti0"/>
        <w:rPr>
          <w:ins w:id="253" w:author="Master Repository Process" w:date="2021-08-29T07:36:00Z"/>
        </w:rPr>
      </w:pPr>
      <w:ins w:id="254" w:author="Master Repository Process" w:date="2021-08-29T07:36:00Z">
        <w:r>
          <w:tab/>
          <w:t>(ii)</w:t>
        </w:r>
        <w:r>
          <w:tab/>
          <w:t>if the strata titles scheme is a leasehold scheme — the leaseholder scheme owner;</w:t>
        </w:r>
      </w:ins>
    </w:p>
    <w:p>
      <w:pPr>
        <w:pStyle w:val="yIndenta"/>
      </w:pPr>
      <w:ins w:id="255" w:author="Master Repository Process" w:date="2021-08-29T07:36:00Z">
        <w:r>
          <w:tab/>
          <w:t>(d</w:t>
        </w:r>
      </w:ins>
      <w:r>
        <w:t>)</w:t>
      </w:r>
      <w:r>
        <w:tab/>
        <w:t>modifications involving the construction or installation of a pool, spa or aquatic therapy facility;</w:t>
      </w:r>
    </w:p>
    <w:p>
      <w:pPr>
        <w:pStyle w:val="yIndenta"/>
      </w:pPr>
      <w:r>
        <w:tab/>
        <w:t>(</w:t>
      </w:r>
      <w:del w:id="256" w:author="Master Repository Process" w:date="2021-08-29T07:36:00Z">
        <w:r>
          <w:delText>d</w:delText>
        </w:r>
      </w:del>
      <w:ins w:id="257" w:author="Master Repository Process" w:date="2021-08-29T07:36:00Z">
        <w:r>
          <w:t>e</w:t>
        </w:r>
      </w:ins>
      <w:r>
        <w:t>)</w:t>
      </w:r>
      <w:r>
        <w:tab/>
        <w:t>modifications involving the provision of ordinary household items (for example, furniture, whitegoods, fans, lights, smoke alarms or surge protectors).</w:t>
      </w:r>
    </w:p>
    <w:p>
      <w:pPr>
        <w:pStyle w:val="yFootnotesection"/>
        <w:rPr>
          <w:ins w:id="258" w:author="Master Repository Process" w:date="2021-08-29T07:36:00Z"/>
        </w:rPr>
      </w:pPr>
      <w:ins w:id="259" w:author="Master Repository Process" w:date="2021-08-29T07:36:00Z">
        <w:r>
          <w:tab/>
          <w:t>[Clause 7 inserted: Gazette 31 Dec 2019 p. 4651</w:t>
        </w:r>
        <w:r>
          <w:noBreakHyphen/>
          <w:t>2.]</w:t>
        </w:r>
      </w:ins>
    </w:p>
    <w:p>
      <w:pPr>
        <w:pStyle w:val="yHeading5"/>
      </w:pPr>
      <w:bookmarkStart w:id="260" w:name="_Toc39130815"/>
      <w:bookmarkStart w:id="261" w:name="_Toc38031661"/>
      <w:r>
        <w:rPr>
          <w:rStyle w:val="CharSClsNo"/>
        </w:rPr>
        <w:t>8</w:t>
      </w:r>
      <w:r>
        <w:t>.</w:t>
      </w:r>
      <w:r>
        <w:tab/>
        <w:t>Transport modifications</w:t>
      </w:r>
      <w:bookmarkEnd w:id="260"/>
      <w:bookmarkEnd w:id="261"/>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262" w:name="_Toc39130816"/>
      <w:bookmarkStart w:id="263" w:name="_Toc38031662"/>
      <w:r>
        <w:rPr>
          <w:rStyle w:val="CharSClsNo"/>
        </w:rPr>
        <w:t>9</w:t>
      </w:r>
      <w:r>
        <w:t>.</w:t>
      </w:r>
      <w:r>
        <w:tab/>
        <w:t>Respite care</w:t>
      </w:r>
      <w:bookmarkEnd w:id="262"/>
      <w:bookmarkEnd w:id="263"/>
    </w:p>
    <w:p>
      <w:pPr>
        <w:pStyle w:val="ySubsection"/>
      </w:pPr>
      <w:r>
        <w:tab/>
      </w:r>
      <w:r>
        <w:tab/>
        <w:t>Respite care provided in an unsafe environment or in circumstances that place a participant at risk of harm.</w:t>
      </w:r>
    </w:p>
    <w:p>
      <w:pPr>
        <w:pStyle w:val="yHeading5"/>
      </w:pPr>
      <w:bookmarkStart w:id="264" w:name="_Toc39130817"/>
      <w:bookmarkStart w:id="265" w:name="_Toc38031663"/>
      <w:r>
        <w:rPr>
          <w:rStyle w:val="CharSClsNo"/>
        </w:rPr>
        <w:t>10</w:t>
      </w:r>
      <w:r>
        <w:t>.</w:t>
      </w:r>
      <w:r>
        <w:tab/>
        <w:t>Prostheses</w:t>
      </w:r>
      <w:bookmarkEnd w:id="264"/>
      <w:bookmarkEnd w:id="265"/>
    </w:p>
    <w:p>
      <w:pPr>
        <w:pStyle w:val="ySubsection"/>
      </w:pPr>
      <w:r>
        <w:tab/>
      </w:r>
      <w:r>
        <w:tab/>
        <w:t>The repair or replacement of prostheses because of a participant’s neglect, abuse or misuse.</w:t>
      </w:r>
    </w:p>
    <w:p>
      <w:pPr>
        <w:pStyle w:val="ySubsection"/>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267" w:name="_Toc39130818"/>
      <w:bookmarkStart w:id="268" w:name="_Toc38029816"/>
      <w:bookmarkStart w:id="269" w:name="_Toc38029916"/>
      <w:bookmarkStart w:id="270" w:name="_Toc38031564"/>
      <w:bookmarkStart w:id="271" w:name="_Toc38031664"/>
      <w:r>
        <w:rPr>
          <w:rStyle w:val="CharSchNo"/>
        </w:rPr>
        <w:t>Schedule 2</w:t>
      </w:r>
      <w:r>
        <w:rPr>
          <w:rStyle w:val="CharSDivNo"/>
        </w:rPr>
        <w:t> </w:t>
      </w:r>
      <w:r>
        <w:t>—</w:t>
      </w:r>
      <w:r>
        <w:rPr>
          <w:rStyle w:val="CharSDivText"/>
        </w:rPr>
        <w:t> </w:t>
      </w:r>
      <w:r>
        <w:rPr>
          <w:rStyle w:val="CharSchText"/>
        </w:rPr>
        <w:t>Maximum amounts payable</w:t>
      </w:r>
      <w:bookmarkEnd w:id="267"/>
      <w:bookmarkEnd w:id="268"/>
      <w:bookmarkEnd w:id="269"/>
      <w:bookmarkEnd w:id="270"/>
      <w:bookmarkEnd w:id="271"/>
    </w:p>
    <w:p>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Maximum amount</w:t>
            </w:r>
          </w:p>
        </w:tc>
      </w:tr>
      <w:tr>
        <w:tc>
          <w:tcPr>
            <w:tcW w:w="3402" w:type="dxa"/>
            <w:tcBorders>
              <w:top w:val="single" w:sz="4" w:space="0" w:color="auto"/>
            </w:tcBorders>
          </w:tcPr>
          <w:p>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tc>
          <w:tcPr>
            <w:tcW w:w="3402" w:type="dxa"/>
          </w:tcPr>
          <w:p>
            <w:pPr>
              <w:pStyle w:val="yTableNAm"/>
              <w:tabs>
                <w:tab w:val="clear" w:pos="567"/>
              </w:tabs>
              <w:ind w:left="459" w:hanging="459"/>
              <w:rPr>
                <w:b/>
                <w:bCs/>
              </w:rPr>
            </w:pPr>
            <w:r>
              <w:t>2.</w:t>
            </w:r>
            <w:r>
              <w:tab/>
              <w:t>Counselling service provided by psychologist</w:t>
            </w:r>
          </w:p>
        </w:tc>
        <w:tc>
          <w:tcPr>
            <w:tcW w:w="3686" w:type="dxa"/>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tc>
          <w:tcPr>
            <w:tcW w:w="3402" w:type="dxa"/>
          </w:tcPr>
          <w:p>
            <w:pPr>
              <w:pStyle w:val="yTableNAm"/>
              <w:tabs>
                <w:tab w:val="clear" w:pos="567"/>
              </w:tabs>
              <w:ind w:left="459" w:hanging="459"/>
              <w:rPr>
                <w:b/>
                <w:bCs/>
              </w:rPr>
            </w:pPr>
            <w:r>
              <w:t>3.</w:t>
            </w:r>
            <w:r>
              <w:tab/>
              <w:t>Consultation with osteopath</w:t>
            </w:r>
          </w:p>
        </w:tc>
        <w:tc>
          <w:tcPr>
            <w:tcW w:w="3686" w:type="dxa"/>
          </w:tcPr>
          <w:p>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tc>
          <w:tcPr>
            <w:tcW w:w="3402" w:type="dxa"/>
          </w:tcPr>
          <w:p>
            <w:pPr>
              <w:pStyle w:val="yTableNAm"/>
              <w:tabs>
                <w:tab w:val="clear" w:pos="567"/>
              </w:tabs>
              <w:ind w:left="459" w:hanging="459"/>
            </w:pPr>
            <w:r>
              <w:t>4.</w:t>
            </w:r>
            <w:r>
              <w:tab/>
              <w:t>Consultation with acupuncturist</w:t>
            </w:r>
          </w:p>
        </w:tc>
        <w:tc>
          <w:tcPr>
            <w:tcW w:w="3686" w:type="dxa"/>
          </w:tcPr>
          <w:p>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tc>
          <w:tcPr>
            <w:tcW w:w="3402" w:type="dxa"/>
          </w:tcPr>
          <w:p>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tc>
          <w:tcPr>
            <w:tcW w:w="3402" w:type="dxa"/>
          </w:tcPr>
          <w:p>
            <w:pPr>
              <w:pStyle w:val="yTableNAm"/>
              <w:tabs>
                <w:tab w:val="clear" w:pos="567"/>
              </w:tabs>
              <w:ind w:left="459" w:hanging="459"/>
            </w:pPr>
            <w:r>
              <w:t>6.</w:t>
            </w:r>
            <w:r>
              <w:tab/>
              <w:t>Attendance or treatment by physiotherapist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tc>
          <w:tcPr>
            <w:tcW w:w="3402" w:type="dxa"/>
          </w:tcPr>
          <w:p>
            <w:pPr>
              <w:pStyle w:val="yTableNAm"/>
              <w:keepNext/>
              <w:keepLines/>
              <w:widowControl w:val="0"/>
              <w:tabs>
                <w:tab w:val="clear" w:pos="567"/>
              </w:tabs>
              <w:ind w:left="459" w:hanging="459"/>
            </w:pPr>
            <w:r>
              <w:t>7.</w:t>
            </w:r>
            <w:r>
              <w:tab/>
              <w:t>Attendance or treatment by chiropractor</w:t>
            </w:r>
          </w:p>
        </w:tc>
        <w:tc>
          <w:tcPr>
            <w:tcW w:w="3686" w:type="dxa"/>
          </w:tcPr>
          <w:p>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tc>
          <w:tcPr>
            <w:tcW w:w="3402" w:type="dxa"/>
          </w:tcPr>
          <w:p>
            <w:pPr>
              <w:pStyle w:val="yTableNAm"/>
              <w:tabs>
                <w:tab w:val="clear" w:pos="567"/>
              </w:tabs>
              <w:ind w:left="459" w:hanging="459"/>
            </w:pPr>
            <w:r>
              <w:t>8.</w:t>
            </w:r>
            <w:r>
              <w:tab/>
              <w:t>Attendance or treatment by occupational 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tc>
          <w:tcPr>
            <w:tcW w:w="3402" w:type="dxa"/>
          </w:tcPr>
          <w:p>
            <w:pPr>
              <w:pStyle w:val="yTableNAm"/>
              <w:tabs>
                <w:tab w:val="clear" w:pos="567"/>
              </w:tabs>
              <w:ind w:left="459" w:hanging="459"/>
            </w:pPr>
            <w:r>
              <w:t>9.</w:t>
            </w:r>
            <w:r>
              <w:tab/>
              <w:t>Attendance or treatment by speech pathologist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tc>
          <w:tcPr>
            <w:tcW w:w="3402" w:type="dxa"/>
            <w:tcBorders>
              <w:bottom w:val="single" w:sz="4" w:space="0" w:color="auto"/>
            </w:tcBorders>
          </w:tcPr>
          <w:p>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272" w:name="_Toc39130819"/>
      <w:bookmarkStart w:id="273" w:name="_Toc38029817"/>
      <w:bookmarkStart w:id="274" w:name="_Toc38029917"/>
      <w:bookmarkStart w:id="275" w:name="_Toc38031565"/>
      <w:bookmarkStart w:id="276" w:name="_Toc38031665"/>
      <w:r>
        <w:t>Notes</w:t>
      </w:r>
      <w:bookmarkEnd w:id="272"/>
      <w:bookmarkEnd w:id="273"/>
      <w:bookmarkEnd w:id="274"/>
      <w:bookmarkEnd w:id="275"/>
      <w:bookmarkEnd w:id="276"/>
    </w:p>
    <w:p>
      <w:pPr>
        <w:pStyle w:val="nStatement"/>
      </w:pPr>
      <w:r>
        <w:t xml:space="preserve">This is a compilation of the </w:t>
      </w:r>
      <w:r>
        <w:rPr>
          <w:i/>
          <w:noProof/>
        </w:rPr>
        <w:t>Motor Vehicle (Catastrophic Injuries) Regulations 2016</w:t>
      </w:r>
      <w:r>
        <w:t>. For provisions that have come into operation see the compilation table.</w:t>
      </w:r>
      <w:del w:id="277" w:author="Master Repository Process" w:date="2021-08-29T07:36:00Z">
        <w:r>
          <w:delText xml:space="preserve"> For provisions that have not yet come into operation see the uncommenced provisions table.</w:delText>
        </w:r>
      </w:del>
    </w:p>
    <w:p>
      <w:pPr>
        <w:pStyle w:val="nHeading3"/>
      </w:pPr>
      <w:bookmarkStart w:id="278" w:name="_Toc39130820"/>
      <w:bookmarkStart w:id="279" w:name="_Toc38031666"/>
      <w:r>
        <w:t>Compilation table</w:t>
      </w:r>
      <w:bookmarkEnd w:id="278"/>
      <w:bookmarkEnd w:id="2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Motor Vehicle (Catastrophic Injuries) Regulations 2016</w:t>
            </w:r>
          </w:p>
        </w:tc>
        <w:tc>
          <w:tcPr>
            <w:tcW w:w="1276" w:type="dxa"/>
            <w:tcBorders>
              <w:bottom w:val="nil"/>
            </w:tcBorders>
          </w:tcPr>
          <w:p>
            <w:pPr>
              <w:pStyle w:val="nTable"/>
              <w:spacing w:after="40"/>
            </w:pPr>
            <w:r>
              <w:t>13 May 2016 p. 1441-85</w:t>
            </w:r>
          </w:p>
        </w:tc>
        <w:tc>
          <w:tcPr>
            <w:tcW w:w="2693" w:type="dxa"/>
            <w:tcBorders>
              <w:bottom w:val="nil"/>
            </w:tcBorders>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bl>
    <w:p>
      <w:pPr>
        <w:pStyle w:val="nHeading3"/>
        <w:rPr>
          <w:del w:id="280" w:author="Master Repository Process" w:date="2021-08-29T07:36:00Z"/>
        </w:rPr>
      </w:pPr>
      <w:bookmarkStart w:id="281" w:name="_Toc38031667"/>
      <w:del w:id="282" w:author="Master Repository Process" w:date="2021-08-29T07:36:00Z">
        <w:r>
          <w:delText>Uncommenced provisions table</w:delText>
        </w:r>
        <w:bookmarkEnd w:id="281"/>
      </w:del>
    </w:p>
    <w:p>
      <w:pPr>
        <w:pStyle w:val="nStatement"/>
        <w:keepNext/>
        <w:spacing w:after="240"/>
        <w:rPr>
          <w:del w:id="283" w:author="Master Repository Process" w:date="2021-08-29T07:36:00Z"/>
        </w:rPr>
      </w:pPr>
      <w:del w:id="284" w:author="Master Repository Process" w:date="2021-08-29T07:3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85" w:author="Master Repository Process" w:date="2021-08-29T07:36:00Z"/>
        </w:trPr>
        <w:tc>
          <w:tcPr>
            <w:tcW w:w="3118" w:type="dxa"/>
          </w:tcPr>
          <w:p>
            <w:pPr>
              <w:pStyle w:val="nTable"/>
              <w:spacing w:after="40"/>
              <w:rPr>
                <w:del w:id="286" w:author="Master Repository Process" w:date="2021-08-29T07:36:00Z"/>
                <w:b/>
              </w:rPr>
            </w:pPr>
            <w:del w:id="287" w:author="Master Repository Process" w:date="2021-08-29T07:36:00Z">
              <w:r>
                <w:rPr>
                  <w:b/>
                </w:rPr>
                <w:delText>Citation</w:delText>
              </w:r>
            </w:del>
          </w:p>
        </w:tc>
        <w:tc>
          <w:tcPr>
            <w:tcW w:w="1276" w:type="dxa"/>
          </w:tcPr>
          <w:p>
            <w:pPr>
              <w:pStyle w:val="nTable"/>
              <w:spacing w:after="40"/>
              <w:rPr>
                <w:del w:id="288" w:author="Master Repository Process" w:date="2021-08-29T07:36:00Z"/>
                <w:b/>
              </w:rPr>
            </w:pPr>
            <w:del w:id="289" w:author="Master Repository Process" w:date="2021-08-29T07:36:00Z">
              <w:r>
                <w:rPr>
                  <w:b/>
                </w:rPr>
                <w:delText>Published</w:delText>
              </w:r>
            </w:del>
          </w:p>
        </w:tc>
        <w:tc>
          <w:tcPr>
            <w:tcW w:w="2693" w:type="dxa"/>
          </w:tcPr>
          <w:p>
            <w:pPr>
              <w:pStyle w:val="nTable"/>
              <w:spacing w:after="40"/>
              <w:rPr>
                <w:del w:id="290" w:author="Master Repository Process" w:date="2021-08-29T07:36:00Z"/>
                <w:b/>
              </w:rPr>
            </w:pPr>
            <w:del w:id="291" w:author="Master Repository Process" w:date="2021-08-29T07:36:00Z">
              <w:r>
                <w:rPr>
                  <w:b/>
                </w:rPr>
                <w:delText>Commencement</w:delText>
              </w:r>
            </w:del>
          </w:p>
        </w:tc>
      </w:tr>
      <w:tr>
        <w:tc>
          <w:tcPr>
            <w:tcW w:w="3118" w:type="dxa"/>
            <w:tcBorders>
              <w:top w:val="nil"/>
              <w:bottom w:val="single" w:sz="4" w:space="0" w:color="auto"/>
            </w:tcBorders>
          </w:tcPr>
          <w:p>
            <w:pPr>
              <w:pStyle w:val="nTable"/>
              <w:spacing w:after="40"/>
              <w:rPr>
                <w:i/>
                <w:noProof/>
              </w:rPr>
            </w:pPr>
            <w:r>
              <w:rPr>
                <w:i/>
              </w:rPr>
              <w:t>Motor Vehicle (Catastrophic Injuries) Amendment Regulations 2019</w:t>
            </w:r>
            <w:del w:id="292" w:author="Master Repository Process" w:date="2021-08-29T07:36:00Z">
              <w:r>
                <w:delText xml:space="preserve"> r. 3 and 4</w:delText>
              </w:r>
            </w:del>
          </w:p>
        </w:tc>
        <w:tc>
          <w:tcPr>
            <w:tcW w:w="1276" w:type="dxa"/>
            <w:tcBorders>
              <w:top w:val="nil"/>
              <w:bottom w:val="single" w:sz="4" w:space="0" w:color="auto"/>
            </w:tcBorders>
          </w:tcPr>
          <w:p>
            <w:pPr>
              <w:pStyle w:val="nTable"/>
              <w:spacing w:after="40"/>
            </w:pPr>
            <w:r>
              <w:t>31 Dec 2019 p. 4651</w:t>
            </w:r>
            <w:r>
              <w:noBreakHyphen/>
              <w:t>2</w:t>
            </w:r>
          </w:p>
        </w:tc>
        <w:tc>
          <w:tcPr>
            <w:tcW w:w="2693" w:type="dxa"/>
            <w:tcBorders>
              <w:top w:val="nil"/>
              <w:bottom w:val="single" w:sz="4" w:space="0" w:color="auto"/>
            </w:tcBorders>
          </w:tcPr>
          <w:p>
            <w:pPr>
              <w:pStyle w:val="nTable"/>
              <w:spacing w:after="40"/>
              <w:rPr>
                <w:bCs/>
                <w:snapToGrid w:val="0"/>
                <w:spacing w:val="-2"/>
              </w:rPr>
            </w:pPr>
            <w:ins w:id="293" w:author="Master Repository Process" w:date="2021-08-29T07:36:00Z">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ins>
            <w:r>
              <w:t>1 May 2020 (see r. 2(b) and SL 2020/39 cl. 2)</w:t>
            </w:r>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4" w:name="Compilation"/>
    <w:bookmarkEnd w:id="29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5" w:name="Coversheet"/>
    <w:bookmarkEnd w:id="2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66" w:name="Schedule"/>
    <w:bookmarkEnd w:id="2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3009171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0693DF-A42D-49CE-B071-F965046A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4D6F3-61B0-4975-8773-4430DEF8B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7939</Words>
  <Characters>40651</Characters>
  <Application>Microsoft Office Word</Application>
  <DocSecurity>0</DocSecurity>
  <Lines>1098</Lines>
  <Paragraphs>656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00-b0-02 - 00-c0-00</dc:title>
  <dc:subject/>
  <dc:creator/>
  <cp:keywords/>
  <dc:description/>
  <cp:lastModifiedBy>Master Repository Process</cp:lastModifiedBy>
  <cp:revision>2</cp:revision>
  <cp:lastPrinted>2016-04-27T07:18:00Z</cp:lastPrinted>
  <dcterms:created xsi:type="dcterms:W3CDTF">2021-08-28T23:36:00Z</dcterms:created>
  <dcterms:modified xsi:type="dcterms:W3CDTF">2021-08-28T23:36:00Z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CommencementDate">
    <vt:lpwstr>20200501</vt:lpwstr>
  </property>
  <property fmtid="{D5CDD505-2E9C-101B-9397-08002B2CF9AE}" pid="6" name="FromSuffix">
    <vt:lpwstr>00-b0-02</vt:lpwstr>
  </property>
  <property fmtid="{D5CDD505-2E9C-101B-9397-08002B2CF9AE}" pid="7" name="FromAsAtDate">
    <vt:lpwstr>31 Dec 2019</vt:lpwstr>
  </property>
  <property fmtid="{D5CDD505-2E9C-101B-9397-08002B2CF9AE}" pid="8" name="ToSuffix">
    <vt:lpwstr>00-c0-00</vt:lpwstr>
  </property>
  <property fmtid="{D5CDD505-2E9C-101B-9397-08002B2CF9AE}" pid="9" name="ToAsAtDate">
    <vt:lpwstr>01 May 2020</vt:lpwstr>
  </property>
</Properties>
</file>