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26 May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0" w:name="_Toc76545047"/>
      <w:bookmarkStart w:id="1" w:name="_Toc104950578"/>
      <w:bookmarkStart w:id="2" w:name="_Toc104954117"/>
      <w:bookmarkStart w:id="3" w:name="_Toc107623280"/>
      <w:bookmarkStart w:id="4" w:name="_Toc114630053"/>
      <w:bookmarkStart w:id="5" w:name="_Toc116706816"/>
      <w:bookmarkStart w:id="6" w:name="_Toc116706999"/>
      <w:bookmarkStart w:id="7" w:name="_Toc117656173"/>
      <w:bookmarkStart w:id="8" w:name="_Toc117656355"/>
      <w:bookmarkStart w:id="9" w:name="_Toc119233840"/>
      <w:bookmarkStart w:id="10" w:name="_Toc119730705"/>
      <w:bookmarkStart w:id="11" w:name="_Toc120943651"/>
      <w:bookmarkStart w:id="12" w:name="_Toc120948348"/>
      <w:bookmarkStart w:id="13" w:name="_Toc122742694"/>
      <w:bookmarkStart w:id="14" w:name="_Toc122837926"/>
      <w:bookmarkStart w:id="15" w:name="_Toc122838987"/>
      <w:bookmarkStart w:id="16" w:name="_Toc124152045"/>
      <w:bookmarkStart w:id="17" w:name="_Toc136332163"/>
      <w:r>
        <w:rPr>
          <w:rStyle w:val="CharPartNo"/>
        </w:rPr>
        <w:t>P</w:t>
      </w:r>
      <w:bookmarkStart w:id="18" w:name="_GoBack"/>
      <w:bookmarkEnd w:id="18"/>
      <w:r>
        <w:rPr>
          <w:rStyle w:val="CharPartNo"/>
        </w:rPr>
        <w:t>art 1</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423332722"/>
      <w:bookmarkStart w:id="20" w:name="_Toc425219441"/>
      <w:bookmarkStart w:id="21" w:name="_Toc426249308"/>
      <w:bookmarkStart w:id="22" w:name="_Toc449924704"/>
      <w:bookmarkStart w:id="23" w:name="_Toc449947722"/>
      <w:bookmarkStart w:id="24" w:name="_Toc454185713"/>
      <w:bookmarkStart w:id="25" w:name="_Toc531401251"/>
      <w:bookmarkStart w:id="26" w:name="_Toc531515281"/>
      <w:bookmarkStart w:id="27" w:name="_Toc14752011"/>
      <w:bookmarkStart w:id="28" w:name="_Toc136332164"/>
      <w:bookmarkStart w:id="29" w:name="_Toc124152046"/>
      <w:r>
        <w:rPr>
          <w:rStyle w:val="CharSectno"/>
        </w:rPr>
        <w:t>1</w:t>
      </w:r>
      <w:r>
        <w:t>.</w:t>
      </w:r>
      <w:r>
        <w:tab/>
        <w:t>Citation</w:t>
      </w:r>
      <w:bookmarkEnd w:id="19"/>
      <w:bookmarkEnd w:id="20"/>
      <w:bookmarkEnd w:id="21"/>
      <w:bookmarkEnd w:id="22"/>
      <w:bookmarkEnd w:id="23"/>
      <w:bookmarkEnd w:id="24"/>
      <w:bookmarkEnd w:id="25"/>
      <w:bookmarkEnd w:id="26"/>
      <w:bookmarkEnd w:id="27"/>
      <w:bookmarkEnd w:id="28"/>
      <w:bookmarkEnd w:id="29"/>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30" w:name="_Toc531401252"/>
      <w:bookmarkStart w:id="31" w:name="_Toc531515282"/>
      <w:bookmarkStart w:id="32" w:name="_Toc14752012"/>
      <w:bookmarkStart w:id="33" w:name="_Toc136332165"/>
      <w:bookmarkStart w:id="34" w:name="_Toc124152047"/>
      <w:r>
        <w:rPr>
          <w:rStyle w:val="CharSectno"/>
        </w:rPr>
        <w:t>2</w:t>
      </w:r>
      <w:r>
        <w:t>.</w:t>
      </w:r>
      <w:r>
        <w:tab/>
        <w:t>Commencement</w:t>
      </w:r>
      <w:bookmarkEnd w:id="30"/>
      <w:bookmarkEnd w:id="31"/>
      <w:bookmarkEnd w:id="32"/>
      <w:bookmarkEnd w:id="33"/>
      <w:bookmarkEnd w:id="34"/>
    </w:p>
    <w:p>
      <w:pPr>
        <w:pStyle w:val="Subsection"/>
        <w:rPr>
          <w:spacing w:val="-2"/>
        </w:rPr>
      </w:pPr>
      <w:r>
        <w:tab/>
      </w:r>
      <w:r>
        <w:tab/>
      </w:r>
      <w:r>
        <w:rPr>
          <w:spacing w:val="-2"/>
        </w:rPr>
        <w:t>These regulations come into operation on 1 November 2002.</w:t>
      </w:r>
    </w:p>
    <w:p>
      <w:pPr>
        <w:pStyle w:val="Heading5"/>
      </w:pPr>
      <w:bookmarkStart w:id="35" w:name="_Toc531401253"/>
      <w:bookmarkStart w:id="36" w:name="_Toc531515283"/>
      <w:bookmarkStart w:id="37" w:name="_Toc14752013"/>
      <w:bookmarkStart w:id="38" w:name="_Toc136332166"/>
      <w:bookmarkStart w:id="39" w:name="_Toc124152048"/>
      <w:r>
        <w:rPr>
          <w:rStyle w:val="CharSectno"/>
        </w:rPr>
        <w:t>3</w:t>
      </w:r>
      <w:r>
        <w:t>.</w:t>
      </w:r>
      <w:r>
        <w:tab/>
        <w:t>Interpretation</w:t>
      </w:r>
      <w:bookmarkEnd w:id="35"/>
      <w:bookmarkEnd w:id="36"/>
      <w:bookmarkEnd w:id="37"/>
      <w:bookmarkEnd w:id="38"/>
      <w:bookmarkEnd w:id="39"/>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40" w:name="_Toc136332167"/>
      <w:bookmarkStart w:id="41" w:name="_Toc124152049"/>
      <w:r>
        <w:rPr>
          <w:rStyle w:val="CharSectno"/>
        </w:rPr>
        <w:t>4</w:t>
      </w:r>
      <w:r>
        <w:t>.</w:t>
      </w:r>
      <w:r>
        <w:tab/>
        <w:t>Exemptions in emergencies</w:t>
      </w:r>
      <w:bookmarkEnd w:id="40"/>
      <w:bookmarkEnd w:id="41"/>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42" w:name="_Toc136332168"/>
      <w:bookmarkStart w:id="43" w:name="_Toc124152050"/>
      <w:r>
        <w:rPr>
          <w:rStyle w:val="CharSectno"/>
        </w:rPr>
        <w:t>5</w:t>
      </w:r>
      <w:r>
        <w:t>.</w:t>
      </w:r>
      <w:r>
        <w:tab/>
        <w:t>Application</w:t>
      </w:r>
      <w:bookmarkEnd w:id="42"/>
      <w:bookmarkEnd w:id="43"/>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tabs>
          <w:tab w:val="clear" w:pos="1325"/>
          <w:tab w:val="clear" w:pos="1613"/>
          <w:tab w:val="left" w:pos="993"/>
        </w:tabs>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44" w:name="_Toc76545053"/>
      <w:bookmarkStart w:id="45" w:name="_Toc104950584"/>
      <w:bookmarkStart w:id="46" w:name="_Toc104954123"/>
      <w:bookmarkStart w:id="47" w:name="_Toc107623286"/>
      <w:bookmarkStart w:id="48" w:name="_Toc114630059"/>
      <w:bookmarkStart w:id="49" w:name="_Toc116706822"/>
      <w:bookmarkStart w:id="50" w:name="_Toc116707005"/>
      <w:bookmarkStart w:id="51" w:name="_Toc117656179"/>
      <w:bookmarkStart w:id="52" w:name="_Toc117656361"/>
      <w:bookmarkStart w:id="53" w:name="_Toc119233846"/>
      <w:bookmarkStart w:id="54" w:name="_Toc119730711"/>
      <w:bookmarkStart w:id="55" w:name="_Toc120943657"/>
      <w:bookmarkStart w:id="56" w:name="_Toc120948354"/>
      <w:bookmarkStart w:id="57" w:name="_Toc122742700"/>
      <w:bookmarkStart w:id="58" w:name="_Toc122837932"/>
      <w:bookmarkStart w:id="59" w:name="_Toc122838993"/>
      <w:bookmarkStart w:id="60" w:name="_Toc124152051"/>
      <w:bookmarkStart w:id="61" w:name="_Toc136332169"/>
      <w:r>
        <w:rPr>
          <w:rStyle w:val="CharPartNo"/>
        </w:rPr>
        <w:t>Part 2</w:t>
      </w:r>
      <w:r>
        <w:rPr>
          <w:rStyle w:val="CharDivNo"/>
        </w:rPr>
        <w:t> </w:t>
      </w:r>
      <w:r>
        <w:t>—</w:t>
      </w:r>
      <w:r>
        <w:rPr>
          <w:rStyle w:val="CharDivNo"/>
        </w:rPr>
        <w:t> </w:t>
      </w:r>
      <w:r>
        <w:rPr>
          <w:rStyle w:val="CharPartText"/>
        </w:rPr>
        <w:t>Maintenance, emission control and Vehicle Standards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136332170"/>
      <w:bookmarkStart w:id="63" w:name="_Toc124152052"/>
      <w:r>
        <w:rPr>
          <w:rStyle w:val="CharSectno"/>
        </w:rPr>
        <w:t>6</w:t>
      </w:r>
      <w:r>
        <w:t>.</w:t>
      </w:r>
      <w:r>
        <w:tab/>
        <w:t>Motor vehicles and trailers to be properly maintained</w:t>
      </w:r>
      <w:bookmarkEnd w:id="62"/>
      <w:bookmarkEnd w:id="63"/>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64" w:name="_Toc136332171"/>
      <w:bookmarkStart w:id="65" w:name="_Toc124152053"/>
      <w:r>
        <w:rPr>
          <w:rStyle w:val="CharSectno"/>
        </w:rPr>
        <w:t>7</w:t>
      </w:r>
      <w:r>
        <w:t>.</w:t>
      </w:r>
      <w:r>
        <w:tab/>
        <w:t>Emission control systems to be fitted and properly maintained</w:t>
      </w:r>
      <w:bookmarkEnd w:id="64"/>
      <w:bookmarkEnd w:id="65"/>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66" w:name="_Toc136332172"/>
      <w:bookmarkStart w:id="67" w:name="_Toc124152054"/>
      <w:r>
        <w:rPr>
          <w:rStyle w:val="CharSectno"/>
        </w:rPr>
        <w:t>8</w:t>
      </w:r>
      <w:r>
        <w:t>.</w:t>
      </w:r>
      <w:r>
        <w:tab/>
        <w:t>Motor vehicles not complying with the Vehicle Standards</w:t>
      </w:r>
      <w:bookmarkEnd w:id="66"/>
      <w:bookmarkEnd w:id="67"/>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68" w:name="_Toc136332173"/>
      <w:bookmarkStart w:id="69" w:name="_Toc124152055"/>
      <w:r>
        <w:rPr>
          <w:rStyle w:val="CharSectno"/>
        </w:rPr>
        <w:t>9</w:t>
      </w:r>
      <w:r>
        <w:t>.</w:t>
      </w:r>
      <w:r>
        <w:tab/>
        <w:t>Trailers not complying with Vehicle Standards</w:t>
      </w:r>
      <w:bookmarkEnd w:id="68"/>
      <w:bookmarkEnd w:id="69"/>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60"/>
      </w:pPr>
      <w:bookmarkStart w:id="70" w:name="_Toc136332174"/>
      <w:bookmarkStart w:id="71" w:name="_Toc124152056"/>
      <w:r>
        <w:rPr>
          <w:rStyle w:val="CharSectno"/>
        </w:rPr>
        <w:t>10</w:t>
      </w:r>
      <w:r>
        <w:t>.</w:t>
      </w:r>
      <w:r>
        <w:tab/>
        <w:t>Combinations not complying with Vehicle Standards</w:t>
      </w:r>
      <w:bookmarkEnd w:id="70"/>
      <w:bookmarkEnd w:id="71"/>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20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20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72" w:name="_Toc136332175"/>
      <w:bookmarkStart w:id="73" w:name="_Toc124152057"/>
      <w:r>
        <w:rPr>
          <w:rStyle w:val="CharSectno"/>
        </w:rPr>
        <w:t>10A</w:t>
      </w:r>
      <w:r>
        <w:t>.</w:t>
      </w:r>
      <w:r>
        <w:tab/>
        <w:t>Permissible movement of defective vehicles</w:t>
      </w:r>
      <w:bookmarkEnd w:id="72"/>
      <w:bookmarkEnd w:id="73"/>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74" w:name="_Toc136332176"/>
      <w:bookmarkStart w:id="75" w:name="_Toc124152058"/>
      <w:r>
        <w:rPr>
          <w:rStyle w:val="CharSectno"/>
        </w:rPr>
        <w:t>10B</w:t>
      </w:r>
      <w:r>
        <w:t>.</w:t>
      </w:r>
      <w:r>
        <w:tab/>
        <w:t>Registered write</w:t>
      </w:r>
      <w:r>
        <w:noBreakHyphen/>
        <w:t>offs</w:t>
      </w:r>
      <w:bookmarkEnd w:id="74"/>
      <w:bookmarkEnd w:id="75"/>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76" w:name="_Toc76545061"/>
      <w:bookmarkStart w:id="77" w:name="_Toc104950592"/>
      <w:bookmarkStart w:id="78" w:name="_Toc104954131"/>
      <w:bookmarkStart w:id="79" w:name="_Toc107623294"/>
      <w:bookmarkStart w:id="80" w:name="_Toc114630067"/>
      <w:bookmarkStart w:id="81" w:name="_Toc116706830"/>
      <w:bookmarkStart w:id="82" w:name="_Toc116707013"/>
      <w:bookmarkStart w:id="83" w:name="_Toc117656187"/>
      <w:bookmarkStart w:id="84" w:name="_Toc117656369"/>
      <w:bookmarkStart w:id="85" w:name="_Toc119233854"/>
      <w:bookmarkStart w:id="86" w:name="_Toc119730719"/>
      <w:bookmarkStart w:id="87" w:name="_Toc120943665"/>
      <w:bookmarkStart w:id="88" w:name="_Toc120948362"/>
      <w:bookmarkStart w:id="89" w:name="_Toc122742708"/>
      <w:bookmarkStart w:id="90" w:name="_Toc122837940"/>
      <w:bookmarkStart w:id="91" w:name="_Toc122839001"/>
      <w:bookmarkStart w:id="92" w:name="_Toc124152059"/>
      <w:bookmarkStart w:id="93" w:name="_Toc136332177"/>
      <w:r>
        <w:rPr>
          <w:rStyle w:val="CharPartNo"/>
        </w:rPr>
        <w:t>Part 3</w:t>
      </w:r>
      <w:r>
        <w:rPr>
          <w:rStyle w:val="CharDivNo"/>
        </w:rPr>
        <w:t xml:space="preserve"> </w:t>
      </w:r>
      <w:r>
        <w:t>—</w:t>
      </w:r>
      <w:r>
        <w:rPr>
          <w:rStyle w:val="CharDivText"/>
        </w:rPr>
        <w:t xml:space="preserve"> </w:t>
      </w:r>
      <w:r>
        <w:rPr>
          <w:rStyle w:val="CharPartText"/>
        </w:rPr>
        <w:t>Mass and loading requirements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136332178"/>
      <w:bookmarkStart w:id="95" w:name="_Toc124152060"/>
      <w:r>
        <w:rPr>
          <w:rStyle w:val="CharSectno"/>
        </w:rPr>
        <w:t>11</w:t>
      </w:r>
      <w:r>
        <w:t>.</w:t>
      </w:r>
      <w:r>
        <w:tab/>
        <w:t>Application</w:t>
      </w:r>
      <w:bookmarkEnd w:id="94"/>
      <w:bookmarkEnd w:id="95"/>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96" w:name="_Toc136332179"/>
      <w:bookmarkStart w:id="97" w:name="_Toc124152061"/>
      <w:r>
        <w:rPr>
          <w:rStyle w:val="CharSectno"/>
        </w:rPr>
        <w:t>12</w:t>
      </w:r>
      <w:r>
        <w:t>.</w:t>
      </w:r>
      <w:r>
        <w:tab/>
        <w:t>Compliance with requirements: motor vehicles</w:t>
      </w:r>
      <w:bookmarkEnd w:id="96"/>
      <w:bookmarkEnd w:id="97"/>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98" w:name="_Toc136332180"/>
      <w:bookmarkStart w:id="99" w:name="_Toc124152062"/>
      <w:r>
        <w:rPr>
          <w:rStyle w:val="CharSectno"/>
        </w:rPr>
        <w:t>13</w:t>
      </w:r>
      <w:r>
        <w:t>.</w:t>
      </w:r>
      <w:r>
        <w:tab/>
        <w:t>Compliance with requirements: trailers</w:t>
      </w:r>
      <w:bookmarkEnd w:id="98"/>
      <w:bookmarkEnd w:id="99"/>
    </w:p>
    <w:p>
      <w:pPr>
        <w:pStyle w:val="Subsection"/>
      </w:pPr>
      <w:r>
        <w:tab/>
        <w:t>(1)</w:t>
      </w:r>
      <w:r>
        <w:tab/>
        <w:t>This regulation applies to a trailer whether or not it forms part of a combination.</w:t>
      </w:r>
    </w:p>
    <w:p>
      <w:pPr>
        <w:pStyle w:val="Subsection"/>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00" w:name="_Toc136332181"/>
      <w:bookmarkStart w:id="101" w:name="_Toc124152063"/>
      <w:r>
        <w:rPr>
          <w:rStyle w:val="CharSectno"/>
        </w:rPr>
        <w:t>14</w:t>
      </w:r>
      <w:r>
        <w:t>.</w:t>
      </w:r>
      <w:r>
        <w:tab/>
        <w:t>Compliance with requirements: combinations</w:t>
      </w:r>
      <w:bookmarkEnd w:id="100"/>
      <w:bookmarkEnd w:id="101"/>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02" w:name="_Toc136332182"/>
      <w:bookmarkStart w:id="103" w:name="_Toc124152064"/>
      <w:r>
        <w:rPr>
          <w:rStyle w:val="CharSectno"/>
        </w:rPr>
        <w:t>15</w:t>
      </w:r>
      <w:r>
        <w:t>.</w:t>
      </w:r>
      <w:r>
        <w:tab/>
        <w:t>Proof of loading offences</w:t>
      </w:r>
      <w:bookmarkEnd w:id="102"/>
      <w:bookmarkEnd w:id="103"/>
    </w:p>
    <w:p>
      <w:pPr>
        <w:pStyle w:val="Subsection"/>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pPr>
      <w:r>
        <w:tab/>
        <w:t>(a)</w:t>
      </w:r>
      <w:r>
        <w:tab/>
        <w:t>published by the National Transport Commission in April 2004; and</w:t>
      </w:r>
    </w:p>
    <w:p>
      <w:pPr>
        <w:pStyle w:val="Indenta"/>
        <w:rPr>
          <w:i/>
        </w:rPr>
      </w:pPr>
      <w:r>
        <w:tab/>
        <w:t>(b)</w:t>
      </w:r>
      <w:r>
        <w:tab/>
        <w:t>available from the Department and on the National Transport Commission’s internet website.</w:t>
      </w:r>
    </w:p>
    <w:p>
      <w:pPr>
        <w:pStyle w:val="Subsection"/>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pPr>
      <w:r>
        <w:tab/>
        <w:t>(2)</w:t>
      </w:r>
      <w:r>
        <w:tab/>
        <w:t>In proceedings for a failure to comply with Schedule 1 clause 12 a document purporting to be —</w:t>
      </w:r>
    </w:p>
    <w:p>
      <w:pPr>
        <w:pStyle w:val="Indenta"/>
      </w:pPr>
      <w:r>
        <w:tab/>
        <w:t>(a)</w:t>
      </w:r>
      <w:r>
        <w:tab/>
        <w:t>the “Load Restraint Guide – Second Edition” referred to in subregulation (1) is, in the absence of any evidence to the contrary, to be taken to be the “Load Restraint Guide – Second Edition”; and</w:t>
      </w:r>
    </w:p>
    <w:p>
      <w:pPr>
        <w:pStyle w:val="Indenta"/>
      </w:pPr>
      <w:r>
        <w:tab/>
        <w:t>(b)</w:t>
      </w:r>
      <w:r>
        <w:tab/>
        <w:t>the “Load Restraint Guide” referred to in subregulation (1a) is, in the absence of any evidence to the contrary, to be taken to be the “Load Restraint Guide”.</w:t>
      </w:r>
    </w:p>
    <w:p>
      <w:pPr>
        <w:pStyle w:val="Subsection"/>
        <w:spacing w:before="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spacing w:before="120"/>
      </w:pPr>
      <w:r>
        <w:tab/>
        <w:t>(4)</w:t>
      </w:r>
      <w:r>
        <w:tab/>
        <w:t>In this regulation —</w:t>
      </w:r>
    </w:p>
    <w:p>
      <w:pPr>
        <w:pStyle w:val="Defstart"/>
      </w:pPr>
      <w:r>
        <w:rPr>
          <w:b/>
        </w:rPr>
        <w:tab/>
        <w:t>“</w:t>
      </w:r>
      <w:r>
        <w:rPr>
          <w:rStyle w:val="CharDefText"/>
        </w:rPr>
        <w:t>National Transport Commission</w:t>
      </w:r>
      <w:r>
        <w:rPr>
          <w:b/>
        </w:rPr>
        <w:t>”</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04" w:name="_Toc136332183"/>
      <w:bookmarkStart w:id="105" w:name="_Toc124152065"/>
      <w:r>
        <w:rPr>
          <w:rStyle w:val="CharSectno"/>
        </w:rPr>
        <w:t>16</w:t>
      </w:r>
      <w:r>
        <w:t>.</w:t>
      </w:r>
      <w:r>
        <w:tab/>
        <w:t>Penalty for an offence under regulation 12, 13 or 14</w:t>
      </w:r>
      <w:bookmarkEnd w:id="104"/>
      <w:bookmarkEnd w:id="105"/>
    </w:p>
    <w:p>
      <w:pPr>
        <w:pStyle w:val="Subsection"/>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pPr>
      <w:r>
        <w:tab/>
        <w:t>[Regulation 16 amended in Gazette 13 Dec 2005 p. 5989.]</w:t>
      </w:r>
    </w:p>
    <w:p>
      <w:pPr>
        <w:pStyle w:val="Heading5"/>
      </w:pPr>
      <w:bookmarkStart w:id="106" w:name="_Toc136332184"/>
      <w:bookmarkStart w:id="107" w:name="_Toc124152066"/>
      <w:r>
        <w:rPr>
          <w:rStyle w:val="CharSectno"/>
        </w:rPr>
        <w:t>17</w:t>
      </w:r>
      <w:r>
        <w:t>.</w:t>
      </w:r>
      <w:r>
        <w:tab/>
        <w:t>Failure to comply with certain exemption conditions</w:t>
      </w:r>
      <w:bookmarkEnd w:id="106"/>
      <w:bookmarkEnd w:id="107"/>
    </w:p>
    <w:p>
      <w:pPr>
        <w:pStyle w:val="Subsection"/>
        <w:keepNext/>
        <w:keepLines/>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pPr>
      <w:r>
        <w:tab/>
      </w:r>
      <w:r>
        <w:tab/>
        <w:t>the exemption must be disregarded for the purposes of the prosecution.</w:t>
      </w:r>
    </w:p>
    <w:p>
      <w:pPr>
        <w:pStyle w:val="Heading5"/>
        <w:spacing w:before="160"/>
      </w:pPr>
      <w:bookmarkStart w:id="108" w:name="_Toc136332185"/>
      <w:bookmarkStart w:id="109" w:name="_Toc124152067"/>
      <w:r>
        <w:rPr>
          <w:rStyle w:val="CharSectno"/>
        </w:rPr>
        <w:t>18</w:t>
      </w:r>
      <w:r>
        <w:t>.</w:t>
      </w:r>
      <w:r>
        <w:tab/>
        <w:t>Ascertainment of masses</w:t>
      </w:r>
      <w:bookmarkEnd w:id="108"/>
      <w:bookmarkEnd w:id="109"/>
    </w:p>
    <w:p>
      <w:pPr>
        <w:pStyle w:val="Subsection"/>
      </w:pPr>
      <w:r>
        <w:tab/>
        <w:t>(1)</w:t>
      </w:r>
      <w:r>
        <w:tab/>
        <w:t>The mass of a vehicle and any load or the mass supported on any part of a vehicle may be ascertained —</w:t>
      </w:r>
    </w:p>
    <w:p>
      <w:pPr>
        <w:pStyle w:val="Indenta"/>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spacing w:before="120"/>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spacing w:before="120"/>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spacing w:before="120"/>
      </w:pPr>
      <w:r>
        <w:tab/>
        <w:t>(4)</w:t>
      </w:r>
      <w:r>
        <w:tab/>
        <w:t>If the mass of a vehicle and any load, or the mass supported on any part of a vehicle cannot be, or cannot conveniently be, ascertained under subregulation (1) to (3) —</w:t>
      </w:r>
    </w:p>
    <w:p>
      <w:pPr>
        <w:pStyle w:val="Indenta"/>
        <w:spacing w:before="40"/>
      </w:pPr>
      <w:r>
        <w:tab/>
        <w:t>(a)</w:t>
      </w:r>
      <w:r>
        <w:tab/>
        <w:t>if the load comprises only equipment, the mass of the equipment, ascertained by reference to the manufacturer’s specification (if any) relating to the equipment, is taken to be the mass of the load;</w:t>
      </w:r>
    </w:p>
    <w:p>
      <w:pPr>
        <w:pStyle w:val="Indenta"/>
        <w:spacing w:before="40"/>
      </w:pPr>
      <w:r>
        <w:tab/>
        <w:t>(b)</w:t>
      </w:r>
      <w:r>
        <w:tab/>
        <w:t>the unloaded mass of the vehicle ascertained by reference to the manufacturer’s specification (if any) relating to the vehicle, is taken to be the mass of the vehicle; and</w:t>
      </w:r>
    </w:p>
    <w:p>
      <w:pPr>
        <w:pStyle w:val="Indenta"/>
        <w:spacing w:before="40"/>
      </w:pPr>
      <w:r>
        <w:tab/>
        <w:t>(c)</w:t>
      </w:r>
      <w:r>
        <w:tab/>
        <w:t>the aggregate of the masses ascertained under paragraphs (a) and (b), together with the mass of 10 L of fuel, is taken to be the mass of the vehicle and its load.</w:t>
      </w:r>
    </w:p>
    <w:p>
      <w:pPr>
        <w:pStyle w:val="Subsection"/>
        <w:spacing w:before="120"/>
      </w:pPr>
      <w:r>
        <w:tab/>
        <w:t>(5)</w:t>
      </w:r>
      <w:r>
        <w:tab/>
        <w:t>For the purposes of subregulation (4), any printed matter purporting to be a manufacturer’s specification is, in the absence of evidence to the contrary, taken to be the manufacturer’s specification.</w:t>
      </w:r>
    </w:p>
    <w:p>
      <w:pPr>
        <w:pStyle w:val="Subsection"/>
        <w:spacing w:before="120"/>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spacing w:before="120"/>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spacing w:before="120"/>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60"/>
      </w:pPr>
      <w:bookmarkStart w:id="110" w:name="_Toc136332186"/>
      <w:bookmarkStart w:id="111" w:name="_Toc124152068"/>
      <w:r>
        <w:rPr>
          <w:rStyle w:val="CharSectno"/>
        </w:rPr>
        <w:t>19</w:t>
      </w:r>
      <w:r>
        <w:t>.</w:t>
      </w:r>
      <w:r>
        <w:tab/>
        <w:t>Declaring buses to be complying buses</w:t>
      </w:r>
      <w:bookmarkEnd w:id="110"/>
      <w:bookmarkEnd w:id="111"/>
    </w:p>
    <w:p>
      <w:pPr>
        <w:pStyle w:val="Subsection"/>
        <w:spacing w:before="120"/>
      </w:pPr>
      <w:r>
        <w:tab/>
        <w:t>(1)</w:t>
      </w:r>
      <w:r>
        <w:tab/>
        <w:t>This regulation applies to a bus with 2 or 3 axles and a single steer axle that —</w:t>
      </w:r>
    </w:p>
    <w:p>
      <w:pPr>
        <w:pStyle w:val="Indenta"/>
        <w:spacing w:before="40"/>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12" w:name="_Toc76545071"/>
      <w:bookmarkStart w:id="113" w:name="_Toc104950602"/>
      <w:bookmarkStart w:id="114" w:name="_Toc104954141"/>
      <w:bookmarkStart w:id="115" w:name="_Toc107623304"/>
      <w:bookmarkStart w:id="116" w:name="_Toc114630077"/>
      <w:bookmarkStart w:id="117" w:name="_Toc116706840"/>
      <w:bookmarkStart w:id="118" w:name="_Toc116707023"/>
      <w:bookmarkStart w:id="119" w:name="_Toc117656197"/>
      <w:bookmarkStart w:id="120" w:name="_Toc117656379"/>
      <w:bookmarkStart w:id="121" w:name="_Toc119233864"/>
      <w:bookmarkStart w:id="122" w:name="_Toc119730729"/>
      <w:bookmarkStart w:id="123" w:name="_Toc120943675"/>
      <w:bookmarkStart w:id="124" w:name="_Toc120948372"/>
      <w:bookmarkStart w:id="125" w:name="_Toc122742718"/>
      <w:bookmarkStart w:id="126" w:name="_Toc122837950"/>
      <w:bookmarkStart w:id="127" w:name="_Toc122839011"/>
      <w:bookmarkStart w:id="128" w:name="_Toc124152069"/>
      <w:bookmarkStart w:id="129" w:name="_Toc136332187"/>
      <w:r>
        <w:rPr>
          <w:rStyle w:val="CharPartNo"/>
        </w:rPr>
        <w:t>Part 4</w:t>
      </w:r>
      <w:r>
        <w:t xml:space="preserve"> — </w:t>
      </w:r>
      <w:r>
        <w:rPr>
          <w:rStyle w:val="CharPartText"/>
        </w:rPr>
        <w:t>Restricted access vehicles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pPr>
      <w:bookmarkStart w:id="130" w:name="_Toc76545072"/>
      <w:bookmarkStart w:id="131" w:name="_Toc104950603"/>
      <w:bookmarkStart w:id="132" w:name="_Toc104954142"/>
      <w:bookmarkStart w:id="133" w:name="_Toc107623305"/>
      <w:bookmarkStart w:id="134" w:name="_Toc114630078"/>
      <w:bookmarkStart w:id="135" w:name="_Toc116706841"/>
      <w:bookmarkStart w:id="136" w:name="_Toc116707024"/>
      <w:bookmarkStart w:id="137" w:name="_Toc117656198"/>
      <w:bookmarkStart w:id="138" w:name="_Toc117656380"/>
      <w:bookmarkStart w:id="139" w:name="_Toc119233865"/>
      <w:bookmarkStart w:id="140" w:name="_Toc119730730"/>
      <w:bookmarkStart w:id="141" w:name="_Toc120943676"/>
      <w:bookmarkStart w:id="142" w:name="_Toc120948373"/>
      <w:bookmarkStart w:id="143" w:name="_Toc122742719"/>
      <w:bookmarkStart w:id="144" w:name="_Toc122837951"/>
      <w:bookmarkStart w:id="145" w:name="_Toc122839012"/>
      <w:bookmarkStart w:id="146" w:name="_Toc124152070"/>
      <w:bookmarkStart w:id="147" w:name="_Toc136332188"/>
      <w:r>
        <w:rPr>
          <w:rStyle w:val="CharDivNo"/>
        </w:rPr>
        <w:t>Division 1</w:t>
      </w:r>
      <w:r>
        <w:t xml:space="preserve"> — </w:t>
      </w:r>
      <w:r>
        <w:rPr>
          <w:rStyle w:val="CharDivText"/>
        </w:rPr>
        <w:t>General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spacing w:before="160"/>
      </w:pPr>
      <w:bookmarkStart w:id="148" w:name="_Toc136332189"/>
      <w:bookmarkStart w:id="149" w:name="_Toc124152071"/>
      <w:r>
        <w:rPr>
          <w:rStyle w:val="CharSectno"/>
        </w:rPr>
        <w:t>20</w:t>
      </w:r>
      <w:r>
        <w:t>.</w:t>
      </w:r>
      <w:r>
        <w:tab/>
        <w:t>Application and delegation</w:t>
      </w:r>
      <w:bookmarkEnd w:id="148"/>
      <w:bookmarkEnd w:id="149"/>
    </w:p>
    <w:p>
      <w:pPr>
        <w:pStyle w:val="Subsection"/>
        <w:spacing w:before="120"/>
      </w:pPr>
      <w:r>
        <w:tab/>
        <w:t>(1)</w:t>
      </w:r>
      <w:r>
        <w:tab/>
        <w:t>This Division applies to those restricted access vehicles in respect of which a notice or permit may be issued under this Part.</w:t>
      </w:r>
    </w:p>
    <w:p>
      <w:pPr>
        <w:pStyle w:val="Subsection"/>
        <w:spacing w:before="120"/>
      </w:pPr>
      <w:r>
        <w:tab/>
        <w:t>(2)</w:t>
      </w:r>
      <w:r>
        <w:tab/>
        <w:t>Division 2 applies to class 1 vehicles.</w:t>
      </w:r>
    </w:p>
    <w:p>
      <w:pPr>
        <w:pStyle w:val="Subsection"/>
        <w:spacing w:before="120"/>
      </w:pPr>
      <w:r>
        <w:tab/>
        <w:t>(3)</w:t>
      </w:r>
      <w:r>
        <w:tab/>
        <w:t>Division 3 applies to class 2 vehicles.</w:t>
      </w:r>
    </w:p>
    <w:p>
      <w:pPr>
        <w:pStyle w:val="Subsection"/>
        <w:spacing w:before="120"/>
      </w:pPr>
      <w:r>
        <w:tab/>
        <w:t>(4)</w:t>
      </w:r>
      <w:r>
        <w:tab/>
        <w:t>Division 4 applies to class 3 vehicles.</w:t>
      </w:r>
    </w:p>
    <w:p>
      <w:pPr>
        <w:pStyle w:val="Heading5"/>
        <w:spacing w:before="160"/>
      </w:pPr>
      <w:bookmarkStart w:id="150" w:name="_Toc136332190"/>
      <w:bookmarkStart w:id="151" w:name="_Toc124152072"/>
      <w:r>
        <w:rPr>
          <w:rStyle w:val="CharSectno"/>
        </w:rPr>
        <w:t>21</w:t>
      </w:r>
      <w:r>
        <w:t>.</w:t>
      </w:r>
      <w:r>
        <w:tab/>
        <w:t>Exemptions under RAV notice or RAV permit</w:t>
      </w:r>
      <w:bookmarkEnd w:id="150"/>
      <w:bookmarkEnd w:id="151"/>
    </w:p>
    <w:p>
      <w:pPr>
        <w:pStyle w:val="Subsection"/>
        <w:spacing w:before="120"/>
      </w:pPr>
      <w:r>
        <w:tab/>
        <w:t>(1)</w:t>
      </w:r>
      <w:r>
        <w:tab/>
        <w:t>A person may drive, or cause or permit to be driven, a restricted access vehicle on a road if the vehicle is driven in accordance with an RAV notice or RAV permit.</w:t>
      </w:r>
    </w:p>
    <w:p>
      <w:pPr>
        <w:pStyle w:val="Subsection"/>
        <w:spacing w:before="120"/>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152" w:name="_Toc136332191"/>
      <w:bookmarkStart w:id="153" w:name="_Toc124152073"/>
      <w:r>
        <w:rPr>
          <w:rStyle w:val="CharSectno"/>
        </w:rPr>
        <w:t>22</w:t>
      </w:r>
      <w:r>
        <w:t>.</w:t>
      </w:r>
      <w:r>
        <w:tab/>
        <w:t>Notice or permit to be carried in vehicle and produced on request</w:t>
      </w:r>
      <w:bookmarkEnd w:id="152"/>
      <w:bookmarkEnd w:id="153"/>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20"/>
      </w:pPr>
      <w:r>
        <w:tab/>
        <w:t>(2)</w:t>
      </w:r>
      <w:r>
        <w:tab/>
        <w:t>However, instead of carrying an RAV notice, a driver may carry an information sheet issued by the exempting authority, which sets out the obligations imposed under the notice.</w:t>
      </w:r>
    </w:p>
    <w:p>
      <w:pPr>
        <w:pStyle w:val="Subsection"/>
        <w:spacing w:before="120"/>
      </w:pPr>
      <w:r>
        <w:tab/>
        <w:t>(3)</w:t>
      </w:r>
      <w:r>
        <w:tab/>
        <w:t>Subregulation (1) does not apply if the notice or permit states that this regulation does not apply.</w:t>
      </w:r>
    </w:p>
    <w:p>
      <w:pPr>
        <w:pStyle w:val="Subsection"/>
        <w:spacing w:before="12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154" w:name="_Toc136332192"/>
      <w:bookmarkStart w:id="155" w:name="_Toc124152074"/>
      <w:r>
        <w:rPr>
          <w:rStyle w:val="CharSectno"/>
        </w:rPr>
        <w:t>23</w:t>
      </w:r>
      <w:r>
        <w:t>.</w:t>
      </w:r>
      <w:r>
        <w:tab/>
        <w:t>Accreditation conditions on notice or permit</w:t>
      </w:r>
      <w:bookmarkEnd w:id="154"/>
      <w:bookmarkEnd w:id="155"/>
    </w:p>
    <w:p>
      <w:pPr>
        <w:pStyle w:val="Subsection"/>
        <w:spacing w:before="120"/>
      </w:pPr>
      <w:r>
        <w:tab/>
        <w:t>(1)</w:t>
      </w:r>
      <w:r>
        <w:tab/>
        <w:t>An RAV notice or RAV permit may be issued subject to the condition that the responsible person for, or operator of, a vehicle to which the notice or permit applies —</w:t>
      </w:r>
    </w:p>
    <w:p>
      <w:pPr>
        <w:pStyle w:val="Indenta"/>
        <w:spacing w:before="40"/>
      </w:pPr>
      <w:r>
        <w:tab/>
        <w:t>(a)</w:t>
      </w:r>
      <w:r>
        <w:tab/>
        <w:t>holds an accreditation certificate; or</w:t>
      </w:r>
    </w:p>
    <w:p>
      <w:pPr>
        <w:pStyle w:val="Indenta"/>
        <w:spacing w:before="40"/>
      </w:pPr>
      <w:r>
        <w:tab/>
        <w:t>(b)</w:t>
      </w:r>
      <w:r>
        <w:tab/>
        <w:t>obtains an accreditation certificate on or before the date specified in the notice or permit.</w:t>
      </w:r>
    </w:p>
    <w:p>
      <w:pPr>
        <w:pStyle w:val="Subsection"/>
        <w:spacing w:before="120"/>
        <w:rPr>
          <w:spacing w:val="-4"/>
        </w:rPr>
      </w:pPr>
      <w:r>
        <w:tab/>
        <w:t>(2)</w:t>
      </w:r>
      <w:r>
        <w:tab/>
      </w:r>
      <w:r>
        <w:rPr>
          <w:spacing w:val="-4"/>
        </w:rPr>
        <w:t>The Commissioner of Main Roads may issue an accreditation certificate, on payment of the fee prescribed in subregulation (6), if the Commissioner is satisfied that the applicant for the certificate has in place systems that comply with the following standards —</w:t>
      </w:r>
    </w:p>
    <w:p>
      <w:pPr>
        <w:pStyle w:val="Indenta"/>
        <w:spacing w:before="4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The Commissioner may renew an accreditation certificate on payment of the fee prescribed in subregulation (6)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Subsection"/>
      </w:pPr>
      <w:r>
        <w:tab/>
        <w:t>(6)</w:t>
      </w:r>
      <w:r>
        <w:tab/>
        <w:t>The fee payable for the issue or renewal of an accreditation certificate is $225.</w:t>
      </w:r>
    </w:p>
    <w:p>
      <w:pPr>
        <w:pStyle w:val="Subsection"/>
      </w:pPr>
      <w:r>
        <w:tab/>
        <w:t>(7)</w:t>
      </w:r>
      <w:r>
        <w:tab/>
        <w:t>The fee may be paid by 3 equal annual instalments, of which —</w:t>
      </w:r>
    </w:p>
    <w:p>
      <w:pPr>
        <w:pStyle w:val="Indenta"/>
      </w:pPr>
      <w:r>
        <w:tab/>
        <w:t>(a)</w:t>
      </w:r>
      <w:r>
        <w:tab/>
        <w:t>the first instalment is payable on or before the date of issue or renewal of the accreditation certificate;</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(8)</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w:t>
      </w:r>
    </w:p>
    <w:p>
      <w:pPr>
        <w:pStyle w:val="Heading3"/>
      </w:pPr>
      <w:bookmarkStart w:id="156" w:name="_Toc76545077"/>
      <w:bookmarkStart w:id="157" w:name="_Toc104950608"/>
      <w:bookmarkStart w:id="158" w:name="_Toc104954147"/>
      <w:bookmarkStart w:id="159" w:name="_Toc107623310"/>
      <w:bookmarkStart w:id="160" w:name="_Toc114630083"/>
      <w:bookmarkStart w:id="161" w:name="_Toc116706846"/>
      <w:bookmarkStart w:id="162" w:name="_Toc116707029"/>
      <w:bookmarkStart w:id="163" w:name="_Toc117656203"/>
      <w:bookmarkStart w:id="164" w:name="_Toc117656385"/>
      <w:bookmarkStart w:id="165" w:name="_Toc119233870"/>
      <w:bookmarkStart w:id="166" w:name="_Toc119730735"/>
      <w:bookmarkStart w:id="167" w:name="_Toc120943681"/>
      <w:bookmarkStart w:id="168" w:name="_Toc120948378"/>
      <w:bookmarkStart w:id="169" w:name="_Toc122742724"/>
      <w:bookmarkStart w:id="170" w:name="_Toc122837956"/>
      <w:bookmarkStart w:id="171" w:name="_Toc122839017"/>
      <w:bookmarkStart w:id="172" w:name="_Toc124152075"/>
      <w:bookmarkStart w:id="173" w:name="_Toc136332193"/>
      <w:r>
        <w:rPr>
          <w:rStyle w:val="CharDivNo"/>
        </w:rPr>
        <w:t>Division 2</w:t>
      </w:r>
      <w:r>
        <w:t xml:space="preserve"> — </w:t>
      </w:r>
      <w:r>
        <w:rPr>
          <w:rStyle w:val="CharDivText"/>
        </w:rPr>
        <w:t>Class 1 vehicles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136332194"/>
      <w:bookmarkStart w:id="175" w:name="_Toc124152076"/>
      <w:r>
        <w:rPr>
          <w:rStyle w:val="CharSectno"/>
        </w:rPr>
        <w:t>24</w:t>
      </w:r>
      <w:r>
        <w:t>.</w:t>
      </w:r>
      <w:r>
        <w:tab/>
        <w:t>Class 1 notices</w:t>
      </w:r>
      <w:bookmarkEnd w:id="174"/>
      <w:bookmarkEnd w:id="175"/>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176" w:name="_Toc136332195"/>
      <w:bookmarkStart w:id="177" w:name="_Toc124152077"/>
      <w:r>
        <w:rPr>
          <w:rStyle w:val="CharSectno"/>
        </w:rPr>
        <w:t>25</w:t>
      </w:r>
      <w:r>
        <w:t>.</w:t>
      </w:r>
      <w:r>
        <w:tab/>
        <w:t>Class 1 permits</w:t>
      </w:r>
      <w:bookmarkEnd w:id="176"/>
      <w:bookmarkEnd w:id="177"/>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Subsection"/>
      </w:pPr>
      <w:r>
        <w:tab/>
        <w:t>(5)</w:t>
      </w:r>
      <w:r>
        <w:tab/>
        <w:t>The fee payable for the issue of a class 1 permit that is for all journeys made in a specified period, is the greater of —</w:t>
      </w:r>
    </w:p>
    <w:p>
      <w:pPr>
        <w:pStyle w:val="Indenta"/>
        <w:spacing w:before="100"/>
      </w:pPr>
      <w:r>
        <w:tab/>
        <w:t>(a)</w:t>
      </w:r>
      <w:r>
        <w:tab/>
        <w:t>$10; and</w:t>
      </w:r>
    </w:p>
    <w:p>
      <w:pPr>
        <w:pStyle w:val="Indenta"/>
        <w:spacing w:before="100"/>
      </w:pPr>
      <w:r>
        <w:tab/>
        <w:t>(b)</w:t>
      </w:r>
      <w:r>
        <w:tab/>
        <w:t>for each full month for which the permit is issued — $4 for each tonne or part of a tonne by which the relevant mass limit is permitted to be exceeded under the permit.</w:t>
      </w:r>
    </w:p>
    <w:p>
      <w:pPr>
        <w:pStyle w:val="Subsection"/>
        <w:spacing w:before="180"/>
      </w:pPr>
      <w:r>
        <w:tab/>
        <w:t>(6)</w:t>
      </w:r>
      <w:r>
        <w:tab/>
        <w:t>The fee payable for the issue of a class 1 permit that is for a specified journey only is the greater of —</w:t>
      </w:r>
    </w:p>
    <w:p>
      <w:pPr>
        <w:pStyle w:val="Indenta"/>
        <w:spacing w:before="100"/>
      </w:pPr>
      <w:r>
        <w:tab/>
        <w:t>(a)</w:t>
      </w:r>
      <w:r>
        <w:tab/>
        <w:t>$3; and</w:t>
      </w:r>
    </w:p>
    <w:p>
      <w:pPr>
        <w:pStyle w:val="Indenta"/>
        <w:spacing w:before="100"/>
      </w:pPr>
      <w:r>
        <w:tab/>
        <w:t>(b)</w:t>
      </w:r>
      <w:r>
        <w:tab/>
        <w:t>one cent per tonne per kilometre (rounded to the nearest 5c).</w:t>
      </w:r>
    </w:p>
    <w:p>
      <w:pPr>
        <w:pStyle w:val="Subsection"/>
        <w:spacing w:before="180"/>
      </w:pPr>
      <w:r>
        <w:tab/>
        <w:t>(7)</w:t>
      </w:r>
      <w:r>
        <w:tab/>
        <w:t>The Commissioner of Main Roads may delegate to an officer of the Commissioner or a police officer the Commissioner’s power to issue a class 1 permit.</w:t>
      </w:r>
    </w:p>
    <w:p>
      <w:pPr>
        <w:pStyle w:val="Heading5"/>
      </w:pPr>
      <w:bookmarkStart w:id="178" w:name="_Toc136332196"/>
      <w:bookmarkStart w:id="179" w:name="_Toc124152078"/>
      <w:r>
        <w:rPr>
          <w:rStyle w:val="CharSectno"/>
        </w:rPr>
        <w:t>26</w:t>
      </w:r>
      <w:r>
        <w:t>.</w:t>
      </w:r>
      <w:r>
        <w:tab/>
        <w:t>Conditions on a class 1 notice or class 1 permit</w:t>
      </w:r>
      <w:bookmarkEnd w:id="178"/>
      <w:bookmarkEnd w:id="179"/>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180" w:name="_Toc136332197"/>
      <w:bookmarkStart w:id="181" w:name="_Toc124152079"/>
      <w:r>
        <w:rPr>
          <w:rStyle w:val="CharSectno"/>
        </w:rPr>
        <w:t>27</w:t>
      </w:r>
      <w:r>
        <w:t>.</w:t>
      </w:r>
      <w:r>
        <w:tab/>
        <w:t>What must be included in a class 1 notice or class 1 permit</w:t>
      </w:r>
      <w:bookmarkEnd w:id="180"/>
      <w:bookmarkEnd w:id="181"/>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182" w:name="_Toc136332198"/>
      <w:bookmarkStart w:id="183" w:name="_Toc124152080"/>
      <w:r>
        <w:rPr>
          <w:rStyle w:val="CharSectno"/>
        </w:rPr>
        <w:t>28</w:t>
      </w:r>
      <w:r>
        <w:t>.</w:t>
      </w:r>
      <w:r>
        <w:tab/>
        <w:t>Areas and roads</w:t>
      </w:r>
      <w:bookmarkEnd w:id="182"/>
      <w:bookmarkEnd w:id="183"/>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184" w:name="_Toc76545083"/>
      <w:bookmarkStart w:id="185" w:name="_Toc104950614"/>
      <w:bookmarkStart w:id="186" w:name="_Toc104954153"/>
      <w:bookmarkStart w:id="187" w:name="_Toc107623316"/>
      <w:bookmarkStart w:id="188" w:name="_Toc114630089"/>
      <w:bookmarkStart w:id="189" w:name="_Toc116706852"/>
      <w:bookmarkStart w:id="190" w:name="_Toc116707035"/>
      <w:bookmarkStart w:id="191" w:name="_Toc117656209"/>
      <w:bookmarkStart w:id="192" w:name="_Toc117656391"/>
      <w:bookmarkStart w:id="193" w:name="_Toc119233876"/>
      <w:bookmarkStart w:id="194" w:name="_Toc119730741"/>
      <w:bookmarkStart w:id="195" w:name="_Toc120943687"/>
      <w:bookmarkStart w:id="196" w:name="_Toc120948384"/>
      <w:bookmarkStart w:id="197" w:name="_Toc122742730"/>
      <w:bookmarkStart w:id="198" w:name="_Toc122837962"/>
      <w:bookmarkStart w:id="199" w:name="_Toc122839023"/>
      <w:bookmarkStart w:id="200" w:name="_Toc124152081"/>
      <w:bookmarkStart w:id="201" w:name="_Toc136332199"/>
      <w:r>
        <w:rPr>
          <w:rStyle w:val="CharDivNo"/>
        </w:rPr>
        <w:t>Division 3</w:t>
      </w:r>
      <w:r>
        <w:t xml:space="preserve"> — </w:t>
      </w:r>
      <w:r>
        <w:rPr>
          <w:rStyle w:val="CharDivText"/>
        </w:rPr>
        <w:t>Class 2 vehicles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136332200"/>
      <w:bookmarkStart w:id="203" w:name="_Toc124152082"/>
      <w:r>
        <w:rPr>
          <w:rStyle w:val="CharSectno"/>
        </w:rPr>
        <w:t>29</w:t>
      </w:r>
      <w:r>
        <w:t>.</w:t>
      </w:r>
      <w:r>
        <w:tab/>
        <w:t>Class 2 notices</w:t>
      </w:r>
      <w:bookmarkEnd w:id="202"/>
      <w:bookmarkEnd w:id="203"/>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204" w:name="_Toc136332201"/>
      <w:bookmarkStart w:id="205" w:name="_Toc124152083"/>
      <w:r>
        <w:rPr>
          <w:rStyle w:val="CharSectno"/>
        </w:rPr>
        <w:t>30</w:t>
      </w:r>
      <w:r>
        <w:t>.</w:t>
      </w:r>
      <w:r>
        <w:tab/>
        <w:t>Class 2 permits</w:t>
      </w:r>
      <w:bookmarkEnd w:id="204"/>
      <w:bookmarkEnd w:id="205"/>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Subsection"/>
      </w:pPr>
      <w:r>
        <w:tab/>
        <w:t>(4)</w:t>
      </w:r>
      <w:r>
        <w:tab/>
        <w:t>The fee payable for the issue of a class 2 permit is $10.</w:t>
      </w:r>
    </w:p>
    <w:p>
      <w:pPr>
        <w:pStyle w:val="Subsection"/>
      </w:pPr>
      <w:r>
        <w:tab/>
        <w:t>(5)</w:t>
      </w:r>
      <w:r>
        <w:tab/>
        <w:t>The Commissioner of Main Roads may delegate to an officer of the Commissioner or a police officer the Commissioner’s power to issue a class 2 permit.</w:t>
      </w:r>
    </w:p>
    <w:p>
      <w:pPr>
        <w:pStyle w:val="Heading5"/>
      </w:pPr>
      <w:bookmarkStart w:id="206" w:name="_Toc136332202"/>
      <w:bookmarkStart w:id="207" w:name="_Toc124152084"/>
      <w:r>
        <w:rPr>
          <w:rStyle w:val="CharSectno"/>
        </w:rPr>
        <w:t>31</w:t>
      </w:r>
      <w:r>
        <w:t>.</w:t>
      </w:r>
      <w:r>
        <w:tab/>
        <w:t>Conditions of a class 2 notice or class 2 permit</w:t>
      </w:r>
      <w:bookmarkEnd w:id="206"/>
      <w:bookmarkEnd w:id="207"/>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208" w:name="_Toc136332203"/>
      <w:bookmarkStart w:id="209" w:name="_Toc124152085"/>
      <w:r>
        <w:rPr>
          <w:rStyle w:val="CharSectno"/>
        </w:rPr>
        <w:t>32</w:t>
      </w:r>
      <w:r>
        <w:t>.</w:t>
      </w:r>
      <w:r>
        <w:tab/>
        <w:t>What must be included in a class 2 notice or class 2 permit</w:t>
      </w:r>
      <w:bookmarkEnd w:id="208"/>
      <w:bookmarkEnd w:id="209"/>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210" w:name="_Toc76545088"/>
      <w:bookmarkStart w:id="211" w:name="_Toc104950619"/>
      <w:bookmarkStart w:id="212" w:name="_Toc104954158"/>
      <w:bookmarkStart w:id="213" w:name="_Toc107623321"/>
      <w:bookmarkStart w:id="214" w:name="_Toc114630094"/>
      <w:bookmarkStart w:id="215" w:name="_Toc116706857"/>
      <w:bookmarkStart w:id="216" w:name="_Toc116707040"/>
      <w:bookmarkStart w:id="217" w:name="_Toc117656214"/>
      <w:bookmarkStart w:id="218" w:name="_Toc117656396"/>
      <w:bookmarkStart w:id="219" w:name="_Toc119233881"/>
      <w:bookmarkStart w:id="220" w:name="_Toc119730746"/>
      <w:bookmarkStart w:id="221" w:name="_Toc120943692"/>
      <w:bookmarkStart w:id="222" w:name="_Toc120948389"/>
      <w:bookmarkStart w:id="223" w:name="_Toc122742735"/>
      <w:bookmarkStart w:id="224" w:name="_Toc122837967"/>
      <w:bookmarkStart w:id="225" w:name="_Toc122839028"/>
      <w:bookmarkStart w:id="226" w:name="_Toc124152086"/>
      <w:bookmarkStart w:id="227" w:name="_Toc136332204"/>
      <w:r>
        <w:rPr>
          <w:rStyle w:val="CharDivNo"/>
        </w:rPr>
        <w:t>Division 4</w:t>
      </w:r>
      <w:r>
        <w:t xml:space="preserve"> — </w:t>
      </w:r>
      <w:r>
        <w:rPr>
          <w:rStyle w:val="CharDivText"/>
        </w:rPr>
        <w:t>Class 3 vehicles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spacing w:before="160"/>
      </w:pPr>
      <w:bookmarkStart w:id="228" w:name="_Toc136332205"/>
      <w:bookmarkStart w:id="229" w:name="_Toc124152087"/>
      <w:r>
        <w:rPr>
          <w:rStyle w:val="CharSectno"/>
        </w:rPr>
        <w:t>33</w:t>
      </w:r>
      <w:r>
        <w:t>.</w:t>
      </w:r>
      <w:r>
        <w:tab/>
        <w:t>Class 3 notices</w:t>
      </w:r>
      <w:bookmarkEnd w:id="228"/>
      <w:bookmarkEnd w:id="229"/>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spacing w:before="160"/>
      </w:pPr>
      <w:bookmarkStart w:id="230" w:name="_Toc136332206"/>
      <w:bookmarkStart w:id="231" w:name="_Toc124152088"/>
      <w:r>
        <w:rPr>
          <w:rStyle w:val="CharSectno"/>
        </w:rPr>
        <w:t>34</w:t>
      </w:r>
      <w:r>
        <w:t>.</w:t>
      </w:r>
      <w:r>
        <w:tab/>
        <w:t>Class 3 permits</w:t>
      </w:r>
      <w:bookmarkEnd w:id="230"/>
      <w:bookmarkEnd w:id="231"/>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Subsection"/>
      </w:pPr>
      <w:r>
        <w:tab/>
        <w:t>(4)</w:t>
      </w:r>
      <w:r>
        <w:tab/>
        <w:t>The fee payable for the issue of a class 3 permit is —</w:t>
      </w:r>
    </w:p>
    <w:p>
      <w:pPr>
        <w:pStyle w:val="Indenta"/>
      </w:pPr>
      <w:r>
        <w:tab/>
        <w:t>(a)</w:t>
      </w:r>
      <w:r>
        <w:tab/>
        <w:t>$10; and</w:t>
      </w:r>
    </w:p>
    <w:p>
      <w:pPr>
        <w:pStyle w:val="Indenta"/>
      </w:pPr>
      <w:r>
        <w:tab/>
        <w:t>(b)</w:t>
      </w:r>
      <w:r>
        <w:tab/>
        <w:t>if the permit exempts a vehicle from a mass requirement — for each month or part of a month for which the permit is issued — $4 for each tonne or part of a tonne by which the relevant mass limit is permitted to be exceeded under the permit.</w:t>
      </w:r>
    </w:p>
    <w:p>
      <w:pPr>
        <w:pStyle w:val="Subsection"/>
      </w:pPr>
      <w:r>
        <w:tab/>
        <w:t>(5)</w:t>
      </w:r>
      <w:r>
        <w:tab/>
        <w:t>The Commissioner of Main Roads may delegate to an officer of the Commissioner or a police officer the Commissioner’s power to issue a class 3 permit.</w:t>
      </w:r>
    </w:p>
    <w:p>
      <w:pPr>
        <w:pStyle w:val="Heading5"/>
      </w:pPr>
      <w:bookmarkStart w:id="232" w:name="_Toc136332207"/>
      <w:bookmarkStart w:id="233" w:name="_Toc124152089"/>
      <w:r>
        <w:rPr>
          <w:rStyle w:val="CharSectno"/>
        </w:rPr>
        <w:t>35</w:t>
      </w:r>
      <w:r>
        <w:t>.</w:t>
      </w:r>
      <w:r>
        <w:tab/>
        <w:t>Conditions on a class 3 notice or class 3 permit</w:t>
      </w:r>
      <w:bookmarkEnd w:id="232"/>
      <w:bookmarkEnd w:id="233"/>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spacing w:before="160"/>
      </w:pPr>
      <w:bookmarkStart w:id="234" w:name="_Toc136332208"/>
      <w:bookmarkStart w:id="235" w:name="_Toc124152090"/>
      <w:r>
        <w:rPr>
          <w:rStyle w:val="CharSectno"/>
        </w:rPr>
        <w:t>36</w:t>
      </w:r>
      <w:r>
        <w:t>.</w:t>
      </w:r>
      <w:r>
        <w:tab/>
        <w:t>What must be included in a class 3 notice or class 3 permit</w:t>
      </w:r>
      <w:bookmarkEnd w:id="234"/>
      <w:bookmarkEnd w:id="235"/>
    </w:p>
    <w:p>
      <w:pPr>
        <w:pStyle w:val="Subsection"/>
        <w:spacing w:before="80"/>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pPr>
      <w:bookmarkStart w:id="236" w:name="_Toc76545093"/>
      <w:bookmarkStart w:id="237" w:name="_Toc104950624"/>
      <w:bookmarkStart w:id="238" w:name="_Toc104954163"/>
      <w:bookmarkStart w:id="239" w:name="_Toc107623326"/>
      <w:bookmarkStart w:id="240" w:name="_Toc114630099"/>
      <w:bookmarkStart w:id="241" w:name="_Toc116706862"/>
      <w:bookmarkStart w:id="242" w:name="_Toc116707045"/>
      <w:bookmarkStart w:id="243" w:name="_Toc117656219"/>
      <w:bookmarkStart w:id="244" w:name="_Toc117656401"/>
      <w:bookmarkStart w:id="245" w:name="_Toc119233886"/>
      <w:bookmarkStart w:id="246" w:name="_Toc119730751"/>
      <w:bookmarkStart w:id="247" w:name="_Toc120943697"/>
      <w:bookmarkStart w:id="248" w:name="_Toc120948394"/>
      <w:bookmarkStart w:id="249" w:name="_Toc122742740"/>
      <w:bookmarkStart w:id="250" w:name="_Toc122837972"/>
      <w:bookmarkStart w:id="251" w:name="_Toc122839033"/>
      <w:bookmarkStart w:id="252" w:name="_Toc124152091"/>
      <w:bookmarkStart w:id="253" w:name="_Toc136332209"/>
      <w:r>
        <w:rPr>
          <w:rStyle w:val="CharPartNo"/>
        </w:rPr>
        <w:t>Part 5</w:t>
      </w:r>
      <w:r>
        <w:rPr>
          <w:rStyle w:val="CharDivNo"/>
        </w:rPr>
        <w:t xml:space="preserve"> </w:t>
      </w:r>
      <w:r>
        <w:t>—</w:t>
      </w:r>
      <w:r>
        <w:rPr>
          <w:rStyle w:val="CharDivText"/>
        </w:rPr>
        <w:t xml:space="preserve"> </w:t>
      </w:r>
      <w:r>
        <w:rPr>
          <w:rStyle w:val="CharPartText"/>
        </w:rPr>
        <w:t>Ministerial exemptions under section 103B(1)</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136332210"/>
      <w:bookmarkStart w:id="255" w:name="_Toc124152092"/>
      <w:r>
        <w:rPr>
          <w:rStyle w:val="CharSectno"/>
        </w:rPr>
        <w:t>37</w:t>
      </w:r>
      <w:r>
        <w:t>.</w:t>
      </w:r>
      <w:r>
        <w:tab/>
        <w:t>Circumstances in which exemptions may be made</w:t>
      </w:r>
      <w:bookmarkEnd w:id="254"/>
      <w:bookmarkEnd w:id="255"/>
    </w:p>
    <w:p>
      <w:pPr>
        <w:pStyle w:val="Subsection"/>
      </w:pPr>
      <w:r>
        <w:tab/>
        <w:t>(1)</w:t>
      </w:r>
      <w:r>
        <w:tab/>
        <w:t>For the purposes of section 103B(1)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keepLines/>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Heading5"/>
      </w:pPr>
      <w:bookmarkStart w:id="256" w:name="_Toc136332211"/>
      <w:bookmarkStart w:id="257" w:name="_Toc124152093"/>
      <w:r>
        <w:rPr>
          <w:rStyle w:val="CharSectno"/>
        </w:rPr>
        <w:t>38</w:t>
      </w:r>
      <w:r>
        <w:t>.</w:t>
      </w:r>
      <w:r>
        <w:tab/>
        <w:t>When a Ministerial exemption may be amended</w:t>
      </w:r>
      <w:bookmarkEnd w:id="256"/>
      <w:bookmarkEnd w:id="257"/>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258" w:name="_Toc136332212"/>
      <w:bookmarkStart w:id="259" w:name="_Toc124152094"/>
      <w:r>
        <w:rPr>
          <w:rStyle w:val="CharSectno"/>
        </w:rPr>
        <w:t>39</w:t>
      </w:r>
      <w:r>
        <w:t>.</w:t>
      </w:r>
      <w:r>
        <w:tab/>
        <w:t>When a Ministerial exemption may be revoked</w:t>
      </w:r>
      <w:bookmarkEnd w:id="258"/>
      <w:bookmarkEnd w:id="259"/>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260" w:name="_Toc136332213"/>
      <w:bookmarkStart w:id="261" w:name="_Toc124152095"/>
      <w:r>
        <w:rPr>
          <w:rStyle w:val="CharSectno"/>
        </w:rPr>
        <w:t>40</w:t>
      </w:r>
      <w:r>
        <w:t>.</w:t>
      </w:r>
      <w:r>
        <w:tab/>
        <w:t>Conditions on Ministerial exemptions</w:t>
      </w:r>
      <w:bookmarkEnd w:id="260"/>
      <w:bookmarkEnd w:id="261"/>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262" w:name="_Toc76545098"/>
      <w:bookmarkStart w:id="263" w:name="_Toc104950629"/>
      <w:bookmarkStart w:id="264" w:name="_Toc104954168"/>
      <w:bookmarkStart w:id="265" w:name="_Toc107623331"/>
      <w:bookmarkStart w:id="266" w:name="_Toc114630104"/>
      <w:bookmarkStart w:id="267" w:name="_Toc116706867"/>
      <w:bookmarkStart w:id="268" w:name="_Toc116707050"/>
      <w:bookmarkStart w:id="269" w:name="_Toc117656224"/>
      <w:bookmarkStart w:id="270" w:name="_Toc117656406"/>
      <w:bookmarkStart w:id="271" w:name="_Toc119233891"/>
      <w:bookmarkStart w:id="272" w:name="_Toc119730756"/>
      <w:bookmarkStart w:id="273" w:name="_Toc120943702"/>
      <w:bookmarkStart w:id="274" w:name="_Toc120948399"/>
      <w:bookmarkStart w:id="275" w:name="_Toc122742745"/>
      <w:bookmarkStart w:id="276" w:name="_Toc122837977"/>
      <w:bookmarkStart w:id="277" w:name="_Toc122839038"/>
      <w:bookmarkStart w:id="278" w:name="_Toc124152096"/>
      <w:bookmarkStart w:id="279" w:name="_Toc136332214"/>
      <w:r>
        <w:rPr>
          <w:rStyle w:val="CharPartNo"/>
        </w:rPr>
        <w:t>Part 6</w:t>
      </w:r>
      <w:r>
        <w:t> — </w:t>
      </w:r>
      <w:r>
        <w:rPr>
          <w:rStyle w:val="CharPartText"/>
        </w:rPr>
        <w:t>Director General’s exemptions under section 103B(2)</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3"/>
      </w:pPr>
      <w:bookmarkStart w:id="280" w:name="_Toc76545099"/>
      <w:bookmarkStart w:id="281" w:name="_Toc104950630"/>
      <w:bookmarkStart w:id="282" w:name="_Toc104954169"/>
      <w:bookmarkStart w:id="283" w:name="_Toc107623332"/>
      <w:bookmarkStart w:id="284" w:name="_Toc114630105"/>
      <w:bookmarkStart w:id="285" w:name="_Toc116706868"/>
      <w:bookmarkStart w:id="286" w:name="_Toc116707051"/>
      <w:bookmarkStart w:id="287" w:name="_Toc117656225"/>
      <w:bookmarkStart w:id="288" w:name="_Toc117656407"/>
      <w:bookmarkStart w:id="289" w:name="_Toc119233892"/>
      <w:bookmarkStart w:id="290" w:name="_Toc119730757"/>
      <w:bookmarkStart w:id="291" w:name="_Toc120943703"/>
      <w:bookmarkStart w:id="292" w:name="_Toc120948400"/>
      <w:bookmarkStart w:id="293" w:name="_Toc122742746"/>
      <w:bookmarkStart w:id="294" w:name="_Toc122837978"/>
      <w:bookmarkStart w:id="295" w:name="_Toc122839039"/>
      <w:bookmarkStart w:id="296" w:name="_Toc124152097"/>
      <w:bookmarkStart w:id="297" w:name="_Toc136332215"/>
      <w:r>
        <w:rPr>
          <w:rStyle w:val="CharDivNo"/>
        </w:rPr>
        <w:t>Division 1</w:t>
      </w:r>
      <w:r>
        <w:t> — </w:t>
      </w:r>
      <w:r>
        <w:rPr>
          <w:rStyle w:val="CharDivText"/>
        </w:rPr>
        <w:t>Giving, amending and revoking exemptions on application</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136332216"/>
      <w:bookmarkStart w:id="299" w:name="_Toc124152098"/>
      <w:r>
        <w:rPr>
          <w:rStyle w:val="CharSectno"/>
        </w:rPr>
        <w:t>41</w:t>
      </w:r>
      <w:r>
        <w:t>.</w:t>
      </w:r>
      <w:r>
        <w:tab/>
        <w:t>Director General’s exemptions</w:t>
      </w:r>
      <w:bookmarkEnd w:id="298"/>
      <w:bookmarkEnd w:id="299"/>
    </w:p>
    <w:p>
      <w:pPr>
        <w:pStyle w:val="Subsection"/>
      </w:pPr>
      <w:r>
        <w:tab/>
        <w:t>(1)</w:t>
      </w:r>
      <w:r>
        <w:tab/>
        <w:t>For the purposes of section 103B(2)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Heading5"/>
      </w:pPr>
      <w:bookmarkStart w:id="300" w:name="_Toc136332217"/>
      <w:bookmarkStart w:id="301" w:name="_Toc124152099"/>
      <w:r>
        <w:rPr>
          <w:rStyle w:val="CharSectno"/>
        </w:rPr>
        <w:t>42</w:t>
      </w:r>
      <w:r>
        <w:t>.</w:t>
      </w:r>
      <w:r>
        <w:tab/>
        <w:t>Applications for exemption, amendment or revocation</w:t>
      </w:r>
      <w:bookmarkEnd w:id="300"/>
      <w:bookmarkEnd w:id="301"/>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be accompanied by a fee of $50.</w:t>
      </w:r>
    </w:p>
    <w:p>
      <w:pPr>
        <w:pStyle w:val="Subsection"/>
      </w:pPr>
      <w:r>
        <w:tab/>
        <w:t>(3)</w:t>
      </w:r>
      <w:r>
        <w:tab/>
        <w:t>An application for a departmental exemption must —</w:t>
      </w:r>
    </w:p>
    <w:p>
      <w:pPr>
        <w:pStyle w:val="Indenta"/>
      </w:pPr>
      <w:r>
        <w:tab/>
        <w:t>(a)</w:t>
      </w:r>
      <w:r>
        <w:tab/>
        <w:t>state whether the exemption is sought for —</w:t>
      </w:r>
    </w:p>
    <w:p>
      <w:pPr>
        <w:pStyle w:val="Indenti"/>
      </w:pPr>
      <w:r>
        <w:tab/>
        <w:t>(i)</w:t>
      </w:r>
      <w:r>
        <w:tab/>
        <w:t>a particular motor vehicle or trailer;</w:t>
      </w:r>
    </w:p>
    <w:p>
      <w:pPr>
        <w:pStyle w:val="Indenti"/>
      </w:pPr>
      <w:r>
        <w:tab/>
        <w:t>(ii)</w:t>
      </w:r>
      <w:r>
        <w:tab/>
        <w:t>all vehicles for which the applicant is a responsible person;</w:t>
      </w:r>
    </w:p>
    <w:p>
      <w:pPr>
        <w:pStyle w:val="Indenti"/>
      </w:pPr>
      <w:r>
        <w:tab/>
        <w:t>(iii)</w:t>
      </w:r>
      <w:r>
        <w:tab/>
        <w:t>a particular combination; or</w:t>
      </w:r>
    </w:p>
    <w:p>
      <w:pPr>
        <w:pStyle w:val="Indenti"/>
      </w:pPr>
      <w:r>
        <w:tab/>
        <w:t>(iv)</w:t>
      </w:r>
      <w:r>
        <w:tab/>
        <w:t>all combinations for which the applicant is in charge;</w:t>
      </w:r>
    </w:p>
    <w:p>
      <w:pPr>
        <w:pStyle w:val="Indenta"/>
      </w:pPr>
      <w:r>
        <w:tab/>
        <w:t>(b)</w:t>
      </w:r>
      <w:r>
        <w:tab/>
        <w:t>for an exemption for a particular motor vehicle or trailer — describe the vehicle and the applicant’s interest in the vehicle;</w:t>
      </w:r>
    </w:p>
    <w:p>
      <w:pPr>
        <w:pStyle w:val="Indenta"/>
      </w:pPr>
      <w:r>
        <w:tab/>
        <w:t>(c)</w:t>
      </w:r>
      <w:r>
        <w:tab/>
        <w:t>for an exemption for a particular combination —describe each vehicle forming part of the combination and the applicant’s interest in the first or only motor vehicle forming part of the combination;</w:t>
      </w:r>
    </w:p>
    <w:p>
      <w:pPr>
        <w:pStyle w:val="Indenta"/>
      </w:pPr>
      <w:r>
        <w:tab/>
        <w:t>(d)</w:t>
      </w:r>
      <w:r>
        <w:tab/>
        <w:t>state the provision of these regulations or the Vehicle Standards from which exemption is sought; and</w:t>
      </w:r>
    </w:p>
    <w:p>
      <w:pPr>
        <w:pStyle w:val="Indenta"/>
      </w:pPr>
      <w:r>
        <w:tab/>
        <w:t>(e)</w:t>
      </w:r>
      <w:r>
        <w:tab/>
        <w:t>state clearly the exemption sought by the application and outline why the exemption should be given.</w:t>
      </w:r>
    </w:p>
    <w:p>
      <w:pPr>
        <w:pStyle w:val="Subsection"/>
      </w:pPr>
      <w:r>
        <w:tab/>
        <w:t>(4)</w:t>
      </w:r>
      <w:r>
        <w:tab/>
        <w:t>An application for a departmental exemption may state the period for which the exemption is sought and any conditions to which the exemption is sought to be subject.</w:t>
      </w:r>
    </w:p>
    <w:p>
      <w:pPr>
        <w:pStyle w:val="Subsection"/>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Subsection"/>
      </w:pPr>
      <w:r>
        <w:tab/>
        <w:t>(7)</w:t>
      </w:r>
      <w:r>
        <w:tab/>
        <w:t xml:space="preserve">The Director General may reduce, waive or refund the application fee referred to in subregulation (2)(d) if it would, in the opinion of the Director General, be unreasonable for the applicant to pay the fee taking into account — </w:t>
      </w:r>
    </w:p>
    <w:p>
      <w:pPr>
        <w:pStyle w:val="Indenta"/>
      </w:pPr>
      <w:r>
        <w:tab/>
        <w:t>(a)</w:t>
      </w:r>
      <w:r>
        <w:tab/>
        <w:t>the circumstance of the applicant;</w:t>
      </w:r>
    </w:p>
    <w:p>
      <w:pPr>
        <w:pStyle w:val="Indenta"/>
      </w:pPr>
      <w:r>
        <w:tab/>
        <w:t>(b)</w:t>
      </w:r>
      <w:r>
        <w:tab/>
        <w:t>the use or proposed use of the vehicle;</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Footnotesection"/>
      </w:pPr>
      <w:r>
        <w:tab/>
        <w:t>[Regulation 42 amended in Gazette 13 Dec 2005 p. 5989; 23 Dec 2005 p. 6282.]</w:t>
      </w:r>
    </w:p>
    <w:p>
      <w:pPr>
        <w:pStyle w:val="Heading5"/>
      </w:pPr>
      <w:bookmarkStart w:id="302" w:name="_Toc136332218"/>
      <w:bookmarkStart w:id="303" w:name="_Toc124152100"/>
      <w:r>
        <w:rPr>
          <w:rStyle w:val="CharSectno"/>
        </w:rPr>
        <w:t>43</w:t>
      </w:r>
      <w:r>
        <w:t>.</w:t>
      </w:r>
      <w:r>
        <w:tab/>
        <w:t>Making decisions on application</w:t>
      </w:r>
      <w:bookmarkEnd w:id="302"/>
      <w:bookmarkEnd w:id="303"/>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spacing w:before="120"/>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spacing w:before="120"/>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spacing w:before="120"/>
      </w:pPr>
      <w:r>
        <w:tab/>
        <w:t>(7)</w:t>
      </w:r>
      <w:r>
        <w:tab/>
        <w:t>The Director General may revoke a departmental exemption only if the applicant has a sufficient interest in seeking the revocation.</w:t>
      </w:r>
    </w:p>
    <w:p>
      <w:pPr>
        <w:pStyle w:val="Subsection"/>
        <w:spacing w:before="120"/>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5989-90; 23 Dec 2005 p. 6282.]</w:t>
      </w:r>
    </w:p>
    <w:p>
      <w:pPr>
        <w:pStyle w:val="Heading5"/>
      </w:pPr>
      <w:bookmarkStart w:id="304" w:name="_Toc136332219"/>
      <w:bookmarkStart w:id="305" w:name="_Toc124152101"/>
      <w:r>
        <w:rPr>
          <w:rStyle w:val="CharSectno"/>
        </w:rPr>
        <w:t>44</w:t>
      </w:r>
      <w:r>
        <w:t>.</w:t>
      </w:r>
      <w:r>
        <w:tab/>
        <w:t>Applicants to be told about decisions</w:t>
      </w:r>
      <w:bookmarkEnd w:id="304"/>
      <w:bookmarkEnd w:id="305"/>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306" w:name="_Toc136332220"/>
      <w:bookmarkStart w:id="307" w:name="_Toc124152102"/>
      <w:r>
        <w:rPr>
          <w:rStyle w:val="CharSectno"/>
        </w:rPr>
        <w:t>45</w:t>
      </w:r>
      <w:r>
        <w:t>.</w:t>
      </w:r>
      <w:r>
        <w:tab/>
        <w:t>When decisions take effect</w:t>
      </w:r>
      <w:bookmarkEnd w:id="306"/>
      <w:bookmarkEnd w:id="307"/>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308" w:name="_Toc136332221"/>
      <w:bookmarkStart w:id="309" w:name="_Toc124152103"/>
      <w:r>
        <w:rPr>
          <w:rStyle w:val="CharSectno"/>
        </w:rPr>
        <w:t>46</w:t>
      </w:r>
      <w:r>
        <w:t>.</w:t>
      </w:r>
      <w:r>
        <w:tab/>
        <w:t>Replacement exemptions</w:t>
      </w:r>
      <w:bookmarkEnd w:id="308"/>
      <w:bookmarkEnd w:id="309"/>
    </w:p>
    <w:p>
      <w:pPr>
        <w:pStyle w:val="Subsection"/>
      </w:pPr>
      <w:r>
        <w:tab/>
      </w:r>
      <w:r>
        <w:tab/>
        <w:t>If a departmental exemption is amended under this Division, the Director General must give a replacement exemption to the applicant.</w:t>
      </w:r>
    </w:p>
    <w:p>
      <w:pPr>
        <w:pStyle w:val="Heading3"/>
      </w:pPr>
      <w:bookmarkStart w:id="310" w:name="_Toc76545106"/>
      <w:bookmarkStart w:id="311" w:name="_Toc104950637"/>
      <w:bookmarkStart w:id="312" w:name="_Toc104954176"/>
      <w:bookmarkStart w:id="313" w:name="_Toc107623339"/>
      <w:bookmarkStart w:id="314" w:name="_Toc114630112"/>
      <w:bookmarkStart w:id="315" w:name="_Toc116706875"/>
      <w:bookmarkStart w:id="316" w:name="_Toc116707058"/>
      <w:bookmarkStart w:id="317" w:name="_Toc117656232"/>
      <w:bookmarkStart w:id="318" w:name="_Toc117656414"/>
      <w:bookmarkStart w:id="319" w:name="_Toc119233899"/>
      <w:bookmarkStart w:id="320" w:name="_Toc119730764"/>
      <w:bookmarkStart w:id="321" w:name="_Toc120943710"/>
      <w:bookmarkStart w:id="322" w:name="_Toc120948407"/>
      <w:bookmarkStart w:id="323" w:name="_Toc122742753"/>
      <w:bookmarkStart w:id="324" w:name="_Toc122837985"/>
      <w:bookmarkStart w:id="325" w:name="_Toc122839046"/>
      <w:bookmarkStart w:id="326" w:name="_Toc124152104"/>
      <w:bookmarkStart w:id="327" w:name="_Toc136332222"/>
      <w:r>
        <w:rPr>
          <w:rStyle w:val="CharDivNo"/>
        </w:rPr>
        <w:t>Division 2</w:t>
      </w:r>
      <w:r>
        <w:t> — </w:t>
      </w:r>
      <w:r>
        <w:rPr>
          <w:rStyle w:val="CharDivText"/>
        </w:rPr>
        <w:t>Provisions about departmental exemptions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136332223"/>
      <w:bookmarkStart w:id="329" w:name="_Toc124152105"/>
      <w:r>
        <w:rPr>
          <w:rStyle w:val="CharSectno"/>
        </w:rPr>
        <w:t>47</w:t>
      </w:r>
      <w:r>
        <w:t>.</w:t>
      </w:r>
      <w:r>
        <w:tab/>
        <w:t>Form of a departmental exemption</w:t>
      </w:r>
      <w:bookmarkEnd w:id="328"/>
      <w:bookmarkEnd w:id="329"/>
    </w:p>
    <w:p>
      <w:pPr>
        <w:pStyle w:val="Subsection"/>
      </w:pPr>
      <w:r>
        <w:tab/>
      </w:r>
      <w:r>
        <w:tab/>
        <w:t>A departmental exemption must be in writing.</w:t>
      </w:r>
    </w:p>
    <w:p>
      <w:pPr>
        <w:pStyle w:val="Heading5"/>
      </w:pPr>
      <w:bookmarkStart w:id="330" w:name="_Toc136332224"/>
      <w:bookmarkStart w:id="331" w:name="_Toc124152106"/>
      <w:r>
        <w:rPr>
          <w:rStyle w:val="CharSectno"/>
        </w:rPr>
        <w:t>48</w:t>
      </w:r>
      <w:r>
        <w:t>.</w:t>
      </w:r>
      <w:r>
        <w:tab/>
        <w:t>Effect of a departmental exemption</w:t>
      </w:r>
      <w:bookmarkEnd w:id="330"/>
      <w:bookmarkEnd w:id="331"/>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38 amended in Gazette 23 Dec 2003 p. 6282.]</w:t>
      </w:r>
    </w:p>
    <w:p>
      <w:pPr>
        <w:pStyle w:val="Heading5"/>
      </w:pPr>
      <w:bookmarkStart w:id="332" w:name="_Toc136332225"/>
      <w:bookmarkStart w:id="333" w:name="_Toc124152107"/>
      <w:r>
        <w:rPr>
          <w:rStyle w:val="CharSectno"/>
        </w:rPr>
        <w:t>49</w:t>
      </w:r>
      <w:r>
        <w:t>.</w:t>
      </w:r>
      <w:r>
        <w:tab/>
        <w:t>Duration of a departmental exemption</w:t>
      </w:r>
      <w:bookmarkEnd w:id="332"/>
      <w:bookmarkEnd w:id="333"/>
    </w:p>
    <w:p>
      <w:pPr>
        <w:pStyle w:val="Subsection"/>
      </w:pPr>
      <w:r>
        <w:tab/>
      </w:r>
      <w:r>
        <w:tab/>
        <w:t>A departmental exemption remains in force for the period stated in it.</w:t>
      </w:r>
    </w:p>
    <w:p>
      <w:pPr>
        <w:pStyle w:val="Heading5"/>
      </w:pPr>
      <w:bookmarkStart w:id="334" w:name="_Toc136332226"/>
      <w:bookmarkStart w:id="335" w:name="_Toc124152108"/>
      <w:r>
        <w:rPr>
          <w:rStyle w:val="CharSectno"/>
        </w:rPr>
        <w:t>50</w:t>
      </w:r>
      <w:r>
        <w:t>.</w:t>
      </w:r>
      <w:r>
        <w:tab/>
        <w:t>Conditional departmental exemptions</w:t>
      </w:r>
      <w:bookmarkEnd w:id="334"/>
      <w:bookmarkEnd w:id="335"/>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336" w:name="_Toc136332227"/>
      <w:bookmarkStart w:id="337" w:name="_Toc124152109"/>
      <w:r>
        <w:rPr>
          <w:rStyle w:val="CharSectno"/>
        </w:rPr>
        <w:t>51</w:t>
      </w:r>
      <w:r>
        <w:t>.</w:t>
      </w:r>
      <w:r>
        <w:tab/>
        <w:t>Replacement exemptions</w:t>
      </w:r>
      <w:bookmarkEnd w:id="336"/>
      <w:bookmarkEnd w:id="337"/>
    </w:p>
    <w:p>
      <w:pPr>
        <w:pStyle w:val="Subsection"/>
      </w:pPr>
      <w:r>
        <w:tab/>
      </w:r>
      <w:r>
        <w:tab/>
        <w:t>If the Director General is satisfied that a departmental exemption has been defaced, destroyed, lost or stolen, the Director General must give a replacement exemption to the exemption holder on payment of a fee of $25.</w:t>
      </w:r>
    </w:p>
    <w:p>
      <w:pPr>
        <w:pStyle w:val="Heading5"/>
      </w:pPr>
      <w:bookmarkStart w:id="338" w:name="_Toc136332228"/>
      <w:bookmarkStart w:id="339" w:name="_Toc124152110"/>
      <w:r>
        <w:rPr>
          <w:rStyle w:val="CharSectno"/>
        </w:rPr>
        <w:t>52</w:t>
      </w:r>
      <w:r>
        <w:t>.</w:t>
      </w:r>
      <w:r>
        <w:tab/>
        <w:t>Driver to produce exemption on request</w:t>
      </w:r>
      <w:bookmarkEnd w:id="338"/>
      <w:bookmarkEnd w:id="339"/>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340" w:name="_Toc76545113"/>
      <w:bookmarkStart w:id="341" w:name="_Toc104950644"/>
      <w:bookmarkStart w:id="342" w:name="_Toc104954183"/>
      <w:bookmarkStart w:id="343" w:name="_Toc107623346"/>
      <w:bookmarkStart w:id="344" w:name="_Toc114630119"/>
      <w:bookmarkStart w:id="345" w:name="_Toc116706882"/>
      <w:bookmarkStart w:id="346" w:name="_Toc116707065"/>
      <w:bookmarkStart w:id="347" w:name="_Toc117656239"/>
      <w:bookmarkStart w:id="348" w:name="_Toc117656421"/>
      <w:bookmarkStart w:id="349" w:name="_Toc119233906"/>
      <w:bookmarkStart w:id="350" w:name="_Toc119730771"/>
      <w:bookmarkStart w:id="351" w:name="_Toc120943717"/>
      <w:bookmarkStart w:id="352" w:name="_Toc120948414"/>
      <w:bookmarkStart w:id="353" w:name="_Toc122742760"/>
      <w:bookmarkStart w:id="354" w:name="_Toc122837992"/>
      <w:bookmarkStart w:id="355" w:name="_Toc122839053"/>
      <w:bookmarkStart w:id="356" w:name="_Toc124152111"/>
      <w:bookmarkStart w:id="357" w:name="_Toc136332229"/>
      <w:r>
        <w:rPr>
          <w:rStyle w:val="CharDivNo"/>
        </w:rPr>
        <w:t>Division 3</w:t>
      </w:r>
      <w:r>
        <w:t> — </w:t>
      </w:r>
      <w:r>
        <w:rPr>
          <w:rStyle w:val="CharDivText"/>
        </w:rPr>
        <w:t>Amending and revoking departmental exemptions other than on application</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136332230"/>
      <w:bookmarkStart w:id="359" w:name="_Toc124152112"/>
      <w:r>
        <w:rPr>
          <w:rStyle w:val="CharSectno"/>
        </w:rPr>
        <w:t>53</w:t>
      </w:r>
      <w:r>
        <w:t>.</w:t>
      </w:r>
      <w:r>
        <w:tab/>
        <w:t>Grounds for amending a departmental exemption</w:t>
      </w:r>
      <w:bookmarkEnd w:id="358"/>
      <w:bookmarkEnd w:id="359"/>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360" w:name="_Toc136332231"/>
      <w:bookmarkStart w:id="361" w:name="_Toc124152113"/>
      <w:r>
        <w:rPr>
          <w:rStyle w:val="CharSectno"/>
        </w:rPr>
        <w:t>54</w:t>
      </w:r>
      <w:r>
        <w:t>.</w:t>
      </w:r>
      <w:r>
        <w:tab/>
        <w:t>Grounds for revoking a departmental exemption</w:t>
      </w:r>
      <w:bookmarkEnd w:id="360"/>
      <w:bookmarkEnd w:id="361"/>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362" w:name="_Toc136332232"/>
      <w:bookmarkStart w:id="363" w:name="_Toc124152114"/>
      <w:r>
        <w:rPr>
          <w:rStyle w:val="CharSectno"/>
        </w:rPr>
        <w:t>55</w:t>
      </w:r>
      <w:r>
        <w:t>.</w:t>
      </w:r>
      <w:r>
        <w:tab/>
        <w:t>Amending or revoking a departmental exemption in urgent circumstances</w:t>
      </w:r>
      <w:bookmarkEnd w:id="362"/>
      <w:bookmarkEnd w:id="363"/>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364" w:name="_Toc136332233"/>
      <w:bookmarkStart w:id="365" w:name="_Toc124152115"/>
      <w:r>
        <w:rPr>
          <w:rStyle w:val="CharSectno"/>
        </w:rPr>
        <w:t>56</w:t>
      </w:r>
      <w:r>
        <w:t>.</w:t>
      </w:r>
      <w:r>
        <w:tab/>
        <w:t>Amending or revoking a departmental exemption other than in urgent circumstances</w:t>
      </w:r>
      <w:bookmarkEnd w:id="364"/>
      <w:bookmarkEnd w:id="365"/>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b/>
        </w:rPr>
        <w:t>“</w:t>
      </w:r>
      <w:r>
        <w:rPr>
          <w:rStyle w:val="CharDefText"/>
        </w:rPr>
        <w:t>proposed action</w:t>
      </w:r>
      <w:r>
        <w:rPr>
          <w:b/>
        </w:rPr>
        <w:t>”</w:t>
      </w:r>
      <w:r>
        <w:t>).</w:t>
      </w:r>
    </w:p>
    <w:p>
      <w:pPr>
        <w:pStyle w:val="Subsection"/>
        <w:spacing w:before="120"/>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spacing w:before="120"/>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spacing w:before="160"/>
      </w:pPr>
      <w:bookmarkStart w:id="366" w:name="_Toc136332234"/>
      <w:bookmarkStart w:id="367" w:name="_Toc124152116"/>
      <w:r>
        <w:rPr>
          <w:rStyle w:val="CharSectno"/>
        </w:rPr>
        <w:t>57</w:t>
      </w:r>
      <w:r>
        <w:t>.</w:t>
      </w:r>
      <w:r>
        <w:tab/>
        <w:t>When amendment or revocation takes effect</w:t>
      </w:r>
      <w:bookmarkEnd w:id="366"/>
      <w:bookmarkEnd w:id="367"/>
    </w:p>
    <w:p>
      <w:pPr>
        <w:pStyle w:val="Subsection"/>
        <w:spacing w:before="120"/>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368" w:name="_Toc136332235"/>
      <w:bookmarkStart w:id="369" w:name="_Toc124152117"/>
      <w:r>
        <w:rPr>
          <w:rStyle w:val="CharSectno"/>
        </w:rPr>
        <w:t>58</w:t>
      </w:r>
      <w:r>
        <w:t>.</w:t>
      </w:r>
      <w:r>
        <w:tab/>
        <w:t>Return of an amended or revoked departmental exemption</w:t>
      </w:r>
      <w:bookmarkEnd w:id="368"/>
      <w:bookmarkEnd w:id="369"/>
    </w:p>
    <w:p>
      <w:pPr>
        <w:pStyle w:val="Subsection"/>
        <w:spacing w:before="120"/>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spacing w:before="120"/>
      </w:pPr>
      <w:r>
        <w:tab/>
        <w:t>(2)</w:t>
      </w:r>
      <w:r>
        <w:tab/>
        <w:t>The time stated in the notice must be a reasonable time (of at least 7 days) after the notice is given to the exemption holder.</w:t>
      </w:r>
    </w:p>
    <w:p>
      <w:pPr>
        <w:pStyle w:val="Subsection"/>
        <w:spacing w:before="120"/>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370" w:name="_Toc76545120"/>
      <w:bookmarkStart w:id="371" w:name="_Toc104950651"/>
      <w:bookmarkStart w:id="372" w:name="_Toc104954190"/>
      <w:bookmarkStart w:id="373" w:name="_Toc107623353"/>
      <w:bookmarkStart w:id="374" w:name="_Toc114630126"/>
      <w:bookmarkStart w:id="375" w:name="_Toc116706889"/>
      <w:bookmarkStart w:id="376" w:name="_Toc116707072"/>
      <w:bookmarkStart w:id="377" w:name="_Toc117656246"/>
      <w:bookmarkStart w:id="378" w:name="_Toc117656428"/>
      <w:bookmarkStart w:id="379" w:name="_Toc119233913"/>
      <w:bookmarkStart w:id="380" w:name="_Toc119730778"/>
      <w:bookmarkStart w:id="381" w:name="_Toc120943724"/>
      <w:bookmarkStart w:id="382" w:name="_Toc120948421"/>
      <w:bookmarkStart w:id="383" w:name="_Toc122742767"/>
      <w:bookmarkStart w:id="384" w:name="_Toc122837999"/>
      <w:bookmarkStart w:id="385" w:name="_Toc122839060"/>
      <w:bookmarkStart w:id="386" w:name="_Toc124152118"/>
      <w:bookmarkStart w:id="387" w:name="_Toc136332236"/>
      <w:r>
        <w:rPr>
          <w:rStyle w:val="CharDivNo"/>
        </w:rPr>
        <w:t>Division 4</w:t>
      </w:r>
      <w:r>
        <w:t> — </w:t>
      </w:r>
      <w:r>
        <w:rPr>
          <w:rStyle w:val="CharDivText"/>
        </w:rPr>
        <w:t>Reconsideration and review of decisions about departmental exemptions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136332237"/>
      <w:bookmarkStart w:id="389" w:name="_Toc124152119"/>
      <w:r>
        <w:rPr>
          <w:rStyle w:val="CharSectno"/>
        </w:rPr>
        <w:t>59</w:t>
      </w:r>
      <w:r>
        <w:t>.</w:t>
      </w:r>
      <w:r>
        <w:tab/>
        <w:t>Decisions may be reconsidered</w:t>
      </w:r>
      <w:bookmarkEnd w:id="388"/>
      <w:bookmarkEnd w:id="389"/>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b/>
        </w:rPr>
        <w:t>“</w:t>
      </w:r>
      <w:r>
        <w:rPr>
          <w:rStyle w:val="CharDefText"/>
        </w:rPr>
        <w:t>initial decision</w:t>
      </w:r>
      <w:r>
        <w:rPr>
          <w:b/>
        </w:rPr>
        <w:t>”</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Local Court</w:t>
      </w:r>
      <w:r>
        <w:rPr>
          <w:vertAlign w:val="superscript"/>
        </w:rPr>
        <w:t> 2</w:t>
      </w:r>
      <w:r>
        <w:t xml:space="preserve"> to have the decision reviewed by the Local Court</w:t>
      </w:r>
      <w:r>
        <w:rPr>
          <w:vertAlign w:val="superscript"/>
        </w:rPr>
        <w:t> 2</w:t>
      </w:r>
      <w:r>
        <w:t>.</w:t>
      </w:r>
    </w:p>
    <w:p>
      <w:pPr>
        <w:pStyle w:val="Heading5"/>
      </w:pPr>
      <w:bookmarkStart w:id="390" w:name="_Toc136332238"/>
      <w:bookmarkStart w:id="391" w:name="_Toc124152120"/>
      <w:r>
        <w:rPr>
          <w:rStyle w:val="CharSectno"/>
        </w:rPr>
        <w:t>60</w:t>
      </w:r>
      <w:r>
        <w:t>.</w:t>
      </w:r>
      <w:r>
        <w:tab/>
        <w:t>Review of decisions</w:t>
      </w:r>
      <w:bookmarkEnd w:id="390"/>
      <w:bookmarkEnd w:id="391"/>
    </w:p>
    <w:p>
      <w:pPr>
        <w:pStyle w:val="Subsection"/>
      </w:pPr>
      <w:r>
        <w:tab/>
      </w:r>
      <w:r>
        <w:tab/>
        <w:t>Application may be made to the Local Court</w:t>
      </w:r>
      <w:r>
        <w:rPr>
          <w:vertAlign w:val="superscript"/>
        </w:rPr>
        <w:t> 2</w:t>
      </w:r>
      <w:r>
        <w:t xml:space="preserve"> for review of a decision that has been reconsidered by the Director General under regulation 59.</w:t>
      </w:r>
    </w:p>
    <w:p>
      <w:pPr>
        <w:pStyle w:val="Heading2"/>
      </w:pPr>
      <w:bookmarkStart w:id="392" w:name="_Toc76545123"/>
      <w:bookmarkStart w:id="393" w:name="_Toc104950654"/>
      <w:bookmarkStart w:id="394" w:name="_Toc104954193"/>
      <w:bookmarkStart w:id="395" w:name="_Toc107623356"/>
      <w:bookmarkStart w:id="396" w:name="_Toc114630129"/>
      <w:bookmarkStart w:id="397" w:name="_Toc116706892"/>
      <w:bookmarkStart w:id="398" w:name="_Toc116707075"/>
      <w:bookmarkStart w:id="399" w:name="_Toc117656249"/>
      <w:bookmarkStart w:id="400" w:name="_Toc117656431"/>
      <w:bookmarkStart w:id="401" w:name="_Toc119233916"/>
      <w:bookmarkStart w:id="402" w:name="_Toc119730781"/>
      <w:bookmarkStart w:id="403" w:name="_Toc120943727"/>
      <w:bookmarkStart w:id="404" w:name="_Toc120948424"/>
      <w:bookmarkStart w:id="405" w:name="_Toc122742770"/>
      <w:bookmarkStart w:id="406" w:name="_Toc122838002"/>
      <w:bookmarkStart w:id="407" w:name="_Toc122839063"/>
      <w:bookmarkStart w:id="408" w:name="_Toc124152121"/>
      <w:bookmarkStart w:id="409" w:name="_Toc136332239"/>
      <w:r>
        <w:rPr>
          <w:rStyle w:val="CharPartNo"/>
        </w:rPr>
        <w:t>Part 7</w:t>
      </w:r>
      <w:r>
        <w:rPr>
          <w:rStyle w:val="CharDivNo"/>
        </w:rPr>
        <w:t xml:space="preserve"> </w:t>
      </w:r>
      <w:r>
        <w:t>—</w:t>
      </w:r>
      <w:r>
        <w:rPr>
          <w:rStyle w:val="CharDivText"/>
        </w:rPr>
        <w:t xml:space="preserve"> </w:t>
      </w:r>
      <w:r>
        <w:rPr>
          <w:rStyle w:val="CharPartText"/>
        </w:rPr>
        <w:t>Ordering vehicles off the road</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136332240"/>
      <w:bookmarkStart w:id="411" w:name="_Toc124152122"/>
      <w:r>
        <w:rPr>
          <w:rStyle w:val="CharSectno"/>
        </w:rPr>
        <w:t>61</w:t>
      </w:r>
      <w:r>
        <w:t>.</w:t>
      </w:r>
      <w:r>
        <w:tab/>
        <w:t>Compliance notices</w:t>
      </w:r>
      <w:bookmarkEnd w:id="410"/>
      <w:bookmarkEnd w:id="411"/>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412" w:name="_Toc136332241"/>
      <w:bookmarkStart w:id="413" w:name="_Toc124152123"/>
      <w:r>
        <w:rPr>
          <w:rStyle w:val="CharSectno"/>
        </w:rPr>
        <w:t>62</w:t>
      </w:r>
      <w:r>
        <w:t>.</w:t>
      </w:r>
      <w:r>
        <w:tab/>
        <w:t>Police inspection powers</w:t>
      </w:r>
      <w:bookmarkEnd w:id="412"/>
      <w:bookmarkEnd w:id="413"/>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414" w:name="_Toc136332242"/>
      <w:bookmarkStart w:id="415" w:name="_Toc124152124"/>
      <w:r>
        <w:rPr>
          <w:rStyle w:val="CharSectno"/>
        </w:rPr>
        <w:t>63</w:t>
      </w:r>
      <w:r>
        <w:t>.</w:t>
      </w:r>
      <w:r>
        <w:tab/>
        <w:t>Form of compliance notice</w:t>
      </w:r>
      <w:bookmarkEnd w:id="414"/>
      <w:bookmarkEnd w:id="415"/>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spacing w:before="240"/>
      </w:pPr>
      <w:bookmarkStart w:id="416" w:name="_Toc136332243"/>
      <w:bookmarkStart w:id="417" w:name="_Toc124152125"/>
      <w:r>
        <w:rPr>
          <w:rStyle w:val="CharSectno"/>
        </w:rPr>
        <w:t>64</w:t>
      </w:r>
      <w:r>
        <w:t>.</w:t>
      </w:r>
      <w:r>
        <w:tab/>
        <w:t>Service of compliance notices</w:t>
      </w:r>
      <w:bookmarkEnd w:id="416"/>
      <w:bookmarkEnd w:id="417"/>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418" w:name="_Toc136332244"/>
      <w:bookmarkStart w:id="419" w:name="_Toc124152126"/>
      <w:r>
        <w:rPr>
          <w:rStyle w:val="CharSectno"/>
        </w:rPr>
        <w:t>65</w:t>
      </w:r>
      <w:r>
        <w:t>.</w:t>
      </w:r>
      <w:r>
        <w:tab/>
        <w:t>Duration of compliance notice</w:t>
      </w:r>
      <w:bookmarkEnd w:id="418"/>
      <w:bookmarkEnd w:id="419"/>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t>“</w:t>
      </w:r>
      <w:r>
        <w:rPr>
          <w:rStyle w:val="CharDefText"/>
        </w:rPr>
        <w:t>authorised police officer</w:t>
      </w:r>
      <w:r>
        <w:rPr>
          <w:b/>
        </w:rPr>
        <w:t>”</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5990-1.]</w:t>
      </w:r>
    </w:p>
    <w:p>
      <w:pPr>
        <w:pStyle w:val="Heading5"/>
        <w:spacing w:before="240"/>
      </w:pPr>
      <w:bookmarkStart w:id="420" w:name="_Toc136332245"/>
      <w:bookmarkStart w:id="421" w:name="_Toc124152127"/>
      <w:r>
        <w:rPr>
          <w:rStyle w:val="CharSectno"/>
        </w:rPr>
        <w:t>66</w:t>
      </w:r>
      <w:r>
        <w:t>.</w:t>
      </w:r>
      <w:r>
        <w:tab/>
        <w:t>Contravention of compliance notice or direction</w:t>
      </w:r>
      <w:bookmarkEnd w:id="420"/>
      <w:bookmarkEnd w:id="421"/>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spacing w:before="100"/>
      </w:pPr>
      <w:r>
        <w:tab/>
        <w:t>(a)</w:t>
      </w:r>
      <w:r>
        <w:tab/>
        <w:t>for a first offence —</w:t>
      </w:r>
    </w:p>
    <w:p>
      <w:pPr>
        <w:pStyle w:val="Pensubpara"/>
        <w:spacing w:before="100"/>
      </w:pPr>
      <w:r>
        <w:tab/>
        <w:t>(i)</w:t>
      </w:r>
      <w:r>
        <w:tab/>
        <w:t>minimum penalty: 12 PU;</w:t>
      </w:r>
    </w:p>
    <w:p>
      <w:pPr>
        <w:pStyle w:val="Pensubpara"/>
        <w:spacing w:before="100"/>
      </w:pPr>
      <w:r>
        <w:tab/>
        <w:t>(ii)</w:t>
      </w:r>
      <w:r>
        <w:tab/>
        <w:t>maximum penalty: 24 PU;</w:t>
      </w:r>
    </w:p>
    <w:p>
      <w:pPr>
        <w:pStyle w:val="Penpara"/>
        <w:keepNext/>
        <w:spacing w:before="100"/>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422" w:name="_Toc136332246"/>
      <w:bookmarkStart w:id="423" w:name="_Toc124152128"/>
      <w:r>
        <w:rPr>
          <w:rStyle w:val="CharSectno"/>
        </w:rPr>
        <w:t>67</w:t>
      </w:r>
      <w:r>
        <w:t>.</w:t>
      </w:r>
      <w:r>
        <w:tab/>
        <w:t>Exercise of powers under this Part</w:t>
      </w:r>
      <w:bookmarkEnd w:id="422"/>
      <w:bookmarkEnd w:id="423"/>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424" w:name="_Toc76545131"/>
      <w:bookmarkStart w:id="425" w:name="_Toc104950662"/>
      <w:bookmarkStart w:id="426" w:name="_Toc104954201"/>
      <w:bookmarkStart w:id="427" w:name="_Toc107623364"/>
      <w:bookmarkStart w:id="428" w:name="_Toc114630137"/>
      <w:bookmarkStart w:id="429" w:name="_Toc116706900"/>
      <w:bookmarkStart w:id="430" w:name="_Toc116707083"/>
      <w:bookmarkStart w:id="431" w:name="_Toc117656257"/>
      <w:bookmarkStart w:id="432" w:name="_Toc117656439"/>
      <w:bookmarkStart w:id="433" w:name="_Toc119233924"/>
      <w:bookmarkStart w:id="434" w:name="_Toc119730789"/>
      <w:bookmarkStart w:id="435" w:name="_Toc120943735"/>
      <w:bookmarkStart w:id="436" w:name="_Toc120948432"/>
      <w:bookmarkStart w:id="437" w:name="_Toc122742778"/>
      <w:bookmarkStart w:id="438" w:name="_Toc122838010"/>
      <w:bookmarkStart w:id="439" w:name="_Toc122839071"/>
      <w:bookmarkStart w:id="440" w:name="_Toc124152129"/>
      <w:bookmarkStart w:id="441" w:name="_Toc136332247"/>
      <w:r>
        <w:rPr>
          <w:rStyle w:val="CharPartNo"/>
        </w:rPr>
        <w:t>Part 8</w:t>
      </w:r>
      <w:r>
        <w:rPr>
          <w:rStyle w:val="CharDivNo"/>
        </w:rPr>
        <w:t xml:space="preserve"> </w:t>
      </w:r>
      <w:r>
        <w:t>—</w:t>
      </w:r>
      <w:r>
        <w:rPr>
          <w:rStyle w:val="CharDivText"/>
        </w:rPr>
        <w:t xml:space="preserve"> </w:t>
      </w:r>
      <w:r>
        <w:rPr>
          <w:rStyle w:val="CharPartText"/>
        </w:rPr>
        <w:t>Miscellaneous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136332248"/>
      <w:bookmarkStart w:id="443" w:name="_Toc124152130"/>
      <w:r>
        <w:rPr>
          <w:rStyle w:val="CharSectno"/>
        </w:rPr>
        <w:t>68</w:t>
      </w:r>
      <w:r>
        <w:t>.</w:t>
      </w:r>
      <w:r>
        <w:tab/>
        <w:t>Tampering with a speed limiting device</w:t>
      </w:r>
      <w:bookmarkEnd w:id="442"/>
      <w:bookmarkEnd w:id="443"/>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444" w:name="_Toc136332249"/>
      <w:bookmarkStart w:id="445" w:name="_Toc124152131"/>
      <w:r>
        <w:rPr>
          <w:rStyle w:val="CharSectno"/>
        </w:rPr>
        <w:t>69</w:t>
      </w:r>
      <w:r>
        <w:t>.</w:t>
      </w:r>
      <w:r>
        <w:tab/>
        <w:t>Alteration of vehicles</w:t>
      </w:r>
      <w:bookmarkEnd w:id="444"/>
      <w:bookmarkEnd w:id="445"/>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120" w:line="240" w:lineRule="auto"/>
              <w:rPr>
                <w:b/>
              </w:rPr>
            </w:pPr>
          </w:p>
        </w:tc>
        <w:tc>
          <w:tcPr>
            <w:tcW w:w="5528" w:type="dxa"/>
            <w:tcBorders>
              <w:top w:val="single" w:sz="4" w:space="0" w:color="auto"/>
              <w:bottom w:val="single" w:sz="4" w:space="0" w:color="auto"/>
            </w:tcBorders>
          </w:tcPr>
          <w:p>
            <w:pPr>
              <w:pStyle w:val="Table"/>
              <w:spacing w:before="120" w:line="240" w:lineRule="auto"/>
              <w:ind w:left="34"/>
              <w:rPr>
                <w:b/>
              </w:rPr>
            </w:pPr>
            <w:r>
              <w:rPr>
                <w:b/>
              </w:rPr>
              <w:t>Alteration</w:t>
            </w:r>
          </w:p>
        </w:tc>
      </w:tr>
      <w:tr>
        <w:tc>
          <w:tcPr>
            <w:tcW w:w="567" w:type="dxa"/>
            <w:tcBorders>
              <w:top w:val="single" w:sz="4" w:space="0" w:color="auto"/>
            </w:tcBorders>
          </w:tcPr>
          <w:p>
            <w:pPr>
              <w:pStyle w:val="Table"/>
              <w:spacing w:line="240" w:lineRule="auto"/>
            </w:pPr>
            <w:r>
              <w:t>1.</w:t>
            </w:r>
          </w:p>
        </w:tc>
        <w:tc>
          <w:tcPr>
            <w:tcW w:w="5528" w:type="dxa"/>
            <w:tcBorders>
              <w:top w:val="single" w:sz="4" w:space="0" w:color="auto"/>
            </w:tcBorders>
          </w:tcPr>
          <w:p>
            <w:pPr>
              <w:pStyle w:val="Table"/>
              <w:spacing w:line="240" w:lineRule="auto"/>
            </w:pPr>
            <w:r>
              <w:t>Fitting an engine of greater displacement volume than an engine that was available as an option for the vehicle with the same braking system.</w:t>
            </w:r>
          </w:p>
        </w:tc>
      </w:tr>
      <w:tr>
        <w:tc>
          <w:tcPr>
            <w:tcW w:w="567" w:type="dxa"/>
          </w:tcPr>
          <w:p>
            <w:pPr>
              <w:pStyle w:val="Table"/>
              <w:spacing w:line="240" w:lineRule="auto"/>
            </w:pPr>
            <w:r>
              <w:t>2.</w:t>
            </w:r>
          </w:p>
        </w:tc>
        <w:tc>
          <w:tcPr>
            <w:tcW w:w="5528" w:type="dxa"/>
          </w:tcPr>
          <w:p>
            <w:pPr>
              <w:pStyle w:val="Table"/>
              <w:spacing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line="240" w:lineRule="auto"/>
            </w:pPr>
            <w:r>
              <w:t>3.</w:t>
            </w:r>
          </w:p>
        </w:tc>
        <w:tc>
          <w:tcPr>
            <w:tcW w:w="5528" w:type="dxa"/>
          </w:tcPr>
          <w:p>
            <w:pPr>
              <w:pStyle w:val="Table"/>
              <w:spacing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before="120" w:line="240" w:lineRule="auto"/>
            </w:pPr>
            <w:r>
              <w:t>4.</w:t>
            </w:r>
          </w:p>
        </w:tc>
        <w:tc>
          <w:tcPr>
            <w:tcW w:w="5528" w:type="dxa"/>
          </w:tcPr>
          <w:p>
            <w:pPr>
              <w:pStyle w:val="Table"/>
              <w:spacing w:before="120" w:line="240" w:lineRule="auto"/>
            </w:pPr>
            <w:r>
              <w:t>Widening the wheel track of front or rear wheels by more than 25 mm beyond the maximum specified by the vehicle manufacturer.</w:t>
            </w:r>
          </w:p>
        </w:tc>
      </w:tr>
      <w:tr>
        <w:tc>
          <w:tcPr>
            <w:tcW w:w="567" w:type="dxa"/>
          </w:tcPr>
          <w:p>
            <w:pPr>
              <w:pStyle w:val="Table"/>
              <w:spacing w:before="120" w:line="240" w:lineRule="auto"/>
            </w:pPr>
            <w:r>
              <w:t>5.</w:t>
            </w:r>
          </w:p>
        </w:tc>
        <w:tc>
          <w:tcPr>
            <w:tcW w:w="5528" w:type="dxa"/>
          </w:tcPr>
          <w:p>
            <w:pPr>
              <w:pStyle w:val="Table"/>
              <w:spacing w:before="120" w:line="240" w:lineRule="auto"/>
            </w:pPr>
            <w:r>
              <w:t>Fitting spacers between wheels and hubs additional to any provided by the vehicle manufacturer.</w:t>
            </w:r>
          </w:p>
        </w:tc>
      </w:tr>
      <w:tr>
        <w:tc>
          <w:tcPr>
            <w:tcW w:w="567" w:type="dxa"/>
          </w:tcPr>
          <w:p>
            <w:pPr>
              <w:pStyle w:val="Table"/>
              <w:spacing w:before="120" w:line="240" w:lineRule="auto"/>
            </w:pPr>
            <w:r>
              <w:t>6.</w:t>
            </w:r>
          </w:p>
        </w:tc>
        <w:tc>
          <w:tcPr>
            <w:tcW w:w="5528" w:type="dxa"/>
          </w:tcPr>
          <w:p>
            <w:pPr>
              <w:pStyle w:val="Table"/>
              <w:spacing w:before="12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before="120" w:line="240" w:lineRule="auto"/>
            </w:pPr>
            <w:r>
              <w:t>7.</w:t>
            </w:r>
          </w:p>
        </w:tc>
        <w:tc>
          <w:tcPr>
            <w:tcW w:w="5528" w:type="dxa"/>
          </w:tcPr>
          <w:p>
            <w:pPr>
              <w:pStyle w:val="Table"/>
              <w:spacing w:before="120" w:line="240" w:lineRule="auto"/>
            </w:pPr>
            <w:r>
              <w:t>Fitting tyres other than those appropriate to the wheel rim as specified in the Tyre and Rim Standards Manual issued by the Tyre and Rim Association.</w:t>
            </w:r>
          </w:p>
        </w:tc>
      </w:tr>
      <w:tr>
        <w:tc>
          <w:tcPr>
            <w:tcW w:w="567" w:type="dxa"/>
          </w:tcPr>
          <w:p>
            <w:pPr>
              <w:pStyle w:val="Table"/>
              <w:spacing w:before="120" w:line="240" w:lineRule="auto"/>
            </w:pPr>
            <w:r>
              <w:t>8.</w:t>
            </w:r>
          </w:p>
        </w:tc>
        <w:tc>
          <w:tcPr>
            <w:tcW w:w="5528" w:type="dxa"/>
          </w:tcPr>
          <w:p>
            <w:pPr>
              <w:pStyle w:val="Table"/>
              <w:spacing w:before="12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before="120" w:line="240" w:lineRule="auto"/>
            </w:pPr>
            <w:r>
              <w:t>9.</w:t>
            </w:r>
          </w:p>
        </w:tc>
        <w:tc>
          <w:tcPr>
            <w:tcW w:w="5528" w:type="dxa"/>
          </w:tcPr>
          <w:p>
            <w:pPr>
              <w:pStyle w:val="Table"/>
              <w:spacing w:before="12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before="120" w:line="240" w:lineRule="auto"/>
            </w:pPr>
            <w:r>
              <w:t>10.</w:t>
            </w:r>
          </w:p>
        </w:tc>
        <w:tc>
          <w:tcPr>
            <w:tcW w:w="5528" w:type="dxa"/>
          </w:tcPr>
          <w:p>
            <w:pPr>
              <w:pStyle w:val="Table"/>
              <w:spacing w:before="120" w:line="240" w:lineRule="auto"/>
            </w:pPr>
            <w:r>
              <w:t>Welding or heating any axle, stub axle, steering arm or steering knuckle support.</w:t>
            </w:r>
          </w:p>
        </w:tc>
      </w:tr>
      <w:tr>
        <w:tc>
          <w:tcPr>
            <w:tcW w:w="567" w:type="dxa"/>
          </w:tcPr>
          <w:p>
            <w:pPr>
              <w:pStyle w:val="Table"/>
              <w:spacing w:before="120" w:line="240" w:lineRule="auto"/>
            </w:pPr>
            <w:r>
              <w:t>11.</w:t>
            </w:r>
          </w:p>
        </w:tc>
        <w:tc>
          <w:tcPr>
            <w:tcW w:w="5528" w:type="dxa"/>
          </w:tcPr>
          <w:p>
            <w:pPr>
              <w:pStyle w:val="Table"/>
              <w:spacing w:before="120" w:line="240" w:lineRule="auto"/>
            </w:pPr>
            <w:r>
              <w:t>Lengthening or shortening the chassis frame, or the body structure in the case of a vehicle of mono (chassis</w:t>
            </w:r>
            <w:r>
              <w:noBreakHyphen/>
              <w:t>less) construction.</w:t>
            </w:r>
          </w:p>
        </w:tc>
      </w:tr>
    </w:tbl>
    <w:p>
      <w:pPr>
        <w:pStyle w:val="Subsection"/>
        <w:keepNext/>
      </w:pPr>
      <w:r>
        <w:tab/>
        <w:t>(2)</w:t>
      </w:r>
      <w:r>
        <w:tab/>
        <w:t>A person must not, without the approval of the Director General, alter a motor vehicle or trailer not being a car or a derivative of a car from —</w:t>
      </w:r>
    </w:p>
    <w:p>
      <w:pPr>
        <w:pStyle w:val="Indenta"/>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spacing w:before="200"/>
      </w:pPr>
      <w:r>
        <w:tab/>
        <w:t>(3)</w:t>
      </w:r>
      <w:r>
        <w:tab/>
        <w:t>Where the Director General approves of any modifications under subregulation (1) or (2), a vehicle modification permit is to be issued by the Director General, upon receipt by the Director General of a fee of $31.00.</w:t>
      </w:r>
    </w:p>
    <w:p>
      <w:pPr>
        <w:pStyle w:val="Subsection"/>
        <w:spacing w:before="200"/>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spacing w:before="200"/>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spacing w:before="200"/>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spacing w:before="200"/>
      </w:pPr>
      <w:r>
        <w:tab/>
        <w:t>(7)</w:t>
      </w:r>
      <w:r>
        <w:tab/>
        <w:t>In this regulation —</w:t>
      </w:r>
    </w:p>
    <w:p>
      <w:pPr>
        <w:pStyle w:val="Defstart"/>
        <w:keepNext/>
        <w:keepLines/>
      </w:pPr>
      <w:r>
        <w:tab/>
      </w:r>
      <w:r>
        <w:rPr>
          <w:b/>
        </w:rPr>
        <w:t>“</w:t>
      </w:r>
      <w:r>
        <w:rPr>
          <w:rStyle w:val="CharDefText"/>
        </w:rPr>
        <w:t>derivative of a car</w:t>
      </w:r>
      <w:r>
        <w:rPr>
          <w:b/>
        </w:rPr>
        <w:t>”</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w:t>
      </w:r>
    </w:p>
    <w:p>
      <w:pPr>
        <w:pStyle w:val="Heading5"/>
      </w:pPr>
      <w:bookmarkStart w:id="446" w:name="_Toc136332250"/>
      <w:bookmarkStart w:id="447" w:name="_Toc124152132"/>
      <w:r>
        <w:rPr>
          <w:rStyle w:val="CharSectno"/>
        </w:rPr>
        <w:t>70</w:t>
      </w:r>
      <w:r>
        <w:t>.</w:t>
      </w:r>
      <w:r>
        <w:tab/>
        <w:t>Particulars of vehicles to be supplied</w:t>
      </w:r>
      <w:bookmarkEnd w:id="446"/>
      <w:bookmarkEnd w:id="447"/>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448" w:name="_Toc136332251"/>
      <w:bookmarkStart w:id="449" w:name="_Toc124152133"/>
      <w:r>
        <w:rPr>
          <w:rStyle w:val="CharSectno"/>
        </w:rPr>
        <w:t>71</w:t>
      </w:r>
      <w:r>
        <w:t>.</w:t>
      </w:r>
      <w:r>
        <w:tab/>
        <w:t>Infringement notice penalties</w:t>
      </w:r>
      <w:bookmarkEnd w:id="448"/>
      <w:bookmarkEnd w:id="449"/>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450" w:name="_Toc114630142"/>
      <w:bookmarkStart w:id="451" w:name="_Toc116706905"/>
      <w:bookmarkStart w:id="452" w:name="_Toc116707088"/>
      <w:bookmarkStart w:id="453" w:name="_Toc117656262"/>
      <w:bookmarkStart w:id="454" w:name="_Toc117656444"/>
    </w:p>
    <w:p>
      <w:pPr>
        <w:pStyle w:val="yScheduleHeading"/>
      </w:pPr>
      <w:bookmarkStart w:id="455" w:name="_Toc119233929"/>
      <w:bookmarkStart w:id="456" w:name="_Toc119730794"/>
      <w:bookmarkStart w:id="457" w:name="_Toc120943740"/>
      <w:bookmarkStart w:id="458" w:name="_Toc120948437"/>
      <w:bookmarkStart w:id="459" w:name="_Toc122742783"/>
      <w:bookmarkStart w:id="460" w:name="_Toc122838015"/>
      <w:bookmarkStart w:id="461" w:name="_Toc122839076"/>
      <w:bookmarkStart w:id="462" w:name="_Toc124152134"/>
      <w:bookmarkStart w:id="463" w:name="_Toc136332252"/>
      <w:r>
        <w:rPr>
          <w:rStyle w:val="CharSchNo"/>
        </w:rPr>
        <w:t>Schedule 1</w:t>
      </w:r>
      <w:r>
        <w:t> — </w:t>
      </w:r>
      <w:r>
        <w:rPr>
          <w:rStyle w:val="CharSchText"/>
        </w:rPr>
        <w:t>Mass and loading requirements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yShoulderClause"/>
      </w:pPr>
      <w:r>
        <w:t>[Part 3]</w:t>
      </w:r>
    </w:p>
    <w:p>
      <w:pPr>
        <w:pStyle w:val="yHeading3"/>
        <w:spacing w:before="200"/>
      </w:pPr>
      <w:bookmarkStart w:id="464" w:name="_Toc116706906"/>
      <w:bookmarkStart w:id="465" w:name="_Toc116707089"/>
      <w:bookmarkStart w:id="466" w:name="_Toc117656263"/>
      <w:bookmarkStart w:id="467" w:name="_Toc117656445"/>
      <w:bookmarkStart w:id="468" w:name="_Toc119233930"/>
      <w:bookmarkStart w:id="469" w:name="_Toc119730795"/>
      <w:bookmarkStart w:id="470" w:name="_Toc120943741"/>
      <w:bookmarkStart w:id="471" w:name="_Toc120948438"/>
      <w:bookmarkStart w:id="472" w:name="_Toc122742784"/>
      <w:bookmarkStart w:id="473" w:name="_Toc122838016"/>
      <w:bookmarkStart w:id="474" w:name="_Toc122839077"/>
      <w:bookmarkStart w:id="475" w:name="_Toc124152135"/>
      <w:bookmarkStart w:id="476" w:name="_Toc136332253"/>
      <w:r>
        <w:rPr>
          <w:rStyle w:val="CharSDivNo"/>
        </w:rPr>
        <w:t>Division 1</w:t>
      </w:r>
      <w:r>
        <w:t> — </w:t>
      </w:r>
      <w:r>
        <w:rPr>
          <w:rStyle w:val="CharSDivText"/>
        </w:rPr>
        <w:t>Mass limits for heavy vehicles</w:t>
      </w:r>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Heading5"/>
        <w:spacing w:before="160"/>
      </w:pPr>
      <w:bookmarkStart w:id="477" w:name="_Toc136332254"/>
      <w:bookmarkStart w:id="478" w:name="_Toc124152136"/>
      <w:r>
        <w:rPr>
          <w:rStyle w:val="CharSClsNo"/>
        </w:rPr>
        <w:t>1</w:t>
      </w:r>
      <w:r>
        <w:t>.</w:t>
      </w:r>
      <w:r>
        <w:tab/>
        <w:t>Mass limit for a single vehicle</w:t>
      </w:r>
      <w:bookmarkEnd w:id="477"/>
      <w:bookmarkEnd w:id="478"/>
    </w:p>
    <w:p>
      <w:pPr>
        <w:pStyle w:val="ySubsection"/>
      </w:pPr>
      <w:r>
        <w:tab/>
      </w:r>
      <w:r>
        <w:tab/>
        <w:t>The total mass of a vehicle and any load must not exceed the vehicle’s GVM.</w:t>
      </w:r>
    </w:p>
    <w:p>
      <w:pPr>
        <w:pStyle w:val="yHeading5"/>
        <w:spacing w:before="160"/>
      </w:pPr>
      <w:bookmarkStart w:id="479" w:name="_Toc136332255"/>
      <w:bookmarkStart w:id="480" w:name="_Toc124152137"/>
      <w:r>
        <w:t>2.</w:t>
      </w:r>
      <w:r>
        <w:tab/>
        <w:t>Mass limits for tyres, wheels and axles</w:t>
      </w:r>
      <w:bookmarkEnd w:id="479"/>
      <w:bookmarkEnd w:id="480"/>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Pr>
          <w:p>
            <w:pPr>
              <w:pStyle w:val="yTable"/>
              <w:spacing w:before="40" w:after="20"/>
              <w:ind w:right="284"/>
              <w:jc w:val="right"/>
            </w:pPr>
            <w:r>
              <w:br/>
              <w:t>20.0</w:t>
            </w:r>
          </w:p>
        </w:tc>
      </w:tr>
    </w:tbl>
    <w:p>
      <w:pPr>
        <w:pStyle w:val="yHeading5"/>
      </w:pPr>
      <w:bookmarkStart w:id="481" w:name="_Toc136332256"/>
      <w:bookmarkStart w:id="482" w:name="_Toc124152138"/>
      <w:r>
        <w:rPr>
          <w:rStyle w:val="CharSClsNo"/>
        </w:rPr>
        <w:t>3</w:t>
      </w:r>
      <w:r>
        <w:t>.</w:t>
      </w:r>
      <w:r>
        <w:tab/>
        <w:t>Mass limits relating to axle spacing</w:t>
      </w:r>
      <w:bookmarkEnd w:id="481"/>
      <w:bookmarkEnd w:id="482"/>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1" name="Picture 1"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CO Work\Regs\Road Traffic Pictures\Measurement fortble2 (cropped).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2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2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2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2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2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nil"/>
            </w:tcBorders>
          </w:tcPr>
          <w:p>
            <w:pPr>
              <w:pStyle w:val="yTable"/>
              <w:tabs>
                <w:tab w:val="left" w:pos="601"/>
              </w:tabs>
              <w:spacing w:before="40" w:after="20"/>
            </w:pPr>
            <w:r>
              <w:tab/>
              <w:t>10.0</w:t>
            </w:r>
            <w:r>
              <w:tab/>
              <w:t xml:space="preserve">  —</w:t>
            </w:r>
          </w:p>
        </w:tc>
        <w:tc>
          <w:tcPr>
            <w:tcW w:w="1701" w:type="dxa"/>
            <w:gridSpan w:val="2"/>
            <w:tcBorders>
              <w:bottom w:val="nil"/>
            </w:tcBorders>
          </w:tcPr>
          <w:p>
            <w:pPr>
              <w:pStyle w:val="yTable"/>
              <w:spacing w:before="40" w:after="20"/>
              <w:ind w:left="175" w:right="-108"/>
            </w:pPr>
            <w:r>
              <w:t>—   ..................</w:t>
            </w:r>
          </w:p>
        </w:tc>
        <w:tc>
          <w:tcPr>
            <w:tcW w:w="1559" w:type="dxa"/>
            <w:tcBorders>
              <w:bottom w:val="nil"/>
            </w:tcBorders>
          </w:tcPr>
          <w:p>
            <w:pPr>
              <w:pStyle w:val="yTable"/>
              <w:spacing w:before="40" w:after="20"/>
              <w:jc w:val="center"/>
            </w:pPr>
            <w:r>
              <w:t>42.5</w:t>
            </w:r>
          </w:p>
        </w:tc>
      </w:tr>
    </w:tbl>
    <w:p>
      <w:pPr>
        <w:pStyle w:val="yHeading5"/>
      </w:pPr>
      <w:bookmarkStart w:id="483" w:name="_Toc136332257"/>
      <w:bookmarkStart w:id="484" w:name="_Toc124152139"/>
      <w:r>
        <w:rPr>
          <w:rStyle w:val="CharSClsNo"/>
        </w:rPr>
        <w:t>4</w:t>
      </w:r>
      <w:r>
        <w:t>.</w:t>
      </w:r>
      <w:r>
        <w:tab/>
        <w:t>Mass limits for combinations</w:t>
      </w:r>
      <w:bookmarkEnd w:id="483"/>
      <w:bookmarkEnd w:id="484"/>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v:imagedata r:id="rId21" o:title=""/>
          </v:shape>
        </w:pict>
      </w:r>
    </w:p>
    <w:p>
      <w:pPr>
        <w:pStyle w:val="ySubsection"/>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485" w:name="_Toc116706911"/>
      <w:bookmarkStart w:id="486" w:name="_Toc116707094"/>
      <w:bookmarkStart w:id="487" w:name="_Toc117656268"/>
      <w:bookmarkStart w:id="488" w:name="_Toc117656450"/>
      <w:bookmarkStart w:id="489" w:name="_Toc119233935"/>
      <w:bookmarkStart w:id="490" w:name="_Toc119730800"/>
      <w:bookmarkStart w:id="491" w:name="_Toc120943746"/>
      <w:bookmarkStart w:id="492" w:name="_Toc120948443"/>
      <w:bookmarkStart w:id="493" w:name="_Toc122742789"/>
      <w:bookmarkStart w:id="494" w:name="_Toc122838021"/>
      <w:bookmarkStart w:id="495" w:name="_Toc122839082"/>
      <w:bookmarkStart w:id="496" w:name="_Toc124152140"/>
      <w:bookmarkStart w:id="497" w:name="_Toc136332258"/>
      <w:r>
        <w:rPr>
          <w:rStyle w:val="CharSDivNo"/>
        </w:rPr>
        <w:t xml:space="preserve">Division 2 </w:t>
      </w:r>
      <w:r>
        <w:t>— </w:t>
      </w:r>
      <w:r>
        <w:rPr>
          <w:rStyle w:val="CharSDivText"/>
        </w:rPr>
        <w:t>Mass limits for light vehicles</w:t>
      </w:r>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yHeading5"/>
        <w:spacing w:before="160"/>
      </w:pPr>
      <w:bookmarkStart w:id="498" w:name="_Toc136332259"/>
      <w:bookmarkStart w:id="499" w:name="_Toc124152141"/>
      <w:r>
        <w:rPr>
          <w:rStyle w:val="CharSClsNo"/>
        </w:rPr>
        <w:t>5</w:t>
      </w:r>
      <w:r>
        <w:t>.</w:t>
      </w:r>
      <w:r>
        <w:tab/>
        <w:t>Maximum loaded mass</w:t>
      </w:r>
      <w:bookmarkEnd w:id="498"/>
      <w:bookmarkEnd w:id="499"/>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500" w:name="_Toc136332260"/>
      <w:bookmarkStart w:id="501" w:name="_Toc124152142"/>
      <w:r>
        <w:rPr>
          <w:rStyle w:val="CharSClsNo"/>
        </w:rPr>
        <w:t>6</w:t>
      </w:r>
      <w:r>
        <w:t>.</w:t>
      </w:r>
      <w:r>
        <w:tab/>
        <w:t>Loaded mass of a trailer</w:t>
      </w:r>
      <w:bookmarkEnd w:id="500"/>
      <w:bookmarkEnd w:id="501"/>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2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pPr>
      <w:r>
        <w:tab/>
        <w:t>(a)</w:t>
      </w:r>
      <w:r>
        <w:tab/>
        <w:t>if the trailer is equipped with brakes in accordance with Part 9 Division 3 of the Vehicle Standards — 1.5 times the unloaded mass of the vehicle; or</w:t>
      </w:r>
    </w:p>
    <w:p>
      <w:pPr>
        <w:pStyle w:val="yIndenta"/>
      </w:pPr>
      <w:r>
        <w:tab/>
        <w:t>(b)</w:t>
      </w:r>
      <w:r>
        <w:tab/>
        <w:t>if the trailer is not so equipped — the unloaded mass of the vehicle.</w:t>
      </w:r>
    </w:p>
    <w:p>
      <w:pPr>
        <w:pStyle w:val="yHeading3"/>
        <w:spacing w:before="200"/>
      </w:pPr>
      <w:bookmarkStart w:id="502" w:name="_Toc116706914"/>
      <w:bookmarkStart w:id="503" w:name="_Toc116707097"/>
      <w:bookmarkStart w:id="504" w:name="_Toc117656271"/>
      <w:bookmarkStart w:id="505" w:name="_Toc117656453"/>
      <w:bookmarkStart w:id="506" w:name="_Toc119233938"/>
      <w:bookmarkStart w:id="507" w:name="_Toc119730803"/>
      <w:bookmarkStart w:id="508" w:name="_Toc120943749"/>
      <w:bookmarkStart w:id="509" w:name="_Toc120948446"/>
      <w:bookmarkStart w:id="510" w:name="_Toc122742792"/>
      <w:bookmarkStart w:id="511" w:name="_Toc122838024"/>
      <w:bookmarkStart w:id="512" w:name="_Toc122839085"/>
      <w:bookmarkStart w:id="513" w:name="_Toc124152143"/>
      <w:bookmarkStart w:id="514" w:name="_Toc136332261"/>
      <w:r>
        <w:rPr>
          <w:rStyle w:val="CharSDivNo"/>
        </w:rPr>
        <w:t>Division 3</w:t>
      </w:r>
      <w:r>
        <w:t> — </w:t>
      </w:r>
      <w:r>
        <w:rPr>
          <w:rStyle w:val="CharSDivText"/>
        </w:rPr>
        <w:t>Size and projection of loads on heavy vehicles</w:t>
      </w:r>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yHeading5"/>
        <w:spacing w:before="160"/>
      </w:pPr>
      <w:bookmarkStart w:id="515" w:name="_Toc136332262"/>
      <w:bookmarkStart w:id="516" w:name="_Toc124152144"/>
      <w:r>
        <w:rPr>
          <w:rStyle w:val="CharSClsNo"/>
        </w:rPr>
        <w:t>7</w:t>
      </w:r>
      <w:r>
        <w:t>.</w:t>
      </w:r>
      <w:r>
        <w:tab/>
        <w:t>Size limits</w:t>
      </w:r>
      <w:bookmarkEnd w:id="515"/>
      <w:bookmarkEnd w:id="516"/>
    </w:p>
    <w:p>
      <w:pPr>
        <w:pStyle w:val="ySubsection"/>
      </w:pPr>
      <w:r>
        <w:tab/>
        <w:t>(1)</w:t>
      </w:r>
      <w:r>
        <w:tab/>
        <w:t>A vehicle and its load must not exceed a size limit set for the vehicle in Part 7 Division 2 of the Vehicle Standards.</w:t>
      </w:r>
    </w:p>
    <w:p>
      <w:pPr>
        <w:pStyle w:val="ySubsection"/>
        <w:spacing w:after="6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80" w:hanging="360"/>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6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4" name="Picture 4"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djurdjed$\PCO Work\2000 Regs\Road Traffic Pictures\CarCarriernewcropped.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pPr>
      <w:bookmarkStart w:id="517" w:name="_Toc136332263"/>
      <w:bookmarkStart w:id="518" w:name="_Toc124152145"/>
      <w:r>
        <w:rPr>
          <w:rStyle w:val="CharSClsNo"/>
        </w:rPr>
        <w:t>8</w:t>
      </w:r>
      <w:r>
        <w:t>.</w:t>
      </w:r>
      <w:r>
        <w:tab/>
        <w:t>Front and side projections</w:t>
      </w:r>
      <w:bookmarkEnd w:id="517"/>
      <w:bookmarkEnd w:id="518"/>
    </w:p>
    <w:p>
      <w:pPr>
        <w:pStyle w:val="ySubsection"/>
        <w:spacing w:after="6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5" name="Picture 5"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CO Work\Regs\Road Traffic Pictures\Vehicle Loaded to width limts (croppe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Graphics"/>
        <w:jc w:val="center"/>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519" w:name="_Toc136332264"/>
      <w:bookmarkStart w:id="520" w:name="_Toc124152146"/>
      <w:r>
        <w:rPr>
          <w:rStyle w:val="CharSClsNo"/>
        </w:rPr>
        <w:t>9</w:t>
      </w:r>
      <w:r>
        <w:t>.</w:t>
      </w:r>
      <w:r>
        <w:tab/>
        <w:t>Rear projections</w:t>
      </w:r>
      <w:bookmarkEnd w:id="519"/>
      <w:bookmarkEnd w:id="520"/>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pPr>
      <w:r>
        <w:tab/>
        <w:t>(2)</w:t>
      </w:r>
      <w:r>
        <w:tab/>
        <w:t>In daytime, the warning signal must be a brightly coloured flag or piece of material, with each side at least 300 mm long.</w:t>
      </w:r>
    </w:p>
    <w:p>
      <w:pPr>
        <w:pStyle w:val="ySubsection"/>
      </w:pPr>
      <w:r>
        <w:tab/>
        <w:t>(3)</w:t>
      </w:r>
      <w:r>
        <w:tab/>
        <w:t>At night</w:t>
      </w:r>
      <w:r>
        <w:noBreakHyphen/>
        <w:t>time, the warning signal must be a light showing a clear red light visible at a distance of 200 m.</w:t>
      </w:r>
    </w:p>
    <w:p>
      <w:pPr>
        <w:pStyle w:val="yHeading5"/>
        <w:spacing w:before="160"/>
      </w:pPr>
      <w:bookmarkStart w:id="521" w:name="_Toc136332265"/>
      <w:bookmarkStart w:id="522" w:name="_Toc124152147"/>
      <w:r>
        <w:rPr>
          <w:rStyle w:val="CharSClsNo"/>
        </w:rPr>
        <w:t>10</w:t>
      </w:r>
      <w:r>
        <w:t>.</w:t>
      </w:r>
      <w:r>
        <w:tab/>
        <w:t>Dangerous projections</w:t>
      </w:r>
      <w:bookmarkEnd w:id="521"/>
      <w:bookmarkEnd w:id="522"/>
    </w:p>
    <w:p>
      <w:pPr>
        <w:pStyle w:val="ySubsection"/>
      </w:pPr>
      <w:r>
        <w:tab/>
      </w:r>
      <w:r>
        <w:tab/>
        <w:t>A load on a vehicle must not project in a way that is dangerous to a person or to property, even if all dimension and warning requirements are met.</w:t>
      </w:r>
    </w:p>
    <w:p>
      <w:pPr>
        <w:pStyle w:val="yHeading3"/>
        <w:spacing w:before="200"/>
      </w:pPr>
      <w:bookmarkStart w:id="523" w:name="_Toc116706919"/>
      <w:bookmarkStart w:id="524" w:name="_Toc116707102"/>
      <w:bookmarkStart w:id="525" w:name="_Toc117656276"/>
      <w:bookmarkStart w:id="526" w:name="_Toc117656458"/>
      <w:bookmarkStart w:id="527" w:name="_Toc119233943"/>
      <w:bookmarkStart w:id="528" w:name="_Toc119730808"/>
      <w:bookmarkStart w:id="529" w:name="_Toc120943754"/>
      <w:bookmarkStart w:id="530" w:name="_Toc120948451"/>
      <w:bookmarkStart w:id="531" w:name="_Toc122742797"/>
      <w:bookmarkStart w:id="532" w:name="_Toc122838029"/>
      <w:bookmarkStart w:id="533" w:name="_Toc122839090"/>
      <w:bookmarkStart w:id="534" w:name="_Toc124152148"/>
      <w:bookmarkStart w:id="535" w:name="_Toc136332266"/>
      <w:r>
        <w:rPr>
          <w:rStyle w:val="CharSDivNo"/>
        </w:rPr>
        <w:t>Division 4</w:t>
      </w:r>
      <w:r>
        <w:t xml:space="preserve"> — </w:t>
      </w:r>
      <w:r>
        <w:rPr>
          <w:rStyle w:val="CharSDivText"/>
        </w:rPr>
        <w:t>Size and projection of loads on light vehicles</w:t>
      </w:r>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yHeading5"/>
        <w:spacing w:before="160"/>
      </w:pPr>
      <w:bookmarkStart w:id="536" w:name="_Toc136332267"/>
      <w:bookmarkStart w:id="537" w:name="_Toc124152149"/>
      <w:r>
        <w:rPr>
          <w:rStyle w:val="CharSClsNo"/>
        </w:rPr>
        <w:t>11</w:t>
      </w:r>
      <w:r>
        <w:t>.</w:t>
      </w:r>
      <w:r>
        <w:tab/>
        <w:t>Size and projection of loads</w:t>
      </w:r>
      <w:bookmarkEnd w:id="536"/>
      <w:bookmarkEnd w:id="537"/>
    </w:p>
    <w:p>
      <w:pPr>
        <w:pStyle w:val="ySubsection"/>
      </w:pPr>
      <w:r>
        <w:tab/>
        <w:t>(1)</w:t>
      </w:r>
      <w:r>
        <w:tab/>
        <w:t>A vehicle and its load must not exceed a size limit set for the vehicle in Part 7 Division 2 of the Vehicle Standards.</w:t>
      </w:r>
    </w:p>
    <w:p>
      <w:pPr>
        <w:pStyle w:val="ySubsection"/>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8-9; 13 Dec 2005 p. 5991.]</w:t>
      </w:r>
    </w:p>
    <w:p>
      <w:pPr>
        <w:pStyle w:val="yHeading3"/>
        <w:spacing w:before="200"/>
      </w:pPr>
      <w:bookmarkStart w:id="538" w:name="_Toc116706921"/>
      <w:bookmarkStart w:id="539" w:name="_Toc116707104"/>
      <w:bookmarkStart w:id="540" w:name="_Toc117656278"/>
      <w:bookmarkStart w:id="541" w:name="_Toc117656460"/>
      <w:bookmarkStart w:id="542" w:name="_Toc119233945"/>
      <w:bookmarkStart w:id="543" w:name="_Toc119730810"/>
      <w:bookmarkStart w:id="544" w:name="_Toc120943756"/>
      <w:bookmarkStart w:id="545" w:name="_Toc120948453"/>
      <w:bookmarkStart w:id="546" w:name="_Toc122742799"/>
      <w:bookmarkStart w:id="547" w:name="_Toc122838031"/>
      <w:bookmarkStart w:id="548" w:name="_Toc122839092"/>
      <w:bookmarkStart w:id="549" w:name="_Toc124152150"/>
      <w:bookmarkStart w:id="550" w:name="_Toc136332268"/>
      <w:r>
        <w:rPr>
          <w:rStyle w:val="CharSDivNo"/>
        </w:rPr>
        <w:t>Division 5</w:t>
      </w:r>
      <w:r>
        <w:t> — </w:t>
      </w:r>
      <w:r>
        <w:rPr>
          <w:rStyle w:val="CharSDivText"/>
        </w:rPr>
        <w:t>Placing and securing loads</w:t>
      </w:r>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Heading5"/>
        <w:spacing w:before="160"/>
      </w:pPr>
      <w:bookmarkStart w:id="551" w:name="_Toc136332269"/>
      <w:bookmarkStart w:id="552" w:name="_Toc124152151"/>
      <w:r>
        <w:rPr>
          <w:rStyle w:val="CharSClsNo"/>
        </w:rPr>
        <w:t>12</w:t>
      </w:r>
      <w:r>
        <w:t>.</w:t>
      </w:r>
      <w:r>
        <w:tab/>
        <w:t>Loading obligations</w:t>
      </w:r>
      <w:bookmarkEnd w:id="551"/>
      <w:bookmarkEnd w:id="552"/>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553" w:name="_Toc136332270"/>
      <w:bookmarkStart w:id="554" w:name="_Toc124152152"/>
      <w:r>
        <w:rPr>
          <w:rStyle w:val="CharSClsNo"/>
        </w:rPr>
        <w:t>13</w:t>
      </w:r>
      <w:r>
        <w:t>.</w:t>
      </w:r>
      <w:r>
        <w:tab/>
        <w:t>Trailers</w:t>
      </w:r>
      <w:bookmarkEnd w:id="553"/>
      <w:bookmarkEnd w:id="554"/>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555" w:name="_Toc116706924"/>
      <w:bookmarkStart w:id="556" w:name="_Toc116707107"/>
      <w:bookmarkStart w:id="557" w:name="_Toc117656281"/>
      <w:bookmarkStart w:id="558" w:name="_Toc117656463"/>
      <w:bookmarkStart w:id="559" w:name="_Toc119233948"/>
      <w:bookmarkStart w:id="560" w:name="_Toc119730813"/>
      <w:bookmarkStart w:id="561" w:name="_Toc120943759"/>
      <w:bookmarkStart w:id="562" w:name="_Toc120948456"/>
      <w:bookmarkStart w:id="563" w:name="_Toc122742802"/>
      <w:bookmarkStart w:id="564" w:name="_Toc122838034"/>
      <w:bookmarkStart w:id="565" w:name="_Toc122839095"/>
      <w:bookmarkStart w:id="566" w:name="_Toc124152153"/>
      <w:bookmarkStart w:id="567" w:name="_Toc136332271"/>
      <w:r>
        <w:rPr>
          <w:rStyle w:val="CharSDivNo"/>
        </w:rPr>
        <w:t>Division 6</w:t>
      </w:r>
      <w:r>
        <w:t xml:space="preserve"> — </w:t>
      </w:r>
      <w:r>
        <w:rPr>
          <w:rStyle w:val="CharSDivText"/>
        </w:rPr>
        <w:t>Maximum numbers of omnibus passengers</w:t>
      </w:r>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yHeading5"/>
        <w:spacing w:before="160"/>
      </w:pPr>
      <w:bookmarkStart w:id="568" w:name="_Toc136332272"/>
      <w:bookmarkStart w:id="569" w:name="_Toc124152154"/>
      <w:r>
        <w:rPr>
          <w:rStyle w:val="CharSClsNo"/>
        </w:rPr>
        <w:t>14</w:t>
      </w:r>
      <w:r>
        <w:t>.</w:t>
      </w:r>
      <w:r>
        <w:tab/>
        <w:t>Maximum passenger numbers</w:t>
      </w:r>
      <w:bookmarkEnd w:id="568"/>
      <w:bookmarkEnd w:id="569"/>
    </w:p>
    <w:p>
      <w:pPr>
        <w:pStyle w:val="ySubsection"/>
        <w:spacing w:before="120"/>
      </w:pPr>
      <w:r>
        <w:tab/>
      </w:r>
      <w:r>
        <w:tab/>
        <w:t>The maximum number of passengers that an omnibus is permitted to carry is the number calculated in accordance with Part 15 Division 1 of the Vehicle Standards.</w:t>
      </w:r>
    </w:p>
    <w:p>
      <w:pPr>
        <w:pStyle w:val="yHeading3"/>
        <w:spacing w:before="200"/>
      </w:pPr>
      <w:bookmarkStart w:id="570" w:name="_Toc116706926"/>
      <w:bookmarkStart w:id="571" w:name="_Toc116707109"/>
      <w:bookmarkStart w:id="572" w:name="_Toc117656283"/>
      <w:bookmarkStart w:id="573" w:name="_Toc117656465"/>
      <w:bookmarkStart w:id="574" w:name="_Toc119233950"/>
      <w:bookmarkStart w:id="575" w:name="_Toc119730815"/>
      <w:bookmarkStart w:id="576" w:name="_Toc120943761"/>
      <w:bookmarkStart w:id="577" w:name="_Toc120948458"/>
      <w:bookmarkStart w:id="578" w:name="_Toc122742804"/>
      <w:bookmarkStart w:id="579" w:name="_Toc122838036"/>
      <w:bookmarkStart w:id="580" w:name="_Toc122839097"/>
      <w:bookmarkStart w:id="581" w:name="_Toc124152155"/>
      <w:bookmarkStart w:id="582" w:name="_Toc136332273"/>
      <w:r>
        <w:rPr>
          <w:rStyle w:val="CharSDivNo"/>
        </w:rPr>
        <w:t>Division 7</w:t>
      </w:r>
      <w:r>
        <w:t xml:space="preserve"> — </w:t>
      </w:r>
      <w:r>
        <w:rPr>
          <w:rStyle w:val="CharSDivText"/>
        </w:rPr>
        <w:t>Penalties for failure to comply with mass limits</w:t>
      </w:r>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MiscellaneousHeading"/>
        <w:rPr>
          <w:b/>
        </w:rPr>
      </w:pPr>
      <w:r>
        <w:rPr>
          <w:b/>
        </w:rPr>
        <w:t>Table 1 — Aggregate mass limits</w:t>
      </w:r>
    </w:p>
    <w:p>
      <w:pPr>
        <w:pStyle w:val="yShoulderClause"/>
        <w:spacing w:before="160" w:after="12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40" w:after="20"/>
              <w:jc w:val="center"/>
              <w:rPr>
                <w:b/>
              </w:rPr>
            </w:pPr>
            <w:r>
              <w:rPr>
                <w:b/>
              </w:rPr>
              <w:t>Excess mass (%)</w:t>
            </w:r>
          </w:p>
        </w:tc>
        <w:tc>
          <w:tcPr>
            <w:tcW w:w="3686" w:type="dxa"/>
            <w:gridSpan w:val="3"/>
            <w:tcBorders>
              <w:top w:val="single" w:sz="4" w:space="0" w:color="auto"/>
            </w:tcBorders>
          </w:tcPr>
          <w:p>
            <w:pPr>
              <w:pStyle w:val="yTable"/>
              <w:spacing w:before="40" w:after="20"/>
              <w:jc w:val="center"/>
              <w:rPr>
                <w:b/>
              </w:rPr>
            </w:pPr>
            <w:r>
              <w:rPr>
                <w:b/>
              </w:rPr>
              <w:t>Penalties (PU)</w:t>
            </w:r>
          </w:p>
        </w:tc>
      </w:tr>
      <w:tr>
        <w:trPr>
          <w:cantSplit/>
          <w:tblHeader/>
        </w:trPr>
        <w:tc>
          <w:tcPr>
            <w:tcW w:w="1276" w:type="dxa"/>
          </w:tcPr>
          <w:p>
            <w:pPr>
              <w:pStyle w:val="yTable"/>
              <w:spacing w:before="40" w:after="20"/>
              <w:rPr>
                <w:b/>
              </w:rPr>
            </w:pPr>
            <w:r>
              <w:rPr>
                <w:b/>
              </w:rPr>
              <w:t>Exceeding</w:t>
            </w:r>
          </w:p>
        </w:tc>
        <w:tc>
          <w:tcPr>
            <w:tcW w:w="1559" w:type="dxa"/>
          </w:tcPr>
          <w:p>
            <w:pPr>
              <w:pStyle w:val="yTable"/>
              <w:spacing w:before="40" w:after="20"/>
              <w:rPr>
                <w:b/>
              </w:rPr>
            </w:pPr>
            <w:r>
              <w:rPr>
                <w:b/>
              </w:rPr>
              <w:t>Not exceeding</w:t>
            </w:r>
          </w:p>
        </w:tc>
        <w:tc>
          <w:tcPr>
            <w:tcW w:w="1228" w:type="dxa"/>
          </w:tcPr>
          <w:p>
            <w:pPr>
              <w:pStyle w:val="yTable"/>
              <w:spacing w:before="40" w:after="20"/>
              <w:rPr>
                <w:b/>
              </w:rPr>
            </w:pPr>
            <w:r>
              <w:rPr>
                <w:b/>
              </w:rPr>
              <w:t>Modified</w:t>
            </w:r>
          </w:p>
        </w:tc>
        <w:tc>
          <w:tcPr>
            <w:tcW w:w="1229" w:type="dxa"/>
          </w:tcPr>
          <w:p>
            <w:pPr>
              <w:pStyle w:val="yTable"/>
              <w:spacing w:before="40" w:after="20"/>
              <w:rPr>
                <w:b/>
              </w:rPr>
            </w:pPr>
            <w:r>
              <w:rPr>
                <w:b/>
              </w:rPr>
              <w:t>Minimum</w:t>
            </w:r>
          </w:p>
        </w:tc>
        <w:tc>
          <w:tcPr>
            <w:tcW w:w="1229" w:type="dxa"/>
          </w:tcPr>
          <w:p>
            <w:pPr>
              <w:pStyle w:val="yTable"/>
              <w:spacing w:before="40" w:after="20"/>
              <w:rPr>
                <w:b/>
              </w:rPr>
            </w:pPr>
            <w:r>
              <w:rPr>
                <w:b/>
              </w:rPr>
              <w:t>Maximum</w:t>
            </w:r>
          </w:p>
        </w:tc>
      </w:tr>
      <w:tr>
        <w:trPr>
          <w:cantSplit/>
        </w:trPr>
        <w:tc>
          <w:tcPr>
            <w:tcW w:w="1276" w:type="dxa"/>
            <w:tcBorders>
              <w:top w:val="single" w:sz="4" w:space="0" w:color="auto"/>
            </w:tcBorders>
          </w:tcPr>
          <w:p>
            <w:pPr>
              <w:pStyle w:val="yTable"/>
              <w:spacing w:before="40" w:after="20"/>
              <w:ind w:left="317"/>
            </w:pPr>
            <w:r>
              <w:t>0</w:t>
            </w:r>
          </w:p>
        </w:tc>
        <w:tc>
          <w:tcPr>
            <w:tcW w:w="1559" w:type="dxa"/>
            <w:tcBorders>
              <w:top w:val="single" w:sz="4" w:space="0" w:color="auto"/>
            </w:tcBorders>
          </w:tcPr>
          <w:p>
            <w:pPr>
              <w:pStyle w:val="yTable"/>
              <w:spacing w:before="40" w:after="20"/>
              <w:jc w:val="center"/>
            </w:pPr>
            <w:r>
              <w:t>11</w:t>
            </w:r>
          </w:p>
        </w:tc>
        <w:tc>
          <w:tcPr>
            <w:tcW w:w="1228"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10</w:t>
            </w:r>
          </w:p>
        </w:tc>
      </w:tr>
      <w:tr>
        <w:trPr>
          <w:cantSplit/>
        </w:trPr>
        <w:tc>
          <w:tcPr>
            <w:tcW w:w="1276" w:type="dxa"/>
          </w:tcPr>
          <w:p>
            <w:pPr>
              <w:pStyle w:val="yTable"/>
              <w:spacing w:before="40" w:after="20"/>
              <w:ind w:left="317"/>
            </w:pPr>
            <w:r>
              <w:t>11</w:t>
            </w:r>
          </w:p>
        </w:tc>
        <w:tc>
          <w:tcPr>
            <w:tcW w:w="1559" w:type="dxa"/>
          </w:tcPr>
          <w:p>
            <w:pPr>
              <w:pStyle w:val="yTable"/>
              <w:spacing w:before="40" w:after="20"/>
              <w:jc w:val="center"/>
            </w:pPr>
            <w:r>
              <w:t>15</w:t>
            </w:r>
          </w:p>
        </w:tc>
        <w:tc>
          <w:tcPr>
            <w:tcW w:w="1228" w:type="dxa"/>
          </w:tcPr>
          <w:p>
            <w:pPr>
              <w:pStyle w:val="yTable"/>
              <w:spacing w:before="40" w:after="20"/>
              <w:ind w:left="459"/>
            </w:pPr>
            <w:r>
              <w:t>4</w:t>
            </w:r>
          </w:p>
        </w:tc>
        <w:tc>
          <w:tcPr>
            <w:tcW w:w="1229" w:type="dxa"/>
          </w:tcPr>
          <w:p>
            <w:pPr>
              <w:pStyle w:val="yTable"/>
              <w:spacing w:before="40" w:after="20"/>
              <w:jc w:val="center"/>
            </w:pPr>
            <w:r>
              <w:t>4</w:t>
            </w:r>
          </w:p>
        </w:tc>
        <w:tc>
          <w:tcPr>
            <w:tcW w:w="1229" w:type="dxa"/>
          </w:tcPr>
          <w:p>
            <w:pPr>
              <w:pStyle w:val="yTable"/>
              <w:spacing w:before="40" w:after="20"/>
              <w:jc w:val="center"/>
            </w:pPr>
            <w:r>
              <w:t>16</w:t>
            </w:r>
          </w:p>
        </w:tc>
      </w:tr>
      <w:tr>
        <w:trPr>
          <w:cantSplit/>
        </w:trPr>
        <w:tc>
          <w:tcPr>
            <w:tcW w:w="1276" w:type="dxa"/>
          </w:tcPr>
          <w:p>
            <w:pPr>
              <w:pStyle w:val="yTable"/>
              <w:spacing w:before="40" w:after="20"/>
              <w:ind w:left="317"/>
            </w:pPr>
            <w:r>
              <w:t>15</w:t>
            </w:r>
          </w:p>
        </w:tc>
        <w:tc>
          <w:tcPr>
            <w:tcW w:w="1559" w:type="dxa"/>
          </w:tcPr>
          <w:p>
            <w:pPr>
              <w:pStyle w:val="yTable"/>
              <w:spacing w:before="40" w:after="20"/>
              <w:jc w:val="center"/>
            </w:pPr>
            <w:r>
              <w:t>18</w:t>
            </w:r>
          </w:p>
        </w:tc>
        <w:tc>
          <w:tcPr>
            <w:tcW w:w="1228" w:type="dxa"/>
          </w:tcPr>
          <w:p>
            <w:pPr>
              <w:pStyle w:val="yTable"/>
              <w:spacing w:before="40" w:after="20"/>
              <w:ind w:left="459"/>
            </w:pPr>
            <w:r>
              <w:t>6</w:t>
            </w:r>
          </w:p>
        </w:tc>
        <w:tc>
          <w:tcPr>
            <w:tcW w:w="1229" w:type="dxa"/>
          </w:tcPr>
          <w:p>
            <w:pPr>
              <w:pStyle w:val="yTable"/>
              <w:spacing w:before="40" w:after="20"/>
              <w:jc w:val="center"/>
            </w:pPr>
            <w:r>
              <w:t>6</w:t>
            </w:r>
          </w:p>
        </w:tc>
        <w:tc>
          <w:tcPr>
            <w:tcW w:w="1229" w:type="dxa"/>
          </w:tcPr>
          <w:p>
            <w:pPr>
              <w:pStyle w:val="yTable"/>
              <w:spacing w:before="40" w:after="20"/>
              <w:jc w:val="center"/>
            </w:pPr>
            <w:r>
              <w:t>22</w:t>
            </w:r>
          </w:p>
        </w:tc>
      </w:tr>
      <w:tr>
        <w:trPr>
          <w:cantSplit/>
        </w:trPr>
        <w:tc>
          <w:tcPr>
            <w:tcW w:w="1276" w:type="dxa"/>
          </w:tcPr>
          <w:p>
            <w:pPr>
              <w:pStyle w:val="yTable"/>
              <w:spacing w:before="40" w:after="20"/>
              <w:ind w:left="317"/>
            </w:pPr>
            <w:r>
              <w:t>18</w:t>
            </w:r>
          </w:p>
        </w:tc>
        <w:tc>
          <w:tcPr>
            <w:tcW w:w="1559" w:type="dxa"/>
          </w:tcPr>
          <w:p>
            <w:pPr>
              <w:pStyle w:val="yTable"/>
              <w:spacing w:before="40" w:after="20"/>
              <w:jc w:val="center"/>
            </w:pPr>
            <w:r>
              <w:t>21</w:t>
            </w:r>
          </w:p>
        </w:tc>
        <w:tc>
          <w:tcPr>
            <w:tcW w:w="1228" w:type="dxa"/>
          </w:tcPr>
          <w:p>
            <w:pPr>
              <w:pStyle w:val="yTable"/>
              <w:spacing w:before="40" w:after="20"/>
              <w:ind w:left="459"/>
            </w:pPr>
            <w:r>
              <w:t>8</w:t>
            </w:r>
          </w:p>
        </w:tc>
        <w:tc>
          <w:tcPr>
            <w:tcW w:w="1229" w:type="dxa"/>
          </w:tcPr>
          <w:p>
            <w:pPr>
              <w:pStyle w:val="yTable"/>
              <w:spacing w:before="40" w:after="20"/>
              <w:jc w:val="center"/>
            </w:pPr>
            <w:r>
              <w:t>8</w:t>
            </w:r>
          </w:p>
        </w:tc>
        <w:tc>
          <w:tcPr>
            <w:tcW w:w="1229" w:type="dxa"/>
          </w:tcPr>
          <w:p>
            <w:pPr>
              <w:pStyle w:val="yTable"/>
              <w:spacing w:before="40" w:after="20"/>
              <w:jc w:val="center"/>
            </w:pPr>
            <w:r>
              <w:t>28</w:t>
            </w:r>
          </w:p>
        </w:tc>
      </w:tr>
      <w:tr>
        <w:trPr>
          <w:cantSplit/>
        </w:trPr>
        <w:tc>
          <w:tcPr>
            <w:tcW w:w="1276" w:type="dxa"/>
          </w:tcPr>
          <w:p>
            <w:pPr>
              <w:pStyle w:val="yTable"/>
              <w:spacing w:before="40" w:after="20"/>
              <w:ind w:left="317"/>
            </w:pPr>
            <w:r>
              <w:t>21</w:t>
            </w:r>
          </w:p>
        </w:tc>
        <w:tc>
          <w:tcPr>
            <w:tcW w:w="1559" w:type="dxa"/>
          </w:tcPr>
          <w:p>
            <w:pPr>
              <w:pStyle w:val="yTable"/>
              <w:spacing w:before="40" w:after="20"/>
              <w:jc w:val="center"/>
            </w:pPr>
            <w:r>
              <w:t>25</w:t>
            </w:r>
          </w:p>
        </w:tc>
        <w:tc>
          <w:tcPr>
            <w:tcW w:w="1228" w:type="dxa"/>
          </w:tcPr>
          <w:p>
            <w:pPr>
              <w:pStyle w:val="yTable"/>
              <w:spacing w:before="40" w:after="20"/>
              <w:ind w:left="459"/>
            </w:pPr>
            <w:r>
              <w:t>10</w:t>
            </w:r>
          </w:p>
        </w:tc>
        <w:tc>
          <w:tcPr>
            <w:tcW w:w="1229" w:type="dxa"/>
          </w:tcPr>
          <w:p>
            <w:pPr>
              <w:pStyle w:val="yTable"/>
              <w:spacing w:before="40" w:after="20"/>
              <w:jc w:val="center"/>
            </w:pPr>
            <w:r>
              <w:t>10</w:t>
            </w:r>
          </w:p>
        </w:tc>
        <w:tc>
          <w:tcPr>
            <w:tcW w:w="1229" w:type="dxa"/>
          </w:tcPr>
          <w:p>
            <w:pPr>
              <w:pStyle w:val="yTable"/>
              <w:spacing w:before="40" w:after="20"/>
              <w:jc w:val="center"/>
            </w:pPr>
            <w:r>
              <w:t>36</w:t>
            </w:r>
          </w:p>
        </w:tc>
      </w:tr>
      <w:tr>
        <w:trPr>
          <w:cantSplit/>
        </w:trPr>
        <w:tc>
          <w:tcPr>
            <w:tcW w:w="1276" w:type="dxa"/>
          </w:tcPr>
          <w:p>
            <w:pPr>
              <w:pStyle w:val="yTable"/>
              <w:spacing w:before="40" w:after="20"/>
              <w:ind w:left="317"/>
            </w:pPr>
            <w:r>
              <w:t>25</w:t>
            </w:r>
          </w:p>
        </w:tc>
        <w:tc>
          <w:tcPr>
            <w:tcW w:w="1559" w:type="dxa"/>
          </w:tcPr>
          <w:p>
            <w:pPr>
              <w:pStyle w:val="yTable"/>
              <w:spacing w:before="40" w:after="20"/>
              <w:jc w:val="center"/>
            </w:pPr>
            <w:r>
              <w:t>28</w:t>
            </w:r>
          </w:p>
        </w:tc>
        <w:tc>
          <w:tcPr>
            <w:tcW w:w="1228" w:type="dxa"/>
          </w:tcPr>
          <w:p>
            <w:pPr>
              <w:pStyle w:val="yTable"/>
              <w:spacing w:before="40" w:after="20"/>
              <w:ind w:left="459"/>
            </w:pPr>
            <w:r>
              <w:t>12</w:t>
            </w:r>
          </w:p>
        </w:tc>
        <w:tc>
          <w:tcPr>
            <w:tcW w:w="1229" w:type="dxa"/>
          </w:tcPr>
          <w:p>
            <w:pPr>
              <w:pStyle w:val="yTable"/>
              <w:spacing w:before="40" w:after="20"/>
              <w:jc w:val="center"/>
            </w:pPr>
            <w:r>
              <w:t>12</w:t>
            </w:r>
          </w:p>
        </w:tc>
        <w:tc>
          <w:tcPr>
            <w:tcW w:w="1229" w:type="dxa"/>
          </w:tcPr>
          <w:p>
            <w:pPr>
              <w:pStyle w:val="yTable"/>
              <w:spacing w:before="40" w:after="20"/>
              <w:jc w:val="center"/>
            </w:pPr>
            <w:r>
              <w:t>42</w:t>
            </w:r>
          </w:p>
        </w:tc>
      </w:tr>
      <w:tr>
        <w:trPr>
          <w:cantSplit/>
        </w:trPr>
        <w:tc>
          <w:tcPr>
            <w:tcW w:w="1276" w:type="dxa"/>
          </w:tcPr>
          <w:p>
            <w:pPr>
              <w:pStyle w:val="yTable"/>
              <w:spacing w:before="40" w:after="20"/>
              <w:ind w:left="317"/>
            </w:pPr>
            <w:r>
              <w:t>28</w:t>
            </w:r>
          </w:p>
        </w:tc>
        <w:tc>
          <w:tcPr>
            <w:tcW w:w="1559" w:type="dxa"/>
          </w:tcPr>
          <w:p>
            <w:pPr>
              <w:pStyle w:val="yTable"/>
              <w:spacing w:before="40" w:after="20"/>
              <w:jc w:val="center"/>
            </w:pPr>
            <w:r>
              <w:t>31</w:t>
            </w:r>
          </w:p>
        </w:tc>
        <w:tc>
          <w:tcPr>
            <w:tcW w:w="1228" w:type="dxa"/>
          </w:tcPr>
          <w:p>
            <w:pPr>
              <w:pStyle w:val="yTable"/>
              <w:spacing w:before="40" w:after="20"/>
              <w:ind w:left="459"/>
            </w:pPr>
            <w:r>
              <w:t>14</w:t>
            </w:r>
          </w:p>
        </w:tc>
        <w:tc>
          <w:tcPr>
            <w:tcW w:w="1229" w:type="dxa"/>
          </w:tcPr>
          <w:p>
            <w:pPr>
              <w:pStyle w:val="yTable"/>
              <w:spacing w:before="40" w:after="20"/>
              <w:jc w:val="center"/>
            </w:pPr>
            <w:r>
              <w:t>14</w:t>
            </w:r>
          </w:p>
        </w:tc>
        <w:tc>
          <w:tcPr>
            <w:tcW w:w="1229" w:type="dxa"/>
          </w:tcPr>
          <w:p>
            <w:pPr>
              <w:pStyle w:val="yTable"/>
              <w:spacing w:before="40" w:after="20"/>
              <w:jc w:val="center"/>
            </w:pPr>
            <w:r>
              <w:t>48</w:t>
            </w:r>
          </w:p>
        </w:tc>
      </w:tr>
      <w:tr>
        <w:trPr>
          <w:cantSplit/>
        </w:trPr>
        <w:tc>
          <w:tcPr>
            <w:tcW w:w="1276" w:type="dxa"/>
          </w:tcPr>
          <w:p>
            <w:pPr>
              <w:pStyle w:val="yTable"/>
              <w:spacing w:before="40" w:after="20"/>
              <w:ind w:left="317"/>
            </w:pPr>
            <w:r>
              <w:t>31</w:t>
            </w:r>
          </w:p>
        </w:tc>
        <w:tc>
          <w:tcPr>
            <w:tcW w:w="1559" w:type="dxa"/>
          </w:tcPr>
          <w:p>
            <w:pPr>
              <w:pStyle w:val="yTable"/>
              <w:spacing w:before="40" w:after="20"/>
              <w:jc w:val="center"/>
            </w:pPr>
            <w:r>
              <w:t>35</w:t>
            </w:r>
          </w:p>
        </w:tc>
        <w:tc>
          <w:tcPr>
            <w:tcW w:w="1228" w:type="dxa"/>
          </w:tcPr>
          <w:p>
            <w:pPr>
              <w:pStyle w:val="yTable"/>
              <w:spacing w:before="40" w:after="20"/>
              <w:ind w:left="459"/>
            </w:pPr>
            <w:r>
              <w:t>16</w:t>
            </w:r>
          </w:p>
        </w:tc>
        <w:tc>
          <w:tcPr>
            <w:tcW w:w="1229" w:type="dxa"/>
          </w:tcPr>
          <w:p>
            <w:pPr>
              <w:pStyle w:val="yTable"/>
              <w:spacing w:before="40" w:after="20"/>
              <w:jc w:val="center"/>
            </w:pPr>
            <w:r>
              <w:t>16</w:t>
            </w:r>
          </w:p>
        </w:tc>
        <w:tc>
          <w:tcPr>
            <w:tcW w:w="1229" w:type="dxa"/>
          </w:tcPr>
          <w:p>
            <w:pPr>
              <w:pStyle w:val="yTable"/>
              <w:spacing w:before="40" w:after="20"/>
              <w:jc w:val="center"/>
            </w:pPr>
            <w:r>
              <w:t>60</w:t>
            </w:r>
          </w:p>
        </w:tc>
      </w:tr>
      <w:tr>
        <w:trPr>
          <w:cantSplit/>
        </w:trPr>
        <w:tc>
          <w:tcPr>
            <w:tcW w:w="1276" w:type="dxa"/>
          </w:tcPr>
          <w:p>
            <w:pPr>
              <w:pStyle w:val="yTable"/>
              <w:spacing w:before="40" w:after="20"/>
              <w:ind w:left="317"/>
            </w:pPr>
            <w:r>
              <w:t>35</w:t>
            </w:r>
          </w:p>
        </w:tc>
        <w:tc>
          <w:tcPr>
            <w:tcW w:w="1559" w:type="dxa"/>
          </w:tcPr>
          <w:p>
            <w:pPr>
              <w:pStyle w:val="yTable"/>
              <w:spacing w:before="40" w:after="20"/>
              <w:jc w:val="center"/>
            </w:pPr>
            <w:r>
              <w:t>38</w:t>
            </w:r>
          </w:p>
        </w:tc>
        <w:tc>
          <w:tcPr>
            <w:tcW w:w="1228" w:type="dxa"/>
          </w:tcPr>
          <w:p>
            <w:pPr>
              <w:pStyle w:val="yTable"/>
              <w:spacing w:before="40" w:after="20"/>
              <w:ind w:left="459"/>
            </w:pPr>
            <w:r>
              <w:t>18</w:t>
            </w:r>
          </w:p>
        </w:tc>
        <w:tc>
          <w:tcPr>
            <w:tcW w:w="1229" w:type="dxa"/>
          </w:tcPr>
          <w:p>
            <w:pPr>
              <w:pStyle w:val="yTable"/>
              <w:spacing w:before="40" w:after="20"/>
              <w:jc w:val="center"/>
            </w:pPr>
            <w:r>
              <w:t>18</w:t>
            </w:r>
          </w:p>
        </w:tc>
        <w:tc>
          <w:tcPr>
            <w:tcW w:w="1229" w:type="dxa"/>
          </w:tcPr>
          <w:p>
            <w:pPr>
              <w:pStyle w:val="yTable"/>
              <w:spacing w:before="40" w:after="20"/>
              <w:jc w:val="center"/>
            </w:pPr>
            <w:r>
              <w:t>70</w:t>
            </w:r>
          </w:p>
        </w:tc>
      </w:tr>
      <w:tr>
        <w:trPr>
          <w:cantSplit/>
        </w:trPr>
        <w:tc>
          <w:tcPr>
            <w:tcW w:w="1276" w:type="dxa"/>
          </w:tcPr>
          <w:p>
            <w:pPr>
              <w:pStyle w:val="yTable"/>
              <w:spacing w:before="40" w:after="20"/>
              <w:ind w:left="317"/>
            </w:pPr>
            <w:r>
              <w:t>38</w:t>
            </w:r>
          </w:p>
        </w:tc>
        <w:tc>
          <w:tcPr>
            <w:tcW w:w="1559" w:type="dxa"/>
          </w:tcPr>
          <w:p>
            <w:pPr>
              <w:pStyle w:val="yTable"/>
              <w:spacing w:before="40" w:after="20"/>
              <w:jc w:val="center"/>
            </w:pPr>
            <w:r>
              <w:t>41</w:t>
            </w:r>
          </w:p>
        </w:tc>
        <w:tc>
          <w:tcPr>
            <w:tcW w:w="1228" w:type="dxa"/>
          </w:tcPr>
          <w:p>
            <w:pPr>
              <w:pStyle w:val="yTable"/>
              <w:spacing w:before="40" w:after="20"/>
              <w:ind w:left="459"/>
            </w:pPr>
            <w:r>
              <w:t>20</w:t>
            </w:r>
          </w:p>
        </w:tc>
        <w:tc>
          <w:tcPr>
            <w:tcW w:w="1229" w:type="dxa"/>
          </w:tcPr>
          <w:p>
            <w:pPr>
              <w:pStyle w:val="yTable"/>
              <w:spacing w:before="40" w:after="20"/>
              <w:jc w:val="center"/>
            </w:pPr>
            <w:r>
              <w:t>20</w:t>
            </w:r>
          </w:p>
        </w:tc>
        <w:tc>
          <w:tcPr>
            <w:tcW w:w="1229" w:type="dxa"/>
          </w:tcPr>
          <w:p>
            <w:pPr>
              <w:pStyle w:val="yTable"/>
              <w:spacing w:before="40" w:after="20"/>
              <w:jc w:val="center"/>
            </w:pPr>
            <w:r>
              <w:t>78</w:t>
            </w:r>
          </w:p>
        </w:tc>
      </w:tr>
      <w:tr>
        <w:trPr>
          <w:cantSplit/>
        </w:trPr>
        <w:tc>
          <w:tcPr>
            <w:tcW w:w="1276" w:type="dxa"/>
          </w:tcPr>
          <w:p>
            <w:pPr>
              <w:pStyle w:val="yTable"/>
              <w:spacing w:before="40" w:after="20"/>
              <w:ind w:left="317"/>
            </w:pPr>
            <w:r>
              <w:t>41</w:t>
            </w:r>
          </w:p>
        </w:tc>
        <w:tc>
          <w:tcPr>
            <w:tcW w:w="1559" w:type="dxa"/>
          </w:tcPr>
          <w:p>
            <w:pPr>
              <w:pStyle w:val="yTable"/>
              <w:spacing w:before="40" w:after="20"/>
              <w:jc w:val="center"/>
            </w:pPr>
            <w:r>
              <w:t>44</w:t>
            </w:r>
          </w:p>
        </w:tc>
        <w:tc>
          <w:tcPr>
            <w:tcW w:w="1228" w:type="dxa"/>
          </w:tcPr>
          <w:p>
            <w:pPr>
              <w:pStyle w:val="yTable"/>
              <w:spacing w:before="40" w:after="20"/>
              <w:ind w:left="459"/>
            </w:pPr>
          </w:p>
        </w:tc>
        <w:tc>
          <w:tcPr>
            <w:tcW w:w="1229" w:type="dxa"/>
          </w:tcPr>
          <w:p>
            <w:pPr>
              <w:pStyle w:val="yTable"/>
              <w:spacing w:before="40" w:after="20"/>
              <w:jc w:val="center"/>
            </w:pPr>
            <w:r>
              <w:t>22</w:t>
            </w:r>
          </w:p>
        </w:tc>
        <w:tc>
          <w:tcPr>
            <w:tcW w:w="1229" w:type="dxa"/>
          </w:tcPr>
          <w:p>
            <w:pPr>
              <w:pStyle w:val="yTable"/>
              <w:spacing w:before="40" w:after="20"/>
              <w:jc w:val="center"/>
            </w:pPr>
            <w:r>
              <w:t>86</w:t>
            </w:r>
          </w:p>
        </w:tc>
      </w:tr>
      <w:tr>
        <w:trPr>
          <w:cantSplit/>
        </w:trPr>
        <w:tc>
          <w:tcPr>
            <w:tcW w:w="1276" w:type="dxa"/>
          </w:tcPr>
          <w:p>
            <w:pPr>
              <w:pStyle w:val="yTable"/>
              <w:spacing w:before="40" w:after="20"/>
              <w:ind w:left="317"/>
            </w:pPr>
            <w:r>
              <w:t>44</w:t>
            </w:r>
          </w:p>
        </w:tc>
        <w:tc>
          <w:tcPr>
            <w:tcW w:w="1559" w:type="dxa"/>
          </w:tcPr>
          <w:p>
            <w:pPr>
              <w:pStyle w:val="yTable"/>
              <w:spacing w:before="40" w:after="20"/>
              <w:jc w:val="center"/>
            </w:pPr>
            <w:r>
              <w:t>47</w:t>
            </w:r>
          </w:p>
        </w:tc>
        <w:tc>
          <w:tcPr>
            <w:tcW w:w="1228" w:type="dxa"/>
          </w:tcPr>
          <w:p>
            <w:pPr>
              <w:pStyle w:val="yTable"/>
              <w:spacing w:before="40" w:after="20"/>
              <w:ind w:left="459"/>
            </w:pPr>
          </w:p>
        </w:tc>
        <w:tc>
          <w:tcPr>
            <w:tcW w:w="1229" w:type="dxa"/>
          </w:tcPr>
          <w:p>
            <w:pPr>
              <w:pStyle w:val="yTable"/>
              <w:spacing w:before="40" w:after="20"/>
              <w:jc w:val="center"/>
            </w:pPr>
            <w:r>
              <w:t>24</w:t>
            </w:r>
          </w:p>
        </w:tc>
        <w:tc>
          <w:tcPr>
            <w:tcW w:w="1229" w:type="dxa"/>
          </w:tcPr>
          <w:p>
            <w:pPr>
              <w:pStyle w:val="yTable"/>
              <w:spacing w:before="40" w:after="20"/>
              <w:jc w:val="center"/>
            </w:pPr>
            <w:r>
              <w:t>94</w:t>
            </w:r>
          </w:p>
        </w:tc>
      </w:tr>
      <w:tr>
        <w:trPr>
          <w:cantSplit/>
        </w:trPr>
        <w:tc>
          <w:tcPr>
            <w:tcW w:w="1276" w:type="dxa"/>
          </w:tcPr>
          <w:p>
            <w:pPr>
              <w:pStyle w:val="yTable"/>
              <w:spacing w:before="40" w:after="20"/>
              <w:ind w:left="317"/>
            </w:pPr>
            <w:r>
              <w:t>47</w:t>
            </w:r>
          </w:p>
        </w:tc>
        <w:tc>
          <w:tcPr>
            <w:tcW w:w="1559" w:type="dxa"/>
          </w:tcPr>
          <w:p>
            <w:pPr>
              <w:pStyle w:val="yTable"/>
              <w:spacing w:before="40" w:after="20"/>
              <w:jc w:val="center"/>
            </w:pPr>
            <w:r>
              <w:t>50</w:t>
            </w:r>
          </w:p>
        </w:tc>
        <w:tc>
          <w:tcPr>
            <w:tcW w:w="1228" w:type="dxa"/>
          </w:tcPr>
          <w:p>
            <w:pPr>
              <w:pStyle w:val="yTable"/>
              <w:spacing w:before="40" w:after="20"/>
              <w:ind w:left="459"/>
            </w:pPr>
          </w:p>
        </w:tc>
        <w:tc>
          <w:tcPr>
            <w:tcW w:w="1229" w:type="dxa"/>
          </w:tcPr>
          <w:p>
            <w:pPr>
              <w:pStyle w:val="yTable"/>
              <w:spacing w:before="40" w:after="20"/>
              <w:jc w:val="center"/>
            </w:pPr>
            <w:r>
              <w:t>26</w:t>
            </w:r>
          </w:p>
        </w:tc>
        <w:tc>
          <w:tcPr>
            <w:tcW w:w="1229" w:type="dxa"/>
          </w:tcPr>
          <w:p>
            <w:pPr>
              <w:pStyle w:val="yTable"/>
              <w:spacing w:before="40" w:after="20"/>
              <w:jc w:val="center"/>
            </w:pPr>
            <w:r>
              <w:t>102</w:t>
            </w:r>
          </w:p>
        </w:tc>
      </w:tr>
      <w:tr>
        <w:trPr>
          <w:cantSplit/>
        </w:trPr>
        <w:tc>
          <w:tcPr>
            <w:tcW w:w="1276" w:type="dxa"/>
          </w:tcPr>
          <w:p>
            <w:pPr>
              <w:pStyle w:val="yTable"/>
              <w:spacing w:before="40" w:after="20"/>
              <w:ind w:left="317"/>
            </w:pPr>
            <w:r>
              <w:t>50</w:t>
            </w:r>
          </w:p>
        </w:tc>
        <w:tc>
          <w:tcPr>
            <w:tcW w:w="1559" w:type="dxa"/>
          </w:tcPr>
          <w:p>
            <w:pPr>
              <w:pStyle w:val="yTable"/>
              <w:spacing w:before="40" w:after="20"/>
              <w:jc w:val="center"/>
            </w:pPr>
            <w:r>
              <w:t>53</w:t>
            </w:r>
          </w:p>
        </w:tc>
        <w:tc>
          <w:tcPr>
            <w:tcW w:w="1228" w:type="dxa"/>
          </w:tcPr>
          <w:p>
            <w:pPr>
              <w:pStyle w:val="yTable"/>
              <w:spacing w:before="40" w:after="20"/>
              <w:ind w:left="459"/>
            </w:pPr>
          </w:p>
        </w:tc>
        <w:tc>
          <w:tcPr>
            <w:tcW w:w="1229" w:type="dxa"/>
          </w:tcPr>
          <w:p>
            <w:pPr>
              <w:pStyle w:val="yTable"/>
              <w:spacing w:before="40" w:after="20"/>
              <w:jc w:val="center"/>
            </w:pPr>
            <w:r>
              <w:t>28</w:t>
            </w:r>
          </w:p>
        </w:tc>
        <w:tc>
          <w:tcPr>
            <w:tcW w:w="1229" w:type="dxa"/>
          </w:tcPr>
          <w:p>
            <w:pPr>
              <w:pStyle w:val="yTable"/>
              <w:spacing w:before="40" w:after="20"/>
              <w:jc w:val="center"/>
            </w:pPr>
            <w:r>
              <w:t>110</w:t>
            </w:r>
          </w:p>
        </w:tc>
      </w:tr>
      <w:tr>
        <w:trPr>
          <w:cantSplit/>
        </w:trPr>
        <w:tc>
          <w:tcPr>
            <w:tcW w:w="1276" w:type="dxa"/>
          </w:tcPr>
          <w:p>
            <w:pPr>
              <w:pStyle w:val="yTable"/>
              <w:spacing w:before="40" w:after="20"/>
              <w:ind w:left="317"/>
            </w:pPr>
            <w:r>
              <w:t>53</w:t>
            </w:r>
          </w:p>
        </w:tc>
        <w:tc>
          <w:tcPr>
            <w:tcW w:w="1559" w:type="dxa"/>
          </w:tcPr>
          <w:p>
            <w:pPr>
              <w:pStyle w:val="yTable"/>
              <w:spacing w:before="40" w:after="20"/>
              <w:jc w:val="center"/>
            </w:pPr>
            <w:r>
              <w:t>56</w:t>
            </w:r>
          </w:p>
        </w:tc>
        <w:tc>
          <w:tcPr>
            <w:tcW w:w="1228" w:type="dxa"/>
          </w:tcPr>
          <w:p>
            <w:pPr>
              <w:pStyle w:val="yTable"/>
              <w:spacing w:before="40" w:after="20"/>
              <w:ind w:left="459"/>
            </w:pPr>
          </w:p>
        </w:tc>
        <w:tc>
          <w:tcPr>
            <w:tcW w:w="1229" w:type="dxa"/>
          </w:tcPr>
          <w:p>
            <w:pPr>
              <w:pStyle w:val="yTable"/>
              <w:spacing w:before="40" w:after="20"/>
              <w:jc w:val="center"/>
            </w:pPr>
            <w:r>
              <w:t>30</w:t>
            </w:r>
          </w:p>
        </w:tc>
        <w:tc>
          <w:tcPr>
            <w:tcW w:w="1229" w:type="dxa"/>
          </w:tcPr>
          <w:p>
            <w:pPr>
              <w:pStyle w:val="yTable"/>
              <w:spacing w:before="40" w:after="20"/>
              <w:jc w:val="center"/>
            </w:pPr>
            <w:r>
              <w:t>118</w:t>
            </w:r>
          </w:p>
        </w:tc>
      </w:tr>
      <w:tr>
        <w:trPr>
          <w:cantSplit/>
        </w:trPr>
        <w:tc>
          <w:tcPr>
            <w:tcW w:w="1276" w:type="dxa"/>
          </w:tcPr>
          <w:p>
            <w:pPr>
              <w:pStyle w:val="yTable"/>
              <w:spacing w:before="40" w:after="20"/>
              <w:ind w:left="317"/>
            </w:pPr>
            <w:r>
              <w:t>56</w:t>
            </w:r>
          </w:p>
        </w:tc>
        <w:tc>
          <w:tcPr>
            <w:tcW w:w="1559" w:type="dxa"/>
          </w:tcPr>
          <w:p>
            <w:pPr>
              <w:pStyle w:val="yTable"/>
              <w:spacing w:before="40" w:after="20"/>
              <w:jc w:val="center"/>
            </w:pPr>
            <w:r>
              <w:t>59</w:t>
            </w:r>
          </w:p>
        </w:tc>
        <w:tc>
          <w:tcPr>
            <w:tcW w:w="1228" w:type="dxa"/>
          </w:tcPr>
          <w:p>
            <w:pPr>
              <w:pStyle w:val="yTable"/>
              <w:spacing w:before="40" w:after="20"/>
              <w:ind w:left="459"/>
            </w:pPr>
          </w:p>
        </w:tc>
        <w:tc>
          <w:tcPr>
            <w:tcW w:w="1229" w:type="dxa"/>
          </w:tcPr>
          <w:p>
            <w:pPr>
              <w:pStyle w:val="yTable"/>
              <w:spacing w:before="40" w:after="20"/>
              <w:jc w:val="center"/>
            </w:pPr>
            <w:r>
              <w:t>32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59</w:t>
            </w:r>
          </w:p>
        </w:tc>
        <w:tc>
          <w:tcPr>
            <w:tcW w:w="1559" w:type="dxa"/>
          </w:tcPr>
          <w:p>
            <w:pPr>
              <w:pStyle w:val="yTable"/>
              <w:spacing w:before="40" w:after="20"/>
              <w:jc w:val="center"/>
            </w:pPr>
            <w:r>
              <w:t>62</w:t>
            </w:r>
          </w:p>
        </w:tc>
        <w:tc>
          <w:tcPr>
            <w:tcW w:w="1228" w:type="dxa"/>
          </w:tcPr>
          <w:p>
            <w:pPr>
              <w:pStyle w:val="yTable"/>
              <w:spacing w:before="40" w:after="20"/>
              <w:ind w:left="459"/>
            </w:pPr>
          </w:p>
        </w:tc>
        <w:tc>
          <w:tcPr>
            <w:tcW w:w="1229" w:type="dxa"/>
          </w:tcPr>
          <w:p>
            <w:pPr>
              <w:pStyle w:val="yTable"/>
              <w:spacing w:before="40" w:after="20"/>
              <w:jc w:val="center"/>
            </w:pPr>
            <w:r>
              <w:t>34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62</w:t>
            </w:r>
          </w:p>
        </w:tc>
        <w:tc>
          <w:tcPr>
            <w:tcW w:w="1559" w:type="dxa"/>
          </w:tcPr>
          <w:p>
            <w:pPr>
              <w:pStyle w:val="yTable"/>
              <w:spacing w:before="40" w:after="20"/>
              <w:jc w:val="center"/>
            </w:pPr>
            <w:r>
              <w:t>65</w:t>
            </w:r>
          </w:p>
        </w:tc>
        <w:tc>
          <w:tcPr>
            <w:tcW w:w="1228" w:type="dxa"/>
          </w:tcPr>
          <w:p>
            <w:pPr>
              <w:pStyle w:val="yTable"/>
              <w:spacing w:before="40" w:after="20"/>
              <w:ind w:left="459"/>
            </w:pPr>
          </w:p>
        </w:tc>
        <w:tc>
          <w:tcPr>
            <w:tcW w:w="1229" w:type="dxa"/>
          </w:tcPr>
          <w:p>
            <w:pPr>
              <w:pStyle w:val="yTable"/>
              <w:spacing w:before="40" w:after="20"/>
              <w:jc w:val="center"/>
            </w:pPr>
            <w:r>
              <w:t>36</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65</w:t>
            </w:r>
          </w:p>
        </w:tc>
        <w:tc>
          <w:tcPr>
            <w:tcW w:w="1559" w:type="dxa"/>
          </w:tcPr>
          <w:p>
            <w:pPr>
              <w:pStyle w:val="yTable"/>
              <w:spacing w:before="40" w:after="20"/>
              <w:jc w:val="center"/>
            </w:pPr>
            <w:r>
              <w:t>68</w:t>
            </w:r>
          </w:p>
        </w:tc>
        <w:tc>
          <w:tcPr>
            <w:tcW w:w="1228" w:type="dxa"/>
          </w:tcPr>
          <w:p>
            <w:pPr>
              <w:pStyle w:val="yTable"/>
              <w:spacing w:before="40" w:after="20"/>
              <w:ind w:left="459"/>
            </w:pPr>
          </w:p>
        </w:tc>
        <w:tc>
          <w:tcPr>
            <w:tcW w:w="1229" w:type="dxa"/>
          </w:tcPr>
          <w:p>
            <w:pPr>
              <w:pStyle w:val="yTable"/>
              <w:spacing w:before="40" w:after="20"/>
              <w:jc w:val="center"/>
            </w:pPr>
            <w:r>
              <w:t>38</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68</w:t>
            </w:r>
          </w:p>
        </w:tc>
        <w:tc>
          <w:tcPr>
            <w:tcW w:w="1559" w:type="dxa"/>
          </w:tcPr>
          <w:p>
            <w:pPr>
              <w:pStyle w:val="yTable"/>
              <w:spacing w:before="40" w:after="20"/>
              <w:jc w:val="center"/>
            </w:pPr>
            <w:r>
              <w:t>71</w:t>
            </w:r>
          </w:p>
        </w:tc>
        <w:tc>
          <w:tcPr>
            <w:tcW w:w="1228" w:type="dxa"/>
          </w:tcPr>
          <w:p>
            <w:pPr>
              <w:pStyle w:val="yTable"/>
              <w:spacing w:before="40" w:after="20"/>
              <w:ind w:left="459"/>
            </w:pPr>
          </w:p>
        </w:tc>
        <w:tc>
          <w:tcPr>
            <w:tcW w:w="1229" w:type="dxa"/>
          </w:tcPr>
          <w:p>
            <w:pPr>
              <w:pStyle w:val="yTable"/>
              <w:spacing w:before="40" w:after="20"/>
              <w:jc w:val="center"/>
            </w:pPr>
            <w:r>
              <w:t>40</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71</w:t>
            </w:r>
          </w:p>
        </w:tc>
        <w:tc>
          <w:tcPr>
            <w:tcW w:w="1559" w:type="dxa"/>
          </w:tcPr>
          <w:p>
            <w:pPr>
              <w:pStyle w:val="yTable"/>
              <w:spacing w:before="40" w:after="20"/>
              <w:jc w:val="center"/>
            </w:pPr>
            <w:r>
              <w:t>74</w:t>
            </w:r>
          </w:p>
        </w:tc>
        <w:tc>
          <w:tcPr>
            <w:tcW w:w="1228" w:type="dxa"/>
          </w:tcPr>
          <w:p>
            <w:pPr>
              <w:pStyle w:val="yTable"/>
              <w:spacing w:before="40" w:after="20"/>
              <w:ind w:left="459"/>
            </w:pPr>
          </w:p>
        </w:tc>
        <w:tc>
          <w:tcPr>
            <w:tcW w:w="1229" w:type="dxa"/>
          </w:tcPr>
          <w:p>
            <w:pPr>
              <w:pStyle w:val="yTable"/>
              <w:spacing w:before="40" w:after="20"/>
              <w:jc w:val="center"/>
            </w:pPr>
            <w:r>
              <w:t>42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74</w:t>
            </w:r>
          </w:p>
        </w:tc>
        <w:tc>
          <w:tcPr>
            <w:tcW w:w="1559" w:type="dxa"/>
          </w:tcPr>
          <w:p>
            <w:pPr>
              <w:pStyle w:val="yTable"/>
              <w:spacing w:before="40" w:after="20"/>
              <w:jc w:val="center"/>
            </w:pPr>
            <w:r>
              <w:t>77</w:t>
            </w:r>
          </w:p>
        </w:tc>
        <w:tc>
          <w:tcPr>
            <w:tcW w:w="1228" w:type="dxa"/>
          </w:tcPr>
          <w:p>
            <w:pPr>
              <w:pStyle w:val="yTable"/>
              <w:spacing w:before="40" w:after="20"/>
              <w:ind w:left="459"/>
            </w:pPr>
          </w:p>
        </w:tc>
        <w:tc>
          <w:tcPr>
            <w:tcW w:w="1229" w:type="dxa"/>
          </w:tcPr>
          <w:p>
            <w:pPr>
              <w:pStyle w:val="yTable"/>
              <w:spacing w:before="40" w:after="20"/>
              <w:jc w:val="center"/>
            </w:pPr>
            <w:r>
              <w:t>44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77</w:t>
            </w:r>
          </w:p>
        </w:tc>
        <w:tc>
          <w:tcPr>
            <w:tcW w:w="1559" w:type="dxa"/>
          </w:tcPr>
          <w:p>
            <w:pPr>
              <w:pStyle w:val="yTable"/>
              <w:spacing w:before="40" w:after="20"/>
              <w:jc w:val="center"/>
            </w:pPr>
            <w:r>
              <w:t>80</w:t>
            </w:r>
          </w:p>
        </w:tc>
        <w:tc>
          <w:tcPr>
            <w:tcW w:w="1228" w:type="dxa"/>
          </w:tcPr>
          <w:p>
            <w:pPr>
              <w:pStyle w:val="yTable"/>
              <w:spacing w:before="40" w:after="20"/>
              <w:ind w:left="459"/>
            </w:pPr>
          </w:p>
        </w:tc>
        <w:tc>
          <w:tcPr>
            <w:tcW w:w="1229" w:type="dxa"/>
          </w:tcPr>
          <w:p>
            <w:pPr>
              <w:pStyle w:val="yTable"/>
              <w:spacing w:before="40" w:after="20"/>
              <w:jc w:val="center"/>
            </w:pPr>
            <w:r>
              <w:t>46</w:t>
            </w:r>
          </w:p>
        </w:tc>
        <w:tc>
          <w:tcPr>
            <w:tcW w:w="1229" w:type="dxa"/>
          </w:tcPr>
          <w:p>
            <w:pPr>
              <w:pStyle w:val="yTable"/>
              <w:spacing w:before="40" w:after="20"/>
              <w:jc w:val="center"/>
            </w:pPr>
            <w:r>
              <w:t>120</w:t>
            </w:r>
          </w:p>
        </w:tc>
      </w:tr>
      <w:tr>
        <w:trPr>
          <w:cantSplit/>
        </w:trPr>
        <w:tc>
          <w:tcPr>
            <w:tcW w:w="1276" w:type="dxa"/>
            <w:tcBorders>
              <w:bottom w:val="single" w:sz="4" w:space="0" w:color="auto"/>
            </w:tcBorders>
          </w:tcPr>
          <w:p>
            <w:pPr>
              <w:pStyle w:val="yTable"/>
              <w:spacing w:before="40" w:after="20"/>
              <w:ind w:left="317"/>
            </w:pPr>
            <w:r>
              <w:t>80</w:t>
            </w:r>
          </w:p>
        </w:tc>
        <w:tc>
          <w:tcPr>
            <w:tcW w:w="1559" w:type="dxa"/>
            <w:tcBorders>
              <w:bottom w:val="single" w:sz="4" w:space="0" w:color="auto"/>
            </w:tcBorders>
          </w:tcPr>
          <w:p>
            <w:pPr>
              <w:pStyle w:val="yTable"/>
              <w:spacing w:before="40" w:after="20"/>
              <w:jc w:val="center"/>
            </w:pPr>
          </w:p>
        </w:tc>
        <w:tc>
          <w:tcPr>
            <w:tcW w:w="1228" w:type="dxa"/>
            <w:tcBorders>
              <w:bottom w:val="single" w:sz="4" w:space="0" w:color="auto"/>
            </w:tcBorders>
          </w:tcPr>
          <w:p>
            <w:pPr>
              <w:pStyle w:val="yTable"/>
              <w:spacing w:before="40" w:after="20"/>
              <w:ind w:left="459"/>
            </w:pPr>
          </w:p>
        </w:tc>
        <w:tc>
          <w:tcPr>
            <w:tcW w:w="1229" w:type="dxa"/>
            <w:tcBorders>
              <w:bottom w:val="single" w:sz="4" w:space="0" w:color="auto"/>
            </w:tcBorders>
          </w:tcPr>
          <w:p>
            <w:pPr>
              <w:pStyle w:val="yTable"/>
              <w:spacing w:before="40" w:after="20"/>
              <w:jc w:val="center"/>
            </w:pPr>
            <w:r>
              <w:t>48</w:t>
            </w:r>
          </w:p>
        </w:tc>
        <w:tc>
          <w:tcPr>
            <w:tcW w:w="1229" w:type="dxa"/>
            <w:tcBorders>
              <w:bottom w:val="single" w:sz="4" w:space="0" w:color="auto"/>
            </w:tcBorders>
          </w:tcPr>
          <w:p>
            <w:pPr>
              <w:pStyle w:val="yTable"/>
              <w:spacing w:before="40" w:after="20"/>
              <w:jc w:val="center"/>
            </w:pPr>
            <w:r>
              <w:t>120</w:t>
            </w:r>
          </w:p>
        </w:tc>
      </w:tr>
    </w:tbl>
    <w:p>
      <w:pPr>
        <w:pStyle w:val="yFootnotesection"/>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583" w:name="_Toc119233951"/>
      <w:bookmarkStart w:id="584" w:name="_Toc119730816"/>
      <w:bookmarkStart w:id="585" w:name="_Toc120943762"/>
      <w:bookmarkStart w:id="586" w:name="_Toc120948459"/>
      <w:bookmarkStart w:id="587" w:name="_Toc114630164"/>
      <w:bookmarkStart w:id="588" w:name="_Toc116706927"/>
      <w:bookmarkStart w:id="589" w:name="_Toc116707110"/>
      <w:bookmarkStart w:id="590" w:name="_Toc122742805"/>
      <w:bookmarkStart w:id="591" w:name="_Toc122838037"/>
      <w:bookmarkStart w:id="592" w:name="_Toc122839098"/>
      <w:bookmarkStart w:id="593" w:name="_Toc124152156"/>
      <w:bookmarkStart w:id="594" w:name="_Toc136332274"/>
      <w:r>
        <w:rPr>
          <w:rStyle w:val="CharSchNo"/>
          <w:bCs/>
          <w:iCs/>
        </w:rPr>
        <w:t>Schedule 2</w:t>
      </w:r>
      <w:r>
        <w:rPr>
          <w:bCs/>
          <w:iCs/>
        </w:rPr>
        <w:t xml:space="preserve"> — </w:t>
      </w:r>
      <w:r>
        <w:rPr>
          <w:rStyle w:val="CharSchText"/>
          <w:bCs/>
          <w:iCs/>
        </w:rPr>
        <w:t>Oversize and overmass vehicles — conditions on exemptions</w:t>
      </w:r>
      <w:bookmarkEnd w:id="583"/>
      <w:bookmarkEnd w:id="584"/>
      <w:bookmarkEnd w:id="585"/>
      <w:bookmarkEnd w:id="586"/>
      <w:bookmarkEnd w:id="587"/>
      <w:bookmarkEnd w:id="588"/>
      <w:bookmarkEnd w:id="589"/>
      <w:bookmarkEnd w:id="590"/>
      <w:bookmarkEnd w:id="591"/>
      <w:bookmarkEnd w:id="592"/>
      <w:bookmarkEnd w:id="593"/>
      <w:bookmarkEnd w:id="594"/>
    </w:p>
    <w:p>
      <w:pPr>
        <w:pStyle w:val="yShoulderClause"/>
      </w:pPr>
      <w:r>
        <w:t>[Part 4]</w:t>
      </w:r>
    </w:p>
    <w:p>
      <w:pPr>
        <w:pStyle w:val="yHeading3"/>
        <w:spacing w:before="200"/>
      </w:pPr>
      <w:bookmarkStart w:id="595" w:name="_Toc116706928"/>
      <w:bookmarkStart w:id="596" w:name="_Toc116707111"/>
      <w:bookmarkStart w:id="597" w:name="_Toc117656284"/>
      <w:bookmarkStart w:id="598" w:name="_Toc117656466"/>
      <w:bookmarkStart w:id="599" w:name="_Toc119233952"/>
      <w:bookmarkStart w:id="600" w:name="_Toc119730817"/>
      <w:bookmarkStart w:id="601" w:name="_Toc120943763"/>
      <w:bookmarkStart w:id="602" w:name="_Toc120948460"/>
      <w:bookmarkStart w:id="603" w:name="_Toc122742806"/>
      <w:bookmarkStart w:id="604" w:name="_Toc122838038"/>
      <w:bookmarkStart w:id="605" w:name="_Toc122839099"/>
      <w:bookmarkStart w:id="606" w:name="_Toc124152157"/>
      <w:bookmarkStart w:id="607" w:name="_Toc136332275"/>
      <w:r>
        <w:rPr>
          <w:rStyle w:val="CharSDivNo"/>
        </w:rPr>
        <w:t>Division 1</w:t>
      </w:r>
      <w:r>
        <w:t xml:space="preserve"> — </w:t>
      </w:r>
      <w:r>
        <w:rPr>
          <w:rStyle w:val="CharSDivText"/>
        </w:rPr>
        <w:t>All vehicles travelling under a class 1 notice</w:t>
      </w:r>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yHeading5"/>
        <w:spacing w:before="160"/>
      </w:pPr>
      <w:bookmarkStart w:id="608" w:name="_Toc136332276"/>
      <w:bookmarkStart w:id="609" w:name="_Toc124152158"/>
      <w:r>
        <w:rPr>
          <w:rStyle w:val="CharSClsNo"/>
        </w:rPr>
        <w:t>1</w:t>
      </w:r>
      <w:r>
        <w:t>.</w:t>
      </w:r>
      <w:r>
        <w:tab/>
        <w:t>Application of Division</w:t>
      </w:r>
      <w:bookmarkEnd w:id="608"/>
      <w:bookmarkEnd w:id="609"/>
    </w:p>
    <w:p>
      <w:pPr>
        <w:pStyle w:val="ySubsection"/>
      </w:pPr>
      <w:r>
        <w:tab/>
      </w:r>
      <w:r>
        <w:tab/>
        <w:t>This Division applies to all vehicles travelling under a class 1 notice.</w:t>
      </w:r>
    </w:p>
    <w:p>
      <w:pPr>
        <w:pStyle w:val="yHeading5"/>
        <w:spacing w:before="160"/>
      </w:pPr>
      <w:bookmarkStart w:id="610" w:name="_Toc136332277"/>
      <w:bookmarkStart w:id="611" w:name="_Toc124152159"/>
      <w:r>
        <w:rPr>
          <w:rStyle w:val="CharSClsNo"/>
        </w:rPr>
        <w:t>2</w:t>
      </w:r>
      <w:r>
        <w:t>.</w:t>
      </w:r>
      <w:r>
        <w:tab/>
        <w:t>Mass limits relating to tyre width</w:t>
      </w:r>
      <w:bookmarkEnd w:id="610"/>
      <w:bookmarkEnd w:id="611"/>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Pr>
          <w:p>
            <w:pPr>
              <w:pStyle w:val="yTable"/>
              <w:keepNext/>
              <w:keepLines/>
              <w:spacing w:before="40" w:after="20"/>
              <w:ind w:right="34"/>
              <w:jc w:val="center"/>
            </w:pPr>
            <w:r>
              <w:t>508</w:t>
            </w:r>
          </w:p>
        </w:tc>
        <w:tc>
          <w:tcPr>
            <w:tcW w:w="1276" w:type="dxa"/>
          </w:tcPr>
          <w:p>
            <w:pPr>
              <w:pStyle w:val="yTable"/>
              <w:keepNext/>
              <w:keepLines/>
              <w:spacing w:before="40" w:after="20"/>
              <w:ind w:left="317"/>
            </w:pPr>
          </w:p>
        </w:tc>
        <w:tc>
          <w:tcPr>
            <w:tcW w:w="1275" w:type="dxa"/>
          </w:tcPr>
          <w:p>
            <w:pPr>
              <w:pStyle w:val="yTable"/>
              <w:keepNext/>
              <w:keepLines/>
              <w:spacing w:before="40" w:after="20"/>
              <w:jc w:val="center"/>
            </w:pPr>
            <w:r>
              <w:t>19.0</w:t>
            </w:r>
          </w:p>
        </w:tc>
        <w:tc>
          <w:tcPr>
            <w:tcW w:w="1857" w:type="dxa"/>
            <w:gridSpan w:val="2"/>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6" name="Picture 6"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01\public$\untitled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yMiscellaneousHeading"/>
        <w:spacing w:before="12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7" name="Picture 7"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yMiscellaneousHeading"/>
        <w:spacing w:before="12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pPr>
      <w:bookmarkStart w:id="612" w:name="_Toc136332278"/>
      <w:bookmarkStart w:id="613" w:name="_Toc124152160"/>
      <w:r>
        <w:rPr>
          <w:rStyle w:val="CharSClsNo"/>
        </w:rPr>
        <w:t>3</w:t>
      </w:r>
      <w:r>
        <w:t>.</w:t>
      </w:r>
      <w:r>
        <w:tab/>
        <w:t>Dimension limits</w:t>
      </w:r>
      <w:bookmarkEnd w:id="612"/>
      <w:bookmarkEnd w:id="613"/>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Projection in front of the centre of the steering wheel</w:t>
            </w:r>
          </w:p>
        </w:tc>
        <w:tc>
          <w:tcPr>
            <w:tcW w:w="1418" w:type="dxa"/>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8" name="Picture 8"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2(3).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pPr>
      <w:bookmarkStart w:id="614" w:name="_Toc136332279"/>
      <w:bookmarkStart w:id="615" w:name="_Toc124152161"/>
      <w:r>
        <w:rPr>
          <w:rStyle w:val="CharSClsNo"/>
        </w:rPr>
        <w:t>4</w:t>
      </w:r>
      <w:r>
        <w:t>.</w:t>
      </w:r>
      <w:r>
        <w:tab/>
        <w:t>Making an unloaded vehicle smaller</w:t>
      </w:r>
      <w:bookmarkEnd w:id="614"/>
      <w:bookmarkEnd w:id="615"/>
    </w:p>
    <w:p>
      <w:pPr>
        <w:pStyle w:val="ySubsection"/>
      </w:pPr>
      <w:r>
        <w:tab/>
      </w:r>
      <w:r>
        <w:tab/>
        <w:t>An oversize vehicle without a load must be reduced to the smallest practicable dimensions, with any booms fully retracted.</w:t>
      </w:r>
    </w:p>
    <w:p>
      <w:pPr>
        <w:pStyle w:val="yHeading5"/>
      </w:pPr>
      <w:bookmarkStart w:id="616" w:name="_Toc136332280"/>
      <w:bookmarkStart w:id="617" w:name="_Toc124152162"/>
      <w:r>
        <w:rPr>
          <w:rStyle w:val="CharSClsNo"/>
        </w:rPr>
        <w:t>5</w:t>
      </w:r>
      <w:r>
        <w:t>.</w:t>
      </w:r>
      <w:r>
        <w:tab/>
        <w:t>Warning devices for oversize vehicles</w:t>
      </w:r>
      <w:bookmarkEnd w:id="616"/>
      <w:bookmarkEnd w:id="617"/>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pPr>
      <w:bookmarkStart w:id="618" w:name="_Toc136332281"/>
      <w:bookmarkStart w:id="619" w:name="_Toc124152163"/>
      <w:r>
        <w:rPr>
          <w:rStyle w:val="CharSClsNo"/>
        </w:rPr>
        <w:t>6</w:t>
      </w:r>
      <w:r>
        <w:t>.</w:t>
      </w:r>
      <w:r>
        <w:tab/>
        <w:t>Additional warning devices at night</w:t>
      </w:r>
      <w:r>
        <w:noBreakHyphen/>
        <w:t>time</w:t>
      </w:r>
      <w:bookmarkEnd w:id="618"/>
      <w:bookmarkEnd w:id="619"/>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pPr>
      <w:bookmarkStart w:id="620" w:name="_Toc136332282"/>
      <w:bookmarkStart w:id="621" w:name="_Toc124152164"/>
      <w:r>
        <w:rPr>
          <w:rStyle w:val="CharSClsNo"/>
        </w:rPr>
        <w:t>7</w:t>
      </w:r>
      <w:r>
        <w:t>.</w:t>
      </w:r>
      <w:r>
        <w:tab/>
        <w:t>Headlights</w:t>
      </w:r>
      <w:bookmarkEnd w:id="620"/>
      <w:bookmarkEnd w:id="621"/>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pPr>
      <w:bookmarkStart w:id="622" w:name="_Toc136332283"/>
      <w:bookmarkStart w:id="623" w:name="_Toc124152165"/>
      <w:r>
        <w:rPr>
          <w:rStyle w:val="CharSClsNo"/>
        </w:rPr>
        <w:t>8</w:t>
      </w:r>
      <w:r>
        <w:t>.</w:t>
      </w:r>
      <w:r>
        <w:tab/>
        <w:t>Travel restrictions at night</w:t>
      </w:r>
      <w:r>
        <w:noBreakHyphen/>
        <w:t>time</w:t>
      </w:r>
      <w:bookmarkEnd w:id="622"/>
      <w:bookmarkEnd w:id="623"/>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pPr>
      <w:bookmarkStart w:id="624" w:name="_Toc136332284"/>
      <w:bookmarkStart w:id="625" w:name="_Toc124152166"/>
      <w:r>
        <w:rPr>
          <w:rStyle w:val="CharSClsNo"/>
        </w:rPr>
        <w:t>9</w:t>
      </w:r>
      <w:r>
        <w:t>.</w:t>
      </w:r>
      <w:r>
        <w:tab/>
        <w:t>No travelling if low visibility</w:t>
      </w:r>
      <w:bookmarkEnd w:id="624"/>
      <w:bookmarkEnd w:id="625"/>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pPr>
      <w:bookmarkStart w:id="626" w:name="_Toc136332285"/>
      <w:bookmarkStart w:id="627" w:name="_Toc124152167"/>
      <w:r>
        <w:rPr>
          <w:rStyle w:val="CharSClsNo"/>
        </w:rPr>
        <w:t>10</w:t>
      </w:r>
      <w:r>
        <w:t>.</w:t>
      </w:r>
      <w:r>
        <w:tab/>
        <w:t>Minimum following distance</w:t>
      </w:r>
      <w:bookmarkEnd w:id="626"/>
      <w:bookmarkEnd w:id="627"/>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pPr>
      <w:bookmarkStart w:id="628" w:name="_Toc136332286"/>
      <w:bookmarkStart w:id="629" w:name="_Toc124152168"/>
      <w:r>
        <w:rPr>
          <w:rStyle w:val="CharSClsNo"/>
        </w:rPr>
        <w:t>11</w:t>
      </w:r>
      <w:r>
        <w:t>.</w:t>
      </w:r>
      <w:r>
        <w:tab/>
        <w:t>Assessing routes</w:t>
      </w:r>
      <w:bookmarkEnd w:id="628"/>
      <w:bookmarkEnd w:id="629"/>
    </w:p>
    <w:p>
      <w:pPr>
        <w:pStyle w:val="ySubsection"/>
        <w:spacing w:before="120"/>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spacing w:before="120"/>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630" w:name="_Toc116706940"/>
      <w:bookmarkStart w:id="631" w:name="_Toc116707123"/>
      <w:bookmarkStart w:id="632" w:name="_Toc117656296"/>
      <w:bookmarkStart w:id="633" w:name="_Toc117656478"/>
      <w:bookmarkStart w:id="634" w:name="_Toc119233964"/>
      <w:bookmarkStart w:id="635" w:name="_Toc119730829"/>
      <w:bookmarkStart w:id="636" w:name="_Toc120943775"/>
      <w:bookmarkStart w:id="637" w:name="_Toc120948472"/>
      <w:bookmarkStart w:id="638" w:name="_Toc122742818"/>
      <w:bookmarkStart w:id="639" w:name="_Toc122838050"/>
      <w:bookmarkStart w:id="640" w:name="_Toc122839111"/>
      <w:bookmarkStart w:id="641" w:name="_Toc124152169"/>
      <w:bookmarkStart w:id="642" w:name="_Toc136332287"/>
      <w:r>
        <w:rPr>
          <w:rStyle w:val="CharSDivNo"/>
        </w:rPr>
        <w:t>Division 2</w:t>
      </w:r>
      <w:r>
        <w:t> — </w:t>
      </w:r>
      <w:r>
        <w:rPr>
          <w:rStyle w:val="CharSDivText"/>
        </w:rPr>
        <w:t>Load</w:t>
      </w:r>
      <w:r>
        <w:rPr>
          <w:rStyle w:val="CharSDivText"/>
        </w:rPr>
        <w:noBreakHyphen/>
        <w:t>carrying vehicles travelling under class 1 notice</w:t>
      </w:r>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Heading5"/>
      </w:pPr>
      <w:bookmarkStart w:id="643" w:name="_Toc136332288"/>
      <w:bookmarkStart w:id="644" w:name="_Toc124152170"/>
      <w:r>
        <w:rPr>
          <w:rStyle w:val="CharSClsNo"/>
        </w:rPr>
        <w:t>12</w:t>
      </w:r>
      <w:r>
        <w:t>.</w:t>
      </w:r>
      <w:r>
        <w:tab/>
        <w:t>Application of Division</w:t>
      </w:r>
      <w:bookmarkEnd w:id="643"/>
      <w:bookmarkEnd w:id="644"/>
    </w:p>
    <w:p>
      <w:pPr>
        <w:pStyle w:val="ySubsection"/>
      </w:pPr>
      <w:r>
        <w:tab/>
      </w:r>
      <w:r>
        <w:tab/>
        <w:t>This Division applies only to load</w:t>
      </w:r>
      <w:r>
        <w:noBreakHyphen/>
        <w:t>carrying vehicles travelling under a class 1 notice.</w:t>
      </w:r>
    </w:p>
    <w:p>
      <w:pPr>
        <w:pStyle w:val="yHeading5"/>
      </w:pPr>
      <w:bookmarkStart w:id="645" w:name="_Toc136332289"/>
      <w:bookmarkStart w:id="646" w:name="_Toc124152171"/>
      <w:r>
        <w:rPr>
          <w:rStyle w:val="CharSClsNo"/>
        </w:rPr>
        <w:t>13</w:t>
      </w:r>
      <w:r>
        <w:t>.</w:t>
      </w:r>
      <w:r>
        <w:tab/>
        <w:t>Mass limits for axles and axle groups</w:t>
      </w:r>
      <w:bookmarkEnd w:id="645"/>
      <w:bookmarkEnd w:id="646"/>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60"/>
              <w:rPr>
                <w:b/>
              </w:rPr>
            </w:pPr>
            <w:r>
              <w:rPr>
                <w:b/>
              </w:rPr>
              <w:t>Single axle or axle group</w:t>
            </w:r>
          </w:p>
        </w:tc>
        <w:tc>
          <w:tcPr>
            <w:tcW w:w="1417" w:type="dxa"/>
            <w:tcBorders>
              <w:top w:val="single" w:sz="4" w:space="0" w:color="auto"/>
              <w:bottom w:val="single" w:sz="4" w:space="0" w:color="auto"/>
            </w:tcBorders>
          </w:tcPr>
          <w:p>
            <w:pPr>
              <w:pStyle w:val="yTable"/>
              <w:spacing w:after="60"/>
              <w:ind w:right="-144"/>
              <w:jc w:val="center"/>
              <w:rPr>
                <w:b/>
              </w:rPr>
            </w:pPr>
            <w:r>
              <w:rPr>
                <w:b/>
              </w:rPr>
              <w:t>Mass limit (t)</w:t>
            </w:r>
          </w:p>
        </w:tc>
      </w:tr>
      <w:tr>
        <w:trPr>
          <w:cantSplit/>
        </w:trPr>
        <w:tc>
          <w:tcPr>
            <w:tcW w:w="4678" w:type="dxa"/>
          </w:tcPr>
          <w:p>
            <w:pPr>
              <w:pStyle w:val="yTable"/>
              <w:tabs>
                <w:tab w:val="right" w:leader="dot" w:pos="5170"/>
              </w:tabs>
              <w:ind w:left="317" w:right="459" w:hanging="317"/>
            </w:pPr>
            <w:r>
              <w:t>Steer axle with 2 tyres ....................................</w:t>
            </w:r>
          </w:p>
        </w:tc>
        <w:tc>
          <w:tcPr>
            <w:tcW w:w="1417" w:type="dxa"/>
          </w:tcPr>
          <w:p>
            <w:pPr>
              <w:pStyle w:val="yTable"/>
              <w:jc w:val="center"/>
            </w:pPr>
            <w:r>
              <w:t>6.0</w:t>
            </w:r>
          </w:p>
        </w:tc>
      </w:tr>
      <w:tr>
        <w:trPr>
          <w:cantSplit/>
        </w:trPr>
        <w:tc>
          <w:tcPr>
            <w:tcW w:w="4678" w:type="dxa"/>
          </w:tcPr>
          <w:p>
            <w:pPr>
              <w:pStyle w:val="yTable"/>
              <w:tabs>
                <w:tab w:val="right" w:leader="dot" w:pos="5170"/>
              </w:tabs>
              <w:ind w:left="317" w:right="459" w:hanging="317"/>
            </w:pPr>
            <w:r>
              <w:t>Twinsteer axle group without a load</w:t>
            </w:r>
            <w:r>
              <w:noBreakHyphen/>
              <w:t>sharing suspension system ....................................</w:t>
            </w:r>
          </w:p>
        </w:tc>
        <w:tc>
          <w:tcPr>
            <w:tcW w:w="1417" w:type="dxa"/>
          </w:tcPr>
          <w:p>
            <w:pPr>
              <w:pStyle w:val="yTable"/>
              <w:jc w:val="center"/>
            </w:pPr>
            <w:r>
              <w:br/>
              <w:t>10.0</w:t>
            </w:r>
          </w:p>
        </w:tc>
      </w:tr>
      <w:tr>
        <w:trPr>
          <w:cantSplit/>
        </w:trPr>
        <w:tc>
          <w:tcPr>
            <w:tcW w:w="4678" w:type="dxa"/>
          </w:tcPr>
          <w:p>
            <w:pPr>
              <w:pStyle w:val="yTable"/>
              <w:tabs>
                <w:tab w:val="right" w:leader="dot" w:pos="5170"/>
              </w:tabs>
              <w:ind w:left="317" w:right="459" w:hanging="317"/>
            </w:pPr>
            <w:r>
              <w:t>Twinsteer axle group with a load</w:t>
            </w:r>
            <w:r>
              <w:noBreakHyphen/>
              <w:t>sharing suspension system ....................................</w:t>
            </w:r>
          </w:p>
        </w:tc>
        <w:tc>
          <w:tcPr>
            <w:tcW w:w="1417" w:type="dxa"/>
          </w:tcPr>
          <w:p>
            <w:pPr>
              <w:pStyle w:val="yTable"/>
              <w:jc w:val="center"/>
            </w:pPr>
            <w:r>
              <w:br/>
              <w:t>11.0</w:t>
            </w:r>
          </w:p>
        </w:tc>
      </w:tr>
      <w:tr>
        <w:trPr>
          <w:cantSplit/>
        </w:trPr>
        <w:tc>
          <w:tcPr>
            <w:tcW w:w="4678" w:type="dxa"/>
          </w:tcPr>
          <w:p>
            <w:pPr>
              <w:pStyle w:val="yTable"/>
              <w:tabs>
                <w:tab w:val="right" w:leader="dot" w:pos="5170"/>
              </w:tabs>
              <w:ind w:left="317" w:right="459" w:hanging="317"/>
            </w:pPr>
            <w:r>
              <w:t>Single axle with 8 tyres ..................................</w:t>
            </w:r>
          </w:p>
        </w:tc>
        <w:tc>
          <w:tcPr>
            <w:tcW w:w="1417" w:type="dxa"/>
          </w:tcPr>
          <w:p>
            <w:pPr>
              <w:pStyle w:val="yTable"/>
              <w:jc w:val="center"/>
            </w:pPr>
            <w:r>
              <w:t>12.0</w:t>
            </w:r>
          </w:p>
        </w:tc>
      </w:tr>
      <w:tr>
        <w:trPr>
          <w:cantSplit/>
        </w:trPr>
        <w:tc>
          <w:tcPr>
            <w:tcW w:w="4678" w:type="dxa"/>
          </w:tcPr>
          <w:p>
            <w:pPr>
              <w:pStyle w:val="yTable"/>
              <w:tabs>
                <w:tab w:val="right" w:leader="dot" w:pos="5170"/>
              </w:tabs>
              <w:ind w:left="317" w:right="459" w:hanging="317"/>
            </w:pPr>
            <w:r>
              <w:t>Tandem axle group with 8 or more tyres, not on a trailer ................................................</w:t>
            </w:r>
          </w:p>
        </w:tc>
        <w:tc>
          <w:tcPr>
            <w:tcW w:w="1417" w:type="dxa"/>
          </w:tcPr>
          <w:p>
            <w:pPr>
              <w:pStyle w:val="yTable"/>
              <w:jc w:val="center"/>
            </w:pPr>
            <w:r>
              <w:br/>
              <w:t>18.5</w:t>
            </w:r>
          </w:p>
        </w:tc>
      </w:tr>
      <w:tr>
        <w:trPr>
          <w:cantSplit/>
        </w:trPr>
        <w:tc>
          <w:tcPr>
            <w:tcW w:w="4678" w:type="dxa"/>
          </w:tcPr>
          <w:p>
            <w:pPr>
              <w:pStyle w:val="yTable"/>
              <w:tabs>
                <w:tab w:val="right" w:leader="dot" w:pos="5170"/>
              </w:tabs>
              <w:ind w:left="317" w:right="459" w:hanging="317"/>
            </w:pPr>
            <w:r>
              <w:t>Tandem axle group with 16 or more tyres, on a trailer .....................................................</w:t>
            </w:r>
          </w:p>
        </w:tc>
        <w:tc>
          <w:tcPr>
            <w:tcW w:w="1417" w:type="dxa"/>
          </w:tcPr>
          <w:p>
            <w:pPr>
              <w:pStyle w:val="yTable"/>
              <w:jc w:val="center"/>
            </w:pPr>
            <w:r>
              <w:br/>
              <w:t>21.0</w:t>
            </w:r>
          </w:p>
        </w:tc>
      </w:tr>
      <w:tr>
        <w:trPr>
          <w:cantSplit/>
        </w:trPr>
        <w:tc>
          <w:tcPr>
            <w:tcW w:w="4678" w:type="dxa"/>
          </w:tcPr>
          <w:p>
            <w:pPr>
              <w:pStyle w:val="yTable"/>
              <w:tabs>
                <w:tab w:val="right" w:leader="dot" w:pos="5170"/>
              </w:tabs>
              <w:ind w:left="317" w:right="459" w:hanging="317"/>
            </w:pPr>
            <w:r>
              <w:t>Tri</w:t>
            </w:r>
            <w:r>
              <w:noBreakHyphen/>
              <w:t>axle group with 12 or more tyres .............</w:t>
            </w:r>
          </w:p>
        </w:tc>
        <w:tc>
          <w:tcPr>
            <w:tcW w:w="1417" w:type="dxa"/>
          </w:tcPr>
          <w:p>
            <w:pPr>
              <w:pStyle w:val="yTable"/>
              <w:jc w:val="center"/>
            </w:pPr>
            <w:r>
              <w:t>25.0</w:t>
            </w:r>
          </w:p>
        </w:tc>
      </w:tr>
      <w:tr>
        <w:trPr>
          <w:cantSplit/>
        </w:trPr>
        <w:tc>
          <w:tcPr>
            <w:tcW w:w="4678" w:type="dxa"/>
          </w:tcPr>
          <w:p>
            <w:pPr>
              <w:pStyle w:val="yTable"/>
              <w:tabs>
                <w:tab w:val="right" w:leader="dot" w:pos="5170"/>
              </w:tabs>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Pr>
          <w:p>
            <w:pPr>
              <w:pStyle w:val="yTable"/>
              <w:jc w:val="center"/>
            </w:pPr>
            <w:r>
              <w:br/>
            </w:r>
            <w:r>
              <w:br/>
            </w:r>
            <w:r>
              <w:br/>
            </w:r>
            <w:r>
              <w:br/>
              <w:t>27.0</w:t>
            </w:r>
          </w:p>
        </w:tc>
      </w:tr>
    </w:tbl>
    <w:p>
      <w:pPr>
        <w:pStyle w:val="ySubsection"/>
        <w:spacing w:before="100"/>
      </w:pPr>
      <w:r>
        <w:tab/>
        <w:t>(2)</w:t>
      </w:r>
      <w:r>
        <w:tab/>
        <w:t>The sum of the mass on each of the combination’s single axles and axle groups must not exceed the sum of the mass limits specified for each of them in Table 4.</w:t>
      </w:r>
    </w:p>
    <w:p>
      <w:pPr>
        <w:pStyle w:val="ySubsection"/>
        <w:spacing w:before="10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spacing w:after="60"/>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0" name="Picture 10"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uck.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pPr>
      <w:bookmarkStart w:id="647" w:name="_Toc136332290"/>
      <w:bookmarkStart w:id="648" w:name="_Toc124152172"/>
      <w:r>
        <w:rPr>
          <w:rStyle w:val="CharSClsNo"/>
        </w:rPr>
        <w:t>14</w:t>
      </w:r>
      <w:r>
        <w:t>.</w:t>
      </w:r>
      <w:r>
        <w:tab/>
        <w:t>Minimising width</w:t>
      </w:r>
      <w:bookmarkEnd w:id="647"/>
      <w:bookmarkEnd w:id="648"/>
    </w:p>
    <w:p>
      <w:pPr>
        <w:pStyle w:val="ySubsection"/>
      </w:pPr>
      <w:r>
        <w:tab/>
        <w:t>(1)</w:t>
      </w:r>
      <w:r>
        <w:tab/>
        <w:t>If a load can be safely loaded in more than one way, it must be loaded in a way that minimises the width of the vehicle and its load.</w:t>
      </w:r>
    </w:p>
    <w:p>
      <w:pPr>
        <w:pStyle w:val="ySubsection"/>
      </w:pPr>
      <w:r>
        <w:tab/>
        <w:t>(2)</w:t>
      </w:r>
      <w:r>
        <w:tab/>
        <w:t>An unloaded low loader, low loader dolly or jinker, with 4 tyres on each axle, must not be wider than 2.5 m.</w:t>
      </w:r>
    </w:p>
    <w:p>
      <w:pPr>
        <w:pStyle w:val="ySubsection"/>
      </w:pPr>
      <w:r>
        <w:tab/>
        <w:t>(3)</w:t>
      </w:r>
      <w:r>
        <w:tab/>
        <w:t>An unloaded low loader, low loader dolly or jinker, with 8 tyres on each axle, must not be wider than 2.7 m.</w:t>
      </w:r>
    </w:p>
    <w:p>
      <w:pPr>
        <w:pStyle w:val="yHeading5"/>
      </w:pPr>
      <w:bookmarkStart w:id="649" w:name="_Toc136332291"/>
      <w:bookmarkStart w:id="650" w:name="_Toc124152173"/>
      <w:r>
        <w:rPr>
          <w:rStyle w:val="CharSClsNo"/>
        </w:rPr>
        <w:t>15</w:t>
      </w:r>
      <w:r>
        <w:t>.</w:t>
      </w:r>
      <w:r>
        <w:tab/>
        <w:t>Carrying goods in addition to a large indivisible item</w:t>
      </w:r>
      <w:bookmarkEnd w:id="649"/>
      <w:bookmarkEnd w:id="650"/>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pPr>
      <w:bookmarkStart w:id="651" w:name="_Toc136332292"/>
      <w:bookmarkStart w:id="652" w:name="_Toc124152174"/>
      <w:r>
        <w:rPr>
          <w:rStyle w:val="CharSClsNo"/>
        </w:rPr>
        <w:t>16</w:t>
      </w:r>
      <w:r>
        <w:t>.</w:t>
      </w:r>
      <w:r>
        <w:tab/>
        <w:t>Towing a low loader dolly with an unloaded low loader</w:t>
      </w:r>
      <w:bookmarkEnd w:id="651"/>
      <w:bookmarkEnd w:id="652"/>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pPr>
      <w:bookmarkStart w:id="653" w:name="_Toc116706946"/>
      <w:bookmarkStart w:id="654" w:name="_Toc116707129"/>
      <w:bookmarkStart w:id="655" w:name="_Toc117656302"/>
      <w:bookmarkStart w:id="656" w:name="_Toc117656484"/>
      <w:bookmarkStart w:id="657" w:name="_Toc119233970"/>
      <w:bookmarkStart w:id="658" w:name="_Toc119730835"/>
      <w:bookmarkStart w:id="659" w:name="_Toc120943781"/>
      <w:bookmarkStart w:id="660" w:name="_Toc120948478"/>
      <w:bookmarkStart w:id="661" w:name="_Toc122742824"/>
      <w:bookmarkStart w:id="662" w:name="_Toc122838056"/>
      <w:bookmarkStart w:id="663" w:name="_Toc122839117"/>
      <w:bookmarkStart w:id="664" w:name="_Toc124152175"/>
      <w:bookmarkStart w:id="665" w:name="_Toc136332293"/>
      <w:r>
        <w:rPr>
          <w:rStyle w:val="CharSDivNo"/>
        </w:rPr>
        <w:t>Division 3</w:t>
      </w:r>
      <w:r>
        <w:t> — </w:t>
      </w:r>
      <w:r>
        <w:rPr>
          <w:rStyle w:val="CharSDivText"/>
        </w:rPr>
        <w:t>Special purpose vehicles travelling under a class 1 notice</w:t>
      </w:r>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Heading5"/>
      </w:pPr>
      <w:bookmarkStart w:id="666" w:name="_Toc136332294"/>
      <w:bookmarkStart w:id="667" w:name="_Toc124152176"/>
      <w:r>
        <w:rPr>
          <w:rStyle w:val="CharSClsNo"/>
        </w:rPr>
        <w:t>17</w:t>
      </w:r>
      <w:r>
        <w:t>.</w:t>
      </w:r>
      <w:r>
        <w:tab/>
        <w:t>Application of Division</w:t>
      </w:r>
      <w:bookmarkEnd w:id="666"/>
      <w:bookmarkEnd w:id="667"/>
    </w:p>
    <w:p>
      <w:pPr>
        <w:pStyle w:val="ySubsection"/>
      </w:pPr>
      <w:r>
        <w:tab/>
      </w:r>
      <w:r>
        <w:tab/>
        <w:t>This Division applies only to special purpose vehicles travelling under a class 1 notice.</w:t>
      </w:r>
    </w:p>
    <w:p>
      <w:pPr>
        <w:pStyle w:val="yHeading5"/>
      </w:pPr>
      <w:bookmarkStart w:id="668" w:name="_Toc136332295"/>
      <w:bookmarkStart w:id="669" w:name="_Toc124152177"/>
      <w:r>
        <w:rPr>
          <w:rStyle w:val="CharSClsNo"/>
        </w:rPr>
        <w:t>18</w:t>
      </w:r>
      <w:r>
        <w:t>.</w:t>
      </w:r>
      <w:r>
        <w:tab/>
        <w:t>Mass limits for axles and axle groups</w:t>
      </w:r>
      <w:bookmarkEnd w:id="668"/>
      <w:bookmarkEnd w:id="669"/>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Pr>
          <w:p>
            <w:pPr>
              <w:pStyle w:val="yTable"/>
              <w:tabs>
                <w:tab w:val="right" w:leader="dot" w:pos="4853"/>
              </w:tabs>
            </w:pPr>
            <w:r>
              <w:t>Tri</w:t>
            </w:r>
            <w:r>
              <w:noBreakHyphen/>
              <w:t>axle group fitted with single tyres .................</w:t>
            </w:r>
          </w:p>
        </w:tc>
        <w:tc>
          <w:tcPr>
            <w:tcW w:w="1559" w:type="dxa"/>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pPr>
      <w:bookmarkStart w:id="670" w:name="_Toc136332296"/>
      <w:bookmarkStart w:id="671" w:name="_Toc124152178"/>
      <w:r>
        <w:rPr>
          <w:rStyle w:val="CharSClsNo"/>
        </w:rPr>
        <w:t>19</w:t>
      </w:r>
      <w:r>
        <w:t>.</w:t>
      </w:r>
      <w:r>
        <w:tab/>
        <w:t>Total mass limits for special purpose vehicles</w:t>
      </w:r>
      <w:bookmarkEnd w:id="670"/>
      <w:bookmarkEnd w:id="671"/>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pict>
          <v:shape id="_x0000_i1026" type="#_x0000_t75" style="width:99.75pt;height:17.25pt">
            <v:imagedata r:id="rId30" o:title=""/>
          </v:shape>
        </w:pi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pict>
          <v:shape id="_x0000_i1027" type="#_x0000_t75" style="width:354pt;height:128.25pt">
            <v:imagedata r:id="rId31" o:title=""/>
          </v:shape>
        </w:pict>
      </w:r>
    </w:p>
    <w:p>
      <w:pPr>
        <w:pStyle w:val="yMiscellaneousHeading"/>
        <w:spacing w:before="120" w:after="60"/>
        <w:rPr>
          <w:b/>
          <w:bCs/>
        </w:rPr>
      </w:pPr>
      <w:r>
        <w:rPr>
          <w:b/>
          <w:bCs/>
        </w:rPr>
        <w:t>Distance “L” for the purpose of the formula in clause 19</w:t>
      </w:r>
    </w:p>
    <w:p>
      <w:pPr>
        <w:pStyle w:val="yHeading5"/>
      </w:pPr>
      <w:bookmarkStart w:id="672" w:name="_Toc136332297"/>
      <w:bookmarkStart w:id="673" w:name="_Toc124152179"/>
      <w:r>
        <w:rPr>
          <w:rStyle w:val="CharSClsNo"/>
        </w:rPr>
        <w:t>20</w:t>
      </w:r>
      <w:r>
        <w:t>.</w:t>
      </w:r>
      <w:r>
        <w:tab/>
        <w:t>Side lights for travel at night</w:t>
      </w:r>
      <w:r>
        <w:noBreakHyphen/>
        <w:t>time</w:t>
      </w:r>
      <w:bookmarkEnd w:id="672"/>
      <w:bookmarkEnd w:id="673"/>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240"/>
      </w:pPr>
      <w:bookmarkStart w:id="674" w:name="_Toc136332298"/>
      <w:bookmarkStart w:id="675" w:name="_Toc124152180"/>
      <w:r>
        <w:rPr>
          <w:rStyle w:val="CharSClsNo"/>
        </w:rPr>
        <w:t>21</w:t>
      </w:r>
      <w:r>
        <w:t>.</w:t>
      </w:r>
      <w:r>
        <w:tab/>
        <w:t>Markings for special purpose vehicles</w:t>
      </w:r>
      <w:bookmarkEnd w:id="674"/>
      <w:bookmarkEnd w:id="675"/>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240"/>
      </w:pPr>
      <w:bookmarkStart w:id="676" w:name="_Toc136332299"/>
      <w:bookmarkStart w:id="677" w:name="_Toc124152181"/>
      <w:r>
        <w:rPr>
          <w:rStyle w:val="CharSClsNo"/>
        </w:rPr>
        <w:t>22</w:t>
      </w:r>
      <w:r>
        <w:t>.</w:t>
      </w:r>
      <w:r>
        <w:tab/>
        <w:t>Prohibition on towing other vehicles</w:t>
      </w:r>
      <w:bookmarkEnd w:id="676"/>
      <w:bookmarkEnd w:id="677"/>
    </w:p>
    <w:p>
      <w:pPr>
        <w:pStyle w:val="ySubsection"/>
        <w:spacing w:before="180"/>
      </w:pPr>
      <w:r>
        <w:tab/>
      </w:r>
      <w:r>
        <w:tab/>
        <w:t>A special purpose vehicle must not tow a vehicle.</w:t>
      </w:r>
    </w:p>
    <w:p>
      <w:pPr>
        <w:pStyle w:val="yHeading3"/>
        <w:spacing w:before="200"/>
      </w:pPr>
      <w:bookmarkStart w:id="678" w:name="_Toc116706953"/>
      <w:bookmarkStart w:id="679" w:name="_Toc116707136"/>
      <w:bookmarkStart w:id="680" w:name="_Toc117656309"/>
      <w:bookmarkStart w:id="681" w:name="_Toc117656491"/>
      <w:bookmarkStart w:id="682" w:name="_Toc119233977"/>
      <w:bookmarkStart w:id="683" w:name="_Toc119730842"/>
      <w:bookmarkStart w:id="684" w:name="_Toc120943788"/>
      <w:bookmarkStart w:id="685" w:name="_Toc120948485"/>
      <w:bookmarkStart w:id="686" w:name="_Toc122742831"/>
      <w:bookmarkStart w:id="687" w:name="_Toc122838063"/>
      <w:bookmarkStart w:id="688" w:name="_Toc122839124"/>
      <w:bookmarkStart w:id="689" w:name="_Toc124152182"/>
      <w:bookmarkStart w:id="690" w:name="_Toc136332300"/>
      <w:r>
        <w:rPr>
          <w:rStyle w:val="CharSDivNo"/>
        </w:rPr>
        <w:t>Division 4</w:t>
      </w:r>
      <w:r>
        <w:t> — </w:t>
      </w:r>
      <w:r>
        <w:rPr>
          <w:rStyle w:val="CharSDivText"/>
        </w:rPr>
        <w:t>Agricultural vehicles travelling under class 1 notices</w:t>
      </w:r>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yHeading5"/>
        <w:spacing w:before="240"/>
      </w:pPr>
      <w:bookmarkStart w:id="691" w:name="_Toc136332301"/>
      <w:bookmarkStart w:id="692" w:name="_Toc124152183"/>
      <w:r>
        <w:rPr>
          <w:rStyle w:val="CharSClsNo"/>
        </w:rPr>
        <w:t>23</w:t>
      </w:r>
      <w:r>
        <w:t>.</w:t>
      </w:r>
      <w:r>
        <w:tab/>
        <w:t>Application of Division</w:t>
      </w:r>
      <w:bookmarkEnd w:id="691"/>
      <w:bookmarkEnd w:id="692"/>
    </w:p>
    <w:p>
      <w:pPr>
        <w:pStyle w:val="ySubsection"/>
        <w:spacing w:before="180"/>
      </w:pPr>
      <w:r>
        <w:tab/>
      </w:r>
      <w:r>
        <w:tab/>
        <w:t>This Division applies only to agricultural vehicles and agricultural combinations.</w:t>
      </w:r>
    </w:p>
    <w:p>
      <w:pPr>
        <w:pStyle w:val="yHeading5"/>
        <w:spacing w:before="240"/>
      </w:pPr>
      <w:bookmarkStart w:id="693" w:name="_Toc136332302"/>
      <w:bookmarkStart w:id="694" w:name="_Toc124152184"/>
      <w:r>
        <w:rPr>
          <w:rStyle w:val="CharSClsNo"/>
        </w:rPr>
        <w:t>24</w:t>
      </w:r>
      <w:r>
        <w:t>.</w:t>
      </w:r>
      <w:r>
        <w:tab/>
        <w:t>Mass limits</w:t>
      </w:r>
      <w:bookmarkEnd w:id="693"/>
      <w:bookmarkEnd w:id="694"/>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6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60"/>
              <w:jc w:val="center"/>
              <w:rPr>
                <w:b/>
              </w:rPr>
            </w:pPr>
            <w:r>
              <w:rPr>
                <w:b/>
              </w:rPr>
              <w:t>Mass limit (t)</w:t>
            </w:r>
          </w:p>
        </w:tc>
      </w:tr>
      <w:tr>
        <w:trPr>
          <w:cantSplit/>
          <w:trHeight w:val="315"/>
        </w:trPr>
        <w:tc>
          <w:tcPr>
            <w:tcW w:w="4678" w:type="dxa"/>
          </w:tcPr>
          <w:p>
            <w:pPr>
              <w:pStyle w:val="yTable"/>
              <w:keepNext/>
              <w:keepLines/>
              <w:tabs>
                <w:tab w:val="right" w:leader="dot" w:pos="5103"/>
              </w:tabs>
              <w:ind w:left="318" w:hanging="318"/>
            </w:pPr>
            <w:r>
              <w:t>Axle fitted with 2 tyres ...........................................</w:t>
            </w:r>
          </w:p>
        </w:tc>
        <w:tc>
          <w:tcPr>
            <w:tcW w:w="1559" w:type="dxa"/>
          </w:tcPr>
          <w:p>
            <w:pPr>
              <w:pStyle w:val="yTable"/>
              <w:keepNext/>
              <w:keepLines/>
              <w:jc w:val="center"/>
            </w:pPr>
            <w: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less than 2.51 m ......................................</w:t>
            </w:r>
          </w:p>
        </w:tc>
        <w:tc>
          <w:tcPr>
            <w:tcW w:w="1559" w:type="dxa"/>
          </w:tcPr>
          <w:p>
            <w:pPr>
              <w:pStyle w:val="yTable"/>
              <w:keepNext/>
              <w:keepLines/>
              <w:jc w:val="center"/>
            </w:pPr>
            <w:r>
              <w:b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at least 2.51 m but not more than 3.5 m .................................................................</w:t>
            </w:r>
          </w:p>
        </w:tc>
        <w:tc>
          <w:tcPr>
            <w:tcW w:w="1559" w:type="dxa"/>
          </w:tcPr>
          <w:p>
            <w:pPr>
              <w:pStyle w:val="yTable"/>
              <w:keepNext/>
              <w:keepLines/>
              <w:jc w:val="center"/>
            </w:pPr>
            <w:r>
              <w:br/>
            </w:r>
            <w:r>
              <w:br/>
              <w:t>10.5</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more than 3.5 m ......................................</w:t>
            </w:r>
          </w:p>
        </w:tc>
        <w:tc>
          <w:tcPr>
            <w:tcW w:w="1559" w:type="dxa"/>
          </w:tcPr>
          <w:p>
            <w:pPr>
              <w:pStyle w:val="yTable"/>
              <w:keepNext/>
              <w:keepLines/>
              <w:jc w:val="center"/>
            </w:pPr>
            <w:r>
              <w:br/>
              <w:t>12.0</w:t>
            </w:r>
          </w:p>
        </w:tc>
      </w:tr>
    </w:tbl>
    <w:p>
      <w:pPr>
        <w:pStyle w:val="yHeading5"/>
      </w:pPr>
      <w:bookmarkStart w:id="695" w:name="_Toc136332303"/>
      <w:bookmarkStart w:id="696" w:name="_Toc124152185"/>
      <w:r>
        <w:rPr>
          <w:rStyle w:val="CharSClsNo"/>
        </w:rPr>
        <w:t>25</w:t>
      </w:r>
      <w:r>
        <w:t>.</w:t>
      </w:r>
      <w:r>
        <w:tab/>
        <w:t>Dimension limits</w:t>
      </w:r>
      <w:bookmarkEnd w:id="695"/>
      <w:bookmarkEnd w:id="696"/>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rPr>
                <w:b/>
              </w:rPr>
            </w:pPr>
            <w:r>
              <w:rPr>
                <w:b/>
              </w:rPr>
              <w:t>Area</w:t>
            </w:r>
          </w:p>
        </w:tc>
        <w:tc>
          <w:tcPr>
            <w:tcW w:w="1700" w:type="dxa"/>
            <w:tcBorders>
              <w:top w:val="single" w:sz="4" w:space="0" w:color="auto"/>
              <w:bottom w:val="single" w:sz="4" w:space="0" w:color="auto"/>
            </w:tcBorders>
          </w:tcPr>
          <w:p>
            <w:pPr>
              <w:pStyle w:val="yTable"/>
              <w:keepNext/>
              <w:keepLines/>
              <w:rPr>
                <w:b/>
              </w:rPr>
            </w:pPr>
            <w:r>
              <w:rPr>
                <w:b/>
              </w:rPr>
              <w:t>Width limit (m)</w:t>
            </w:r>
          </w:p>
        </w:tc>
      </w:tr>
      <w:tr>
        <w:trPr>
          <w:cantSplit/>
          <w:trHeight w:val="315"/>
        </w:trPr>
        <w:tc>
          <w:tcPr>
            <w:tcW w:w="2552" w:type="dxa"/>
          </w:tcPr>
          <w:p>
            <w:pPr>
              <w:pStyle w:val="yTable"/>
              <w:keepNext/>
              <w:keepLines/>
              <w:tabs>
                <w:tab w:val="right" w:leader="dot" w:pos="2160"/>
              </w:tabs>
            </w:pPr>
            <w:r>
              <w:t>Category 1 ......................</w:t>
            </w:r>
          </w:p>
        </w:tc>
        <w:tc>
          <w:tcPr>
            <w:tcW w:w="1700" w:type="dxa"/>
          </w:tcPr>
          <w:p>
            <w:pPr>
              <w:pStyle w:val="yTable"/>
              <w:keepNext/>
              <w:keepLines/>
              <w:jc w:val="center"/>
            </w:pPr>
            <w:r>
              <w:t>3.5</w:t>
            </w:r>
          </w:p>
        </w:tc>
      </w:tr>
      <w:tr>
        <w:trPr>
          <w:cantSplit/>
          <w:trHeight w:val="315"/>
        </w:trPr>
        <w:tc>
          <w:tcPr>
            <w:tcW w:w="2552" w:type="dxa"/>
          </w:tcPr>
          <w:p>
            <w:pPr>
              <w:pStyle w:val="yTable"/>
              <w:keepNext/>
              <w:keepLines/>
              <w:tabs>
                <w:tab w:val="right" w:leader="dot" w:pos="2160"/>
              </w:tabs>
            </w:pPr>
            <w:r>
              <w:t>Category 2 ......................</w:t>
            </w:r>
          </w:p>
        </w:tc>
        <w:tc>
          <w:tcPr>
            <w:tcW w:w="1700" w:type="dxa"/>
          </w:tcPr>
          <w:p>
            <w:pPr>
              <w:pStyle w:val="yTable"/>
              <w:keepNext/>
              <w:keepLines/>
              <w:jc w:val="center"/>
            </w:pPr>
            <w:r>
              <w:t>5.0</w:t>
            </w:r>
          </w:p>
        </w:tc>
      </w:tr>
      <w:tr>
        <w:trPr>
          <w:cantSplit/>
          <w:trHeight w:val="315"/>
        </w:trPr>
        <w:tc>
          <w:tcPr>
            <w:tcW w:w="2552" w:type="dxa"/>
          </w:tcPr>
          <w:p>
            <w:pPr>
              <w:pStyle w:val="yTable"/>
              <w:keepNext/>
              <w:keepLines/>
              <w:tabs>
                <w:tab w:val="right" w:leader="dot" w:pos="2160"/>
              </w:tabs>
            </w:pPr>
            <w:r>
              <w:t>Category 3 ......................</w:t>
            </w:r>
          </w:p>
        </w:tc>
        <w:tc>
          <w:tcPr>
            <w:tcW w:w="1700" w:type="dxa"/>
          </w:tcPr>
          <w:p>
            <w:pPr>
              <w:pStyle w:val="yTable"/>
              <w:keepNext/>
              <w:keepLines/>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pPr>
      <w:bookmarkStart w:id="697" w:name="_Toc136332304"/>
      <w:bookmarkStart w:id="698" w:name="_Toc124152186"/>
      <w:r>
        <w:rPr>
          <w:rStyle w:val="CharSClsNo"/>
        </w:rPr>
        <w:t>26</w:t>
      </w:r>
      <w:r>
        <w:t>.</w:t>
      </w:r>
      <w:r>
        <w:tab/>
        <w:t>Warning devices for agricultural vehicles</w:t>
      </w:r>
      <w:bookmarkEnd w:id="697"/>
      <w:bookmarkEnd w:id="698"/>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pPr>
      <w:bookmarkStart w:id="699" w:name="_Toc136332305"/>
      <w:bookmarkStart w:id="700" w:name="_Toc124152187"/>
      <w:r>
        <w:rPr>
          <w:rStyle w:val="CharSClsNo"/>
        </w:rPr>
        <w:t>27</w:t>
      </w:r>
      <w:r>
        <w:t>.</w:t>
      </w:r>
      <w:r>
        <w:tab/>
        <w:t>Pilot vehicle requirements for agricultural vehicles</w:t>
      </w:r>
      <w:bookmarkEnd w:id="699"/>
      <w:bookmarkEnd w:id="700"/>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Pr>
          <w:p>
            <w:pPr>
              <w:pStyle w:val="yTable"/>
              <w:ind w:left="176" w:hanging="176"/>
            </w:pPr>
            <w:r>
              <w:t>If there is a clear view of approaching traffic for at least 500 m, but not on a major road ............................</w:t>
            </w:r>
          </w:p>
        </w:tc>
        <w:tc>
          <w:tcPr>
            <w:tcW w:w="1984" w:type="dxa"/>
          </w:tcPr>
          <w:p>
            <w:pPr>
              <w:pStyle w:val="yTable"/>
              <w:keepNext/>
              <w:keepLines/>
              <w:ind w:right="85"/>
            </w:pPr>
            <w:r>
              <w:br/>
            </w:r>
            <w:r>
              <w:br/>
            </w:r>
            <w:r>
              <w:br/>
              <w:t>nil ............................</w:t>
            </w:r>
          </w:p>
        </w:tc>
        <w:tc>
          <w:tcPr>
            <w:tcW w:w="1843" w:type="dxa"/>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pPr>
      <w:bookmarkStart w:id="701" w:name="_Toc136332306"/>
      <w:bookmarkStart w:id="702" w:name="_Toc124152188"/>
      <w:r>
        <w:rPr>
          <w:rStyle w:val="CharSClsNo"/>
        </w:rPr>
        <w:t>28</w:t>
      </w:r>
      <w:r>
        <w:t>.</w:t>
      </w:r>
      <w:r>
        <w:tab/>
        <w:t>Agricultural vehicles not to use freeways</w:t>
      </w:r>
      <w:bookmarkEnd w:id="701"/>
      <w:bookmarkEnd w:id="702"/>
    </w:p>
    <w:p>
      <w:pPr>
        <w:pStyle w:val="ySubsection"/>
      </w:pPr>
      <w:r>
        <w:tab/>
      </w:r>
      <w:r>
        <w:tab/>
        <w:t>An oversize agricultural vehicle or agricultural combination must not be driven on a freeway.</w:t>
      </w:r>
    </w:p>
    <w:p>
      <w:pPr>
        <w:pStyle w:val="yHeading5"/>
      </w:pPr>
      <w:bookmarkStart w:id="703" w:name="_Toc136332307"/>
      <w:bookmarkStart w:id="704" w:name="_Toc124152189"/>
      <w:r>
        <w:rPr>
          <w:rStyle w:val="CharSClsNo"/>
        </w:rPr>
        <w:t>29</w:t>
      </w:r>
      <w:r>
        <w:t>.</w:t>
      </w:r>
      <w:r>
        <w:tab/>
        <w:t>Agricultural implements not to carry loads</w:t>
      </w:r>
      <w:bookmarkEnd w:id="703"/>
      <w:bookmarkEnd w:id="704"/>
    </w:p>
    <w:p>
      <w:pPr>
        <w:pStyle w:val="ySubsection"/>
      </w:pPr>
      <w:r>
        <w:tab/>
      </w:r>
      <w:r>
        <w:tab/>
        <w:t>An agricultural implement must not carry a load.</w:t>
      </w:r>
    </w:p>
    <w:p>
      <w:pPr>
        <w:pStyle w:val="yHeading5"/>
      </w:pPr>
      <w:bookmarkStart w:id="705" w:name="_Toc136332308"/>
      <w:bookmarkStart w:id="706" w:name="_Toc124152190"/>
      <w:r>
        <w:rPr>
          <w:rStyle w:val="CharSClsNo"/>
        </w:rPr>
        <w:t>30</w:t>
      </w:r>
      <w:r>
        <w:t>.</w:t>
      </w:r>
      <w:r>
        <w:tab/>
        <w:t>Speed limits for agricultural implements without brakes</w:t>
      </w:r>
      <w:bookmarkEnd w:id="705"/>
      <w:bookmarkEnd w:id="706"/>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pPr>
      <w:bookmarkStart w:id="707" w:name="_Toc136332309"/>
      <w:bookmarkStart w:id="708" w:name="_Toc124152191"/>
      <w:r>
        <w:rPr>
          <w:rStyle w:val="CharSClsNo"/>
        </w:rPr>
        <w:t>31</w:t>
      </w:r>
      <w:r>
        <w:t>.</w:t>
      </w:r>
      <w:r>
        <w:tab/>
        <w:t>Exemption from requirement for rear vision mirrors</w:t>
      </w:r>
      <w:bookmarkEnd w:id="707"/>
      <w:bookmarkEnd w:id="708"/>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709" w:name="_Toc116706963"/>
      <w:bookmarkStart w:id="710" w:name="_Toc116707146"/>
      <w:bookmarkStart w:id="711" w:name="_Toc117656319"/>
      <w:bookmarkStart w:id="712" w:name="_Toc117656501"/>
      <w:bookmarkStart w:id="713" w:name="_Toc119233987"/>
      <w:bookmarkStart w:id="714" w:name="_Toc119730852"/>
      <w:bookmarkStart w:id="715" w:name="_Toc120943798"/>
      <w:bookmarkStart w:id="716" w:name="_Toc120948495"/>
      <w:bookmarkStart w:id="717" w:name="_Toc122742841"/>
      <w:bookmarkStart w:id="718" w:name="_Toc122838073"/>
      <w:bookmarkStart w:id="719" w:name="_Toc122839134"/>
      <w:bookmarkStart w:id="720" w:name="_Toc124152192"/>
      <w:bookmarkStart w:id="721" w:name="_Toc136332310"/>
      <w:r>
        <w:rPr>
          <w:rStyle w:val="CharSDivNo"/>
        </w:rPr>
        <w:t>Division 5</w:t>
      </w:r>
      <w:r>
        <w:t> — </w:t>
      </w:r>
      <w:r>
        <w:rPr>
          <w:rStyle w:val="CharSDivText"/>
        </w:rPr>
        <w:t>Pilot and escort vehicles</w:t>
      </w:r>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Heading5"/>
      </w:pPr>
      <w:bookmarkStart w:id="722" w:name="_Toc136332311"/>
      <w:bookmarkStart w:id="723" w:name="_Toc124152193"/>
      <w:r>
        <w:rPr>
          <w:rStyle w:val="CharSClsNo"/>
        </w:rPr>
        <w:t>32</w:t>
      </w:r>
      <w:r>
        <w:t>.</w:t>
      </w:r>
      <w:r>
        <w:tab/>
        <w:t>Application of Division</w:t>
      </w:r>
      <w:bookmarkEnd w:id="722"/>
      <w:bookmarkEnd w:id="723"/>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pPr>
      <w:bookmarkStart w:id="724" w:name="_Toc136332312"/>
      <w:bookmarkStart w:id="725" w:name="_Toc124152194"/>
      <w:r>
        <w:rPr>
          <w:rStyle w:val="CharSClsNo"/>
        </w:rPr>
        <w:t>33</w:t>
      </w:r>
      <w:r>
        <w:t>.</w:t>
      </w:r>
      <w:r>
        <w:tab/>
        <w:t>Requirements for a pilot vehicle</w:t>
      </w:r>
      <w:bookmarkEnd w:id="724"/>
      <w:bookmarkEnd w:id="725"/>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pPr>
      <w:bookmarkStart w:id="726" w:name="_Toc136332313"/>
      <w:bookmarkStart w:id="727" w:name="_Toc124152195"/>
      <w:r>
        <w:rPr>
          <w:rStyle w:val="CharSClsNo"/>
        </w:rPr>
        <w:t>34</w:t>
      </w:r>
      <w:r>
        <w:t>.</w:t>
      </w:r>
      <w:r>
        <w:tab/>
        <w:t>Requirements for an escort vehicle</w:t>
      </w:r>
      <w:bookmarkEnd w:id="726"/>
      <w:bookmarkEnd w:id="727"/>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pPr>
      <w:bookmarkStart w:id="728" w:name="_Toc136332314"/>
      <w:bookmarkStart w:id="729" w:name="_Toc124152196"/>
      <w:r>
        <w:rPr>
          <w:rStyle w:val="CharSClsNo"/>
        </w:rPr>
        <w:t>35</w:t>
      </w:r>
      <w:r>
        <w:t>.</w:t>
      </w:r>
      <w:r>
        <w:tab/>
        <w:t>Headlights on a pilot vehicle or escort vehicle</w:t>
      </w:r>
      <w:bookmarkEnd w:id="728"/>
      <w:bookmarkEnd w:id="729"/>
    </w:p>
    <w:p>
      <w:pPr>
        <w:pStyle w:val="ySubsection"/>
      </w:pPr>
      <w:r>
        <w:tab/>
      </w:r>
      <w:r>
        <w:tab/>
        <w:t>The low</w:t>
      </w:r>
      <w:r>
        <w:noBreakHyphen/>
        <w:t>beam headlights on a pilot vehicle or escort vehicle must be switched on when it is accompanying an oversize vehicle during the daytime.</w:t>
      </w:r>
    </w:p>
    <w:p>
      <w:pPr>
        <w:pStyle w:val="yHeading5"/>
      </w:pPr>
      <w:bookmarkStart w:id="730" w:name="_Toc136332315"/>
      <w:bookmarkStart w:id="731" w:name="_Toc124152197"/>
      <w:r>
        <w:rPr>
          <w:rStyle w:val="CharSClsNo"/>
        </w:rPr>
        <w:t>36</w:t>
      </w:r>
      <w:r>
        <w:t>.</w:t>
      </w:r>
      <w:r>
        <w:tab/>
        <w:t>What may a pilot vehicle or escort vehicle carry</w:t>
      </w:r>
      <w:bookmarkEnd w:id="730"/>
      <w:bookmarkEnd w:id="731"/>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pPr>
      <w:bookmarkStart w:id="732" w:name="_Toc136332316"/>
      <w:bookmarkStart w:id="733" w:name="_Toc124152198"/>
      <w:r>
        <w:rPr>
          <w:rStyle w:val="CharSClsNo"/>
        </w:rPr>
        <w:t>37</w:t>
      </w:r>
      <w:r>
        <w:t>.</w:t>
      </w:r>
      <w:r>
        <w:tab/>
        <w:t>Where must a pilot vehicle be driven</w:t>
      </w:r>
      <w:bookmarkEnd w:id="732"/>
      <w:bookmarkEnd w:id="733"/>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pPr>
      <w:bookmarkStart w:id="734" w:name="_Toc136332317"/>
      <w:bookmarkStart w:id="735" w:name="_Toc124152199"/>
      <w:r>
        <w:rPr>
          <w:rStyle w:val="CharSClsNo"/>
        </w:rPr>
        <w:t>38</w:t>
      </w:r>
      <w:r>
        <w:t>.</w:t>
      </w:r>
      <w:r>
        <w:tab/>
        <w:t>Communication between drivers</w:t>
      </w:r>
      <w:bookmarkEnd w:id="734"/>
      <w:bookmarkEnd w:id="735"/>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736" w:name="_Toc116706971"/>
      <w:bookmarkStart w:id="737" w:name="_Toc116707154"/>
      <w:bookmarkStart w:id="738" w:name="_Toc117656327"/>
      <w:bookmarkStart w:id="739" w:name="_Toc117656509"/>
      <w:bookmarkStart w:id="740" w:name="_Toc119233995"/>
      <w:bookmarkStart w:id="741" w:name="_Toc119730860"/>
      <w:bookmarkStart w:id="742" w:name="_Toc120943806"/>
      <w:bookmarkStart w:id="743" w:name="_Toc120948503"/>
      <w:bookmarkStart w:id="744" w:name="_Toc122742849"/>
      <w:bookmarkStart w:id="745" w:name="_Toc122838081"/>
      <w:bookmarkStart w:id="746" w:name="_Toc122839142"/>
      <w:bookmarkStart w:id="747" w:name="_Toc124152200"/>
      <w:bookmarkStart w:id="748" w:name="_Toc136332318"/>
      <w:r>
        <w:rPr>
          <w:rStyle w:val="CharSDivNo"/>
        </w:rPr>
        <w:t>Division 6</w:t>
      </w:r>
      <w:r>
        <w:t> — </w:t>
      </w:r>
      <w:r>
        <w:rPr>
          <w:rStyle w:val="CharSDivText"/>
        </w:rPr>
        <w:t>Warning lights</w:t>
      </w:r>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yHeading5"/>
      </w:pPr>
      <w:bookmarkStart w:id="749" w:name="_Toc136332319"/>
      <w:bookmarkStart w:id="750" w:name="_Toc124152201"/>
      <w:r>
        <w:rPr>
          <w:rStyle w:val="CharSClsNo"/>
        </w:rPr>
        <w:t>39</w:t>
      </w:r>
      <w:r>
        <w:t>.</w:t>
      </w:r>
      <w:r>
        <w:tab/>
        <w:t>Characteristics of warning lights</w:t>
      </w:r>
      <w:bookmarkEnd w:id="749"/>
      <w:bookmarkEnd w:id="750"/>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pPr>
      <w:bookmarkStart w:id="751" w:name="_Toc136332320"/>
      <w:bookmarkStart w:id="752" w:name="_Toc124152202"/>
      <w:r>
        <w:rPr>
          <w:rStyle w:val="CharSClsNo"/>
        </w:rPr>
        <w:t>40</w:t>
      </w:r>
      <w:r>
        <w:t>.</w:t>
      </w:r>
      <w:r>
        <w:tab/>
        <w:t>Visibility of warning lights</w:t>
      </w:r>
      <w:bookmarkEnd w:id="751"/>
      <w:bookmarkEnd w:id="752"/>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pPr>
      <w:bookmarkStart w:id="753" w:name="_Toc136332321"/>
      <w:bookmarkStart w:id="754" w:name="_Toc124152203"/>
      <w:r>
        <w:rPr>
          <w:rStyle w:val="CharSClsNo"/>
        </w:rPr>
        <w:t>41</w:t>
      </w:r>
      <w:r>
        <w:t>.</w:t>
      </w:r>
      <w:r>
        <w:tab/>
        <w:t>Warning lights to be on if required, and off if not</w:t>
      </w:r>
      <w:bookmarkEnd w:id="753"/>
      <w:bookmarkEnd w:id="754"/>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755" w:name="_Toc116706975"/>
      <w:bookmarkStart w:id="756" w:name="_Toc116707158"/>
      <w:bookmarkStart w:id="757" w:name="_Toc117656331"/>
      <w:bookmarkStart w:id="758" w:name="_Toc117656513"/>
      <w:bookmarkStart w:id="759" w:name="_Toc119233999"/>
      <w:bookmarkStart w:id="760" w:name="_Toc119730864"/>
      <w:bookmarkStart w:id="761" w:name="_Toc120943810"/>
      <w:bookmarkStart w:id="762" w:name="_Toc120948507"/>
      <w:bookmarkStart w:id="763" w:name="_Toc122742853"/>
      <w:bookmarkStart w:id="764" w:name="_Toc122838085"/>
      <w:bookmarkStart w:id="765" w:name="_Toc122839146"/>
      <w:bookmarkStart w:id="766" w:name="_Toc124152204"/>
      <w:bookmarkStart w:id="767" w:name="_Toc136332322"/>
      <w:r>
        <w:rPr>
          <w:rStyle w:val="CharSDivNo"/>
        </w:rPr>
        <w:t>Division 7</w:t>
      </w:r>
      <w:r>
        <w:t> — </w:t>
      </w:r>
      <w:r>
        <w:rPr>
          <w:rStyle w:val="CharSDivText"/>
        </w:rPr>
        <w:t>Warning signs</w:t>
      </w:r>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yHeading4"/>
      </w:pPr>
      <w:bookmarkStart w:id="768" w:name="_Toc76545207"/>
      <w:bookmarkStart w:id="769" w:name="_Toc104950738"/>
      <w:bookmarkStart w:id="770" w:name="_Toc104954277"/>
      <w:bookmarkStart w:id="771" w:name="_Toc107623440"/>
      <w:bookmarkStart w:id="772" w:name="_Toc114630213"/>
      <w:bookmarkStart w:id="773" w:name="_Toc116706976"/>
      <w:bookmarkStart w:id="774" w:name="_Toc116707159"/>
      <w:bookmarkStart w:id="775" w:name="_Toc117656332"/>
      <w:bookmarkStart w:id="776" w:name="_Toc117656514"/>
      <w:bookmarkStart w:id="777" w:name="_Toc119234000"/>
      <w:bookmarkStart w:id="778" w:name="_Toc119730865"/>
      <w:bookmarkStart w:id="779" w:name="_Toc120943811"/>
      <w:bookmarkStart w:id="780" w:name="_Toc120948508"/>
      <w:bookmarkStart w:id="781" w:name="_Toc122742854"/>
      <w:bookmarkStart w:id="782" w:name="_Toc122838086"/>
      <w:bookmarkStart w:id="783" w:name="_Toc122839147"/>
      <w:bookmarkStart w:id="784" w:name="_Toc124152205"/>
      <w:bookmarkStart w:id="785" w:name="_Toc136332323"/>
      <w:r>
        <w:t>Subdivision 1 — When this Division applies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yHeading5"/>
      </w:pPr>
      <w:bookmarkStart w:id="786" w:name="_Toc136332324"/>
      <w:bookmarkStart w:id="787" w:name="_Toc124152206"/>
      <w:r>
        <w:rPr>
          <w:rStyle w:val="CharSClsNo"/>
        </w:rPr>
        <w:t>42</w:t>
      </w:r>
      <w:r>
        <w:t>.</w:t>
      </w:r>
      <w:r>
        <w:tab/>
        <w:t>What specifications must a warning sign comply with</w:t>
      </w:r>
      <w:bookmarkEnd w:id="786"/>
      <w:bookmarkEnd w:id="787"/>
    </w:p>
    <w:p>
      <w:pPr>
        <w:pStyle w:val="ySubsection"/>
      </w:pPr>
      <w:r>
        <w:tab/>
      </w:r>
      <w:r>
        <w:tab/>
        <w:t>A warning sign on an oversize vehicle, an oversize agricultural vehicle or a pilot vehicle, must comply with the specifications in this Division.</w:t>
      </w:r>
    </w:p>
    <w:p>
      <w:pPr>
        <w:pStyle w:val="yHeading4"/>
      </w:pPr>
      <w:bookmarkStart w:id="788" w:name="_Toc76545209"/>
      <w:bookmarkStart w:id="789" w:name="_Toc104950740"/>
      <w:bookmarkStart w:id="790" w:name="_Toc104954279"/>
      <w:bookmarkStart w:id="791" w:name="_Toc107623442"/>
      <w:bookmarkStart w:id="792" w:name="_Toc114630215"/>
      <w:bookmarkStart w:id="793" w:name="_Toc116706978"/>
      <w:bookmarkStart w:id="794" w:name="_Toc116707161"/>
      <w:bookmarkStart w:id="795" w:name="_Toc117656334"/>
      <w:bookmarkStart w:id="796" w:name="_Toc117656516"/>
      <w:bookmarkStart w:id="797" w:name="_Toc119234002"/>
      <w:bookmarkStart w:id="798" w:name="_Toc119730867"/>
      <w:bookmarkStart w:id="799" w:name="_Toc120943813"/>
      <w:bookmarkStart w:id="800" w:name="_Toc120948510"/>
      <w:bookmarkStart w:id="801" w:name="_Toc122742856"/>
      <w:bookmarkStart w:id="802" w:name="_Toc122838088"/>
      <w:bookmarkStart w:id="803" w:name="_Toc122839149"/>
      <w:bookmarkStart w:id="804" w:name="_Toc124152207"/>
      <w:bookmarkStart w:id="805" w:name="_Toc136332325"/>
      <w:r>
        <w:t>Subdivision 2 — Oversize vehicles and pilot vehicles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yHeading5"/>
      </w:pPr>
      <w:bookmarkStart w:id="806" w:name="_Toc136332326"/>
      <w:bookmarkStart w:id="807" w:name="_Toc124152208"/>
      <w:r>
        <w:rPr>
          <w:rStyle w:val="CharSClsNo"/>
        </w:rPr>
        <w:t>43</w:t>
      </w:r>
      <w:r>
        <w:t>.</w:t>
      </w:r>
      <w:r>
        <w:tab/>
        <w:t>Face of a warning sign</w:t>
      </w:r>
      <w:bookmarkEnd w:id="806"/>
      <w:bookmarkEnd w:id="807"/>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pPr>
      <w:bookmarkStart w:id="808" w:name="_Toc136332327"/>
      <w:bookmarkStart w:id="809" w:name="_Toc124152209"/>
      <w:r>
        <w:rPr>
          <w:rStyle w:val="CharSClsNo"/>
        </w:rPr>
        <w:t>44</w:t>
      </w:r>
      <w:r>
        <w:t>.</w:t>
      </w:r>
      <w:r>
        <w:tab/>
        <w:t>Material for a warning sign</w:t>
      </w:r>
      <w:bookmarkEnd w:id="808"/>
      <w:bookmarkEnd w:id="809"/>
    </w:p>
    <w:p>
      <w:pPr>
        <w:pStyle w:val="ySubsection"/>
      </w:pPr>
      <w:r>
        <w:tab/>
        <w:t>(1)</w:t>
      </w:r>
      <w:r>
        <w:tab/>
        <w:t>A warning sign must be made of stiff, flat, weatherproof material.</w:t>
      </w:r>
    </w:p>
    <w:p>
      <w:pPr>
        <w:pStyle w:val="ySubsection"/>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pPr>
      <w:r>
        <w:tab/>
        <w:t>(3)</w:t>
      </w:r>
      <w:r>
        <w:tab/>
        <w:t>A flexible warning sign must comply with all the other requirements as if it were a stiff sign.</w:t>
      </w:r>
    </w:p>
    <w:p>
      <w:pPr>
        <w:pStyle w:val="ySubsection"/>
      </w:pPr>
      <w:r>
        <w:tab/>
        <w:t>(4)</w:t>
      </w:r>
      <w:r>
        <w:tab/>
        <w:t>A flexible warning sign that is in such condition or state that its message cannot be easily read by other road users is deemed not to be a warning sign for the purposes of this Schedule.</w:t>
      </w:r>
    </w:p>
    <w:p>
      <w:pPr>
        <w:pStyle w:val="yHeading5"/>
      </w:pPr>
      <w:bookmarkStart w:id="810" w:name="_Toc136332328"/>
      <w:bookmarkStart w:id="811" w:name="_Toc124152210"/>
      <w:r>
        <w:rPr>
          <w:rStyle w:val="CharSClsNo"/>
        </w:rPr>
        <w:t>45</w:t>
      </w:r>
      <w:r>
        <w:t>.</w:t>
      </w:r>
      <w:r>
        <w:tab/>
        <w:t>Keeping warning signs clean</w:t>
      </w:r>
      <w:bookmarkEnd w:id="810"/>
      <w:bookmarkEnd w:id="811"/>
    </w:p>
    <w:p>
      <w:pPr>
        <w:pStyle w:val="ySubsection"/>
      </w:pPr>
      <w:r>
        <w:tab/>
      </w:r>
      <w:r>
        <w:tab/>
        <w:t>A warning sign on a vehicle must be kept clean enough so that it can be easily read by other road users.</w:t>
      </w:r>
    </w:p>
    <w:p>
      <w:pPr>
        <w:pStyle w:val="yHeading5"/>
      </w:pPr>
      <w:bookmarkStart w:id="812" w:name="_Toc136332329"/>
      <w:bookmarkStart w:id="813" w:name="_Toc124152211"/>
      <w:r>
        <w:rPr>
          <w:rStyle w:val="CharSClsNo"/>
        </w:rPr>
        <w:t>46</w:t>
      </w:r>
      <w:r>
        <w:t>.</w:t>
      </w:r>
      <w:r>
        <w:tab/>
        <w:t>Warning sign must not be displayed if not required</w:t>
      </w:r>
      <w:bookmarkEnd w:id="812"/>
      <w:bookmarkEnd w:id="813"/>
    </w:p>
    <w:p>
      <w:pPr>
        <w:pStyle w:val="ySubsection"/>
      </w:pPr>
      <w:r>
        <w:tab/>
      </w:r>
      <w:r>
        <w:tab/>
        <w:t>A warning sign must not be displayed on a vehicle that is not an oversize vehicle or a pilot vehicle.</w:t>
      </w:r>
    </w:p>
    <w:p>
      <w:pPr>
        <w:pStyle w:val="yHeading4"/>
      </w:pPr>
      <w:bookmarkStart w:id="814" w:name="_Toc76545214"/>
      <w:bookmarkStart w:id="815" w:name="_Toc104950745"/>
      <w:bookmarkStart w:id="816" w:name="_Toc104954284"/>
      <w:bookmarkStart w:id="817" w:name="_Toc107623447"/>
      <w:bookmarkStart w:id="818" w:name="_Toc114630220"/>
      <w:bookmarkStart w:id="819" w:name="_Toc116706983"/>
      <w:bookmarkStart w:id="820" w:name="_Toc116707166"/>
      <w:bookmarkStart w:id="821" w:name="_Toc117656339"/>
      <w:bookmarkStart w:id="822" w:name="_Toc117656521"/>
      <w:bookmarkStart w:id="823" w:name="_Toc119234007"/>
      <w:bookmarkStart w:id="824" w:name="_Toc119730872"/>
      <w:bookmarkStart w:id="825" w:name="_Toc120943818"/>
      <w:bookmarkStart w:id="826" w:name="_Toc120948515"/>
      <w:bookmarkStart w:id="827" w:name="_Toc122742861"/>
      <w:bookmarkStart w:id="828" w:name="_Toc122838093"/>
      <w:bookmarkStart w:id="829" w:name="_Toc122839154"/>
      <w:bookmarkStart w:id="830" w:name="_Toc124152212"/>
      <w:bookmarkStart w:id="831" w:name="_Toc136332330"/>
      <w:r>
        <w:t>Subdivision 3 — Oversize vehicles only</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yHeading5"/>
      </w:pPr>
      <w:bookmarkStart w:id="832" w:name="_Toc136332331"/>
      <w:bookmarkStart w:id="833" w:name="_Toc124152213"/>
      <w:r>
        <w:rPr>
          <w:rStyle w:val="CharSClsNo"/>
        </w:rPr>
        <w:t>47</w:t>
      </w:r>
      <w:r>
        <w:t>.</w:t>
      </w:r>
      <w:r>
        <w:tab/>
        <w:t>Size of a warning sign</w:t>
      </w:r>
      <w:bookmarkEnd w:id="832"/>
      <w:bookmarkEnd w:id="833"/>
    </w:p>
    <w:p>
      <w:pPr>
        <w:pStyle w:val="ySubsection"/>
      </w:pPr>
      <w:r>
        <w:tab/>
        <w:t>(1)</w:t>
      </w:r>
      <w:r>
        <w:tab/>
        <w:t>A warning sign on an oversize vehicle must be at least 1200 mm long and at least 450 mm high.</w:t>
      </w:r>
    </w:p>
    <w:p>
      <w:pPr>
        <w:pStyle w:val="ySubsection"/>
      </w:pPr>
      <w:r>
        <w:tab/>
        <w:t>(2)</w:t>
      </w:r>
      <w:r>
        <w:tab/>
        <w:t>The sign may be split into 2 parts, in which case the combined length of its parts must be at least 1200 mm.</w:t>
      </w:r>
    </w:p>
    <w:p>
      <w:pPr>
        <w:pStyle w:val="yHeading5"/>
      </w:pPr>
      <w:bookmarkStart w:id="834" w:name="_Toc136332332"/>
      <w:bookmarkStart w:id="835" w:name="_Toc124152214"/>
      <w:r>
        <w:rPr>
          <w:rStyle w:val="CharSClsNo"/>
        </w:rPr>
        <w:t>48</w:t>
      </w:r>
      <w:r>
        <w:t>.</w:t>
      </w:r>
      <w:r>
        <w:tab/>
        <w:t>Face of a warning sign</w:t>
      </w:r>
      <w:bookmarkEnd w:id="834"/>
      <w:bookmarkEnd w:id="835"/>
    </w:p>
    <w:p>
      <w:pPr>
        <w:pStyle w:val="ySubsection"/>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3" name="Picture 13"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ad.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pPr>
      <w:bookmarkStart w:id="836" w:name="_Toc136332333"/>
      <w:bookmarkStart w:id="837" w:name="_Toc124152215"/>
      <w:r>
        <w:rPr>
          <w:rStyle w:val="CharSClsNo"/>
        </w:rPr>
        <w:t>49</w:t>
      </w:r>
      <w:r>
        <w:t>.</w:t>
      </w:r>
      <w:r>
        <w:tab/>
        <w:t>Mounting a warning sign</w:t>
      </w:r>
      <w:bookmarkEnd w:id="836"/>
      <w:bookmarkEnd w:id="837"/>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838" w:name="_Toc76545218"/>
      <w:bookmarkStart w:id="839" w:name="_Toc104950749"/>
      <w:bookmarkStart w:id="840" w:name="_Toc104954288"/>
      <w:bookmarkStart w:id="841" w:name="_Toc107623451"/>
      <w:bookmarkStart w:id="842" w:name="_Toc114630224"/>
      <w:bookmarkStart w:id="843" w:name="_Toc116706987"/>
      <w:bookmarkStart w:id="844" w:name="_Toc116707170"/>
      <w:bookmarkStart w:id="845" w:name="_Toc117656343"/>
      <w:bookmarkStart w:id="846" w:name="_Toc117656525"/>
      <w:bookmarkStart w:id="847" w:name="_Toc119234011"/>
      <w:bookmarkStart w:id="848" w:name="_Toc119730876"/>
      <w:bookmarkStart w:id="849" w:name="_Toc120943822"/>
      <w:bookmarkStart w:id="850" w:name="_Toc120948519"/>
      <w:bookmarkStart w:id="851" w:name="_Toc122742865"/>
      <w:bookmarkStart w:id="852" w:name="_Toc122838097"/>
      <w:bookmarkStart w:id="853" w:name="_Toc122839158"/>
      <w:bookmarkStart w:id="854" w:name="_Toc124152216"/>
      <w:bookmarkStart w:id="855" w:name="_Toc136332334"/>
      <w:r>
        <w:t>Subdivision 4 — Pilot vehicles only</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yHeading5"/>
      </w:pPr>
      <w:bookmarkStart w:id="856" w:name="_Toc136332335"/>
      <w:bookmarkStart w:id="857" w:name="_Toc124152217"/>
      <w:r>
        <w:rPr>
          <w:rStyle w:val="CharSClsNo"/>
        </w:rPr>
        <w:t>50</w:t>
      </w:r>
      <w:r>
        <w:t>.</w:t>
      </w:r>
      <w:r>
        <w:tab/>
        <w:t>Size and shape of a warning sign</w:t>
      </w:r>
      <w:bookmarkEnd w:id="856"/>
      <w:bookmarkEnd w:id="857"/>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pPr>
      <w:bookmarkStart w:id="858" w:name="_Toc136332336"/>
      <w:bookmarkStart w:id="859" w:name="_Toc124152218"/>
      <w:r>
        <w:rPr>
          <w:rStyle w:val="CharSClsNo"/>
        </w:rPr>
        <w:t>51</w:t>
      </w:r>
      <w:r>
        <w:t>.</w:t>
      </w:r>
      <w:r>
        <w:tab/>
        <w:t>Faces of a warning sign</w:t>
      </w:r>
      <w:bookmarkEnd w:id="858"/>
      <w:bookmarkEnd w:id="859"/>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4" name="Picture 14"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01\public$\road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pPr>
      <w:bookmarkStart w:id="860" w:name="_Toc136332337"/>
      <w:bookmarkStart w:id="861" w:name="_Toc124152219"/>
      <w:r>
        <w:rPr>
          <w:rStyle w:val="CharSClsNo"/>
        </w:rPr>
        <w:t>52</w:t>
      </w:r>
      <w:r>
        <w:t>.</w:t>
      </w:r>
      <w:r>
        <w:tab/>
        <w:t>Mounting a warning sign</w:t>
      </w:r>
      <w:bookmarkEnd w:id="860"/>
      <w:bookmarkEnd w:id="861"/>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5" name="Picture 15"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spacing w:before="120"/>
      </w:pPr>
      <w:bookmarkStart w:id="862" w:name="_Toc116706991"/>
      <w:bookmarkStart w:id="863" w:name="_Toc116707174"/>
      <w:bookmarkStart w:id="864" w:name="_Toc117656347"/>
      <w:bookmarkStart w:id="865" w:name="_Toc117656529"/>
      <w:bookmarkStart w:id="866" w:name="_Toc119234015"/>
      <w:bookmarkStart w:id="867" w:name="_Toc119730880"/>
      <w:bookmarkStart w:id="868" w:name="_Toc120943826"/>
      <w:bookmarkStart w:id="869" w:name="_Toc120948523"/>
      <w:bookmarkStart w:id="870" w:name="_Toc122742869"/>
      <w:bookmarkStart w:id="871" w:name="_Toc122838101"/>
      <w:bookmarkStart w:id="872" w:name="_Toc122839162"/>
      <w:bookmarkStart w:id="873" w:name="_Toc124152220"/>
      <w:bookmarkStart w:id="874" w:name="_Toc136332338"/>
      <w:r>
        <w:rPr>
          <w:rStyle w:val="CharSDivNo"/>
        </w:rPr>
        <w:t>Division 8</w:t>
      </w:r>
      <w:r>
        <w:t> — </w:t>
      </w:r>
      <w:r>
        <w:rPr>
          <w:rStyle w:val="CharSDivText"/>
        </w:rPr>
        <w:t>Interpretation</w:t>
      </w:r>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Heading5"/>
      </w:pPr>
      <w:bookmarkStart w:id="875" w:name="_Toc136332339"/>
      <w:bookmarkStart w:id="876" w:name="_Toc124152221"/>
      <w:r>
        <w:rPr>
          <w:rStyle w:val="CharSClsNo"/>
        </w:rPr>
        <w:t>53</w:t>
      </w:r>
      <w:r>
        <w:t>.</w:t>
      </w:r>
      <w:r>
        <w:tab/>
        <w:t>Application to retractable axles</w:t>
      </w:r>
      <w:bookmarkEnd w:id="875"/>
      <w:bookmarkEnd w:id="876"/>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pPr>
      <w:bookmarkStart w:id="877" w:name="_Toc136332340"/>
      <w:bookmarkStart w:id="878" w:name="_Toc124152222"/>
      <w:r>
        <w:rPr>
          <w:rStyle w:val="CharSClsNo"/>
        </w:rPr>
        <w:t>54</w:t>
      </w:r>
      <w:r>
        <w:t>.</w:t>
      </w:r>
      <w:r>
        <w:tab/>
        <w:t>Application of mass limits where more than one applies</w:t>
      </w:r>
      <w:bookmarkEnd w:id="877"/>
      <w:bookmarkEnd w:id="878"/>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879" w:name="_Toc114630231"/>
      <w:bookmarkStart w:id="880" w:name="_Toc116706994"/>
      <w:bookmarkStart w:id="881" w:name="_Toc116707177"/>
      <w:bookmarkStart w:id="882" w:name="_Toc117656350"/>
      <w:bookmarkStart w:id="883" w:name="_Toc117656532"/>
    </w:p>
    <w:p>
      <w:pPr>
        <w:pStyle w:val="yScheduleHeading"/>
      </w:pPr>
      <w:bookmarkStart w:id="884" w:name="_Toc119234018"/>
      <w:bookmarkStart w:id="885" w:name="_Toc119730883"/>
      <w:bookmarkStart w:id="886" w:name="_Toc120943829"/>
      <w:bookmarkStart w:id="887" w:name="_Toc120948526"/>
      <w:bookmarkStart w:id="888" w:name="_Toc122742872"/>
      <w:bookmarkStart w:id="889" w:name="_Toc122838104"/>
      <w:bookmarkStart w:id="890" w:name="_Toc122839165"/>
      <w:bookmarkStart w:id="891" w:name="_Toc124152223"/>
      <w:bookmarkStart w:id="892" w:name="_Toc136332341"/>
      <w:r>
        <w:rPr>
          <w:rStyle w:val="CharSchNo"/>
        </w:rPr>
        <w:t>Glossary</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Pr>
          <w:rStyle w:val="CharSchText"/>
        </w:rPr>
        <w:t xml:space="preserve"> </w:t>
      </w:r>
    </w:p>
    <w:p>
      <w:pPr>
        <w:pStyle w:val="yShoulderClause"/>
      </w:pPr>
      <w:r>
        <w:t>[r. 3(2)]</w:t>
      </w:r>
    </w:p>
    <w:p>
      <w:pPr>
        <w:pStyle w:val="yHeading5"/>
      </w:pPr>
      <w:bookmarkStart w:id="893" w:name="_Toc136332342"/>
      <w:bookmarkStart w:id="894" w:name="_Toc124152224"/>
      <w:r>
        <w:rPr>
          <w:rStyle w:val="CharSClsNo"/>
        </w:rPr>
        <w:t>1</w:t>
      </w:r>
      <w:r>
        <w:t>.</w:t>
      </w:r>
      <w:r>
        <w:tab/>
        <w:t>Definitions</w:t>
      </w:r>
      <w:bookmarkEnd w:id="893"/>
      <w:bookmarkEnd w:id="894"/>
    </w:p>
    <w:p>
      <w:pPr>
        <w:pStyle w:val="ySubsection"/>
      </w:pPr>
      <w:r>
        <w:tab/>
        <w:t>(1)</w:t>
      </w:r>
      <w:r>
        <w:tab/>
        <w:t>Unless the contrary intention appears, in these regulations and the Vehicle Standards —</w:t>
      </w:r>
    </w:p>
    <w:p>
      <w:pPr>
        <w:pStyle w:val="yDefstart"/>
      </w:pPr>
      <w:r>
        <w:tab/>
      </w:r>
      <w:r>
        <w:rPr>
          <w:b/>
        </w:rPr>
        <w:t>“</w:t>
      </w:r>
      <w:r>
        <w:rPr>
          <w:rStyle w:val="CharDefText"/>
        </w:rPr>
        <w:t>50 mm kingpin</w:t>
      </w:r>
      <w:r>
        <w:rPr>
          <w:b/>
        </w:rPr>
        <w:t>”</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b/>
        </w:rPr>
        <w:t>“</w:t>
      </w:r>
      <w:r>
        <w:rPr>
          <w:rStyle w:val="CharDefText"/>
        </w:rPr>
        <w:t>75 mm kingpin</w:t>
      </w:r>
      <w:r>
        <w:rPr>
          <w:b/>
        </w:rPr>
        <w:t>”</w:t>
      </w:r>
      <w:r>
        <w:t xml:space="preserve"> means a kingpin with the dimensions mentioned in rule 159(3) of the Vehicle Standards;</w:t>
      </w:r>
    </w:p>
    <w:p>
      <w:pPr>
        <w:pStyle w:val="yDefstart"/>
      </w:pPr>
      <w:r>
        <w:tab/>
      </w:r>
      <w:r>
        <w:rPr>
          <w:b/>
        </w:rPr>
        <w:t>“</w:t>
      </w:r>
      <w:r>
        <w:rPr>
          <w:rStyle w:val="CharDefText"/>
        </w:rPr>
        <w:t>90 mm kingpin</w:t>
      </w:r>
      <w:r>
        <w:rPr>
          <w:b/>
        </w:rPr>
        <w:t>”</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b/>
        </w:rPr>
        <w:t>“</w:t>
      </w:r>
      <w:r>
        <w:rPr>
          <w:rStyle w:val="CharDefText"/>
        </w:rPr>
        <w:t>adopted standard</w:t>
      </w:r>
      <w:r>
        <w:rPr>
          <w:b/>
        </w:rPr>
        <w:t>”</w:t>
      </w:r>
      <w:r>
        <w:t xml:space="preserve"> has the meaning given by rule 18 of the Vehicle Standards;</w:t>
      </w:r>
    </w:p>
    <w:p>
      <w:pPr>
        <w:pStyle w:val="yDefstart"/>
      </w:pPr>
      <w:r>
        <w:tab/>
      </w:r>
      <w:r>
        <w:rPr>
          <w:b/>
        </w:rPr>
        <w:t>“</w:t>
      </w:r>
      <w:r>
        <w:rPr>
          <w:rStyle w:val="CharDefText"/>
        </w:rPr>
        <w:t>ADR</w:t>
      </w:r>
      <w:r>
        <w:rPr>
          <w:b/>
        </w:rPr>
        <w:t xml:space="preserve">” </w:t>
      </w:r>
      <w:r>
        <w:t>(which stands for “Australian Design Rule”) has the meaning given by rule 8 of the Vehicle Standards;</w:t>
      </w:r>
    </w:p>
    <w:p>
      <w:pPr>
        <w:pStyle w:val="yDefstart"/>
      </w:pPr>
      <w:r>
        <w:tab/>
      </w:r>
      <w:r>
        <w:rPr>
          <w:b/>
        </w:rPr>
        <w:t>“</w:t>
      </w:r>
      <w:r>
        <w:rPr>
          <w:rStyle w:val="CharDefText"/>
        </w:rPr>
        <w:t>agricultural combination</w:t>
      </w:r>
      <w:r>
        <w:rPr>
          <w:b/>
        </w:rPr>
        <w:t>”</w:t>
      </w:r>
      <w:r>
        <w:t xml:space="preserve"> means a combination that includes at least one agricultural vehicle;</w:t>
      </w:r>
    </w:p>
    <w:p>
      <w:pPr>
        <w:pStyle w:val="yDefstart"/>
      </w:pPr>
      <w:r>
        <w:tab/>
      </w:r>
      <w:r>
        <w:rPr>
          <w:b/>
        </w:rPr>
        <w:t>“</w:t>
      </w:r>
      <w:r>
        <w:rPr>
          <w:rStyle w:val="CharDefText"/>
        </w:rPr>
        <w:t>agricultural implement</w:t>
      </w:r>
      <w:r>
        <w:rPr>
          <w:b/>
        </w:rPr>
        <w:t>”</w:t>
      </w:r>
      <w:r>
        <w:t xml:space="preserve"> means a vehicle without its own motive power, built to perform agricultural tasks;</w:t>
      </w:r>
    </w:p>
    <w:p>
      <w:pPr>
        <w:pStyle w:val="yDefstart"/>
      </w:pPr>
      <w:r>
        <w:tab/>
      </w:r>
      <w:r>
        <w:rPr>
          <w:b/>
        </w:rPr>
        <w:t>“</w:t>
      </w:r>
      <w:r>
        <w:rPr>
          <w:rStyle w:val="CharDefText"/>
        </w:rPr>
        <w:t>agricultural machine</w:t>
      </w:r>
      <w:r>
        <w:rPr>
          <w:b/>
        </w:rPr>
        <w:t>”</w:t>
      </w:r>
      <w:r>
        <w:t xml:space="preserve"> means a machine with its own motive power, built to perform agricultural tasks;</w:t>
      </w:r>
    </w:p>
    <w:p>
      <w:pPr>
        <w:pStyle w:val="yDefstart"/>
      </w:pPr>
      <w:r>
        <w:tab/>
      </w:r>
      <w:r>
        <w:rPr>
          <w:b/>
        </w:rPr>
        <w:t>“</w:t>
      </w:r>
      <w:r>
        <w:rPr>
          <w:rStyle w:val="CharDefText"/>
        </w:rPr>
        <w:t>agricultural vehicle</w:t>
      </w:r>
      <w:r>
        <w:rPr>
          <w:b/>
        </w:rPr>
        <w:t>”</w:t>
      </w:r>
      <w:r>
        <w:t xml:space="preserve"> means an agricultural implement or agricultural machine;</w:t>
      </w:r>
    </w:p>
    <w:p>
      <w:pPr>
        <w:pStyle w:val="yDefstart"/>
      </w:pPr>
      <w:r>
        <w:tab/>
      </w:r>
      <w:r>
        <w:rPr>
          <w:b/>
        </w:rPr>
        <w:t>“</w:t>
      </w:r>
      <w:r>
        <w:rPr>
          <w:rStyle w:val="CharDefText"/>
        </w:rPr>
        <w:t>air brake</w:t>
      </w:r>
      <w:r>
        <w:rPr>
          <w:b/>
        </w:rPr>
        <w:t>”</w:t>
      </w:r>
      <w:r>
        <w:t xml:space="preserve"> means an air</w:t>
      </w:r>
      <w:r>
        <w:noBreakHyphen/>
        <w:t>operated or air</w:t>
      </w:r>
      <w:r>
        <w:noBreakHyphen/>
        <w:t>assisted brake;</w:t>
      </w:r>
    </w:p>
    <w:p>
      <w:pPr>
        <w:pStyle w:val="yDefstart"/>
      </w:pPr>
      <w:r>
        <w:tab/>
      </w:r>
      <w:r>
        <w:rPr>
          <w:b/>
        </w:rPr>
        <w:t>“</w:t>
      </w:r>
      <w:r>
        <w:rPr>
          <w:rStyle w:val="CharDefText"/>
        </w:rPr>
        <w:t>approved air suspension system</w:t>
      </w:r>
      <w:r>
        <w:rPr>
          <w:b/>
        </w:rPr>
        <w:t>”</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b/>
        </w:rPr>
        <w:t>“</w:t>
      </w:r>
      <w:r>
        <w:rPr>
          <w:rStyle w:val="CharDefText"/>
        </w:rPr>
        <w:t>articulated bus</w:t>
      </w:r>
      <w:r>
        <w:rPr>
          <w:b/>
        </w:rPr>
        <w:t>”</w:t>
      </w:r>
      <w:r>
        <w:t xml:space="preserve"> means a bus with at least 2 rigid sections that allow passengers access between the sections and are connected to allow rotary movement between the sections;</w:t>
      </w:r>
    </w:p>
    <w:p>
      <w:pPr>
        <w:pStyle w:val="yDefstart"/>
      </w:pPr>
      <w:r>
        <w:tab/>
      </w:r>
      <w:r>
        <w:rPr>
          <w:b/>
        </w:rPr>
        <w:t>“</w:t>
      </w:r>
      <w:r>
        <w:rPr>
          <w:rStyle w:val="CharDefText"/>
        </w:rPr>
        <w:t>Australian Standard</w:t>
      </w:r>
      <w:r>
        <w:rPr>
          <w:b/>
        </w:rPr>
        <w:t>”</w:t>
      </w:r>
      <w:r>
        <w:t xml:space="preserve"> means a standard approved for publication on behalf of the Standards Association International Limited (ACN 087 326 690)</w:t>
      </w:r>
      <w:r>
        <w:rPr>
          <w:vertAlign w:val="superscript"/>
        </w:rPr>
        <w:t> 3</w:t>
      </w:r>
      <w:r>
        <w:t>;</w:t>
      </w:r>
    </w:p>
    <w:p>
      <w:pPr>
        <w:pStyle w:val="yDefstart"/>
      </w:pPr>
      <w:r>
        <w:tab/>
      </w:r>
      <w:r>
        <w:rPr>
          <w:b/>
        </w:rPr>
        <w:t>“</w:t>
      </w:r>
      <w:r>
        <w:rPr>
          <w:rStyle w:val="CharDefText"/>
        </w:rPr>
        <w:t>axle</w:t>
      </w:r>
      <w:r>
        <w:rPr>
          <w:b/>
        </w:rPr>
        <w:t>”</w:t>
      </w:r>
      <w:r>
        <w:t xml:space="preserve"> means one or more shafts, positioned in a line across a vehicle, on which one or more wheels intended to support the vehicle turn;</w:t>
      </w:r>
    </w:p>
    <w:p>
      <w:pPr>
        <w:pStyle w:val="yDefstart"/>
      </w:pPr>
      <w:r>
        <w:tab/>
      </w:r>
      <w:r>
        <w:rPr>
          <w:b/>
        </w:rPr>
        <w:t>“</w:t>
      </w:r>
      <w:r>
        <w:rPr>
          <w:rStyle w:val="CharDefText"/>
        </w:rPr>
        <w:t>axle group</w:t>
      </w:r>
      <w:r>
        <w:rPr>
          <w:b/>
        </w:rPr>
        <w:t>”</w:t>
      </w:r>
      <w:r>
        <w:t xml:space="preserve"> means a single axle group, tandem axle group, twinsteer axle group, tri</w:t>
      </w:r>
      <w:r>
        <w:noBreakHyphen/>
        <w:t>axle group or quad</w:t>
      </w:r>
      <w:r>
        <w:noBreakHyphen/>
        <w:t>axle group;</w:t>
      </w:r>
    </w:p>
    <w:p>
      <w:pPr>
        <w:pStyle w:val="yDefstart"/>
        <w:spacing w:after="60"/>
      </w:pPr>
      <w:r>
        <w:tab/>
      </w:r>
      <w:r>
        <w:rPr>
          <w:b/>
        </w:rPr>
        <w:t>“</w:t>
      </w:r>
      <w:r>
        <w:rPr>
          <w:rStyle w:val="CharDefText"/>
        </w:rPr>
        <w:t>B</w:t>
      </w:r>
      <w:r>
        <w:rPr>
          <w:rStyle w:val="CharDefText"/>
        </w:rPr>
        <w:noBreakHyphen/>
        <w:t>double</w:t>
      </w:r>
      <w:r>
        <w:rPr>
          <w:b/>
        </w:rPr>
        <w:t>”</w:t>
      </w:r>
      <w:r>
        <w:t xml:space="preserve"> means a combination consisting of a prime mover towing 2 semi</w:t>
      </w:r>
      <w:r>
        <w:noBreakHyphen/>
        <w:t>trailers;</w:t>
      </w:r>
    </w:p>
    <w:p>
      <w:pPr>
        <w:pStyle w:val="yDefstart"/>
        <w:keepNext/>
        <w:tabs>
          <w:tab w:val="clear" w:pos="879"/>
        </w:tabs>
        <w:ind w:left="0" w:firstLine="0"/>
        <w:jc w:val="center"/>
      </w:pPr>
      <w:r>
        <w:rPr>
          <w:noProof/>
          <w:snapToGrid/>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Graphics"/>
        <w:jc w:val="center"/>
        <w:rPr>
          <w:b/>
          <w:bCs/>
        </w:rPr>
      </w:pPr>
      <w:r>
        <w:rPr>
          <w:b/>
          <w:bCs/>
        </w:rPr>
        <w:t>B</w:t>
      </w:r>
      <w:r>
        <w:rPr>
          <w:b/>
          <w:bCs/>
        </w:rPr>
        <w:noBreakHyphen/>
        <w:t>double</w:t>
      </w:r>
    </w:p>
    <w:p>
      <w:pPr>
        <w:pStyle w:val="yDefstart"/>
        <w:spacing w:before="100"/>
      </w:pPr>
      <w:r>
        <w:tab/>
      </w:r>
      <w:r>
        <w:rPr>
          <w:b/>
        </w:rPr>
        <w:t>“</w:t>
      </w:r>
      <w:r>
        <w:rPr>
          <w:rStyle w:val="CharDefText"/>
        </w:rPr>
        <w:t>braking system</w:t>
      </w:r>
      <w:r>
        <w:rPr>
          <w:b/>
        </w:rPr>
        <w:t>”</w:t>
      </w:r>
      <w:r>
        <w:t>, of a vehicle, means all the brakes of the vehicle and all the components of the mechanisms by which they are operated;</w:t>
      </w:r>
    </w:p>
    <w:p>
      <w:pPr>
        <w:pStyle w:val="yDefstart"/>
        <w:spacing w:before="100"/>
      </w:pPr>
      <w:r>
        <w:tab/>
      </w:r>
      <w:r>
        <w:rPr>
          <w:b/>
        </w:rPr>
        <w:t>“</w:t>
      </w:r>
      <w:r>
        <w:rPr>
          <w:rStyle w:val="CharDefText"/>
        </w:rPr>
        <w:t>British Standard</w:t>
      </w:r>
      <w:r>
        <w:rPr>
          <w:b/>
        </w:rPr>
        <w:t>”</w:t>
      </w:r>
      <w:r>
        <w:t xml:space="preserve"> means a standard approved for publication on behalf of the British Standards Institution, being an institution established under royal charter in the United Kingdom;</w:t>
      </w:r>
    </w:p>
    <w:p>
      <w:pPr>
        <w:pStyle w:val="yDefstart"/>
        <w:spacing w:before="100"/>
      </w:pPr>
      <w:r>
        <w:tab/>
      </w:r>
      <w:r>
        <w:rPr>
          <w:b/>
        </w:rPr>
        <w:t>“</w:t>
      </w:r>
      <w:r>
        <w:rPr>
          <w:rStyle w:val="CharDefText"/>
        </w:rPr>
        <w:t>bus</w:t>
      </w:r>
      <w:r>
        <w:rPr>
          <w:b/>
        </w:rPr>
        <w:t>”</w:t>
      </w:r>
      <w:r>
        <w:t xml:space="preserve"> means a motor vehicle built mainly to carry people that seats more than 9 adults (including the driver);</w:t>
      </w:r>
    </w:p>
    <w:p>
      <w:pPr>
        <w:pStyle w:val="yDefstart"/>
        <w:spacing w:before="100"/>
      </w:pPr>
      <w:r>
        <w:tab/>
      </w:r>
      <w:r>
        <w:rPr>
          <w:b/>
        </w:rPr>
        <w:t>“</w:t>
      </w:r>
      <w:r>
        <w:rPr>
          <w:rStyle w:val="CharDefText"/>
        </w:rPr>
        <w:t>car</w:t>
      </w:r>
      <w:r>
        <w:rPr>
          <w:b/>
        </w:rPr>
        <w:t>”</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spacing w:before="120"/>
      </w:pPr>
      <w:r>
        <w:tab/>
      </w:r>
      <w:r>
        <w:rPr>
          <w:b/>
        </w:rPr>
        <w:t>“</w:t>
      </w:r>
      <w:r>
        <w:rPr>
          <w:rStyle w:val="CharDefText"/>
        </w:rPr>
        <w:t>centre</w:t>
      </w:r>
      <w:r>
        <w:rPr>
          <w:b/>
        </w:rPr>
        <w:t>”</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b/>
        </w:rPr>
        <w:t>“</w:t>
      </w:r>
      <w:r>
        <w:rPr>
          <w:rStyle w:val="CharDefText"/>
        </w:rPr>
        <w:t>centre</w:t>
      </w:r>
      <w:r>
        <w:rPr>
          <w:b/>
        </w:rPr>
        <w:t>”</w:t>
      </w:r>
      <w:r>
        <w:t>, in relation to an axle group, means —</w:t>
      </w:r>
    </w:p>
    <w:p>
      <w:pPr>
        <w:pStyle w:val="yDefpara"/>
      </w:pPr>
      <w:r>
        <w:tab/>
        <w:t>(a)</w:t>
      </w:r>
      <w:r>
        <w:tab/>
        <w:t>a line midway between the centres of the outermost axles of the group; or</w:t>
      </w:r>
    </w:p>
    <w:p>
      <w:pPr>
        <w:pStyle w:val="yDefpara"/>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Graphics"/>
        <w:jc w:val="center"/>
        <w:rPr>
          <w:b/>
          <w:bCs/>
        </w:rPr>
      </w:pPr>
      <w:r>
        <w:rPr>
          <w:b/>
          <w:bCs/>
        </w:rPr>
        <w:t>Centre of an axle group</w:t>
      </w:r>
    </w:p>
    <w:p>
      <w:pPr>
        <w:pStyle w:val="yDefstart"/>
        <w:tabs>
          <w:tab w:val="clear" w:pos="879"/>
        </w:tabs>
        <w:ind w:left="0" w:firstLine="0"/>
        <w:jc w:val="center"/>
      </w:pPr>
      <w:r>
        <w:rPr>
          <w:noProof/>
          <w:snapToGrid/>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yDefstart"/>
        <w:tabs>
          <w:tab w:val="clear" w:pos="879"/>
          <w:tab w:val="left" w:pos="3840"/>
        </w:tabs>
        <w:ind w:left="0" w:firstLine="0"/>
        <w:jc w:val="center"/>
      </w:pPr>
      <w:r>
        <w:rPr>
          <w:noProof/>
          <w:snapToGrid/>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Graphics"/>
        <w:jc w:val="center"/>
        <w:rPr>
          <w:b/>
          <w:bCs/>
        </w:rPr>
      </w:pPr>
      <w:r>
        <w:rPr>
          <w:b/>
          <w:bCs/>
        </w:rPr>
        <w:t>Quad</w:t>
      </w:r>
      <w:r>
        <w:rPr>
          <w:b/>
          <w:bCs/>
        </w:rPr>
        <w:noBreakHyphen/>
        <w:t>axle group</w:t>
      </w:r>
    </w:p>
    <w:p>
      <w:pPr>
        <w:pStyle w:val="yDefstart"/>
      </w:pPr>
      <w:r>
        <w:tab/>
      </w:r>
      <w:r>
        <w:rPr>
          <w:b/>
        </w:rPr>
        <w:t>“</w:t>
      </w:r>
      <w:r>
        <w:rPr>
          <w:rStyle w:val="CharDefText"/>
        </w:rPr>
        <w:t>class 1 notice</w:t>
      </w:r>
      <w:r>
        <w:rPr>
          <w:b/>
        </w:rPr>
        <w:t>”</w:t>
      </w:r>
      <w:r>
        <w:t xml:space="preserve"> means a notice issued under regulation 24;</w:t>
      </w:r>
    </w:p>
    <w:p>
      <w:pPr>
        <w:pStyle w:val="yDefstart"/>
      </w:pPr>
      <w:r>
        <w:tab/>
      </w:r>
      <w:r>
        <w:rPr>
          <w:b/>
        </w:rPr>
        <w:t>“</w:t>
      </w:r>
      <w:r>
        <w:rPr>
          <w:rStyle w:val="CharDefText"/>
        </w:rPr>
        <w:t>class 1 permit</w:t>
      </w:r>
      <w:r>
        <w:rPr>
          <w:b/>
        </w:rPr>
        <w:t xml:space="preserve">” </w:t>
      </w:r>
      <w:r>
        <w:t>means a permit granted under regulation 25;</w:t>
      </w:r>
    </w:p>
    <w:p>
      <w:pPr>
        <w:pStyle w:val="yDefstart"/>
      </w:pPr>
      <w:r>
        <w:tab/>
      </w:r>
      <w:r>
        <w:rPr>
          <w:b/>
        </w:rPr>
        <w:t>“</w:t>
      </w:r>
      <w:r>
        <w:rPr>
          <w:rStyle w:val="CharDefText"/>
        </w:rPr>
        <w:t>class 1 vehicle</w:t>
      </w:r>
      <w:r>
        <w:rPr>
          <w:b/>
        </w:rPr>
        <w:t>”</w:t>
      </w:r>
      <w:r>
        <w:t xml:space="preserve"> means a restricted access vehicle —</w:t>
      </w:r>
    </w:p>
    <w:p>
      <w:pPr>
        <w:pStyle w:val="yDefpara"/>
      </w:pPr>
      <w:r>
        <w:tab/>
        <w:t>(a)</w:t>
      </w:r>
      <w:r>
        <w:tab/>
        <w:t>that is —</w:t>
      </w:r>
    </w:p>
    <w:p>
      <w:pPr>
        <w:pStyle w:val="yDefsubpara"/>
      </w:pPr>
      <w:r>
        <w:tab/>
        <w:t>(i)</w:t>
      </w:r>
      <w:r>
        <w:tab/>
        <w:t>a special purpose vehicle;</w:t>
      </w:r>
    </w:p>
    <w:p>
      <w:pPr>
        <w:pStyle w:val="yDefsubpara"/>
      </w:pPr>
      <w:r>
        <w:tab/>
        <w:t>(ii)</w:t>
      </w:r>
      <w:r>
        <w:tab/>
        <w:t>an agricultural machine or agricultural implement; or</w:t>
      </w:r>
    </w:p>
    <w:p>
      <w:pPr>
        <w:pStyle w:val="yDefsubpara"/>
      </w:pPr>
      <w:r>
        <w:tab/>
        <w:t>(iii)</w:t>
      </w:r>
      <w:r>
        <w:tab/>
        <w:t>designed to carry, or is carrying, a large indivisible item;</w:t>
      </w:r>
    </w:p>
    <w:p>
      <w:pPr>
        <w:pStyle w:val="yDefpara"/>
      </w:pPr>
      <w:r>
        <w:tab/>
        <w:t>(b)</w:t>
      </w:r>
      <w:r>
        <w:tab/>
        <w:t>that is not —</w:t>
      </w:r>
    </w:p>
    <w:p>
      <w:pPr>
        <w:pStyle w:val="yDefsubpara"/>
      </w:pPr>
      <w:r>
        <w:tab/>
        <w:t>(i)</w:t>
      </w:r>
      <w:r>
        <w:tab/>
        <w:t>a road train;</w:t>
      </w:r>
    </w:p>
    <w:p>
      <w:pPr>
        <w:pStyle w:val="yDefsubpara"/>
      </w:pPr>
      <w:r>
        <w:tab/>
        <w:t>(ii)</w:t>
      </w:r>
      <w:r>
        <w:tab/>
        <w:t>a B</w:t>
      </w:r>
      <w:r>
        <w:noBreakHyphen/>
        <w:t>double; or</w:t>
      </w:r>
    </w:p>
    <w:p>
      <w:pPr>
        <w:pStyle w:val="yDefsubpara"/>
      </w:pPr>
      <w:r>
        <w:tab/>
        <w:t>(iii)</w:t>
      </w:r>
      <w:r>
        <w:tab/>
        <w:t>carrying a freight container designed for multi</w:t>
      </w:r>
      <w:r>
        <w:noBreakHyphen/>
        <w:t>modal transport;</w:t>
      </w:r>
    </w:p>
    <w:p>
      <w:pPr>
        <w:pStyle w:val="yDefpara"/>
        <w:spacing w:before="60"/>
      </w:pPr>
      <w:r>
        <w:tab/>
      </w:r>
      <w:r>
        <w:tab/>
        <w:t>and</w:t>
      </w:r>
    </w:p>
    <w:p>
      <w:pPr>
        <w:pStyle w:val="yDefpara"/>
      </w:pPr>
      <w:r>
        <w:tab/>
        <w:t>(c)</w:t>
      </w:r>
      <w:r>
        <w:tab/>
        <w:t>that together with its load exceeds —</w:t>
      </w:r>
    </w:p>
    <w:p>
      <w:pPr>
        <w:pStyle w:val="yDefsubpara"/>
      </w:pPr>
      <w:r>
        <w:tab/>
        <w:t>(i)</w:t>
      </w:r>
      <w:r>
        <w:tab/>
        <w:t>a mass limit in Schedule 1 Division 1 or 2;</w:t>
      </w:r>
    </w:p>
    <w:p>
      <w:pPr>
        <w:pStyle w:val="yDefsubpara"/>
      </w:pPr>
      <w:r>
        <w:tab/>
        <w:t>(ii)</w:t>
      </w:r>
      <w:r>
        <w:tab/>
        <w:t>a dimension limit in the Vehicle Standards; or</w:t>
      </w:r>
    </w:p>
    <w:p>
      <w:pPr>
        <w:pStyle w:val="yDefsubpara"/>
      </w:pPr>
      <w:r>
        <w:tab/>
        <w:t>(iii)</w:t>
      </w:r>
      <w:r>
        <w:tab/>
        <w:t>a dimension limit in Schedule 1 Division 3 or 4;</w:t>
      </w:r>
    </w:p>
    <w:p>
      <w:pPr>
        <w:pStyle w:val="yDefstart"/>
      </w:pPr>
      <w:r>
        <w:tab/>
      </w:r>
      <w:r>
        <w:rPr>
          <w:b/>
        </w:rPr>
        <w:t>“</w:t>
      </w:r>
      <w:r>
        <w:rPr>
          <w:rStyle w:val="CharDefText"/>
        </w:rPr>
        <w:t>class 2 notice</w:t>
      </w:r>
      <w:r>
        <w:rPr>
          <w:b/>
        </w:rPr>
        <w:t>”</w:t>
      </w:r>
      <w:r>
        <w:t xml:space="preserve"> means a notice published under regulation 29;</w:t>
      </w:r>
    </w:p>
    <w:p>
      <w:pPr>
        <w:pStyle w:val="yDefstart"/>
      </w:pPr>
      <w:r>
        <w:tab/>
      </w:r>
      <w:r>
        <w:rPr>
          <w:b/>
        </w:rPr>
        <w:t>“</w:t>
      </w:r>
      <w:r>
        <w:rPr>
          <w:rStyle w:val="CharDefText"/>
        </w:rPr>
        <w:t>class 2 permit</w:t>
      </w:r>
      <w:r>
        <w:rPr>
          <w:b/>
        </w:rPr>
        <w:t>”</w:t>
      </w:r>
      <w:r>
        <w:t xml:space="preserve"> means a permit issued under regulation 30;</w:t>
      </w:r>
    </w:p>
    <w:p>
      <w:pPr>
        <w:pStyle w:val="yDefstart"/>
      </w:pPr>
      <w:r>
        <w:tab/>
      </w:r>
      <w:r>
        <w:rPr>
          <w:b/>
        </w:rPr>
        <w:t>“</w:t>
      </w:r>
      <w:r>
        <w:rPr>
          <w:rStyle w:val="CharDefText"/>
        </w:rPr>
        <w:t>class 2 vehicle</w:t>
      </w:r>
      <w:r>
        <w:rPr>
          <w:b/>
        </w:rPr>
        <w:t>”</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b/>
        </w:rPr>
        <w:t>“</w:t>
      </w:r>
      <w:r>
        <w:rPr>
          <w:rStyle w:val="CharDefText"/>
        </w:rPr>
        <w:t>class 3 notice</w:t>
      </w:r>
      <w:r>
        <w:rPr>
          <w:b/>
        </w:rPr>
        <w:t>”</w:t>
      </w:r>
      <w:r>
        <w:t xml:space="preserve"> means a notice published under regulation 33;</w:t>
      </w:r>
    </w:p>
    <w:p>
      <w:pPr>
        <w:pStyle w:val="yDefstart"/>
      </w:pPr>
      <w:r>
        <w:tab/>
      </w:r>
      <w:r>
        <w:rPr>
          <w:b/>
        </w:rPr>
        <w:t>“</w:t>
      </w:r>
      <w:r>
        <w:rPr>
          <w:rStyle w:val="CharDefText"/>
        </w:rPr>
        <w:t>class 3 permit</w:t>
      </w:r>
      <w:r>
        <w:rPr>
          <w:b/>
        </w:rPr>
        <w:t>”</w:t>
      </w:r>
      <w:r>
        <w:t xml:space="preserve"> means a permit issued under regulation 34;</w:t>
      </w:r>
    </w:p>
    <w:p>
      <w:pPr>
        <w:pStyle w:val="yDefstart"/>
      </w:pPr>
      <w:r>
        <w:tab/>
      </w:r>
      <w:r>
        <w:rPr>
          <w:b/>
        </w:rPr>
        <w:t>“</w:t>
      </w:r>
      <w:r>
        <w:rPr>
          <w:rStyle w:val="CharDefText"/>
        </w:rPr>
        <w:t>class 3 vehicle</w:t>
      </w:r>
      <w:r>
        <w:rPr>
          <w:b/>
        </w:rPr>
        <w:t>”</w:t>
      </w:r>
      <w:r>
        <w:t xml:space="preserve"> means a restricted access vehicle other than a class 1 vehicle or a class 2 vehicle;</w:t>
      </w:r>
    </w:p>
    <w:p>
      <w:pPr>
        <w:pStyle w:val="yDefstart"/>
      </w:pPr>
      <w:r>
        <w:tab/>
      </w:r>
      <w:r>
        <w:rPr>
          <w:b/>
        </w:rPr>
        <w:t>“</w:t>
      </w:r>
      <w:r>
        <w:rPr>
          <w:rStyle w:val="CharDefText"/>
        </w:rPr>
        <w:t>combination</w:t>
      </w:r>
      <w:r>
        <w:rPr>
          <w:b/>
        </w:rPr>
        <w:t>”</w:t>
      </w:r>
      <w:r>
        <w:t xml:space="preserve"> means a group of vehicles consisting of a motor vehicle connected to one or more vehicles;</w:t>
      </w:r>
    </w:p>
    <w:p>
      <w:pPr>
        <w:pStyle w:val="yDefstart"/>
      </w:pPr>
      <w:r>
        <w:tab/>
      </w:r>
      <w:r>
        <w:rPr>
          <w:b/>
        </w:rPr>
        <w:t>“</w:t>
      </w:r>
      <w:r>
        <w:rPr>
          <w:rStyle w:val="CharDefText"/>
        </w:rPr>
        <w:t>compliance notice</w:t>
      </w:r>
      <w:r>
        <w:rPr>
          <w:b/>
        </w:rPr>
        <w:t>”</w:t>
      </w:r>
      <w:r>
        <w:t xml:space="preserve"> means a compliance notice issued under regulation 61;</w:t>
      </w:r>
    </w:p>
    <w:p>
      <w:pPr>
        <w:pStyle w:val="yDefstart"/>
      </w:pPr>
      <w:r>
        <w:tab/>
      </w:r>
      <w:r>
        <w:rPr>
          <w:b/>
        </w:rPr>
        <w:t>“</w:t>
      </w:r>
      <w:r>
        <w:rPr>
          <w:rStyle w:val="CharDefText"/>
        </w:rPr>
        <w:t>complying bus</w:t>
      </w:r>
      <w:r>
        <w:rPr>
          <w:b/>
        </w:rPr>
        <w:t>”</w:t>
      </w:r>
      <w:r>
        <w:t xml:space="preserve"> means a bus —</w:t>
      </w:r>
    </w:p>
    <w:p>
      <w:pPr>
        <w:pStyle w:val="yDefpara"/>
      </w:pPr>
      <w:r>
        <w:tab/>
        <w:t>(a)</w:t>
      </w:r>
      <w:r>
        <w:tab/>
        <w:t>with 2 or 3 axles and a single steer axle that —</w:t>
      </w:r>
    </w:p>
    <w:p>
      <w:pPr>
        <w:pStyle w:val="yDefsubpara"/>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pPr>
      <w:r>
        <w:tab/>
        <w:t>(ii)</w:t>
      </w:r>
      <w:r>
        <w:tab/>
        <w:t>meets the emergency exit specifications in ADR 44;</w:t>
      </w:r>
    </w:p>
    <w:p>
      <w:pPr>
        <w:pStyle w:val="yDefsubpara"/>
      </w:pPr>
      <w:r>
        <w:tab/>
        <w:t>(iii)</w:t>
      </w:r>
      <w:r>
        <w:tab/>
        <w:t>meets the rollover strength specifications in ADR 59;</w:t>
      </w:r>
    </w:p>
    <w:p>
      <w:pPr>
        <w:pStyle w:val="yDefsubpara"/>
      </w:pPr>
      <w:r>
        <w:tab/>
        <w:t>(iv)</w:t>
      </w:r>
      <w:r>
        <w:tab/>
        <w:t>meets the occupant protection specifications in ADR 68; and</w:t>
      </w:r>
    </w:p>
    <w:p>
      <w:pPr>
        <w:pStyle w:val="yDefsubpara"/>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b/>
        </w:rPr>
        <w:t>“</w:t>
      </w:r>
      <w:r>
        <w:rPr>
          <w:rStyle w:val="CharDefText"/>
        </w:rPr>
        <w:t>controlled access bus</w:t>
      </w:r>
      <w:r>
        <w:rPr>
          <w:b/>
        </w:rPr>
        <w:t>”</w:t>
      </w:r>
      <w:r>
        <w:t xml:space="preserve"> means a bus, except an articulated bus, over 12.5 m long;</w:t>
      </w:r>
    </w:p>
    <w:p>
      <w:pPr>
        <w:pStyle w:val="yDefstart"/>
        <w:spacing w:after="60"/>
      </w:pPr>
      <w:r>
        <w:tab/>
      </w:r>
      <w:r>
        <w:rPr>
          <w:b/>
        </w:rPr>
        <w:t>“</w:t>
      </w:r>
      <w:r>
        <w:rPr>
          <w:rStyle w:val="CharDefText"/>
        </w:rPr>
        <w:t>converter dolly</w:t>
      </w:r>
      <w:r>
        <w:rPr>
          <w:b/>
        </w:rPr>
        <w:t>”</w:t>
      </w:r>
      <w:r>
        <w:t xml:space="preserve"> means a trailer with one axle group or single axle, and a fifth wheel coupling, designed to convert a semi</w:t>
      </w:r>
      <w:r>
        <w:noBreakHyphen/>
        <w:t>trailer into a dog trailer;</w:t>
      </w:r>
    </w:p>
    <w:p>
      <w:pPr>
        <w:pStyle w:val="yMiscellaneousHeading"/>
        <w:spacing w:before="0"/>
        <w:rPr>
          <w:b/>
        </w:rPr>
      </w:pPr>
      <w:r>
        <w:rPr>
          <w:b/>
          <w:noProof/>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Graphics"/>
        <w:jc w:val="center"/>
        <w:rPr>
          <w:b/>
          <w:bCs/>
        </w:rPr>
      </w:pPr>
      <w:r>
        <w:rPr>
          <w:b/>
          <w:bCs/>
        </w:rPr>
        <w:t>Converter dolly</w:t>
      </w:r>
    </w:p>
    <w:p>
      <w:pPr>
        <w:pStyle w:val="yDefstart"/>
      </w:pPr>
      <w:r>
        <w:tab/>
      </w:r>
      <w:r>
        <w:rPr>
          <w:b/>
        </w:rPr>
        <w:t>“</w:t>
      </w:r>
      <w:r>
        <w:rPr>
          <w:rStyle w:val="CharDefText"/>
        </w:rPr>
        <w:t>dangerous goods</w:t>
      </w:r>
      <w:r>
        <w:rPr>
          <w:b/>
        </w:rPr>
        <w:t>”</w:t>
      </w:r>
      <w:r>
        <w:t xml:space="preserve"> has the meaning given by regulation 2.2 of </w:t>
      </w:r>
      <w:r>
        <w:rPr>
          <w:i/>
        </w:rPr>
        <w:t>Dangerous Goods (Transport) (Road and Rail) Regulations 1999</w:t>
      </w:r>
      <w:r>
        <w:t>;</w:t>
      </w:r>
    </w:p>
    <w:p>
      <w:pPr>
        <w:pStyle w:val="yDefstart"/>
      </w:pPr>
      <w:r>
        <w:tab/>
      </w:r>
      <w:r>
        <w:rPr>
          <w:b/>
        </w:rPr>
        <w:t>“</w:t>
      </w:r>
      <w:r>
        <w:rPr>
          <w:rStyle w:val="CharDefText"/>
        </w:rPr>
        <w:t>daytime</w:t>
      </w:r>
      <w:r>
        <w:rPr>
          <w:b/>
        </w:rPr>
        <w:t>”</w:t>
      </w:r>
      <w:r>
        <w:t xml:space="preserve"> means the period from sunrise to sunset;</w:t>
      </w:r>
    </w:p>
    <w:p>
      <w:pPr>
        <w:pStyle w:val="yDefstart"/>
      </w:pPr>
      <w:r>
        <w:tab/>
      </w:r>
      <w:r>
        <w:rPr>
          <w:b/>
        </w:rPr>
        <w:t>“</w:t>
      </w:r>
      <w:r>
        <w:rPr>
          <w:rStyle w:val="CharDefText"/>
        </w:rPr>
        <w:t>Department</w:t>
      </w:r>
      <w:r>
        <w:rPr>
          <w:b/>
        </w:rPr>
        <w:t>”</w:t>
      </w:r>
      <w:r>
        <w:t xml:space="preserve"> means the department of the Public Service principally assisting in the administration of the Act;</w:t>
      </w:r>
    </w:p>
    <w:p>
      <w:pPr>
        <w:pStyle w:val="yDefstart"/>
      </w:pPr>
      <w:r>
        <w:tab/>
      </w:r>
      <w:r>
        <w:rPr>
          <w:b/>
        </w:rPr>
        <w:t>“</w:t>
      </w:r>
      <w:r>
        <w:rPr>
          <w:rStyle w:val="CharDefText"/>
        </w:rPr>
        <w:t>departmental exemption</w:t>
      </w:r>
      <w:r>
        <w:rPr>
          <w:b/>
        </w:rPr>
        <w:t>”</w:t>
      </w:r>
      <w:r>
        <w:t xml:space="preserve"> means an exemption under section 103B of the Act granted by the Director General in accordance with Part 6;</w:t>
      </w:r>
    </w:p>
    <w:p>
      <w:pPr>
        <w:pStyle w:val="yDefstart"/>
      </w:pPr>
      <w:r>
        <w:tab/>
      </w:r>
      <w:r>
        <w:rPr>
          <w:b/>
        </w:rPr>
        <w:t>“</w:t>
      </w:r>
      <w:r>
        <w:rPr>
          <w:rStyle w:val="CharDefText"/>
        </w:rPr>
        <w:t>dog trailer</w:t>
      </w:r>
      <w:r>
        <w:rPr>
          <w:b/>
        </w:rPr>
        <w:t>”</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pPr>
      <w:r>
        <w:tab/>
        <w:t>(b)</w:t>
      </w:r>
      <w:r>
        <w:tab/>
        <w:t>one axle group or single axle at the rear;</w:t>
      </w:r>
    </w:p>
    <w:p>
      <w:pPr>
        <w:pStyle w:val="yDefstart"/>
        <w:keepNext/>
        <w:tabs>
          <w:tab w:val="clear" w:pos="879"/>
        </w:tabs>
        <w:ind w:left="0" w:firstLine="0"/>
        <w:jc w:val="center"/>
      </w:pPr>
      <w:r>
        <w:rPr>
          <w:noProof/>
          <w:snapToGrid/>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Graphics"/>
        <w:jc w:val="center"/>
        <w:rPr>
          <w:b/>
          <w:bCs/>
        </w:rPr>
      </w:pPr>
      <w:r>
        <w:rPr>
          <w:b/>
          <w:bCs/>
        </w:rPr>
        <w:t>Dog trailer</w:t>
      </w:r>
    </w:p>
    <w:p>
      <w:pPr>
        <w:pStyle w:val="yDefstart"/>
      </w:pPr>
      <w:r>
        <w:tab/>
      </w:r>
      <w:r>
        <w:rPr>
          <w:b/>
        </w:rPr>
        <w:t>“</w:t>
      </w:r>
      <w:r>
        <w:rPr>
          <w:rStyle w:val="CharDefText"/>
        </w:rPr>
        <w:t>drawbar</w:t>
      </w:r>
      <w:r>
        <w:rPr>
          <w:b/>
        </w:rPr>
        <w:t>”</w:t>
      </w:r>
      <w:r>
        <w:t xml:space="preserve"> means a part of a trailer (except a semi</w:t>
      </w:r>
      <w:r>
        <w:noBreakHyphen/>
        <w:t>trailer) connecting the trailer body to a coupling for towing purposes;</w:t>
      </w:r>
    </w:p>
    <w:p>
      <w:pPr>
        <w:pStyle w:val="yDefstart"/>
      </w:pPr>
      <w:r>
        <w:tab/>
      </w:r>
      <w:r>
        <w:rPr>
          <w:b/>
        </w:rPr>
        <w:t>“</w:t>
      </w:r>
      <w:r>
        <w:rPr>
          <w:rStyle w:val="CharDefText"/>
        </w:rPr>
        <w:t>drive</w:t>
      </w:r>
      <w:r>
        <w:rPr>
          <w:b/>
        </w:rPr>
        <w:t>”</w:t>
      </w:r>
      <w:r>
        <w:t xml:space="preserve"> includes be in control of;</w:t>
      </w:r>
    </w:p>
    <w:p>
      <w:pPr>
        <w:pStyle w:val="yDefstart"/>
      </w:pPr>
      <w:r>
        <w:tab/>
      </w:r>
      <w:r>
        <w:rPr>
          <w:b/>
        </w:rPr>
        <w:t>“</w:t>
      </w:r>
      <w:r>
        <w:rPr>
          <w:rStyle w:val="CharDefText"/>
        </w:rPr>
        <w:t>driver</w:t>
      </w:r>
      <w:r>
        <w:rPr>
          <w:b/>
        </w:rPr>
        <w:t>”</w:t>
      </w:r>
      <w:r>
        <w:t>, of a motor vehicle, means the person driving the vehicle;</w:t>
      </w:r>
    </w:p>
    <w:p>
      <w:pPr>
        <w:pStyle w:val="yDefstart"/>
      </w:pPr>
      <w:r>
        <w:tab/>
      </w:r>
      <w:r>
        <w:rPr>
          <w:b/>
        </w:rPr>
        <w:t>“</w:t>
      </w:r>
      <w:r>
        <w:rPr>
          <w:rStyle w:val="CharDefText"/>
        </w:rPr>
        <w:t>emergency brake</w:t>
      </w:r>
      <w:r>
        <w:rPr>
          <w:b/>
        </w:rPr>
        <w:t>”</w:t>
      </w:r>
      <w:r>
        <w:t xml:space="preserve"> means a brake designed to be used if a service brake fails;</w:t>
      </w:r>
    </w:p>
    <w:p>
      <w:pPr>
        <w:pStyle w:val="yDefstart"/>
      </w:pPr>
      <w:r>
        <w:tab/>
      </w:r>
      <w:r>
        <w:rPr>
          <w:b/>
        </w:rPr>
        <w:t>“</w:t>
      </w:r>
      <w:r>
        <w:rPr>
          <w:rStyle w:val="CharDefText"/>
        </w:rPr>
        <w:t>emergency vehicle</w:t>
      </w:r>
      <w:r>
        <w:rPr>
          <w:b/>
        </w:rPr>
        <w:t>”</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pPr>
      <w:r>
        <w:tab/>
        <w:t>(i)</w:t>
      </w:r>
      <w:r>
        <w:tab/>
        <w:t xml:space="preserve">a fire brigade under the </w:t>
      </w:r>
      <w:r>
        <w:rPr>
          <w:i/>
        </w:rPr>
        <w:t>Fire Brigades Act 1942</w:t>
      </w:r>
      <w:r>
        <w:t>;</w:t>
      </w:r>
    </w:p>
    <w:p>
      <w:pPr>
        <w:pStyle w:val="yDefsubpara"/>
      </w:pPr>
      <w:r>
        <w:tab/>
        <w:t>(ii)</w:t>
      </w:r>
      <w:r>
        <w:tab/>
        <w:t xml:space="preserve">a bush fire brigade under the </w:t>
      </w:r>
      <w:r>
        <w:rPr>
          <w:i/>
        </w:rPr>
        <w:t>Bush Fires Act 1954</w:t>
      </w:r>
      <w:r>
        <w:t>; or</w:t>
      </w:r>
    </w:p>
    <w:p>
      <w:pPr>
        <w:pStyle w:val="yDefsubpara"/>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b/>
        </w:rPr>
        <w:t>“</w:t>
      </w:r>
      <w:r>
        <w:rPr>
          <w:rStyle w:val="CharDefText"/>
        </w:rPr>
        <w:t>emission control system</w:t>
      </w:r>
      <w:r>
        <w:rPr>
          <w:b/>
        </w:rPr>
        <w:t>”</w:t>
      </w:r>
      <w:r>
        <w:t>, for a vehicle, means an emission control system —</w:t>
      </w:r>
    </w:p>
    <w:p>
      <w:pPr>
        <w:pStyle w:val="yDefpara"/>
        <w:spacing w:before="120"/>
      </w:pPr>
      <w:r>
        <w:tab/>
        <w:t>(a)</w:t>
      </w:r>
      <w:r>
        <w:tab/>
        <w:t>fitted to the vehicle when it was built; or</w:t>
      </w:r>
    </w:p>
    <w:p>
      <w:pPr>
        <w:pStyle w:val="yDefpara"/>
        <w:spacing w:before="120"/>
      </w:pPr>
      <w:r>
        <w:tab/>
        <w:t>(b)</w:t>
      </w:r>
      <w:r>
        <w:tab/>
        <w:t>better than, or equivalent to, an emission control system fitted to the vehicle when it was built;</w:t>
      </w:r>
    </w:p>
    <w:p>
      <w:pPr>
        <w:pStyle w:val="yDefstart"/>
      </w:pPr>
      <w:r>
        <w:tab/>
      </w:r>
      <w:r>
        <w:rPr>
          <w:b/>
        </w:rPr>
        <w:t>“</w:t>
      </w:r>
      <w:r>
        <w:rPr>
          <w:rStyle w:val="CharDefText"/>
        </w:rPr>
        <w:t>escort vehicle</w:t>
      </w:r>
      <w:r>
        <w:rPr>
          <w:b/>
        </w:rPr>
        <w:t>”</w:t>
      </w:r>
      <w:r>
        <w:t xml:space="preserve"> means a motor vehicle that is being used —</w:t>
      </w:r>
    </w:p>
    <w:p>
      <w:pPr>
        <w:pStyle w:val="yDefpara"/>
        <w:spacing w:before="120"/>
      </w:pPr>
      <w:r>
        <w:tab/>
        <w:t>(a)</w:t>
      </w:r>
      <w:r>
        <w:tab/>
        <w:t>to transport a police officer, or other person authorised to direct traffic; and</w:t>
      </w:r>
    </w:p>
    <w:p>
      <w:pPr>
        <w:pStyle w:val="yDefpara"/>
        <w:spacing w:before="120"/>
      </w:pPr>
      <w:r>
        <w:tab/>
        <w:t>(b)</w:t>
      </w:r>
      <w:r>
        <w:tab/>
        <w:t>to warn other road users of the presence of an oversize vehicle;</w:t>
      </w:r>
    </w:p>
    <w:p>
      <w:pPr>
        <w:pStyle w:val="yDefstart"/>
      </w:pPr>
      <w:r>
        <w:tab/>
      </w:r>
      <w:r>
        <w:rPr>
          <w:b/>
        </w:rPr>
        <w:t>“</w:t>
      </w:r>
      <w:r>
        <w:rPr>
          <w:rStyle w:val="CharDefText"/>
        </w:rPr>
        <w:t>fifth wheel coupling</w:t>
      </w:r>
      <w:r>
        <w:rPr>
          <w:b/>
        </w:rPr>
        <w:t>”</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b/>
        </w:rPr>
        <w:t>“</w:t>
      </w:r>
      <w:r>
        <w:rPr>
          <w:rStyle w:val="CharDefText"/>
        </w:rPr>
        <w:t>front fog light</w:t>
      </w:r>
      <w:r>
        <w:rPr>
          <w:b/>
        </w:rPr>
        <w:t>”</w:t>
      </w:r>
      <w:r>
        <w:t xml:space="preserve"> means a light used to improve the illumination of the road in case of fog, snowfall, heavy rain or a dust storm;</w:t>
      </w:r>
    </w:p>
    <w:p>
      <w:pPr>
        <w:pStyle w:val="yDefstart"/>
      </w:pPr>
      <w:r>
        <w:tab/>
      </w:r>
      <w:r>
        <w:rPr>
          <w:b/>
        </w:rPr>
        <w:t>“</w:t>
      </w:r>
      <w:r>
        <w:rPr>
          <w:rStyle w:val="CharDefText"/>
        </w:rPr>
        <w:t>GCM</w:t>
      </w:r>
      <w:r>
        <w:rPr>
          <w:b/>
        </w:rPr>
        <w:t>”</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pPr>
      <w:r>
        <w:tab/>
        <w:t>(i)</w:t>
      </w:r>
      <w:r>
        <w:tab/>
        <w:t>on a plate fixed to the vehicle by the manufacturer; or</w:t>
      </w:r>
    </w:p>
    <w:p>
      <w:pPr>
        <w:pStyle w:val="yDefsubpara"/>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pPr>
      <w:r>
        <w:tab/>
        <w:t>(i)</w:t>
      </w:r>
      <w:r>
        <w:tab/>
        <w:t>the manufacturer has not specified the sum of the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pPr>
      <w:r>
        <w:tab/>
      </w:r>
      <w:r>
        <w:rPr>
          <w:b/>
        </w:rPr>
        <w:t>“</w:t>
      </w:r>
      <w:r>
        <w:rPr>
          <w:rStyle w:val="CharDefText"/>
        </w:rPr>
        <w:t>goods vehicle</w:t>
      </w:r>
      <w:r>
        <w:rPr>
          <w:b/>
        </w:rPr>
        <w:t>”</w:t>
      </w:r>
      <w:r>
        <w:t xml:space="preserve"> means a motor vehicle built to be used primarily to carry goods or materials used in any trade, business or industry;</w:t>
      </w:r>
    </w:p>
    <w:p>
      <w:pPr>
        <w:pStyle w:val="yDefstart"/>
      </w:pPr>
      <w:r>
        <w:tab/>
      </w:r>
      <w:r>
        <w:rPr>
          <w:b/>
        </w:rPr>
        <w:t>“</w:t>
      </w:r>
      <w:r>
        <w:rPr>
          <w:rStyle w:val="CharDefText"/>
        </w:rPr>
        <w:t>ground contact width</w:t>
      </w:r>
      <w:r>
        <w:rPr>
          <w:b/>
        </w:rPr>
        <w:t>”</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6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Graphics"/>
        <w:jc w:val="center"/>
        <w:rPr>
          <w:b/>
          <w:bCs/>
        </w:rPr>
      </w:pPr>
      <w:r>
        <w:rPr>
          <w:b/>
          <w:bCs/>
        </w:rPr>
        <w:t>Ground contact width of an axle</w:t>
      </w:r>
    </w:p>
    <w:p>
      <w:pPr>
        <w:pStyle w:val="yDefstart"/>
      </w:pPr>
      <w:r>
        <w:tab/>
      </w:r>
      <w:r>
        <w:rPr>
          <w:b/>
        </w:rPr>
        <w:t>“</w:t>
      </w:r>
      <w:r>
        <w:rPr>
          <w:rStyle w:val="CharDefText"/>
        </w:rPr>
        <w:t>GTM</w:t>
      </w:r>
      <w:r>
        <w:rPr>
          <w:b/>
        </w:rPr>
        <w:t>”</w:t>
      </w:r>
      <w:r>
        <w:t xml:space="preserve"> (which stands for “gross trailer mass”) means the mass transmitted to the ground by the axles of a trailer when the trailer is loaded to its GVM and connected to a towing vehicle;</w:t>
      </w:r>
    </w:p>
    <w:p>
      <w:pPr>
        <w:pStyle w:val="yDefstart"/>
      </w:pPr>
      <w:r>
        <w:tab/>
      </w:r>
      <w:r>
        <w:rPr>
          <w:b/>
        </w:rPr>
        <w:t>“</w:t>
      </w:r>
      <w:r>
        <w:rPr>
          <w:rStyle w:val="CharDefText"/>
        </w:rPr>
        <w:t>GVM</w:t>
      </w:r>
      <w:r>
        <w:rPr>
          <w:b/>
        </w:rPr>
        <w:t>”</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b/>
        </w:rPr>
        <w:t>“</w:t>
      </w:r>
      <w:r>
        <w:rPr>
          <w:rStyle w:val="CharDefText"/>
        </w:rPr>
        <w:t>high</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inspection station</w:t>
      </w:r>
      <w:r>
        <w:rPr>
          <w:b/>
        </w:rPr>
        <w:t>”</w:t>
      </w:r>
      <w:r>
        <w:t xml:space="preserve"> means premises established by a person authorised under regulation 3A(1)(b) of the </w:t>
      </w:r>
      <w:r>
        <w:rPr>
          <w:i/>
        </w:rPr>
        <w:t>Road Traffic (Licensing) Regulations 1975</w:t>
      </w:r>
      <w:r>
        <w:t>;</w:t>
      </w:r>
    </w:p>
    <w:p>
      <w:pPr>
        <w:pStyle w:val="yDefstart"/>
      </w:pPr>
      <w:r>
        <w:tab/>
      </w:r>
      <w:r>
        <w:rPr>
          <w:b/>
        </w:rPr>
        <w:t>“</w:t>
      </w:r>
      <w:r>
        <w:rPr>
          <w:rStyle w:val="CharDefText"/>
        </w:rPr>
        <w:t>jinker</w:t>
      </w:r>
      <w:r>
        <w:rPr>
          <w:b/>
        </w:rPr>
        <w:t>”</w:t>
      </w:r>
      <w:r>
        <w:t xml:space="preserve"> means an axle or axle group which is built to support part of a load, and is connected to the vehicle in front of it by a pole or cable or the load itself, if any;</w:t>
      </w:r>
    </w:p>
    <w:p>
      <w:pPr>
        <w:pStyle w:val="yDefstart"/>
      </w:pPr>
      <w:r>
        <w:tab/>
      </w:r>
      <w:r>
        <w:rPr>
          <w:b/>
        </w:rPr>
        <w:t>“</w:t>
      </w:r>
      <w:r>
        <w:rPr>
          <w:rStyle w:val="CharDefText"/>
        </w:rPr>
        <w:t>large indivisible item</w:t>
      </w:r>
      <w:r>
        <w:rPr>
          <w:b/>
        </w:rPr>
        <w:t>”</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pPr>
      <w:r>
        <w:tab/>
      </w:r>
      <w:r>
        <w:rPr>
          <w:b/>
        </w:rPr>
        <w:t>“</w:t>
      </w:r>
      <w:r>
        <w:rPr>
          <w:rStyle w:val="CharDefText"/>
        </w:rPr>
        <w:t>left</w:t>
      </w:r>
      <w:r>
        <w:rPr>
          <w:b/>
        </w:rPr>
        <w:t>”</w:t>
      </w:r>
      <w:r>
        <w:t>, for a vehicle, means to the left of the centre of the vehicle when viewed by a person in the vehicle who is facing to the front of the vehicle;</w:t>
      </w:r>
    </w:p>
    <w:p>
      <w:pPr>
        <w:pStyle w:val="yDefstart"/>
      </w:pPr>
      <w:r>
        <w:tab/>
      </w:r>
      <w:r>
        <w:rPr>
          <w:b/>
        </w:rPr>
        <w:t>“</w:t>
      </w:r>
      <w:r>
        <w:rPr>
          <w:rStyle w:val="CharDefText"/>
        </w:rPr>
        <w:t>load</w:t>
      </w:r>
      <w:r>
        <w:rPr>
          <w:b/>
        </w:rPr>
        <w:t>”</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b/>
        </w:rPr>
        <w:t>“</w:t>
      </w:r>
      <w:r>
        <w:rPr>
          <w:rStyle w:val="CharDefText"/>
        </w:rPr>
        <w:t>load</w:t>
      </w:r>
      <w:r>
        <w:rPr>
          <w:rStyle w:val="CharDefText"/>
        </w:rPr>
        <w:noBreakHyphen/>
        <w:t>carrying</w:t>
      </w:r>
      <w:r>
        <w:rPr>
          <w:b/>
        </w:rPr>
        <w:t>”</w:t>
      </w:r>
      <w:r>
        <w:t>, in relation to a vehicle, means a vehicle that is carrying, or is built to carry, a load;</w:t>
      </w:r>
    </w:p>
    <w:p>
      <w:pPr>
        <w:pStyle w:val="y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b/>
        </w:rPr>
        <w:t>“</w:t>
      </w:r>
      <w:r>
        <w:rPr>
          <w:rStyle w:val="CharDefText"/>
        </w:rPr>
        <w:t>loaded mass</w:t>
      </w:r>
      <w:r>
        <w:rPr>
          <w:b/>
        </w:rPr>
        <w:t>”</w:t>
      </w:r>
      <w:r>
        <w:t>, of a vehicle, means the total mass of the vehicle and its load;</w:t>
      </w:r>
    </w:p>
    <w:p>
      <w:pPr>
        <w:pStyle w:val="yDefstart"/>
      </w:pPr>
      <w:r>
        <w:tab/>
      </w:r>
      <w:r>
        <w:rPr>
          <w:b/>
        </w:rPr>
        <w:t>“</w:t>
      </w:r>
      <w:r>
        <w:rPr>
          <w:rStyle w:val="CharDefText"/>
        </w:rPr>
        <w:t>low</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spacing w:after="60"/>
      </w:pPr>
      <w:r>
        <w:tab/>
        <w:t>(b)</w:t>
      </w:r>
      <w:r>
        <w:tab/>
        <w:t>not more than 1 m higher than the level where the motor vehicle is standing, when measured 25 m in front of the vehicle;</w:t>
      </w:r>
    </w:p>
    <w:p>
      <w:pPr>
        <w:pStyle w:val="yDefstart"/>
        <w:ind w:left="1701" w:firstLine="0"/>
      </w:pPr>
      <w:r>
        <w:rPr>
          <w:noProof/>
          <w:snapToGrid/>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Graphics"/>
        <w:jc w:val="center"/>
        <w:rPr>
          <w:b/>
          <w:bCs/>
        </w:rPr>
      </w:pPr>
      <w:r>
        <w:rPr>
          <w:b/>
          <w:bCs/>
        </w:rPr>
        <w:t>A headlight in the low</w:t>
      </w:r>
      <w:r>
        <w:rPr>
          <w:b/>
          <w:bCs/>
        </w:rPr>
        <w:noBreakHyphen/>
        <w:t>beam position</w:t>
      </w:r>
    </w:p>
    <w:p>
      <w:pPr>
        <w:pStyle w:val="yDefstart"/>
      </w:pPr>
      <w:r>
        <w:tab/>
      </w:r>
      <w:r>
        <w:rPr>
          <w:b/>
        </w:rPr>
        <w:t>“</w:t>
      </w:r>
      <w:r>
        <w:rPr>
          <w:rStyle w:val="CharDefText"/>
        </w:rPr>
        <w:t>low loader</w:t>
      </w:r>
      <w:r>
        <w:rPr>
          <w:b/>
        </w:rPr>
        <w:t>”</w:t>
      </w:r>
      <w:r>
        <w:t xml:space="preserve"> means a gooseneck semi</w:t>
      </w:r>
      <w:r>
        <w:noBreakHyphen/>
        <w:t>trailer with a loading deck no more than 1 m above the ground;</w:t>
      </w:r>
    </w:p>
    <w:p>
      <w:pPr>
        <w:pStyle w:val="yDefstart"/>
      </w:pPr>
      <w:r>
        <w:tab/>
      </w:r>
      <w:r>
        <w:rPr>
          <w:b/>
        </w:rPr>
        <w:t>“</w:t>
      </w:r>
      <w:r>
        <w:rPr>
          <w:rStyle w:val="CharDefText"/>
        </w:rPr>
        <w:t>low loader dolly</w:t>
      </w:r>
      <w:r>
        <w:rPr>
          <w:b/>
        </w:rPr>
        <w:t>”</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b/>
        </w:rPr>
        <w:t>“</w:t>
      </w:r>
      <w:r>
        <w:rPr>
          <w:rStyle w:val="CharDefText"/>
        </w:rPr>
        <w:t>Ministerial exemption</w:t>
      </w:r>
      <w:r>
        <w:rPr>
          <w:b/>
        </w:rPr>
        <w:t>”</w:t>
      </w:r>
      <w:r>
        <w:t xml:space="preserve"> means a declaration under section 103B of the Act made by the Minister in accordance with Part 5;</w:t>
      </w:r>
    </w:p>
    <w:p>
      <w:pPr>
        <w:pStyle w:val="yDefstart"/>
      </w:pPr>
      <w:r>
        <w:tab/>
      </w:r>
      <w:r>
        <w:rPr>
          <w:b/>
        </w:rPr>
        <w:t>“</w:t>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b/>
        </w:rPr>
        <w:t>“</w:t>
      </w:r>
      <w:r>
        <w:rPr>
          <w:rStyle w:val="CharDefText"/>
        </w:rPr>
        <w:t>motor bike</w:t>
      </w:r>
      <w:r>
        <w:rPr>
          <w:b/>
        </w:rPr>
        <w:t>”</w:t>
      </w:r>
      <w:r>
        <w:t xml:space="preserve"> means a motor vehicle with 2 wheels, and includes a 2 wheeled motor vehicle with a sidecar attached to it that is supported by a third wheel;</w:t>
      </w:r>
    </w:p>
    <w:p>
      <w:pPr>
        <w:pStyle w:val="yDefstart"/>
      </w:pPr>
      <w:r>
        <w:tab/>
      </w:r>
      <w:r>
        <w:rPr>
          <w:b/>
        </w:rPr>
        <w:t>“</w:t>
      </w:r>
      <w:r>
        <w:rPr>
          <w:rStyle w:val="CharDefText"/>
        </w:rPr>
        <w:t>motor trike</w:t>
      </w:r>
      <w:r>
        <w:rPr>
          <w:b/>
        </w:rPr>
        <w:t>”</w:t>
      </w:r>
      <w:r>
        <w:t xml:space="preserve"> means a motor vehicle with 3 wheels, but does not include a 2 wheeled motor vehicle with a sidecar attached to it that is supported by a third wheel;</w:t>
      </w:r>
    </w:p>
    <w:p>
      <w:pPr>
        <w:pStyle w:val="yDefstart"/>
      </w:pPr>
      <w:r>
        <w:tab/>
      </w:r>
      <w:r>
        <w:rPr>
          <w:b/>
        </w:rPr>
        <w:t>“</w:t>
      </w:r>
      <w:r>
        <w:rPr>
          <w:rStyle w:val="CharDefText"/>
        </w:rPr>
        <w:t>motor vehicle</w:t>
      </w:r>
      <w:r>
        <w:rPr>
          <w:b/>
        </w:rPr>
        <w:t>”</w:t>
      </w:r>
      <w:r>
        <w:t xml:space="preserve"> means a vehicle built to be propelled by a motor that forms part of the vehicle;</w:t>
      </w:r>
    </w:p>
    <w:p>
      <w:pPr>
        <w:pStyle w:val="yDefstart"/>
      </w:pPr>
      <w:r>
        <w:tab/>
      </w:r>
      <w:r>
        <w:rPr>
          <w:b/>
        </w:rPr>
        <w:t>“</w:t>
      </w:r>
      <w:r>
        <w:rPr>
          <w:rStyle w:val="CharDefText"/>
        </w:rPr>
        <w:t>mudguard</w:t>
      </w:r>
      <w:r>
        <w:rPr>
          <w:b/>
        </w:rPr>
        <w:t>”</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b/>
        </w:rPr>
        <w:t>“</w:t>
      </w:r>
      <w:r>
        <w:rPr>
          <w:rStyle w:val="CharDefText"/>
        </w:rPr>
        <w:t>national standard</w:t>
      </w:r>
      <w:r>
        <w:rPr>
          <w:b/>
        </w:rPr>
        <w:t>”</w:t>
      </w:r>
      <w:r>
        <w:t xml:space="preserve"> has the meaning given by rule 9 of the Vehicle Standards;</w:t>
      </w:r>
    </w:p>
    <w:p>
      <w:pPr>
        <w:pStyle w:val="yDefstart"/>
      </w:pPr>
      <w:r>
        <w:tab/>
      </w:r>
      <w:r>
        <w:rPr>
          <w:b/>
        </w:rPr>
        <w:t>“</w:t>
      </w:r>
      <w:r>
        <w:rPr>
          <w:rStyle w:val="CharDefText"/>
        </w:rPr>
        <w:t>night</w:t>
      </w:r>
      <w:r>
        <w:rPr>
          <w:rStyle w:val="CharDefText"/>
        </w:rPr>
        <w:noBreakHyphen/>
        <w:t>time</w:t>
      </w:r>
      <w:r>
        <w:rPr>
          <w:b/>
        </w:rPr>
        <w:t>”</w:t>
      </w:r>
      <w:r>
        <w:t xml:space="preserve"> means the period between sunset and sunrise;</w:t>
      </w:r>
    </w:p>
    <w:p>
      <w:pPr>
        <w:pStyle w:val="yDefstart"/>
      </w:pPr>
      <w:r>
        <w:tab/>
      </w:r>
      <w:r>
        <w:rPr>
          <w:b/>
        </w:rPr>
        <w:t>“</w:t>
      </w:r>
      <w:r>
        <w:rPr>
          <w:rStyle w:val="CharDefText"/>
        </w:rPr>
        <w:t>omnibus</w:t>
      </w:r>
      <w:r>
        <w:rPr>
          <w:b/>
        </w:rPr>
        <w:t>”</w:t>
      </w:r>
      <w:r>
        <w:t xml:space="preserve"> means a motor vehicle that is equipped to seat more than 8 adult persons (including the driver) and that is used for the carriage of passengers for hire or reward;</w:t>
      </w:r>
    </w:p>
    <w:p>
      <w:pPr>
        <w:pStyle w:val="yDefstart"/>
      </w:pPr>
      <w:r>
        <w:tab/>
      </w:r>
      <w:r>
        <w:rPr>
          <w:b/>
        </w:rPr>
        <w:t>“</w:t>
      </w:r>
      <w:r>
        <w:rPr>
          <w:rStyle w:val="CharDefText"/>
        </w:rPr>
        <w:t>operator</w:t>
      </w:r>
      <w:r>
        <w:rPr>
          <w:b/>
        </w:rPr>
        <w:t>”</w:t>
      </w:r>
      <w:r>
        <w:t xml:space="preserve"> means a person who controls or directs the operations of a vehicle, or who is otherwise responsible for it;</w:t>
      </w:r>
    </w:p>
    <w:p>
      <w:pPr>
        <w:pStyle w:val="yDefstart"/>
      </w:pPr>
      <w:r>
        <w:tab/>
      </w:r>
      <w:r>
        <w:rPr>
          <w:b/>
        </w:rPr>
        <w:t>“</w:t>
      </w:r>
      <w:r>
        <w:rPr>
          <w:rStyle w:val="CharDefText"/>
        </w:rPr>
        <w:t>overmass</w:t>
      </w:r>
      <w:r>
        <w:rPr>
          <w:b/>
        </w:rPr>
        <w:t>”</w:t>
      </w:r>
      <w:r>
        <w:t>, in relation to a vehicle, means having a mass that, including the mass of any load, exceeds a relevant mass limit in Part 3 (whether or not the vehicle is also oversize);</w:t>
      </w:r>
    </w:p>
    <w:p>
      <w:pPr>
        <w:pStyle w:val="yDefstart"/>
      </w:pPr>
      <w:r>
        <w:tab/>
      </w:r>
      <w:r>
        <w:rPr>
          <w:b/>
        </w:rPr>
        <w:t>“</w:t>
      </w:r>
      <w:r>
        <w:rPr>
          <w:rStyle w:val="CharDefText"/>
        </w:rPr>
        <w:t>oversize</w:t>
      </w:r>
      <w:r>
        <w:rPr>
          <w:b/>
        </w:rPr>
        <w:t>”</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b/>
        </w:rPr>
        <w:t>“</w:t>
      </w:r>
      <w:r>
        <w:rPr>
          <w:rStyle w:val="CharDefText"/>
        </w:rPr>
        <w:t>oversize tri</w:t>
      </w:r>
      <w:r>
        <w:rPr>
          <w:rStyle w:val="CharDefText"/>
        </w:rPr>
        <w:noBreakHyphen/>
        <w:t>axle group</w:t>
      </w:r>
      <w:r>
        <w:rPr>
          <w:b/>
        </w:rPr>
        <w:t>”</w:t>
      </w:r>
      <w:r>
        <w:t xml:space="preserve"> means a group of 3 axles in which the horizontal distance between the centres of the outermost axles is more than 3.2 m;</w:t>
      </w:r>
    </w:p>
    <w:p>
      <w:pPr>
        <w:pStyle w:val="yDefstart"/>
      </w:pPr>
      <w:r>
        <w:tab/>
      </w:r>
      <w:r>
        <w:rPr>
          <w:b/>
        </w:rPr>
        <w:t>“</w:t>
      </w:r>
      <w:r>
        <w:rPr>
          <w:rStyle w:val="CharDefText"/>
        </w:rPr>
        <w:t>pig trailer</w:t>
      </w:r>
      <w:r>
        <w:rPr>
          <w:b/>
        </w:rPr>
        <w:t>”</w:t>
      </w:r>
      <w:r>
        <w:t xml:space="preserve"> means a trailer with one axle group or a single axle near the middle of its load</w:t>
      </w:r>
      <w:r>
        <w:noBreakHyphen/>
        <w:t>carrying surface, and connected to the towing vehicle by a drawbar;</w:t>
      </w:r>
    </w:p>
    <w:p>
      <w:pPr>
        <w:pStyle w:val="yDefstart"/>
        <w:jc w:val="center"/>
      </w:pPr>
      <w:r>
        <w:rPr>
          <w:noProof/>
          <w:snapToGrid/>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Graphics"/>
        <w:jc w:val="center"/>
        <w:rPr>
          <w:b/>
          <w:bCs/>
        </w:rPr>
      </w:pPr>
      <w:r>
        <w:rPr>
          <w:b/>
          <w:bCs/>
        </w:rPr>
        <w:t>Pig trailer</w:t>
      </w:r>
    </w:p>
    <w:p>
      <w:pPr>
        <w:pStyle w:val="yDefstart"/>
      </w:pPr>
      <w:r>
        <w:tab/>
      </w:r>
      <w:r>
        <w:rPr>
          <w:b/>
        </w:rPr>
        <w:t>“</w:t>
      </w:r>
      <w:r>
        <w:rPr>
          <w:rStyle w:val="CharDefText"/>
        </w:rPr>
        <w:t>pilot vehicle</w:t>
      </w:r>
      <w:r>
        <w:rPr>
          <w:b/>
        </w:rPr>
        <w:t>”</w:t>
      </w:r>
      <w:r>
        <w:t xml:space="preserve"> means a motor vehicle, other than an escort vehicle, being used to warn other road users of the presence of an oversize vehicle;</w:t>
      </w:r>
    </w:p>
    <w:p>
      <w:pPr>
        <w:pStyle w:val="yDefstart"/>
      </w:pPr>
      <w:r>
        <w:tab/>
      </w:r>
      <w:r>
        <w:rPr>
          <w:b/>
        </w:rPr>
        <w:t>“</w:t>
      </w:r>
      <w:r>
        <w:rPr>
          <w:rStyle w:val="CharDefText"/>
        </w:rPr>
        <w:t>point of articulation</w:t>
      </w:r>
      <w:r>
        <w:rPr>
          <w:b/>
        </w:rPr>
        <w:t>”</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spacing w:after="60"/>
      </w:pPr>
      <w:r>
        <w:tab/>
        <w:t>(e)</w:t>
      </w:r>
      <w:r>
        <w:tab/>
        <w:t>the coupling pivot point of a semi</w:t>
      </w:r>
      <w:r>
        <w:noBreakHyphen/>
        <w:t>trailer;</w:t>
      </w:r>
    </w:p>
    <w:p>
      <w:pPr>
        <w:pStyle w:val="yDefstart"/>
        <w:keepNext/>
        <w:tabs>
          <w:tab w:val="clear" w:pos="879"/>
        </w:tabs>
        <w:ind w:left="0" w:firstLine="0"/>
        <w:jc w:val="center"/>
      </w:pPr>
      <w:r>
        <w:rPr>
          <w:noProof/>
          <w:snapToGrid/>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Graphics"/>
        <w:jc w:val="center"/>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yDefstart"/>
        <w:keepNext/>
        <w:tabs>
          <w:tab w:val="clear" w:pos="879"/>
        </w:tabs>
        <w:spacing w:before="120"/>
        <w:ind w:left="0" w:firstLine="0"/>
        <w:jc w:val="center"/>
      </w:pPr>
      <w:r>
        <w:rPr>
          <w:noProof/>
          <w:snapToGrid/>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jc w:val="center"/>
        <w:rPr>
          <w:b/>
          <w:bCs/>
        </w:rPr>
      </w:pPr>
      <w:r>
        <w:rPr>
          <w:b/>
          <w:bCs/>
        </w:rPr>
        <w:t>Point of articulation — fifth wheel on a prime mover</w:t>
      </w:r>
    </w:p>
    <w:p>
      <w:pPr>
        <w:pStyle w:val="yDefstart"/>
        <w:keepNext/>
        <w:tabs>
          <w:tab w:val="clear" w:pos="879"/>
        </w:tabs>
        <w:spacing w:before="120"/>
        <w:ind w:left="0" w:firstLine="0"/>
        <w:jc w:val="center"/>
      </w:pPr>
      <w:r>
        <w:rPr>
          <w:noProof/>
          <w:snapToGrid/>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Graphics"/>
        <w:jc w:val="center"/>
        <w:rPr>
          <w:b/>
          <w:bCs/>
        </w:rPr>
      </w:pPr>
      <w:r>
        <w:rPr>
          <w:b/>
          <w:bCs/>
        </w:rPr>
        <w:t>Point of articulation — kingpin for fifth wheel</w:t>
      </w:r>
    </w:p>
    <w:p>
      <w:pPr>
        <w:pStyle w:val="yDefstart"/>
      </w:pPr>
      <w:r>
        <w:tab/>
      </w:r>
      <w:r>
        <w:rPr>
          <w:b/>
        </w:rPr>
        <w:t>“</w:t>
      </w:r>
      <w:r>
        <w:rPr>
          <w:rStyle w:val="CharDefText"/>
        </w:rPr>
        <w:t>pole</w:t>
      </w:r>
      <w:r>
        <w:rPr>
          <w:rStyle w:val="CharDefText"/>
        </w:rPr>
        <w:noBreakHyphen/>
        <w:t>type trailer</w:t>
      </w:r>
      <w:r>
        <w:rPr>
          <w:b/>
        </w:rPr>
        <w:t>”</w:t>
      </w:r>
      <w:r>
        <w:t xml:space="preserve"> means a trailer that —</w:t>
      </w:r>
    </w:p>
    <w:p>
      <w:pPr>
        <w:pStyle w:val="yDefpara"/>
      </w:pPr>
      <w:r>
        <w:tab/>
        <w:t>(a)</w:t>
      </w:r>
      <w:r>
        <w:tab/>
        <w:t>is attached to a towing vehicle by a pole, or an attachment fitted to the pole; and</w:t>
      </w:r>
    </w:p>
    <w:p>
      <w:pPr>
        <w:pStyle w:val="yDefpara"/>
      </w:pPr>
      <w:r>
        <w:tab/>
        <w:t>(b)</w:t>
      </w:r>
      <w:r>
        <w:tab/>
        <w:t>is ordinarily used for transporting loads, such as logs, pipes, structural members, or other long objects, that can generally support themselves like beams between supports;</w:t>
      </w:r>
    </w:p>
    <w:p>
      <w:pPr>
        <w:pStyle w:val="yDefstart"/>
        <w:keepNext/>
        <w:tabs>
          <w:tab w:val="clear" w:pos="879"/>
        </w:tabs>
        <w:ind w:left="0" w:firstLine="0"/>
        <w:jc w:val="center"/>
      </w:pPr>
      <w:r>
        <w:rPr>
          <w:noProof/>
          <w:snapToGrid/>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Graphics"/>
        <w:jc w:val="center"/>
        <w:rPr>
          <w:b/>
          <w:bCs/>
        </w:rPr>
      </w:pPr>
      <w:r>
        <w:rPr>
          <w:b/>
          <w:bCs/>
        </w:rPr>
        <w:t>Pole</w:t>
      </w:r>
      <w:r>
        <w:rPr>
          <w:b/>
          <w:bCs/>
        </w:rPr>
        <w:noBreakHyphen/>
        <w:t>type trailer</w:t>
      </w:r>
    </w:p>
    <w:p>
      <w:pPr>
        <w:pStyle w:val="yDefstart"/>
      </w:pPr>
      <w:r>
        <w:tab/>
      </w:r>
      <w:r>
        <w:rPr>
          <w:b/>
        </w:rPr>
        <w:t>“</w:t>
      </w:r>
      <w:r>
        <w:rPr>
          <w:rStyle w:val="CharDefText"/>
        </w:rPr>
        <w:t>prime mover</w:t>
      </w:r>
      <w:r>
        <w:rPr>
          <w:b/>
        </w:rPr>
        <w:t>”</w:t>
      </w:r>
      <w:r>
        <w:t xml:space="preserve"> means a motor vehicle built to tow a semi</w:t>
      </w:r>
      <w:r>
        <w:noBreakHyphen/>
        <w:t>trailer;</w:t>
      </w:r>
    </w:p>
    <w:p>
      <w:pPr>
        <w:pStyle w:val="yDefstart"/>
      </w:pPr>
      <w:r>
        <w:tab/>
      </w:r>
      <w:r>
        <w:rPr>
          <w:b/>
        </w:rPr>
        <w:t>“</w:t>
      </w:r>
      <w:r>
        <w:rPr>
          <w:rStyle w:val="CharDefText"/>
        </w:rPr>
        <w:t>quad</w:t>
      </w:r>
      <w:r>
        <w:rPr>
          <w:rStyle w:val="CharDefText"/>
        </w:rPr>
        <w:noBreakHyphen/>
        <w:t>axle group</w:t>
      </w:r>
      <w:r>
        <w:rPr>
          <w:b/>
        </w:rPr>
        <w:t>”</w:t>
      </w:r>
      <w:r>
        <w:t xml:space="preserve"> means a group of 4 axles in which the horizontal distance between the centres of the outermost axles is over 3.2 m, but not over 4.9 m;</w:t>
      </w:r>
    </w:p>
    <w:p>
      <w:pPr>
        <w:pStyle w:val="yDefstart"/>
      </w:pPr>
      <w:r>
        <w:tab/>
      </w:r>
      <w:r>
        <w:rPr>
          <w:b/>
        </w:rPr>
        <w:t>“</w:t>
      </w:r>
      <w:r>
        <w:rPr>
          <w:rStyle w:val="CharDefText"/>
        </w:rPr>
        <w:t>RAV notice</w:t>
      </w:r>
      <w:r>
        <w:rPr>
          <w:b/>
        </w:rPr>
        <w:t>”</w:t>
      </w:r>
      <w:r>
        <w:t xml:space="preserve"> means a class 1 notice, class 2 notice or class 3 notice;</w:t>
      </w:r>
    </w:p>
    <w:p>
      <w:pPr>
        <w:pStyle w:val="yDefstart"/>
      </w:pPr>
      <w:r>
        <w:tab/>
      </w:r>
      <w:r>
        <w:rPr>
          <w:b/>
        </w:rPr>
        <w:t>“</w:t>
      </w:r>
      <w:r>
        <w:rPr>
          <w:rStyle w:val="CharDefText"/>
        </w:rPr>
        <w:t>RAV permit</w:t>
      </w:r>
      <w:r>
        <w:rPr>
          <w:b/>
        </w:rPr>
        <w:t>”</w:t>
      </w:r>
      <w:r>
        <w:t xml:space="preserve"> means a class 1 permit, class 2 permit or class 3 permit;</w:t>
      </w:r>
    </w:p>
    <w:p>
      <w:pPr>
        <w:pStyle w:val="yDefstart"/>
      </w:pPr>
      <w:r>
        <w:tab/>
      </w:r>
      <w:r>
        <w:rPr>
          <w:b/>
        </w:rPr>
        <w:t>“</w:t>
      </w:r>
      <w:r>
        <w:rPr>
          <w:rStyle w:val="CharDefText"/>
        </w:rPr>
        <w:t>rear fog light</w:t>
      </w:r>
      <w:r>
        <w:rPr>
          <w:b/>
        </w:rPr>
        <w:t>”</w:t>
      </w:r>
      <w:r>
        <w:t xml:space="preserve"> means a light used on a vehicle to make it more easily visible from the rear in dense fog;</w:t>
      </w:r>
    </w:p>
    <w:p>
      <w:pPr>
        <w:pStyle w:val="yDefstart"/>
        <w:spacing w:after="60"/>
      </w:pPr>
      <w:r>
        <w:tab/>
      </w:r>
      <w:r>
        <w:rPr>
          <w:b/>
        </w:rPr>
        <w:t>“</w:t>
      </w:r>
      <w:r>
        <w:rPr>
          <w:rStyle w:val="CharDefText"/>
        </w:rPr>
        <w:t>rear overhang</w:t>
      </w:r>
      <w:r>
        <w:rPr>
          <w:b/>
        </w:rPr>
        <w:t>”</w:t>
      </w:r>
      <w:r>
        <w:t>, of a vehicle, means the distance between the rear overhang line and the rear of the vehicle;</w:t>
      </w:r>
    </w:p>
    <w:p>
      <w:pPr>
        <w:pStyle w:val="yDefstart"/>
        <w:keepNext/>
        <w:tabs>
          <w:tab w:val="clear" w:pos="879"/>
        </w:tabs>
        <w:ind w:left="0" w:firstLine="0"/>
        <w:jc w:val="center"/>
      </w:pPr>
      <w:r>
        <w:rPr>
          <w:noProof/>
          <w:snapToGrid/>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Graphics"/>
        <w:jc w:val="center"/>
        <w:rPr>
          <w:b/>
          <w:bCs/>
        </w:rPr>
      </w:pPr>
      <w:r>
        <w:rPr>
          <w:b/>
          <w:bCs/>
        </w:rPr>
        <w:t>Rear overhang and rear overhang line</w:t>
      </w:r>
    </w:p>
    <w:p>
      <w:pPr>
        <w:pStyle w:val="yDefstart"/>
        <w:keepNext/>
        <w:tabs>
          <w:tab w:val="clear" w:pos="879"/>
        </w:tabs>
        <w:ind w:left="0" w:firstLine="0"/>
        <w:jc w:val="center"/>
      </w:pPr>
      <w:r>
        <w:rPr>
          <w:noProof/>
          <w:snapToGrid/>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Graphics"/>
        <w:jc w:val="center"/>
        <w:rPr>
          <w:b/>
          <w:bCs/>
        </w:rPr>
      </w:pPr>
      <w:r>
        <w:rPr>
          <w:b/>
          <w:bCs/>
        </w:rPr>
        <w:t>Rear overhang and rear overhang line —</w:t>
      </w:r>
      <w:r>
        <w:rPr>
          <w:b/>
          <w:bCs/>
        </w:rPr>
        <w:br/>
        <w:t>vehicle with tri</w:t>
      </w:r>
      <w:r>
        <w:rPr>
          <w:b/>
          <w:bCs/>
        </w:rPr>
        <w:noBreakHyphen/>
        <w:t>axle group at rear</w:t>
      </w:r>
    </w:p>
    <w:p>
      <w:pPr>
        <w:pStyle w:val="yDefstart"/>
        <w:keepNext/>
        <w:tabs>
          <w:tab w:val="clear" w:pos="879"/>
        </w:tabs>
        <w:ind w:left="0" w:firstLine="0"/>
        <w:jc w:val="center"/>
      </w:pPr>
      <w:r>
        <w:rPr>
          <w:noProof/>
          <w:snapToGrid/>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Graphics"/>
        <w:jc w:val="center"/>
        <w:rPr>
          <w:b/>
          <w:bCs/>
        </w:rPr>
      </w:pPr>
      <w:r>
        <w:rPr>
          <w:b/>
          <w:bCs/>
        </w:rPr>
        <w:t>Rear overhang and rear overhang line — semi</w:t>
      </w:r>
      <w:r>
        <w:rPr>
          <w:b/>
          <w:bCs/>
        </w:rPr>
        <w:noBreakHyphen/>
        <w:t>trailer</w:t>
      </w:r>
    </w:p>
    <w:p>
      <w:pPr>
        <w:pStyle w:val="yDefstart"/>
      </w:pPr>
      <w:r>
        <w:tab/>
      </w:r>
      <w:r>
        <w:rPr>
          <w:b/>
        </w:rPr>
        <w:t>“</w:t>
      </w:r>
      <w:r>
        <w:rPr>
          <w:rStyle w:val="CharDefText"/>
        </w:rPr>
        <w:t>relevant authority</w:t>
      </w:r>
      <w:r>
        <w:rPr>
          <w:b/>
        </w:rPr>
        <w:t>”</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restricted access vehicle</w:t>
      </w:r>
      <w:r>
        <w:rPr>
          <w:b/>
        </w:rPr>
        <w:t>”</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b/>
        </w:rPr>
        <w:t>“</w:t>
      </w:r>
      <w:r>
        <w:rPr>
          <w:rStyle w:val="CharDefText"/>
        </w:rPr>
        <w:t>retractable axle</w:t>
      </w:r>
      <w:r>
        <w:rPr>
          <w:b/>
        </w:rPr>
        <w:t>”</w:t>
      </w:r>
      <w:r>
        <w:t xml:space="preserve"> means an axle that can be raised so that the tyres on the axle do not touch the ground;</w:t>
      </w:r>
    </w:p>
    <w:p>
      <w:pPr>
        <w:pStyle w:val="yDefstart"/>
      </w:pPr>
      <w:r>
        <w:tab/>
      </w:r>
      <w:r>
        <w:rPr>
          <w:b/>
        </w:rPr>
        <w:t>“</w:t>
      </w:r>
      <w:r>
        <w:rPr>
          <w:rStyle w:val="CharDefText"/>
        </w:rPr>
        <w:t>right</w:t>
      </w:r>
      <w:r>
        <w:rPr>
          <w:b/>
        </w:rPr>
        <w:t>”</w:t>
      </w:r>
      <w:r>
        <w:t>, for a vehicle, means to the right of the centre of the vehicle when viewed by a person in the vehicle who is facing to the front of the vehicle;</w:t>
      </w:r>
    </w:p>
    <w:p>
      <w:pPr>
        <w:pStyle w:val="yDefstart"/>
      </w:pPr>
      <w:r>
        <w:tab/>
      </w:r>
      <w:r>
        <w:rPr>
          <w:b/>
        </w:rPr>
        <w:t>“</w:t>
      </w:r>
      <w:r>
        <w:rPr>
          <w:rStyle w:val="CharDefText"/>
        </w:rPr>
        <w:t>road tank vehicle</w:t>
      </w:r>
      <w:r>
        <w:rPr>
          <w:b/>
        </w:rPr>
        <w:t>”</w:t>
      </w:r>
      <w:r>
        <w:t xml:space="preserve"> has the same meaning as in the sixth edition of the </w:t>
      </w:r>
      <w:r>
        <w:rPr>
          <w:i/>
        </w:rPr>
        <w:t>Australian Code for the Transport of Dangerous Goods by Road and Rail</w:t>
      </w:r>
      <w:r>
        <w:t>;</w:t>
      </w:r>
    </w:p>
    <w:p>
      <w:pPr>
        <w:pStyle w:val="yDefstart"/>
      </w:pPr>
      <w:r>
        <w:tab/>
      </w:r>
      <w:r>
        <w:rPr>
          <w:b/>
        </w:rPr>
        <w:t>“</w:t>
      </w:r>
      <w:r>
        <w:rPr>
          <w:rStyle w:val="CharDefText"/>
        </w:rPr>
        <w:t>road train</w:t>
      </w:r>
      <w:r>
        <w:rPr>
          <w:b/>
        </w:rPr>
        <w:t>”</w:t>
      </w:r>
      <w:r>
        <w:t xml:space="preserve"> means a combination, except a B</w:t>
      </w:r>
      <w:r>
        <w:noBreakHyphen/>
        <w:t>double, consisting of a motor vehicle towing at least 2 trailers (counting as a single trailer a converter dolly supporting a semi</w:t>
      </w:r>
      <w:r>
        <w:noBreakHyphen/>
        <w:t>trailer);</w:t>
      </w:r>
    </w:p>
    <w:p>
      <w:pPr>
        <w:pStyle w:val="yDefstart"/>
        <w:keepNext/>
        <w:tabs>
          <w:tab w:val="clear" w:pos="879"/>
        </w:tabs>
        <w:ind w:left="0" w:firstLine="0"/>
        <w:jc w:val="center"/>
      </w:pPr>
      <w:r>
        <w:rPr>
          <w:noProof/>
          <w:snapToGrid/>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Graphics"/>
        <w:jc w:val="center"/>
        <w:rPr>
          <w:b/>
          <w:bCs/>
        </w:rPr>
      </w:pPr>
      <w:r>
        <w:rPr>
          <w:b/>
          <w:bCs/>
        </w:rPr>
        <w:t>Road train</w:t>
      </w:r>
    </w:p>
    <w:p>
      <w:pPr>
        <w:pStyle w:val="yDefstart"/>
        <w:keepNext/>
      </w:pPr>
      <w:r>
        <w:tab/>
      </w:r>
      <w:r>
        <w:rPr>
          <w:b/>
        </w:rPr>
        <w:t>“</w:t>
      </w:r>
      <w:r>
        <w:rPr>
          <w:rStyle w:val="CharDefText"/>
        </w:rPr>
        <w:t>school bus</w:t>
      </w:r>
      <w:r>
        <w:rPr>
          <w:b/>
        </w:rPr>
        <w:t>”</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b/>
        </w:rPr>
        <w:t>“</w:t>
      </w:r>
      <w:r>
        <w:rPr>
          <w:rStyle w:val="CharDefText"/>
        </w:rPr>
        <w:t>second edition ADR</w:t>
      </w:r>
      <w:r>
        <w:rPr>
          <w:b/>
        </w:rPr>
        <w:t>”</w:t>
      </w:r>
      <w:r>
        <w:t xml:space="preserve"> has the meaning given by rule 11 of the Vehicle Standards;</w:t>
      </w:r>
    </w:p>
    <w:p>
      <w:pPr>
        <w:pStyle w:val="y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b/>
        </w:rPr>
        <w:t>“</w:t>
      </w:r>
      <w:r>
        <w:rPr>
          <w:rStyle w:val="CharDefText"/>
        </w:rPr>
        <w:t>service brake</w:t>
      </w:r>
      <w:r>
        <w:rPr>
          <w:b/>
        </w:rPr>
        <w:t>”</w:t>
      </w:r>
      <w:r>
        <w:t>, for a vehicle, means the brake normally used to decelerate the vehicle;</w:t>
      </w:r>
    </w:p>
    <w:p>
      <w:pPr>
        <w:pStyle w:val="yDefstart"/>
      </w:pPr>
      <w:r>
        <w:tab/>
      </w:r>
      <w:r>
        <w:rPr>
          <w:b/>
        </w:rPr>
        <w:t>“</w:t>
      </w:r>
      <w:r>
        <w:rPr>
          <w:rStyle w:val="CharDefText"/>
        </w:rPr>
        <w:t>single axle</w:t>
      </w:r>
      <w:r>
        <w:rPr>
          <w:b/>
        </w:rPr>
        <w:t>”</w:t>
      </w:r>
      <w:r>
        <w:t xml:space="preserve"> means an axle not forming part of an axle group;</w:t>
      </w:r>
    </w:p>
    <w:p>
      <w:pPr>
        <w:pStyle w:val="yDefstart"/>
      </w:pPr>
      <w:r>
        <w:tab/>
      </w:r>
      <w:r>
        <w:rPr>
          <w:b/>
        </w:rPr>
        <w:t>“</w:t>
      </w:r>
      <w:r>
        <w:rPr>
          <w:rStyle w:val="CharDefText"/>
        </w:rPr>
        <w:t>single axle group</w:t>
      </w:r>
      <w:r>
        <w:rPr>
          <w:b/>
        </w:rPr>
        <w:t>”</w:t>
      </w:r>
      <w:r>
        <w:t xml:space="preserve"> means a group of at least 2 axles in which the horizontal distance between the centres of the outermost axles is under 1 m;</w:t>
      </w:r>
    </w:p>
    <w:p>
      <w:pPr>
        <w:pStyle w:val="yDefstart"/>
      </w:pPr>
      <w:r>
        <w:tab/>
      </w:r>
      <w:r>
        <w:rPr>
          <w:b/>
        </w:rPr>
        <w:t>“</w:t>
      </w:r>
      <w:r>
        <w:rPr>
          <w:rStyle w:val="CharDefText"/>
        </w:rPr>
        <w:t>special purpose vehicle</w:t>
      </w:r>
      <w:r>
        <w:rPr>
          <w:b/>
        </w:rPr>
        <w:t>”</w:t>
      </w:r>
      <w:r>
        <w:t xml:space="preserve"> means a motor vehicle, other than a tow truck or an agricultural vehicle, built for a purpose other than carrying a load, except for water in the case of concrete pumps and fire trucks;</w:t>
      </w:r>
    </w:p>
    <w:p>
      <w:pPr>
        <w:pStyle w:val="yDefstart"/>
      </w:pPr>
      <w:r>
        <w:rPr>
          <w:b/>
        </w:rPr>
        <w:tab/>
        <w:t>“</w:t>
      </w:r>
      <w:r>
        <w:rPr>
          <w:rStyle w:val="CharDefText"/>
        </w:rPr>
        <w:t>statutory write</w:t>
      </w:r>
      <w:r>
        <w:rPr>
          <w:rStyle w:val="CharDefText"/>
        </w:rPr>
        <w:noBreakHyphen/>
        <w:t>of</w:t>
      </w:r>
      <w:r>
        <w:rPr>
          <w:rStyle w:val="CharDefText"/>
          <w:spacing w:val="40"/>
        </w:rPr>
        <w:t>f</w:t>
      </w:r>
      <w:r>
        <w:rPr>
          <w:b/>
        </w:rPr>
        <w:t>”</w:t>
      </w:r>
      <w:r>
        <w:t xml:space="preserve"> has the same meaning as in regulation 7 of the </w:t>
      </w:r>
      <w:r>
        <w:rPr>
          <w:i/>
        </w:rPr>
        <w:t>Road Traffic (Written</w:t>
      </w:r>
      <w:r>
        <w:rPr>
          <w:i/>
        </w:rPr>
        <w:noBreakHyphen/>
        <w:t>Off Vehicle Register) Regulations 2003</w:t>
      </w:r>
      <w:r>
        <w:t>;</w:t>
      </w:r>
    </w:p>
    <w:p>
      <w:pPr>
        <w:pStyle w:val="yDefstart"/>
      </w:pPr>
      <w:r>
        <w:tab/>
      </w:r>
      <w:r>
        <w:rPr>
          <w:b/>
        </w:rPr>
        <w:t>“</w:t>
      </w:r>
      <w:r>
        <w:rPr>
          <w:rStyle w:val="CharDefText"/>
        </w:rPr>
        <w:t>tandem axle group</w:t>
      </w:r>
      <w:r>
        <w:rPr>
          <w:b/>
        </w:rPr>
        <w:t>”</w:t>
      </w:r>
      <w:r>
        <w:t xml:space="preserve"> means a group of at least 2 axles in which the horizontal distance between the centres of the outermost axles is at least 1 m, but not over 2 m;</w:t>
      </w:r>
    </w:p>
    <w:p>
      <w:pPr>
        <w:pStyle w:val="yDefstart"/>
      </w:pPr>
      <w:r>
        <w:tab/>
      </w:r>
      <w:r>
        <w:rPr>
          <w:b/>
        </w:rPr>
        <w:t>“</w:t>
      </w:r>
      <w:r>
        <w:rPr>
          <w:rStyle w:val="CharDefText"/>
        </w:rPr>
        <w:t>third edition ADR</w:t>
      </w:r>
      <w:r>
        <w:rPr>
          <w:b/>
        </w:rPr>
        <w:t>”</w:t>
      </w:r>
      <w:r>
        <w:t xml:space="preserve"> has the meaning given by rule 12 of the Vehicle Standards;</w:t>
      </w:r>
    </w:p>
    <w:p>
      <w:pPr>
        <w:pStyle w:val="yDefstart"/>
      </w:pPr>
      <w:r>
        <w:tab/>
      </w:r>
      <w:r>
        <w:rPr>
          <w:b/>
        </w:rPr>
        <w:t>“</w:t>
      </w:r>
      <w:r>
        <w:rPr>
          <w:rStyle w:val="CharDefText"/>
        </w:rPr>
        <w:t>trailer</w:t>
      </w:r>
      <w:r>
        <w:rPr>
          <w:b/>
        </w:rPr>
        <w:t>”</w:t>
      </w:r>
      <w:r>
        <w:t xml:space="preserve"> means a vehicle without its own motive power that is built to be towed, or is towed, by a motor vehicle, but does not include a motor vehicle that is being towed;</w:t>
      </w:r>
    </w:p>
    <w:p>
      <w:pPr>
        <w:pStyle w:val="yDefstart"/>
      </w:pPr>
      <w:r>
        <w:tab/>
      </w:r>
      <w:r>
        <w:rPr>
          <w:b/>
        </w:rPr>
        <w:t>“</w:t>
      </w:r>
      <w:r>
        <w:rPr>
          <w:rStyle w:val="CharDefText"/>
        </w:rPr>
        <w:t>transport enforcement vehicle</w:t>
      </w:r>
      <w:r>
        <w:rPr>
          <w:b/>
        </w:rPr>
        <w:t>”</w:t>
      </w:r>
      <w:r>
        <w:t xml:space="preserve"> means a vehicle in respect of which a declaration under subclause (3)(b) is in force;</w:t>
      </w:r>
    </w:p>
    <w:p>
      <w:pPr>
        <w:pStyle w:val="yDefstart"/>
      </w:pPr>
      <w:r>
        <w:tab/>
      </w:r>
      <w:r>
        <w:rPr>
          <w:b/>
        </w:rPr>
        <w:t>“</w:t>
      </w:r>
      <w:r>
        <w:rPr>
          <w:rStyle w:val="CharDefText"/>
        </w:rPr>
        <w:t>tri</w:t>
      </w:r>
      <w:r>
        <w:rPr>
          <w:rStyle w:val="CharDefText"/>
        </w:rPr>
        <w:noBreakHyphen/>
        <w:t>axle group</w:t>
      </w:r>
      <w:r>
        <w:rPr>
          <w:b/>
        </w:rPr>
        <w:t>”</w:t>
      </w:r>
      <w:r>
        <w:t xml:space="preserve"> means a group of at least 3 axles in which the horizontal distance between the centres of the outermost axles is over 2 m, but not over 3.2 m;</w:t>
      </w:r>
    </w:p>
    <w:p>
      <w:pPr>
        <w:pStyle w:val="yDefstart"/>
      </w:pPr>
      <w:r>
        <w:tab/>
      </w:r>
      <w:r>
        <w:rPr>
          <w:b/>
        </w:rPr>
        <w:t>“</w:t>
      </w:r>
      <w:r>
        <w:rPr>
          <w:rStyle w:val="CharDefText"/>
        </w:rPr>
        <w:t>turntable</w:t>
      </w:r>
      <w:r>
        <w:rPr>
          <w:b/>
        </w:rPr>
        <w:t>”</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b/>
        </w:rPr>
        <w:t>“</w:t>
      </w:r>
      <w:r>
        <w:rPr>
          <w:rStyle w:val="CharDefText"/>
        </w:rPr>
        <w:t>twinsteer axle group</w:t>
      </w:r>
      <w:r>
        <w:rPr>
          <w:b/>
        </w:rPr>
        <w:t>”</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spacing w:after="60"/>
      </w:pPr>
      <w:r>
        <w:tab/>
        <w:t>(c)</w:t>
      </w:r>
      <w:r>
        <w:tab/>
        <w:t>the horizontal distance between the centres of which is at least 1 m, but not over 2 m;</w:t>
      </w:r>
    </w:p>
    <w:p>
      <w:pPr>
        <w:pStyle w:val="yDefstart"/>
        <w:keepNext/>
        <w:tabs>
          <w:tab w:val="clear" w:pos="879"/>
        </w:tabs>
        <w:ind w:left="960" w:firstLine="0"/>
        <w:jc w:val="center"/>
      </w:pPr>
      <w:r>
        <w:rPr>
          <w:noProof/>
          <w:snapToGrid/>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b/>
        </w:rPr>
        <w:t>“</w:t>
      </w:r>
      <w:r>
        <w:rPr>
          <w:rStyle w:val="CharDefText"/>
        </w:rPr>
        <w:t>unloaded mass</w:t>
      </w:r>
      <w:r>
        <w:rPr>
          <w:b/>
        </w:rPr>
        <w:t>”</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b/>
        </w:rPr>
        <w:t>“</w:t>
      </w:r>
      <w:r>
        <w:rPr>
          <w:rStyle w:val="CharDefText"/>
        </w:rPr>
        <w:t>vacuum brakes</w:t>
      </w:r>
      <w:r>
        <w:rPr>
          <w:b/>
        </w:rPr>
        <w:t>”</w:t>
      </w:r>
      <w:r>
        <w:t xml:space="preserve"> means vacuum</w:t>
      </w:r>
      <w:r>
        <w:noBreakHyphen/>
        <w:t>operated or vacuum</w:t>
      </w:r>
      <w:r>
        <w:noBreakHyphen/>
        <w:t>assisted brakes;</w:t>
      </w:r>
    </w:p>
    <w:p>
      <w:pPr>
        <w:pStyle w:val="yDefstart"/>
      </w:pPr>
      <w:r>
        <w:tab/>
      </w:r>
      <w:r>
        <w:rPr>
          <w:b/>
        </w:rPr>
        <w:t>“</w:t>
      </w:r>
      <w:r>
        <w:rPr>
          <w:rStyle w:val="CharDefText"/>
        </w:rPr>
        <w:t>vehicle</w:t>
      </w:r>
      <w:r>
        <w:rPr>
          <w:b/>
        </w:rPr>
        <w:t>”</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b/>
        </w:rPr>
        <w:t>“</w:t>
      </w:r>
      <w:r>
        <w:rPr>
          <w:rStyle w:val="CharDefText"/>
        </w:rPr>
        <w:t>vehicle examiner</w:t>
      </w:r>
      <w:r>
        <w:rPr>
          <w:b/>
        </w:rPr>
        <w:t>”</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Road Traffic (Licensing) Regulations 1975</w:t>
      </w:r>
      <w:r>
        <w:t>;</w:t>
      </w:r>
    </w:p>
    <w:p>
      <w:pPr>
        <w:pStyle w:val="yDefstart"/>
      </w:pPr>
      <w:r>
        <w:tab/>
      </w:r>
      <w:r>
        <w:rPr>
          <w:b/>
        </w:rPr>
        <w:t>“</w:t>
      </w:r>
      <w:r>
        <w:rPr>
          <w:rStyle w:val="CharDefText"/>
        </w:rPr>
        <w:t>vehicle for which a person is responsible</w:t>
      </w:r>
      <w:r>
        <w:rPr>
          <w:b/>
        </w:rPr>
        <w:t>”</w:t>
      </w:r>
      <w:r>
        <w:t xml:space="preserve"> means a vehicle for which the person is a responsible person;</w:t>
      </w:r>
    </w:p>
    <w:p>
      <w:pPr>
        <w:pStyle w:val="yDefstart"/>
      </w:pPr>
      <w:r>
        <w:tab/>
      </w:r>
      <w:r>
        <w:rPr>
          <w:b/>
        </w:rPr>
        <w:t>“</w:t>
      </w:r>
      <w:r>
        <w:rPr>
          <w:rStyle w:val="CharDefText"/>
        </w:rPr>
        <w:t>vehicle registration authority</w:t>
      </w:r>
      <w:r>
        <w:rPr>
          <w:b/>
        </w:rPr>
        <w:t>”</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b/>
        </w:rPr>
        <w:t>“</w:t>
      </w:r>
      <w:r>
        <w:rPr>
          <w:rStyle w:val="CharDefText"/>
        </w:rPr>
        <w:t>Vehicle Standards</w:t>
      </w:r>
      <w:r>
        <w:rPr>
          <w:b/>
        </w:rPr>
        <w:t>”</w:t>
      </w:r>
      <w:r>
        <w:t xml:space="preserve"> means the </w:t>
      </w:r>
      <w:r>
        <w:rPr>
          <w:i/>
        </w:rPr>
        <w:t>Road Traffic (Vehicle Standards) Rules 2002</w:t>
      </w:r>
      <w:r>
        <w:t>;</w:t>
      </w:r>
    </w:p>
    <w:p>
      <w:pPr>
        <w:pStyle w:val="yDefstart"/>
      </w:pPr>
      <w:r>
        <w:tab/>
      </w:r>
      <w:r>
        <w:rPr>
          <w:b/>
        </w:rPr>
        <w:t>“</w:t>
      </w:r>
      <w:r>
        <w:rPr>
          <w:rStyle w:val="CharDefText"/>
        </w:rPr>
        <w:t>warning light</w:t>
      </w:r>
      <w:r>
        <w:rPr>
          <w:b/>
        </w:rPr>
        <w:t>”</w:t>
      </w:r>
      <w:r>
        <w:t xml:space="preserve"> means a light that complies with the specifications in Schedule 2 Division 6;</w:t>
      </w:r>
    </w:p>
    <w:p>
      <w:pPr>
        <w:pStyle w:val="yDefstart"/>
      </w:pPr>
      <w:r>
        <w:tab/>
      </w:r>
      <w:r>
        <w:rPr>
          <w:b/>
        </w:rPr>
        <w:t>“</w:t>
      </w:r>
      <w:r>
        <w:rPr>
          <w:rStyle w:val="CharDefText"/>
        </w:rPr>
        <w:t>warning sign</w:t>
      </w:r>
      <w:r>
        <w:rPr>
          <w:b/>
        </w:rPr>
        <w:t>”</w:t>
      </w:r>
      <w:r>
        <w:t xml:space="preserve"> means a sign that complies with the specifications in Schedule 2 Division 7;</w:t>
      </w:r>
    </w:p>
    <w:p>
      <w:pPr>
        <w:pStyle w:val="yDefstart"/>
      </w:pPr>
      <w:r>
        <w:tab/>
      </w:r>
      <w:r>
        <w:rPr>
          <w:b/>
        </w:rPr>
        <w:t>“</w:t>
      </w:r>
      <w:r>
        <w:rPr>
          <w:rStyle w:val="CharDefText"/>
        </w:rPr>
        <w:t>wheelbase</w:t>
      </w:r>
      <w:r>
        <w:rPr>
          <w:b/>
        </w:rPr>
        <w:t>”</w:t>
      </w:r>
      <w:r>
        <w:t>, in relation to a vehicle, means the distance from the centre of the vehicle’s foremost axle to the rear overhang line;</w:t>
      </w:r>
    </w:p>
    <w:p>
      <w:pPr>
        <w:pStyle w:val="y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b/>
        </w:rPr>
        <w:t>“</w:t>
      </w:r>
      <w:r>
        <w:rPr>
          <w:rStyle w:val="CharDefText"/>
        </w:rPr>
        <w:t>yellow</w:t>
      </w:r>
      <w:r>
        <w:rPr>
          <w:b/>
        </w:rPr>
        <w:t>”</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5991-2; 23 Dec 2005 p. 6283.]</w:t>
      </w:r>
    </w:p>
    <w:p>
      <w:pPr>
        <w:pStyle w:val="yHeading5"/>
      </w:pPr>
      <w:bookmarkStart w:id="895" w:name="_Toc136332343"/>
      <w:bookmarkStart w:id="896" w:name="_Toc124152225"/>
      <w:r>
        <w:rPr>
          <w:rStyle w:val="CharSClsNo"/>
        </w:rPr>
        <w:t>2</w:t>
      </w:r>
      <w:r>
        <w:t>.</w:t>
      </w:r>
      <w:r>
        <w:tab/>
        <w:t>Diagrams</w:t>
      </w:r>
      <w:bookmarkEnd w:id="895"/>
      <w:bookmarkEnd w:id="896"/>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r>
        <w:tab/>
      </w:r>
    </w:p>
    <w:p>
      <w:pPr>
        <w:sectPr>
          <w:headerReference w:type="even" r:id="rId57"/>
          <w:headerReference w:type="default" r:id="rId58"/>
          <w:pgSz w:w="11906" w:h="16838" w:code="9"/>
          <w:pgMar w:top="2376" w:right="2405" w:bottom="3542" w:left="2405" w:header="706" w:footer="3380" w:gutter="0"/>
          <w:cols w:space="720"/>
          <w:noEndnote/>
          <w:docGrid w:linePitch="326"/>
        </w:sectPr>
      </w:pPr>
      <w:bookmarkStart w:id="897" w:name="_Toc76545228"/>
      <w:bookmarkStart w:id="898" w:name="_Toc104950759"/>
      <w:bookmarkStart w:id="899" w:name="_Toc104954298"/>
      <w:bookmarkStart w:id="900" w:name="_Toc107623461"/>
      <w:bookmarkStart w:id="901" w:name="_Toc114630234"/>
      <w:bookmarkStart w:id="902" w:name="_Toc116706997"/>
      <w:bookmarkStart w:id="903" w:name="_Toc116707180"/>
      <w:bookmarkStart w:id="904" w:name="_Toc117656353"/>
      <w:bookmarkStart w:id="905" w:name="_Toc117656535"/>
    </w:p>
    <w:p>
      <w:pPr>
        <w:pStyle w:val="nHeading2"/>
      </w:pPr>
      <w:bookmarkStart w:id="906" w:name="_Toc119234021"/>
      <w:bookmarkStart w:id="907" w:name="_Toc119730886"/>
      <w:bookmarkStart w:id="908" w:name="_Toc120943832"/>
      <w:bookmarkStart w:id="909" w:name="_Toc120948529"/>
      <w:bookmarkStart w:id="910" w:name="_Toc122742875"/>
      <w:bookmarkStart w:id="911" w:name="_Toc122838107"/>
      <w:bookmarkStart w:id="912" w:name="_Toc122839168"/>
      <w:bookmarkStart w:id="913" w:name="_Toc124152226"/>
      <w:bookmarkStart w:id="914" w:name="_Toc136332344"/>
      <w:r>
        <w:t>Notes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w:t>
      </w:r>
      <w:ins w:id="915" w:author="Master Repository Process" w:date="2021-09-12T08:55:00Z">
        <w:r>
          <w:rPr>
            <w:snapToGrid w:val="0"/>
          </w:rPr>
          <w:t> </w:t>
        </w:r>
        <w:r>
          <w:rPr>
            <w:snapToGrid w:val="0"/>
            <w:vertAlign w:val="superscript"/>
          </w:rPr>
          <w:t>1a</w:t>
        </w:r>
      </w:ins>
      <w:r>
        <w:rPr>
          <w:snapToGrid w:val="0"/>
        </w:rPr>
        <w:t>.  The table also contains information about any reprint.</w:t>
      </w:r>
    </w:p>
    <w:p>
      <w:pPr>
        <w:pStyle w:val="nHeading3"/>
      </w:pPr>
      <w:bookmarkStart w:id="916" w:name="_Toc136332345"/>
      <w:bookmarkStart w:id="917" w:name="_Toc124152227"/>
      <w:r>
        <w:t>Compilation table</w:t>
      </w:r>
      <w:bookmarkEnd w:id="916"/>
      <w:bookmarkEnd w:id="917"/>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349" w:type="dxa"/>
            <w:gridSpan w:val="2"/>
            <w:tcBorders>
              <w:top w:val="single" w:sz="8" w:space="0" w:color="auto"/>
            </w:tcBorders>
          </w:tcPr>
          <w:p>
            <w:pPr>
              <w:pStyle w:val="nTable"/>
              <w:spacing w:after="40"/>
              <w:rPr>
                <w:sz w:val="19"/>
              </w:rPr>
            </w:pPr>
            <w:r>
              <w:rPr>
                <w:sz w:val="19"/>
              </w:rPr>
              <w:t>9 Aug 2002 p. 3903</w:t>
            </w:r>
            <w:r>
              <w:rPr>
                <w:sz w:val="19"/>
              </w:rPr>
              <w:noBreakHyphen/>
              <w:t>4020</w:t>
            </w:r>
          </w:p>
        </w:tc>
        <w:tc>
          <w:tcPr>
            <w:tcW w:w="2620" w:type="dxa"/>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349" w:type="dxa"/>
            <w:gridSpan w:val="2"/>
          </w:tcPr>
          <w:p>
            <w:pPr>
              <w:pStyle w:val="nTable"/>
              <w:spacing w:after="40"/>
              <w:rPr>
                <w:sz w:val="19"/>
              </w:rPr>
            </w:pPr>
            <w:r>
              <w:rPr>
                <w:sz w:val="19"/>
              </w:rPr>
              <w:t>3 Jan 2003 p. 5</w:t>
            </w:r>
            <w:r>
              <w:rPr>
                <w:sz w:val="19"/>
              </w:rPr>
              <w:noBreakHyphen/>
              <w:t>11</w:t>
            </w:r>
          </w:p>
        </w:tc>
        <w:tc>
          <w:tcPr>
            <w:tcW w:w="2620"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349" w:type="dxa"/>
            <w:gridSpan w:val="2"/>
          </w:tcPr>
          <w:p>
            <w:pPr>
              <w:pStyle w:val="nTable"/>
              <w:spacing w:after="40"/>
              <w:rPr>
                <w:sz w:val="19"/>
              </w:rPr>
            </w:pPr>
            <w:r>
              <w:rPr>
                <w:sz w:val="19"/>
              </w:rPr>
              <w:t>20 May 2003 p. 1806</w:t>
            </w:r>
            <w:r>
              <w:rPr>
                <w:sz w:val="19"/>
              </w:rPr>
              <w:noBreakHyphen/>
              <w:t>7</w:t>
            </w:r>
          </w:p>
        </w:tc>
        <w:tc>
          <w:tcPr>
            <w:tcW w:w="2620"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349" w:type="dxa"/>
            <w:gridSpan w:val="2"/>
          </w:tcPr>
          <w:p>
            <w:pPr>
              <w:pStyle w:val="nTable"/>
              <w:spacing w:after="40"/>
              <w:rPr>
                <w:sz w:val="19"/>
              </w:rPr>
            </w:pPr>
            <w:r>
              <w:rPr>
                <w:sz w:val="19"/>
              </w:rPr>
              <w:t>31 Oct 2003 p. 4568</w:t>
            </w:r>
            <w:r>
              <w:rPr>
                <w:sz w:val="19"/>
              </w:rPr>
              <w:noBreakHyphen/>
              <w:t>9</w:t>
            </w:r>
          </w:p>
        </w:tc>
        <w:tc>
          <w:tcPr>
            <w:tcW w:w="2620" w:type="dxa"/>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349" w:type="dxa"/>
            <w:gridSpan w:val="2"/>
          </w:tcPr>
          <w:p>
            <w:pPr>
              <w:pStyle w:val="nTable"/>
              <w:spacing w:after="40"/>
              <w:rPr>
                <w:sz w:val="19"/>
              </w:rPr>
            </w:pPr>
            <w:r>
              <w:rPr>
                <w:sz w:val="19"/>
              </w:rPr>
              <w:t>28 May 2004 p. 1842</w:t>
            </w:r>
          </w:p>
        </w:tc>
        <w:tc>
          <w:tcPr>
            <w:tcW w:w="2620"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349" w:type="dxa"/>
            <w:gridSpan w:val="2"/>
          </w:tcPr>
          <w:p>
            <w:pPr>
              <w:pStyle w:val="nTable"/>
              <w:spacing w:after="40"/>
              <w:rPr>
                <w:sz w:val="19"/>
              </w:rPr>
            </w:pPr>
            <w:r>
              <w:rPr>
                <w:sz w:val="19"/>
              </w:rPr>
              <w:t>19 Apr 2005 p. 1302</w:t>
            </w:r>
            <w:r>
              <w:rPr>
                <w:sz w:val="19"/>
              </w:rPr>
              <w:noBreakHyphen/>
              <w:t>3</w:t>
            </w:r>
          </w:p>
        </w:tc>
        <w:tc>
          <w:tcPr>
            <w:tcW w:w="2620" w:type="dxa"/>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349" w:type="dxa"/>
            <w:gridSpan w:val="2"/>
          </w:tcPr>
          <w:p>
            <w:pPr>
              <w:pStyle w:val="nTable"/>
              <w:spacing w:after="40"/>
              <w:rPr>
                <w:sz w:val="19"/>
              </w:rPr>
            </w:pPr>
            <w:r>
              <w:rPr>
                <w:sz w:val="19"/>
              </w:rPr>
              <w:t>27 May 2005 p. 2313</w:t>
            </w:r>
            <w:r>
              <w:rPr>
                <w:sz w:val="19"/>
              </w:rPr>
              <w:noBreakHyphen/>
              <w:t>14</w:t>
            </w:r>
          </w:p>
        </w:tc>
        <w:tc>
          <w:tcPr>
            <w:tcW w:w="2620" w:type="dxa"/>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349" w:type="dxa"/>
            <w:gridSpan w:val="2"/>
          </w:tcPr>
          <w:p>
            <w:pPr>
              <w:pStyle w:val="nTable"/>
              <w:spacing w:after="40"/>
              <w:rPr>
                <w:sz w:val="19"/>
              </w:rPr>
            </w:pPr>
            <w:r>
              <w:rPr>
                <w:sz w:val="19"/>
              </w:rPr>
              <w:t>27 May 2005 p. 2314</w:t>
            </w:r>
            <w:r>
              <w:rPr>
                <w:sz w:val="19"/>
              </w:rPr>
              <w:noBreakHyphen/>
              <w:t>15</w:t>
            </w:r>
          </w:p>
        </w:tc>
        <w:tc>
          <w:tcPr>
            <w:tcW w:w="2620"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349" w:type="dxa"/>
            <w:gridSpan w:val="2"/>
          </w:tcPr>
          <w:p>
            <w:pPr>
              <w:pStyle w:val="nTable"/>
              <w:spacing w:after="40"/>
              <w:rPr>
                <w:sz w:val="19"/>
              </w:rPr>
            </w:pPr>
            <w:r>
              <w:rPr>
                <w:sz w:val="19"/>
              </w:rPr>
              <w:t>16 Sep 2005 p. 4326</w:t>
            </w:r>
            <w:r>
              <w:rPr>
                <w:sz w:val="19"/>
              </w:rPr>
              <w:noBreakHyphen/>
              <w:t>7</w:t>
            </w:r>
          </w:p>
        </w:tc>
        <w:tc>
          <w:tcPr>
            <w:tcW w:w="2620" w:type="dxa"/>
          </w:tcPr>
          <w:p>
            <w:pPr>
              <w:pStyle w:val="nTable"/>
              <w:spacing w:after="40"/>
              <w:rPr>
                <w:sz w:val="19"/>
              </w:rPr>
            </w:pPr>
            <w:r>
              <w:rPr>
                <w:sz w:val="19"/>
              </w:rPr>
              <w:t>16 Sep 2005</w:t>
            </w:r>
          </w:p>
        </w:tc>
      </w:tr>
      <w:tr>
        <w:trPr>
          <w:cantSplit/>
        </w:trPr>
        <w:tc>
          <w:tcPr>
            <w:tcW w:w="7088"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48" w:type="dxa"/>
            <w:gridSpan w:val="2"/>
          </w:tcPr>
          <w:p>
            <w:pPr>
              <w:pStyle w:val="nTable"/>
              <w:spacing w:after="40"/>
              <w:rPr>
                <w:i/>
                <w:iCs/>
                <w:sz w:val="19"/>
              </w:rPr>
            </w:pPr>
            <w:r>
              <w:rPr>
                <w:i/>
                <w:iCs/>
                <w:sz w:val="19"/>
              </w:rPr>
              <w:t>Road Traffic (Vehicle Standards) Amendment Regulations 2005</w:t>
            </w:r>
          </w:p>
        </w:tc>
        <w:tc>
          <w:tcPr>
            <w:tcW w:w="1320" w:type="dxa"/>
          </w:tcPr>
          <w:p>
            <w:pPr>
              <w:pStyle w:val="nTable"/>
              <w:spacing w:after="40"/>
              <w:rPr>
                <w:sz w:val="19"/>
              </w:rPr>
            </w:pPr>
            <w:r>
              <w:rPr>
                <w:sz w:val="19"/>
              </w:rPr>
              <w:t>13 Dec 2005 p. 5988-92</w:t>
            </w:r>
          </w:p>
        </w:tc>
        <w:tc>
          <w:tcPr>
            <w:tcW w:w="2620" w:type="dxa"/>
          </w:tcPr>
          <w:p>
            <w:pPr>
              <w:pStyle w:val="nTable"/>
              <w:spacing w:after="40"/>
              <w:rPr>
                <w:sz w:val="19"/>
              </w:rPr>
            </w:pPr>
            <w:r>
              <w:rPr>
                <w:sz w:val="19"/>
              </w:rPr>
              <w:t>13 Dec 2005</w:t>
            </w:r>
          </w:p>
        </w:tc>
      </w:tr>
      <w:tr>
        <w:trPr>
          <w:cantSplit/>
        </w:trPr>
        <w:tc>
          <w:tcPr>
            <w:tcW w:w="3148" w:type="dxa"/>
            <w:gridSpan w:val="2"/>
            <w:tcBorders>
              <w:bottom w:val="single" w:sz="8" w:space="0" w:color="auto"/>
            </w:tcBorders>
          </w:tcPr>
          <w:p>
            <w:pPr>
              <w:pStyle w:val="nTable"/>
              <w:spacing w:after="40"/>
              <w:rPr>
                <w:i/>
                <w:iCs/>
                <w:sz w:val="19"/>
              </w:rPr>
            </w:pPr>
            <w:r>
              <w:rPr>
                <w:i/>
                <w:iCs/>
                <w:sz w:val="19"/>
              </w:rPr>
              <w:t>Road Traffic (Vehicle Standards) Amendment Regulations (No. 6) 2005</w:t>
            </w:r>
          </w:p>
        </w:tc>
        <w:tc>
          <w:tcPr>
            <w:tcW w:w="1320" w:type="dxa"/>
            <w:tcBorders>
              <w:bottom w:val="single" w:sz="8" w:space="0" w:color="auto"/>
            </w:tcBorders>
          </w:tcPr>
          <w:p>
            <w:pPr>
              <w:pStyle w:val="nTable"/>
              <w:spacing w:after="40"/>
              <w:rPr>
                <w:sz w:val="19"/>
              </w:rPr>
            </w:pPr>
            <w:r>
              <w:rPr>
                <w:sz w:val="19"/>
              </w:rPr>
              <w:t>23 Dec 2005 p. 6281-3</w:t>
            </w:r>
          </w:p>
        </w:tc>
        <w:tc>
          <w:tcPr>
            <w:tcW w:w="2620" w:type="dxa"/>
            <w:tcBorders>
              <w:bottom w:val="single" w:sz="8" w:space="0" w:color="auto"/>
            </w:tcBorders>
          </w:tcPr>
          <w:p>
            <w:pPr>
              <w:pStyle w:val="nTable"/>
              <w:spacing w:after="40"/>
              <w:rPr>
                <w:sz w:val="19"/>
              </w:rPr>
            </w:pPr>
            <w:r>
              <w:rPr>
                <w:sz w:val="19"/>
              </w:rPr>
              <w:t xml:space="preserve">1 Jan 2006 (see r. 2 and </w:t>
            </w:r>
            <w:r>
              <w:rPr>
                <w:i/>
                <w:iCs/>
                <w:sz w:val="19"/>
              </w:rPr>
              <w:t>Gazette</w:t>
            </w:r>
            <w:r>
              <w:rPr>
                <w:sz w:val="19"/>
              </w:rPr>
              <w:t xml:space="preserve"> 23 Dec 2005 p. 6244-5)</w:t>
            </w:r>
          </w:p>
        </w:tc>
      </w:tr>
    </w:tbl>
    <w:p>
      <w:pPr>
        <w:pStyle w:val="nSubsection"/>
        <w:rPr>
          <w:ins w:id="918" w:author="Master Repository Process" w:date="2021-09-12T08:55:00Z"/>
          <w:snapToGrid w:val="0"/>
        </w:rPr>
      </w:pPr>
      <w:ins w:id="919" w:author="Master Repository Process" w:date="2021-09-12T08: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20" w:author="Master Repository Process" w:date="2021-09-12T08:55:00Z"/>
          <w:snapToGrid w:val="0"/>
        </w:rPr>
      </w:pPr>
      <w:bookmarkStart w:id="921" w:name="_Toc534778309"/>
      <w:bookmarkStart w:id="922" w:name="_Toc7405063"/>
      <w:bookmarkStart w:id="923" w:name="_Toc136332346"/>
      <w:ins w:id="924" w:author="Master Repository Process" w:date="2021-09-12T08:55:00Z">
        <w:r>
          <w:rPr>
            <w:snapToGrid w:val="0"/>
          </w:rPr>
          <w:t>Provisions that have not come into operation</w:t>
        </w:r>
        <w:bookmarkEnd w:id="921"/>
        <w:bookmarkEnd w:id="922"/>
        <w:bookmarkEnd w:id="92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349"/>
        <w:gridCol w:w="2620"/>
      </w:tblGrid>
      <w:tr>
        <w:trPr>
          <w:tblHeader/>
          <w:ins w:id="925" w:author="Master Repository Process" w:date="2021-09-12T08:55:00Z"/>
        </w:trPr>
        <w:tc>
          <w:tcPr>
            <w:tcW w:w="3119" w:type="dxa"/>
            <w:tcBorders>
              <w:top w:val="single" w:sz="8" w:space="0" w:color="auto"/>
              <w:bottom w:val="single" w:sz="8" w:space="0" w:color="auto"/>
            </w:tcBorders>
          </w:tcPr>
          <w:p>
            <w:pPr>
              <w:pStyle w:val="nTable"/>
              <w:spacing w:after="40"/>
              <w:rPr>
                <w:ins w:id="926" w:author="Master Repository Process" w:date="2021-09-12T08:55:00Z"/>
                <w:b/>
                <w:sz w:val="19"/>
              </w:rPr>
            </w:pPr>
            <w:ins w:id="927" w:author="Master Repository Process" w:date="2021-09-12T08:55:00Z">
              <w:r>
                <w:rPr>
                  <w:b/>
                  <w:sz w:val="19"/>
                </w:rPr>
                <w:t>Citation</w:t>
              </w:r>
            </w:ins>
          </w:p>
        </w:tc>
        <w:tc>
          <w:tcPr>
            <w:tcW w:w="1349" w:type="dxa"/>
            <w:tcBorders>
              <w:top w:val="single" w:sz="8" w:space="0" w:color="auto"/>
              <w:bottom w:val="single" w:sz="8" w:space="0" w:color="auto"/>
            </w:tcBorders>
          </w:tcPr>
          <w:p>
            <w:pPr>
              <w:pStyle w:val="nTable"/>
              <w:spacing w:after="40"/>
              <w:rPr>
                <w:ins w:id="928" w:author="Master Repository Process" w:date="2021-09-12T08:55:00Z"/>
                <w:b/>
                <w:sz w:val="19"/>
              </w:rPr>
            </w:pPr>
            <w:ins w:id="929" w:author="Master Repository Process" w:date="2021-09-12T08:55:00Z">
              <w:r>
                <w:rPr>
                  <w:b/>
                  <w:sz w:val="19"/>
                </w:rPr>
                <w:t>Gazettal</w:t>
              </w:r>
            </w:ins>
          </w:p>
        </w:tc>
        <w:tc>
          <w:tcPr>
            <w:tcW w:w="2620" w:type="dxa"/>
            <w:tcBorders>
              <w:top w:val="single" w:sz="8" w:space="0" w:color="auto"/>
              <w:bottom w:val="single" w:sz="8" w:space="0" w:color="auto"/>
            </w:tcBorders>
          </w:tcPr>
          <w:p>
            <w:pPr>
              <w:pStyle w:val="nTable"/>
              <w:spacing w:after="40"/>
              <w:rPr>
                <w:ins w:id="930" w:author="Master Repository Process" w:date="2021-09-12T08:55:00Z"/>
                <w:b/>
                <w:sz w:val="19"/>
              </w:rPr>
            </w:pPr>
            <w:ins w:id="931" w:author="Master Repository Process" w:date="2021-09-12T08:55:00Z">
              <w:r>
                <w:rPr>
                  <w:b/>
                  <w:sz w:val="19"/>
                </w:rPr>
                <w:t>Commencement</w:t>
              </w:r>
            </w:ins>
          </w:p>
        </w:tc>
      </w:tr>
      <w:tr>
        <w:trPr>
          <w:ins w:id="932" w:author="Master Repository Process" w:date="2021-09-12T08:55:00Z"/>
        </w:trPr>
        <w:tc>
          <w:tcPr>
            <w:tcW w:w="3119" w:type="dxa"/>
            <w:tcBorders>
              <w:top w:val="single" w:sz="8" w:space="0" w:color="auto"/>
              <w:bottom w:val="single" w:sz="4" w:space="0" w:color="auto"/>
            </w:tcBorders>
          </w:tcPr>
          <w:p>
            <w:pPr>
              <w:pStyle w:val="nTable"/>
              <w:spacing w:after="40"/>
              <w:rPr>
                <w:ins w:id="933" w:author="Master Repository Process" w:date="2021-09-12T08:55:00Z"/>
                <w:iCs/>
                <w:sz w:val="19"/>
                <w:vertAlign w:val="superscript"/>
              </w:rPr>
            </w:pPr>
            <w:ins w:id="934" w:author="Master Repository Process" w:date="2021-09-12T08:55:00Z">
              <w:r>
                <w:rPr>
                  <w:i/>
                  <w:sz w:val="19"/>
                </w:rPr>
                <w:t>Road Traffic (Vehicle Standards) Amendment Regulations (No. 2) 2006</w:t>
              </w:r>
              <w:r>
                <w:rPr>
                  <w:iCs/>
                  <w:sz w:val="19"/>
                </w:rPr>
                <w:t xml:space="preserve"> r. 4 </w:t>
              </w:r>
              <w:r>
                <w:rPr>
                  <w:iCs/>
                  <w:sz w:val="19"/>
                  <w:vertAlign w:val="superscript"/>
                </w:rPr>
                <w:t>4</w:t>
              </w:r>
            </w:ins>
          </w:p>
        </w:tc>
        <w:tc>
          <w:tcPr>
            <w:tcW w:w="1349" w:type="dxa"/>
            <w:tcBorders>
              <w:top w:val="single" w:sz="8" w:space="0" w:color="auto"/>
              <w:bottom w:val="single" w:sz="4" w:space="0" w:color="auto"/>
            </w:tcBorders>
          </w:tcPr>
          <w:p>
            <w:pPr>
              <w:pStyle w:val="nTable"/>
              <w:spacing w:after="40"/>
              <w:rPr>
                <w:ins w:id="935" w:author="Master Repository Process" w:date="2021-09-12T08:55:00Z"/>
                <w:sz w:val="19"/>
              </w:rPr>
            </w:pPr>
            <w:ins w:id="936" w:author="Master Repository Process" w:date="2021-09-12T08:55:00Z">
              <w:r>
                <w:rPr>
                  <w:sz w:val="19"/>
                </w:rPr>
                <w:t>26 May 2006 p. 1883</w:t>
              </w:r>
              <w:r>
                <w:rPr>
                  <w:sz w:val="19"/>
                </w:rPr>
                <w:noBreakHyphen/>
                <w:t>4</w:t>
              </w:r>
            </w:ins>
          </w:p>
        </w:tc>
        <w:tc>
          <w:tcPr>
            <w:tcW w:w="2620" w:type="dxa"/>
            <w:tcBorders>
              <w:top w:val="single" w:sz="8" w:space="0" w:color="auto"/>
              <w:bottom w:val="single" w:sz="4" w:space="0" w:color="auto"/>
            </w:tcBorders>
          </w:tcPr>
          <w:p>
            <w:pPr>
              <w:pStyle w:val="nTable"/>
              <w:spacing w:after="40"/>
              <w:rPr>
                <w:ins w:id="937" w:author="Master Repository Process" w:date="2021-09-12T08:55:00Z"/>
                <w:sz w:val="19"/>
              </w:rPr>
            </w:pPr>
            <w:ins w:id="938" w:author="Master Repository Process" w:date="2021-09-12T08:55:00Z">
              <w:r>
                <w:rPr>
                  <w:sz w:val="19"/>
                </w:rPr>
                <w:t>1 Jul 2006 (see r. 2)</w:t>
              </w:r>
            </w:ins>
          </w:p>
        </w:tc>
      </w:tr>
    </w:tbl>
    <w:p>
      <w:pPr>
        <w:pStyle w:val="nSubsection"/>
      </w:pPr>
      <w:r>
        <w:rPr>
          <w:vertAlign w:val="superscript"/>
        </w:rPr>
        <w:t>2</w:t>
      </w:r>
      <w:r>
        <w:tab/>
        <w:t xml:space="preserve">The </w:t>
      </w:r>
      <w:r>
        <w:rPr>
          <w:i/>
          <w:iCs/>
        </w:rPr>
        <w:t>Local Courts Act 1904</w:t>
      </w:r>
      <w:r>
        <w:t xml:space="preserve"> was repealed by the </w:t>
      </w:r>
      <w:r>
        <w:rPr>
          <w:i/>
          <w:iCs/>
        </w:rPr>
        <w:t>Courts Legislation Amendment and Repeal Act 2004</w:t>
      </w:r>
      <w:r>
        <w:t xml:space="preserve"> s. 4.  Under s. 10 of that Act a reference in a written law to the Local Court is, unless the contrary intention appears, to be read as a reference to the Magistrates Court.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rPr>
          <w:ins w:id="939" w:author="Master Repository Process" w:date="2021-09-12T08:55:00Z"/>
          <w:snapToGrid w:val="0"/>
        </w:rPr>
      </w:pPr>
      <w:ins w:id="940" w:author="Master Repository Process" w:date="2021-09-12T08:55:00Z">
        <w:r>
          <w:rPr>
            <w:snapToGrid w:val="0"/>
            <w:vertAlign w:val="superscript"/>
          </w:rPr>
          <w:t>4</w:t>
        </w:r>
        <w:r>
          <w:rPr>
            <w:snapToGrid w:val="0"/>
          </w:rPr>
          <w:tab/>
          <w:t xml:space="preserve">On the date as at which this compilation was prepared, the </w:t>
        </w:r>
        <w:r>
          <w:rPr>
            <w:i/>
            <w:snapToGrid w:val="0"/>
          </w:rPr>
          <w:t xml:space="preserve">Road Traffic (Vehicle Standards) Amendment Regulations (No. 2) 2006 </w:t>
        </w:r>
        <w:r>
          <w:rPr>
            <w:iCs/>
            <w:snapToGrid w:val="0"/>
          </w:rPr>
          <w:t>r. 4</w:t>
        </w:r>
        <w:r>
          <w:rPr>
            <w:snapToGrid w:val="0"/>
          </w:rPr>
          <w:t xml:space="preserve"> had not come into operation.  It reads as follows:</w:t>
        </w:r>
      </w:ins>
    </w:p>
    <w:p>
      <w:pPr>
        <w:pStyle w:val="MiscOpen"/>
        <w:rPr>
          <w:ins w:id="941" w:author="Master Repository Process" w:date="2021-09-12T08:55:00Z"/>
          <w:snapToGrid w:val="0"/>
        </w:rPr>
      </w:pPr>
      <w:ins w:id="942" w:author="Master Repository Process" w:date="2021-09-12T08:55:00Z">
        <w:r>
          <w:rPr>
            <w:snapToGrid w:val="0"/>
          </w:rPr>
          <w:t>“</w:t>
        </w:r>
      </w:ins>
    </w:p>
    <w:p>
      <w:pPr>
        <w:pStyle w:val="nzHeading5"/>
        <w:rPr>
          <w:ins w:id="943" w:author="Master Repository Process" w:date="2021-09-12T08:55:00Z"/>
        </w:rPr>
      </w:pPr>
      <w:ins w:id="944" w:author="Master Repository Process" w:date="2021-09-12T08:55:00Z">
        <w:r>
          <w:rPr>
            <w:rStyle w:val="CharSectno"/>
          </w:rPr>
          <w:t>4</w:t>
        </w:r>
        <w:r>
          <w:t>.</w:t>
        </w:r>
        <w:r>
          <w:tab/>
          <w:t>Regulation 69 amended</w:t>
        </w:r>
      </w:ins>
    </w:p>
    <w:p>
      <w:pPr>
        <w:pStyle w:val="nzSubsection"/>
        <w:rPr>
          <w:ins w:id="945" w:author="Master Repository Process" w:date="2021-09-12T08:55:00Z"/>
        </w:rPr>
      </w:pPr>
      <w:ins w:id="946" w:author="Master Repository Process" w:date="2021-09-12T08:55:00Z">
        <w:r>
          <w:tab/>
        </w:r>
        <w:r>
          <w:tab/>
          <w:t xml:space="preserve">Regulation 69(3) is amended by deleting “$31.00.” and inserting instead — </w:t>
        </w:r>
      </w:ins>
    </w:p>
    <w:p>
      <w:pPr>
        <w:pStyle w:val="nzSubsection"/>
        <w:rPr>
          <w:ins w:id="947" w:author="Master Repository Process" w:date="2021-09-12T08:55:00Z"/>
        </w:rPr>
      </w:pPr>
      <w:ins w:id="948" w:author="Master Repository Process" w:date="2021-09-12T08:55:00Z">
        <w:r>
          <w:tab/>
        </w:r>
        <w:r>
          <w:tab/>
          <w:t>“    $32.00.    ”.</w:t>
        </w:r>
      </w:ins>
    </w:p>
    <w:p>
      <w:pPr>
        <w:pStyle w:val="MiscClose"/>
        <w:rPr>
          <w:ins w:id="949" w:author="Master Repository Process" w:date="2021-09-12T08:55:00Z"/>
        </w:rPr>
      </w:pPr>
      <w:ins w:id="950" w:author="Master Repository Process" w:date="2021-09-12T08:55:00Z">
        <w:r>
          <w:t>”.</w:t>
        </w:r>
      </w:ins>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sectPr>
      <w:headerReference w:type="even" r:id="rId6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333"/>
    <w:docVar w:name="WAFER_20151209115333" w:val="RemoveTrackChanges"/>
    <w:docVar w:name="WAFER_20151209115333_GUID" w:val="c4bf85e3-be1d-489d-a438-a4ccecef23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C8B21A-7719-494A-B7BB-29F1B7ACF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wmf"/><Relationship Id="rId34" Type="http://schemas.openxmlformats.org/officeDocument/2006/relationships/image" Target="media/image16.jpeg"/><Relationship Id="rId42" Type="http://schemas.openxmlformats.org/officeDocument/2006/relationships/image" Target="media/image21.wmf"/><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image" Target="media/image34.wmf"/><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9.xml"/><Relationship Id="rId40" Type="http://schemas.openxmlformats.org/officeDocument/2006/relationships/image" Target="media/image19.png"/><Relationship Id="rId45" Type="http://schemas.openxmlformats.org/officeDocument/2006/relationships/image" Target="media/image24.wmf"/><Relationship Id="rId53" Type="http://schemas.openxmlformats.org/officeDocument/2006/relationships/image" Target="media/image32.png"/><Relationship Id="rId58" Type="http://schemas.openxmlformats.org/officeDocument/2006/relationships/header" Target="header11.xml"/><Relationship Id="rId5" Type="http://schemas.openxmlformats.org/officeDocument/2006/relationships/footnotes" Target="footnotes.xml"/><Relationship Id="rId61" Type="http://schemas.openxmlformats.org/officeDocument/2006/relationships/header" Target="header14.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wmf"/><Relationship Id="rId35" Type="http://schemas.openxmlformats.org/officeDocument/2006/relationships/header" Target="header7.xml"/><Relationship Id="rId43" Type="http://schemas.openxmlformats.org/officeDocument/2006/relationships/image" Target="media/image22.wmf"/><Relationship Id="rId48" Type="http://schemas.openxmlformats.org/officeDocument/2006/relationships/image" Target="media/image27.png"/><Relationship Id="rId56" Type="http://schemas.openxmlformats.org/officeDocument/2006/relationships/image" Target="media/image35.wmf"/><Relationship Id="rId64" Type="http://schemas.microsoft.com/office/2011/relationships/people" Target="people.xml"/><Relationship Id="rId8" Type="http://schemas.openxmlformats.org/officeDocument/2006/relationships/header" Target="header1.xml"/><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header" Target="header12.xml"/><Relationship Id="rId20" Type="http://schemas.openxmlformats.org/officeDocument/2006/relationships/image" Target="media/image2.jpeg"/><Relationship Id="rId41" Type="http://schemas.openxmlformats.org/officeDocument/2006/relationships/image" Target="media/image20.wmf"/><Relationship Id="rId54" Type="http://schemas.openxmlformats.org/officeDocument/2006/relationships/image" Target="media/image33.png"/><Relationship Id="rId62"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wmf"/><Relationship Id="rId36" Type="http://schemas.openxmlformats.org/officeDocument/2006/relationships/header" Target="header8.xml"/><Relationship Id="rId49" Type="http://schemas.openxmlformats.org/officeDocument/2006/relationships/image" Target="media/image28.wmf"/><Relationship Id="rId57" Type="http://schemas.openxmlformats.org/officeDocument/2006/relationships/header" Target="header10.xml"/><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23.wmf"/><Relationship Id="rId52" Type="http://schemas.openxmlformats.org/officeDocument/2006/relationships/image" Target="media/image31.wmf"/><Relationship Id="rId60" Type="http://schemas.openxmlformats.org/officeDocument/2006/relationships/header" Target="header13.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25853</Words>
  <Characters>120739</Characters>
  <Application>Microsoft Office Word</Application>
  <DocSecurity>0</DocSecurity>
  <Lines>4024</Lines>
  <Paragraphs>2714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143878</CharactersWithSpaces>
  <SharedDoc>false</SharedDoc>
  <HLinks>
    <vt:vector size="60" baseType="variant">
      <vt:variant>
        <vt:i4>6291580</vt:i4>
      </vt:variant>
      <vt:variant>
        <vt:i4>90335</vt:i4>
      </vt:variant>
      <vt:variant>
        <vt:i4>1025</vt:i4>
      </vt:variant>
      <vt:variant>
        <vt:i4>1</vt:i4>
      </vt:variant>
      <vt:variant>
        <vt:lpwstr>D:\PCO Work\Regs\Road Traffic Pictures\Measurement fortble2 (cropped).jpg</vt:lpwstr>
      </vt:variant>
      <vt:variant>
        <vt:lpwstr/>
      </vt:variant>
      <vt:variant>
        <vt:i4>7274577</vt:i4>
      </vt:variant>
      <vt:variant>
        <vt:i4>96250</vt:i4>
      </vt:variant>
      <vt:variant>
        <vt:i4>1026</vt:i4>
      </vt:variant>
      <vt:variant>
        <vt:i4>1</vt:i4>
      </vt:variant>
      <vt:variant>
        <vt:lpwstr>\\PCOSRV01\djurdjed$\PCO Work\2000 Regs\Road Traffic Pictures\CarCarriernewcropped.jpg</vt:lpwstr>
      </vt:variant>
      <vt:variant>
        <vt:lpwstr/>
      </vt:variant>
      <vt:variant>
        <vt:i4>4522063</vt:i4>
      </vt:variant>
      <vt:variant>
        <vt:i4>96481</vt:i4>
      </vt:variant>
      <vt:variant>
        <vt:i4>1027</vt:i4>
      </vt:variant>
      <vt:variant>
        <vt:i4>1</vt:i4>
      </vt:variant>
      <vt:variant>
        <vt:lpwstr>D:\PCO Work\Regs\Road Traffic Pictures\Vehicle Loaded to width limts (cropped).jpg</vt:lpwstr>
      </vt:variant>
      <vt:variant>
        <vt:lpwstr/>
      </vt:variant>
      <vt:variant>
        <vt:i4>7864362</vt:i4>
      </vt:variant>
      <vt:variant>
        <vt:i4>103045</vt:i4>
      </vt:variant>
      <vt:variant>
        <vt:i4>1028</vt:i4>
      </vt:variant>
      <vt:variant>
        <vt:i4>1</vt:i4>
      </vt:variant>
      <vt:variant>
        <vt:lpwstr>\\Pcosrv01\public$\untitled1.jpg</vt:lpwstr>
      </vt:variant>
      <vt:variant>
        <vt:lpwstr/>
      </vt:variant>
      <vt:variant>
        <vt:i4>1114197</vt:i4>
      </vt:variant>
      <vt:variant>
        <vt:i4>103325</vt:i4>
      </vt:variant>
      <vt:variant>
        <vt:i4>1029</vt:i4>
      </vt:variant>
      <vt:variant>
        <vt:i4>1</vt:i4>
      </vt:variant>
      <vt:variant>
        <vt:lpwstr>Biasplytyres.bmp</vt:lpwstr>
      </vt:variant>
      <vt:variant>
        <vt:lpwstr/>
      </vt:variant>
      <vt:variant>
        <vt:i4>7602272</vt:i4>
      </vt:variant>
      <vt:variant>
        <vt:i4>104672</vt:i4>
      </vt:variant>
      <vt:variant>
        <vt:i4>1030</vt:i4>
      </vt:variant>
      <vt:variant>
        <vt:i4>1</vt:i4>
      </vt:variant>
      <vt:variant>
        <vt:lpwstr>pic 1.2(3).bmp</vt:lpwstr>
      </vt:variant>
      <vt:variant>
        <vt:lpwstr/>
      </vt:variant>
      <vt:variant>
        <vt:i4>6094960</vt:i4>
      </vt:variant>
      <vt:variant>
        <vt:i4>112013</vt:i4>
      </vt:variant>
      <vt:variant>
        <vt:i4>1031</vt:i4>
      </vt:variant>
      <vt:variant>
        <vt:i4>1</vt:i4>
      </vt:variant>
      <vt:variant>
        <vt:lpwstr>C:\truck.jpg</vt:lpwstr>
      </vt:variant>
      <vt:variant>
        <vt:lpwstr/>
      </vt:variant>
      <vt:variant>
        <vt:i4>7798861</vt:i4>
      </vt:variant>
      <vt:variant>
        <vt:i4>130108</vt:i4>
      </vt:variant>
      <vt:variant>
        <vt:i4>1032</vt:i4>
      </vt:variant>
      <vt:variant>
        <vt:i4>1</vt:i4>
      </vt:variant>
      <vt:variant>
        <vt:lpwstr>P:\road.jpg</vt:lpwstr>
      </vt:variant>
      <vt:variant>
        <vt:lpwstr/>
      </vt:variant>
      <vt:variant>
        <vt:i4>7864366</vt:i4>
      </vt:variant>
      <vt:variant>
        <vt:i4>131594</vt:i4>
      </vt:variant>
      <vt:variant>
        <vt:i4>1033</vt:i4>
      </vt:variant>
      <vt:variant>
        <vt:i4>1</vt:i4>
      </vt:variant>
      <vt:variant>
        <vt:lpwstr>\\Pcosrv01\public$\road2.jpg</vt:lpwstr>
      </vt:variant>
      <vt:variant>
        <vt:lpwstr/>
      </vt:variant>
      <vt:variant>
        <vt:i4>7929902</vt:i4>
      </vt:variant>
      <vt:variant>
        <vt:i4>131901</vt:i4>
      </vt:variant>
      <vt:variant>
        <vt:i4>1034</vt:i4>
      </vt:variant>
      <vt:variant>
        <vt:i4>1</vt:i4>
      </vt:variant>
      <vt:variant>
        <vt:lpwstr>\\Pcosrv01\public$\road3.jpg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01-c0-03 - 01-d0-03</dc:title>
  <dc:subject/>
  <dc:creator/>
  <cp:keywords/>
  <dc:description/>
  <cp:lastModifiedBy>Master Repository Process</cp:lastModifiedBy>
  <cp:revision>2</cp:revision>
  <cp:lastPrinted>2005-11-28T07:15:00Z</cp:lastPrinted>
  <dcterms:created xsi:type="dcterms:W3CDTF">2021-09-12T00:55:00Z</dcterms:created>
  <dcterms:modified xsi:type="dcterms:W3CDTF">2021-09-12T00:56:00Z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20060526</vt:lpwstr>
  </property>
  <property fmtid="{D5CDD505-2E9C-101B-9397-08002B2CF9AE}" pid="4" name="DocumentType">
    <vt:lpwstr>Reg</vt:lpwstr>
  </property>
  <property fmtid="{D5CDD505-2E9C-101B-9397-08002B2CF9AE}" pid="5" name="OwlsUID">
    <vt:i4>1827</vt:i4>
  </property>
  <property fmtid="{D5CDD505-2E9C-101B-9397-08002B2CF9AE}" pid="6" name="FromSuffix">
    <vt:lpwstr>01-c0-03</vt:lpwstr>
  </property>
  <property fmtid="{D5CDD505-2E9C-101B-9397-08002B2CF9AE}" pid="7" name="FromAsAtDate">
    <vt:lpwstr>01 Jan 2006</vt:lpwstr>
  </property>
  <property fmtid="{D5CDD505-2E9C-101B-9397-08002B2CF9AE}" pid="8" name="ToSuffix">
    <vt:lpwstr>01-d0-03</vt:lpwstr>
  </property>
  <property fmtid="{D5CDD505-2E9C-101B-9397-08002B2CF9AE}" pid="9" name="ToAsAtDate">
    <vt:lpwstr>26 May 2006</vt:lpwstr>
  </property>
</Properties>
</file>