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2019</w:t>
      </w:r>
      <w:r>
        <w:fldChar w:fldCharType="end"/>
      </w:r>
      <w:r>
        <w:t xml:space="preserve">, </w:t>
      </w:r>
      <w:r>
        <w:fldChar w:fldCharType="begin"/>
      </w:r>
      <w:r>
        <w:instrText xml:space="preserve"> DocProperty FromSuffix </w:instrText>
      </w:r>
      <w:r>
        <w:fldChar w:fldCharType="separate"/>
      </w:r>
      <w:r>
        <w:t>04-d0-00</w:t>
      </w:r>
      <w:r>
        <w:fldChar w:fldCharType="end"/>
      </w:r>
      <w:r>
        <w:t>] and [</w:t>
      </w:r>
      <w:r>
        <w:fldChar w:fldCharType="begin"/>
      </w:r>
      <w:r>
        <w:instrText xml:space="preserve"> DocProperty ToAsAtDate</w:instrText>
      </w:r>
      <w:r>
        <w:fldChar w:fldCharType="separate"/>
      </w:r>
      <w:r>
        <w:t>09 Jun 2020</w:t>
      </w:r>
      <w:r>
        <w:fldChar w:fldCharType="end"/>
      </w:r>
      <w:r>
        <w:t xml:space="preserve">, </w:t>
      </w:r>
      <w:r>
        <w:fldChar w:fldCharType="begin"/>
      </w:r>
      <w:r>
        <w:instrText xml:space="preserve"> DocProperty ToSuffix</w:instrText>
      </w:r>
      <w:r>
        <w:fldChar w:fldCharType="separate"/>
      </w:r>
      <w:r>
        <w:t>04-e0-00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8-01T14:03:00Z"/>
        </w:rPr>
      </w:pPr>
      <w:del w:id="2" w:author="Master Repository Process" w:date="2021-08-01T14:03:00Z">
        <w:r>
          <w:lastRenderedPageBreak/>
          <w:delText>Western Australia</w:delText>
        </w:r>
      </w:del>
    </w:p>
    <w:p>
      <w:pPr>
        <w:pStyle w:val="PrincipalActReg"/>
      </w:pPr>
      <w:r>
        <w:t>Energy Operators (Powers) Act 1979</w:t>
      </w:r>
    </w:p>
    <w:p>
      <w:pPr>
        <w:pStyle w:val="NameofActReg"/>
      </w:pPr>
      <w:r>
        <w:t>Energy Operators (Electricity Generation and Retail Corporation) (Charges) By</w:t>
      </w:r>
      <w:r>
        <w:noBreakHyphen/>
        <w:t>laws 2006</w:t>
      </w:r>
    </w:p>
    <w:p>
      <w:pPr>
        <w:pStyle w:val="Heading5"/>
      </w:pPr>
      <w:bookmarkStart w:id="3" w:name="_Toc42522181"/>
      <w:bookmarkStart w:id="4" w:name="_Toc18064438"/>
      <w:r>
        <w:rPr>
          <w:rStyle w:val="CharSectno"/>
        </w:rPr>
        <w:t>1</w:t>
      </w:r>
      <w:bookmarkStart w:id="5" w:name="_GoBack"/>
      <w:bookmarkEnd w:id="5"/>
      <w:r>
        <w:t>.</w:t>
      </w:r>
      <w:r>
        <w:tab/>
        <w:t>Citation</w:t>
      </w:r>
      <w:bookmarkEnd w:id="3"/>
      <w:bookmarkEnd w:id="4"/>
    </w:p>
    <w:p>
      <w:pPr>
        <w:pStyle w:val="Subsection"/>
      </w:pPr>
      <w:r>
        <w:tab/>
      </w:r>
      <w:r>
        <w:tab/>
        <w:t>These by</w:t>
      </w:r>
      <w:r>
        <w:noBreakHyphen/>
        <w:t xml:space="preserve">laws are the </w:t>
      </w:r>
      <w:r>
        <w:rPr>
          <w:i/>
        </w:rPr>
        <w:t>Energy Operators (Electricity Generation and Retail Corporation) (Charges) By</w:t>
      </w:r>
      <w:r>
        <w:rPr>
          <w:i/>
        </w:rPr>
        <w:noBreakHyphen/>
        <w:t>laws 2006</w:t>
      </w:r>
      <w:del w:id="6" w:author="Master Repository Process" w:date="2021-08-01T14:03:00Z">
        <w:r>
          <w:rPr>
            <w:vertAlign w:val="superscript"/>
          </w:rPr>
          <w:delText> 1</w:delText>
        </w:r>
      </w:del>
      <w:r>
        <w:t>.</w:t>
      </w:r>
    </w:p>
    <w:p>
      <w:pPr>
        <w:pStyle w:val="Footnotesection"/>
      </w:pPr>
      <w:r>
        <w:tab/>
        <w:t>[By-law 1 amended: Gazette 27 Dec 2013 p. 6477.]</w:t>
      </w:r>
    </w:p>
    <w:p>
      <w:pPr>
        <w:pStyle w:val="Heading5"/>
      </w:pPr>
      <w:bookmarkStart w:id="7" w:name="_Toc42522182"/>
      <w:bookmarkStart w:id="8" w:name="_Toc18064439"/>
      <w:r>
        <w:rPr>
          <w:rStyle w:val="CharSectno"/>
        </w:rPr>
        <w:t>2</w:t>
      </w:r>
      <w:r>
        <w:t>.</w:t>
      </w:r>
      <w:r>
        <w:tab/>
        <w:t>Commencement</w:t>
      </w:r>
      <w:bookmarkEnd w:id="7"/>
      <w:bookmarkEnd w:id="8"/>
    </w:p>
    <w:p>
      <w:pPr>
        <w:pStyle w:val="Subsection"/>
      </w:pPr>
      <w:r>
        <w:tab/>
      </w:r>
      <w:r>
        <w:tab/>
        <w:t>These by</w:t>
      </w:r>
      <w:r>
        <w:noBreakHyphen/>
        <w:t>laws come into operation on 1 April 2006.</w:t>
      </w:r>
    </w:p>
    <w:p>
      <w:pPr>
        <w:pStyle w:val="Heading5"/>
        <w:rPr>
          <w:snapToGrid w:val="0"/>
        </w:rPr>
      </w:pPr>
      <w:bookmarkStart w:id="9" w:name="_Toc42522183"/>
      <w:bookmarkStart w:id="10" w:name="_Toc18064440"/>
      <w:r>
        <w:rPr>
          <w:rStyle w:val="CharSectno"/>
        </w:rPr>
        <w:t>3</w:t>
      </w:r>
      <w:r>
        <w:t>.</w:t>
      </w:r>
      <w:r>
        <w:tab/>
      </w:r>
      <w:r>
        <w:rPr>
          <w:snapToGrid w:val="0"/>
        </w:rPr>
        <w:t>Terms used</w:t>
      </w:r>
      <w:bookmarkEnd w:id="9"/>
      <w:bookmarkEnd w:id="10"/>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tab/>
      </w:r>
      <w:r>
        <w:rPr>
          <w:rStyle w:val="CharDefText"/>
        </w:rPr>
        <w:t>life support customer</w:t>
      </w:r>
      <w:r>
        <w:t xml:space="preserve"> means a customer whose address is registered as a life support equipment address under the code of conduct in force from time to time under the </w:t>
      </w:r>
      <w:r>
        <w:rPr>
          <w:i/>
        </w:rPr>
        <w:t>Electricity Industry Act </w:t>
      </w:r>
      <w:r>
        <w:t>2004 section 79;</w:t>
      </w:r>
    </w:p>
    <w:p>
      <w:pPr>
        <w:pStyle w:val="Defstart"/>
      </w:pPr>
      <w:r>
        <w:tab/>
      </w:r>
      <w:r>
        <w:rPr>
          <w:rStyle w:val="CharDefText"/>
        </w:rPr>
        <w:t>MSLA</w:t>
      </w:r>
      <w:r>
        <w:t xml:space="preserve"> means the model service level agreement approved under the </w:t>
      </w:r>
      <w:r>
        <w:rPr>
          <w:i/>
        </w:rPr>
        <w:t xml:space="preserve">Electricity Industry (Metering) Code 2012 </w:t>
      </w:r>
      <w:r>
        <w:t>by the Economic Regulation Authority, as in force from time to time;</w:t>
      </w:r>
    </w:p>
    <w:p>
      <w:pPr>
        <w:pStyle w:val="Defstart"/>
      </w:pPr>
      <w:r>
        <w:rPr>
          <w:b/>
        </w:rPr>
        <w:tab/>
      </w:r>
      <w:r>
        <w:rPr>
          <w:rStyle w:val="CharDefText"/>
        </w:rPr>
        <w:t>off peak</w:t>
      </w:r>
      <w:r>
        <w:t xml:space="preserve"> means any period other than on peak;</w:t>
      </w:r>
    </w:p>
    <w:p>
      <w:pPr>
        <w:pStyle w:val="Defstart"/>
      </w:pPr>
      <w:r>
        <w:rPr>
          <w:b/>
        </w:rPr>
        <w:lastRenderedPageBreak/>
        <w:tab/>
      </w:r>
      <w:r>
        <w:rPr>
          <w:rStyle w:val="CharDefText"/>
        </w:rPr>
        <w:t>on peak</w:t>
      </w:r>
      <w:r>
        <w:t xml:space="preserve"> means the periods between 8.00 a.m. and 10.00 p.m. Monday to Friday;</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Australia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970; 29 Jun 2012 p. 2914; 27 Dec 2013 p. 6477; 22 Aug 2014 p. 3024; 16 Feb 2018 p. 470; 21 Jun 2019 p. 2119.]</w:t>
      </w:r>
    </w:p>
    <w:p>
      <w:pPr>
        <w:pStyle w:val="Ednotesection"/>
      </w:pPr>
      <w:r>
        <w:t>[</w:t>
      </w:r>
      <w:r>
        <w:rPr>
          <w:b/>
          <w:bCs/>
        </w:rPr>
        <w:t>3A.</w:t>
      </w:r>
      <w:r>
        <w:tab/>
        <w:t>Deleted: Gazette 26 Mar 2010 p. 1136.]</w:t>
      </w:r>
    </w:p>
    <w:p>
      <w:pPr>
        <w:pStyle w:val="Ednotesection"/>
      </w:pPr>
      <w:r>
        <w:t>[</w:t>
      </w:r>
      <w:r>
        <w:rPr>
          <w:b/>
          <w:bCs/>
        </w:rPr>
        <w:t>4A.</w:t>
      </w:r>
      <w:r>
        <w:tab/>
        <w:t>Deleted: Gazette 22 Aug 2014 p. 3024.]</w:t>
      </w:r>
    </w:p>
    <w:p>
      <w:pPr>
        <w:pStyle w:val="Heading5"/>
        <w:rPr>
          <w:snapToGrid w:val="0"/>
        </w:rPr>
      </w:pPr>
      <w:bookmarkStart w:id="11" w:name="_Toc42522184"/>
      <w:bookmarkStart w:id="12" w:name="_Toc18064441"/>
      <w:r>
        <w:rPr>
          <w:rStyle w:val="CharSectno"/>
        </w:rPr>
        <w:t>4</w:t>
      </w:r>
      <w:r>
        <w:t>.</w:t>
      </w:r>
      <w:r>
        <w:tab/>
      </w:r>
      <w:r>
        <w:rPr>
          <w:snapToGrid w:val="0"/>
        </w:rPr>
        <w:t>Electricity charges payable by consumers (Sch. 1, Sch. 2)</w:t>
      </w:r>
      <w:bookmarkEnd w:id="11"/>
      <w:bookmarkEnd w:id="12"/>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Gazette 30 Aug 2013 p. 4097-8.]</w:t>
      </w:r>
    </w:p>
    <w:p>
      <w:pPr>
        <w:pStyle w:val="Heading5"/>
      </w:pPr>
      <w:bookmarkStart w:id="13" w:name="_Toc42522185"/>
      <w:bookmarkStart w:id="14" w:name="_Toc18064442"/>
      <w:r>
        <w:rPr>
          <w:rStyle w:val="CharSectno"/>
        </w:rPr>
        <w:t>5</w:t>
      </w:r>
      <w:r>
        <w:t>.</w:t>
      </w:r>
      <w:r>
        <w:tab/>
        <w:t>Residential tariffs, when applicable</w:t>
      </w:r>
      <w:bookmarkEnd w:id="13"/>
      <w:bookmarkEnd w:id="14"/>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15" w:name="_Toc42522186"/>
      <w:bookmarkStart w:id="16" w:name="_Toc18064443"/>
      <w:r>
        <w:rPr>
          <w:rStyle w:val="CharSectno"/>
        </w:rPr>
        <w:t>6</w:t>
      </w:r>
      <w:r>
        <w:t>.</w:t>
      </w:r>
      <w:r>
        <w:tab/>
        <w:t>Subsidiary meters, rental for (Sch. 3)</w:t>
      </w:r>
      <w:bookmarkEnd w:id="15"/>
      <w:bookmarkEnd w:id="16"/>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17" w:name="_Toc42522187"/>
      <w:bookmarkStart w:id="18" w:name="_Toc18064444"/>
      <w:r>
        <w:rPr>
          <w:rStyle w:val="CharSectno"/>
        </w:rPr>
        <w:t>7</w:t>
      </w:r>
      <w:r>
        <w:t>.</w:t>
      </w:r>
      <w:r>
        <w:tab/>
        <w:t>Fees (Sch. 4)</w:t>
      </w:r>
      <w:bookmarkEnd w:id="17"/>
      <w:bookmarkEnd w:id="18"/>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19" w:name="_Toc42522188"/>
      <w:bookmarkStart w:id="20" w:name="_Toc18064445"/>
      <w:r>
        <w:rPr>
          <w:rStyle w:val="CharSectno"/>
        </w:rPr>
        <w:t>8</w:t>
      </w:r>
      <w:r>
        <w:t>.</w:t>
      </w:r>
      <w:r>
        <w:tab/>
        <w:t>When charges payable; interest on unpaid charges</w:t>
      </w:r>
      <w:bookmarkEnd w:id="19"/>
      <w:bookmarkEnd w:id="20"/>
    </w:p>
    <w:p>
      <w:pPr>
        <w:pStyle w:val="Subsection"/>
        <w:keepNext/>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970.]</w:t>
      </w:r>
    </w:p>
    <w:p>
      <w:pPr>
        <w:pStyle w:val="Ednotesection"/>
      </w:pPr>
      <w:r>
        <w:t>[</w:t>
      </w:r>
      <w:r>
        <w:rPr>
          <w:b/>
          <w:bCs/>
        </w:rPr>
        <w:t>9.</w:t>
      </w:r>
      <w:r>
        <w:tab/>
        <w:t>Deleted: Gazette 21 Sep 2012 p. 4424.]</w:t>
      </w:r>
    </w:p>
    <w:p>
      <w:pPr>
        <w:pStyle w:val="Heading5"/>
      </w:pPr>
      <w:bookmarkStart w:id="21" w:name="_Toc42522189"/>
      <w:bookmarkStart w:id="22" w:name="_Toc18064446"/>
      <w:r>
        <w:rPr>
          <w:rStyle w:val="CharSectno"/>
        </w:rPr>
        <w:t>10</w:t>
      </w:r>
      <w:r>
        <w:t>.</w:t>
      </w:r>
      <w:r>
        <w:tab/>
        <w:t>Calculation of charges</w:t>
      </w:r>
      <w:bookmarkEnd w:id="21"/>
      <w:bookmarkEnd w:id="22"/>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w:t>
      </w:r>
      <w:r>
        <w:tab/>
        <w:t>deleted]</w:t>
      </w:r>
    </w:p>
    <w:p>
      <w:pPr>
        <w:pStyle w:val="Footnotesection"/>
      </w:pPr>
      <w:r>
        <w:tab/>
        <w:t>[By</w:t>
      </w:r>
      <w:r>
        <w:noBreakHyphen/>
        <w:t>law 10 amended: Gazette 21 Jun 2019 p. 2120.]</w:t>
      </w:r>
    </w:p>
    <w:p>
      <w:pPr>
        <w:pStyle w:val="Heading5"/>
      </w:pPr>
      <w:bookmarkStart w:id="23" w:name="_Toc42522190"/>
      <w:bookmarkStart w:id="24" w:name="_Toc18064447"/>
      <w:r>
        <w:rPr>
          <w:rStyle w:val="CharSectno"/>
        </w:rPr>
        <w:t>11</w:t>
      </w:r>
      <w:r>
        <w:t>.</w:t>
      </w:r>
      <w:r>
        <w:tab/>
        <w:t>Changes to rate of charges, adjustment for</w:t>
      </w:r>
      <w:bookmarkEnd w:id="23"/>
      <w:bookmarkEnd w:id="24"/>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25" w:name="_Toc42522191"/>
      <w:bookmarkStart w:id="26" w:name="_Toc18064448"/>
      <w:r>
        <w:rPr>
          <w:rStyle w:val="CharSectno"/>
        </w:rPr>
        <w:t>12</w:t>
      </w:r>
      <w:r>
        <w:t>.</w:t>
      </w:r>
      <w:r>
        <w:tab/>
        <w:t>Interest rate prescribed (Act s. 62(16))</w:t>
      </w:r>
      <w:bookmarkEnd w:id="25"/>
      <w:bookmarkEnd w:id="26"/>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970</w:t>
      </w:r>
      <w:r>
        <w:noBreakHyphen/>
        <w:t>1.]</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7" w:name="_Toc42507182"/>
      <w:bookmarkStart w:id="28" w:name="_Toc42522192"/>
      <w:bookmarkStart w:id="29" w:name="_Toc17884470"/>
      <w:bookmarkStart w:id="30" w:name="_Toc17884504"/>
      <w:bookmarkStart w:id="31" w:name="_Toc17885762"/>
      <w:bookmarkStart w:id="32" w:name="_Toc18064449"/>
      <w:r>
        <w:rPr>
          <w:rStyle w:val="CharSchNo"/>
        </w:rPr>
        <w:t>Schedule 1</w:t>
      </w:r>
      <w:r>
        <w:rPr>
          <w:rStyle w:val="CharSDivNo"/>
        </w:rPr>
        <w:t> </w:t>
      </w:r>
      <w:r>
        <w:t>—</w:t>
      </w:r>
      <w:r>
        <w:rPr>
          <w:rStyle w:val="CharSDivText"/>
        </w:rPr>
        <w:t> </w:t>
      </w:r>
      <w:r>
        <w:rPr>
          <w:rStyle w:val="CharSchText"/>
        </w:rPr>
        <w:t>Supply charges</w:t>
      </w:r>
      <w:bookmarkEnd w:id="27"/>
      <w:bookmarkEnd w:id="28"/>
      <w:bookmarkEnd w:id="29"/>
      <w:bookmarkEnd w:id="30"/>
      <w:bookmarkEnd w:id="31"/>
      <w:bookmarkEnd w:id="32"/>
    </w:p>
    <w:p>
      <w:pPr>
        <w:pStyle w:val="yShoulderClause"/>
      </w:pPr>
      <w:r>
        <w:t>[bl. 3, 4(1) and 10(1)]</w:t>
      </w:r>
    </w:p>
    <w:p>
      <w:pPr>
        <w:pStyle w:val="yFootnoteheading"/>
      </w:pPr>
      <w:r>
        <w:tab/>
        <w:t>[Heading inserted: Gazette 21 Jun 2019 p. 2120.]</w:t>
      </w:r>
    </w:p>
    <w:p>
      <w:pPr>
        <w:pStyle w:val="yHeading5"/>
      </w:pPr>
      <w:bookmarkStart w:id="33" w:name="_Toc42522193"/>
      <w:bookmarkStart w:id="34" w:name="_Toc18064450"/>
      <w:r>
        <w:rPr>
          <w:rStyle w:val="CharSClsNo"/>
        </w:rPr>
        <w:t>1</w:t>
      </w:r>
      <w:r>
        <w:t>.</w:t>
      </w:r>
      <w:r>
        <w:tab/>
        <w:t>Tariff L1 (general supply — low/medium voltage tariff)</w:t>
      </w:r>
      <w:bookmarkEnd w:id="33"/>
      <w:bookmarkEnd w:id="34"/>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$1.7789 per day; and</w:t>
      </w:r>
    </w:p>
    <w:p>
      <w:pPr>
        <w:pStyle w:val="yIndenta"/>
      </w:pPr>
      <w:r>
        <w:tab/>
        <w:t>(b)</w:t>
      </w:r>
      <w:r>
        <w:tab/>
        <w:t xml:space="preserve">a charge for metered consumption at the rate of — </w:t>
      </w:r>
    </w:p>
    <w:p>
      <w:pPr>
        <w:pStyle w:val="yIndenti0"/>
      </w:pPr>
      <w:r>
        <w:tab/>
        <w:t>(i)</w:t>
      </w:r>
      <w:r>
        <w:tab/>
        <w:t>27.6823 cents per unit for the first 1 650 units per day; and</w:t>
      </w:r>
    </w:p>
    <w:p>
      <w:pPr>
        <w:pStyle w:val="yIndenti0"/>
      </w:pPr>
      <w:r>
        <w:tab/>
        <w:t>(ii)</w:t>
      </w:r>
      <w:r>
        <w:tab/>
        <w:t>31.2108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r>
        <w:tab/>
        <w:t>[Clause 1 inserted: Gazette 21 Jun 2019 p. 2120.]</w:t>
      </w:r>
    </w:p>
    <w:p>
      <w:pPr>
        <w:pStyle w:val="yHeading5"/>
      </w:pPr>
      <w:bookmarkStart w:id="35" w:name="_Toc42522194"/>
      <w:bookmarkStart w:id="36" w:name="_Toc18064451"/>
      <w:r>
        <w:rPr>
          <w:rStyle w:val="CharSClsNo"/>
        </w:rPr>
        <w:t>2</w:t>
      </w:r>
      <w:r>
        <w:t>.</w:t>
      </w:r>
      <w:r>
        <w:tab/>
        <w:t>Tariff L3 (general supply — low/medium voltage tariff)</w:t>
      </w:r>
      <w:bookmarkEnd w:id="35"/>
      <w:bookmarkEnd w:id="36"/>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$1.9181 per day; and</w:t>
      </w:r>
    </w:p>
    <w:p>
      <w:pPr>
        <w:pStyle w:val="yIndenta"/>
      </w:pPr>
      <w:r>
        <w:tab/>
        <w:t>(b)</w:t>
      </w:r>
      <w:r>
        <w:tab/>
        <w:t xml:space="preserve">a charge for metered consumption at the rate of — </w:t>
      </w:r>
    </w:p>
    <w:p>
      <w:pPr>
        <w:pStyle w:val="yIndenti0"/>
      </w:pPr>
      <w:r>
        <w:tab/>
        <w:t>(i)</w:t>
      </w:r>
      <w:r>
        <w:tab/>
        <w:t>38.9608</w:t>
      </w:r>
      <w:r>
        <w:rPr>
          <w:szCs w:val="22"/>
        </w:rPr>
        <w:t xml:space="preserve"> </w:t>
      </w:r>
      <w:r>
        <w:t>cents per unit for the first 1 650 units per day; and</w:t>
      </w:r>
    </w:p>
    <w:p>
      <w:pPr>
        <w:pStyle w:val="yIndenti0"/>
      </w:pPr>
      <w:r>
        <w:tab/>
        <w:t>(ii)</w:t>
      </w:r>
      <w:r>
        <w:tab/>
        <w:t>33</w:t>
      </w:r>
      <w:r>
        <w:rPr>
          <w:szCs w:val="22"/>
        </w:rPr>
        <w:t xml:space="preserve">.0594 </w:t>
      </w:r>
      <w:r>
        <w:t>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pPr>
      <w:r>
        <w:tab/>
        <w:t>[Clause 2 inserted: Gazette 21 Jun 2019 p. 2120.]</w:t>
      </w:r>
    </w:p>
    <w:p>
      <w:pPr>
        <w:pStyle w:val="yHeading5"/>
      </w:pPr>
      <w:bookmarkStart w:id="37" w:name="_Toc42522195"/>
      <w:bookmarkStart w:id="38" w:name="_Toc18064452"/>
      <w:r>
        <w:rPr>
          <w:rStyle w:val="CharSClsNo"/>
        </w:rPr>
        <w:t>3</w:t>
      </w:r>
      <w:r>
        <w:t>.</w:t>
      </w:r>
      <w:r>
        <w:tab/>
        <w:t>Tariff R1 (time</w:t>
      </w:r>
      <w:r>
        <w:noBreakHyphen/>
        <w:t>of</w:t>
      </w:r>
      <w:r>
        <w:noBreakHyphen/>
        <w:t>use tariff)</w:t>
      </w:r>
      <w:bookmarkEnd w:id="37"/>
      <w:bookmarkEnd w:id="38"/>
    </w:p>
    <w:p>
      <w:pPr>
        <w:pStyle w:val="ySubsection"/>
      </w:pPr>
      <w:r>
        <w:tab/>
        <w:t>(1)</w:t>
      </w:r>
      <w:r>
        <w:tab/>
        <w:t>Tariff R1 comprises —</w:t>
      </w:r>
    </w:p>
    <w:p>
      <w:pPr>
        <w:pStyle w:val="yIndenta"/>
      </w:pPr>
      <w:r>
        <w:tab/>
        <w:t>(a)</w:t>
      </w:r>
      <w:r>
        <w:tab/>
        <w:t>a fixed charge at the rate of $3.3785 per day; and</w:t>
      </w:r>
    </w:p>
    <w:p>
      <w:pPr>
        <w:pStyle w:val="yIndenta"/>
      </w:pPr>
      <w:r>
        <w:tab/>
        <w:t>(b)</w:t>
      </w:r>
      <w:r>
        <w:tab/>
        <w:t>an energy charge consisting of — </w:t>
      </w:r>
    </w:p>
    <w:p>
      <w:pPr>
        <w:pStyle w:val="yIndenti0"/>
      </w:pPr>
      <w:r>
        <w:tab/>
        <w:t>(i)</w:t>
      </w:r>
      <w:r>
        <w:tab/>
        <w:t>an on peak energy charge at the rate of 36.6419 cents per unit; and</w:t>
      </w:r>
    </w:p>
    <w:p>
      <w:pPr>
        <w:pStyle w:val="yIndenti0"/>
      </w:pPr>
      <w:r>
        <w:tab/>
        <w:t>(ii)</w:t>
      </w:r>
      <w:r>
        <w:tab/>
        <w:t>an off peak energy charge at the rate of 10.9926 cents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9;</w:t>
      </w:r>
    </w:p>
    <w:p>
      <w:pPr>
        <w:pStyle w:val="yIndenta"/>
      </w:pPr>
      <w:r>
        <w:tab/>
        <w:t>(c)</w:t>
      </w:r>
      <w:r>
        <w:tab/>
        <w:t>the consumer satisfies the corporation that the amount of electricity supplied to the consumer’s premises will be less than 50 MW hours per annum.</w:t>
      </w:r>
    </w:p>
    <w:p>
      <w:pPr>
        <w:pStyle w:val="yFootnotesection"/>
      </w:pPr>
      <w:r>
        <w:tab/>
        <w:t>[Clause 3 inserted: Gazette 21 Jun 2019 p. 2120</w:t>
      </w:r>
      <w:r>
        <w:noBreakHyphen/>
        <w:t>1.]</w:t>
      </w:r>
    </w:p>
    <w:p>
      <w:pPr>
        <w:pStyle w:val="yHeading5"/>
      </w:pPr>
      <w:bookmarkStart w:id="39" w:name="_Toc42522196"/>
      <w:bookmarkStart w:id="40" w:name="_Toc18064453"/>
      <w:r>
        <w:rPr>
          <w:rStyle w:val="CharSClsNo"/>
        </w:rPr>
        <w:t>4</w:t>
      </w:r>
      <w:r>
        <w:t>.</w:t>
      </w:r>
      <w:r>
        <w:tab/>
        <w:t>Tariff R3 (time</w:t>
      </w:r>
      <w:r>
        <w:noBreakHyphen/>
        <w:t>of</w:t>
      </w:r>
      <w:r>
        <w:noBreakHyphen/>
        <w:t>use tariff)</w:t>
      </w:r>
      <w:bookmarkEnd w:id="39"/>
      <w:bookmarkEnd w:id="40"/>
    </w:p>
    <w:p>
      <w:pPr>
        <w:pStyle w:val="ySubsection"/>
      </w:pPr>
      <w:r>
        <w:tab/>
        <w:t>(1)</w:t>
      </w:r>
      <w:r>
        <w:tab/>
        <w:t>Tariff R3 comprises —</w:t>
      </w:r>
    </w:p>
    <w:p>
      <w:pPr>
        <w:pStyle w:val="yIndenta"/>
      </w:pPr>
      <w:r>
        <w:tab/>
        <w:t>(a)</w:t>
      </w:r>
      <w:r>
        <w:tab/>
        <w:t xml:space="preserve">a fixed charge at the rate of </w:t>
      </w:r>
      <w:r>
        <w:rPr>
          <w:szCs w:val="22"/>
        </w:rPr>
        <w:t>$3.6155</w:t>
      </w:r>
      <w:r>
        <w:t xml:space="preserve"> per day; and</w:t>
      </w:r>
    </w:p>
    <w:p>
      <w:pPr>
        <w:pStyle w:val="yIndenta"/>
      </w:pPr>
      <w:r>
        <w:tab/>
        <w:t>(b)</w:t>
      </w:r>
      <w:r>
        <w:tab/>
        <w:t>an energy charge consisting of — </w:t>
      </w:r>
    </w:p>
    <w:p>
      <w:pPr>
        <w:pStyle w:val="yIndenti0"/>
      </w:pPr>
      <w:r>
        <w:tab/>
        <w:t>(i)</w:t>
      </w:r>
      <w:r>
        <w:tab/>
        <w:t xml:space="preserve">an on peak energy charge at the rate of </w:t>
      </w:r>
      <w:r>
        <w:rPr>
          <w:szCs w:val="22"/>
        </w:rPr>
        <w:t xml:space="preserve">52.7370 </w:t>
      </w:r>
      <w:r>
        <w:t>cents per unit; and</w:t>
      </w:r>
    </w:p>
    <w:p>
      <w:pPr>
        <w:pStyle w:val="yIndenti0"/>
      </w:pPr>
      <w:r>
        <w:tab/>
        <w:t>(ii)</w:t>
      </w:r>
      <w:r>
        <w:tab/>
        <w:t xml:space="preserve">an off peak energy charge at the rate of </w:t>
      </w:r>
      <w:r>
        <w:rPr>
          <w:szCs w:val="22"/>
        </w:rPr>
        <w:t xml:space="preserve">15.8422 </w:t>
      </w:r>
      <w:r>
        <w:t>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9;</w:t>
      </w:r>
    </w:p>
    <w:p>
      <w:pPr>
        <w:pStyle w:val="yIndenta"/>
        <w:keepNext/>
      </w:pPr>
      <w:r>
        <w:tab/>
        <w:t>(c)</w:t>
      </w:r>
      <w:r>
        <w:tab/>
        <w:t>the consumer satisfies the corporation that the amount of electricity supplied to the consumer’s premises will be 50 MW hours or more per annum.</w:t>
      </w:r>
    </w:p>
    <w:p>
      <w:pPr>
        <w:pStyle w:val="yFootnotesection"/>
      </w:pPr>
      <w:r>
        <w:tab/>
        <w:t>[Clause 4 inserted: Gazette 21 Jun 2019 p. 2121.]</w:t>
      </w:r>
    </w:p>
    <w:p>
      <w:pPr>
        <w:pStyle w:val="yHeading5"/>
      </w:pPr>
      <w:bookmarkStart w:id="41" w:name="_Toc42522197"/>
      <w:bookmarkStart w:id="42" w:name="_Toc18064454"/>
      <w:r>
        <w:rPr>
          <w:rStyle w:val="CharSClsNo"/>
        </w:rPr>
        <w:t>5</w:t>
      </w:r>
      <w:r>
        <w:t>.</w:t>
      </w:r>
      <w:r>
        <w:tab/>
        <w:t>Standby charges</w:t>
      </w:r>
      <w:bookmarkEnd w:id="41"/>
      <w:bookmarkEnd w:id="42"/>
    </w:p>
    <w:p>
      <w:pPr>
        <w:pStyle w:val="ySubsection"/>
      </w:pPr>
      <w:r>
        <w:tab/>
        <w:t>(1)</w:t>
      </w:r>
      <w:r>
        <w:tab/>
        <w:t>Standby charges are applicable to consumers with their own generation and supplied on Tariff L1, L3, R1 or R3 and are payable in addition to those tariffs.</w:t>
      </w:r>
    </w:p>
    <w:p>
      <w:pPr>
        <w:pStyle w:val="ySubsection"/>
      </w:pPr>
      <w:r>
        <w:tab/>
        <w:t>(2)</w:t>
      </w:r>
      <w:r>
        <w:tab/>
        <w:t>In the case of Tariff L1, L3, R1 or R3, the standby charge is 5.72 cents per day per kW based on the difference between total half</w:t>
      </w:r>
      <w:r>
        <w:noBreakHyphen/>
        <w:t>hourly maximum demand and normal half</w:t>
      </w:r>
      <w:r>
        <w:noBreakHyphen/>
        <w:t>hourly maximum demand.</w:t>
      </w:r>
    </w:p>
    <w:p>
      <w:pPr>
        <w:pStyle w:val="ySubsection"/>
      </w:pPr>
      <w:r>
        <w:tab/>
        <w:t>(3)</w:t>
      </w:r>
      <w:r>
        <w:tab/>
        <w:t>The normal half</w:t>
      </w:r>
      <w:r>
        <w:noBreakHyphen/>
        <w:t>hourly maximum demand is to be assessed by the corporation and is to be based on loading normally supplied from the corporation’s supply.</w:t>
      </w:r>
    </w:p>
    <w:p>
      <w:pPr>
        <w:pStyle w:val="ySubsection"/>
      </w:pPr>
      <w:r>
        <w:tab/>
        <w:t>(4)</w:t>
      </w:r>
      <w:r>
        <w:tab/>
        <w:t>Notwithstanding the corporation’s assessment, in any accounting period the normal half</w:t>
      </w:r>
      <w:r>
        <w:noBreakHyphen/>
        <w:t>hourly maximum demand is taken to be not less than — </w:t>
      </w:r>
    </w:p>
    <w:p>
      <w:pPr>
        <w:pStyle w:val="ySubsection"/>
      </w:pPr>
      <m:oMathPara>
        <m:oMath>
          <m:f>
            <m:fPr>
              <m:ctrlPr>
                <w:rPr>
                  <w:rFonts w:ascii="Cambria Math" w:hAnsi="Cambria Math"/>
                  <w:i/>
                </w:rPr>
              </m:ctrlPr>
            </m:fPr>
            <m:num>
              <m:r>
                <m:rPr>
                  <m:sty m:val="p"/>
                </m:rPr>
                <w:rPr>
                  <w:rFonts w:ascii="Cambria Math" w:hAnsi="Cambria Math"/>
                </w:rPr>
                <m:t>kWh registered for the accounting period</m:t>
              </m:r>
            </m:num>
            <m:den>
              <m:r>
                <m:rPr>
                  <m:sty m:val="p"/>
                </m:rPr>
                <w:rPr>
                  <w:rFonts w:ascii="Cambria Math" w:hAnsi="Cambria Math"/>
                </w:rPr>
                <m:t>24 ×</m:t>
              </m:r>
              <m:d>
                <m:dPr>
                  <m:ctrlPr>
                    <w:rPr>
                      <w:rFonts w:ascii="Cambria Math" w:hAnsi="Cambria Math"/>
                    </w:rPr>
                  </m:ctrlPr>
                </m:dPr>
                <m:e>
                  <m:r>
                    <m:rPr>
                      <m:sty m:val="p"/>
                    </m:rPr>
                    <w:rPr>
                      <w:rFonts w:ascii="Cambria Math" w:hAnsi="Cambria Math"/>
                    </w:rPr>
                    <m:t>number of days in the accounting period</m:t>
                  </m:r>
                </m:e>
              </m:d>
              <m:r>
                <w:rPr>
                  <w:rFonts w:ascii="Cambria Math" w:hAnsi="Cambria Math"/>
                </w:rPr>
                <m:t xml:space="preserve"> ×0.4</m:t>
              </m:r>
            </m:den>
          </m:f>
        </m:oMath>
      </m:oMathPara>
    </w:p>
    <w:p>
      <w:pPr>
        <w:pStyle w:val="ySubsection"/>
      </w:pPr>
      <w:r>
        <w:tab/>
        <w:t>(5)</w:t>
      </w:r>
      <w:r>
        <w:tab/>
        <w:t>The total half</w:t>
      </w:r>
      <w:r>
        <w:noBreakHyphen/>
        <w:t>hourly maximum demand is to be assessed by the corporation as the consumer’s expected half</w:t>
      </w:r>
      <w:r>
        <w:noBreakHyphen/>
        <w:t>hourly minimum demand on the corporation’s system without the consumer’s generation equipment in operation.</w:t>
      </w:r>
    </w:p>
    <w:p>
      <w:pPr>
        <w:pStyle w:val="ySubsection"/>
      </w:pPr>
      <w:r>
        <w:tab/>
        <w:t>(6)</w:t>
      </w:r>
      <w:r>
        <w:tab/>
        <w:t>The difference between total half</w:t>
      </w:r>
      <w:r>
        <w:noBreakHyphen/>
        <w:t>hourly maximum demand and normal half</w:t>
      </w:r>
      <w:r>
        <w:noBreakHyphen/>
        <w:t>hourly maximum demand is not to exceed —</w:t>
      </w:r>
    </w:p>
    <w:p>
      <w:pPr>
        <w:pStyle w:val="yIndenta"/>
      </w:pPr>
      <w:r>
        <w:tab/>
        <w:t>(a)</w:t>
      </w:r>
      <w:r>
        <w:tab/>
        <w:t>the capacity of the consumer’s generation equipment; or</w:t>
      </w:r>
    </w:p>
    <w:p>
      <w:pPr>
        <w:pStyle w:val="yIndenta"/>
      </w:pPr>
      <w:r>
        <w:tab/>
        <w:t>(b)</w:t>
      </w:r>
      <w:r>
        <w:tab/>
        <w:t>the expected maximum loading of such generation equipment, as assessed by the corporation.</w:t>
      </w:r>
    </w:p>
    <w:p>
      <w:pPr>
        <w:pStyle w:val="ySubsection"/>
        <w:keepNext/>
      </w:pPr>
      <w:r>
        <w:tab/>
        <w:t>(7)</w:t>
      </w:r>
      <w:r>
        <w:tab/>
        <w:t xml:space="preserve">The provision of a standby service is subject to the following conditions — </w:t>
      </w:r>
    </w:p>
    <w:p>
      <w:pPr>
        <w:pStyle w:val="yIndenta"/>
      </w:pPr>
      <w:r>
        <w:tab/>
        <w:t>(a)</w:t>
      </w:r>
      <w:r>
        <w:tab/>
        <w:t>the consumer must pay for the cost of all additional mains and equipment necessary to provide the standby service;</w:t>
      </w:r>
    </w:p>
    <w:p>
      <w:pPr>
        <w:pStyle w:val="yIndenta"/>
      </w:pPr>
      <w:r>
        <w:tab/>
        <w:t>(b)</w:t>
      </w:r>
      <w:r>
        <w:tab/>
        <w:t>the standby service agreement must be for a minimum period of 12 months;</w:t>
      </w:r>
    </w:p>
    <w:p>
      <w:pPr>
        <w:pStyle w:val="yIndenta"/>
      </w:pPr>
      <w:r>
        <w:tab/>
        <w:t>(c)</w:t>
      </w:r>
      <w:r>
        <w:tab/>
        <w:t>the consumer must give 6 months’ notice in writing to the corporation of intention to terminate the standby service agreement.</w:t>
      </w:r>
    </w:p>
    <w:p>
      <w:pPr>
        <w:pStyle w:val="yFootnotesection"/>
      </w:pPr>
      <w:r>
        <w:tab/>
        <w:t>[Clause 5 inserted: Gazette 21 Jun 2019 p. 2121</w:t>
      </w:r>
      <w:r>
        <w:noBreakHyphen/>
        <w:t>2.]</w:t>
      </w:r>
    </w:p>
    <w:p>
      <w:pPr>
        <w:pStyle w:val="yHeading5"/>
      </w:pPr>
      <w:bookmarkStart w:id="43" w:name="_Toc42522198"/>
      <w:bookmarkStart w:id="44" w:name="_Toc18064455"/>
      <w:r>
        <w:rPr>
          <w:rStyle w:val="CharSClsNo"/>
        </w:rPr>
        <w:t>6</w:t>
      </w:r>
      <w:r>
        <w:t>.</w:t>
      </w:r>
      <w:r>
        <w:tab/>
        <w:t>Tariff A1 (residential tariff)</w:t>
      </w:r>
      <w:bookmarkEnd w:id="43"/>
      <w:bookmarkEnd w:id="44"/>
    </w:p>
    <w:p>
      <w:pPr>
        <w:pStyle w:val="ySubsection"/>
      </w:pPr>
      <w:r>
        <w:tab/>
        <w:t>(1)</w:t>
      </w:r>
      <w:r>
        <w:tab/>
        <w:t>Tariff A1 is available for residential use only.</w:t>
      </w:r>
    </w:p>
    <w:p>
      <w:pPr>
        <w:pStyle w:val="ySubsection"/>
      </w:pPr>
      <w:r>
        <w:tab/>
        <w:t>(2)</w:t>
      </w:r>
      <w:r>
        <w:tab/>
        <w:t xml:space="preserve">Tariff A1 comprises — </w:t>
      </w:r>
    </w:p>
    <w:p>
      <w:pPr>
        <w:pStyle w:val="yIndenta"/>
      </w:pPr>
      <w:r>
        <w:tab/>
        <w:t>(a)</w:t>
      </w:r>
      <w:r>
        <w:tab/>
        <w:t>a fixed charge at the rate of $1.0333 per day or, for multiple dwellings supplied through 1 metered supply point, a fixed charge at the rate of —</w:t>
      </w:r>
    </w:p>
    <w:p>
      <w:pPr>
        <w:pStyle w:val="yIndenti0"/>
      </w:pPr>
      <w:r>
        <w:tab/>
        <w:t>(i)</w:t>
      </w:r>
      <w:r>
        <w:tab/>
        <w:t>$1.0333 per day for the first dwelling; and</w:t>
      </w:r>
    </w:p>
    <w:p>
      <w:pPr>
        <w:pStyle w:val="yIndenti0"/>
      </w:pPr>
      <w:r>
        <w:tab/>
        <w:t>(ii)</w:t>
      </w:r>
      <w:r>
        <w:tab/>
        <w:t>41.0828 cents per day for each additional dwelling;</w:t>
      </w:r>
    </w:p>
    <w:p>
      <w:pPr>
        <w:pStyle w:val="yIndenta"/>
      </w:pPr>
      <w:r>
        <w:tab/>
      </w:r>
      <w:r>
        <w:tab/>
        <w:t>and</w:t>
      </w:r>
    </w:p>
    <w:p>
      <w:pPr>
        <w:pStyle w:val="yIndenta"/>
      </w:pPr>
      <w:r>
        <w:tab/>
        <w:t>(b)</w:t>
      </w:r>
      <w:r>
        <w:tab/>
        <w:t>a charge for metered consumption at the rate of 28.8229 cents per unit.</w:t>
      </w:r>
    </w:p>
    <w:p>
      <w:pPr>
        <w:pStyle w:val="yFootnotesection"/>
      </w:pPr>
      <w:r>
        <w:tab/>
        <w:t>[Clause 6 inserted: Gazette 21 Jun 2019 p. 2122.]</w:t>
      </w:r>
    </w:p>
    <w:p>
      <w:pPr>
        <w:pStyle w:val="yHeading5"/>
      </w:pPr>
      <w:bookmarkStart w:id="45" w:name="_Toc42522199"/>
      <w:bookmarkStart w:id="46" w:name="_Toc18064456"/>
      <w:r>
        <w:rPr>
          <w:rStyle w:val="CharSClsNo"/>
        </w:rPr>
        <w:t>7</w:t>
      </w:r>
      <w:r>
        <w:t>.</w:t>
      </w:r>
      <w:r>
        <w:tab/>
        <w:t>Tariff B1 (residential water heating tariff)</w:t>
      </w:r>
      <w:bookmarkEnd w:id="45"/>
      <w:bookmarkEnd w:id="46"/>
    </w:p>
    <w:p>
      <w:pPr>
        <w:pStyle w:val="ySubsection"/>
      </w:pPr>
      <w:r>
        <w:tab/>
        <w:t>(1)</w:t>
      </w:r>
      <w:r>
        <w:tab/>
        <w:t>Tariff B1 is available for residential water heating during a 6 hour period between the hours of 11.00 pm and 6.00 am for installations approved by the corporation.  Other single phase hardwired appliances may be connected in conjunction with the water heater.</w:t>
      </w:r>
    </w:p>
    <w:p>
      <w:pPr>
        <w:pStyle w:val="ySubsection"/>
      </w:pPr>
      <w:r>
        <w:tab/>
        <w:t>(2)</w:t>
      </w:r>
      <w:r>
        <w:tab/>
        <w:t xml:space="preserve">Tariff B1 comprises — </w:t>
      </w:r>
    </w:p>
    <w:p>
      <w:pPr>
        <w:pStyle w:val="yIndenta"/>
      </w:pPr>
      <w:r>
        <w:tab/>
        <w:t>(a)</w:t>
      </w:r>
      <w:r>
        <w:tab/>
        <w:t>a fixed charge at the rate of 21.4277 cents per day or, for multiple dwellings supplied through 1 metered supply point, a fixed charge at the rate of 21.4277 cents per day for each dwelling; and</w:t>
      </w:r>
    </w:p>
    <w:p>
      <w:pPr>
        <w:pStyle w:val="yIndenta"/>
      </w:pPr>
      <w:r>
        <w:tab/>
        <w:t>(b)</w:t>
      </w:r>
      <w:r>
        <w:tab/>
        <w:t>a charge for metered consumption at the rate of 11.8375 cents per unit.</w:t>
      </w:r>
    </w:p>
    <w:p>
      <w:pPr>
        <w:pStyle w:val="yFootnotesection"/>
      </w:pPr>
      <w:r>
        <w:tab/>
        <w:t>[Clause 7 inserted: Gazette 21 Jun 2019 p. 2122.]</w:t>
      </w:r>
    </w:p>
    <w:p>
      <w:pPr>
        <w:pStyle w:val="yHeading5"/>
      </w:pPr>
      <w:bookmarkStart w:id="47" w:name="_Toc42522200"/>
      <w:bookmarkStart w:id="48" w:name="_Toc18064457"/>
      <w:r>
        <w:rPr>
          <w:rStyle w:val="CharSClsNo"/>
        </w:rPr>
        <w:t>8</w:t>
      </w:r>
      <w:r>
        <w:t>.</w:t>
      </w:r>
      <w:r>
        <w:tab/>
        <w:t>Tariff C1 (special community service tariff)</w:t>
      </w:r>
      <w:bookmarkEnd w:id="47"/>
      <w:bookmarkEnd w:id="48"/>
    </w:p>
    <w:p>
      <w:pPr>
        <w:pStyle w:val="ySubsection"/>
      </w:pPr>
      <w:r>
        <w:tab/>
        <w:t>(1)</w:t>
      </w:r>
      <w:r>
        <w:tab/>
        <w:t>Tariff 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a fixed charge at the rate of 97.2784 cents per day; and</w:t>
      </w:r>
    </w:p>
    <w:p>
      <w:pPr>
        <w:pStyle w:val="yIndenta"/>
      </w:pPr>
      <w:r>
        <w:tab/>
        <w:t>(b)</w:t>
      </w:r>
      <w:r>
        <w:tab/>
        <w:t xml:space="preserve">a charge for metered consumption at the rate of — </w:t>
      </w:r>
    </w:p>
    <w:p>
      <w:pPr>
        <w:pStyle w:val="yIndenti0"/>
      </w:pPr>
      <w:r>
        <w:tab/>
        <w:t>(i)</w:t>
      </w:r>
      <w:r>
        <w:tab/>
        <w:t>22.7276 cents per unit for the first 20 units per day; and</w:t>
      </w:r>
    </w:p>
    <w:p>
      <w:pPr>
        <w:pStyle w:val="yIndenti0"/>
      </w:pPr>
      <w:r>
        <w:tab/>
        <w:t>(ii)</w:t>
      </w:r>
      <w:r>
        <w:tab/>
        <w:t>24.2488 cents per unit for the next 1 630 units per day; and</w:t>
      </w:r>
    </w:p>
    <w:p>
      <w:pPr>
        <w:pStyle w:val="yIndenti0"/>
      </w:pPr>
      <w:r>
        <w:tab/>
        <w:t>(iii)</w:t>
      </w:r>
      <w:r>
        <w:tab/>
        <w:t>23.1299 cents per unit for all units exceeding 1 650 units per day.</w:t>
      </w:r>
    </w:p>
    <w:p>
      <w:pPr>
        <w:pStyle w:val="ySubsection"/>
      </w:pPr>
      <w:r>
        <w:tab/>
        <w:t>(3)</w:t>
      </w:r>
      <w:r>
        <w:tab/>
        <w:t xml:space="preserve">Tariff C1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keepNext/>
      </w:pPr>
      <w:r>
        <w:tab/>
        <w:t>(4)</w:t>
      </w:r>
      <w:r>
        <w:tab/>
        <w:t>A consumer seeking supply under Tariff C1 must make an application to the corporation in writing accompanied by evidence which clearly demonstrates that the consumer meets all the conditions listed in subclause (3).</w:t>
      </w:r>
    </w:p>
    <w:p>
      <w:pPr>
        <w:pStyle w:val="yFootnotesection"/>
      </w:pPr>
      <w:r>
        <w:tab/>
        <w:t>[Clause 8 inserted: Gazette 21 Jun 2019 p. 2122</w:t>
      </w:r>
      <w:r>
        <w:noBreakHyphen/>
        <w:t>3.]</w:t>
      </w:r>
    </w:p>
    <w:p>
      <w:pPr>
        <w:pStyle w:val="yHeading5"/>
      </w:pPr>
      <w:bookmarkStart w:id="49" w:name="_Toc42522201"/>
      <w:bookmarkStart w:id="50" w:name="_Toc18064458"/>
      <w:r>
        <w:rPr>
          <w:rStyle w:val="CharSClsNo"/>
        </w:rPr>
        <w:t>9</w:t>
      </w:r>
      <w:r>
        <w:t>.</w:t>
      </w:r>
      <w:r>
        <w:tab/>
        <w:t>Tariff D1 (special tariff for certain premises)</w:t>
      </w:r>
      <w:bookmarkEnd w:id="49"/>
      <w:bookmarkEnd w:id="50"/>
    </w:p>
    <w:p>
      <w:pPr>
        <w:pStyle w:val="ySubsection"/>
      </w:pPr>
      <w:r>
        <w:tab/>
        <w:t>(1)</w:t>
      </w:r>
      <w:r>
        <w:tab/>
        <w:t>Tariff D1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a fixed charge at the rate of 96.6141 cents per day; and</w:t>
      </w:r>
    </w:p>
    <w:p>
      <w:pPr>
        <w:pStyle w:val="yIndenta"/>
      </w:pPr>
      <w:r>
        <w:tab/>
        <w:t>(b)</w:t>
      </w:r>
      <w:r>
        <w:tab/>
        <w:t>if under subclause (3) there is deemed to be more than 1 equivalent domestic residence in the premises, a charge of 35.8181 cents per day for each equivalent domestic residence except the first that is deemed to be in the premises; and</w:t>
      </w:r>
    </w:p>
    <w:p>
      <w:pPr>
        <w:pStyle w:val="yIndenta"/>
      </w:pPr>
      <w:r>
        <w:tab/>
        <w:t>(c)</w:t>
      </w:r>
      <w:r>
        <w:tab/>
        <w:t>a charge for metered consumption at the rate of 24.5458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9 inserted: Gazette 21 Jun 2019 p. 2123</w:t>
      </w:r>
      <w:r>
        <w:noBreakHyphen/>
        <w:t>4.]</w:t>
      </w:r>
    </w:p>
    <w:p>
      <w:pPr>
        <w:pStyle w:val="yHeading5"/>
      </w:pPr>
      <w:bookmarkStart w:id="51" w:name="_Toc42522202"/>
      <w:bookmarkStart w:id="52" w:name="_Toc18064459"/>
      <w:r>
        <w:rPr>
          <w:rStyle w:val="CharSClsNo"/>
        </w:rPr>
        <w:t>10</w:t>
      </w:r>
      <w:r>
        <w:t>.</w:t>
      </w:r>
      <w:r>
        <w:tab/>
        <w:t>Tariff K1 (general supply with residential tariff)</w:t>
      </w:r>
      <w:bookmarkEnd w:id="51"/>
      <w:bookmarkEnd w:id="52"/>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a fixed charge at the rate of $1.7686 per day; and</w:t>
      </w:r>
    </w:p>
    <w:p>
      <w:pPr>
        <w:pStyle w:val="yIndenta"/>
      </w:pPr>
      <w:r>
        <w:tab/>
        <w:t>(b)</w:t>
      </w:r>
      <w:r>
        <w:tab/>
        <w:t>a charge for metered consumption at the rate of —</w:t>
      </w:r>
    </w:p>
    <w:p>
      <w:pPr>
        <w:pStyle w:val="yIndenti0"/>
      </w:pPr>
      <w:r>
        <w:tab/>
        <w:t>(i)</w:t>
      </w:r>
      <w:r>
        <w:tab/>
        <w:t>29.2053 cents per unit for the first 20 units per day; and</w:t>
      </w:r>
    </w:p>
    <w:p>
      <w:pPr>
        <w:pStyle w:val="yIndenti0"/>
      </w:pPr>
      <w:r>
        <w:tab/>
        <w:t>(ii)</w:t>
      </w:r>
      <w:r>
        <w:tab/>
        <w:t>27.5221 cents per unit for the next 1 630 units per day; and</w:t>
      </w:r>
    </w:p>
    <w:p>
      <w:pPr>
        <w:pStyle w:val="yIndenti0"/>
      </w:pPr>
      <w:r>
        <w:tab/>
        <w:t>(iii)</w:t>
      </w:r>
      <w:r>
        <w:tab/>
        <w:t>31.0302 cents per unit for all units exceeding 1 650 units per day.</w:t>
      </w:r>
    </w:p>
    <w:p>
      <w:pPr>
        <w:pStyle w:val="yFootnotesection"/>
      </w:pPr>
      <w:r>
        <w:tab/>
        <w:t>[Clause 10 inserted: Gazette 21 Jun 2019 p. 2124.]</w:t>
      </w:r>
    </w:p>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54" w:name="_Toc42507193"/>
      <w:bookmarkStart w:id="55" w:name="_Toc42522203"/>
      <w:bookmarkStart w:id="56" w:name="_Toc17884481"/>
      <w:bookmarkStart w:id="57" w:name="_Toc17884515"/>
      <w:bookmarkStart w:id="58" w:name="_Toc17885773"/>
      <w:bookmarkStart w:id="59" w:name="_Toc18064460"/>
      <w:r>
        <w:rPr>
          <w:rStyle w:val="CharSchNo"/>
        </w:rPr>
        <w:t>Schedule 2</w:t>
      </w:r>
      <w:r>
        <w:t> — </w:t>
      </w:r>
      <w:r>
        <w:rPr>
          <w:rStyle w:val="CharSchText"/>
        </w:rPr>
        <w:t>Unmetered supply</w:t>
      </w:r>
      <w:bookmarkEnd w:id="54"/>
      <w:bookmarkEnd w:id="55"/>
      <w:bookmarkEnd w:id="56"/>
      <w:bookmarkEnd w:id="57"/>
      <w:bookmarkEnd w:id="58"/>
      <w:bookmarkEnd w:id="59"/>
    </w:p>
    <w:p>
      <w:pPr>
        <w:pStyle w:val="yShoulderClause"/>
      </w:pPr>
      <w:r>
        <w:t>[bl. 4(2) and (3)]</w:t>
      </w:r>
    </w:p>
    <w:p>
      <w:pPr>
        <w:pStyle w:val="yFootnoteheading"/>
      </w:pPr>
      <w:r>
        <w:tab/>
        <w:t>[Heading inserted: Gazette 21 Jun 2019 p. 2124.]</w:t>
      </w:r>
    </w:p>
    <w:p>
      <w:pPr>
        <w:pStyle w:val="yHeading3"/>
      </w:pPr>
      <w:bookmarkStart w:id="60" w:name="_Toc42507194"/>
      <w:bookmarkStart w:id="61" w:name="_Toc42522204"/>
      <w:bookmarkStart w:id="62" w:name="_Toc17884482"/>
      <w:bookmarkStart w:id="63" w:name="_Toc17884516"/>
      <w:bookmarkStart w:id="64" w:name="_Toc17885774"/>
      <w:bookmarkStart w:id="65" w:name="_Toc18064461"/>
      <w:r>
        <w:rPr>
          <w:rStyle w:val="CharSDivNo"/>
        </w:rPr>
        <w:t>Division 1</w:t>
      </w:r>
      <w:r>
        <w:rPr>
          <w:b w:val="0"/>
        </w:rPr>
        <w:t> — </w:t>
      </w:r>
      <w:r>
        <w:rPr>
          <w:rStyle w:val="CharSDivText"/>
        </w:rPr>
        <w:t>Street lighting</w:t>
      </w:r>
      <w:bookmarkEnd w:id="60"/>
      <w:bookmarkEnd w:id="61"/>
      <w:bookmarkEnd w:id="62"/>
      <w:bookmarkEnd w:id="63"/>
      <w:bookmarkEnd w:id="64"/>
      <w:bookmarkEnd w:id="65"/>
    </w:p>
    <w:p>
      <w:pPr>
        <w:pStyle w:val="yFootnoteheading"/>
      </w:pPr>
      <w:r>
        <w:tab/>
        <w:t>[Heading inserted: Gazette 21 Jun 2019 p. 2124.]</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1114"/>
        <w:gridCol w:w="14"/>
        <w:gridCol w:w="14"/>
        <w:gridCol w:w="1362"/>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1142" w:type="dxa"/>
            <w:gridSpan w:val="3"/>
            <w:tcBorders>
              <w:top w:val="single" w:sz="4" w:space="0" w:color="auto"/>
              <w:bottom w:val="single" w:sz="4" w:space="0" w:color="auto"/>
            </w:tcBorders>
          </w:tcPr>
          <w:p>
            <w:pPr>
              <w:pStyle w:val="yTableNAm"/>
            </w:pPr>
            <w:r>
              <w:rPr>
                <w:b/>
                <w:bCs/>
                <w:sz w:val="16"/>
                <w:szCs w:val="16"/>
              </w:rPr>
              <w:t>Type</w:t>
            </w:r>
          </w:p>
        </w:tc>
        <w:tc>
          <w:tcPr>
            <w:tcW w:w="1362" w:type="dxa"/>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8"/>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8"/>
                <w:szCs w:val="18"/>
              </w:rPr>
              <w:t>Z.01</w:t>
            </w:r>
          </w:p>
        </w:tc>
        <w:tc>
          <w:tcPr>
            <w:tcW w:w="851" w:type="dxa"/>
          </w:tcPr>
          <w:p>
            <w:pPr>
              <w:pStyle w:val="yTableNAm"/>
            </w:pPr>
            <w:r>
              <w:rPr>
                <w:sz w:val="18"/>
                <w:szCs w:val="18"/>
              </w:rPr>
              <w:t>50</w:t>
            </w:r>
          </w:p>
        </w:tc>
        <w:tc>
          <w:tcPr>
            <w:tcW w:w="1128" w:type="dxa"/>
            <w:gridSpan w:val="2"/>
          </w:tcPr>
          <w:p>
            <w:pPr>
              <w:pStyle w:val="yTableNAm"/>
            </w:pPr>
            <w:r>
              <w:rPr>
                <w:sz w:val="18"/>
                <w:szCs w:val="18"/>
              </w:rPr>
              <w:t>Mercury Vapour</w:t>
            </w:r>
          </w:p>
        </w:tc>
        <w:tc>
          <w:tcPr>
            <w:tcW w:w="1376" w:type="dxa"/>
            <w:gridSpan w:val="2"/>
          </w:tcPr>
          <w:p>
            <w:pPr>
              <w:pStyle w:val="yTableNAm"/>
            </w:pPr>
            <w:r>
              <w:rPr>
                <w:sz w:val="18"/>
                <w:szCs w:val="18"/>
              </w:rPr>
              <w:t>31.6842</w:t>
            </w:r>
          </w:p>
        </w:tc>
        <w:tc>
          <w:tcPr>
            <w:tcW w:w="1512" w:type="dxa"/>
          </w:tcPr>
          <w:p>
            <w:pPr>
              <w:pStyle w:val="yTableNAm"/>
            </w:pPr>
            <w:r>
              <w:rPr>
                <w:sz w:val="18"/>
                <w:szCs w:val="18"/>
              </w:rPr>
              <w:t>32.5482</w:t>
            </w:r>
          </w:p>
        </w:tc>
        <w:tc>
          <w:tcPr>
            <w:tcW w:w="1370" w:type="dxa"/>
          </w:tcPr>
          <w:p>
            <w:pPr>
              <w:pStyle w:val="yTableNAm"/>
            </w:pPr>
            <w:r>
              <w:rPr>
                <w:sz w:val="18"/>
                <w:szCs w:val="18"/>
              </w:rPr>
              <w:t>35.7863</w:t>
            </w:r>
          </w:p>
        </w:tc>
      </w:tr>
      <w:tr>
        <w:trPr>
          <w:cantSplit/>
        </w:trPr>
        <w:tc>
          <w:tcPr>
            <w:tcW w:w="567" w:type="dxa"/>
          </w:tcPr>
          <w:p>
            <w:pPr>
              <w:pStyle w:val="yTableNAm"/>
            </w:pPr>
            <w:r>
              <w:rPr>
                <w:sz w:val="18"/>
                <w:szCs w:val="18"/>
              </w:rPr>
              <w:t>Z.02</w:t>
            </w:r>
          </w:p>
        </w:tc>
        <w:tc>
          <w:tcPr>
            <w:tcW w:w="851" w:type="dxa"/>
          </w:tcPr>
          <w:p>
            <w:pPr>
              <w:pStyle w:val="yTableNAm"/>
            </w:pPr>
            <w:r>
              <w:rPr>
                <w:sz w:val="18"/>
                <w:szCs w:val="18"/>
              </w:rPr>
              <w:t>80</w:t>
            </w:r>
          </w:p>
        </w:tc>
        <w:tc>
          <w:tcPr>
            <w:tcW w:w="1128" w:type="dxa"/>
            <w:gridSpan w:val="2"/>
          </w:tcPr>
          <w:p>
            <w:pPr>
              <w:pStyle w:val="yTableNAm"/>
            </w:pPr>
            <w:r>
              <w:rPr>
                <w:sz w:val="18"/>
                <w:szCs w:val="18"/>
              </w:rPr>
              <w:t>Mercury Vapour</w:t>
            </w:r>
          </w:p>
        </w:tc>
        <w:tc>
          <w:tcPr>
            <w:tcW w:w="1376" w:type="dxa"/>
            <w:gridSpan w:val="2"/>
          </w:tcPr>
          <w:p>
            <w:pPr>
              <w:pStyle w:val="yTableNAm"/>
            </w:pPr>
            <w:r>
              <w:rPr>
                <w:sz w:val="18"/>
                <w:szCs w:val="18"/>
              </w:rPr>
              <w:t>39.6955</w:t>
            </w:r>
          </w:p>
        </w:tc>
        <w:tc>
          <w:tcPr>
            <w:tcW w:w="1512" w:type="dxa"/>
          </w:tcPr>
          <w:p>
            <w:pPr>
              <w:pStyle w:val="yTableNAm"/>
            </w:pPr>
            <w:r>
              <w:rPr>
                <w:sz w:val="18"/>
                <w:szCs w:val="18"/>
              </w:rPr>
              <w:t>40.9881</w:t>
            </w:r>
          </w:p>
        </w:tc>
        <w:tc>
          <w:tcPr>
            <w:tcW w:w="1370" w:type="dxa"/>
          </w:tcPr>
          <w:p>
            <w:pPr>
              <w:pStyle w:val="yTableNAm"/>
            </w:pPr>
            <w:r>
              <w:rPr>
                <w:sz w:val="18"/>
                <w:szCs w:val="18"/>
              </w:rPr>
              <w:t>46.1342</w:t>
            </w:r>
          </w:p>
        </w:tc>
      </w:tr>
      <w:tr>
        <w:trPr>
          <w:cantSplit/>
        </w:trPr>
        <w:tc>
          <w:tcPr>
            <w:tcW w:w="567" w:type="dxa"/>
          </w:tcPr>
          <w:p>
            <w:pPr>
              <w:pStyle w:val="yTableNAm"/>
            </w:pPr>
            <w:r>
              <w:rPr>
                <w:sz w:val="18"/>
                <w:szCs w:val="18"/>
              </w:rPr>
              <w:t>Z.03</w:t>
            </w:r>
          </w:p>
        </w:tc>
        <w:tc>
          <w:tcPr>
            <w:tcW w:w="851" w:type="dxa"/>
          </w:tcPr>
          <w:p>
            <w:pPr>
              <w:pStyle w:val="yTableNAm"/>
            </w:pPr>
            <w:r>
              <w:rPr>
                <w:sz w:val="18"/>
                <w:szCs w:val="18"/>
              </w:rPr>
              <w:t>125</w:t>
            </w:r>
          </w:p>
        </w:tc>
        <w:tc>
          <w:tcPr>
            <w:tcW w:w="1128" w:type="dxa"/>
            <w:gridSpan w:val="2"/>
          </w:tcPr>
          <w:p>
            <w:pPr>
              <w:pStyle w:val="yTableNAm"/>
            </w:pPr>
            <w:r>
              <w:rPr>
                <w:sz w:val="18"/>
                <w:szCs w:val="18"/>
              </w:rPr>
              <w:t>Mercury Vapour</w:t>
            </w:r>
          </w:p>
        </w:tc>
        <w:tc>
          <w:tcPr>
            <w:tcW w:w="1376" w:type="dxa"/>
            <w:gridSpan w:val="2"/>
          </w:tcPr>
          <w:p>
            <w:pPr>
              <w:pStyle w:val="yTableNAm"/>
            </w:pPr>
            <w:r>
              <w:rPr>
                <w:sz w:val="18"/>
                <w:szCs w:val="18"/>
              </w:rPr>
              <w:t>48.7361</w:t>
            </w:r>
          </w:p>
        </w:tc>
        <w:tc>
          <w:tcPr>
            <w:tcW w:w="1512" w:type="dxa"/>
          </w:tcPr>
          <w:p>
            <w:pPr>
              <w:pStyle w:val="yTableNAm"/>
            </w:pPr>
            <w:r>
              <w:rPr>
                <w:sz w:val="18"/>
                <w:szCs w:val="18"/>
              </w:rPr>
              <w:t>50.8248</w:t>
            </w:r>
          </w:p>
        </w:tc>
        <w:tc>
          <w:tcPr>
            <w:tcW w:w="1370" w:type="dxa"/>
          </w:tcPr>
          <w:p>
            <w:pPr>
              <w:pStyle w:val="yTableNAm"/>
            </w:pPr>
            <w:r>
              <w:rPr>
                <w:sz w:val="18"/>
                <w:szCs w:val="18"/>
              </w:rPr>
              <w:t>58.6600</w:t>
            </w:r>
          </w:p>
        </w:tc>
      </w:tr>
      <w:tr>
        <w:trPr>
          <w:cantSplit/>
        </w:trPr>
        <w:tc>
          <w:tcPr>
            <w:tcW w:w="567" w:type="dxa"/>
          </w:tcPr>
          <w:p>
            <w:pPr>
              <w:pStyle w:val="yTableNAm"/>
            </w:pPr>
            <w:r>
              <w:rPr>
                <w:sz w:val="18"/>
                <w:szCs w:val="18"/>
              </w:rPr>
              <w:t>Z.04</w:t>
            </w:r>
          </w:p>
        </w:tc>
        <w:tc>
          <w:tcPr>
            <w:tcW w:w="851" w:type="dxa"/>
          </w:tcPr>
          <w:p>
            <w:pPr>
              <w:pStyle w:val="yTableNAm"/>
            </w:pPr>
            <w:r>
              <w:rPr>
                <w:sz w:val="18"/>
                <w:szCs w:val="18"/>
              </w:rPr>
              <w:t>140</w:t>
            </w:r>
          </w:p>
        </w:tc>
        <w:tc>
          <w:tcPr>
            <w:tcW w:w="1128" w:type="dxa"/>
            <w:gridSpan w:val="2"/>
          </w:tcPr>
          <w:p>
            <w:pPr>
              <w:pStyle w:val="yTableNAm"/>
            </w:pPr>
            <w:r>
              <w:rPr>
                <w:sz w:val="18"/>
                <w:szCs w:val="18"/>
              </w:rPr>
              <w:t>Low Pressure Sodium</w:t>
            </w:r>
          </w:p>
        </w:tc>
        <w:tc>
          <w:tcPr>
            <w:tcW w:w="1376" w:type="dxa"/>
            <w:gridSpan w:val="2"/>
          </w:tcPr>
          <w:p>
            <w:pPr>
              <w:pStyle w:val="yTableNAm"/>
            </w:pPr>
            <w:r>
              <w:rPr>
                <w:sz w:val="18"/>
                <w:szCs w:val="18"/>
              </w:rPr>
              <w:t>51.3455</w:t>
            </w:r>
          </w:p>
        </w:tc>
        <w:tc>
          <w:tcPr>
            <w:tcW w:w="1512" w:type="dxa"/>
          </w:tcPr>
          <w:p>
            <w:pPr>
              <w:pStyle w:val="yTableNAm"/>
            </w:pPr>
            <w:r>
              <w:rPr>
                <w:sz w:val="18"/>
                <w:szCs w:val="18"/>
              </w:rPr>
              <w:t>53.0219</w:t>
            </w:r>
          </w:p>
        </w:tc>
        <w:tc>
          <w:tcPr>
            <w:tcW w:w="1370" w:type="dxa"/>
          </w:tcPr>
          <w:p>
            <w:pPr>
              <w:pStyle w:val="yTableNAm"/>
            </w:pPr>
            <w:r>
              <w:rPr>
                <w:sz w:val="18"/>
                <w:szCs w:val="18"/>
              </w:rPr>
              <w:t>59.7605</w:t>
            </w:r>
          </w:p>
        </w:tc>
      </w:tr>
      <w:tr>
        <w:trPr>
          <w:cantSplit/>
        </w:trPr>
        <w:tc>
          <w:tcPr>
            <w:tcW w:w="567" w:type="dxa"/>
          </w:tcPr>
          <w:p>
            <w:pPr>
              <w:pStyle w:val="yTableNAm"/>
            </w:pPr>
            <w:r>
              <w:rPr>
                <w:sz w:val="18"/>
                <w:szCs w:val="18"/>
              </w:rPr>
              <w:t>Z.07</w:t>
            </w:r>
          </w:p>
        </w:tc>
        <w:tc>
          <w:tcPr>
            <w:tcW w:w="851" w:type="dxa"/>
          </w:tcPr>
          <w:p>
            <w:pPr>
              <w:pStyle w:val="yTableNAm"/>
            </w:pPr>
            <w:r>
              <w:rPr>
                <w:sz w:val="18"/>
                <w:szCs w:val="18"/>
              </w:rPr>
              <w:t>250</w:t>
            </w:r>
          </w:p>
        </w:tc>
        <w:tc>
          <w:tcPr>
            <w:tcW w:w="1128" w:type="dxa"/>
            <w:gridSpan w:val="2"/>
          </w:tcPr>
          <w:p>
            <w:pPr>
              <w:pStyle w:val="yTableNAm"/>
            </w:pPr>
            <w:r>
              <w:rPr>
                <w:sz w:val="18"/>
                <w:szCs w:val="18"/>
              </w:rPr>
              <w:t>Mercury Vapour</w:t>
            </w:r>
          </w:p>
        </w:tc>
        <w:tc>
          <w:tcPr>
            <w:tcW w:w="1376" w:type="dxa"/>
            <w:gridSpan w:val="2"/>
          </w:tcPr>
          <w:p>
            <w:pPr>
              <w:pStyle w:val="yTableNAm"/>
            </w:pPr>
            <w:r>
              <w:rPr>
                <w:sz w:val="18"/>
                <w:szCs w:val="18"/>
              </w:rPr>
              <w:t>66.0796</w:t>
            </w:r>
          </w:p>
        </w:tc>
        <w:tc>
          <w:tcPr>
            <w:tcW w:w="1512" w:type="dxa"/>
          </w:tcPr>
          <w:p>
            <w:pPr>
              <w:pStyle w:val="yTableNAm"/>
            </w:pPr>
            <w:r>
              <w:rPr>
                <w:sz w:val="18"/>
                <w:szCs w:val="18"/>
              </w:rPr>
              <w:t>70.2296</w:t>
            </w:r>
          </w:p>
        </w:tc>
        <w:tc>
          <w:tcPr>
            <w:tcW w:w="1370" w:type="dxa"/>
          </w:tcPr>
          <w:p>
            <w:pPr>
              <w:pStyle w:val="yTableNAm"/>
            </w:pPr>
            <w:r>
              <w:rPr>
                <w:sz w:val="18"/>
                <w:szCs w:val="18"/>
              </w:rPr>
              <w:t>85.9274</w:t>
            </w:r>
          </w:p>
        </w:tc>
      </w:tr>
      <w:tr>
        <w:trPr>
          <w:cantSplit/>
        </w:trPr>
        <w:tc>
          <w:tcPr>
            <w:tcW w:w="567" w:type="dxa"/>
          </w:tcPr>
          <w:p>
            <w:pPr>
              <w:pStyle w:val="yTableNAm"/>
            </w:pPr>
            <w:r>
              <w:rPr>
                <w:sz w:val="18"/>
                <w:szCs w:val="18"/>
              </w:rPr>
              <w:t>Z.10</w:t>
            </w:r>
          </w:p>
        </w:tc>
        <w:tc>
          <w:tcPr>
            <w:tcW w:w="851" w:type="dxa"/>
          </w:tcPr>
          <w:p>
            <w:pPr>
              <w:pStyle w:val="yTableNAm"/>
            </w:pPr>
            <w:r>
              <w:rPr>
                <w:sz w:val="18"/>
                <w:szCs w:val="18"/>
              </w:rPr>
              <w:t>400</w:t>
            </w:r>
          </w:p>
        </w:tc>
        <w:tc>
          <w:tcPr>
            <w:tcW w:w="1128" w:type="dxa"/>
            <w:gridSpan w:val="2"/>
          </w:tcPr>
          <w:p>
            <w:pPr>
              <w:pStyle w:val="yTableNAm"/>
            </w:pPr>
            <w:r>
              <w:rPr>
                <w:sz w:val="18"/>
                <w:szCs w:val="18"/>
              </w:rPr>
              <w:t>Mercury Vapour</w:t>
            </w:r>
          </w:p>
        </w:tc>
        <w:tc>
          <w:tcPr>
            <w:tcW w:w="1376" w:type="dxa"/>
            <w:gridSpan w:val="2"/>
          </w:tcPr>
          <w:p>
            <w:pPr>
              <w:pStyle w:val="yTableNAm"/>
            </w:pPr>
            <w:r>
              <w:rPr>
                <w:sz w:val="18"/>
                <w:szCs w:val="18"/>
              </w:rPr>
              <w:t>78.9489</w:t>
            </w:r>
          </w:p>
        </w:tc>
        <w:tc>
          <w:tcPr>
            <w:tcW w:w="1512" w:type="dxa"/>
          </w:tcPr>
          <w:p>
            <w:pPr>
              <w:pStyle w:val="yTableNAm"/>
            </w:pPr>
            <w:r>
              <w:rPr>
                <w:sz w:val="18"/>
                <w:szCs w:val="18"/>
              </w:rPr>
              <w:t>82.1715</w:t>
            </w:r>
          </w:p>
        </w:tc>
        <w:tc>
          <w:tcPr>
            <w:tcW w:w="1370" w:type="dxa"/>
          </w:tcPr>
          <w:p>
            <w:pPr>
              <w:pStyle w:val="yTableNAm"/>
            </w:pPr>
            <w:r>
              <w:rPr>
                <w:sz w:val="18"/>
                <w:szCs w:val="18"/>
              </w:rPr>
              <w:t>116.6974</w:t>
            </w:r>
          </w:p>
        </w:tc>
      </w:tr>
      <w:tr>
        <w:trPr>
          <w:cantSplit/>
        </w:trPr>
        <w:tc>
          <w:tcPr>
            <w:tcW w:w="567" w:type="dxa"/>
          </w:tcPr>
          <w:p>
            <w:pPr>
              <w:pStyle w:val="yTableNAm"/>
            </w:pPr>
            <w:r>
              <w:rPr>
                <w:sz w:val="18"/>
                <w:szCs w:val="18"/>
              </w:rPr>
              <w:t>Z.13</w:t>
            </w:r>
          </w:p>
        </w:tc>
        <w:tc>
          <w:tcPr>
            <w:tcW w:w="851" w:type="dxa"/>
          </w:tcPr>
          <w:p>
            <w:pPr>
              <w:pStyle w:val="yTableNAm"/>
            </w:pPr>
            <w:r>
              <w:rPr>
                <w:sz w:val="18"/>
                <w:szCs w:val="18"/>
              </w:rPr>
              <w:t>150</w:t>
            </w:r>
          </w:p>
        </w:tc>
        <w:tc>
          <w:tcPr>
            <w:tcW w:w="1128" w:type="dxa"/>
            <w:gridSpan w:val="2"/>
          </w:tcPr>
          <w:p>
            <w:pPr>
              <w:pStyle w:val="yTableNAm"/>
            </w:pPr>
            <w:r>
              <w:rPr>
                <w:sz w:val="18"/>
                <w:szCs w:val="18"/>
              </w:rPr>
              <w:t>High Pressure Sodium</w:t>
            </w:r>
          </w:p>
        </w:tc>
        <w:tc>
          <w:tcPr>
            <w:tcW w:w="1376" w:type="dxa"/>
            <w:gridSpan w:val="2"/>
          </w:tcPr>
          <w:p>
            <w:pPr>
              <w:pStyle w:val="yTableNAm"/>
            </w:pPr>
            <w:r>
              <w:rPr>
                <w:sz w:val="18"/>
                <w:szCs w:val="18"/>
              </w:rPr>
              <w:t>50.9626</w:t>
            </w:r>
          </w:p>
        </w:tc>
        <w:tc>
          <w:tcPr>
            <w:tcW w:w="1512" w:type="dxa"/>
          </w:tcPr>
          <w:p>
            <w:pPr>
              <w:pStyle w:val="yTableNAm"/>
            </w:pPr>
            <w:r>
              <w:rPr>
                <w:sz w:val="18"/>
                <w:szCs w:val="18"/>
              </w:rPr>
              <w:t>53.4010</w:t>
            </w:r>
          </w:p>
        </w:tc>
        <w:tc>
          <w:tcPr>
            <w:tcW w:w="1370" w:type="dxa"/>
          </w:tcPr>
          <w:p>
            <w:pPr>
              <w:pStyle w:val="yTableNAm"/>
            </w:pPr>
            <w:r>
              <w:rPr>
                <w:sz w:val="18"/>
                <w:szCs w:val="18"/>
              </w:rPr>
              <w:t>63.6911</w:t>
            </w:r>
          </w:p>
        </w:tc>
      </w:tr>
      <w:tr>
        <w:trPr>
          <w:cantSplit/>
        </w:trPr>
        <w:tc>
          <w:tcPr>
            <w:tcW w:w="567" w:type="dxa"/>
          </w:tcPr>
          <w:p>
            <w:pPr>
              <w:pStyle w:val="yTableNAm"/>
            </w:pPr>
            <w:r>
              <w:rPr>
                <w:sz w:val="18"/>
                <w:szCs w:val="18"/>
              </w:rPr>
              <w:t>Z.15</w:t>
            </w:r>
          </w:p>
        </w:tc>
        <w:tc>
          <w:tcPr>
            <w:tcW w:w="851" w:type="dxa"/>
          </w:tcPr>
          <w:p>
            <w:pPr>
              <w:pStyle w:val="yTableNAm"/>
            </w:pPr>
            <w:r>
              <w:rPr>
                <w:sz w:val="18"/>
                <w:szCs w:val="18"/>
              </w:rPr>
              <w:t>250</w:t>
            </w:r>
          </w:p>
        </w:tc>
        <w:tc>
          <w:tcPr>
            <w:tcW w:w="1128" w:type="dxa"/>
            <w:gridSpan w:val="2"/>
          </w:tcPr>
          <w:p>
            <w:pPr>
              <w:pStyle w:val="yTableNAm"/>
            </w:pPr>
            <w:r>
              <w:rPr>
                <w:sz w:val="18"/>
                <w:szCs w:val="18"/>
              </w:rPr>
              <w:t>High Pressure Sodium</w:t>
            </w:r>
          </w:p>
        </w:tc>
        <w:tc>
          <w:tcPr>
            <w:tcW w:w="1376" w:type="dxa"/>
            <w:gridSpan w:val="2"/>
          </w:tcPr>
          <w:p>
            <w:pPr>
              <w:pStyle w:val="yTableNAm"/>
            </w:pPr>
            <w:r>
              <w:rPr>
                <w:sz w:val="18"/>
                <w:szCs w:val="18"/>
              </w:rPr>
              <w:t>63.7518</w:t>
            </w:r>
          </w:p>
        </w:tc>
        <w:tc>
          <w:tcPr>
            <w:tcW w:w="1512" w:type="dxa"/>
          </w:tcPr>
          <w:p>
            <w:pPr>
              <w:pStyle w:val="yTableNAm"/>
            </w:pPr>
            <w:r>
              <w:rPr>
                <w:sz w:val="18"/>
                <w:szCs w:val="18"/>
              </w:rPr>
              <w:t>68.0937</w:t>
            </w:r>
          </w:p>
        </w:tc>
        <w:tc>
          <w:tcPr>
            <w:tcW w:w="1370" w:type="dxa"/>
          </w:tcPr>
          <w:p>
            <w:pPr>
              <w:pStyle w:val="yTableNAm"/>
            </w:pPr>
            <w:r>
              <w:rPr>
                <w:sz w:val="18"/>
                <w:szCs w:val="18"/>
              </w:rPr>
              <w:t>84.6629</w:t>
            </w:r>
          </w:p>
        </w:tc>
      </w:tr>
      <w:tr>
        <w:trPr>
          <w:cantSplit/>
        </w:trPr>
        <w:tc>
          <w:tcPr>
            <w:tcW w:w="567" w:type="dxa"/>
          </w:tcPr>
          <w:p>
            <w:pPr>
              <w:pStyle w:val="yTableNAm"/>
            </w:pPr>
            <w:r>
              <w:rPr>
                <w:sz w:val="18"/>
                <w:szCs w:val="18"/>
              </w:rPr>
              <w:t>Z.18</w:t>
            </w:r>
          </w:p>
        </w:tc>
        <w:tc>
          <w:tcPr>
            <w:tcW w:w="851" w:type="dxa"/>
          </w:tcPr>
          <w:p>
            <w:pPr>
              <w:pStyle w:val="yTableNAm"/>
            </w:pPr>
            <w:r>
              <w:rPr>
                <w:sz w:val="18"/>
                <w:szCs w:val="18"/>
              </w:rPr>
              <w:t>per kW</w:t>
            </w:r>
          </w:p>
        </w:tc>
        <w:tc>
          <w:tcPr>
            <w:tcW w:w="1128" w:type="dxa"/>
            <w:gridSpan w:val="2"/>
          </w:tcPr>
          <w:p>
            <w:pPr>
              <w:pStyle w:val="yTableNAm"/>
            </w:pPr>
            <w:r>
              <w:rPr>
                <w:sz w:val="18"/>
                <w:szCs w:val="18"/>
              </w:rPr>
              <w:t>Auxiliary Lighting in Public Places</w:t>
            </w:r>
          </w:p>
        </w:tc>
        <w:tc>
          <w:tcPr>
            <w:tcW w:w="1376" w:type="dxa"/>
            <w:gridSpan w:val="2"/>
          </w:tcPr>
          <w:p>
            <w:pPr>
              <w:pStyle w:val="yTableNAm"/>
            </w:pPr>
            <w:r>
              <w:rPr>
                <w:sz w:val="18"/>
                <w:szCs w:val="18"/>
              </w:rPr>
              <w:t>Not applicable</w:t>
            </w:r>
          </w:p>
        </w:tc>
        <w:tc>
          <w:tcPr>
            <w:tcW w:w="1512" w:type="dxa"/>
          </w:tcPr>
          <w:p>
            <w:pPr>
              <w:pStyle w:val="yTableNAm"/>
            </w:pPr>
            <w:r>
              <w:rPr>
                <w:sz w:val="18"/>
                <w:szCs w:val="18"/>
              </w:rPr>
              <w:t>Not applicable</w:t>
            </w:r>
          </w:p>
        </w:tc>
        <w:tc>
          <w:tcPr>
            <w:tcW w:w="1370" w:type="dxa"/>
          </w:tcPr>
          <w:p>
            <w:pPr>
              <w:pStyle w:val="yTableNAm"/>
            </w:pPr>
            <w:r>
              <w:rPr>
                <w:sz w:val="18"/>
                <w:szCs w:val="18"/>
              </w:rPr>
              <w:t>265.4777</w:t>
            </w:r>
          </w:p>
        </w:tc>
      </w:tr>
      <w:tr>
        <w:trPr>
          <w:cantSplit/>
        </w:trPr>
        <w:tc>
          <w:tcPr>
            <w:tcW w:w="6804" w:type="dxa"/>
            <w:gridSpan w:val="8"/>
          </w:tcPr>
          <w:p>
            <w:pPr>
              <w:pStyle w:val="yTableNAm"/>
            </w:pPr>
            <w:r>
              <w:rPr>
                <w:b/>
                <w:i/>
                <w:iCs/>
                <w:sz w:val="16"/>
                <w:szCs w:val="16"/>
              </w:rPr>
              <w:t>Street lighting for existing services only</w:t>
            </w:r>
          </w:p>
        </w:tc>
      </w:tr>
      <w:tr>
        <w:trPr>
          <w:cantSplit/>
        </w:trPr>
        <w:tc>
          <w:tcPr>
            <w:tcW w:w="567" w:type="dxa"/>
          </w:tcPr>
          <w:p>
            <w:pPr>
              <w:pStyle w:val="yTableNAm"/>
            </w:pPr>
            <w:r>
              <w:rPr>
                <w:sz w:val="18"/>
                <w:szCs w:val="18"/>
              </w:rPr>
              <w:t>Z.05</w:t>
            </w:r>
          </w:p>
        </w:tc>
        <w:tc>
          <w:tcPr>
            <w:tcW w:w="851" w:type="dxa"/>
          </w:tcPr>
          <w:p>
            <w:pPr>
              <w:pStyle w:val="yTableNAm"/>
            </w:pPr>
            <w:r>
              <w:rPr>
                <w:sz w:val="18"/>
                <w:szCs w:val="18"/>
              </w:rPr>
              <w:t>250</w:t>
            </w:r>
          </w:p>
        </w:tc>
        <w:tc>
          <w:tcPr>
            <w:tcW w:w="1114" w:type="dxa"/>
          </w:tcPr>
          <w:p>
            <w:pPr>
              <w:pStyle w:val="yTableNAm"/>
            </w:pPr>
            <w:r>
              <w:rPr>
                <w:sz w:val="18"/>
                <w:szCs w:val="18"/>
              </w:rPr>
              <w:t>Mercury Vapour</w:t>
            </w:r>
          </w:p>
        </w:tc>
        <w:tc>
          <w:tcPr>
            <w:tcW w:w="1390" w:type="dxa"/>
            <w:gridSpan w:val="3"/>
          </w:tcPr>
          <w:p>
            <w:pPr>
              <w:pStyle w:val="yTableNAm"/>
            </w:pPr>
            <w:r>
              <w:rPr>
                <w:sz w:val="18"/>
                <w:szCs w:val="18"/>
              </w:rPr>
              <w:t>77.1159</w:t>
            </w:r>
          </w:p>
        </w:tc>
        <w:tc>
          <w:tcPr>
            <w:tcW w:w="1512" w:type="dxa"/>
          </w:tcPr>
          <w:p>
            <w:pPr>
              <w:pStyle w:val="yTableNAm"/>
            </w:pPr>
            <w:r>
              <w:rPr>
                <w:sz w:val="18"/>
                <w:szCs w:val="18"/>
              </w:rPr>
              <w:t>80.3165</w:t>
            </w:r>
          </w:p>
        </w:tc>
        <w:tc>
          <w:tcPr>
            <w:tcW w:w="1370" w:type="dxa"/>
          </w:tcPr>
          <w:p>
            <w:pPr>
              <w:pStyle w:val="yTableNAm"/>
            </w:pPr>
            <w:r>
              <w:rPr>
                <w:sz w:val="18"/>
                <w:szCs w:val="18"/>
              </w:rPr>
              <w:t>93.7044</w:t>
            </w:r>
          </w:p>
        </w:tc>
      </w:tr>
      <w:tr>
        <w:trPr>
          <w:cantSplit/>
        </w:trPr>
        <w:tc>
          <w:tcPr>
            <w:tcW w:w="567" w:type="dxa"/>
          </w:tcPr>
          <w:p>
            <w:pPr>
              <w:pStyle w:val="yTableNAm"/>
            </w:pPr>
            <w:r>
              <w:rPr>
                <w:sz w:val="18"/>
                <w:szCs w:val="18"/>
              </w:rPr>
              <w:t>Z.06</w:t>
            </w:r>
          </w:p>
        </w:tc>
        <w:tc>
          <w:tcPr>
            <w:tcW w:w="851" w:type="dxa"/>
          </w:tcPr>
          <w:p>
            <w:pPr>
              <w:pStyle w:val="yTableNAm"/>
            </w:pPr>
            <w:r>
              <w:rPr>
                <w:sz w:val="18"/>
                <w:szCs w:val="18"/>
              </w:rPr>
              <w:t>400</w:t>
            </w:r>
          </w:p>
        </w:tc>
        <w:tc>
          <w:tcPr>
            <w:tcW w:w="1114" w:type="dxa"/>
          </w:tcPr>
          <w:p>
            <w:pPr>
              <w:pStyle w:val="yTableNAm"/>
            </w:pPr>
            <w:r>
              <w:rPr>
                <w:sz w:val="18"/>
                <w:szCs w:val="18"/>
              </w:rPr>
              <w:t>Mercury Vapour</w:t>
            </w:r>
          </w:p>
        </w:tc>
        <w:tc>
          <w:tcPr>
            <w:tcW w:w="1390" w:type="dxa"/>
            <w:gridSpan w:val="3"/>
          </w:tcPr>
          <w:p>
            <w:pPr>
              <w:pStyle w:val="yTableNAm"/>
            </w:pPr>
            <w:r>
              <w:rPr>
                <w:sz w:val="18"/>
                <w:szCs w:val="18"/>
              </w:rPr>
              <w:t>101.7727</w:t>
            </w:r>
          </w:p>
        </w:tc>
        <w:tc>
          <w:tcPr>
            <w:tcW w:w="1512" w:type="dxa"/>
          </w:tcPr>
          <w:p>
            <w:pPr>
              <w:pStyle w:val="yTableNAm"/>
            </w:pPr>
            <w:r>
              <w:rPr>
                <w:sz w:val="18"/>
                <w:szCs w:val="18"/>
              </w:rPr>
              <w:t>106.7505</w:t>
            </w:r>
          </w:p>
        </w:tc>
        <w:tc>
          <w:tcPr>
            <w:tcW w:w="1370" w:type="dxa"/>
          </w:tcPr>
          <w:p>
            <w:pPr>
              <w:pStyle w:val="yTableNAm"/>
            </w:pPr>
            <w:r>
              <w:rPr>
                <w:sz w:val="18"/>
                <w:szCs w:val="18"/>
              </w:rPr>
              <w:t>127.7846</w:t>
            </w:r>
          </w:p>
        </w:tc>
      </w:tr>
      <w:tr>
        <w:trPr>
          <w:cantSplit/>
        </w:trPr>
        <w:tc>
          <w:tcPr>
            <w:tcW w:w="567" w:type="dxa"/>
          </w:tcPr>
          <w:p>
            <w:pPr>
              <w:pStyle w:val="yTableNAm"/>
            </w:pPr>
            <w:r>
              <w:rPr>
                <w:sz w:val="18"/>
                <w:szCs w:val="18"/>
              </w:rPr>
              <w:t>Z.08</w:t>
            </w:r>
          </w:p>
        </w:tc>
        <w:tc>
          <w:tcPr>
            <w:tcW w:w="851" w:type="dxa"/>
          </w:tcPr>
          <w:p>
            <w:pPr>
              <w:pStyle w:val="yTableNAm"/>
            </w:pPr>
            <w:r>
              <w:rPr>
                <w:sz w:val="18"/>
                <w:szCs w:val="18"/>
              </w:rPr>
              <w:t>250</w:t>
            </w:r>
          </w:p>
        </w:tc>
        <w:tc>
          <w:tcPr>
            <w:tcW w:w="1114" w:type="dxa"/>
          </w:tcPr>
          <w:p>
            <w:pPr>
              <w:pStyle w:val="yTableNAm"/>
            </w:pPr>
            <w:r>
              <w:rPr>
                <w:sz w:val="18"/>
                <w:szCs w:val="18"/>
              </w:rPr>
              <w:t xml:space="preserve">Mercury Vapour </w:t>
            </w:r>
            <w:r>
              <w:rPr>
                <w:sz w:val="18"/>
                <w:szCs w:val="18"/>
              </w:rPr>
              <w:br/>
              <w:t>50% E.C. cost</w:t>
            </w:r>
          </w:p>
        </w:tc>
        <w:tc>
          <w:tcPr>
            <w:tcW w:w="1390" w:type="dxa"/>
            <w:gridSpan w:val="3"/>
          </w:tcPr>
          <w:p>
            <w:pPr>
              <w:pStyle w:val="yTableNAm"/>
            </w:pPr>
            <w:r>
              <w:rPr>
                <w:sz w:val="18"/>
                <w:szCs w:val="18"/>
              </w:rPr>
              <w:t>70.9693</w:t>
            </w:r>
          </w:p>
        </w:tc>
        <w:tc>
          <w:tcPr>
            <w:tcW w:w="1512" w:type="dxa"/>
          </w:tcPr>
          <w:p>
            <w:pPr>
              <w:pStyle w:val="yTableNAm"/>
            </w:pPr>
            <w:r>
              <w:rPr>
                <w:sz w:val="18"/>
                <w:szCs w:val="18"/>
              </w:rPr>
              <w:t>74.1477</w:t>
            </w:r>
          </w:p>
        </w:tc>
        <w:tc>
          <w:tcPr>
            <w:tcW w:w="1370" w:type="dxa"/>
          </w:tcPr>
          <w:p>
            <w:pPr>
              <w:pStyle w:val="yTableNAm"/>
            </w:pPr>
            <w:r>
              <w:rPr>
                <w:sz w:val="18"/>
                <w:szCs w:val="18"/>
              </w:rPr>
              <w:t>87.5580</w:t>
            </w:r>
          </w:p>
        </w:tc>
      </w:tr>
      <w:tr>
        <w:trPr>
          <w:cantSplit/>
        </w:trPr>
        <w:tc>
          <w:tcPr>
            <w:tcW w:w="567" w:type="dxa"/>
          </w:tcPr>
          <w:p>
            <w:pPr>
              <w:pStyle w:val="yTableNAm"/>
            </w:pPr>
            <w:r>
              <w:rPr>
                <w:sz w:val="18"/>
                <w:szCs w:val="18"/>
              </w:rPr>
              <w:t>Z.09</w:t>
            </w:r>
          </w:p>
        </w:tc>
        <w:tc>
          <w:tcPr>
            <w:tcW w:w="851" w:type="dxa"/>
          </w:tcPr>
          <w:p>
            <w:pPr>
              <w:pStyle w:val="yTableNAm"/>
            </w:pPr>
            <w:r>
              <w:rPr>
                <w:sz w:val="18"/>
                <w:szCs w:val="18"/>
              </w:rPr>
              <w:t>250</w:t>
            </w:r>
          </w:p>
        </w:tc>
        <w:tc>
          <w:tcPr>
            <w:tcW w:w="1114" w:type="dxa"/>
          </w:tcPr>
          <w:p>
            <w:pPr>
              <w:pStyle w:val="yTableNAm"/>
            </w:pPr>
            <w:r>
              <w:rPr>
                <w:sz w:val="18"/>
                <w:szCs w:val="18"/>
              </w:rPr>
              <w:t>Mercury Vapour</w:t>
            </w:r>
            <w:r>
              <w:rPr>
                <w:sz w:val="18"/>
                <w:szCs w:val="18"/>
              </w:rPr>
              <w:br/>
              <w:t>100% E.C. cost</w:t>
            </w:r>
          </w:p>
        </w:tc>
        <w:tc>
          <w:tcPr>
            <w:tcW w:w="1390" w:type="dxa"/>
            <w:gridSpan w:val="3"/>
          </w:tcPr>
          <w:p>
            <w:pPr>
              <w:pStyle w:val="yTableNAm"/>
            </w:pPr>
            <w:r>
              <w:rPr>
                <w:sz w:val="18"/>
                <w:szCs w:val="18"/>
              </w:rPr>
              <w:t>77.1159</w:t>
            </w:r>
          </w:p>
        </w:tc>
        <w:tc>
          <w:tcPr>
            <w:tcW w:w="1512" w:type="dxa"/>
          </w:tcPr>
          <w:p>
            <w:pPr>
              <w:pStyle w:val="yTableNAm"/>
            </w:pPr>
            <w:r>
              <w:rPr>
                <w:sz w:val="18"/>
                <w:szCs w:val="18"/>
              </w:rPr>
              <w:t>80.3165</w:t>
            </w:r>
          </w:p>
        </w:tc>
        <w:tc>
          <w:tcPr>
            <w:tcW w:w="1370" w:type="dxa"/>
          </w:tcPr>
          <w:p>
            <w:pPr>
              <w:pStyle w:val="yTableNAm"/>
            </w:pPr>
            <w:r>
              <w:rPr>
                <w:sz w:val="18"/>
                <w:szCs w:val="18"/>
              </w:rPr>
              <w:t>93.7044</w:t>
            </w:r>
          </w:p>
        </w:tc>
      </w:tr>
      <w:tr>
        <w:trPr>
          <w:cantSplit/>
        </w:trPr>
        <w:tc>
          <w:tcPr>
            <w:tcW w:w="567" w:type="dxa"/>
          </w:tcPr>
          <w:p>
            <w:pPr>
              <w:pStyle w:val="yTableNAm"/>
            </w:pPr>
            <w:r>
              <w:rPr>
                <w:sz w:val="18"/>
                <w:szCs w:val="18"/>
              </w:rPr>
              <w:t>Z.11</w:t>
            </w:r>
          </w:p>
        </w:tc>
        <w:tc>
          <w:tcPr>
            <w:tcW w:w="851" w:type="dxa"/>
          </w:tcPr>
          <w:p>
            <w:pPr>
              <w:pStyle w:val="yTableNAm"/>
            </w:pPr>
            <w:r>
              <w:rPr>
                <w:sz w:val="18"/>
                <w:szCs w:val="18"/>
              </w:rPr>
              <w:t>400</w:t>
            </w:r>
          </w:p>
        </w:tc>
        <w:tc>
          <w:tcPr>
            <w:tcW w:w="1114" w:type="dxa"/>
          </w:tcPr>
          <w:p>
            <w:pPr>
              <w:pStyle w:val="yTableNAm"/>
            </w:pPr>
            <w:r>
              <w:rPr>
                <w:sz w:val="18"/>
                <w:szCs w:val="18"/>
              </w:rPr>
              <w:t xml:space="preserve">Mercury Vapour </w:t>
            </w:r>
            <w:r>
              <w:rPr>
                <w:sz w:val="18"/>
                <w:szCs w:val="18"/>
              </w:rPr>
              <w:br/>
              <w:t>50% E.C. cost</w:t>
            </w:r>
          </w:p>
        </w:tc>
        <w:tc>
          <w:tcPr>
            <w:tcW w:w="1390" w:type="dxa"/>
            <w:gridSpan w:val="3"/>
          </w:tcPr>
          <w:p>
            <w:pPr>
              <w:pStyle w:val="yTableNAm"/>
            </w:pPr>
            <w:r>
              <w:rPr>
                <w:sz w:val="18"/>
                <w:szCs w:val="18"/>
              </w:rPr>
              <w:t>95.6262</w:t>
            </w:r>
          </w:p>
        </w:tc>
        <w:tc>
          <w:tcPr>
            <w:tcW w:w="1512" w:type="dxa"/>
          </w:tcPr>
          <w:p>
            <w:pPr>
              <w:pStyle w:val="yTableNAm"/>
            </w:pPr>
            <w:r>
              <w:rPr>
                <w:sz w:val="18"/>
                <w:szCs w:val="18"/>
              </w:rPr>
              <w:t>100.6154</w:t>
            </w:r>
          </w:p>
        </w:tc>
        <w:tc>
          <w:tcPr>
            <w:tcW w:w="1370" w:type="dxa"/>
          </w:tcPr>
          <w:p>
            <w:pPr>
              <w:pStyle w:val="yTableNAm"/>
            </w:pPr>
            <w:r>
              <w:rPr>
                <w:sz w:val="18"/>
                <w:szCs w:val="18"/>
              </w:rPr>
              <w:t>121.6606</w:t>
            </w:r>
          </w:p>
        </w:tc>
      </w:tr>
      <w:tr>
        <w:trPr>
          <w:cantSplit/>
        </w:trPr>
        <w:tc>
          <w:tcPr>
            <w:tcW w:w="567" w:type="dxa"/>
          </w:tcPr>
          <w:p>
            <w:pPr>
              <w:pStyle w:val="yTableNAm"/>
            </w:pPr>
            <w:r>
              <w:rPr>
                <w:sz w:val="18"/>
                <w:szCs w:val="18"/>
              </w:rPr>
              <w:t>Z.12</w:t>
            </w:r>
          </w:p>
        </w:tc>
        <w:tc>
          <w:tcPr>
            <w:tcW w:w="851" w:type="dxa"/>
          </w:tcPr>
          <w:p>
            <w:pPr>
              <w:pStyle w:val="yTableNAm"/>
            </w:pPr>
            <w:r>
              <w:rPr>
                <w:sz w:val="18"/>
                <w:szCs w:val="18"/>
              </w:rPr>
              <w:t>400</w:t>
            </w:r>
          </w:p>
        </w:tc>
        <w:tc>
          <w:tcPr>
            <w:tcW w:w="1114" w:type="dxa"/>
          </w:tcPr>
          <w:p>
            <w:pPr>
              <w:pStyle w:val="yTableNAm"/>
            </w:pPr>
            <w:r>
              <w:rPr>
                <w:sz w:val="18"/>
                <w:szCs w:val="18"/>
              </w:rPr>
              <w:t xml:space="preserve">Mercury Vapour </w:t>
            </w:r>
            <w:r>
              <w:rPr>
                <w:sz w:val="18"/>
                <w:szCs w:val="18"/>
              </w:rPr>
              <w:br/>
              <w:t>100% E.C. cost</w:t>
            </w:r>
          </w:p>
        </w:tc>
        <w:tc>
          <w:tcPr>
            <w:tcW w:w="1390" w:type="dxa"/>
            <w:gridSpan w:val="3"/>
          </w:tcPr>
          <w:p>
            <w:pPr>
              <w:pStyle w:val="yTableNAm"/>
            </w:pPr>
            <w:r>
              <w:rPr>
                <w:sz w:val="18"/>
                <w:szCs w:val="18"/>
              </w:rPr>
              <w:t>101.7727</w:t>
            </w:r>
          </w:p>
        </w:tc>
        <w:tc>
          <w:tcPr>
            <w:tcW w:w="1512" w:type="dxa"/>
          </w:tcPr>
          <w:p>
            <w:pPr>
              <w:pStyle w:val="yTableNAm"/>
            </w:pPr>
            <w:r>
              <w:rPr>
                <w:sz w:val="18"/>
                <w:szCs w:val="18"/>
              </w:rPr>
              <w:t>106.7505</w:t>
            </w:r>
          </w:p>
        </w:tc>
        <w:tc>
          <w:tcPr>
            <w:tcW w:w="1370" w:type="dxa"/>
          </w:tcPr>
          <w:p>
            <w:pPr>
              <w:pStyle w:val="yTableNAm"/>
            </w:pPr>
            <w:r>
              <w:rPr>
                <w:sz w:val="18"/>
                <w:szCs w:val="18"/>
              </w:rPr>
              <w:t>127.7846</w:t>
            </w:r>
          </w:p>
        </w:tc>
      </w:tr>
      <w:tr>
        <w:trPr>
          <w:cantSplit/>
        </w:trPr>
        <w:tc>
          <w:tcPr>
            <w:tcW w:w="567" w:type="dxa"/>
          </w:tcPr>
          <w:p>
            <w:pPr>
              <w:pStyle w:val="yTableNAm"/>
            </w:pPr>
            <w:r>
              <w:rPr>
                <w:sz w:val="18"/>
                <w:szCs w:val="18"/>
              </w:rPr>
              <w:t>Z.14</w:t>
            </w:r>
          </w:p>
        </w:tc>
        <w:tc>
          <w:tcPr>
            <w:tcW w:w="851" w:type="dxa"/>
          </w:tcPr>
          <w:p>
            <w:pPr>
              <w:pStyle w:val="yTableNAm"/>
            </w:pPr>
            <w:r>
              <w:rPr>
                <w:sz w:val="18"/>
                <w:szCs w:val="18"/>
              </w:rPr>
              <w:t>150</w:t>
            </w:r>
          </w:p>
        </w:tc>
        <w:tc>
          <w:tcPr>
            <w:tcW w:w="1114" w:type="dxa"/>
          </w:tcPr>
          <w:p>
            <w:pPr>
              <w:pStyle w:val="yTableNAm"/>
            </w:pPr>
            <w:r>
              <w:rPr>
                <w:sz w:val="18"/>
                <w:szCs w:val="18"/>
              </w:rPr>
              <w:t>High Pressure Sodium</w:t>
            </w:r>
          </w:p>
        </w:tc>
        <w:tc>
          <w:tcPr>
            <w:tcW w:w="1390" w:type="dxa"/>
            <w:gridSpan w:val="3"/>
          </w:tcPr>
          <w:p>
            <w:pPr>
              <w:pStyle w:val="yTableNAm"/>
            </w:pPr>
            <w:r>
              <w:rPr>
                <w:sz w:val="18"/>
                <w:szCs w:val="18"/>
              </w:rPr>
              <w:t>67.2142</w:t>
            </w:r>
          </w:p>
        </w:tc>
        <w:tc>
          <w:tcPr>
            <w:tcW w:w="1512" w:type="dxa"/>
          </w:tcPr>
          <w:p>
            <w:pPr>
              <w:pStyle w:val="yTableNAm"/>
            </w:pPr>
            <w:r>
              <w:rPr>
                <w:sz w:val="18"/>
                <w:szCs w:val="18"/>
              </w:rPr>
              <w:t>69.0138</w:t>
            </w:r>
          </w:p>
        </w:tc>
        <w:tc>
          <w:tcPr>
            <w:tcW w:w="1370" w:type="dxa"/>
          </w:tcPr>
          <w:p>
            <w:pPr>
              <w:pStyle w:val="yTableNAm"/>
            </w:pPr>
            <w:r>
              <w:rPr>
                <w:sz w:val="18"/>
                <w:szCs w:val="18"/>
              </w:rPr>
              <w:t>78.7944</w:t>
            </w:r>
          </w:p>
        </w:tc>
      </w:tr>
      <w:tr>
        <w:trPr>
          <w:cantSplit/>
        </w:trPr>
        <w:tc>
          <w:tcPr>
            <w:tcW w:w="567" w:type="dxa"/>
          </w:tcPr>
          <w:p>
            <w:pPr>
              <w:pStyle w:val="yTableNAm"/>
            </w:pPr>
            <w:r>
              <w:rPr>
                <w:sz w:val="18"/>
                <w:szCs w:val="18"/>
              </w:rPr>
              <w:t>Z.16</w:t>
            </w:r>
          </w:p>
        </w:tc>
        <w:tc>
          <w:tcPr>
            <w:tcW w:w="851" w:type="dxa"/>
          </w:tcPr>
          <w:p>
            <w:pPr>
              <w:pStyle w:val="yTableNAm"/>
            </w:pPr>
            <w:r>
              <w:rPr>
                <w:sz w:val="18"/>
                <w:szCs w:val="18"/>
              </w:rPr>
              <w:t>250</w:t>
            </w:r>
          </w:p>
        </w:tc>
        <w:tc>
          <w:tcPr>
            <w:tcW w:w="1114" w:type="dxa"/>
          </w:tcPr>
          <w:p>
            <w:pPr>
              <w:pStyle w:val="yTableNAm"/>
            </w:pPr>
            <w:r>
              <w:rPr>
                <w:sz w:val="18"/>
                <w:szCs w:val="18"/>
              </w:rPr>
              <w:t>High Pressure Sodium</w:t>
            </w:r>
            <w:r>
              <w:rPr>
                <w:sz w:val="18"/>
                <w:szCs w:val="18"/>
              </w:rPr>
              <w:br/>
              <w:t>50% E.C. cost</w:t>
            </w:r>
          </w:p>
        </w:tc>
        <w:tc>
          <w:tcPr>
            <w:tcW w:w="1390" w:type="dxa"/>
            <w:gridSpan w:val="3"/>
          </w:tcPr>
          <w:p>
            <w:pPr>
              <w:pStyle w:val="yTableNAm"/>
            </w:pPr>
            <w:r>
              <w:rPr>
                <w:sz w:val="18"/>
                <w:szCs w:val="18"/>
              </w:rPr>
              <w:t>77.1398</w:t>
            </w:r>
          </w:p>
        </w:tc>
        <w:tc>
          <w:tcPr>
            <w:tcW w:w="1512" w:type="dxa"/>
          </w:tcPr>
          <w:p>
            <w:pPr>
              <w:pStyle w:val="yTableNAm"/>
            </w:pPr>
            <w:r>
              <w:rPr>
                <w:sz w:val="18"/>
                <w:szCs w:val="18"/>
              </w:rPr>
              <w:t>80.7650</w:t>
            </w:r>
          </w:p>
        </w:tc>
        <w:tc>
          <w:tcPr>
            <w:tcW w:w="1370" w:type="dxa"/>
          </w:tcPr>
          <w:p>
            <w:pPr>
              <w:pStyle w:val="yTableNAm"/>
            </w:pPr>
            <w:r>
              <w:rPr>
                <w:sz w:val="18"/>
                <w:szCs w:val="18"/>
              </w:rPr>
              <w:t>95.8963</w:t>
            </w:r>
          </w:p>
        </w:tc>
      </w:tr>
      <w:tr>
        <w:trPr>
          <w:cantSplit/>
        </w:trPr>
        <w:tc>
          <w:tcPr>
            <w:tcW w:w="567" w:type="dxa"/>
          </w:tcPr>
          <w:p>
            <w:pPr>
              <w:pStyle w:val="yTableNAm"/>
            </w:pPr>
            <w:r>
              <w:rPr>
                <w:sz w:val="18"/>
                <w:szCs w:val="18"/>
              </w:rPr>
              <w:t>Z.17</w:t>
            </w:r>
          </w:p>
        </w:tc>
        <w:tc>
          <w:tcPr>
            <w:tcW w:w="851" w:type="dxa"/>
          </w:tcPr>
          <w:p>
            <w:pPr>
              <w:pStyle w:val="yTableNAm"/>
            </w:pPr>
            <w:r>
              <w:rPr>
                <w:sz w:val="18"/>
                <w:szCs w:val="18"/>
              </w:rPr>
              <w:t>250</w:t>
            </w:r>
          </w:p>
        </w:tc>
        <w:tc>
          <w:tcPr>
            <w:tcW w:w="1114" w:type="dxa"/>
          </w:tcPr>
          <w:p>
            <w:pPr>
              <w:pStyle w:val="yTableNAm"/>
            </w:pPr>
            <w:r>
              <w:rPr>
                <w:sz w:val="18"/>
                <w:szCs w:val="18"/>
              </w:rPr>
              <w:t xml:space="preserve">High Pressure Sodium </w:t>
            </w:r>
            <w:r>
              <w:rPr>
                <w:sz w:val="18"/>
                <w:szCs w:val="18"/>
              </w:rPr>
              <w:br/>
              <w:t>100% E.C. cost</w:t>
            </w:r>
          </w:p>
        </w:tc>
        <w:tc>
          <w:tcPr>
            <w:tcW w:w="1390" w:type="dxa"/>
            <w:gridSpan w:val="3"/>
          </w:tcPr>
          <w:p>
            <w:pPr>
              <w:pStyle w:val="yTableNAm"/>
            </w:pPr>
            <w:r>
              <w:rPr>
                <w:sz w:val="18"/>
                <w:szCs w:val="18"/>
              </w:rPr>
              <w:t>86.3146</w:t>
            </w:r>
          </w:p>
        </w:tc>
        <w:tc>
          <w:tcPr>
            <w:tcW w:w="1512" w:type="dxa"/>
          </w:tcPr>
          <w:p>
            <w:pPr>
              <w:pStyle w:val="yTableNAm"/>
            </w:pPr>
            <w:r>
              <w:rPr>
                <w:sz w:val="18"/>
                <w:szCs w:val="18"/>
              </w:rPr>
              <w:t>89.9734</w:t>
            </w:r>
          </w:p>
        </w:tc>
        <w:tc>
          <w:tcPr>
            <w:tcW w:w="1370" w:type="dxa"/>
          </w:tcPr>
          <w:p>
            <w:pPr>
              <w:pStyle w:val="yTableNAm"/>
            </w:pPr>
            <w:r>
              <w:rPr>
                <w:sz w:val="18"/>
                <w:szCs w:val="18"/>
              </w:rPr>
              <w:t>105.1160</w:t>
            </w:r>
          </w:p>
        </w:tc>
      </w:tr>
      <w:tr>
        <w:trPr>
          <w:cantSplit/>
        </w:trPr>
        <w:tc>
          <w:tcPr>
            <w:tcW w:w="567" w:type="dxa"/>
          </w:tcPr>
          <w:p>
            <w:pPr>
              <w:pStyle w:val="yTableNAm"/>
            </w:pPr>
            <w:r>
              <w:rPr>
                <w:sz w:val="18"/>
                <w:szCs w:val="18"/>
              </w:rPr>
              <w:t>Z.51</w:t>
            </w:r>
          </w:p>
        </w:tc>
        <w:tc>
          <w:tcPr>
            <w:tcW w:w="851" w:type="dxa"/>
          </w:tcPr>
          <w:p>
            <w:pPr>
              <w:pStyle w:val="yTableNAm"/>
            </w:pPr>
            <w:r>
              <w:rPr>
                <w:sz w:val="18"/>
                <w:szCs w:val="18"/>
              </w:rPr>
              <w:t>60</w:t>
            </w:r>
          </w:p>
        </w:tc>
        <w:tc>
          <w:tcPr>
            <w:tcW w:w="1114" w:type="dxa"/>
          </w:tcPr>
          <w:p>
            <w:pPr>
              <w:pStyle w:val="yTableNAm"/>
            </w:pPr>
            <w:r>
              <w:rPr>
                <w:sz w:val="18"/>
                <w:szCs w:val="18"/>
              </w:rPr>
              <w:t>Incandescent</w:t>
            </w:r>
          </w:p>
        </w:tc>
        <w:tc>
          <w:tcPr>
            <w:tcW w:w="1390" w:type="dxa"/>
            <w:gridSpan w:val="3"/>
          </w:tcPr>
          <w:p>
            <w:pPr>
              <w:pStyle w:val="yTableNAm"/>
            </w:pPr>
            <w:r>
              <w:rPr>
                <w:sz w:val="18"/>
                <w:szCs w:val="18"/>
              </w:rPr>
              <w:t>34.4482</w:t>
            </w:r>
          </w:p>
        </w:tc>
        <w:tc>
          <w:tcPr>
            <w:tcW w:w="1512" w:type="dxa"/>
          </w:tcPr>
          <w:p>
            <w:pPr>
              <w:pStyle w:val="yTableNAm"/>
            </w:pPr>
            <w:r>
              <w:rPr>
                <w:sz w:val="18"/>
                <w:szCs w:val="18"/>
              </w:rPr>
              <w:t>35.1858</w:t>
            </w:r>
          </w:p>
        </w:tc>
        <w:tc>
          <w:tcPr>
            <w:tcW w:w="1370" w:type="dxa"/>
          </w:tcPr>
          <w:p>
            <w:pPr>
              <w:pStyle w:val="yTableNAm"/>
            </w:pPr>
            <w:r>
              <w:rPr>
                <w:sz w:val="18"/>
                <w:szCs w:val="18"/>
              </w:rPr>
              <w:t>37.8510</w:t>
            </w:r>
          </w:p>
        </w:tc>
      </w:tr>
      <w:tr>
        <w:trPr>
          <w:cantSplit/>
        </w:trPr>
        <w:tc>
          <w:tcPr>
            <w:tcW w:w="567" w:type="dxa"/>
          </w:tcPr>
          <w:p>
            <w:pPr>
              <w:pStyle w:val="yTableNAm"/>
            </w:pPr>
            <w:r>
              <w:rPr>
                <w:sz w:val="18"/>
                <w:szCs w:val="18"/>
              </w:rPr>
              <w:t>Z.52</w:t>
            </w:r>
          </w:p>
        </w:tc>
        <w:tc>
          <w:tcPr>
            <w:tcW w:w="851" w:type="dxa"/>
          </w:tcPr>
          <w:p>
            <w:pPr>
              <w:pStyle w:val="yTableNAm"/>
            </w:pPr>
            <w:r>
              <w:rPr>
                <w:sz w:val="18"/>
                <w:szCs w:val="18"/>
              </w:rPr>
              <w:t>100</w:t>
            </w:r>
          </w:p>
        </w:tc>
        <w:tc>
          <w:tcPr>
            <w:tcW w:w="1114" w:type="dxa"/>
          </w:tcPr>
          <w:p>
            <w:pPr>
              <w:pStyle w:val="yTableNAm"/>
            </w:pPr>
            <w:r>
              <w:rPr>
                <w:sz w:val="18"/>
                <w:szCs w:val="18"/>
              </w:rPr>
              <w:t>Incandescent</w:t>
            </w:r>
          </w:p>
        </w:tc>
        <w:tc>
          <w:tcPr>
            <w:tcW w:w="1390" w:type="dxa"/>
            <w:gridSpan w:val="3"/>
          </w:tcPr>
          <w:p>
            <w:pPr>
              <w:pStyle w:val="yTableNAm"/>
            </w:pPr>
            <w:r>
              <w:rPr>
                <w:sz w:val="18"/>
                <w:szCs w:val="18"/>
              </w:rPr>
              <w:t>34.3299</w:t>
            </w:r>
          </w:p>
        </w:tc>
        <w:tc>
          <w:tcPr>
            <w:tcW w:w="1512" w:type="dxa"/>
          </w:tcPr>
          <w:p>
            <w:pPr>
              <w:pStyle w:val="yTableNAm"/>
            </w:pPr>
            <w:r>
              <w:rPr>
                <w:sz w:val="18"/>
                <w:szCs w:val="18"/>
              </w:rPr>
              <w:t>35.6143</w:t>
            </w:r>
          </w:p>
        </w:tc>
        <w:tc>
          <w:tcPr>
            <w:tcW w:w="1370" w:type="dxa"/>
          </w:tcPr>
          <w:p>
            <w:pPr>
              <w:pStyle w:val="yTableNAm"/>
            </w:pPr>
            <w:r>
              <w:rPr>
                <w:sz w:val="18"/>
                <w:szCs w:val="18"/>
              </w:rPr>
              <w:t>39.5902</w:t>
            </w:r>
          </w:p>
        </w:tc>
      </w:tr>
      <w:tr>
        <w:trPr>
          <w:cantSplit/>
        </w:trPr>
        <w:tc>
          <w:tcPr>
            <w:tcW w:w="567" w:type="dxa"/>
          </w:tcPr>
          <w:p>
            <w:pPr>
              <w:pStyle w:val="yTableNAm"/>
            </w:pPr>
            <w:r>
              <w:rPr>
                <w:sz w:val="18"/>
                <w:szCs w:val="18"/>
              </w:rPr>
              <w:t>Z.53</w:t>
            </w:r>
          </w:p>
        </w:tc>
        <w:tc>
          <w:tcPr>
            <w:tcW w:w="851" w:type="dxa"/>
          </w:tcPr>
          <w:p>
            <w:pPr>
              <w:pStyle w:val="yTableNAm"/>
            </w:pPr>
            <w:r>
              <w:rPr>
                <w:sz w:val="18"/>
                <w:szCs w:val="18"/>
              </w:rPr>
              <w:t>200</w:t>
            </w:r>
          </w:p>
        </w:tc>
        <w:tc>
          <w:tcPr>
            <w:tcW w:w="1114" w:type="dxa"/>
          </w:tcPr>
          <w:p>
            <w:pPr>
              <w:pStyle w:val="yTableNAm"/>
            </w:pPr>
            <w:r>
              <w:rPr>
                <w:sz w:val="18"/>
                <w:szCs w:val="18"/>
              </w:rPr>
              <w:t>Incandescent</w:t>
            </w:r>
          </w:p>
        </w:tc>
        <w:tc>
          <w:tcPr>
            <w:tcW w:w="1390" w:type="dxa"/>
            <w:gridSpan w:val="3"/>
          </w:tcPr>
          <w:p>
            <w:pPr>
              <w:pStyle w:val="yTableNAm"/>
            </w:pPr>
            <w:r>
              <w:rPr>
                <w:sz w:val="18"/>
                <w:szCs w:val="18"/>
              </w:rPr>
              <w:t>40.5667</w:t>
            </w:r>
          </w:p>
        </w:tc>
        <w:tc>
          <w:tcPr>
            <w:tcW w:w="1512" w:type="dxa"/>
          </w:tcPr>
          <w:p>
            <w:pPr>
              <w:pStyle w:val="yTableNAm"/>
            </w:pPr>
            <w:r>
              <w:rPr>
                <w:sz w:val="18"/>
                <w:szCs w:val="18"/>
              </w:rPr>
              <w:t>41.4718</w:t>
            </w:r>
          </w:p>
        </w:tc>
        <w:tc>
          <w:tcPr>
            <w:tcW w:w="1370" w:type="dxa"/>
          </w:tcPr>
          <w:p>
            <w:pPr>
              <w:pStyle w:val="yTableNAm"/>
            </w:pPr>
            <w:r>
              <w:rPr>
                <w:sz w:val="18"/>
                <w:szCs w:val="18"/>
              </w:rPr>
              <w:t>45.6294</w:t>
            </w:r>
          </w:p>
        </w:tc>
      </w:tr>
      <w:tr>
        <w:trPr>
          <w:cantSplit/>
        </w:trPr>
        <w:tc>
          <w:tcPr>
            <w:tcW w:w="567" w:type="dxa"/>
          </w:tcPr>
          <w:p>
            <w:pPr>
              <w:pStyle w:val="yTableNAm"/>
            </w:pPr>
            <w:r>
              <w:rPr>
                <w:sz w:val="18"/>
                <w:szCs w:val="18"/>
              </w:rPr>
              <w:t>Z.54</w:t>
            </w:r>
          </w:p>
        </w:tc>
        <w:tc>
          <w:tcPr>
            <w:tcW w:w="851" w:type="dxa"/>
          </w:tcPr>
          <w:p>
            <w:pPr>
              <w:pStyle w:val="yTableNAm"/>
            </w:pPr>
            <w:r>
              <w:rPr>
                <w:sz w:val="18"/>
                <w:szCs w:val="18"/>
              </w:rPr>
              <w:t>300</w:t>
            </w:r>
          </w:p>
        </w:tc>
        <w:tc>
          <w:tcPr>
            <w:tcW w:w="1114" w:type="dxa"/>
          </w:tcPr>
          <w:p>
            <w:pPr>
              <w:pStyle w:val="yTableNAm"/>
            </w:pPr>
            <w:r>
              <w:rPr>
                <w:sz w:val="18"/>
                <w:szCs w:val="18"/>
              </w:rPr>
              <w:t>Incandescent</w:t>
            </w:r>
          </w:p>
        </w:tc>
        <w:tc>
          <w:tcPr>
            <w:tcW w:w="1390" w:type="dxa"/>
            <w:gridSpan w:val="3"/>
          </w:tcPr>
          <w:p>
            <w:pPr>
              <w:pStyle w:val="yTableNAm"/>
            </w:pPr>
            <w:r>
              <w:rPr>
                <w:sz w:val="18"/>
                <w:szCs w:val="18"/>
              </w:rPr>
              <w:t>50.1719</w:t>
            </w:r>
          </w:p>
        </w:tc>
        <w:tc>
          <w:tcPr>
            <w:tcW w:w="1512" w:type="dxa"/>
          </w:tcPr>
          <w:p>
            <w:pPr>
              <w:pStyle w:val="yTableNAm"/>
            </w:pPr>
            <w:r>
              <w:rPr>
                <w:sz w:val="18"/>
                <w:szCs w:val="18"/>
              </w:rPr>
              <w:t>51.7979</w:t>
            </w:r>
          </w:p>
        </w:tc>
        <w:tc>
          <w:tcPr>
            <w:tcW w:w="1370" w:type="dxa"/>
          </w:tcPr>
          <w:p>
            <w:pPr>
              <w:pStyle w:val="yTableNAm"/>
            </w:pPr>
            <w:r>
              <w:rPr>
                <w:sz w:val="18"/>
                <w:szCs w:val="18"/>
              </w:rPr>
              <w:t>57.6650</w:t>
            </w:r>
          </w:p>
        </w:tc>
      </w:tr>
      <w:tr>
        <w:trPr>
          <w:cantSplit/>
        </w:trPr>
        <w:tc>
          <w:tcPr>
            <w:tcW w:w="567" w:type="dxa"/>
          </w:tcPr>
          <w:p>
            <w:pPr>
              <w:pStyle w:val="yTableNAm"/>
            </w:pPr>
            <w:r>
              <w:rPr>
                <w:sz w:val="18"/>
                <w:szCs w:val="18"/>
              </w:rPr>
              <w:t>Z.55</w:t>
            </w:r>
          </w:p>
        </w:tc>
        <w:tc>
          <w:tcPr>
            <w:tcW w:w="851" w:type="dxa"/>
          </w:tcPr>
          <w:p>
            <w:pPr>
              <w:pStyle w:val="yTableNAm"/>
            </w:pPr>
            <w:r>
              <w:rPr>
                <w:sz w:val="18"/>
                <w:szCs w:val="18"/>
              </w:rPr>
              <w:t>500</w:t>
            </w:r>
          </w:p>
        </w:tc>
        <w:tc>
          <w:tcPr>
            <w:tcW w:w="1114" w:type="dxa"/>
          </w:tcPr>
          <w:p>
            <w:pPr>
              <w:pStyle w:val="yTableNAm"/>
            </w:pPr>
            <w:r>
              <w:rPr>
                <w:sz w:val="18"/>
                <w:szCs w:val="18"/>
              </w:rPr>
              <w:t>Incandescent</w:t>
            </w:r>
          </w:p>
        </w:tc>
        <w:tc>
          <w:tcPr>
            <w:tcW w:w="1390" w:type="dxa"/>
            <w:gridSpan w:val="3"/>
          </w:tcPr>
          <w:p>
            <w:pPr>
              <w:pStyle w:val="yTableNAm"/>
            </w:pPr>
            <w:r>
              <w:rPr>
                <w:sz w:val="18"/>
                <w:szCs w:val="18"/>
              </w:rPr>
              <w:t>80.6807</w:t>
            </w:r>
          </w:p>
        </w:tc>
        <w:tc>
          <w:tcPr>
            <w:tcW w:w="1512" w:type="dxa"/>
          </w:tcPr>
          <w:p>
            <w:pPr>
              <w:pStyle w:val="yTableNAm"/>
            </w:pPr>
            <w:r>
              <w:rPr>
                <w:sz w:val="18"/>
                <w:szCs w:val="18"/>
              </w:rPr>
              <w:t>83.8322</w:t>
            </w:r>
          </w:p>
        </w:tc>
        <w:tc>
          <w:tcPr>
            <w:tcW w:w="1370" w:type="dxa"/>
          </w:tcPr>
          <w:p>
            <w:pPr>
              <w:pStyle w:val="yTableNAm"/>
            </w:pPr>
            <w:r>
              <w:rPr>
                <w:sz w:val="18"/>
                <w:szCs w:val="18"/>
              </w:rPr>
              <w:t>95.6669</w:t>
            </w:r>
          </w:p>
        </w:tc>
      </w:tr>
      <w:tr>
        <w:trPr>
          <w:cantSplit/>
        </w:trPr>
        <w:tc>
          <w:tcPr>
            <w:tcW w:w="567" w:type="dxa"/>
          </w:tcPr>
          <w:p>
            <w:pPr>
              <w:pStyle w:val="yTableNAm"/>
            </w:pPr>
            <w:r>
              <w:rPr>
                <w:sz w:val="18"/>
                <w:szCs w:val="18"/>
              </w:rPr>
              <w:t>Z.56</w:t>
            </w:r>
          </w:p>
        </w:tc>
        <w:tc>
          <w:tcPr>
            <w:tcW w:w="851" w:type="dxa"/>
          </w:tcPr>
          <w:p>
            <w:pPr>
              <w:pStyle w:val="yTableNAm"/>
            </w:pPr>
            <w:r>
              <w:rPr>
                <w:sz w:val="18"/>
                <w:szCs w:val="18"/>
              </w:rPr>
              <w:t>40</w:t>
            </w:r>
          </w:p>
        </w:tc>
        <w:tc>
          <w:tcPr>
            <w:tcW w:w="1114" w:type="dxa"/>
          </w:tcPr>
          <w:p>
            <w:pPr>
              <w:pStyle w:val="yTableNAm"/>
            </w:pPr>
            <w:r>
              <w:rPr>
                <w:sz w:val="18"/>
                <w:szCs w:val="18"/>
              </w:rPr>
              <w:t>Fluorescent</w:t>
            </w:r>
          </w:p>
        </w:tc>
        <w:tc>
          <w:tcPr>
            <w:tcW w:w="1390" w:type="dxa"/>
            <w:gridSpan w:val="3"/>
          </w:tcPr>
          <w:p>
            <w:pPr>
              <w:pStyle w:val="yTableNAm"/>
            </w:pPr>
            <w:r>
              <w:rPr>
                <w:sz w:val="18"/>
                <w:szCs w:val="18"/>
              </w:rPr>
              <w:t>31.1550</w:t>
            </w:r>
          </w:p>
        </w:tc>
        <w:tc>
          <w:tcPr>
            <w:tcW w:w="1512" w:type="dxa"/>
          </w:tcPr>
          <w:p>
            <w:pPr>
              <w:pStyle w:val="yTableNAm"/>
            </w:pPr>
            <w:r>
              <w:rPr>
                <w:sz w:val="18"/>
                <w:szCs w:val="18"/>
              </w:rPr>
              <w:t>31.8944</w:t>
            </w:r>
          </w:p>
        </w:tc>
        <w:tc>
          <w:tcPr>
            <w:tcW w:w="1370" w:type="dxa"/>
          </w:tcPr>
          <w:p>
            <w:pPr>
              <w:pStyle w:val="yTableNAm"/>
            </w:pPr>
            <w:r>
              <w:rPr>
                <w:sz w:val="18"/>
                <w:szCs w:val="18"/>
              </w:rPr>
              <w:t>34.6592</w:t>
            </w:r>
          </w:p>
        </w:tc>
      </w:tr>
      <w:tr>
        <w:trPr>
          <w:cantSplit/>
        </w:trPr>
        <w:tc>
          <w:tcPr>
            <w:tcW w:w="567" w:type="dxa"/>
          </w:tcPr>
          <w:p>
            <w:pPr>
              <w:pStyle w:val="yTableNAm"/>
              <w:keepNext/>
            </w:pPr>
            <w:r>
              <w:rPr>
                <w:sz w:val="18"/>
                <w:szCs w:val="18"/>
              </w:rPr>
              <w:t>Z.57</w:t>
            </w:r>
          </w:p>
        </w:tc>
        <w:tc>
          <w:tcPr>
            <w:tcW w:w="851" w:type="dxa"/>
          </w:tcPr>
          <w:p>
            <w:pPr>
              <w:pStyle w:val="yTableNAm"/>
              <w:keepNext/>
            </w:pPr>
            <w:r>
              <w:rPr>
                <w:sz w:val="18"/>
                <w:szCs w:val="18"/>
              </w:rPr>
              <w:t>80</w:t>
            </w:r>
          </w:p>
        </w:tc>
        <w:tc>
          <w:tcPr>
            <w:tcW w:w="1114" w:type="dxa"/>
          </w:tcPr>
          <w:p>
            <w:pPr>
              <w:pStyle w:val="yTableNAm"/>
              <w:keepNext/>
            </w:pPr>
            <w:r>
              <w:rPr>
                <w:sz w:val="18"/>
                <w:szCs w:val="18"/>
              </w:rPr>
              <w:t>Fluorescent</w:t>
            </w:r>
          </w:p>
        </w:tc>
        <w:tc>
          <w:tcPr>
            <w:tcW w:w="1390" w:type="dxa"/>
            <w:gridSpan w:val="3"/>
          </w:tcPr>
          <w:p>
            <w:pPr>
              <w:pStyle w:val="yTableNAm"/>
              <w:keepNext/>
            </w:pPr>
            <w:r>
              <w:rPr>
                <w:sz w:val="18"/>
                <w:szCs w:val="18"/>
              </w:rPr>
              <w:t>40.5665</w:t>
            </w:r>
          </w:p>
        </w:tc>
        <w:tc>
          <w:tcPr>
            <w:tcW w:w="1512" w:type="dxa"/>
          </w:tcPr>
          <w:p>
            <w:pPr>
              <w:pStyle w:val="yTableNAm"/>
              <w:keepNext/>
            </w:pPr>
            <w:r>
              <w:rPr>
                <w:sz w:val="18"/>
                <w:szCs w:val="18"/>
              </w:rPr>
              <w:t>41.4718</w:t>
            </w:r>
          </w:p>
        </w:tc>
        <w:tc>
          <w:tcPr>
            <w:tcW w:w="1370" w:type="dxa"/>
          </w:tcPr>
          <w:p>
            <w:pPr>
              <w:pStyle w:val="yTableNAm"/>
              <w:keepNext/>
            </w:pPr>
            <w:r>
              <w:rPr>
                <w:sz w:val="18"/>
                <w:szCs w:val="18"/>
              </w:rPr>
              <w:t>45.6294</w:t>
            </w:r>
          </w:p>
        </w:tc>
      </w:tr>
      <w:tr>
        <w:trPr>
          <w:cantSplit/>
        </w:trPr>
        <w:tc>
          <w:tcPr>
            <w:tcW w:w="567" w:type="dxa"/>
            <w:tcBorders>
              <w:bottom w:val="single" w:sz="4" w:space="0" w:color="auto"/>
            </w:tcBorders>
          </w:tcPr>
          <w:p>
            <w:pPr>
              <w:pStyle w:val="yTableNAm"/>
            </w:pPr>
            <w:r>
              <w:rPr>
                <w:sz w:val="18"/>
                <w:szCs w:val="18"/>
              </w:rPr>
              <w:t>Z.58</w:t>
            </w:r>
          </w:p>
        </w:tc>
        <w:tc>
          <w:tcPr>
            <w:tcW w:w="851" w:type="dxa"/>
            <w:tcBorders>
              <w:bottom w:val="single" w:sz="4" w:space="0" w:color="auto"/>
            </w:tcBorders>
          </w:tcPr>
          <w:p>
            <w:pPr>
              <w:pStyle w:val="yTableNAm"/>
            </w:pPr>
            <w:r>
              <w:rPr>
                <w:sz w:val="18"/>
                <w:szCs w:val="18"/>
              </w:rPr>
              <w:t>160</w:t>
            </w:r>
          </w:p>
        </w:tc>
        <w:tc>
          <w:tcPr>
            <w:tcW w:w="1114" w:type="dxa"/>
            <w:tcBorders>
              <w:bottom w:val="single" w:sz="4" w:space="0" w:color="auto"/>
            </w:tcBorders>
          </w:tcPr>
          <w:p>
            <w:pPr>
              <w:pStyle w:val="yTableNAm"/>
            </w:pPr>
            <w:r>
              <w:rPr>
                <w:sz w:val="18"/>
                <w:szCs w:val="18"/>
              </w:rPr>
              <w:t>Fluorescent</w:t>
            </w:r>
          </w:p>
        </w:tc>
        <w:tc>
          <w:tcPr>
            <w:tcW w:w="1390" w:type="dxa"/>
            <w:gridSpan w:val="3"/>
            <w:tcBorders>
              <w:bottom w:val="single" w:sz="4" w:space="0" w:color="auto"/>
            </w:tcBorders>
          </w:tcPr>
          <w:p>
            <w:pPr>
              <w:pStyle w:val="yTableNAm"/>
            </w:pPr>
            <w:r>
              <w:rPr>
                <w:sz w:val="18"/>
                <w:szCs w:val="18"/>
              </w:rPr>
              <w:t>56.7433</w:t>
            </w:r>
          </w:p>
        </w:tc>
        <w:tc>
          <w:tcPr>
            <w:tcW w:w="1512" w:type="dxa"/>
            <w:tcBorders>
              <w:bottom w:val="single" w:sz="4" w:space="0" w:color="auto"/>
            </w:tcBorders>
          </w:tcPr>
          <w:p>
            <w:pPr>
              <w:pStyle w:val="yTableNAm"/>
            </w:pPr>
            <w:r>
              <w:rPr>
                <w:sz w:val="18"/>
                <w:szCs w:val="18"/>
              </w:rPr>
              <w:t>57.5309</w:t>
            </w:r>
          </w:p>
        </w:tc>
        <w:tc>
          <w:tcPr>
            <w:tcW w:w="1370" w:type="dxa"/>
            <w:tcBorders>
              <w:bottom w:val="single" w:sz="4" w:space="0" w:color="auto"/>
            </w:tcBorders>
          </w:tcPr>
          <w:p>
            <w:pPr>
              <w:pStyle w:val="yTableNAm"/>
            </w:pPr>
            <w:r>
              <w:rPr>
                <w:sz w:val="18"/>
                <w:szCs w:val="18"/>
              </w:rPr>
              <w:t>66.7505</w:t>
            </w:r>
          </w:p>
        </w:tc>
      </w:tr>
    </w:tbl>
    <w:p>
      <w:pPr>
        <w:pStyle w:val="yFootnotesection"/>
      </w:pPr>
      <w:r>
        <w:tab/>
        <w:t>[Division 1 inserted: 21 Jun 2019 p. 2124</w:t>
      </w:r>
      <w:r>
        <w:noBreakHyphen/>
        <w:t>5.]</w:t>
      </w:r>
    </w:p>
    <w:p>
      <w:pPr>
        <w:pStyle w:val="yHeading3"/>
      </w:pPr>
      <w:bookmarkStart w:id="66" w:name="_Toc42507195"/>
      <w:bookmarkStart w:id="67" w:name="_Toc42522205"/>
      <w:bookmarkStart w:id="68" w:name="_Toc17884483"/>
      <w:bookmarkStart w:id="69" w:name="_Toc17884517"/>
      <w:bookmarkStart w:id="70" w:name="_Toc17885775"/>
      <w:bookmarkStart w:id="71" w:name="_Toc18064462"/>
      <w:r>
        <w:rPr>
          <w:rStyle w:val="CharSDivNo"/>
        </w:rPr>
        <w:t>Division 2</w:t>
      </w:r>
      <w:r>
        <w:rPr>
          <w:b w:val="0"/>
        </w:rPr>
        <w:t> — </w:t>
      </w:r>
      <w:r>
        <w:rPr>
          <w:rStyle w:val="CharSDivText"/>
        </w:rPr>
        <w:t>Miscellaneous</w:t>
      </w:r>
      <w:bookmarkEnd w:id="66"/>
      <w:bookmarkEnd w:id="67"/>
      <w:bookmarkEnd w:id="68"/>
      <w:bookmarkEnd w:id="69"/>
      <w:bookmarkEnd w:id="70"/>
      <w:bookmarkEnd w:id="71"/>
    </w:p>
    <w:p>
      <w:pPr>
        <w:pStyle w:val="yFootnoteheading"/>
      </w:pPr>
      <w:r>
        <w:tab/>
        <w:t>[Heading inserted: Gazette 21 Jun 2019 p. 2125]</w:t>
      </w:r>
    </w:p>
    <w:p>
      <w:pPr>
        <w:pStyle w:val="yHeading5"/>
      </w:pPr>
      <w:bookmarkStart w:id="72" w:name="_Toc42522206"/>
      <w:bookmarkStart w:id="73" w:name="_Toc18064463"/>
      <w:r>
        <w:rPr>
          <w:rStyle w:val="CharSClsNo"/>
        </w:rPr>
        <w:t>1</w:t>
      </w:r>
      <w:r>
        <w:t>.</w:t>
      </w:r>
      <w:r>
        <w:tab/>
        <w:t>Traffic light installation</w:t>
      </w:r>
      <w:bookmarkEnd w:id="72"/>
      <w:bookmarkEnd w:id="73"/>
    </w:p>
    <w:p>
      <w:pPr>
        <w:pStyle w:val="ySubsection"/>
      </w:pPr>
      <w:r>
        <w:tab/>
      </w:r>
      <w:r>
        <w:tab/>
        <w:t xml:space="preserve">Supply of electricity to traffic light installations comprises a charge of </w:t>
      </w:r>
      <w:r>
        <w:rPr>
          <w:szCs w:val="22"/>
        </w:rPr>
        <w:t xml:space="preserve">$7.4619 </w:t>
      </w:r>
      <w:r>
        <w:t>per day per kW of installed wattage.</w:t>
      </w:r>
    </w:p>
    <w:p>
      <w:pPr>
        <w:pStyle w:val="yFootnotesection"/>
      </w:pPr>
      <w:r>
        <w:tab/>
        <w:t>[Clause 1 inserted: Gazette 21 Jun 2019 p. 2125.]</w:t>
      </w:r>
    </w:p>
    <w:p>
      <w:pPr>
        <w:pStyle w:val="yHeading5"/>
      </w:pPr>
      <w:bookmarkStart w:id="74" w:name="_Toc42522207"/>
      <w:bookmarkStart w:id="75" w:name="_Toc18064464"/>
      <w:r>
        <w:rPr>
          <w:rStyle w:val="CharSClsNo"/>
        </w:rPr>
        <w:t>2.</w:t>
      </w:r>
      <w:r>
        <w:tab/>
        <w:t>Public telephone facility</w:t>
      </w:r>
      <w:bookmarkEnd w:id="74"/>
      <w:bookmarkEnd w:id="75"/>
    </w:p>
    <w:p>
      <w:pPr>
        <w:pStyle w:val="ySubsection"/>
      </w:pPr>
      <w:r>
        <w:tab/>
      </w:r>
      <w:r>
        <w:tab/>
        <w:t xml:space="preserve">Supply of electricity to a standard public telephone facility where supply is not independently metered comprises a charge of </w:t>
      </w:r>
      <w:r>
        <w:rPr>
          <w:szCs w:val="22"/>
        </w:rPr>
        <w:t>64.7219</w:t>
      </w:r>
      <w:r>
        <w:t xml:space="preserve"> cents per day.</w:t>
      </w:r>
    </w:p>
    <w:p>
      <w:pPr>
        <w:pStyle w:val="yFootnotesection"/>
      </w:pPr>
      <w:r>
        <w:tab/>
        <w:t>[Clause 2 inserted: Gazette 21 Jun 2019 p. 2126.]</w:t>
      </w:r>
    </w:p>
    <w:p>
      <w:pPr>
        <w:pStyle w:val="yHeading5"/>
      </w:pPr>
      <w:bookmarkStart w:id="76" w:name="_Toc42522208"/>
      <w:bookmarkStart w:id="77" w:name="_Toc18064465"/>
      <w:r>
        <w:rPr>
          <w:rStyle w:val="CharSClsNo"/>
        </w:rPr>
        <w:t>3</w:t>
      </w:r>
      <w:r>
        <w:t>.</w:t>
      </w:r>
      <w:r>
        <w:tab/>
        <w:t>Railway crossing</w:t>
      </w:r>
      <w:bookmarkEnd w:id="76"/>
      <w:bookmarkEnd w:id="77"/>
    </w:p>
    <w:p>
      <w:pPr>
        <w:pStyle w:val="ySubsection"/>
      </w:pPr>
      <w:r>
        <w:tab/>
      </w:r>
      <w:r>
        <w:tab/>
        <w:t xml:space="preserve">Supply of electricity to standard railway crossing lights comprises a charge of </w:t>
      </w:r>
      <w:r>
        <w:rPr>
          <w:szCs w:val="22"/>
        </w:rPr>
        <w:t xml:space="preserve">82.7103 </w:t>
      </w:r>
      <w:r>
        <w:t>cents per day.</w:t>
      </w:r>
    </w:p>
    <w:p>
      <w:pPr>
        <w:pStyle w:val="yFootnotesection"/>
      </w:pPr>
      <w:r>
        <w:tab/>
        <w:t>[Clause 3 inserted: Gazette 21 Jun 2019 p. 2126.]</w:t>
      </w:r>
    </w:p>
    <w:p>
      <w:pPr>
        <w:pStyle w:val="yScheduleHeading"/>
      </w:pPr>
      <w:bookmarkStart w:id="78" w:name="_Toc42507199"/>
      <w:bookmarkStart w:id="79" w:name="_Toc42522209"/>
      <w:bookmarkStart w:id="80" w:name="_Toc17884487"/>
      <w:bookmarkStart w:id="81" w:name="_Toc17884521"/>
      <w:bookmarkStart w:id="82" w:name="_Toc17885779"/>
      <w:bookmarkStart w:id="83" w:name="_Toc18064466"/>
      <w:r>
        <w:rPr>
          <w:rStyle w:val="CharSchNo"/>
        </w:rPr>
        <w:t>Schedule 3</w:t>
      </w:r>
      <w:r>
        <w:rPr>
          <w:rStyle w:val="CharSDivNo"/>
        </w:rPr>
        <w:t> </w:t>
      </w:r>
      <w:r>
        <w:t>—</w:t>
      </w:r>
      <w:r>
        <w:rPr>
          <w:rStyle w:val="CharSDivText"/>
        </w:rPr>
        <w:t> </w:t>
      </w:r>
      <w:r>
        <w:rPr>
          <w:rStyle w:val="CharSchText"/>
        </w:rPr>
        <w:t>Meter rental</w:t>
      </w:r>
      <w:bookmarkEnd w:id="78"/>
      <w:bookmarkEnd w:id="79"/>
      <w:bookmarkEnd w:id="80"/>
      <w:bookmarkEnd w:id="81"/>
      <w:bookmarkEnd w:id="82"/>
      <w:bookmarkEnd w:id="83"/>
    </w:p>
    <w:p>
      <w:pPr>
        <w:pStyle w:val="yShoulderClause"/>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84" w:name="_Toc42507200"/>
      <w:bookmarkStart w:id="85" w:name="_Toc42522210"/>
      <w:bookmarkStart w:id="86" w:name="_Toc17884488"/>
      <w:bookmarkStart w:id="87" w:name="_Toc17884522"/>
      <w:bookmarkStart w:id="88" w:name="_Toc17885780"/>
      <w:bookmarkStart w:id="89" w:name="_Toc18064467"/>
      <w:r>
        <w:rPr>
          <w:rStyle w:val="CharSchNo"/>
        </w:rPr>
        <w:t>Schedule 4</w:t>
      </w:r>
      <w:r>
        <w:rPr>
          <w:rStyle w:val="CharSDivNo"/>
        </w:rPr>
        <w:t> </w:t>
      </w:r>
      <w:r>
        <w:t>—</w:t>
      </w:r>
      <w:r>
        <w:rPr>
          <w:rStyle w:val="CharSDivText"/>
        </w:rPr>
        <w:t> </w:t>
      </w:r>
      <w:r>
        <w:rPr>
          <w:rStyle w:val="CharSchText"/>
        </w:rPr>
        <w:t>Fees</w:t>
      </w:r>
      <w:bookmarkEnd w:id="84"/>
      <w:bookmarkEnd w:id="85"/>
      <w:bookmarkEnd w:id="86"/>
      <w:bookmarkEnd w:id="87"/>
      <w:bookmarkEnd w:id="88"/>
      <w:bookmarkEnd w:id="89"/>
    </w:p>
    <w:p>
      <w:pPr>
        <w:pStyle w:val="yShoulderClause"/>
      </w:pPr>
      <w:r>
        <w:t>[bl. 7]</w:t>
      </w:r>
    </w:p>
    <w:p>
      <w:pPr>
        <w:pStyle w:val="yFootnoteheading"/>
        <w:spacing w:after="120"/>
      </w:pPr>
      <w:r>
        <w:tab/>
        <w:t>[Heading inserted: Gazette 21 Jun 2019 p. 2126.]</w:t>
      </w:r>
    </w:p>
    <w:tbl>
      <w:tblPr>
        <w:tblW w:w="0" w:type="auto"/>
        <w:tblInd w:w="284" w:type="dxa"/>
        <w:tblLayout w:type="fixed"/>
        <w:tblCellMar>
          <w:left w:w="142" w:type="dxa"/>
          <w:right w:w="142" w:type="dxa"/>
        </w:tblCellMar>
        <w:tblLook w:val="0000" w:firstRow="0" w:lastRow="0" w:firstColumn="0" w:lastColumn="0" w:noHBand="0" w:noVBand="0"/>
      </w:tblPr>
      <w:tblGrid>
        <w:gridCol w:w="5528"/>
        <w:gridCol w:w="1276"/>
      </w:tblGrid>
      <w:tr>
        <w:trPr>
          <w:cantSplit/>
          <w:tblHeader/>
        </w:trPr>
        <w:tc>
          <w:tcPr>
            <w:tcW w:w="5528" w:type="dxa"/>
            <w:tcBorders>
              <w:top w:val="single" w:sz="4" w:space="0" w:color="auto"/>
              <w:bottom w:val="single" w:sz="4" w:space="0" w:color="auto"/>
            </w:tcBorders>
          </w:tcPr>
          <w:p>
            <w:pPr>
              <w:pStyle w:val="yTableNAm"/>
            </w:pPr>
            <w:r>
              <w:rPr>
                <w:b/>
                <w:iCs/>
              </w:rPr>
              <w:tab/>
              <w:t>Description of fee</w:t>
            </w:r>
          </w:p>
        </w:tc>
        <w:tc>
          <w:tcPr>
            <w:tcW w:w="1276" w:type="dxa"/>
            <w:tcBorders>
              <w:top w:val="single" w:sz="4" w:space="0" w:color="auto"/>
              <w:bottom w:val="single" w:sz="4" w:space="0" w:color="auto"/>
            </w:tcBorders>
          </w:tcPr>
          <w:p>
            <w:pPr>
              <w:pStyle w:val="yTableNAm"/>
            </w:pPr>
            <w:r>
              <w:rPr>
                <w:b/>
                <w:iCs/>
              </w:rPr>
              <w:t>Amount</w:t>
            </w:r>
          </w:p>
        </w:tc>
      </w:tr>
      <w:tr>
        <w:trPr>
          <w:cantSplit/>
        </w:trPr>
        <w:tc>
          <w:tcPr>
            <w:tcW w:w="5528" w:type="dxa"/>
            <w:tcBorders>
              <w:top w:val="single" w:sz="4" w:space="0" w:color="auto"/>
            </w:tcBorders>
          </w:tcPr>
          <w:p>
            <w:pPr>
              <w:pStyle w:val="yTableNAm"/>
              <w:tabs>
                <w:tab w:val="right" w:leader="dot" w:pos="5244"/>
              </w:tabs>
              <w:ind w:left="567" w:hanging="567"/>
            </w:pPr>
            <w:r>
              <w:t>1.</w:t>
            </w:r>
            <w:r>
              <w:tab/>
              <w:t>Non</w:t>
            </w:r>
            <w:r>
              <w:noBreakHyphen/>
              <w:t xml:space="preserve">refundable account establishment fee payable on the establishment or transfer of an account </w:t>
            </w:r>
            <w:r>
              <w:tab/>
            </w:r>
          </w:p>
        </w:tc>
        <w:tc>
          <w:tcPr>
            <w:tcW w:w="1276" w:type="dxa"/>
            <w:tcBorders>
              <w:top w:val="single" w:sz="4" w:space="0" w:color="auto"/>
            </w:tcBorders>
          </w:tcPr>
          <w:p>
            <w:pPr>
              <w:pStyle w:val="yTableNAm"/>
            </w:pPr>
            <w:r>
              <w:br/>
              <w:t>$33.80</w:t>
            </w:r>
          </w:p>
        </w:tc>
      </w:tr>
      <w:tr>
        <w:trPr>
          <w:cantSplit/>
        </w:trPr>
        <w:tc>
          <w:tcPr>
            <w:tcW w:w="5528" w:type="dxa"/>
          </w:tcPr>
          <w:p>
            <w:pPr>
              <w:pStyle w:val="yTableNAm"/>
            </w:pPr>
            <w:r>
              <w:t>2.</w:t>
            </w:r>
            <w:r>
              <w:tab/>
              <w:t>Three phase residential installation — </w:t>
            </w:r>
          </w:p>
          <w:p>
            <w:pPr>
              <w:pStyle w:val="yTableNAm"/>
              <w:tabs>
                <w:tab w:val="left" w:pos="989"/>
                <w:tab w:val="right" w:leader="dot" w:pos="5244"/>
              </w:tabs>
              <w:ind w:left="992" w:hanging="992"/>
            </w:pPr>
            <w:r>
              <w:tab/>
              <w:t>(a)</w:t>
            </w:r>
            <w:r>
              <w:tab/>
              <w:t xml:space="preserve">new installation of three phase meter or replacement of single phase meter with three phase meter </w:t>
            </w:r>
            <w:r>
              <w:tab/>
            </w:r>
          </w:p>
          <w:p>
            <w:pPr>
              <w:pStyle w:val="yTableNAm"/>
              <w:tabs>
                <w:tab w:val="left" w:pos="989"/>
                <w:tab w:val="right" w:leader="dot" w:pos="5244"/>
              </w:tabs>
              <w:ind w:left="992" w:hanging="992"/>
            </w:pPr>
            <w:r>
              <w:tab/>
              <w:t>(b)</w:t>
            </w:r>
            <w:r>
              <w:tab/>
              <w:t xml:space="preserve">installation of subsidiary three phase meter (each installation) </w:t>
            </w:r>
            <w:r>
              <w:tab/>
            </w:r>
          </w:p>
        </w:tc>
        <w:tc>
          <w:tcPr>
            <w:tcW w:w="1276" w:type="dxa"/>
          </w:tcPr>
          <w:p>
            <w:pPr>
              <w:pStyle w:val="yTableNAm"/>
            </w:pPr>
          </w:p>
          <w:p>
            <w:pPr>
              <w:pStyle w:val="yTableNAm"/>
            </w:pPr>
            <w:r>
              <w:br/>
            </w:r>
            <w:r>
              <w:br/>
              <w:t>$235.04</w:t>
            </w:r>
          </w:p>
          <w:p>
            <w:pPr>
              <w:pStyle w:val="yTableNAm"/>
            </w:pPr>
            <w:r>
              <w:br/>
              <w:t>$148.50</w:t>
            </w:r>
          </w:p>
        </w:tc>
      </w:tr>
      <w:tr>
        <w:trPr>
          <w:cantSplit/>
        </w:trPr>
        <w:tc>
          <w:tcPr>
            <w:tcW w:w="5528" w:type="dxa"/>
          </w:tcPr>
          <w:p>
            <w:pPr>
              <w:pStyle w:val="yTableNAm"/>
              <w:ind w:left="567" w:hanging="567"/>
            </w:pPr>
            <w:r>
              <w:t>3.</w:t>
            </w:r>
            <w:r>
              <w:tab/>
              <w:t>Non</w:t>
            </w:r>
            <w:r>
              <w:noBreakHyphen/>
              <w:t>refundable reconnection fee where supply has been terminated for non</w:t>
            </w:r>
            <w:r>
              <w:noBreakHyphen/>
              <w:t>payment of charges or for any other lawful reason — </w:t>
            </w:r>
          </w:p>
          <w:p>
            <w:pPr>
              <w:pStyle w:val="yTableNAm"/>
              <w:tabs>
                <w:tab w:val="left" w:pos="989"/>
                <w:tab w:val="right" w:leader="dot" w:pos="5244"/>
              </w:tabs>
              <w:ind w:left="992" w:hanging="992"/>
            </w:pPr>
            <w:r>
              <w:tab/>
              <w:t>(a)</w:t>
            </w:r>
            <w:r>
              <w:tab/>
              <w:t>for urgent reconnection at request of customer (other than life support customer) where the service is performed within a period less than the standard re-energisation timeframe set out in the MSLA</w:t>
            </w:r>
            <w:r>
              <w:tab/>
            </w:r>
          </w:p>
        </w:tc>
        <w:tc>
          <w:tcPr>
            <w:tcW w:w="1276" w:type="dxa"/>
          </w:tcPr>
          <w:p>
            <w:pPr>
              <w:pStyle w:val="yTableNAm"/>
            </w:pPr>
            <w:r>
              <w:br/>
            </w:r>
            <w:r>
              <w:br/>
            </w:r>
          </w:p>
          <w:p>
            <w:pPr>
              <w:pStyle w:val="yTableNAm"/>
            </w:pPr>
            <w:r>
              <w:br/>
            </w:r>
            <w:r>
              <w:br/>
            </w:r>
            <w:r>
              <w:br/>
            </w:r>
            <w:r>
              <w:br/>
              <w:t>$213.76</w:t>
            </w:r>
          </w:p>
        </w:tc>
      </w:tr>
      <w:tr>
        <w:trPr>
          <w:cantSplit/>
        </w:trPr>
        <w:tc>
          <w:tcPr>
            <w:tcW w:w="5528" w:type="dxa"/>
          </w:tcPr>
          <w:p>
            <w:pPr>
              <w:pStyle w:val="yTableNAm"/>
              <w:tabs>
                <w:tab w:val="left" w:pos="989"/>
                <w:tab w:val="right" w:leader="dot" w:pos="5244"/>
              </w:tabs>
              <w:ind w:left="992" w:hanging="992"/>
            </w:pPr>
            <w:r>
              <w:tab/>
              <w:t>(b)</w:t>
            </w:r>
            <w:r>
              <w:tab/>
              <w:t>otherwise</w:t>
            </w:r>
            <w:r>
              <w:tab/>
            </w:r>
          </w:p>
        </w:tc>
        <w:tc>
          <w:tcPr>
            <w:tcW w:w="1276" w:type="dxa"/>
          </w:tcPr>
          <w:p>
            <w:pPr>
              <w:pStyle w:val="yTableNAm"/>
            </w:pPr>
            <w:r>
              <w:t>$31.10</w:t>
            </w:r>
          </w:p>
        </w:tc>
      </w:tr>
      <w:tr>
        <w:trPr>
          <w:cantSplit/>
        </w:trPr>
        <w:tc>
          <w:tcPr>
            <w:tcW w:w="5528" w:type="dxa"/>
          </w:tcPr>
          <w:p>
            <w:pPr>
              <w:pStyle w:val="yTableNAm"/>
            </w:pPr>
            <w:r>
              <w:t>4.</w:t>
            </w:r>
            <w:r>
              <w:tab/>
              <w:t>Temporary supply connection — </w:t>
            </w:r>
          </w:p>
        </w:tc>
        <w:tc>
          <w:tcPr>
            <w:tcW w:w="1276" w:type="dxa"/>
          </w:tcPr>
          <w:p>
            <w:pPr>
              <w:pStyle w:val="yTableNAm"/>
            </w:pPr>
          </w:p>
        </w:tc>
      </w:tr>
      <w:tr>
        <w:trPr>
          <w:cantSplit/>
        </w:trPr>
        <w:tc>
          <w:tcPr>
            <w:tcW w:w="5528" w:type="dxa"/>
          </w:tcPr>
          <w:p>
            <w:pPr>
              <w:pStyle w:val="yTableNAm"/>
              <w:tabs>
                <w:tab w:val="left" w:pos="989"/>
                <w:tab w:val="right" w:leader="dot" w:pos="5244"/>
              </w:tabs>
              <w:ind w:left="992" w:hanging="992"/>
            </w:pPr>
            <w:r>
              <w:tab/>
              <w:t>(a)</w:t>
            </w:r>
            <w:r>
              <w:tab/>
              <w:t xml:space="preserve">single phase (overhead) </w:t>
            </w:r>
            <w:r>
              <w:tab/>
            </w:r>
          </w:p>
        </w:tc>
        <w:tc>
          <w:tcPr>
            <w:tcW w:w="1276" w:type="dxa"/>
          </w:tcPr>
          <w:p>
            <w:pPr>
              <w:pStyle w:val="yTableNAm"/>
            </w:pPr>
            <w:r>
              <w:t>$300.00</w:t>
            </w:r>
          </w:p>
        </w:tc>
      </w:tr>
      <w:tr>
        <w:trPr>
          <w:cantSplit/>
        </w:trPr>
        <w:tc>
          <w:tcPr>
            <w:tcW w:w="5528" w:type="dxa"/>
          </w:tcPr>
          <w:p>
            <w:pPr>
              <w:pStyle w:val="yTableNAm"/>
              <w:tabs>
                <w:tab w:val="left" w:pos="989"/>
                <w:tab w:val="right" w:leader="dot" w:pos="5244"/>
              </w:tabs>
              <w:ind w:left="992" w:hanging="992"/>
            </w:pPr>
            <w:r>
              <w:tab/>
              <w:t>(b)</w:t>
            </w:r>
            <w:r>
              <w:tab/>
              <w:t xml:space="preserve">three phase (overhead) </w:t>
            </w:r>
            <w:r>
              <w:tab/>
            </w:r>
          </w:p>
        </w:tc>
        <w:tc>
          <w:tcPr>
            <w:tcW w:w="1276" w:type="dxa"/>
          </w:tcPr>
          <w:p>
            <w:pPr>
              <w:pStyle w:val="yTableNAm"/>
            </w:pPr>
            <w:r>
              <w:t>$600.00</w:t>
            </w:r>
          </w:p>
        </w:tc>
      </w:tr>
      <w:tr>
        <w:trPr>
          <w:cantSplit/>
        </w:trPr>
        <w:tc>
          <w:tcPr>
            <w:tcW w:w="5528" w:type="dxa"/>
          </w:tcPr>
          <w:p>
            <w:pPr>
              <w:pStyle w:val="yTableNAm"/>
            </w:pPr>
            <w:r>
              <w:t>5.</w:t>
            </w:r>
            <w:r>
              <w:tab/>
              <w:t>Meter testing — </w:t>
            </w:r>
          </w:p>
        </w:tc>
        <w:tc>
          <w:tcPr>
            <w:tcW w:w="1276" w:type="dxa"/>
          </w:tcPr>
          <w:p>
            <w:pPr>
              <w:pStyle w:val="yTableNAm"/>
            </w:pPr>
          </w:p>
        </w:tc>
      </w:tr>
      <w:tr>
        <w:trPr>
          <w:cantSplit/>
        </w:trPr>
        <w:tc>
          <w:tcPr>
            <w:tcW w:w="5528" w:type="dxa"/>
          </w:tcPr>
          <w:p>
            <w:pPr>
              <w:pStyle w:val="yTableNAm"/>
              <w:tabs>
                <w:tab w:val="left" w:pos="989"/>
                <w:tab w:val="right" w:leader="dot" w:pos="5244"/>
              </w:tabs>
              <w:ind w:left="992" w:hanging="992"/>
            </w:pPr>
            <w:r>
              <w:tab/>
              <w:t>(a)</w:t>
            </w:r>
            <w:r>
              <w:tab/>
              <w:t xml:space="preserve">standard meter testing fee </w:t>
            </w:r>
            <w:r>
              <w:tab/>
            </w:r>
          </w:p>
        </w:tc>
        <w:tc>
          <w:tcPr>
            <w:tcW w:w="1276" w:type="dxa"/>
          </w:tcPr>
          <w:p>
            <w:pPr>
              <w:pStyle w:val="yTableNAm"/>
            </w:pPr>
            <w:r>
              <w:t>$336.15</w:t>
            </w:r>
          </w:p>
        </w:tc>
      </w:tr>
      <w:tr>
        <w:trPr>
          <w:cantSplit/>
        </w:trPr>
        <w:tc>
          <w:tcPr>
            <w:tcW w:w="5528" w:type="dxa"/>
          </w:tcPr>
          <w:p>
            <w:pPr>
              <w:pStyle w:val="yTableNAm"/>
              <w:tabs>
                <w:tab w:val="left" w:pos="989"/>
                <w:tab w:val="right" w:leader="dot" w:pos="5244"/>
              </w:tabs>
              <w:ind w:left="992" w:hanging="992"/>
            </w:pPr>
            <w:r>
              <w:tab/>
              <w:t>(b)</w:t>
            </w:r>
            <w:r>
              <w:tab/>
              <w:t xml:space="preserve">reduced meter testing fee </w:t>
            </w:r>
            <w:r>
              <w:tab/>
            </w:r>
          </w:p>
        </w:tc>
        <w:tc>
          <w:tcPr>
            <w:tcW w:w="1276" w:type="dxa"/>
          </w:tcPr>
          <w:p>
            <w:pPr>
              <w:pStyle w:val="yTableNAm"/>
            </w:pPr>
            <w:r>
              <w:t>$144.00</w:t>
            </w:r>
          </w:p>
        </w:tc>
      </w:tr>
      <w:tr>
        <w:trPr>
          <w:cantSplit/>
        </w:trPr>
        <w:tc>
          <w:tcPr>
            <w:tcW w:w="5528" w:type="dxa"/>
          </w:tcPr>
          <w:p>
            <w:pPr>
              <w:pStyle w:val="yTableNAm"/>
              <w:tabs>
                <w:tab w:val="right" w:leader="dot" w:pos="5244"/>
              </w:tabs>
              <w:ind w:left="567" w:hanging="567"/>
            </w:pPr>
            <w:r>
              <w:t>6.</w:t>
            </w:r>
            <w:r>
              <w:tab/>
              <w:t xml:space="preserve">Disconnection of overhead service leads following unauthorised reconnection </w:t>
            </w:r>
            <w:r>
              <w:tab/>
            </w:r>
          </w:p>
        </w:tc>
        <w:tc>
          <w:tcPr>
            <w:tcW w:w="1276" w:type="dxa"/>
          </w:tcPr>
          <w:p>
            <w:pPr>
              <w:pStyle w:val="yTableNAm"/>
            </w:pPr>
            <w:r>
              <w:br/>
              <w:t>$194.00</w:t>
            </w:r>
          </w:p>
        </w:tc>
      </w:tr>
      <w:tr>
        <w:trPr>
          <w:cantSplit/>
        </w:trPr>
        <w:tc>
          <w:tcPr>
            <w:tcW w:w="5528" w:type="dxa"/>
          </w:tcPr>
          <w:p>
            <w:pPr>
              <w:pStyle w:val="yTableNAm"/>
              <w:tabs>
                <w:tab w:val="right" w:leader="dot" w:pos="5244"/>
              </w:tabs>
              <w:ind w:left="567" w:hanging="567"/>
            </w:pPr>
            <w:r>
              <w:t>7.</w:t>
            </w:r>
            <w:r>
              <w:tab/>
              <w:t>Meter reading where reading requested by consumer</w:t>
            </w:r>
          </w:p>
        </w:tc>
        <w:tc>
          <w:tcPr>
            <w:tcW w:w="1276" w:type="dxa"/>
          </w:tcPr>
          <w:p>
            <w:pPr>
              <w:pStyle w:val="yTableNAm"/>
            </w:pPr>
            <w:r>
              <w:t>$19.65</w:t>
            </w:r>
          </w:p>
        </w:tc>
      </w:tr>
      <w:tr>
        <w:trPr>
          <w:cantSplit/>
        </w:trPr>
        <w:tc>
          <w:tcPr>
            <w:tcW w:w="5528" w:type="dxa"/>
          </w:tcPr>
          <w:p>
            <w:pPr>
              <w:pStyle w:val="yTableNAm"/>
              <w:tabs>
                <w:tab w:val="right" w:leader="dot" w:pos="5244"/>
              </w:tabs>
              <w:ind w:left="567" w:hanging="567"/>
            </w:pPr>
            <w:r>
              <w:t>8.</w:t>
            </w:r>
            <w:r>
              <w:tab/>
              <w:t xml:space="preserve">Overdue account notices </w:t>
            </w:r>
            <w:r>
              <w:tab/>
            </w:r>
          </w:p>
        </w:tc>
        <w:tc>
          <w:tcPr>
            <w:tcW w:w="1276" w:type="dxa"/>
          </w:tcPr>
          <w:p>
            <w:pPr>
              <w:pStyle w:val="yTableNAm"/>
            </w:pPr>
            <w:r>
              <w:t>$5.30</w:t>
            </w:r>
          </w:p>
        </w:tc>
      </w:tr>
      <w:tr>
        <w:trPr>
          <w:cantSplit/>
        </w:trPr>
        <w:tc>
          <w:tcPr>
            <w:tcW w:w="5528" w:type="dxa"/>
          </w:tcPr>
          <w:p>
            <w:pPr>
              <w:pStyle w:val="yTableNAm"/>
              <w:tabs>
                <w:tab w:val="right" w:leader="dot" w:pos="5244"/>
              </w:tabs>
              <w:ind w:left="567" w:hanging="567"/>
            </w:pPr>
            <w:r>
              <w:t>9.</w:t>
            </w:r>
            <w:r>
              <w:tab/>
              <w:t>Tariff R1 or R3 “time</w:t>
            </w:r>
            <w:r>
              <w:noBreakHyphen/>
              <w:t>of</w:t>
            </w:r>
            <w:r>
              <w:noBreakHyphen/>
              <w:t xml:space="preserve">use meter” installation fee </w:t>
            </w:r>
            <w:r>
              <w:tab/>
            </w:r>
          </w:p>
        </w:tc>
        <w:tc>
          <w:tcPr>
            <w:tcW w:w="1276" w:type="dxa"/>
          </w:tcPr>
          <w:p>
            <w:pPr>
              <w:pStyle w:val="yTableNAm"/>
            </w:pPr>
            <w:r>
              <w:t>$809.60</w:t>
            </w:r>
          </w:p>
        </w:tc>
      </w:tr>
      <w:tr>
        <w:trPr>
          <w:cantSplit/>
        </w:trPr>
        <w:tc>
          <w:tcPr>
            <w:tcW w:w="5528" w:type="dxa"/>
          </w:tcPr>
          <w:p>
            <w:pPr>
              <w:pStyle w:val="yTableNAm"/>
              <w:tabs>
                <w:tab w:val="right" w:leader="dot" w:pos="5244"/>
              </w:tabs>
              <w:ind w:left="567" w:hanging="567"/>
            </w:pPr>
            <w:r>
              <w:t>10.</w:t>
            </w:r>
            <w:r>
              <w:tab/>
              <w:t xml:space="preserve">A transaction fee where a consumer makes a payment to the corporation by means of a credit card or debit card </w:t>
            </w:r>
            <w:r>
              <w:tab/>
            </w:r>
          </w:p>
        </w:tc>
        <w:tc>
          <w:tcPr>
            <w:tcW w:w="1276" w:type="dxa"/>
          </w:tcPr>
          <w:p>
            <w:pPr>
              <w:pStyle w:val="yTableNAm"/>
            </w:pPr>
            <w:r>
              <w:t>The permitted surcharge for the payment</w:t>
            </w:r>
          </w:p>
        </w:tc>
      </w:tr>
      <w:tr>
        <w:trPr>
          <w:cantSplit/>
        </w:trPr>
        <w:tc>
          <w:tcPr>
            <w:tcW w:w="5528" w:type="dxa"/>
          </w:tcPr>
          <w:p>
            <w:pPr>
              <w:pStyle w:val="yTableNAm"/>
              <w:tabs>
                <w:tab w:val="right" w:leader="dot" w:pos="5244"/>
              </w:tabs>
              <w:ind w:left="567" w:hanging="567"/>
            </w:pPr>
            <w:r>
              <w:t xml:space="preserve">11. </w:t>
            </w:r>
            <w:r>
              <w:tab/>
              <w:t xml:space="preserve">Paper bill fee </w:t>
            </w:r>
            <w:r>
              <w:tab/>
            </w:r>
          </w:p>
        </w:tc>
        <w:tc>
          <w:tcPr>
            <w:tcW w:w="1276" w:type="dxa"/>
          </w:tcPr>
          <w:p>
            <w:pPr>
              <w:pStyle w:val="yTableNAm"/>
            </w:pPr>
            <w:r>
              <w:t>$1.20</w:t>
            </w:r>
          </w:p>
        </w:tc>
      </w:tr>
      <w:tr>
        <w:trPr>
          <w:cantSplit/>
        </w:trPr>
        <w:tc>
          <w:tcPr>
            <w:tcW w:w="5528" w:type="dxa"/>
            <w:tcBorders>
              <w:bottom w:val="single" w:sz="4" w:space="0" w:color="auto"/>
            </w:tcBorders>
          </w:tcPr>
          <w:p>
            <w:pPr>
              <w:pStyle w:val="yTableNAm"/>
              <w:tabs>
                <w:tab w:val="right" w:leader="dot" w:pos="5244"/>
              </w:tabs>
              <w:ind w:left="567" w:hanging="567"/>
            </w:pPr>
            <w:r>
              <w:t xml:space="preserve">12. </w:t>
            </w:r>
            <w:r>
              <w:tab/>
              <w:t>Over</w:t>
            </w:r>
            <w:r>
              <w:noBreakHyphen/>
              <w:t>the</w:t>
            </w:r>
            <w:r>
              <w:noBreakHyphen/>
              <w:t xml:space="preserve">counter payment fee </w:t>
            </w:r>
            <w:r>
              <w:tab/>
            </w:r>
          </w:p>
        </w:tc>
        <w:tc>
          <w:tcPr>
            <w:tcW w:w="1276" w:type="dxa"/>
            <w:tcBorders>
              <w:bottom w:val="single" w:sz="4" w:space="0" w:color="auto"/>
            </w:tcBorders>
          </w:tcPr>
          <w:p>
            <w:pPr>
              <w:pStyle w:val="yTableNAm"/>
            </w:pPr>
            <w:r>
              <w:t>$2.10</w:t>
            </w:r>
          </w:p>
        </w:tc>
      </w:tr>
    </w:tbl>
    <w:p>
      <w:pPr>
        <w:pStyle w:val="yFootnotesection"/>
      </w:pPr>
      <w:r>
        <w:tab/>
        <w:t>[Schedule 4 inserted: Gazette 21 Jun 2019 p. 2126</w:t>
      </w:r>
      <w:r>
        <w:noBreakHyphen/>
        <w:t>7.]</w:t>
      </w:r>
    </w:p>
    <w:p>
      <w:pPr>
        <w:pStyle w:val="CentredBaseLine"/>
        <w:spacing w:before="180"/>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90" w:name="_Toc42507201"/>
      <w:bookmarkStart w:id="91" w:name="_Toc42522211"/>
      <w:bookmarkStart w:id="92" w:name="_Toc17884489"/>
      <w:bookmarkStart w:id="93" w:name="_Toc17884523"/>
      <w:bookmarkStart w:id="94" w:name="_Toc17885781"/>
      <w:bookmarkStart w:id="95" w:name="_Toc18064468"/>
      <w:r>
        <w:t>Notes</w:t>
      </w:r>
      <w:bookmarkEnd w:id="90"/>
      <w:bookmarkEnd w:id="91"/>
      <w:bookmarkEnd w:id="92"/>
      <w:bookmarkEnd w:id="93"/>
      <w:bookmarkEnd w:id="94"/>
      <w:bookmarkEnd w:id="95"/>
    </w:p>
    <w:p>
      <w:pPr>
        <w:pStyle w:val="nStatement"/>
      </w:pPr>
      <w:del w:id="96" w:author="Master Repository Process" w:date="2021-08-01T14:03:00Z">
        <w:r>
          <w:rPr>
            <w:vertAlign w:val="superscript"/>
          </w:rPr>
          <w:delText>1</w:delText>
        </w:r>
        <w:r>
          <w:tab/>
        </w:r>
      </w:del>
      <w:r>
        <w:t xml:space="preserve">This is a compilation of the </w:t>
      </w:r>
      <w:r>
        <w:rPr>
          <w:i/>
          <w:noProof/>
        </w:rPr>
        <w:t>Energy Operators (Electricity Generation and Retail Corporation) (Charges) By-laws 2006</w:t>
      </w:r>
      <w:r>
        <w:t xml:space="preserve"> and includes </w:t>
      </w:r>
      <w:del w:id="97" w:author="Master Repository Process" w:date="2021-08-01T14:03:00Z">
        <w:r>
          <w:delText xml:space="preserve">the </w:delText>
        </w:r>
      </w:del>
      <w:r>
        <w:t xml:space="preserve">amendments made by </w:t>
      </w:r>
      <w:del w:id="98" w:author="Master Repository Process" w:date="2021-08-01T14:03:00Z">
        <w:r>
          <w:delText xml:space="preserve">the </w:delText>
        </w:r>
      </w:del>
      <w:r>
        <w:t>other written laws</w:t>
      </w:r>
      <w:del w:id="99" w:author="Master Repository Process" w:date="2021-08-01T14:03:00Z">
        <w:r>
          <w:delText xml:space="preserve"> referred to in the following table.  The table also contains</w:delText>
        </w:r>
      </w:del>
      <w:ins w:id="100" w:author="Master Repository Process" w:date="2021-08-01T14:03:00Z">
        <w:r>
          <w:t>. For provisions that have come into operation, and for</w:t>
        </w:r>
      </w:ins>
      <w:r>
        <w:t xml:space="preserve"> information about any </w:t>
      </w:r>
      <w:del w:id="101" w:author="Master Repository Process" w:date="2021-08-01T14:03:00Z">
        <w:r>
          <w:delText>reprint</w:delText>
        </w:r>
      </w:del>
      <w:ins w:id="102" w:author="Master Repository Process" w:date="2021-08-01T14:03:00Z">
        <w:r>
          <w:t>reprints, see the compilation table. For provisions that have not yet come into operation see the uncommenced provisions table</w:t>
        </w:r>
      </w:ins>
      <w:r>
        <w:t>.</w:t>
      </w:r>
    </w:p>
    <w:p>
      <w:pPr>
        <w:pStyle w:val="nHeading3"/>
      </w:pPr>
      <w:bookmarkStart w:id="103" w:name="_Toc42522212"/>
      <w:bookmarkStart w:id="104" w:name="_Toc18064469"/>
      <w:r>
        <w:t>Compilation table</w:t>
      </w:r>
      <w:bookmarkEnd w:id="103"/>
      <w:bookmarkEnd w:id="10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9"/>
      </w:tblGrid>
      <w:tr>
        <w:trPr>
          <w:gridAfter w:val="1"/>
          <w:wAfter w:w="2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del w:id="105" w:author="Master Repository Process" w:date="2021-08-01T14:03:00Z">
              <w:r>
                <w:rPr>
                  <w:b/>
                </w:rPr>
                <w:delText>Gazettal</w:delText>
              </w:r>
            </w:del>
            <w:ins w:id="106" w:author="Master Repository Process" w:date="2021-08-01T14:03:00Z">
              <w:r>
                <w:rPr>
                  <w:b/>
                </w:rPr>
                <w:t>Published</w:t>
              </w:r>
            </w:ins>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Borders>
              <w:top w:val="single" w:sz="8" w:space="0" w:color="auto"/>
            </w:tcBorders>
          </w:tcPr>
          <w:p>
            <w:pPr>
              <w:pStyle w:val="nTable"/>
              <w:spacing w:after="40"/>
            </w:pPr>
            <w:r>
              <w:rPr>
                <w:i/>
              </w:rPr>
              <w:t>Energy Operators (Electricity Retail Corporation) (Charges) By</w:t>
            </w:r>
            <w:r>
              <w:rPr>
                <w:i/>
              </w:rPr>
              <w:noBreakHyphen/>
              <w:t>laws 2006</w:t>
            </w:r>
            <w:r>
              <w:rPr>
                <w:i/>
                <w:vertAlign w:val="superscript"/>
              </w:rPr>
              <w:t> </w:t>
            </w:r>
            <w:del w:id="107" w:author="Master Repository Process" w:date="2021-08-01T14:03:00Z">
              <w:r>
                <w:rPr>
                  <w:vertAlign w:val="superscript"/>
                </w:rPr>
                <w:delText>2</w:delText>
              </w:r>
            </w:del>
            <w:ins w:id="108" w:author="Master Repository Process" w:date="2021-08-01T14:03:00Z">
              <w:r>
                <w:rPr>
                  <w:vertAlign w:val="superscript"/>
                </w:rPr>
                <w:t>1</w:t>
              </w:r>
            </w:ins>
          </w:p>
        </w:tc>
        <w:tc>
          <w:tcPr>
            <w:tcW w:w="1276" w:type="dxa"/>
            <w:gridSpan w:val="2"/>
            <w:tcBorders>
              <w:top w:val="single" w:sz="8" w:space="0" w:color="auto"/>
            </w:tcBorders>
          </w:tcPr>
          <w:p>
            <w:pPr>
              <w:pStyle w:val="nTable"/>
              <w:spacing w:after="40"/>
            </w:pPr>
            <w:r>
              <w:t>31 Mar 2006 p. 1225</w:t>
            </w:r>
            <w:r>
              <w:noBreakHyphen/>
              <w:t>46</w:t>
            </w:r>
          </w:p>
        </w:tc>
        <w:tc>
          <w:tcPr>
            <w:tcW w:w="2694" w:type="dxa"/>
            <w:gridSpan w:val="2"/>
            <w:tcBorders>
              <w:top w:val="single" w:sz="8" w:space="0" w:color="auto"/>
            </w:tcBorders>
          </w:tcPr>
          <w:p>
            <w:pPr>
              <w:pStyle w:val="nTable"/>
              <w:spacing w:after="40"/>
            </w:pPr>
            <w:r>
              <w:t>1 Apr 2006 (see bl. 2)</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2006</w:t>
            </w:r>
          </w:p>
        </w:tc>
        <w:tc>
          <w:tcPr>
            <w:tcW w:w="1276" w:type="dxa"/>
            <w:gridSpan w:val="2"/>
          </w:tcPr>
          <w:p>
            <w:pPr>
              <w:pStyle w:val="nTable"/>
              <w:spacing w:after="40"/>
            </w:pPr>
            <w:r>
              <w:t>1 Dec 2006 p. 5349</w:t>
            </w:r>
            <w:r>
              <w:noBreakHyphen/>
              <w:t>50</w:t>
            </w:r>
          </w:p>
        </w:tc>
        <w:tc>
          <w:tcPr>
            <w:tcW w:w="2694" w:type="dxa"/>
            <w:gridSpan w:val="2"/>
          </w:tcPr>
          <w:p>
            <w:pPr>
              <w:pStyle w:val="nTable"/>
              <w:spacing w:after="40"/>
            </w:pPr>
            <w:r>
              <w:t>1 Dec 2006</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2007</w:t>
            </w:r>
          </w:p>
        </w:tc>
        <w:tc>
          <w:tcPr>
            <w:tcW w:w="1276" w:type="dxa"/>
            <w:gridSpan w:val="2"/>
          </w:tcPr>
          <w:p>
            <w:pPr>
              <w:pStyle w:val="nTable"/>
              <w:spacing w:after="40"/>
            </w:pPr>
            <w:r>
              <w:t>26 Jun 2007 p. 3013</w:t>
            </w:r>
            <w:r>
              <w:noBreakHyphen/>
              <w:t>17</w:t>
            </w:r>
          </w:p>
        </w:tc>
        <w:tc>
          <w:tcPr>
            <w:tcW w:w="2694" w:type="dxa"/>
            <w:gridSpan w:val="2"/>
          </w:tcPr>
          <w:p>
            <w:pPr>
              <w:pStyle w:val="nTable"/>
              <w:spacing w:after="40"/>
            </w:pPr>
            <w:r>
              <w:t>bl. 1 and 2: 26 Jun 2007 (see bl. 2(a));</w:t>
            </w:r>
            <w:r>
              <w:br/>
              <w:t>By</w:t>
            </w:r>
            <w:r>
              <w:noBreakHyphen/>
              <w:t>laws other than bl. 1 and 2: 1 Jul 2007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2009</w:t>
            </w:r>
          </w:p>
        </w:tc>
        <w:tc>
          <w:tcPr>
            <w:tcW w:w="1276" w:type="dxa"/>
            <w:gridSpan w:val="2"/>
          </w:tcPr>
          <w:p>
            <w:pPr>
              <w:pStyle w:val="nTable"/>
              <w:spacing w:after="40"/>
            </w:pPr>
            <w:r>
              <w:t>30 Mar 2009 p. 967</w:t>
            </w:r>
            <w:r>
              <w:noBreakHyphen/>
              <w:t>95</w:t>
            </w:r>
          </w:p>
        </w:tc>
        <w:tc>
          <w:tcPr>
            <w:tcW w:w="2694" w:type="dxa"/>
            <w:gridSpan w:val="2"/>
          </w:tcPr>
          <w:p>
            <w:pPr>
              <w:pStyle w:val="nTable"/>
              <w:spacing w:after="40"/>
            </w:pPr>
            <w:r>
              <w:t>bl. 1 and 2: 30 Mar 2009 (see bl. 2(a));</w:t>
            </w:r>
            <w:r>
              <w:br/>
              <w:t>bl. 3 and Pt. 2: 1 Apr 2009 (see bl. 2(b));</w:t>
            </w:r>
            <w:r>
              <w:br/>
              <w:t>Pt. 3: 1 Jul 2009 (see bl. 2(c))</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6"/>
          </w:tcPr>
          <w:p>
            <w:pPr>
              <w:pStyle w:val="nTable"/>
              <w:spacing w:after="40"/>
            </w:pPr>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Cs/>
              </w:rPr>
            </w:pPr>
            <w:r>
              <w:rPr>
                <w:i/>
              </w:rPr>
              <w:t>Energy Operators (Electricity Retail Corporation) (Charges) Amendment By</w:t>
            </w:r>
            <w:r>
              <w:rPr>
                <w:i/>
              </w:rPr>
              <w:noBreakHyphen/>
              <w:t>laws 2010</w:t>
            </w:r>
            <w:r>
              <w:rPr>
                <w:iCs/>
              </w:rPr>
              <w:t xml:space="preserve"> </w:t>
            </w:r>
          </w:p>
        </w:tc>
        <w:tc>
          <w:tcPr>
            <w:tcW w:w="1276" w:type="dxa"/>
            <w:gridSpan w:val="2"/>
          </w:tcPr>
          <w:p>
            <w:pPr>
              <w:pStyle w:val="nTable"/>
              <w:spacing w:after="40"/>
            </w:pPr>
            <w:r>
              <w:t>26 Mar 2010 p. 1135-42</w:t>
            </w:r>
          </w:p>
        </w:tc>
        <w:tc>
          <w:tcPr>
            <w:tcW w:w="2694" w:type="dxa"/>
            <w:gridSpan w:val="2"/>
          </w:tcPr>
          <w:p>
            <w:pPr>
              <w:pStyle w:val="nTable"/>
              <w:spacing w:after="40"/>
            </w:pPr>
            <w:r>
              <w:t>Pt. 1: 26 Mar 2010 (see bl. 2(a));</w:t>
            </w:r>
            <w:r>
              <w:br/>
              <w:t>Pt. 2: 1 Apr 2010 (see bl. 2(b));</w:t>
            </w:r>
            <w:r>
              <w:br/>
              <w:t>Pt. 3: 1 Jul 2010 (see bl. 2(c))</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2011</w:t>
            </w:r>
          </w:p>
        </w:tc>
        <w:tc>
          <w:tcPr>
            <w:tcW w:w="1276" w:type="dxa"/>
            <w:gridSpan w:val="2"/>
          </w:tcPr>
          <w:p>
            <w:pPr>
              <w:pStyle w:val="nTable"/>
              <w:spacing w:after="40"/>
            </w:pPr>
            <w:r>
              <w:t>24 Jun 2011 p. 2499</w:t>
            </w:r>
            <w:r>
              <w:noBreakHyphen/>
              <w:t>503</w:t>
            </w:r>
          </w:p>
        </w:tc>
        <w:tc>
          <w:tcPr>
            <w:tcW w:w="2694" w:type="dxa"/>
            <w:gridSpan w:val="2"/>
          </w:tcPr>
          <w:p>
            <w:pPr>
              <w:pStyle w:val="nTable"/>
              <w:spacing w:after="40"/>
            </w:pPr>
            <w:r>
              <w:t>bl. 1 and 2: 24 Jun 2011 (see bl. 2(a));</w:t>
            </w:r>
            <w:r>
              <w:br/>
              <w:t>By-laws other than bl. 1 and 2: 1 Jul 2011 (see bl. 2(b))</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pPr>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2012</w:t>
            </w:r>
          </w:p>
        </w:tc>
        <w:tc>
          <w:tcPr>
            <w:tcW w:w="1276" w:type="dxa"/>
            <w:gridSpan w:val="2"/>
          </w:tcPr>
          <w:p>
            <w:pPr>
              <w:pStyle w:val="nTable"/>
              <w:spacing w:after="40"/>
            </w:pPr>
            <w:r>
              <w:t>29 Jun 2012 p. 2913-26</w:t>
            </w:r>
          </w:p>
        </w:tc>
        <w:tc>
          <w:tcPr>
            <w:tcW w:w="2694" w:type="dxa"/>
            <w:gridSpan w:val="2"/>
          </w:tcPr>
          <w:p>
            <w:pPr>
              <w:pStyle w:val="nTable"/>
              <w:spacing w:after="40"/>
            </w:pPr>
            <w:r>
              <w:t>bl. 1 and 2: 29 Jun 2012 (see bl. 2(a));</w:t>
            </w:r>
            <w:r>
              <w:br/>
              <w:t>By-laws other than bl. 1 and 2: 1 Jul 2012 (see bl.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rPr>
                <w:i/>
              </w:rPr>
            </w:pPr>
            <w:r>
              <w:rPr>
                <w:i/>
              </w:rPr>
              <w:t>Energy Operators (Electricity Retail Corporation) (Charges) Amendment By-laws (No. 2) 2012</w:t>
            </w:r>
          </w:p>
        </w:tc>
        <w:tc>
          <w:tcPr>
            <w:tcW w:w="1276" w:type="dxa"/>
            <w:gridSpan w:val="2"/>
          </w:tcPr>
          <w:p>
            <w:pPr>
              <w:pStyle w:val="nTable"/>
              <w:spacing w:after="40"/>
            </w:pPr>
            <w:r>
              <w:t>21 Sep 2012 p. 4424</w:t>
            </w:r>
          </w:p>
        </w:tc>
        <w:tc>
          <w:tcPr>
            <w:tcW w:w="2694" w:type="dxa"/>
            <w:gridSpan w:val="2"/>
          </w:tcPr>
          <w:p>
            <w:pPr>
              <w:pStyle w:val="nTable"/>
              <w:spacing w:after="40"/>
            </w:pPr>
            <w:r>
              <w:t>bl. 1 and 2: 21 Sep 2012 (see bl. 2(a));</w:t>
            </w:r>
            <w:r>
              <w:br/>
              <w:t>By-laws other than bl. 1 and 2: 1 Oct 2012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By-laws 2013</w:t>
            </w:r>
          </w:p>
        </w:tc>
        <w:tc>
          <w:tcPr>
            <w:tcW w:w="1276" w:type="dxa"/>
            <w:gridSpan w:val="2"/>
          </w:tcPr>
          <w:p>
            <w:pPr>
              <w:pStyle w:val="nTable"/>
              <w:spacing w:after="40"/>
            </w:pPr>
            <w:r>
              <w:t>14 Jun 2013 p. 2217-22</w:t>
            </w:r>
          </w:p>
        </w:tc>
        <w:tc>
          <w:tcPr>
            <w:tcW w:w="2694" w:type="dxa"/>
            <w:gridSpan w:val="2"/>
          </w:tcPr>
          <w:p>
            <w:pPr>
              <w:pStyle w:val="nTable"/>
              <w:spacing w:after="40"/>
            </w:pPr>
            <w:r>
              <w:t>bl. 1 and 2: 14 Jun 2013 (see bl. 2(a));</w:t>
            </w:r>
            <w:r>
              <w:br/>
              <w:t>By-laws other than bl. 1 and 2: 1 Jul 2013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By-laws (No. 2) 2013</w:t>
            </w:r>
          </w:p>
        </w:tc>
        <w:tc>
          <w:tcPr>
            <w:tcW w:w="1276" w:type="dxa"/>
            <w:gridSpan w:val="2"/>
          </w:tcPr>
          <w:p>
            <w:pPr>
              <w:pStyle w:val="nTable"/>
              <w:spacing w:after="40"/>
            </w:pPr>
            <w:r>
              <w:t>30 Aug 2013 p. 4097-100</w:t>
            </w:r>
          </w:p>
        </w:tc>
        <w:tc>
          <w:tcPr>
            <w:tcW w:w="2694" w:type="dxa"/>
            <w:gridSpan w:val="2"/>
          </w:tcPr>
          <w:p>
            <w:pPr>
              <w:pStyle w:val="nTable"/>
              <w:spacing w:after="40"/>
            </w:pPr>
            <w:r>
              <w:t>bl. 1 and 2: 30 Aug 2013 (see bl. 2(a));</w:t>
            </w:r>
            <w:r>
              <w:br/>
              <w:t>By-laws other than bl. 1 and 2: 1 Sep 2013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Electricity Corporations (Consequential Amendments) Regulations 2013</w:t>
            </w:r>
            <w:r>
              <w:t xml:space="preserve"> r. 12</w:t>
            </w:r>
          </w:p>
        </w:tc>
        <w:tc>
          <w:tcPr>
            <w:tcW w:w="1276" w:type="dxa"/>
            <w:gridSpan w:val="2"/>
            <w:shd w:val="clear" w:color="auto" w:fill="auto"/>
          </w:tcPr>
          <w:p>
            <w:pPr>
              <w:pStyle w:val="nTable"/>
              <w:spacing w:after="40"/>
            </w:pPr>
            <w:r>
              <w:t>27 Dec 2013 p. 6469-79</w:t>
            </w:r>
          </w:p>
        </w:tc>
        <w:tc>
          <w:tcPr>
            <w:tcW w:w="2694" w:type="dxa"/>
            <w:gridSpan w:val="2"/>
            <w:shd w:val="clear" w:color="auto" w:fill="auto"/>
          </w:tcPr>
          <w:p>
            <w:pPr>
              <w:pStyle w:val="nTable"/>
              <w:spacing w:after="40"/>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pPr>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2014</w:t>
            </w:r>
          </w:p>
        </w:tc>
        <w:tc>
          <w:tcPr>
            <w:tcW w:w="1276" w:type="dxa"/>
            <w:gridSpan w:val="2"/>
            <w:shd w:val="clear" w:color="auto" w:fill="auto"/>
          </w:tcPr>
          <w:p>
            <w:pPr>
              <w:pStyle w:val="nTable"/>
              <w:spacing w:after="40"/>
            </w:pPr>
            <w:r>
              <w:t>27 Jun 2014 p. 2313-19</w:t>
            </w:r>
          </w:p>
        </w:tc>
        <w:tc>
          <w:tcPr>
            <w:tcW w:w="2694" w:type="dxa"/>
            <w:gridSpan w:val="2"/>
            <w:shd w:val="clear" w:color="auto" w:fill="auto"/>
          </w:tcPr>
          <w:p>
            <w:pPr>
              <w:pStyle w:val="nTable"/>
              <w:spacing w:after="40"/>
            </w:pPr>
            <w:r>
              <w:t>bl. 1 and 2: 27 Jun 2014 (see bl. 2(a));</w:t>
            </w:r>
            <w:r>
              <w:br/>
              <w:t>By-laws other than bl. 1 and 2: 1 Jul 2014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(No. 2) 2014</w:t>
            </w:r>
          </w:p>
        </w:tc>
        <w:tc>
          <w:tcPr>
            <w:tcW w:w="1276" w:type="dxa"/>
            <w:gridSpan w:val="2"/>
            <w:shd w:val="clear" w:color="auto" w:fill="auto"/>
          </w:tcPr>
          <w:p>
            <w:pPr>
              <w:pStyle w:val="nTable"/>
              <w:spacing w:after="40"/>
            </w:pPr>
            <w:r>
              <w:t>22 Aug 2014 p. 3024</w:t>
            </w:r>
            <w:r>
              <w:noBreakHyphen/>
              <w:t>32</w:t>
            </w:r>
          </w:p>
        </w:tc>
        <w:tc>
          <w:tcPr>
            <w:tcW w:w="2694" w:type="dxa"/>
            <w:gridSpan w:val="2"/>
            <w:shd w:val="clear" w:color="auto" w:fill="auto"/>
          </w:tcPr>
          <w:p>
            <w:pPr>
              <w:pStyle w:val="nTable"/>
              <w:spacing w:after="40"/>
            </w:pPr>
            <w:r>
              <w:t>bl. 1 and 2: 22 Aug 2014 (see bl. 2(a));</w:t>
            </w:r>
            <w:r>
              <w:br/>
              <w:t>By-laws other than bl. 1 and 2: 1 Sep 2014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2015</w:t>
            </w:r>
          </w:p>
        </w:tc>
        <w:tc>
          <w:tcPr>
            <w:tcW w:w="1276" w:type="dxa"/>
            <w:gridSpan w:val="2"/>
            <w:shd w:val="clear" w:color="auto" w:fill="auto"/>
          </w:tcPr>
          <w:p>
            <w:pPr>
              <w:pStyle w:val="nTable"/>
              <w:spacing w:after="40"/>
            </w:pPr>
            <w:r>
              <w:t>26 Jun 2015 p. 2239</w:t>
            </w:r>
            <w:r>
              <w:noBreakHyphen/>
              <w:t>46</w:t>
            </w:r>
          </w:p>
        </w:tc>
        <w:tc>
          <w:tcPr>
            <w:tcW w:w="2694" w:type="dxa"/>
            <w:gridSpan w:val="2"/>
            <w:shd w:val="clear" w:color="auto" w:fill="auto"/>
          </w:tcPr>
          <w:p>
            <w:pPr>
              <w:pStyle w:val="nTable"/>
              <w:spacing w:after="40"/>
            </w:pPr>
            <w:r>
              <w:t>bl. 1 and 2: 26 Jun 2015 (see bl. 2(a));</w:t>
            </w:r>
            <w:r>
              <w:br/>
              <w:t>By-laws other than bl. 1 and 2: 1 Jul 2015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pPr>
            <w:r>
              <w:rPr>
                <w:i/>
              </w:rPr>
              <w:t>Energy Operators (Electricity Generation and Retail Corporation) (Charges) Amendment By-laws 2016</w:t>
            </w:r>
            <w:r>
              <w:rPr>
                <w:vertAlign w:val="superscript"/>
              </w:rPr>
              <w:t> </w:t>
            </w:r>
            <w:del w:id="109" w:author="Master Repository Process" w:date="2021-08-01T14:03:00Z">
              <w:r>
                <w:rPr>
                  <w:vertAlign w:val="superscript"/>
                </w:rPr>
                <w:delText>3</w:delText>
              </w:r>
            </w:del>
            <w:ins w:id="110" w:author="Master Repository Process" w:date="2021-08-01T14:03:00Z">
              <w:r>
                <w:rPr>
                  <w:vertAlign w:val="superscript"/>
                </w:rPr>
                <w:t>2</w:t>
              </w:r>
            </w:ins>
          </w:p>
        </w:tc>
        <w:tc>
          <w:tcPr>
            <w:tcW w:w="1276" w:type="dxa"/>
            <w:gridSpan w:val="2"/>
            <w:shd w:val="clear" w:color="auto" w:fill="auto"/>
          </w:tcPr>
          <w:p>
            <w:pPr>
              <w:pStyle w:val="nTable"/>
              <w:spacing w:after="40"/>
            </w:pPr>
            <w:r>
              <w:t>28 Jun 2016 p. 2623</w:t>
            </w:r>
            <w:r>
              <w:noBreakHyphen/>
              <w:t>5</w:t>
            </w:r>
          </w:p>
        </w:tc>
        <w:tc>
          <w:tcPr>
            <w:tcW w:w="2694" w:type="dxa"/>
            <w:gridSpan w:val="2"/>
            <w:shd w:val="clear" w:color="auto" w:fill="auto"/>
          </w:tcPr>
          <w:p>
            <w:pPr>
              <w:pStyle w:val="nTable"/>
              <w:spacing w:after="40"/>
            </w:pPr>
            <w:r>
              <w:t>bl. 1 and 2: 28 Jun 2016 (see bl. 2(a));</w:t>
            </w:r>
            <w:r>
              <w:br/>
              <w:t>By-laws other than bl. 1 and 2: 1 Jul 2016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(No. 2) 2016</w:t>
            </w:r>
          </w:p>
        </w:tc>
        <w:tc>
          <w:tcPr>
            <w:tcW w:w="1276" w:type="dxa"/>
            <w:gridSpan w:val="2"/>
            <w:shd w:val="clear" w:color="auto" w:fill="auto"/>
          </w:tcPr>
          <w:p>
            <w:pPr>
              <w:pStyle w:val="nTable"/>
              <w:spacing w:after="40"/>
            </w:pPr>
            <w:r>
              <w:t>31 Aug 2016 p. 3701</w:t>
            </w:r>
            <w:r>
              <w:noBreakHyphen/>
              <w:t>5</w:t>
            </w:r>
          </w:p>
        </w:tc>
        <w:tc>
          <w:tcPr>
            <w:tcW w:w="2694" w:type="dxa"/>
            <w:gridSpan w:val="2"/>
            <w:shd w:val="clear" w:color="auto" w:fill="auto"/>
          </w:tcPr>
          <w:p>
            <w:pPr>
              <w:pStyle w:val="nTable"/>
              <w:spacing w:after="40"/>
            </w:pPr>
            <w:r>
              <w:rPr>
                <w:bCs/>
                <w:snapToGrid w:val="0"/>
                <w:spacing w:val="-2"/>
              </w:rPr>
              <w:t>bl. 1 and 2: 31 Aug 2016 (see bl. 2(a));</w:t>
            </w:r>
            <w:r>
              <w:rPr>
                <w:bCs/>
                <w:snapToGrid w:val="0"/>
                <w:spacing w:val="-2"/>
              </w:rPr>
              <w:br/>
              <w:t>By-laws other than bl. 1 and 2: 1 Sep 2016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2017</w:t>
            </w:r>
          </w:p>
        </w:tc>
        <w:tc>
          <w:tcPr>
            <w:tcW w:w="1276" w:type="dxa"/>
            <w:gridSpan w:val="2"/>
            <w:shd w:val="clear" w:color="auto" w:fill="auto"/>
          </w:tcPr>
          <w:p>
            <w:pPr>
              <w:pStyle w:val="nTable"/>
              <w:spacing w:after="40"/>
            </w:pPr>
            <w:r>
              <w:t>27 Jun 2017 p. 3424</w:t>
            </w:r>
            <w:r>
              <w:noBreakHyphen/>
              <w:t>31</w:t>
            </w:r>
          </w:p>
        </w:tc>
        <w:tc>
          <w:tcPr>
            <w:tcW w:w="2694" w:type="dxa"/>
            <w:gridSpan w:val="2"/>
            <w:shd w:val="clear" w:color="auto" w:fill="auto"/>
          </w:tcPr>
          <w:p>
            <w:pPr>
              <w:pStyle w:val="nTable"/>
              <w:spacing w:after="40"/>
              <w:rPr>
                <w:bCs/>
                <w:snapToGrid w:val="0"/>
                <w:spacing w:val="-2"/>
              </w:rPr>
            </w:pPr>
            <w:r>
              <w:rPr>
                <w:bCs/>
                <w:snapToGrid w:val="0"/>
                <w:spacing w:val="-2"/>
              </w:rPr>
              <w:t>bl. 1 and 2: 27 Jun 2017 (see bl. 2(a));</w:t>
            </w:r>
            <w:r>
              <w:rPr>
                <w:bCs/>
                <w:snapToGrid w:val="0"/>
                <w:spacing w:val="-2"/>
              </w:rPr>
              <w:br/>
              <w:t>By-laws other than bl. 1 and 2: 1 Jul 2017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keepNext/>
              <w:spacing w:after="40"/>
              <w:rPr>
                <w:i/>
              </w:rPr>
            </w:pPr>
            <w:r>
              <w:rPr>
                <w:i/>
              </w:rPr>
              <w:t>Energy Operators (Electricity Generation and Retail Corporation) (Charges) Amendment By</w:t>
            </w:r>
            <w:r>
              <w:rPr>
                <w:i/>
              </w:rPr>
              <w:noBreakHyphen/>
              <w:t>laws (No. 2) 2017</w:t>
            </w:r>
          </w:p>
        </w:tc>
        <w:tc>
          <w:tcPr>
            <w:tcW w:w="1276" w:type="dxa"/>
            <w:gridSpan w:val="2"/>
            <w:shd w:val="clear" w:color="auto" w:fill="auto"/>
          </w:tcPr>
          <w:p>
            <w:pPr>
              <w:pStyle w:val="nTable"/>
              <w:keepNext/>
              <w:spacing w:after="40"/>
            </w:pPr>
            <w:r>
              <w:t>30 Jun 2017 p. 3564</w:t>
            </w:r>
            <w:r>
              <w:noBreakHyphen/>
              <w:t>6</w:t>
            </w:r>
          </w:p>
        </w:tc>
        <w:tc>
          <w:tcPr>
            <w:tcW w:w="2694" w:type="dxa"/>
            <w:gridSpan w:val="2"/>
            <w:shd w:val="clear" w:color="auto" w:fill="auto"/>
          </w:tcPr>
          <w:p>
            <w:pPr>
              <w:pStyle w:val="nTable"/>
              <w:keepNext/>
              <w:spacing w:after="40"/>
              <w:rPr>
                <w:bCs/>
                <w:snapToGrid w:val="0"/>
                <w:spacing w:val="-2"/>
              </w:rPr>
            </w:pPr>
            <w:r>
              <w:rPr>
                <w:bCs/>
                <w:snapToGrid w:val="0"/>
                <w:spacing w:val="-2"/>
              </w:rPr>
              <w:t>bl. 1 and 2: 30 Jun 2017 (see bl. 2(a));</w:t>
            </w:r>
            <w:r>
              <w:rPr>
                <w:bCs/>
                <w:snapToGrid w:val="0"/>
                <w:spacing w:val="-2"/>
              </w:rPr>
              <w:br/>
              <w:t xml:space="preserve">By-laws other than bl. 1 and 2: 1 Jul 2017 (see bl. 2(b)(i) and </w:t>
            </w:r>
            <w:r>
              <w:rPr>
                <w:bCs/>
                <w:i/>
                <w:snapToGrid w:val="0"/>
                <w:spacing w:val="-2"/>
              </w:rPr>
              <w:t>Gazette</w:t>
            </w:r>
            <w:r>
              <w:rPr>
                <w:bCs/>
                <w:snapToGrid w:val="0"/>
                <w:spacing w:val="-2"/>
              </w:rPr>
              <w:t xml:space="preserve"> 27 Jun 2017 p. 3424)</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2018</w:t>
            </w:r>
          </w:p>
        </w:tc>
        <w:tc>
          <w:tcPr>
            <w:tcW w:w="1276" w:type="dxa"/>
            <w:gridSpan w:val="2"/>
            <w:shd w:val="clear" w:color="auto" w:fill="auto"/>
          </w:tcPr>
          <w:p>
            <w:pPr>
              <w:pStyle w:val="nTable"/>
              <w:spacing w:after="40"/>
            </w:pPr>
            <w:r>
              <w:t>16 Feb 2018 p. 469</w:t>
            </w:r>
            <w:r>
              <w:noBreakHyphen/>
              <w:t>70</w:t>
            </w:r>
          </w:p>
        </w:tc>
        <w:tc>
          <w:tcPr>
            <w:tcW w:w="2694" w:type="dxa"/>
            <w:gridSpan w:val="2"/>
            <w:shd w:val="clear" w:color="auto" w:fill="auto"/>
          </w:tcPr>
          <w:p>
            <w:pPr>
              <w:pStyle w:val="nTable"/>
              <w:spacing w:after="40"/>
              <w:rPr>
                <w:bCs/>
                <w:snapToGrid w:val="0"/>
                <w:spacing w:val="-2"/>
              </w:rPr>
            </w:pPr>
            <w:r>
              <w:rPr>
                <w:bCs/>
                <w:snapToGrid w:val="0"/>
                <w:spacing w:val="-2"/>
              </w:rPr>
              <w:t>bl. 1 and 2: 16 Feb 2018 (see bl. 2(a));</w:t>
            </w:r>
            <w:r>
              <w:rPr>
                <w:bCs/>
                <w:snapToGrid w:val="0"/>
                <w:spacing w:val="-2"/>
              </w:rPr>
              <w:br/>
              <w:t>By-laws other than bl. 1 and 2: 17 Feb 2018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(No. 2) 2018</w:t>
            </w:r>
          </w:p>
        </w:tc>
        <w:tc>
          <w:tcPr>
            <w:tcW w:w="1276" w:type="dxa"/>
            <w:gridSpan w:val="2"/>
            <w:shd w:val="clear" w:color="auto" w:fill="auto"/>
          </w:tcPr>
          <w:p>
            <w:pPr>
              <w:pStyle w:val="nTable"/>
              <w:spacing w:after="40"/>
              <w:rPr>
                <w:caps/>
              </w:rPr>
            </w:pPr>
            <w:r>
              <w:t>26 Jun 2018 p. 2371</w:t>
            </w:r>
            <w:r>
              <w:noBreakHyphen/>
              <w:t>9</w:t>
            </w:r>
          </w:p>
        </w:tc>
        <w:tc>
          <w:tcPr>
            <w:tcW w:w="2694" w:type="dxa"/>
            <w:gridSpan w:val="2"/>
            <w:shd w:val="clear" w:color="auto" w:fill="auto"/>
          </w:tcPr>
          <w:p>
            <w:pPr>
              <w:pStyle w:val="nTable"/>
              <w:spacing w:after="40"/>
              <w:rPr>
                <w:bCs/>
                <w:snapToGrid w:val="0"/>
                <w:spacing w:val="-2"/>
              </w:rPr>
            </w:pPr>
            <w:r>
              <w:rPr>
                <w:bCs/>
                <w:snapToGrid w:val="0"/>
                <w:spacing w:val="-2"/>
              </w:rPr>
              <w:t>bl. 1 and 2: 26 Jun 2018 (see bl. 2);</w:t>
            </w:r>
            <w:r>
              <w:rPr>
                <w:bCs/>
                <w:snapToGrid w:val="0"/>
                <w:spacing w:val="-2"/>
              </w:rPr>
              <w:br/>
              <w:t>By-laws other than bl. 1 and 2: 1 Jul 2018 (see bl. 2)</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Energy Operators (Electricity Generation and Retail Corporation) (Charges) By-laws 2006</w:t>
            </w:r>
            <w:r>
              <w:rPr>
                <w:b/>
                <w:bCs/>
                <w:snapToGrid w:val="0"/>
                <w:spacing w:val="-2"/>
              </w:rPr>
              <w:t xml:space="preserve"> as at 28 Sep 2018</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Borders>
              <w:bottom w:val="single" w:sz="4" w:space="0" w:color="auto"/>
            </w:tcBorders>
            <w:shd w:val="clear" w:color="auto" w:fill="auto"/>
          </w:tcPr>
          <w:p>
            <w:pPr>
              <w:pStyle w:val="nTable"/>
              <w:spacing w:after="40"/>
            </w:pPr>
            <w:r>
              <w:rPr>
                <w:i/>
              </w:rPr>
              <w:t xml:space="preserve">Energy Operators (Electricity Generation and Retail Corporation) (Charges) Amendment By-laws 2019 </w:t>
            </w:r>
          </w:p>
        </w:tc>
        <w:tc>
          <w:tcPr>
            <w:tcW w:w="1276" w:type="dxa"/>
            <w:gridSpan w:val="2"/>
            <w:tcBorders>
              <w:bottom w:val="single" w:sz="4" w:space="0" w:color="auto"/>
            </w:tcBorders>
            <w:shd w:val="clear" w:color="auto" w:fill="auto"/>
          </w:tcPr>
          <w:p>
            <w:pPr>
              <w:pStyle w:val="nTable"/>
              <w:spacing w:after="40"/>
              <w:rPr>
                <w:caps/>
              </w:rPr>
            </w:pPr>
            <w:r>
              <w:t>21 Jun 2019 p. 2119</w:t>
            </w:r>
            <w:r>
              <w:noBreakHyphen/>
              <w:t>27</w:t>
            </w:r>
          </w:p>
        </w:tc>
        <w:tc>
          <w:tcPr>
            <w:tcW w:w="2694" w:type="dxa"/>
            <w:gridSpan w:val="2"/>
            <w:tcBorders>
              <w:bottom w:val="single" w:sz="4" w:space="0" w:color="auto"/>
            </w:tcBorders>
            <w:shd w:val="clear" w:color="auto" w:fill="auto"/>
          </w:tcPr>
          <w:p>
            <w:pPr>
              <w:pStyle w:val="nTable"/>
              <w:spacing w:after="40"/>
              <w:rPr>
                <w:bCs/>
                <w:snapToGrid w:val="0"/>
                <w:spacing w:val="-2"/>
              </w:rPr>
            </w:pPr>
            <w:r>
              <w:rPr>
                <w:bCs/>
                <w:snapToGrid w:val="0"/>
                <w:spacing w:val="-2"/>
              </w:rPr>
              <w:t>bl. 1 and 2: 21 Jun 2019 (see bl. 2(a));</w:t>
            </w:r>
            <w:r>
              <w:rPr>
                <w:bCs/>
                <w:snapToGrid w:val="0"/>
                <w:spacing w:val="-2"/>
              </w:rPr>
              <w:br/>
              <w:t>By-laws other than bl. 1, 2 and 5: 1 Jul 2019 (see bl. 2(c));</w:t>
            </w:r>
          </w:p>
          <w:p>
            <w:pPr>
              <w:pStyle w:val="nTable"/>
              <w:spacing w:after="40"/>
              <w:rPr>
                <w:bCs/>
                <w:snapToGrid w:val="0"/>
                <w:spacing w:val="-2"/>
              </w:rPr>
            </w:pPr>
            <w:r>
              <w:rPr>
                <w:bCs/>
                <w:snapToGrid w:val="0"/>
                <w:spacing w:val="-2"/>
              </w:rPr>
              <w:t>bl. 5: 1 Sep 2019 (see bl. 2(b))</w:t>
            </w:r>
          </w:p>
        </w:tc>
      </w:tr>
    </w:tbl>
    <w:p>
      <w:pPr>
        <w:pStyle w:val="nHeading3"/>
        <w:rPr>
          <w:ins w:id="111" w:author="Master Repository Process" w:date="2021-08-01T14:03:00Z"/>
        </w:rPr>
      </w:pPr>
      <w:bookmarkStart w:id="112" w:name="_Toc42522213"/>
      <w:del w:id="113" w:author="Master Repository Process" w:date="2021-08-01T14:03:00Z">
        <w:r>
          <w:rPr>
            <w:vertAlign w:val="superscript"/>
          </w:rPr>
          <w:delText>2</w:delText>
        </w:r>
      </w:del>
      <w:ins w:id="114" w:author="Master Repository Process" w:date="2021-08-01T14:03:00Z">
        <w:r>
          <w:t>Uncommenced provisions table</w:t>
        </w:r>
        <w:bookmarkEnd w:id="112"/>
      </w:ins>
    </w:p>
    <w:p>
      <w:pPr>
        <w:pStyle w:val="nStatement"/>
        <w:keepNext/>
        <w:spacing w:after="240"/>
        <w:rPr>
          <w:ins w:id="115" w:author="Master Repository Process" w:date="2021-08-01T14:03:00Z"/>
        </w:rPr>
      </w:pPr>
      <w:ins w:id="116" w:author="Master Repository Process" w:date="2021-08-01T14:0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17" w:author="Master Repository Process" w:date="2021-08-01T14:03:00Z"/>
        </w:trPr>
        <w:tc>
          <w:tcPr>
            <w:tcW w:w="3118" w:type="dxa"/>
          </w:tcPr>
          <w:p>
            <w:pPr>
              <w:pStyle w:val="nTable"/>
              <w:spacing w:after="40"/>
              <w:rPr>
                <w:ins w:id="118" w:author="Master Repository Process" w:date="2021-08-01T14:03:00Z"/>
                <w:b/>
              </w:rPr>
            </w:pPr>
            <w:ins w:id="119" w:author="Master Repository Process" w:date="2021-08-01T14:03:00Z">
              <w:r>
                <w:rPr>
                  <w:b/>
                </w:rPr>
                <w:t>Citation</w:t>
              </w:r>
            </w:ins>
          </w:p>
        </w:tc>
        <w:tc>
          <w:tcPr>
            <w:tcW w:w="1276" w:type="dxa"/>
          </w:tcPr>
          <w:p>
            <w:pPr>
              <w:pStyle w:val="nTable"/>
              <w:spacing w:after="40"/>
              <w:rPr>
                <w:ins w:id="120" w:author="Master Repository Process" w:date="2021-08-01T14:03:00Z"/>
                <w:b/>
              </w:rPr>
            </w:pPr>
            <w:ins w:id="121" w:author="Master Repository Process" w:date="2021-08-01T14:03:00Z">
              <w:r>
                <w:rPr>
                  <w:b/>
                </w:rPr>
                <w:t>Published</w:t>
              </w:r>
            </w:ins>
          </w:p>
        </w:tc>
        <w:tc>
          <w:tcPr>
            <w:tcW w:w="2693" w:type="dxa"/>
          </w:tcPr>
          <w:p>
            <w:pPr>
              <w:pStyle w:val="nTable"/>
              <w:spacing w:after="40"/>
              <w:rPr>
                <w:ins w:id="122" w:author="Master Repository Process" w:date="2021-08-01T14:03:00Z"/>
                <w:b/>
              </w:rPr>
            </w:pPr>
            <w:ins w:id="123" w:author="Master Repository Process" w:date="2021-08-01T14:03:00Z">
              <w:r>
                <w:rPr>
                  <w:b/>
                </w:rPr>
                <w:t>Commencement</w:t>
              </w:r>
            </w:ins>
          </w:p>
        </w:tc>
      </w:tr>
      <w:tr>
        <w:trPr>
          <w:ins w:id="124" w:author="Master Repository Process" w:date="2021-08-01T14:03:00Z"/>
        </w:trPr>
        <w:tc>
          <w:tcPr>
            <w:tcW w:w="3118" w:type="dxa"/>
          </w:tcPr>
          <w:p>
            <w:pPr>
              <w:pStyle w:val="nTable"/>
              <w:spacing w:after="40"/>
              <w:rPr>
                <w:ins w:id="125" w:author="Master Repository Process" w:date="2021-08-01T14:03:00Z"/>
              </w:rPr>
            </w:pPr>
            <w:ins w:id="126" w:author="Master Repository Process" w:date="2021-08-01T14:03:00Z">
              <w:r>
                <w:rPr>
                  <w:i/>
                </w:rPr>
                <w:t>Energy Operators (Electricity Generation and Retail Corporation) (Charges) Amendment By</w:t>
              </w:r>
              <w:r>
                <w:rPr>
                  <w:i/>
                </w:rPr>
                <w:noBreakHyphen/>
                <w:t xml:space="preserve">laws 2020 </w:t>
              </w:r>
              <w:r>
                <w:t>bl. 3-5</w:t>
              </w:r>
            </w:ins>
          </w:p>
        </w:tc>
        <w:tc>
          <w:tcPr>
            <w:tcW w:w="1276" w:type="dxa"/>
          </w:tcPr>
          <w:p>
            <w:pPr>
              <w:pStyle w:val="nTable"/>
              <w:spacing w:after="40"/>
              <w:rPr>
                <w:ins w:id="127" w:author="Master Repository Process" w:date="2021-08-01T14:03:00Z"/>
              </w:rPr>
            </w:pPr>
            <w:ins w:id="128" w:author="Master Repository Process" w:date="2021-08-01T14:03:00Z">
              <w:r>
                <w:t>SL 2020/79</w:t>
              </w:r>
              <w:r>
                <w:br/>
                <w:t>9 Jun 2020</w:t>
              </w:r>
            </w:ins>
          </w:p>
        </w:tc>
        <w:tc>
          <w:tcPr>
            <w:tcW w:w="2693" w:type="dxa"/>
          </w:tcPr>
          <w:p>
            <w:pPr>
              <w:pStyle w:val="nTable"/>
              <w:spacing w:after="40"/>
              <w:rPr>
                <w:ins w:id="129" w:author="Master Repository Process" w:date="2021-08-01T14:03:00Z"/>
              </w:rPr>
            </w:pPr>
            <w:ins w:id="130" w:author="Master Repository Process" w:date="2021-08-01T14:03:00Z">
              <w:r>
                <w:t>1 Jul 2020 (see bl. 2(b))</w:t>
              </w:r>
            </w:ins>
          </w:p>
        </w:tc>
      </w:tr>
    </w:tbl>
    <w:p>
      <w:pPr>
        <w:pStyle w:val="nHeading3"/>
        <w:rPr>
          <w:ins w:id="131" w:author="Master Repository Process" w:date="2021-08-01T14:03:00Z"/>
        </w:rPr>
      </w:pPr>
      <w:bookmarkStart w:id="132" w:name="_Toc42522214"/>
      <w:ins w:id="133" w:author="Master Repository Process" w:date="2021-08-01T14:03:00Z">
        <w:r>
          <w:t>Other notes</w:t>
        </w:r>
        <w:bookmarkEnd w:id="132"/>
      </w:ins>
    </w:p>
    <w:p>
      <w:pPr>
        <w:pStyle w:val="nNote"/>
        <w:rPr>
          <w:noProof/>
          <w:snapToGrid w:val="0"/>
        </w:rPr>
      </w:pPr>
      <w:ins w:id="134" w:author="Master Repository Process" w:date="2021-08-01T14:03:00Z">
        <w:r>
          <w:rPr>
            <w:vertAlign w:val="superscript"/>
          </w:rPr>
          <w:t>1</w:t>
        </w:r>
      </w:ins>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Pr>
        <w:pStyle w:val="nNote"/>
        <w:keepNext/>
      </w:pPr>
      <w:del w:id="135" w:author="Master Repository Process" w:date="2021-08-01T14:03:00Z">
        <w:r>
          <w:rPr>
            <w:noProof/>
            <w:snapToGrid w:val="0"/>
            <w:vertAlign w:val="superscript"/>
          </w:rPr>
          <w:delText>3</w:delText>
        </w:r>
      </w:del>
      <w:ins w:id="136" w:author="Master Repository Process" w:date="2021-08-01T14:03:00Z">
        <w:r>
          <w:rPr>
            <w:noProof/>
            <w:snapToGrid w:val="0"/>
            <w:vertAlign w:val="superscript"/>
          </w:rPr>
          <w:t>2</w:t>
        </w:r>
      </w:ins>
      <w:r>
        <w:rPr>
          <w:noProof/>
          <w:snapToGrid w:val="0"/>
        </w:rPr>
        <w:tab/>
        <w:t xml:space="preserve">The </w:t>
      </w:r>
      <w:r>
        <w:rPr>
          <w:i/>
        </w:rPr>
        <w:t>Energy Operators (Electricity Generation and Retail Corporation) (Charges) Amendment By-laws 2016</w:t>
      </w:r>
      <w:r>
        <w:t>, (row 5 of the table in by</w:t>
      </w:r>
      <w:r>
        <w:noBreakHyphen/>
        <w:t xml:space="preserve">law 5) was disallowed by the Legislative Council on 22 Nov 2016 (see </w:t>
      </w:r>
      <w:r>
        <w:rPr>
          <w:i/>
        </w:rPr>
        <w:t>Gazette</w:t>
      </w:r>
      <w:r>
        <w:t xml:space="preserve"> 6 Dec 2016 p. 5492).</w:t>
      </w:r>
    </w:p>
    <w:p/>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53" w:name="Schedule"/>
    <w:bookmarkEnd w:id="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Supply charges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7" w:name="Compilation"/>
    <w:bookmarkEnd w:id="13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8" w:name="Coversheet"/>
    <w:bookmarkEnd w:id="1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682E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54204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18FF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3CA97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02D7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8416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ACBE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9436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D21A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6E6B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89637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08110511"/>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 w:name="WAFER_20151105123736" w:val="UpdateStyles,UsedStyles"/>
    <w:docVar w:name="WAFER_20151105123736_GUID" w:val="3ce5933b-4c35-4cd5-978b-5013e0139cbb"/>
    <w:docVar w:name="WAFER_20170208155836" w:val="RemoveTocBookmarks,RemoveUnusedBookmarks,RemoveLanguageTags,UsedStyles,ResetPageSize"/>
    <w:docVar w:name="WAFER_20170208155836_GUID" w:val="49bc0dda-ee02-4cd7-8c47-6054202e0286"/>
    <w:docVar w:name="WAFER_20180216105838" w:val="RemoveTocBookmarks,RemoveUnusedBookmarks,RemoveLanguageTags,UsedStyles,ResetPageSize"/>
    <w:docVar w:name="WAFER_20180216105838_GUID" w:val="e86a15db-9c5f-45d7-8b16-1d8cf0163571"/>
    <w:docVar w:name="WAFER_20180426120024" w:val="RemoveTocBookmarks,RemoveUnusedBookmarks,RemoveLanguageTags,UsedStyles,ResetPageSize,RemoveCustomizations"/>
    <w:docVar w:name="WAFER_20180426120024_GUID" w:val="9e9a78d8-f620-4916-8831-2f9af6e2081f"/>
    <w:docVar w:name="WAFER_20190828113052" w:val="RemoveTocBookmarks,RemoveUnusedBookmarks,RemoveLanguageTags,ResetPageSize,RunningHeaders,UpdateStyles,UsedStyles"/>
    <w:docVar w:name="WAFER_20190828113052_GUID" w:val="b014ba0c-ec47-4ee8-9ca7-a5ff8dee9b0d"/>
    <w:docVar w:name="WAFER_20200608110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0511_GUID" w:val="7253b864-7969-4c6f-bec9-4392535540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9AE7E29-2624-4A89-9C3F-040E3D580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4415</Words>
  <Characters>21768</Characters>
  <Application>Microsoft Office Word</Application>
  <DocSecurity>0</DocSecurity>
  <Lines>907</Lines>
  <Paragraphs>595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04-d0-00 - 04-e0-00</dc:title>
  <dc:subject/>
  <dc:creator/>
  <cp:keywords/>
  <dc:description/>
  <cp:lastModifiedBy>Master Repository Process</cp:lastModifiedBy>
  <cp:revision>2</cp:revision>
  <cp:lastPrinted>2019-06-24T07:01:00Z</cp:lastPrinted>
  <dcterms:created xsi:type="dcterms:W3CDTF">2021-08-01T06:03:00Z</dcterms:created>
  <dcterms:modified xsi:type="dcterms:W3CDTF">2021-08-01T06:03:00Z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OwlsUID">
    <vt:i4>38407</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4</vt:lpwstr>
  </property>
  <property fmtid="{D5CDD505-2E9C-101B-9397-08002B2CF9AE}" pid="7" name="CommencementDate">
    <vt:lpwstr>20200609</vt:lpwstr>
  </property>
  <property fmtid="{D5CDD505-2E9C-101B-9397-08002B2CF9AE}" pid="8" name="FromSuffix">
    <vt:lpwstr>04-d0-00</vt:lpwstr>
  </property>
  <property fmtid="{D5CDD505-2E9C-101B-9397-08002B2CF9AE}" pid="9" name="FromAsAtDate">
    <vt:lpwstr>01 Sep 2019</vt:lpwstr>
  </property>
  <property fmtid="{D5CDD505-2E9C-101B-9397-08002B2CF9AE}" pid="10" name="ToSuffix">
    <vt:lpwstr>04-e0-00</vt:lpwstr>
  </property>
  <property fmtid="{D5CDD505-2E9C-101B-9397-08002B2CF9AE}" pid="11" name="ToAsAtDate">
    <vt:lpwstr>09 Jun 2020</vt:lpwstr>
  </property>
</Properties>
</file>