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05-e0-00</w:t>
      </w:r>
      <w:r>
        <w:fldChar w:fldCharType="end"/>
      </w:r>
      <w:r>
        <w:t>] and [</w:t>
      </w:r>
      <w:r>
        <w:fldChar w:fldCharType="begin"/>
      </w:r>
      <w:r>
        <w:instrText xml:space="preserve"> DocProperty ToAsAtDate</w:instrText>
      </w:r>
      <w:r>
        <w:fldChar w:fldCharType="separate"/>
      </w:r>
      <w:r>
        <w:t>19 Jun 2020</w:t>
      </w:r>
      <w:r>
        <w:fldChar w:fldCharType="end"/>
      </w:r>
      <w:r>
        <w:t xml:space="preserve">, </w:t>
      </w:r>
      <w:r>
        <w:fldChar w:fldCharType="begin"/>
      </w:r>
      <w:r>
        <w:instrText xml:space="preserve"> DocProperty ToSuffix</w:instrText>
      </w:r>
      <w:r>
        <w:fldChar w:fldCharType="separate"/>
      </w:r>
      <w:r>
        <w:t>05-f0-00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1T19:32:00Z"/>
        </w:rPr>
      </w:pPr>
      <w:del w:id="2" w:author="Master Repository Process" w:date="2021-09-11T19:32:00Z">
        <w:r>
          <w:lastRenderedPageBreak/>
          <w:delText>Western Australia</w:delText>
        </w:r>
      </w:del>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3384218"/>
      <w:bookmarkStart w:id="4" w:name="_Toc43384603"/>
      <w:bookmarkStart w:id="5" w:name="_Toc43452885"/>
      <w:bookmarkStart w:id="6" w:name="_Toc486428714"/>
      <w:bookmarkStart w:id="7" w:name="_Toc517941654"/>
      <w:bookmarkStart w:id="8" w:name="_Toc11938172"/>
      <w:bookmarkStart w:id="9" w:name="_Toc11938208"/>
      <w:bookmarkStart w:id="10" w:name="_Toc12286982"/>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2" w:name="_Toc43452886"/>
      <w:bookmarkStart w:id="13" w:name="_Toc12286983"/>
      <w:r>
        <w:rPr>
          <w:rStyle w:val="CharSectno"/>
        </w:rPr>
        <w:t>1</w:t>
      </w:r>
      <w:r>
        <w:rPr>
          <w:snapToGrid w:val="0"/>
        </w:rPr>
        <w:t>.</w:t>
      </w:r>
      <w:r>
        <w:rPr>
          <w:snapToGrid w:val="0"/>
        </w:rPr>
        <w:tab/>
        <w:t>Citation</w:t>
      </w:r>
      <w:bookmarkEnd w:id="12"/>
      <w:bookmarkEnd w:id="13"/>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del w:id="14" w:author="Master Repository Process" w:date="2021-09-11T19:32:00Z">
        <w:r>
          <w:rPr>
            <w:snapToGrid w:val="0"/>
            <w:vertAlign w:val="superscript"/>
          </w:rPr>
          <w:delText> 1</w:delText>
        </w:r>
      </w:del>
      <w:r>
        <w:rPr>
          <w:snapToGrid w:val="0"/>
        </w:rPr>
        <w:t>.</w:t>
      </w:r>
    </w:p>
    <w:p>
      <w:pPr>
        <w:pStyle w:val="Heading5"/>
        <w:rPr>
          <w:snapToGrid w:val="0"/>
        </w:rPr>
      </w:pPr>
      <w:bookmarkStart w:id="15" w:name="_Toc43452887"/>
      <w:bookmarkStart w:id="16" w:name="_Toc12286984"/>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7" w:name="_Toc43452888"/>
      <w:bookmarkStart w:id="18" w:name="_Toc12286985"/>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p>
    <w:p>
      <w:pPr>
        <w:pStyle w:val="Heading2"/>
      </w:pPr>
      <w:bookmarkStart w:id="19" w:name="_Toc43384222"/>
      <w:bookmarkStart w:id="20" w:name="_Toc43384607"/>
      <w:bookmarkStart w:id="21" w:name="_Toc43452889"/>
      <w:bookmarkStart w:id="22" w:name="_Toc486428718"/>
      <w:bookmarkStart w:id="23" w:name="_Toc517941658"/>
      <w:bookmarkStart w:id="24" w:name="_Toc11938176"/>
      <w:bookmarkStart w:id="25" w:name="_Toc11938212"/>
      <w:bookmarkStart w:id="26" w:name="_Toc12286986"/>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9"/>
      <w:bookmarkEnd w:id="20"/>
      <w:bookmarkEnd w:id="21"/>
      <w:bookmarkEnd w:id="22"/>
      <w:bookmarkEnd w:id="23"/>
      <w:bookmarkEnd w:id="24"/>
      <w:bookmarkEnd w:id="25"/>
      <w:bookmarkEnd w:id="26"/>
    </w:p>
    <w:p>
      <w:pPr>
        <w:pStyle w:val="Heading5"/>
        <w:rPr>
          <w:snapToGrid w:val="0"/>
        </w:rPr>
      </w:pPr>
      <w:bookmarkStart w:id="27" w:name="_Toc43452890"/>
      <w:bookmarkStart w:id="28" w:name="_Toc12286987"/>
      <w:r>
        <w:rPr>
          <w:rStyle w:val="CharSectno"/>
        </w:rPr>
        <w:t>4</w:t>
      </w:r>
      <w:r>
        <w:rPr>
          <w:snapToGrid w:val="0"/>
        </w:rPr>
        <w:t>.</w:t>
      </w:r>
      <w:r>
        <w:rPr>
          <w:snapToGrid w:val="0"/>
        </w:rPr>
        <w:tab/>
        <w:t>Provisions prescribed for financial bodies (Act s. 4(3))</w:t>
      </w:r>
      <w:bookmarkEnd w:id="27"/>
      <w:bookmarkEnd w:id="28"/>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29" w:name="_Toc43452891"/>
      <w:bookmarkStart w:id="30" w:name="_Toc12286988"/>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29"/>
      <w:bookmarkEnd w:id="30"/>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31" w:name="_Toc43452892"/>
      <w:bookmarkStart w:id="32" w:name="_Toc12286989"/>
      <w:r>
        <w:rPr>
          <w:rStyle w:val="CharSectno"/>
        </w:rPr>
        <w:t>6</w:t>
      </w:r>
      <w:r>
        <w:rPr>
          <w:snapToGrid w:val="0"/>
        </w:rPr>
        <w:t>.</w:t>
      </w:r>
      <w:r>
        <w:rPr>
          <w:snapToGrid w:val="0"/>
        </w:rPr>
        <w:tab/>
        <w:t>Act s. 38(a) does not apply to sales to minors (Act s. 4(3))</w:t>
      </w:r>
      <w:bookmarkEnd w:id="31"/>
      <w:bookmarkEnd w:id="32"/>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3" w:name="_Toc43452893"/>
      <w:bookmarkStart w:id="34" w:name="_Toc12286990"/>
      <w:r>
        <w:rPr>
          <w:rStyle w:val="CharSectno"/>
        </w:rPr>
        <w:t>7</w:t>
      </w:r>
      <w:r>
        <w:rPr>
          <w:snapToGrid w:val="0"/>
        </w:rPr>
        <w:t>.</w:t>
      </w:r>
      <w:r>
        <w:rPr>
          <w:snapToGrid w:val="0"/>
        </w:rPr>
        <w:tab/>
        <w:t>Act s. 39 does not apply in some cases (Act s. 4(3))</w:t>
      </w:r>
      <w:bookmarkEnd w:id="33"/>
      <w:bookmarkEnd w:id="34"/>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35" w:name="_Toc43452894"/>
      <w:bookmarkStart w:id="36" w:name="_Toc12286991"/>
      <w:r>
        <w:rPr>
          <w:rStyle w:val="CharSectno"/>
        </w:rPr>
        <w:t>8</w:t>
      </w:r>
      <w:r>
        <w:rPr>
          <w:snapToGrid w:val="0"/>
        </w:rPr>
        <w:t>.</w:t>
      </w:r>
      <w:r>
        <w:rPr>
          <w:snapToGrid w:val="0"/>
        </w:rPr>
        <w:tab/>
        <w:t>Amount prescribed (Act s. 59(2)(b))</w:t>
      </w:r>
      <w:bookmarkEnd w:id="35"/>
      <w:bookmarkEnd w:id="3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7" w:name="_Toc43452895"/>
      <w:bookmarkStart w:id="38" w:name="_Toc12286992"/>
      <w:r>
        <w:rPr>
          <w:rStyle w:val="CharSectno"/>
        </w:rPr>
        <w:t>9</w:t>
      </w:r>
      <w:r>
        <w:rPr>
          <w:snapToGrid w:val="0"/>
        </w:rPr>
        <w:t>.</w:t>
      </w:r>
      <w:r>
        <w:rPr>
          <w:snapToGrid w:val="0"/>
        </w:rPr>
        <w:tab/>
        <w:t>Act s. 61 does not apply to certain goods (Act s. 4(3))</w:t>
      </w:r>
      <w:bookmarkEnd w:id="37"/>
      <w:bookmarkEnd w:id="38"/>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39" w:name="_Toc43384229"/>
      <w:bookmarkStart w:id="40" w:name="_Toc43384614"/>
      <w:bookmarkStart w:id="41" w:name="_Toc43452896"/>
      <w:bookmarkStart w:id="42" w:name="_Toc486428725"/>
      <w:bookmarkStart w:id="43" w:name="_Toc517941665"/>
      <w:bookmarkStart w:id="44" w:name="_Toc11938183"/>
      <w:bookmarkStart w:id="45" w:name="_Toc11938219"/>
      <w:bookmarkStart w:id="46" w:name="_Toc12286993"/>
      <w:r>
        <w:rPr>
          <w:rStyle w:val="CharPartNo"/>
        </w:rPr>
        <w:t>Part 3</w:t>
      </w:r>
      <w:r>
        <w:rPr>
          <w:rStyle w:val="CharDivNo"/>
        </w:rPr>
        <w:t> </w:t>
      </w:r>
      <w:r>
        <w:t>—</w:t>
      </w:r>
      <w:r>
        <w:rPr>
          <w:rStyle w:val="CharDivText"/>
        </w:rPr>
        <w:t> </w:t>
      </w:r>
      <w:r>
        <w:rPr>
          <w:rStyle w:val="CharPartText"/>
        </w:rPr>
        <w:t>Matters prescribed for licence applications</w:t>
      </w:r>
      <w:bookmarkEnd w:id="39"/>
      <w:bookmarkEnd w:id="40"/>
      <w:bookmarkEnd w:id="41"/>
      <w:bookmarkEnd w:id="42"/>
      <w:bookmarkEnd w:id="43"/>
      <w:bookmarkEnd w:id="44"/>
      <w:bookmarkEnd w:id="45"/>
      <w:bookmarkEnd w:id="46"/>
    </w:p>
    <w:p>
      <w:pPr>
        <w:pStyle w:val="Heading5"/>
        <w:spacing w:before="180"/>
        <w:rPr>
          <w:snapToGrid w:val="0"/>
        </w:rPr>
      </w:pPr>
      <w:bookmarkStart w:id="47" w:name="_Toc43452897"/>
      <w:bookmarkStart w:id="48" w:name="_Toc12286994"/>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47"/>
      <w:bookmarkEnd w:id="48"/>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49" w:name="_Toc43452898"/>
      <w:bookmarkStart w:id="50" w:name="_Toc12286995"/>
      <w:r>
        <w:rPr>
          <w:rStyle w:val="CharSectno"/>
        </w:rPr>
        <w:t>11</w:t>
      </w:r>
      <w:r>
        <w:rPr>
          <w:snapToGrid w:val="0"/>
        </w:rPr>
        <w:t>.</w:t>
      </w:r>
      <w:r>
        <w:rPr>
          <w:snapToGrid w:val="0"/>
        </w:rPr>
        <w:tab/>
        <w:t xml:space="preserve">Other evidence to accompany applications prescribed </w:t>
      </w:r>
      <w:r>
        <w:rPr>
          <w:snapToGrid w:val="0"/>
          <w:spacing w:val="-4"/>
        </w:rPr>
        <w:t>(Act s. 14(f))</w:t>
      </w:r>
      <w:bookmarkEnd w:id="49"/>
      <w:bookmarkEnd w:id="50"/>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1" w:name="_Toc43452899"/>
      <w:bookmarkStart w:id="52" w:name="_Toc12286996"/>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1"/>
      <w:bookmarkEnd w:id="52"/>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3" w:name="_Toc43384233"/>
      <w:bookmarkStart w:id="54" w:name="_Toc43384618"/>
      <w:bookmarkStart w:id="55" w:name="_Toc43452900"/>
      <w:bookmarkStart w:id="56" w:name="_Toc486428729"/>
      <w:bookmarkStart w:id="57" w:name="_Toc517941669"/>
      <w:bookmarkStart w:id="58" w:name="_Toc11938187"/>
      <w:bookmarkStart w:id="59" w:name="_Toc11938223"/>
      <w:bookmarkStart w:id="60" w:name="_Toc12286997"/>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3"/>
      <w:bookmarkEnd w:id="54"/>
      <w:bookmarkEnd w:id="55"/>
      <w:bookmarkEnd w:id="56"/>
      <w:bookmarkEnd w:id="57"/>
      <w:bookmarkEnd w:id="58"/>
      <w:bookmarkEnd w:id="59"/>
      <w:bookmarkEnd w:id="60"/>
    </w:p>
    <w:p>
      <w:pPr>
        <w:pStyle w:val="Heading5"/>
        <w:rPr>
          <w:snapToGrid w:val="0"/>
        </w:rPr>
      </w:pPr>
      <w:bookmarkStart w:id="61" w:name="_Toc43452901"/>
      <w:bookmarkStart w:id="62" w:name="_Toc12286998"/>
      <w:r>
        <w:rPr>
          <w:rStyle w:val="CharSectno"/>
        </w:rPr>
        <w:t>13</w:t>
      </w:r>
      <w:r>
        <w:rPr>
          <w:snapToGrid w:val="0"/>
        </w:rPr>
        <w:t>.</w:t>
      </w:r>
      <w:r>
        <w:rPr>
          <w:snapToGrid w:val="0"/>
        </w:rPr>
        <w:tab/>
        <w:t xml:space="preserve">Means of verifying person’s identity prescribed </w:t>
      </w:r>
      <w:r>
        <w:rPr>
          <w:snapToGrid w:val="0"/>
          <w:spacing w:val="-4"/>
        </w:rPr>
        <w:t>(Act s. 39(b))</w:t>
      </w:r>
      <w:bookmarkEnd w:id="61"/>
      <w:bookmarkEnd w:id="62"/>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w:t>
            </w:r>
            <w:del w:id="63" w:author="Master Repository Process" w:date="2021-09-11T19:32:00Z">
              <w:r>
                <w:rPr>
                  <w:iCs/>
                  <w:vertAlign w:val="superscript"/>
                </w:rPr>
                <w:delText>2</w:delText>
              </w:r>
            </w:del>
            <w:ins w:id="64" w:author="Master Repository Process" w:date="2021-09-11T19:32:00Z">
              <w:r>
                <w:rPr>
                  <w:iCs/>
                  <w:vertAlign w:val="superscript"/>
                </w:rPr>
                <w:t>1</w:t>
              </w:r>
            </w:ins>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65" w:name="_Toc43452902"/>
      <w:bookmarkStart w:id="66" w:name="_Toc12286999"/>
      <w:r>
        <w:rPr>
          <w:rStyle w:val="CharSectno"/>
        </w:rPr>
        <w:t>13A</w:t>
      </w:r>
      <w:r>
        <w:t>.</w:t>
      </w:r>
      <w:r>
        <w:tab/>
        <w:t>Transaction cards, form and issue of</w:t>
      </w:r>
      <w:bookmarkEnd w:id="65"/>
      <w:bookmarkEnd w:id="66"/>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67" w:name="_Toc43452903"/>
      <w:bookmarkStart w:id="68" w:name="_Toc12287000"/>
      <w:r>
        <w:rPr>
          <w:rStyle w:val="CharSectno"/>
        </w:rPr>
        <w:t>14</w:t>
      </w:r>
      <w:r>
        <w:rPr>
          <w:snapToGrid w:val="0"/>
        </w:rPr>
        <w:t>.</w:t>
      </w:r>
      <w:r>
        <w:rPr>
          <w:snapToGrid w:val="0"/>
        </w:rPr>
        <w:tab/>
        <w:t xml:space="preserve">Manner of keeping records prescribed </w:t>
      </w:r>
      <w:r>
        <w:rPr>
          <w:snapToGrid w:val="0"/>
          <w:spacing w:val="-4"/>
        </w:rPr>
        <w:t>(Act s. 45)</w:t>
      </w:r>
      <w:bookmarkEnd w:id="67"/>
      <w:bookmarkEnd w:id="68"/>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9" w:name="_Toc43452904"/>
      <w:bookmarkStart w:id="70" w:name="_Toc12287001"/>
      <w:r>
        <w:rPr>
          <w:rStyle w:val="CharSectno"/>
        </w:rPr>
        <w:t>15</w:t>
      </w:r>
      <w:r>
        <w:rPr>
          <w:snapToGrid w:val="0"/>
        </w:rPr>
        <w:t>.</w:t>
      </w:r>
      <w:r>
        <w:rPr>
          <w:snapToGrid w:val="0"/>
        </w:rPr>
        <w:tab/>
      </w:r>
      <w:r>
        <w:rPr>
          <w:snapToGrid w:val="0"/>
          <w:spacing w:val="-4"/>
        </w:rPr>
        <w:t>Information prescribed (Act s. 79)</w:t>
      </w:r>
      <w:bookmarkEnd w:id="69"/>
      <w:bookmarkEnd w:id="7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71" w:name="_Toc43384238"/>
      <w:bookmarkStart w:id="72" w:name="_Toc43384623"/>
      <w:bookmarkStart w:id="73" w:name="_Toc43452905"/>
      <w:bookmarkStart w:id="74" w:name="_Toc486428734"/>
      <w:bookmarkStart w:id="75" w:name="_Toc517941674"/>
      <w:bookmarkStart w:id="76" w:name="_Toc11938192"/>
      <w:bookmarkStart w:id="77" w:name="_Toc11938228"/>
      <w:bookmarkStart w:id="78" w:name="_Toc12287002"/>
      <w:r>
        <w:rPr>
          <w:rStyle w:val="CharPartNo"/>
        </w:rPr>
        <w:t>Part 6</w:t>
      </w:r>
      <w:r>
        <w:rPr>
          <w:rStyle w:val="CharDivNo"/>
        </w:rPr>
        <w:t> </w:t>
      </w:r>
      <w:r>
        <w:t>—</w:t>
      </w:r>
      <w:r>
        <w:rPr>
          <w:rStyle w:val="CharDivText"/>
        </w:rPr>
        <w:t> </w:t>
      </w:r>
      <w:r>
        <w:rPr>
          <w:rStyle w:val="CharPartText"/>
        </w:rPr>
        <w:t>Fees</w:t>
      </w:r>
      <w:bookmarkEnd w:id="71"/>
      <w:bookmarkEnd w:id="72"/>
      <w:bookmarkEnd w:id="73"/>
      <w:bookmarkEnd w:id="74"/>
      <w:bookmarkEnd w:id="75"/>
      <w:bookmarkEnd w:id="76"/>
      <w:bookmarkEnd w:id="77"/>
      <w:bookmarkEnd w:id="78"/>
    </w:p>
    <w:p>
      <w:pPr>
        <w:pStyle w:val="Heading5"/>
        <w:rPr>
          <w:snapToGrid w:val="0"/>
        </w:rPr>
      </w:pPr>
      <w:bookmarkStart w:id="79" w:name="_Toc43452906"/>
      <w:bookmarkStart w:id="80" w:name="_Toc12287003"/>
      <w:r>
        <w:rPr>
          <w:rStyle w:val="CharSectno"/>
        </w:rPr>
        <w:t>28</w:t>
      </w:r>
      <w:r>
        <w:rPr>
          <w:snapToGrid w:val="0"/>
        </w:rPr>
        <w:t>.</w:t>
      </w:r>
      <w:r>
        <w:rPr>
          <w:snapToGrid w:val="0"/>
        </w:rPr>
        <w:tab/>
        <w:t>Fees prescribed for applications for licences (Act s. 13(b))</w:t>
      </w:r>
      <w:bookmarkEnd w:id="79"/>
      <w:bookmarkEnd w:id="80"/>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4 137</w:t>
            </w:r>
          </w:p>
        </w:tc>
        <w:tc>
          <w:tcPr>
            <w:tcW w:w="1059" w:type="pct"/>
          </w:tcPr>
          <w:p>
            <w:pPr>
              <w:pStyle w:val="TableNAm"/>
            </w:pPr>
            <w:r>
              <w:br/>
            </w:r>
            <w:r>
              <w:br/>
              <w:t>5 035</w:t>
            </w:r>
          </w:p>
        </w:tc>
        <w:tc>
          <w:tcPr>
            <w:tcW w:w="1058" w:type="pct"/>
          </w:tcPr>
          <w:p>
            <w:pPr>
              <w:pStyle w:val="TableNAm"/>
            </w:pPr>
            <w:r>
              <w:br/>
            </w:r>
            <w:r>
              <w:br/>
              <w:t>5 915</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2 068</w:t>
            </w:r>
          </w:p>
        </w:tc>
        <w:tc>
          <w:tcPr>
            <w:tcW w:w="1059" w:type="pct"/>
          </w:tcPr>
          <w:p>
            <w:pPr>
              <w:pStyle w:val="TableNAm"/>
            </w:pPr>
            <w:r>
              <w:br/>
            </w:r>
            <w:r>
              <w:br/>
              <w:t>2 517</w:t>
            </w:r>
          </w:p>
        </w:tc>
        <w:tc>
          <w:tcPr>
            <w:tcW w:w="1058" w:type="pct"/>
          </w:tcPr>
          <w:p>
            <w:pPr>
              <w:pStyle w:val="TableNAm"/>
            </w:pPr>
            <w:r>
              <w:br/>
            </w:r>
            <w:r>
              <w:br/>
              <w:t>2 957</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1 034</w:t>
            </w:r>
          </w:p>
        </w:tc>
        <w:tc>
          <w:tcPr>
            <w:tcW w:w="1059" w:type="pct"/>
          </w:tcPr>
          <w:p>
            <w:pPr>
              <w:pStyle w:val="TableNAm"/>
            </w:pPr>
            <w:r>
              <w:br/>
            </w:r>
            <w:r>
              <w:br/>
              <w:t>1 258</w:t>
            </w:r>
          </w:p>
        </w:tc>
        <w:tc>
          <w:tcPr>
            <w:tcW w:w="1058" w:type="pct"/>
          </w:tcPr>
          <w:p>
            <w:pPr>
              <w:pStyle w:val="TableNAm"/>
            </w:pPr>
            <w:r>
              <w:br/>
            </w:r>
            <w:r>
              <w:br/>
              <w:t>1 478</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4 137</w:t>
            </w:r>
          </w:p>
        </w:tc>
        <w:tc>
          <w:tcPr>
            <w:tcW w:w="1059" w:type="pct"/>
          </w:tcPr>
          <w:p>
            <w:pPr>
              <w:pStyle w:val="TableNAm"/>
            </w:pPr>
            <w:r>
              <w:br/>
            </w:r>
            <w:r>
              <w:br/>
              <w:t>5 035</w:t>
            </w:r>
          </w:p>
        </w:tc>
        <w:tc>
          <w:tcPr>
            <w:tcW w:w="1058" w:type="pct"/>
          </w:tcPr>
          <w:p>
            <w:pPr>
              <w:pStyle w:val="TableNAm"/>
            </w:pPr>
            <w:r>
              <w:br/>
            </w:r>
            <w:r>
              <w:br/>
              <w:t>5 915</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2 068</w:t>
            </w:r>
          </w:p>
        </w:tc>
        <w:tc>
          <w:tcPr>
            <w:tcW w:w="1059" w:type="pct"/>
          </w:tcPr>
          <w:p>
            <w:pPr>
              <w:pStyle w:val="TableNAm"/>
            </w:pPr>
            <w:r>
              <w:br/>
            </w:r>
            <w:r>
              <w:br/>
              <w:t>2 517</w:t>
            </w:r>
          </w:p>
        </w:tc>
        <w:tc>
          <w:tcPr>
            <w:tcW w:w="1058" w:type="pct"/>
          </w:tcPr>
          <w:p>
            <w:pPr>
              <w:pStyle w:val="TableNAm"/>
            </w:pPr>
            <w:r>
              <w:br/>
            </w:r>
            <w:r>
              <w:br/>
              <w:t>2 957</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1 034</w:t>
            </w:r>
          </w:p>
        </w:tc>
        <w:tc>
          <w:tcPr>
            <w:tcW w:w="1059" w:type="pct"/>
          </w:tcPr>
          <w:p>
            <w:pPr>
              <w:pStyle w:val="TableNAm"/>
            </w:pPr>
            <w:r>
              <w:br/>
            </w:r>
            <w:r>
              <w:br/>
              <w:t>1 258</w:t>
            </w:r>
          </w:p>
        </w:tc>
        <w:tc>
          <w:tcPr>
            <w:tcW w:w="1058" w:type="pct"/>
          </w:tcPr>
          <w:p>
            <w:pPr>
              <w:pStyle w:val="TableNAm"/>
            </w:pPr>
            <w:r>
              <w:br/>
            </w:r>
            <w:r>
              <w:br/>
              <w:t>1 478</w:t>
            </w:r>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4 261</w:t>
            </w:r>
          </w:p>
        </w:tc>
        <w:tc>
          <w:tcPr>
            <w:tcW w:w="1059" w:type="pct"/>
          </w:tcPr>
          <w:p>
            <w:pPr>
              <w:pStyle w:val="TableNAm"/>
            </w:pPr>
            <w:r>
              <w:br/>
            </w:r>
            <w:r>
              <w:br/>
              <w:t>5 277</w:t>
            </w:r>
          </w:p>
        </w:tc>
        <w:tc>
          <w:tcPr>
            <w:tcW w:w="1058" w:type="pct"/>
          </w:tcPr>
          <w:p>
            <w:pPr>
              <w:pStyle w:val="TableNAm"/>
            </w:pPr>
            <w:r>
              <w:br/>
            </w:r>
            <w:r>
              <w:br/>
              <w:t>6 279</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2 130</w:t>
            </w:r>
          </w:p>
        </w:tc>
        <w:tc>
          <w:tcPr>
            <w:tcW w:w="1059" w:type="pct"/>
          </w:tcPr>
          <w:p>
            <w:pPr>
              <w:pStyle w:val="TableNAm"/>
            </w:pPr>
            <w:r>
              <w:br/>
            </w:r>
            <w:r>
              <w:br/>
              <w:t>2 638</w:t>
            </w:r>
          </w:p>
        </w:tc>
        <w:tc>
          <w:tcPr>
            <w:tcW w:w="1058" w:type="pct"/>
          </w:tcPr>
          <w:p>
            <w:pPr>
              <w:pStyle w:val="TableNAm"/>
            </w:pPr>
            <w:r>
              <w:br/>
            </w:r>
            <w:r>
              <w:br/>
              <w:t>3 139</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1 065</w:t>
            </w:r>
          </w:p>
        </w:tc>
        <w:tc>
          <w:tcPr>
            <w:tcW w:w="1059" w:type="pct"/>
          </w:tcPr>
          <w:p>
            <w:pPr>
              <w:pStyle w:val="TableNAm"/>
            </w:pPr>
            <w:r>
              <w:br/>
            </w:r>
            <w:r>
              <w:br/>
              <w:t>1 319</w:t>
            </w:r>
          </w:p>
        </w:tc>
        <w:tc>
          <w:tcPr>
            <w:tcW w:w="1058" w:type="pct"/>
          </w:tcPr>
          <w:p>
            <w:pPr>
              <w:pStyle w:val="TableNAm"/>
            </w:pPr>
            <w:r>
              <w:br/>
            </w:r>
            <w:r>
              <w:br/>
              <w:t>1 569</w:t>
            </w:r>
          </w:p>
        </w:tc>
      </w:tr>
      <w:tr>
        <w:trPr>
          <w:cantSplit/>
        </w:trPr>
        <w:tc>
          <w:tcPr>
            <w:tcW w:w="597"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tcPr>
          <w:p>
            <w:pPr>
              <w:pStyle w:val="TableNAm"/>
            </w:pPr>
            <w:r>
              <w:br/>
            </w:r>
            <w:r>
              <w:br/>
              <w:t>4 145</w:t>
            </w:r>
          </w:p>
        </w:tc>
        <w:tc>
          <w:tcPr>
            <w:tcW w:w="1059" w:type="pct"/>
          </w:tcPr>
          <w:p>
            <w:pPr>
              <w:pStyle w:val="TableNAm"/>
            </w:pPr>
            <w:r>
              <w:br/>
            </w:r>
            <w:r>
              <w:br/>
              <w:t>5 046</w:t>
            </w:r>
          </w:p>
        </w:tc>
        <w:tc>
          <w:tcPr>
            <w:tcW w:w="1058" w:type="pct"/>
          </w:tcPr>
          <w:p>
            <w:pPr>
              <w:pStyle w:val="TableNAm"/>
            </w:pPr>
            <w:r>
              <w:br/>
            </w:r>
            <w:r>
              <w:br/>
              <w:t>5 929</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tcPr>
          <w:p>
            <w:pPr>
              <w:pStyle w:val="TableNAm"/>
            </w:pPr>
            <w:r>
              <w:br/>
            </w:r>
            <w:r>
              <w:br/>
              <w:t>2 072</w:t>
            </w:r>
          </w:p>
        </w:tc>
        <w:tc>
          <w:tcPr>
            <w:tcW w:w="1059" w:type="pct"/>
          </w:tcPr>
          <w:p>
            <w:pPr>
              <w:pStyle w:val="TableNAm"/>
            </w:pPr>
            <w:r>
              <w:br/>
            </w:r>
            <w:r>
              <w:br/>
              <w:t>2 522</w:t>
            </w:r>
          </w:p>
        </w:tc>
        <w:tc>
          <w:tcPr>
            <w:tcW w:w="1058" w:type="pct"/>
          </w:tcPr>
          <w:p>
            <w:pPr>
              <w:pStyle w:val="TableNAm"/>
            </w:pPr>
            <w:r>
              <w:br/>
            </w:r>
            <w:r>
              <w:br/>
              <w:t>2 964</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tcPr>
          <w:p>
            <w:pPr>
              <w:pStyle w:val="TableNAm"/>
            </w:pPr>
            <w:r>
              <w:br/>
            </w:r>
            <w:r>
              <w:br/>
              <w:t>1 036</w:t>
            </w:r>
          </w:p>
        </w:tc>
        <w:tc>
          <w:tcPr>
            <w:tcW w:w="1059" w:type="pct"/>
          </w:tcPr>
          <w:p>
            <w:pPr>
              <w:pStyle w:val="TableNAm"/>
            </w:pPr>
            <w:r>
              <w:br/>
            </w:r>
            <w:r>
              <w:br/>
              <w:t>1 261</w:t>
            </w:r>
          </w:p>
        </w:tc>
        <w:tc>
          <w:tcPr>
            <w:tcW w:w="1058" w:type="pct"/>
          </w:tcPr>
          <w:p>
            <w:pPr>
              <w:pStyle w:val="TableNAm"/>
            </w:pPr>
            <w:r>
              <w:br/>
            </w:r>
            <w:r>
              <w:br/>
              <w:t>1 482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w:t>
      </w:r>
    </w:p>
    <w:p>
      <w:pPr>
        <w:pStyle w:val="Heading5"/>
        <w:rPr>
          <w:snapToGrid w:val="0"/>
          <w:spacing w:val="-4"/>
        </w:rPr>
      </w:pPr>
      <w:bookmarkStart w:id="81" w:name="_Toc43452907"/>
      <w:bookmarkStart w:id="82" w:name="_Toc12287004"/>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81"/>
      <w:bookmarkEnd w:id="82"/>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pPr>
            <w:r>
              <w:rPr>
                <w:b/>
              </w:rPr>
              <w:t>Item</w:t>
            </w:r>
          </w:p>
        </w:tc>
        <w:tc>
          <w:tcPr>
            <w:tcW w:w="1228" w:type="pct"/>
          </w:tcPr>
          <w:p>
            <w:pPr>
              <w:pStyle w:val="TableNAm"/>
              <w:jc w:val="center"/>
            </w:pPr>
            <w:r>
              <w:rPr>
                <w:b/>
              </w:rPr>
              <w:t>Licence</w:t>
            </w:r>
          </w:p>
        </w:tc>
        <w:tc>
          <w:tcPr>
            <w:tcW w:w="1079" w:type="pct"/>
          </w:tcPr>
          <w:p>
            <w:pPr>
              <w:pStyle w:val="TableNAm"/>
              <w:jc w:val="center"/>
            </w:pPr>
            <w:r>
              <w:rPr>
                <w:b/>
              </w:rPr>
              <w:t>For period not exceeding 1 year</w:t>
            </w:r>
            <w:r>
              <w:rPr>
                <w:b/>
              </w:rPr>
              <w:br/>
            </w:r>
            <w:r>
              <w:rPr>
                <w:b/>
              </w:rPr>
              <w:br/>
            </w:r>
            <w:r>
              <w:rPr>
                <w:b/>
              </w:rPr>
              <w:br/>
              <w:t>$</w:t>
            </w:r>
          </w:p>
        </w:tc>
        <w:tc>
          <w:tcPr>
            <w:tcW w:w="1080" w:type="pct"/>
          </w:tcPr>
          <w:p>
            <w:pPr>
              <w:pStyle w:val="TableNAm"/>
              <w:jc w:val="center"/>
            </w:pPr>
            <w:r>
              <w:rPr>
                <w:b/>
              </w:rPr>
              <w:t>For period not exceeding 2 years but longer than 1 year</w:t>
            </w:r>
            <w:r>
              <w:rPr>
                <w:b/>
              </w:rPr>
              <w:br/>
              <w:t>$</w:t>
            </w:r>
          </w:p>
        </w:tc>
        <w:tc>
          <w:tcPr>
            <w:tcW w:w="1015" w:type="pct"/>
          </w:tcPr>
          <w:p>
            <w:pPr>
              <w:pStyle w:val="TableNAm"/>
              <w:jc w:val="center"/>
            </w:pPr>
            <w:r>
              <w:rPr>
                <w:b/>
              </w:rPr>
              <w:t>For period not exceeding 3 years but longer than 2 years</w:t>
            </w:r>
            <w:r>
              <w:rPr>
                <w:b/>
              </w:rPr>
              <w:br/>
              <w:t>$</w:t>
            </w:r>
          </w:p>
        </w:tc>
      </w:tr>
      <w:tr>
        <w:trPr>
          <w:cantSplit/>
        </w:trPr>
        <w:tc>
          <w:tcPr>
            <w:tcW w:w="598" w:type="pct"/>
          </w:tcPr>
          <w:p>
            <w:pPr>
              <w:pStyle w:val="TableNAm"/>
            </w:pPr>
            <w:r>
              <w:rPr>
                <w:b/>
              </w:rPr>
              <w:t>1.</w:t>
            </w:r>
          </w:p>
        </w:tc>
        <w:tc>
          <w:tcPr>
            <w:tcW w:w="1228" w:type="pct"/>
          </w:tcPr>
          <w:p>
            <w:pPr>
              <w:pStyle w:val="TableNAm"/>
            </w:pPr>
            <w:r>
              <w:rPr>
                <w:b/>
              </w:rPr>
              <w:t>Pawnbroker’s licence only</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4 088</w:t>
            </w:r>
          </w:p>
        </w:tc>
        <w:tc>
          <w:tcPr>
            <w:tcW w:w="1080" w:type="pct"/>
          </w:tcPr>
          <w:p>
            <w:pPr>
              <w:pStyle w:val="TableNAm"/>
            </w:pPr>
            <w:r>
              <w:br/>
            </w:r>
            <w:r>
              <w:br/>
              <w:t>4 964</w:t>
            </w:r>
          </w:p>
        </w:tc>
        <w:tc>
          <w:tcPr>
            <w:tcW w:w="1015" w:type="pct"/>
          </w:tcPr>
          <w:p>
            <w:pPr>
              <w:pStyle w:val="TableNAm"/>
            </w:pPr>
            <w:r>
              <w:br/>
            </w:r>
            <w:r>
              <w:br/>
              <w:t>5 824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2 044</w:t>
            </w:r>
          </w:p>
        </w:tc>
        <w:tc>
          <w:tcPr>
            <w:tcW w:w="1080" w:type="pct"/>
          </w:tcPr>
          <w:p>
            <w:pPr>
              <w:pStyle w:val="TableNAm"/>
            </w:pPr>
            <w:r>
              <w:br/>
            </w:r>
            <w:r>
              <w:br/>
              <w:t>2 482</w:t>
            </w:r>
          </w:p>
        </w:tc>
        <w:tc>
          <w:tcPr>
            <w:tcW w:w="1015" w:type="pct"/>
          </w:tcPr>
          <w:p>
            <w:pPr>
              <w:pStyle w:val="TableNAm"/>
            </w:pPr>
            <w:r>
              <w:br/>
            </w:r>
            <w:r>
              <w:br/>
              <w:t>2 912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1 022</w:t>
            </w:r>
          </w:p>
        </w:tc>
        <w:tc>
          <w:tcPr>
            <w:tcW w:w="1080" w:type="pct"/>
          </w:tcPr>
          <w:p>
            <w:pPr>
              <w:pStyle w:val="TableNAm"/>
            </w:pPr>
            <w:r>
              <w:br/>
            </w:r>
            <w:r>
              <w:br/>
              <w:t>1 241</w:t>
            </w:r>
          </w:p>
        </w:tc>
        <w:tc>
          <w:tcPr>
            <w:tcW w:w="1015" w:type="pct"/>
          </w:tcPr>
          <w:p>
            <w:pPr>
              <w:pStyle w:val="TableNAm"/>
            </w:pPr>
            <w:r>
              <w:br/>
            </w:r>
            <w:r>
              <w:br/>
              <w:t>1 456</w:t>
            </w:r>
          </w:p>
        </w:tc>
      </w:tr>
      <w:tr>
        <w:trPr>
          <w:cantSplit/>
        </w:trPr>
        <w:tc>
          <w:tcPr>
            <w:tcW w:w="598" w:type="pct"/>
          </w:tcPr>
          <w:p>
            <w:pPr>
              <w:pStyle w:val="TableNAm"/>
            </w:pPr>
            <w:r>
              <w:rPr>
                <w:b/>
              </w:rPr>
              <w:t>2.</w:t>
            </w:r>
          </w:p>
        </w:tc>
        <w:tc>
          <w:tcPr>
            <w:tcW w:w="1228" w:type="pct"/>
          </w:tcPr>
          <w:p>
            <w:pPr>
              <w:pStyle w:val="TableNAm"/>
            </w:pPr>
            <w:r>
              <w:rPr>
                <w:b/>
              </w:rPr>
              <w:t>Second</w:t>
            </w:r>
            <w:r>
              <w:rPr>
                <w:b/>
              </w:rPr>
              <w:noBreakHyphen/>
              <w:t>hand dealer’s licence only (computer option)</w:t>
            </w:r>
          </w:p>
        </w:tc>
        <w:tc>
          <w:tcPr>
            <w:tcW w:w="1079" w:type="pct"/>
          </w:tcPr>
          <w:p>
            <w:pPr>
              <w:pStyle w:val="zTableNAm"/>
              <w:keepNext/>
            </w:pPr>
          </w:p>
        </w:tc>
        <w:tc>
          <w:tcPr>
            <w:tcW w:w="1080" w:type="pct"/>
          </w:tcPr>
          <w:p>
            <w:pPr>
              <w:pStyle w:val="zTableNAm"/>
              <w:keepNext/>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4 088</w:t>
            </w:r>
          </w:p>
        </w:tc>
        <w:tc>
          <w:tcPr>
            <w:tcW w:w="1080" w:type="pct"/>
          </w:tcPr>
          <w:p>
            <w:pPr>
              <w:pStyle w:val="TableNAm"/>
            </w:pPr>
            <w:r>
              <w:br/>
            </w:r>
            <w:r>
              <w:br/>
              <w:t>4 964</w:t>
            </w:r>
          </w:p>
        </w:tc>
        <w:tc>
          <w:tcPr>
            <w:tcW w:w="1015" w:type="pct"/>
          </w:tcPr>
          <w:p>
            <w:pPr>
              <w:pStyle w:val="TableNAm"/>
            </w:pPr>
            <w:r>
              <w:br/>
            </w:r>
            <w:r>
              <w:br/>
              <w:t>5 824</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2 044</w:t>
            </w:r>
          </w:p>
        </w:tc>
        <w:tc>
          <w:tcPr>
            <w:tcW w:w="1080" w:type="pct"/>
          </w:tcPr>
          <w:p>
            <w:pPr>
              <w:pStyle w:val="TableNAm"/>
            </w:pPr>
            <w:r>
              <w:br/>
            </w:r>
            <w:r>
              <w:br/>
              <w:t>2 482</w:t>
            </w:r>
          </w:p>
        </w:tc>
        <w:tc>
          <w:tcPr>
            <w:tcW w:w="1015" w:type="pct"/>
          </w:tcPr>
          <w:p>
            <w:pPr>
              <w:pStyle w:val="TableNAm"/>
            </w:pPr>
            <w:r>
              <w:br/>
            </w:r>
            <w:r>
              <w:br/>
              <w:t>2 912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1 022</w:t>
            </w:r>
          </w:p>
        </w:tc>
        <w:tc>
          <w:tcPr>
            <w:tcW w:w="1080" w:type="pct"/>
          </w:tcPr>
          <w:p>
            <w:pPr>
              <w:pStyle w:val="TableNAm"/>
            </w:pPr>
            <w:r>
              <w:br/>
            </w:r>
            <w:r>
              <w:br/>
              <w:t>1 241</w:t>
            </w:r>
          </w:p>
        </w:tc>
        <w:tc>
          <w:tcPr>
            <w:tcW w:w="1015" w:type="pct"/>
          </w:tcPr>
          <w:p>
            <w:pPr>
              <w:pStyle w:val="TableNAm"/>
            </w:pPr>
            <w:r>
              <w:br/>
            </w:r>
            <w:r>
              <w:br/>
              <w:t>1 456</w:t>
            </w:r>
          </w:p>
        </w:tc>
      </w:tr>
      <w:tr>
        <w:trPr>
          <w:cantSplit/>
        </w:trPr>
        <w:tc>
          <w:tcPr>
            <w:tcW w:w="598" w:type="pct"/>
          </w:tcPr>
          <w:p>
            <w:pPr>
              <w:pStyle w:val="TableNAm"/>
            </w:pPr>
            <w:r>
              <w:rPr>
                <w:b/>
              </w:rPr>
              <w:t>3.</w:t>
            </w:r>
          </w:p>
        </w:tc>
        <w:tc>
          <w:tcPr>
            <w:tcW w:w="1228" w:type="pct"/>
          </w:tcPr>
          <w:p>
            <w:pPr>
              <w:pStyle w:val="TableNAm"/>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4 211</w:t>
            </w:r>
          </w:p>
        </w:tc>
        <w:tc>
          <w:tcPr>
            <w:tcW w:w="1080" w:type="pct"/>
          </w:tcPr>
          <w:p>
            <w:pPr>
              <w:pStyle w:val="TableNAm"/>
            </w:pPr>
            <w:r>
              <w:br/>
            </w:r>
            <w:r>
              <w:br/>
              <w:t>5 207</w:t>
            </w:r>
          </w:p>
        </w:tc>
        <w:tc>
          <w:tcPr>
            <w:tcW w:w="1015" w:type="pct"/>
          </w:tcPr>
          <w:p>
            <w:pPr>
              <w:pStyle w:val="TableNAm"/>
            </w:pPr>
            <w:r>
              <w:br/>
            </w:r>
            <w:r>
              <w:br/>
              <w:t>6 187</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2 105</w:t>
            </w:r>
          </w:p>
        </w:tc>
        <w:tc>
          <w:tcPr>
            <w:tcW w:w="1080" w:type="pct"/>
          </w:tcPr>
          <w:p>
            <w:pPr>
              <w:pStyle w:val="TableNAm"/>
            </w:pPr>
            <w:r>
              <w:br/>
            </w:r>
            <w:r>
              <w:br/>
              <w:t>2 603</w:t>
            </w:r>
          </w:p>
        </w:tc>
        <w:tc>
          <w:tcPr>
            <w:tcW w:w="1015" w:type="pct"/>
          </w:tcPr>
          <w:p>
            <w:pPr>
              <w:pStyle w:val="TableNAm"/>
            </w:pPr>
            <w:r>
              <w:br/>
            </w:r>
            <w:r>
              <w:br/>
              <w:t>3 093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1 052</w:t>
            </w:r>
          </w:p>
        </w:tc>
        <w:tc>
          <w:tcPr>
            <w:tcW w:w="1080" w:type="pct"/>
          </w:tcPr>
          <w:p>
            <w:pPr>
              <w:pStyle w:val="TableNAm"/>
            </w:pPr>
            <w:r>
              <w:br/>
            </w:r>
            <w:r>
              <w:br/>
              <w:t>1 301</w:t>
            </w:r>
          </w:p>
        </w:tc>
        <w:tc>
          <w:tcPr>
            <w:tcW w:w="1015" w:type="pct"/>
          </w:tcPr>
          <w:p>
            <w:pPr>
              <w:pStyle w:val="TableNAm"/>
            </w:pPr>
            <w:r>
              <w:br/>
            </w:r>
            <w:r>
              <w:br/>
              <w:t>1 546</w:t>
            </w:r>
          </w:p>
        </w:tc>
      </w:tr>
      <w:tr>
        <w:trPr>
          <w:cantSplit/>
        </w:trPr>
        <w:tc>
          <w:tcPr>
            <w:tcW w:w="598" w:type="pct"/>
          </w:tcPr>
          <w:p>
            <w:pPr>
              <w:pStyle w:val="TableNAm"/>
            </w:pPr>
            <w:r>
              <w:rPr>
                <w:b/>
              </w:rPr>
              <w:t>4.</w:t>
            </w:r>
          </w:p>
        </w:tc>
        <w:tc>
          <w:tcPr>
            <w:tcW w:w="1228" w:type="pct"/>
          </w:tcPr>
          <w:p>
            <w:pPr>
              <w:pStyle w:val="TableNAm"/>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tcPr>
          <w:p>
            <w:pPr>
              <w:pStyle w:val="TableNAm"/>
            </w:pPr>
            <w:r>
              <w:br/>
            </w:r>
            <w:r>
              <w:br/>
              <w:t>4 095</w:t>
            </w:r>
          </w:p>
        </w:tc>
        <w:tc>
          <w:tcPr>
            <w:tcW w:w="1080" w:type="pct"/>
          </w:tcPr>
          <w:p>
            <w:pPr>
              <w:pStyle w:val="TableNAm"/>
            </w:pPr>
            <w:r>
              <w:br/>
            </w:r>
            <w:r>
              <w:br/>
              <w:t>4 975</w:t>
            </w:r>
          </w:p>
        </w:tc>
        <w:tc>
          <w:tcPr>
            <w:tcW w:w="1015" w:type="pct"/>
          </w:tcPr>
          <w:p>
            <w:pPr>
              <w:pStyle w:val="TableNAm"/>
            </w:pPr>
            <w:r>
              <w:br/>
            </w:r>
            <w:r>
              <w:br/>
              <w:t>5 838</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tcPr>
          <w:p>
            <w:pPr>
              <w:pStyle w:val="TableNAm"/>
            </w:pPr>
            <w:r>
              <w:br/>
            </w:r>
            <w:r>
              <w:br/>
              <w:t>2 047</w:t>
            </w:r>
          </w:p>
        </w:tc>
        <w:tc>
          <w:tcPr>
            <w:tcW w:w="1080" w:type="pct"/>
          </w:tcPr>
          <w:p>
            <w:pPr>
              <w:pStyle w:val="TableNAm"/>
            </w:pPr>
            <w:r>
              <w:br/>
            </w:r>
            <w:r>
              <w:br/>
              <w:t>2 487</w:t>
            </w:r>
          </w:p>
        </w:tc>
        <w:tc>
          <w:tcPr>
            <w:tcW w:w="1015" w:type="pct"/>
          </w:tcPr>
          <w:p>
            <w:pPr>
              <w:pStyle w:val="TableNAm"/>
            </w:pPr>
            <w:r>
              <w:br/>
            </w:r>
            <w:r>
              <w:br/>
              <w:t>2 918</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tcPr>
          <w:p>
            <w:pPr>
              <w:pStyle w:val="TableNAm"/>
            </w:pPr>
            <w:r>
              <w:br/>
            </w:r>
            <w:r>
              <w:br/>
              <w:t>1 023</w:t>
            </w:r>
          </w:p>
        </w:tc>
        <w:tc>
          <w:tcPr>
            <w:tcW w:w="1080" w:type="pct"/>
          </w:tcPr>
          <w:p>
            <w:pPr>
              <w:pStyle w:val="TableNAm"/>
            </w:pPr>
            <w:r>
              <w:br/>
            </w:r>
            <w:r>
              <w:br/>
              <w:t>1 243</w:t>
            </w:r>
          </w:p>
        </w:tc>
        <w:tc>
          <w:tcPr>
            <w:tcW w:w="1015" w:type="pct"/>
          </w:tcPr>
          <w:p>
            <w:pPr>
              <w:pStyle w:val="TableNAm"/>
            </w:pPr>
            <w:r>
              <w:br/>
            </w:r>
            <w:r>
              <w:br/>
              <w:t>1 459</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w:t>
      </w:r>
      <w:r>
        <w:t>.]</w:t>
      </w:r>
    </w:p>
    <w:p>
      <w:pPr>
        <w:pStyle w:val="Heading5"/>
        <w:rPr>
          <w:snapToGrid w:val="0"/>
        </w:rPr>
      </w:pPr>
      <w:bookmarkStart w:id="83" w:name="_Toc43452908"/>
      <w:bookmarkStart w:id="84" w:name="_Toc12287005"/>
      <w:r>
        <w:rPr>
          <w:rStyle w:val="CharSectno"/>
        </w:rPr>
        <w:t>30</w:t>
      </w:r>
      <w:r>
        <w:rPr>
          <w:snapToGrid w:val="0"/>
        </w:rPr>
        <w:t>.</w:t>
      </w:r>
      <w:r>
        <w:rPr>
          <w:snapToGrid w:val="0"/>
        </w:rPr>
        <w:tab/>
        <w:t>Refund of fees, when payable</w:t>
      </w:r>
      <w:bookmarkEnd w:id="83"/>
      <w:bookmarkEnd w:id="84"/>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85" w:name="_Toc43452909"/>
      <w:bookmarkStart w:id="86" w:name="_Toc12287006"/>
      <w:r>
        <w:rPr>
          <w:rStyle w:val="CharSectno"/>
          <w:spacing w:val="-4"/>
        </w:rPr>
        <w:t>31</w:t>
      </w:r>
      <w:r>
        <w:rPr>
          <w:snapToGrid w:val="0"/>
          <w:spacing w:val="-4"/>
        </w:rPr>
        <w:t>.</w:t>
      </w:r>
      <w:r>
        <w:rPr>
          <w:snapToGrid w:val="0"/>
          <w:spacing w:val="-4"/>
        </w:rPr>
        <w:tab/>
        <w:t>Fee prescribed for inspecting register (Act s. 28(2))</w:t>
      </w:r>
      <w:bookmarkEnd w:id="85"/>
      <w:bookmarkEnd w:id="86"/>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87" w:name="_Toc43384243"/>
      <w:bookmarkStart w:id="88" w:name="_Toc43384628"/>
      <w:bookmarkStart w:id="89" w:name="_Toc43452910"/>
      <w:bookmarkStart w:id="90" w:name="_Toc486428739"/>
      <w:bookmarkStart w:id="91" w:name="_Toc517941679"/>
      <w:bookmarkStart w:id="92" w:name="_Toc11938197"/>
      <w:bookmarkStart w:id="93" w:name="_Toc11938233"/>
      <w:bookmarkStart w:id="94" w:name="_Toc12287007"/>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87"/>
      <w:bookmarkEnd w:id="88"/>
      <w:bookmarkEnd w:id="89"/>
      <w:bookmarkEnd w:id="90"/>
      <w:bookmarkEnd w:id="91"/>
      <w:bookmarkEnd w:id="92"/>
      <w:bookmarkEnd w:id="93"/>
      <w:bookmarkEnd w:id="94"/>
    </w:p>
    <w:p>
      <w:pPr>
        <w:pStyle w:val="Footnoteheading"/>
      </w:pPr>
      <w:r>
        <w:tab/>
        <w:t>[Heading inserted: Gazette 28 Jul 2000 p. 4025.]</w:t>
      </w:r>
    </w:p>
    <w:p>
      <w:pPr>
        <w:pStyle w:val="Heading5"/>
      </w:pPr>
      <w:bookmarkStart w:id="95" w:name="_Toc43452911"/>
      <w:bookmarkStart w:id="96" w:name="_Toc12287008"/>
      <w:r>
        <w:rPr>
          <w:rStyle w:val="CharSectno"/>
        </w:rPr>
        <w:t>32</w:t>
      </w:r>
      <w:r>
        <w:t>.</w:t>
      </w:r>
      <w:r>
        <w:tab/>
        <w:t>Offences and modified penalties prescribed (Act s. 90)</w:t>
      </w:r>
      <w:bookmarkEnd w:id="95"/>
      <w:bookmarkEnd w:id="96"/>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7" w:name="_Toc43384630"/>
      <w:bookmarkStart w:id="98" w:name="_Toc43452912"/>
      <w:bookmarkStart w:id="99" w:name="_Toc486428741"/>
      <w:bookmarkStart w:id="100" w:name="_Toc517941681"/>
      <w:bookmarkStart w:id="101" w:name="_Toc11938199"/>
      <w:bookmarkStart w:id="102" w:name="_Toc11938235"/>
      <w:bookmarkStart w:id="103" w:name="_Toc12287009"/>
      <w:bookmarkStart w:id="104" w:name="_Toc43384247"/>
      <w:r>
        <w:t>Notes</w:t>
      </w:r>
      <w:bookmarkEnd w:id="97"/>
      <w:bookmarkEnd w:id="98"/>
      <w:bookmarkEnd w:id="99"/>
      <w:bookmarkEnd w:id="100"/>
      <w:bookmarkEnd w:id="101"/>
      <w:bookmarkEnd w:id="102"/>
      <w:bookmarkEnd w:id="103"/>
    </w:p>
    <w:p>
      <w:pPr>
        <w:pStyle w:val="nStatement"/>
      </w:pPr>
      <w:del w:id="105" w:author="Master Repository Process" w:date="2021-09-11T19:32:00Z">
        <w:r>
          <w:rPr>
            <w:vertAlign w:val="superscript"/>
          </w:rPr>
          <w:delText>1</w:delText>
        </w:r>
        <w:r>
          <w:tab/>
        </w:r>
      </w:del>
      <w:r>
        <w:t xml:space="preserve">This is a compilation of the </w:t>
      </w:r>
      <w:r>
        <w:rPr>
          <w:i/>
          <w:noProof/>
        </w:rPr>
        <w:t>Pawnbrokers and Second-hand Dealers Regulations</w:t>
      </w:r>
      <w:del w:id="106" w:author="Master Repository Process" w:date="2021-09-11T19:32:00Z">
        <w:r>
          <w:rPr>
            <w:i/>
            <w:noProof/>
          </w:rPr>
          <w:delText> </w:delText>
        </w:r>
      </w:del>
      <w:ins w:id="107" w:author="Master Repository Process" w:date="2021-09-11T19:32:00Z">
        <w:r>
          <w:rPr>
            <w:i/>
            <w:noProof/>
          </w:rPr>
          <w:t xml:space="preserve"> </w:t>
        </w:r>
      </w:ins>
      <w:r>
        <w:rPr>
          <w:i/>
          <w:noProof/>
        </w:rPr>
        <w:t>1996</w:t>
      </w:r>
      <w:r>
        <w:t xml:space="preserve"> and includes </w:t>
      </w:r>
      <w:del w:id="108" w:author="Master Repository Process" w:date="2021-09-11T19:32:00Z">
        <w:r>
          <w:delText xml:space="preserve">the </w:delText>
        </w:r>
      </w:del>
      <w:r>
        <w:t xml:space="preserve">amendments made by </w:t>
      </w:r>
      <w:del w:id="109" w:author="Master Repository Process" w:date="2021-09-11T19:32:00Z">
        <w:r>
          <w:delText xml:space="preserve">the </w:delText>
        </w:r>
      </w:del>
      <w:r>
        <w:t>other written laws</w:t>
      </w:r>
      <w:del w:id="110" w:author="Master Repository Process" w:date="2021-09-11T19:32:00Z">
        <w:r>
          <w:delText xml:space="preserve"> referred to in the following table.  The table also contains</w:delText>
        </w:r>
      </w:del>
      <w:ins w:id="111" w:author="Master Repository Process" w:date="2021-09-11T19:32:00Z">
        <w:r>
          <w:t>. For provisions that have come into operation, and for</w:t>
        </w:r>
      </w:ins>
      <w:r>
        <w:t xml:space="preserve"> information about any </w:t>
      </w:r>
      <w:del w:id="112" w:author="Master Repository Process" w:date="2021-09-11T19:32:00Z">
        <w:r>
          <w:delText>reprint</w:delText>
        </w:r>
      </w:del>
      <w:ins w:id="113" w:author="Master Repository Process" w:date="2021-09-11T19:32:00Z">
        <w:r>
          <w:t>reprints, see the compilation table. For provisions that have not yet come into operation see the uncommenced provisions table</w:t>
        </w:r>
      </w:ins>
      <w:r>
        <w:t>.</w:t>
      </w:r>
    </w:p>
    <w:p>
      <w:pPr>
        <w:pStyle w:val="nHeading3"/>
      </w:pPr>
      <w:bookmarkStart w:id="114" w:name="_Toc43452913"/>
      <w:bookmarkStart w:id="115" w:name="_Toc12287010"/>
      <w:r>
        <w:t>Compilation table</w:t>
      </w:r>
      <w:bookmarkEnd w:id="114"/>
      <w:bookmarkEnd w:id="1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16" w:author="Master Repository Process" w:date="2021-09-11T19:32:00Z">
              <w:r>
                <w:rPr>
                  <w:b/>
                </w:rPr>
                <w:delText>Gazettal</w:delText>
              </w:r>
            </w:del>
            <w:ins w:id="117" w:author="Master Repository Process" w:date="2021-09-11T19:32: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Police Regulations Amendment (Fees and Charges) Regulations 2018</w:t>
            </w:r>
            <w:r>
              <w:t xml:space="preserve"> Pt. 3</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rPr>
                <w:bCs/>
                <w:snapToGrid w:val="0"/>
                <w:spacing w:val="-2"/>
              </w:rPr>
            </w:pPr>
            <w:r>
              <w:rPr>
                <w:bCs/>
                <w:snapToGrid w:val="0"/>
                <w:spacing w:val="-2"/>
              </w:rPr>
              <w:t>1 Jul 2018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bottom w:val="single" w:sz="4" w:space="0" w:color="auto"/>
            </w:tcBorders>
            <w:shd w:val="clear" w:color="auto" w:fill="auto"/>
          </w:tcPr>
          <w:p>
            <w:pPr>
              <w:pStyle w:val="nTable"/>
              <w:spacing w:after="40"/>
            </w:pPr>
            <w:r>
              <w:t>21 Jun 2019 p. 2141</w:t>
            </w:r>
            <w:r>
              <w:noBreakHyphen/>
              <w:t>50</w:t>
            </w:r>
          </w:p>
        </w:tc>
        <w:tc>
          <w:tcPr>
            <w:tcW w:w="2693" w:type="dxa"/>
            <w:tcBorders>
              <w:bottom w:val="single" w:sz="4" w:space="0" w:color="auto"/>
            </w:tcBorders>
            <w:shd w:val="clear" w:color="auto" w:fill="auto"/>
          </w:tcPr>
          <w:p>
            <w:pPr>
              <w:pStyle w:val="nTable"/>
              <w:spacing w:after="40"/>
              <w:rPr>
                <w:bCs/>
                <w:snapToGrid w:val="0"/>
                <w:spacing w:val="-2"/>
              </w:rPr>
            </w:pPr>
            <w:r>
              <w:t>1 Jul 2019 (see r. 2(b))</w:t>
            </w:r>
          </w:p>
        </w:tc>
      </w:tr>
    </w:tbl>
    <w:p>
      <w:pPr>
        <w:pStyle w:val="nHeading3"/>
        <w:rPr>
          <w:ins w:id="118" w:author="Master Repository Process" w:date="2021-09-11T19:32:00Z"/>
        </w:rPr>
      </w:pPr>
      <w:bookmarkStart w:id="119" w:name="_Toc43452914"/>
      <w:del w:id="120" w:author="Master Repository Process" w:date="2021-09-11T19:32:00Z">
        <w:r>
          <w:rPr>
            <w:vertAlign w:val="superscript"/>
          </w:rPr>
          <w:delText>2</w:delText>
        </w:r>
      </w:del>
      <w:ins w:id="121" w:author="Master Repository Process" w:date="2021-09-11T19:32:00Z">
        <w:r>
          <w:t>Uncommenced provisions table</w:t>
        </w:r>
        <w:bookmarkEnd w:id="119"/>
      </w:ins>
    </w:p>
    <w:p>
      <w:pPr>
        <w:pStyle w:val="nStatement"/>
        <w:keepNext/>
        <w:spacing w:after="240"/>
        <w:rPr>
          <w:ins w:id="122" w:author="Master Repository Process" w:date="2021-09-11T19:32:00Z"/>
        </w:rPr>
      </w:pPr>
      <w:ins w:id="123" w:author="Master Repository Process" w:date="2021-09-11T19:32: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4" w:author="Master Repository Process" w:date="2021-09-11T19:32:00Z"/>
        </w:trPr>
        <w:tc>
          <w:tcPr>
            <w:tcW w:w="3118" w:type="dxa"/>
          </w:tcPr>
          <w:p>
            <w:pPr>
              <w:pStyle w:val="nTable"/>
              <w:spacing w:after="40"/>
              <w:rPr>
                <w:ins w:id="125" w:author="Master Repository Process" w:date="2021-09-11T19:32:00Z"/>
                <w:b/>
              </w:rPr>
            </w:pPr>
            <w:ins w:id="126" w:author="Master Repository Process" w:date="2021-09-11T19:32:00Z">
              <w:r>
                <w:rPr>
                  <w:b/>
                </w:rPr>
                <w:t>Citation</w:t>
              </w:r>
            </w:ins>
          </w:p>
        </w:tc>
        <w:tc>
          <w:tcPr>
            <w:tcW w:w="1276" w:type="dxa"/>
          </w:tcPr>
          <w:p>
            <w:pPr>
              <w:pStyle w:val="nTable"/>
              <w:spacing w:after="40"/>
              <w:rPr>
                <w:ins w:id="127" w:author="Master Repository Process" w:date="2021-09-11T19:32:00Z"/>
                <w:b/>
              </w:rPr>
            </w:pPr>
            <w:ins w:id="128" w:author="Master Repository Process" w:date="2021-09-11T19:32:00Z">
              <w:r>
                <w:rPr>
                  <w:b/>
                </w:rPr>
                <w:t>Published</w:t>
              </w:r>
            </w:ins>
          </w:p>
        </w:tc>
        <w:tc>
          <w:tcPr>
            <w:tcW w:w="2693" w:type="dxa"/>
          </w:tcPr>
          <w:p>
            <w:pPr>
              <w:pStyle w:val="nTable"/>
              <w:spacing w:after="40"/>
              <w:rPr>
                <w:ins w:id="129" w:author="Master Repository Process" w:date="2021-09-11T19:32:00Z"/>
                <w:b/>
              </w:rPr>
            </w:pPr>
            <w:ins w:id="130" w:author="Master Repository Process" w:date="2021-09-11T19:32:00Z">
              <w:r>
                <w:rPr>
                  <w:b/>
                </w:rPr>
                <w:t>Commencement</w:t>
              </w:r>
            </w:ins>
          </w:p>
        </w:tc>
      </w:tr>
      <w:tr>
        <w:trPr>
          <w:ins w:id="131" w:author="Master Repository Process" w:date="2021-09-11T19:32:00Z"/>
        </w:trPr>
        <w:tc>
          <w:tcPr>
            <w:tcW w:w="3118" w:type="dxa"/>
          </w:tcPr>
          <w:p>
            <w:pPr>
              <w:pStyle w:val="nTable"/>
              <w:spacing w:after="40"/>
              <w:rPr>
                <w:ins w:id="132" w:author="Master Repository Process" w:date="2021-09-11T19:32:00Z"/>
              </w:rPr>
            </w:pPr>
            <w:ins w:id="133" w:author="Master Repository Process" w:date="2021-09-11T19:32:00Z">
              <w:r>
                <w:rPr>
                  <w:i/>
                </w:rPr>
                <w:t>Police Regulations Amendment (Fees and Charges) Regulations 2020</w:t>
              </w:r>
              <w:r>
                <w:t xml:space="preserve"> Pt. 3</w:t>
              </w:r>
            </w:ins>
          </w:p>
        </w:tc>
        <w:tc>
          <w:tcPr>
            <w:tcW w:w="1276" w:type="dxa"/>
          </w:tcPr>
          <w:p>
            <w:pPr>
              <w:pStyle w:val="nTable"/>
              <w:spacing w:after="40"/>
              <w:rPr>
                <w:ins w:id="134" w:author="Master Repository Process" w:date="2021-09-11T19:32:00Z"/>
              </w:rPr>
            </w:pPr>
            <w:ins w:id="135" w:author="Master Repository Process" w:date="2021-09-11T19:32:00Z">
              <w:r>
                <w:t xml:space="preserve">SL 2020/82 19 Jun 2020 </w:t>
              </w:r>
            </w:ins>
          </w:p>
        </w:tc>
        <w:tc>
          <w:tcPr>
            <w:tcW w:w="2693" w:type="dxa"/>
          </w:tcPr>
          <w:p>
            <w:pPr>
              <w:pStyle w:val="nTable"/>
              <w:spacing w:after="40"/>
              <w:rPr>
                <w:ins w:id="136" w:author="Master Repository Process" w:date="2021-09-11T19:32:00Z"/>
              </w:rPr>
            </w:pPr>
            <w:ins w:id="137" w:author="Master Repository Process" w:date="2021-09-11T19:32:00Z">
              <w:r>
                <w:t>1 Jul 2020 (see r. 2(b))</w:t>
              </w:r>
            </w:ins>
          </w:p>
        </w:tc>
      </w:tr>
    </w:tbl>
    <w:p>
      <w:pPr>
        <w:pStyle w:val="nHeading3"/>
        <w:rPr>
          <w:ins w:id="138" w:author="Master Repository Process" w:date="2021-09-11T19:32:00Z"/>
        </w:rPr>
      </w:pPr>
      <w:bookmarkStart w:id="139" w:name="_Toc43452915"/>
      <w:ins w:id="140" w:author="Master Repository Process" w:date="2021-09-11T19:32:00Z">
        <w:r>
          <w:t>Other notes</w:t>
        </w:r>
        <w:bookmarkEnd w:id="139"/>
      </w:ins>
    </w:p>
    <w:p>
      <w:pPr>
        <w:pStyle w:val="nNote"/>
        <w:keepLines/>
      </w:pPr>
      <w:ins w:id="141" w:author="Master Repository Process" w:date="2021-09-11T19:32:00Z">
        <w:r>
          <w:rPr>
            <w:vertAlign w:val="superscript"/>
          </w:rPr>
          <w:t>1</w:t>
        </w:r>
      </w:ins>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bookmarkEnd w:id="104"/>
    <w:p>
      <w:pPr>
        <w:rPr>
          <w:del w:id="143" w:author="Master Repository Process" w:date="2021-09-11T19:32:00Z"/>
        </w:r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4" w:name="Coversheet"/>
    <w:bookmarkEnd w:id="1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1814483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4DCD04-DAFA-48B9-9021-11CA0DB0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HeadingNAm">
    <w:name w:val="nzTHeadingNAm"/>
    <w:basedOn w:val="THeadingNAm"/>
    <w:rPr>
      <w:sz w:val="20"/>
    </w:rPr>
  </w:style>
  <w:style w:type="paragraph" w:customStyle="1" w:styleId="nzTableAm">
    <w:name w:val="nzTableAm"/>
    <w:basedOn w:val="TableAm"/>
    <w:rPr>
      <w:sz w:val="2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6552</Words>
  <Characters>30336</Characters>
  <Application>Microsoft Office Word</Application>
  <DocSecurity>0</DocSecurity>
  <Lines>1784</Lines>
  <Paragraphs>838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05-e0-00 - 05-f0-00</dc:title>
  <dc:subject/>
  <dc:creator/>
  <cp:keywords/>
  <dc:description/>
  <cp:lastModifiedBy>Master Repository Process</cp:lastModifiedBy>
  <cp:revision>2</cp:revision>
  <cp:lastPrinted>2016-11-14T04:52:00Z</cp:lastPrinted>
  <dcterms:created xsi:type="dcterms:W3CDTF">2021-09-11T11:32:00Z</dcterms:created>
  <dcterms:modified xsi:type="dcterms:W3CDTF">2021-09-11T11:33:00Z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20200619</vt:lpwstr>
  </property>
  <property fmtid="{D5CDD505-2E9C-101B-9397-08002B2CF9AE}" pid="8" name="FromSuffix">
    <vt:lpwstr>05-e0-00</vt:lpwstr>
  </property>
  <property fmtid="{D5CDD505-2E9C-101B-9397-08002B2CF9AE}" pid="9" name="FromAsAtDate">
    <vt:lpwstr>01 Jul 2019</vt:lpwstr>
  </property>
  <property fmtid="{D5CDD505-2E9C-101B-9397-08002B2CF9AE}" pid="10" name="ToSuffix">
    <vt:lpwstr>05-f0-00</vt:lpwstr>
  </property>
  <property fmtid="{D5CDD505-2E9C-101B-9397-08002B2CF9AE}" pid="11" name="ToAsAtDate">
    <vt:lpwstr>19 Jun 2020</vt:lpwstr>
  </property>
</Properties>
</file>