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9326998"/>
      <w:bookmarkStart w:id="3" w:name="_Toc49327083"/>
      <w:bookmarkStart w:id="4" w:name="_Toc49329532"/>
      <w:bookmarkStart w:id="5" w:name="_Toc48123825"/>
      <w:bookmarkStart w:id="6" w:name="_Toc48123910"/>
      <w:bookmarkStart w:id="7" w:name="_Toc482159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pPr>
      <w:bookmarkStart w:id="8" w:name="_Toc49329533"/>
      <w:bookmarkStart w:id="9" w:name="_Toc4821597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spacing w:before="240"/>
        <w:rPr>
          <w:snapToGrid w:val="0"/>
        </w:rPr>
      </w:pPr>
      <w:bookmarkStart w:id="10" w:name="_Toc49329534"/>
      <w:bookmarkStart w:id="11" w:name="_Toc48215972"/>
      <w:r>
        <w:rPr>
          <w:rStyle w:val="CharSectno"/>
        </w:rPr>
        <w:t>2</w:t>
      </w:r>
      <w:r>
        <w:rPr>
          <w:snapToGrid w:val="0"/>
        </w:rPr>
        <w:t>.</w:t>
      </w:r>
      <w:r>
        <w:rPr>
          <w:snapToGrid w:val="0"/>
        </w:rPr>
        <w:tab/>
      </w:r>
      <w:r>
        <w:t>Commencement</w:t>
      </w:r>
      <w:bookmarkEnd w:id="10"/>
      <w:bookmarkEnd w:id="11"/>
    </w:p>
    <w:p>
      <w:pPr>
        <w:pStyle w:val="Subsection"/>
      </w:pPr>
      <w:r>
        <w:tab/>
      </w:r>
      <w:r>
        <w:tab/>
        <w:t xml:space="preserve">This Act </w:t>
      </w:r>
      <w:r>
        <w:rPr>
          <w:spacing w:val="-2"/>
        </w:rPr>
        <w:t>comes into operation on a day fixed by proclamation.</w:t>
      </w:r>
    </w:p>
    <w:p>
      <w:pPr>
        <w:pStyle w:val="Heading5"/>
        <w:spacing w:before="240"/>
        <w:rPr>
          <w:snapToGrid w:val="0"/>
        </w:rPr>
      </w:pPr>
      <w:bookmarkStart w:id="12" w:name="_Toc49329535"/>
      <w:bookmarkStart w:id="13" w:name="_Toc48215973"/>
      <w:r>
        <w:rPr>
          <w:rStyle w:val="CharSectno"/>
        </w:rPr>
        <w:t>3</w:t>
      </w:r>
      <w:r>
        <w:rPr>
          <w:snapToGrid w:val="0"/>
        </w:rPr>
        <w:t>.</w:t>
      </w:r>
      <w:r>
        <w:rPr>
          <w:snapToGrid w:val="0"/>
        </w:rP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lastRenderedPageBreak/>
        <w:tab/>
      </w:r>
      <w:r>
        <w:rPr>
          <w:rStyle w:val="CharDefText"/>
        </w:rPr>
        <w:t>preliminary hearing</w:t>
      </w:r>
      <w:r>
        <w:t xml:space="preserve"> means a preliminary hearing referred to in section 11(1);</w:t>
      </w:r>
    </w:p>
    <w:p>
      <w:pPr>
        <w:pStyle w:val="Defstart"/>
      </w:pPr>
      <w:r>
        <w:tab/>
      </w:r>
      <w:r>
        <w:rPr>
          <w:rStyle w:val="CharDefText"/>
        </w:rPr>
        <w:t>psychiatrist</w:t>
      </w:r>
      <w:r>
        <w:t xml:space="preserve"> has the meaning given in the </w:t>
      </w:r>
      <w:r>
        <w:rPr>
          <w:i/>
        </w:rPr>
        <w:t>Mental Health Act 2014</w:t>
      </w:r>
      <w:r>
        <w:t xml:space="preserve"> section 4</w:t>
      </w:r>
      <w:r>
        <w:rPr>
          <w:iCs/>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standard condition</w:t>
      </w:r>
      <w:r>
        <w:t>, in relation to a supervision order, means a condition which under section 18(1) must be included in the order;</w:t>
      </w:r>
    </w:p>
    <w:p>
      <w:pPr>
        <w:pStyle w:val="Defstart"/>
      </w:pPr>
      <w:r>
        <w:tab/>
      </w:r>
      <w:r>
        <w:rPr>
          <w:rStyle w:val="CharDefText"/>
        </w:rPr>
        <w:t>supervision order</w:t>
      </w:r>
      <w:r>
        <w:t xml:space="preserve"> means an order under section 17(1)(b), 27A(5)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w:t>
      </w:r>
      <w:r>
        <w:lastRenderedPageBreak/>
        <w:t xml:space="preserve">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A reference in this Act to the community includes any community and is not limited to the community of Western Australia or Australia.</w:t>
      </w:r>
    </w:p>
    <w:p>
      <w:pPr>
        <w:pStyle w:val="Footnotesection"/>
      </w:pPr>
      <w:r>
        <w:tab/>
        <w:t>[Section 3 amended: No. 3 of 2011 s. 4; No. 25 of 2014 s. 56; No. 17 of 2016 s. 4; No. 21 of 2017 s. 12.]</w:t>
      </w:r>
    </w:p>
    <w:p>
      <w:pPr>
        <w:pStyle w:val="Heading5"/>
      </w:pPr>
      <w:bookmarkStart w:id="14" w:name="_Toc49329536"/>
      <w:bookmarkStart w:id="15" w:name="_Toc48215974"/>
      <w:r>
        <w:rPr>
          <w:rStyle w:val="CharSectno"/>
        </w:rPr>
        <w:t>4A</w:t>
      </w:r>
      <w:r>
        <w:t>.</w:t>
      </w:r>
      <w:r>
        <w:tab/>
        <w:t>References to commission of a serious sexual offence</w:t>
      </w:r>
      <w:bookmarkEnd w:id="14"/>
      <w:bookmarkEnd w:id="15"/>
    </w:p>
    <w:p>
      <w:pPr>
        <w:pStyle w:val="Subsection"/>
      </w:pPr>
      <w:r>
        <w:tab/>
        <w:t>(1)</w:t>
      </w:r>
      <w:r>
        <w:tab/>
        <w:t xml:space="preserve">For the purposes of this Act, unless the contrary intention appears, a reference to the commission of a serious sexual offence includes a reference to — </w:t>
      </w:r>
    </w:p>
    <w:p>
      <w:pPr>
        <w:pStyle w:val="Indenta"/>
      </w:pPr>
      <w:r>
        <w:tab/>
        <w:t>(a)</w:t>
      </w:r>
      <w:r>
        <w:tab/>
        <w:t>the doing of an act or the making of an omission in any State or Territory that constitutes a serious sexual offence; or</w:t>
      </w:r>
    </w:p>
    <w:p>
      <w:pPr>
        <w:pStyle w:val="Indenta"/>
      </w:pPr>
      <w:r>
        <w:tab/>
        <w:t>(b)</w:t>
      </w:r>
      <w:r>
        <w:tab/>
        <w:t>the doing of an act or the making of an omission outside Australia that, if done within this State, would constitute a serious sexual offence.</w:t>
      </w:r>
    </w:p>
    <w:p>
      <w:pPr>
        <w:pStyle w:val="Subsection"/>
      </w:pPr>
      <w:r>
        <w:tab/>
        <w:t>(2)</w:t>
      </w:r>
      <w:r>
        <w:tab/>
        <w:t xml:space="preserve">For the purposes of subsection (1), it makes no difference whether a person doing an act or making an omission referred to in that subsection — </w:t>
      </w:r>
    </w:p>
    <w:p>
      <w:pPr>
        <w:pStyle w:val="Indenta"/>
      </w:pPr>
      <w:r>
        <w:tab/>
        <w:t>(a)</w:t>
      </w:r>
      <w:r>
        <w:tab/>
        <w:t>would be likely to be charged with an offence; or</w:t>
      </w:r>
    </w:p>
    <w:p>
      <w:pPr>
        <w:pStyle w:val="Indenta"/>
      </w:pPr>
      <w:r>
        <w:tab/>
        <w:t>(b)</w:t>
      </w:r>
      <w:r>
        <w:tab/>
        <w:t>would, if charged with an offence, be found mentally fit to stand trial; or</w:t>
      </w:r>
    </w:p>
    <w:p>
      <w:pPr>
        <w:pStyle w:val="Indenta"/>
      </w:pPr>
      <w:r>
        <w:tab/>
        <w:t>(c)</w:t>
      </w:r>
      <w:r>
        <w:tab/>
        <w:t>would, if tried for an offence, be convicted.</w:t>
      </w:r>
    </w:p>
    <w:p>
      <w:pPr>
        <w:pStyle w:val="Footnotesection"/>
      </w:pPr>
      <w:r>
        <w:tab/>
        <w:t>[Section 4A inserted: No. 21 of 2017 s. 13.]</w:t>
      </w:r>
    </w:p>
    <w:p>
      <w:pPr>
        <w:pStyle w:val="Heading5"/>
      </w:pPr>
      <w:bookmarkStart w:id="16" w:name="_Toc49329537"/>
      <w:bookmarkStart w:id="17" w:name="_Toc48215975"/>
      <w:r>
        <w:rPr>
          <w:rStyle w:val="CharSectno"/>
        </w:rPr>
        <w:t>4</w:t>
      </w:r>
      <w:r>
        <w:t>.</w:t>
      </w:r>
      <w:r>
        <w:tab/>
        <w:t>Objects of this Act</w:t>
      </w:r>
      <w:bookmarkEnd w:id="16"/>
      <w:bookmarkEnd w:id="17"/>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No. 17 of 2016 s. 6.]</w:t>
      </w:r>
    </w:p>
    <w:p>
      <w:pPr>
        <w:pStyle w:val="Heading5"/>
      </w:pPr>
      <w:bookmarkStart w:id="18" w:name="_Toc49329538"/>
      <w:bookmarkStart w:id="19" w:name="_Toc48215976"/>
      <w:r>
        <w:rPr>
          <w:rStyle w:val="CharSectno"/>
        </w:rPr>
        <w:t>5</w:t>
      </w:r>
      <w:r>
        <w:t>.</w:t>
      </w:r>
      <w:r>
        <w:tab/>
        <w:t xml:space="preserve">Application of </w:t>
      </w:r>
      <w:r>
        <w:rPr>
          <w:i/>
        </w:rPr>
        <w:t>Bail Act 1982</w:t>
      </w:r>
      <w:bookmarkEnd w:id="18"/>
      <w:bookmarkEnd w:id="1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No. 3 of 2011 s. 5; amended: No. 58 of 2012 s. 4.]</w:t>
      </w:r>
    </w:p>
    <w:p>
      <w:pPr>
        <w:pStyle w:val="Heading5"/>
      </w:pPr>
      <w:bookmarkStart w:id="20" w:name="_Toc49329539"/>
      <w:bookmarkStart w:id="21" w:name="_Toc48215977"/>
      <w:r>
        <w:rPr>
          <w:rStyle w:val="CharSectno"/>
        </w:rPr>
        <w:t>6</w:t>
      </w:r>
      <w:r>
        <w:t>.</w:t>
      </w:r>
      <w:r>
        <w:tab/>
        <w:t>Attorney General may perform functions of DPP</w:t>
      </w:r>
      <w:bookmarkEnd w:id="20"/>
      <w:bookmarkEnd w:id="21"/>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2" w:name="_Toc49329540"/>
      <w:bookmarkStart w:id="23" w:name="_Toc48215978"/>
      <w:r>
        <w:rPr>
          <w:rStyle w:val="CharSectno"/>
        </w:rPr>
        <w:t>7A</w:t>
      </w:r>
      <w:r>
        <w:t>.</w:t>
      </w:r>
      <w:r>
        <w:tab/>
        <w:t>DPP may take proceedings in the name of State</w:t>
      </w:r>
      <w:bookmarkEnd w:id="22"/>
      <w:bookmarkEnd w:id="23"/>
    </w:p>
    <w:p>
      <w:pPr>
        <w:pStyle w:val="Subsection"/>
        <w:keepNext/>
      </w:pPr>
      <w:r>
        <w:tab/>
      </w:r>
      <w:r>
        <w:tab/>
        <w:t>The DPP may make applications, and take other proceedings, for which this Act provides in the name of the State.</w:t>
      </w:r>
    </w:p>
    <w:p>
      <w:pPr>
        <w:pStyle w:val="Footnotesection"/>
      </w:pPr>
      <w:r>
        <w:tab/>
        <w:t>[Section 7A inserted: No. 17 of 2016 s. 7.]</w:t>
      </w:r>
    </w:p>
    <w:p>
      <w:pPr>
        <w:pStyle w:val="Heading5"/>
      </w:pPr>
      <w:bookmarkStart w:id="24" w:name="_Toc49329541"/>
      <w:bookmarkStart w:id="25" w:name="_Toc48215979"/>
      <w:r>
        <w:rPr>
          <w:rStyle w:val="CharSectno"/>
        </w:rPr>
        <w:t>7</w:t>
      </w:r>
      <w:r>
        <w:t>.</w:t>
      </w:r>
      <w:r>
        <w:tab/>
        <w:t>Serious danger to community</w:t>
      </w:r>
      <w:bookmarkEnd w:id="24"/>
      <w:bookmarkEnd w:id="25"/>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No. 17 of 2016 s. 8 and 44.]</w:t>
      </w:r>
    </w:p>
    <w:p>
      <w:pPr>
        <w:pStyle w:val="Heading5"/>
      </w:pPr>
      <w:bookmarkStart w:id="26" w:name="_Toc49329542"/>
      <w:bookmarkStart w:id="27" w:name="_Toc48215980"/>
      <w:r>
        <w:rPr>
          <w:rStyle w:val="CharSectno"/>
        </w:rPr>
        <w:t>8A</w:t>
      </w:r>
      <w:r>
        <w:t>.</w:t>
      </w:r>
      <w:r>
        <w:tab/>
      </w:r>
      <w:r>
        <w:rPr>
          <w:i/>
        </w:rPr>
        <w:t>Courts and Tribunals (Electronic Processes Facilitation) Act 2013</w:t>
      </w:r>
      <w:r>
        <w:t xml:space="preserve"> Part 2 applies</w:t>
      </w:r>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56.]</w:t>
      </w:r>
    </w:p>
    <w:p>
      <w:pPr>
        <w:pStyle w:val="Heading2"/>
      </w:pPr>
      <w:bookmarkStart w:id="28" w:name="_Toc49327009"/>
      <w:bookmarkStart w:id="29" w:name="_Toc49327094"/>
      <w:bookmarkStart w:id="30" w:name="_Toc49329543"/>
      <w:bookmarkStart w:id="31" w:name="_Toc48123836"/>
      <w:bookmarkStart w:id="32" w:name="_Toc48123921"/>
      <w:bookmarkStart w:id="33" w:name="_Toc48215981"/>
      <w:r>
        <w:rPr>
          <w:rStyle w:val="CharPartNo"/>
        </w:rPr>
        <w:t>Part 2</w:t>
      </w:r>
      <w:r>
        <w:t> — </w:t>
      </w:r>
      <w:r>
        <w:rPr>
          <w:rStyle w:val="CharPartText"/>
        </w:rPr>
        <w:t>Continuing detention or supervision</w:t>
      </w:r>
      <w:bookmarkEnd w:id="28"/>
      <w:bookmarkEnd w:id="29"/>
      <w:bookmarkEnd w:id="30"/>
      <w:bookmarkEnd w:id="31"/>
      <w:bookmarkEnd w:id="32"/>
      <w:bookmarkEnd w:id="33"/>
    </w:p>
    <w:p>
      <w:pPr>
        <w:pStyle w:val="Heading3"/>
      </w:pPr>
      <w:bookmarkStart w:id="34" w:name="_Toc49327010"/>
      <w:bookmarkStart w:id="35" w:name="_Toc49327095"/>
      <w:bookmarkStart w:id="36" w:name="_Toc49329544"/>
      <w:bookmarkStart w:id="37" w:name="_Toc48123837"/>
      <w:bookmarkStart w:id="38" w:name="_Toc48123922"/>
      <w:bookmarkStart w:id="39" w:name="_Toc48215982"/>
      <w:r>
        <w:rPr>
          <w:rStyle w:val="CharDivNo"/>
        </w:rPr>
        <w:t>Division 1</w:t>
      </w:r>
      <w:r>
        <w:t> — </w:t>
      </w:r>
      <w:r>
        <w:rPr>
          <w:rStyle w:val="CharDivText"/>
        </w:rPr>
        <w:t>Application for orders</w:t>
      </w:r>
      <w:bookmarkEnd w:id="34"/>
      <w:bookmarkEnd w:id="35"/>
      <w:bookmarkEnd w:id="36"/>
      <w:bookmarkEnd w:id="37"/>
      <w:bookmarkEnd w:id="38"/>
      <w:bookmarkEnd w:id="39"/>
    </w:p>
    <w:p>
      <w:pPr>
        <w:pStyle w:val="Heading5"/>
      </w:pPr>
      <w:bookmarkStart w:id="40" w:name="_Toc49329545"/>
      <w:bookmarkStart w:id="41" w:name="_Toc48215983"/>
      <w:r>
        <w:rPr>
          <w:rStyle w:val="CharSectno"/>
        </w:rPr>
        <w:t>8</w:t>
      </w:r>
      <w:r>
        <w:t>.</w:t>
      </w:r>
      <w:r>
        <w:tab/>
        <w:t>DPP may apply for orders</w:t>
      </w:r>
      <w:bookmarkEnd w:id="40"/>
      <w:bookmarkEnd w:id="41"/>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Division 2 order in relation to the offender, the Division 2 order to take effect on the expiry of the current order. </w:t>
      </w:r>
    </w:p>
    <w:p>
      <w:pPr>
        <w:pStyle w:val="Subsection"/>
      </w:pPr>
      <w:r>
        <w:tab/>
        <w:t>(4B)</w:t>
      </w:r>
      <w:r>
        <w:tab/>
        <w:t>An application under subsection (4A) must specify whether the Division 2 order sought is a continuing detention order or a supervision order under section 17(1)(b).</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No. 3 of 2011 s. 6; No. 17 of 2016 s. 9 and 44; No. 21 of 2017 s. 14.]</w:t>
      </w:r>
    </w:p>
    <w:p>
      <w:pPr>
        <w:pStyle w:val="Heading5"/>
      </w:pPr>
      <w:bookmarkStart w:id="42" w:name="_Toc49329546"/>
      <w:bookmarkStart w:id="43" w:name="_Toc48215984"/>
      <w:r>
        <w:rPr>
          <w:rStyle w:val="CharSectno"/>
        </w:rPr>
        <w:t>9</w:t>
      </w:r>
      <w:r>
        <w:t>.</w:t>
      </w:r>
      <w:r>
        <w:tab/>
        <w:t>Duty to disclose</w:t>
      </w:r>
      <w:bookmarkEnd w:id="42"/>
      <w:bookmarkEnd w:id="4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4" w:name="_Toc49329547"/>
      <w:bookmarkStart w:id="45" w:name="_Toc48215985"/>
      <w:r>
        <w:rPr>
          <w:rStyle w:val="CharSectno"/>
        </w:rPr>
        <w:t>10A</w:t>
      </w:r>
      <w:r>
        <w:t>.</w:t>
      </w:r>
      <w:r>
        <w:tab/>
        <w:t>Offender’s duty to disclose</w:t>
      </w:r>
      <w:bookmarkEnd w:id="44"/>
      <w:bookmarkEnd w:id="45"/>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No. 17 of 2016 s. 10.]</w:t>
      </w:r>
    </w:p>
    <w:p>
      <w:pPr>
        <w:pStyle w:val="Heading5"/>
      </w:pPr>
      <w:bookmarkStart w:id="46" w:name="_Toc49329548"/>
      <w:bookmarkStart w:id="47" w:name="_Toc48215986"/>
      <w:r>
        <w:rPr>
          <w:rStyle w:val="CharSectno"/>
        </w:rPr>
        <w:t>10</w:t>
      </w:r>
      <w:r>
        <w:t>.</w:t>
      </w:r>
      <w:r>
        <w:tab/>
        <w:t>Application may proceed even if offender discharged</w:t>
      </w:r>
      <w:bookmarkEnd w:id="46"/>
      <w:bookmarkEnd w:id="47"/>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No. 17 of 2016 s. 11.]</w:t>
      </w:r>
    </w:p>
    <w:p>
      <w:pPr>
        <w:pStyle w:val="Heading5"/>
      </w:pPr>
      <w:bookmarkStart w:id="48" w:name="_Toc49329549"/>
      <w:bookmarkStart w:id="49" w:name="_Toc48215987"/>
      <w:r>
        <w:rPr>
          <w:rStyle w:val="CharSectno"/>
        </w:rPr>
        <w:t>11</w:t>
      </w:r>
      <w:r>
        <w:t>.</w:t>
      </w:r>
      <w:r>
        <w:tab/>
        <w:t>Fixing day for preliminary hearing</w:t>
      </w:r>
      <w:bookmarkEnd w:id="48"/>
      <w:bookmarkEnd w:id="49"/>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No. 17 of 2016 s. 12.]</w:t>
      </w:r>
    </w:p>
    <w:p>
      <w:pPr>
        <w:pStyle w:val="Heading5"/>
      </w:pPr>
      <w:bookmarkStart w:id="50" w:name="_Toc49329550"/>
      <w:bookmarkStart w:id="51" w:name="_Toc48215988"/>
      <w:r>
        <w:rPr>
          <w:rStyle w:val="CharSectno"/>
        </w:rPr>
        <w:t>12</w:t>
      </w:r>
      <w:r>
        <w:t>.</w:t>
      </w:r>
      <w:r>
        <w:tab/>
        <w:t>Offender may file affidavits in response</w:t>
      </w:r>
      <w:bookmarkEnd w:id="50"/>
      <w:bookmarkEnd w:id="5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52" w:name="_Toc49329551"/>
      <w:bookmarkStart w:id="53" w:name="_Toc48215989"/>
      <w:r>
        <w:rPr>
          <w:rStyle w:val="CharSectno"/>
        </w:rPr>
        <w:t>13</w:t>
      </w:r>
      <w:r>
        <w:t>.</w:t>
      </w:r>
      <w:r>
        <w:tab/>
        <w:t>Contents of affidavit</w:t>
      </w:r>
      <w:bookmarkEnd w:id="52"/>
      <w:bookmarkEnd w:id="5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54" w:name="_Toc49329552"/>
      <w:bookmarkStart w:id="55" w:name="_Toc48215990"/>
      <w:r>
        <w:rPr>
          <w:rStyle w:val="CharSectno"/>
        </w:rPr>
        <w:t>14</w:t>
      </w:r>
      <w:r>
        <w:t>.</w:t>
      </w:r>
      <w:r>
        <w:tab/>
        <w:t>Preliminary hearing</w:t>
      </w:r>
      <w:bookmarkEnd w:id="54"/>
      <w:bookmarkEnd w:id="55"/>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No. 17 of 2016 s. 13.]</w:t>
      </w:r>
    </w:p>
    <w:p>
      <w:pPr>
        <w:pStyle w:val="Ednotesection"/>
      </w:pPr>
      <w:r>
        <w:t>[</w:t>
      </w:r>
      <w:r>
        <w:rPr>
          <w:b/>
        </w:rPr>
        <w:t>15.</w:t>
      </w:r>
      <w:r>
        <w:tab/>
        <w:t>Deleted: No. 17 of 2016 s. 14.]</w:t>
      </w:r>
    </w:p>
    <w:p>
      <w:pPr>
        <w:pStyle w:val="Heading5"/>
        <w:keepNext w:val="0"/>
        <w:keepLines w:val="0"/>
        <w:pageBreakBefore/>
        <w:spacing w:before="0"/>
      </w:pPr>
      <w:bookmarkStart w:id="56" w:name="_Toc49329553"/>
      <w:bookmarkStart w:id="57" w:name="_Toc48215991"/>
      <w:r>
        <w:rPr>
          <w:rStyle w:val="CharSectno"/>
        </w:rPr>
        <w:t>16</w:t>
      </w:r>
      <w:r>
        <w:t>.</w:t>
      </w:r>
      <w:r>
        <w:tab/>
        <w:t>Discontinuing application for Division 2 order</w:t>
      </w:r>
      <w:bookmarkEnd w:id="56"/>
      <w:bookmarkEnd w:id="57"/>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No. 17 of 2016 s. 15.]</w:t>
      </w:r>
    </w:p>
    <w:p>
      <w:pPr>
        <w:pStyle w:val="Heading5"/>
      </w:pPr>
      <w:bookmarkStart w:id="58" w:name="_Toc49329554"/>
      <w:bookmarkStart w:id="59" w:name="_Toc48215992"/>
      <w:r>
        <w:rPr>
          <w:rStyle w:val="CharSectno"/>
        </w:rPr>
        <w:t>17A</w:t>
      </w:r>
      <w:r>
        <w:t>.</w:t>
      </w:r>
      <w:r>
        <w:tab/>
        <w:t>Victim submissions</w:t>
      </w:r>
      <w:bookmarkEnd w:id="58"/>
      <w:bookmarkEnd w:id="59"/>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or (4A) for a Division 2 order; and</w:t>
      </w:r>
    </w:p>
    <w:p>
      <w:pPr>
        <w:pStyle w:val="Ednotepara"/>
      </w:pPr>
      <w:r>
        <w:tab/>
        <w:t>[(b)</w:t>
      </w:r>
      <w:r>
        <w:tab/>
        <w:t>deleted]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No. 17 of 2016 s. 16; amended: No. 21 of 2017 s. 15.]</w:t>
      </w:r>
    </w:p>
    <w:p>
      <w:pPr>
        <w:pStyle w:val="Heading3"/>
      </w:pPr>
      <w:bookmarkStart w:id="60" w:name="_Toc49327021"/>
      <w:bookmarkStart w:id="61" w:name="_Toc49327106"/>
      <w:bookmarkStart w:id="62" w:name="_Toc49329555"/>
      <w:bookmarkStart w:id="63" w:name="_Toc48123848"/>
      <w:bookmarkStart w:id="64" w:name="_Toc48123933"/>
      <w:bookmarkStart w:id="65" w:name="_Toc48215993"/>
      <w:r>
        <w:rPr>
          <w:rStyle w:val="CharDivNo"/>
        </w:rPr>
        <w:t>Division 2</w:t>
      </w:r>
      <w:r>
        <w:t> — </w:t>
      </w:r>
      <w:r>
        <w:rPr>
          <w:rStyle w:val="CharDivText"/>
        </w:rPr>
        <w:t>Orders</w:t>
      </w:r>
      <w:bookmarkEnd w:id="60"/>
      <w:bookmarkEnd w:id="61"/>
      <w:bookmarkEnd w:id="62"/>
      <w:bookmarkEnd w:id="63"/>
      <w:bookmarkEnd w:id="64"/>
      <w:bookmarkEnd w:id="65"/>
    </w:p>
    <w:p>
      <w:pPr>
        <w:pStyle w:val="Heading5"/>
      </w:pPr>
      <w:bookmarkStart w:id="66" w:name="_Toc49329556"/>
      <w:bookmarkStart w:id="67" w:name="_Toc48215994"/>
      <w:r>
        <w:rPr>
          <w:rStyle w:val="CharSectno"/>
        </w:rPr>
        <w:t>17</w:t>
      </w:r>
      <w:r>
        <w:t>.</w:t>
      </w:r>
      <w:r>
        <w:tab/>
        <w:t>Division 2 orders</w:t>
      </w:r>
      <w:bookmarkEnd w:id="66"/>
      <w:bookmarkEnd w:id="6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Subject to subsection (3), in deciding whether to make an order under subsection (1)(a) or (b), the paramount consideration is to be the need to ensure adequate protection of the community.</w:t>
      </w:r>
    </w:p>
    <w:p>
      <w:pPr>
        <w:pStyle w:val="Subsection"/>
      </w:pPr>
      <w:r>
        <w:tab/>
        <w:t>(3)</w:t>
      </w:r>
      <w:r>
        <w:tab/>
        <w:t>A court cannot make an order under subsection (1)(b) unless it is satisfied, on the balance of probabilities, that the offender will substantially comply with the standard conditions of the order.</w:t>
      </w:r>
    </w:p>
    <w:p>
      <w:pPr>
        <w:pStyle w:val="Subsection"/>
      </w:pPr>
      <w:r>
        <w:tab/>
        <w:t>(4)</w:t>
      </w:r>
      <w:r>
        <w:tab/>
        <w:t>The onus of proof as to the matter described in subsection (3) is on the offender.</w:t>
      </w:r>
    </w:p>
    <w:p>
      <w:pPr>
        <w:pStyle w:val="Footnotesection"/>
      </w:pPr>
      <w:r>
        <w:tab/>
        <w:t>[Section 17 amended: No. 17 of 2016 s. 17; No. 21 of 2017 s. 16.]</w:t>
      </w:r>
    </w:p>
    <w:p>
      <w:pPr>
        <w:pStyle w:val="Heading5"/>
      </w:pPr>
      <w:bookmarkStart w:id="68" w:name="_Toc49329557"/>
      <w:bookmarkStart w:id="69" w:name="_Toc48215995"/>
      <w:r>
        <w:rPr>
          <w:rStyle w:val="CharSectno"/>
        </w:rPr>
        <w:t>18</w:t>
      </w:r>
      <w:r>
        <w:t>.</w:t>
      </w:r>
      <w:r>
        <w:tab/>
        <w:t>Conditions of supervision order</w:t>
      </w:r>
      <w:bookmarkEnd w:id="68"/>
      <w:bookmarkEnd w:id="69"/>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No. 1 of 2012 s. 10; No. 58 of 2012 s. 5; No. 17 of 2016 s. 18.]</w:t>
      </w:r>
    </w:p>
    <w:p>
      <w:pPr>
        <w:pStyle w:val="Heading5"/>
      </w:pPr>
      <w:bookmarkStart w:id="70" w:name="_Toc49329558"/>
      <w:bookmarkStart w:id="71" w:name="_Toc48215996"/>
      <w:r>
        <w:rPr>
          <w:rStyle w:val="CharSectno"/>
        </w:rPr>
        <w:t>19A</w:t>
      </w:r>
      <w:r>
        <w:t>.</w:t>
      </w:r>
      <w:r>
        <w:tab/>
        <w:t>Electronic monitoring</w:t>
      </w:r>
      <w:bookmarkEnd w:id="70"/>
      <w:bookmarkEnd w:id="71"/>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No. 58 of 2012 s. 6.]</w:t>
      </w:r>
    </w:p>
    <w:p>
      <w:pPr>
        <w:pStyle w:val="Heading5"/>
      </w:pPr>
      <w:bookmarkStart w:id="72" w:name="_Toc49329559"/>
      <w:bookmarkStart w:id="73" w:name="_Toc48215997"/>
      <w:r>
        <w:rPr>
          <w:rStyle w:val="CharSectno"/>
        </w:rPr>
        <w:t>19B</w:t>
      </w:r>
      <w:r>
        <w:t>.</w:t>
      </w:r>
      <w:r>
        <w:tab/>
        <w:t>Curfew</w:t>
      </w:r>
      <w:bookmarkEnd w:id="72"/>
      <w:bookmarkEnd w:id="73"/>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No. 58 of 2012 s. 6.]</w:t>
      </w:r>
    </w:p>
    <w:p>
      <w:pPr>
        <w:pStyle w:val="Heading5"/>
        <w:spacing w:before="240"/>
      </w:pPr>
      <w:bookmarkStart w:id="74" w:name="_Toc49329560"/>
      <w:bookmarkStart w:id="75" w:name="_Toc48215998"/>
      <w:r>
        <w:rPr>
          <w:rStyle w:val="CharSectno"/>
        </w:rPr>
        <w:t>19C</w:t>
      </w:r>
      <w:r>
        <w:t>.</w:t>
      </w:r>
      <w:r>
        <w:tab/>
        <w:t>Enforcement of electronic monitoring and curfew requirement</w:t>
      </w:r>
      <w:bookmarkEnd w:id="74"/>
      <w:bookmarkEnd w:id="75"/>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No. 58 of 2012 s. 6.]</w:t>
      </w:r>
    </w:p>
    <w:p>
      <w:pPr>
        <w:pStyle w:val="Heading3"/>
      </w:pPr>
      <w:bookmarkStart w:id="76" w:name="_Toc49327027"/>
      <w:bookmarkStart w:id="77" w:name="_Toc49327112"/>
      <w:bookmarkStart w:id="78" w:name="_Toc49329561"/>
      <w:bookmarkStart w:id="79" w:name="_Toc48123854"/>
      <w:bookmarkStart w:id="80" w:name="_Toc48123939"/>
      <w:bookmarkStart w:id="81" w:name="_Toc48215999"/>
      <w:r>
        <w:rPr>
          <w:rStyle w:val="CharDivNo"/>
        </w:rPr>
        <w:t>Division 3</w:t>
      </w:r>
      <w:r>
        <w:t> — </w:t>
      </w:r>
      <w:r>
        <w:rPr>
          <w:rStyle w:val="CharDivText"/>
        </w:rPr>
        <w:t>Amendment of supervision order</w:t>
      </w:r>
      <w:bookmarkEnd w:id="76"/>
      <w:bookmarkEnd w:id="77"/>
      <w:bookmarkEnd w:id="78"/>
      <w:bookmarkEnd w:id="79"/>
      <w:bookmarkEnd w:id="80"/>
      <w:bookmarkEnd w:id="81"/>
    </w:p>
    <w:p>
      <w:pPr>
        <w:pStyle w:val="Heading5"/>
      </w:pPr>
      <w:bookmarkStart w:id="82" w:name="_Toc49329562"/>
      <w:bookmarkStart w:id="83" w:name="_Toc48216000"/>
      <w:r>
        <w:rPr>
          <w:rStyle w:val="CharSectno"/>
        </w:rPr>
        <w:t>19</w:t>
      </w:r>
      <w:r>
        <w:t>.</w:t>
      </w:r>
      <w:r>
        <w:tab/>
        <w:t>Application to amend conditions of supervision order</w:t>
      </w:r>
      <w:bookmarkEnd w:id="82"/>
      <w:bookmarkEnd w:id="8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No. 17 of 2016 s. 44.]</w:t>
      </w:r>
    </w:p>
    <w:p>
      <w:pPr>
        <w:pStyle w:val="Heading5"/>
      </w:pPr>
      <w:bookmarkStart w:id="84" w:name="_Toc49329563"/>
      <w:bookmarkStart w:id="85" w:name="_Toc48216001"/>
      <w:r>
        <w:rPr>
          <w:rStyle w:val="CharSectno"/>
        </w:rPr>
        <w:t>20</w:t>
      </w:r>
      <w:r>
        <w:t>.</w:t>
      </w:r>
      <w:r>
        <w:tab/>
        <w:t>Amendment of conditions of supervision order</w:t>
      </w:r>
      <w:bookmarkEnd w:id="84"/>
      <w:bookmarkEnd w:id="85"/>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 </w:t>
      </w:r>
    </w:p>
    <w:p>
      <w:pPr>
        <w:pStyle w:val="Indenta"/>
      </w:pPr>
      <w:r>
        <w:tab/>
        <w:t>(a)</w:t>
      </w:r>
      <w:r>
        <w:tab/>
        <w:t>that it is reasonable to make the amendment in all the circumstances; and</w:t>
      </w:r>
    </w:p>
    <w:p>
      <w:pPr>
        <w:pStyle w:val="Indenta"/>
      </w:pPr>
      <w:r>
        <w:tab/>
        <w:t>(b)</w:t>
      </w:r>
      <w:r>
        <w:tab/>
        <w:t>that the conditions, as amended, will be sufficient to ensure adequate protection of the community; and</w:t>
      </w:r>
    </w:p>
    <w:p>
      <w:pPr>
        <w:pStyle w:val="Indenta"/>
      </w:pPr>
      <w:r>
        <w:tab/>
        <w:t>(c)</w:t>
      </w:r>
      <w:r>
        <w:tab/>
        <w:t>if the application is made by the person who is subject to the supervision order, that the person will substantially comply with the standard conditions of the order as amended.</w:t>
      </w:r>
    </w:p>
    <w:p>
      <w:pPr>
        <w:pStyle w:val="Subsection"/>
      </w:pPr>
      <w:r>
        <w:tab/>
        <w:t>(3)</w:t>
      </w:r>
      <w:r>
        <w:tab/>
        <w:t>The onus of proof as to the matter described in subsection (2)(c) is on the person who is subject to the supervision order.</w:t>
      </w:r>
    </w:p>
    <w:p>
      <w:pPr>
        <w:pStyle w:val="Footnotesection"/>
      </w:pPr>
      <w:r>
        <w:tab/>
        <w:t>[Section 20 amended: No. 17 of 2016 s. 44; No. 21 of 2017 s. 17.]</w:t>
      </w:r>
    </w:p>
    <w:p>
      <w:pPr>
        <w:pStyle w:val="Heading3"/>
      </w:pPr>
      <w:bookmarkStart w:id="86" w:name="_Toc49327030"/>
      <w:bookmarkStart w:id="87" w:name="_Toc49327115"/>
      <w:bookmarkStart w:id="88" w:name="_Toc49329564"/>
      <w:bookmarkStart w:id="89" w:name="_Toc48123857"/>
      <w:bookmarkStart w:id="90" w:name="_Toc48123942"/>
      <w:bookmarkStart w:id="91" w:name="_Toc48216002"/>
      <w:r>
        <w:rPr>
          <w:rStyle w:val="CharDivNo"/>
        </w:rPr>
        <w:t>Division 4</w:t>
      </w:r>
      <w:r>
        <w:t> — </w:t>
      </w:r>
      <w:r>
        <w:rPr>
          <w:rStyle w:val="CharDivText"/>
        </w:rPr>
        <w:t>Contravention of supervision order</w:t>
      </w:r>
      <w:bookmarkEnd w:id="86"/>
      <w:bookmarkEnd w:id="87"/>
      <w:bookmarkEnd w:id="88"/>
      <w:bookmarkEnd w:id="89"/>
      <w:bookmarkEnd w:id="90"/>
      <w:bookmarkEnd w:id="91"/>
    </w:p>
    <w:p>
      <w:pPr>
        <w:pStyle w:val="Heading5"/>
      </w:pPr>
      <w:bookmarkStart w:id="92" w:name="_Toc49329565"/>
      <w:bookmarkStart w:id="93" w:name="_Toc48216003"/>
      <w:r>
        <w:rPr>
          <w:rStyle w:val="CharSectno"/>
        </w:rPr>
        <w:t>21</w:t>
      </w:r>
      <w:r>
        <w:t>.</w:t>
      </w:r>
      <w:r>
        <w:tab/>
        <w:t>Warrant because of contravention</w:t>
      </w:r>
      <w:bookmarkEnd w:id="92"/>
      <w:bookmarkEnd w:id="93"/>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warrant must state the suspected or anticipated contravention, and may state it in general terms.</w:t>
      </w:r>
    </w:p>
    <w:p>
      <w:pPr>
        <w:pStyle w:val="Ednotesubsection"/>
      </w:pPr>
      <w:r>
        <w:tab/>
        <w:t>[(4)</w:t>
      </w:r>
      <w:r>
        <w:tab/>
        <w:t>deleted]</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No. 3 of 2011 s. 7; No. 17 of 2016 s. 44; No. 21 of 2017 s. 18.]</w:t>
      </w:r>
    </w:p>
    <w:p>
      <w:pPr>
        <w:pStyle w:val="Heading5"/>
      </w:pPr>
      <w:bookmarkStart w:id="94" w:name="_Toc49329566"/>
      <w:bookmarkStart w:id="95" w:name="_Toc48216004"/>
      <w:r>
        <w:rPr>
          <w:rStyle w:val="CharSectno"/>
        </w:rPr>
        <w:t>22</w:t>
      </w:r>
      <w:r>
        <w:t>.</w:t>
      </w:r>
      <w:r>
        <w:tab/>
        <w:t>DPP may seek orders</w:t>
      </w:r>
      <w:bookmarkEnd w:id="94"/>
      <w:bookmarkEnd w:id="95"/>
    </w:p>
    <w:p>
      <w:pPr>
        <w:pStyle w:val="Subsection"/>
      </w:pPr>
      <w:r>
        <w:tab/>
        <w:t>(1)</w:t>
      </w:r>
      <w:r>
        <w:tab/>
        <w:t>This section applies to —</w:t>
      </w:r>
    </w:p>
    <w:p>
      <w:pPr>
        <w:pStyle w:val="Indenta"/>
      </w:pPr>
      <w:r>
        <w:tab/>
        <w:t>(a)</w:t>
      </w:r>
      <w:r>
        <w:tab/>
        <w:t>a person who is brought before the Supreme Court under a warrant issued under section 21 or 24A(5)(d); and</w:t>
      </w:r>
    </w:p>
    <w:p>
      <w:pPr>
        <w:pStyle w:val="Indenta"/>
      </w:pPr>
      <w:r>
        <w:tab/>
        <w:t>(b)</w:t>
      </w:r>
      <w:r>
        <w:tab/>
        <w:t>a person who is charged with an offence under section 40A.</w:t>
      </w:r>
    </w:p>
    <w:p>
      <w:pPr>
        <w:pStyle w:val="Subsection"/>
      </w:pPr>
      <w:r>
        <w:tab/>
        <w:t>(2)</w:t>
      </w:r>
      <w:r>
        <w:tab/>
        <w:t>In relation to a person to whom this section applies, the DPP may apply for —</w:t>
      </w:r>
    </w:p>
    <w:p>
      <w:pPr>
        <w:pStyle w:val="Indenta"/>
      </w:pPr>
      <w:r>
        <w:tab/>
        <w:t>(a)</w:t>
      </w:r>
      <w:r>
        <w:tab/>
        <w:t>an order under section 23; and</w:t>
      </w:r>
    </w:p>
    <w:p>
      <w:pPr>
        <w:pStyle w:val="Indenta"/>
      </w:pPr>
      <w:r>
        <w:tab/>
        <w:t>(b)</w:t>
      </w:r>
      <w:r>
        <w:tab/>
        <w:t>an order for the person to be detained in custody while proceedings on the application for an order under section 23 are pending.</w:t>
      </w:r>
    </w:p>
    <w:p>
      <w:pPr>
        <w:pStyle w:val="Subsection"/>
      </w:pPr>
      <w:r>
        <w:tab/>
        <w:t>(3)</w:t>
      </w:r>
      <w:r>
        <w:tab/>
        <w:t>The application must state what order is sought under section 23.</w:t>
      </w:r>
    </w:p>
    <w:p>
      <w:pPr>
        <w:pStyle w:val="Footnotesection"/>
      </w:pPr>
      <w:r>
        <w:tab/>
        <w:t>[Section 22 inserted: No. 21 of 2017 s. 19.]</w:t>
      </w:r>
    </w:p>
    <w:p>
      <w:pPr>
        <w:pStyle w:val="Heading5"/>
      </w:pPr>
      <w:bookmarkStart w:id="96" w:name="_Toc49329567"/>
      <w:bookmarkStart w:id="97" w:name="_Toc48216005"/>
      <w:r>
        <w:rPr>
          <w:rStyle w:val="CharSectno"/>
        </w:rPr>
        <w:t>23A</w:t>
      </w:r>
      <w:r>
        <w:t>.</w:t>
      </w:r>
      <w:r>
        <w:tab/>
        <w:t>Reports</w:t>
      </w:r>
      <w:bookmarkEnd w:id="96"/>
      <w:bookmarkEnd w:id="97"/>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No. 17 of 2016 s. 19.]</w:t>
      </w:r>
    </w:p>
    <w:p>
      <w:pPr>
        <w:pStyle w:val="Heading5"/>
      </w:pPr>
      <w:bookmarkStart w:id="98" w:name="_Toc49329568"/>
      <w:bookmarkStart w:id="99" w:name="_Toc48216006"/>
      <w:r>
        <w:rPr>
          <w:rStyle w:val="CharSectno"/>
        </w:rPr>
        <w:t>23</w:t>
      </w:r>
      <w:r>
        <w:t>.</w:t>
      </w:r>
      <w:r>
        <w:tab/>
        <w:t>Court may make order</w:t>
      </w:r>
      <w:bookmarkEnd w:id="98"/>
      <w:bookmarkEnd w:id="99"/>
    </w:p>
    <w:p>
      <w:pPr>
        <w:pStyle w:val="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subject to subsection (1B), make an order amending the conditions of the supervision order, or extending the period for which the person is to be subject to the supervision order, or both; or</w:t>
      </w:r>
    </w:p>
    <w:p>
      <w:pPr>
        <w:pStyle w:val="Indenta"/>
      </w:pPr>
      <w:r>
        <w:tab/>
        <w:t>(c)</w:t>
      </w:r>
      <w:r>
        <w:tab/>
        <w:t>subject to subsection (1B), make an order affirming the supervision order without amendment or extension.</w:t>
      </w:r>
    </w:p>
    <w:p>
      <w:pPr>
        <w:pStyle w:val="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 xml:space="preserve">subject to subsection (1B), make an order — </w:t>
      </w:r>
    </w:p>
    <w:p>
      <w:pPr>
        <w:pStyle w:val="Indenti"/>
      </w:pPr>
      <w:r>
        <w:tab/>
        <w:t>(i)</w:t>
      </w:r>
      <w:r>
        <w:tab/>
        <w:t xml:space="preserve">amending the conditions of the supervision order; or </w:t>
      </w:r>
    </w:p>
    <w:p>
      <w:pPr>
        <w:pStyle w:val="Indenti"/>
      </w:pPr>
      <w:r>
        <w:tab/>
        <w:t>(ii)</w:t>
      </w:r>
      <w:r>
        <w:tab/>
        <w:t>both amending the conditions of, and extending the period for which the person is to be subject to, the supervision order.</w:t>
      </w:r>
    </w:p>
    <w:p>
      <w:pPr>
        <w:pStyle w:val="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Subsection"/>
      </w:pPr>
      <w:r>
        <w:tab/>
        <w:t>(1C)</w:t>
      </w:r>
      <w:r>
        <w:tab/>
        <w:t>The onus of proof as to the matter described in subsection (1B) is on the person to whom the application relates.</w:t>
      </w:r>
    </w:p>
    <w:p>
      <w:pPr>
        <w:pStyle w:val="Ednotesubsection"/>
      </w:pPr>
      <w:r>
        <w:tab/>
        <w:t>[(2A)</w:t>
      </w:r>
      <w:r>
        <w:tab/>
        <w:t>deleted]</w:t>
      </w:r>
    </w:p>
    <w:p>
      <w:pPr>
        <w:pStyle w:val="Subsection"/>
      </w:pPr>
      <w:r>
        <w:tab/>
        <w:t>(2)</w:t>
      </w:r>
      <w:r>
        <w:tab/>
        <w:t>In deciding which order to make under subsection (1) or (1A), the paramount consideration is to be the need to ensure adequate protection of the community.</w:t>
      </w:r>
    </w:p>
    <w:p>
      <w:pPr>
        <w:pStyle w:val="Footnotesection"/>
      </w:pPr>
      <w:r>
        <w:tab/>
        <w:t>[Section 23 amended: No. 3 of 2011 s. 10; No. 17 of 2016 s. 20; No. 21 of 2017 s. 20.]</w:t>
      </w:r>
    </w:p>
    <w:p>
      <w:pPr>
        <w:pStyle w:val="Heading5"/>
      </w:pPr>
      <w:bookmarkStart w:id="100" w:name="_Toc49329569"/>
      <w:bookmarkStart w:id="101" w:name="_Toc48216007"/>
      <w:r>
        <w:rPr>
          <w:rStyle w:val="CharSectno"/>
        </w:rPr>
        <w:t>24A</w:t>
      </w:r>
      <w:r>
        <w:t>.</w:t>
      </w:r>
      <w:r>
        <w:tab/>
        <w:t>Orders made during contravention proceedings</w:t>
      </w:r>
      <w:bookmarkEnd w:id="100"/>
      <w:bookmarkEnd w:id="10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person is detained in custody, order the person to be released, subject to subsection (3); or</w:t>
      </w:r>
    </w:p>
    <w:p>
      <w:pPr>
        <w:pStyle w:val="Indenta"/>
      </w:pPr>
      <w:r>
        <w:tab/>
        <w:t>(b)</w:t>
      </w:r>
      <w:r>
        <w:tab/>
        <w:t>if the person is not detained in custody, order the person to be detained in custody.</w:t>
      </w:r>
    </w:p>
    <w:p>
      <w:pPr>
        <w:pStyle w:val="Subsection"/>
      </w:pPr>
      <w:r>
        <w:tab/>
        <w:t>(3)</w:t>
      </w:r>
      <w:r>
        <w:tab/>
        <w:t xml:space="preserve">The court cannot order the person to be released unless it is satisfied, on the balance of probabilities — </w:t>
      </w:r>
    </w:p>
    <w:p>
      <w:pPr>
        <w:pStyle w:val="Indenta"/>
      </w:pPr>
      <w:r>
        <w:tab/>
        <w:t>(a)</w:t>
      </w:r>
      <w:r>
        <w:tab/>
        <w:t>that releasing the person is justified by exceptional circumstances; and</w:t>
      </w:r>
    </w:p>
    <w:p>
      <w:pPr>
        <w:pStyle w:val="Indenta"/>
      </w:pPr>
      <w:r>
        <w:tab/>
        <w:t>(b)</w:t>
      </w:r>
      <w:r>
        <w:tab/>
        <w:t>that the person will substantially comply with the standard conditions of the supervision order, including any amendments to the standard conditions made under subsection (5)(b).</w:t>
      </w:r>
    </w:p>
    <w:p>
      <w:pPr>
        <w:pStyle w:val="Subsection"/>
      </w:pPr>
      <w:r>
        <w:tab/>
        <w:t>(3A)</w:t>
      </w:r>
      <w:r>
        <w:tab/>
        <w:t>The onus of proof as to the matter described in subsection (3)(b) is on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No. 3 of 2011 s. 11; amended: No. 17 of 2016 s. 21; No. 21 of 2017 s. 21.]</w:t>
      </w:r>
    </w:p>
    <w:p>
      <w:pPr>
        <w:pStyle w:val="Heading3"/>
        <w:keepNext w:val="0"/>
        <w:pageBreakBefore/>
        <w:spacing w:before="0"/>
      </w:pPr>
      <w:bookmarkStart w:id="102" w:name="_Toc49327036"/>
      <w:bookmarkStart w:id="103" w:name="_Toc49327121"/>
      <w:bookmarkStart w:id="104" w:name="_Toc49329570"/>
      <w:bookmarkStart w:id="105" w:name="_Toc48123863"/>
      <w:bookmarkStart w:id="106" w:name="_Toc48123948"/>
      <w:bookmarkStart w:id="107" w:name="_Toc48216008"/>
      <w:r>
        <w:rPr>
          <w:rStyle w:val="CharDivNo"/>
        </w:rPr>
        <w:t>Division 5</w:t>
      </w:r>
      <w:r>
        <w:t> — </w:t>
      </w:r>
      <w:r>
        <w:rPr>
          <w:rStyle w:val="CharDivText"/>
        </w:rPr>
        <w:t>Supervision order extended due to imprisonment</w:t>
      </w:r>
      <w:bookmarkEnd w:id="102"/>
      <w:bookmarkEnd w:id="103"/>
      <w:bookmarkEnd w:id="104"/>
      <w:bookmarkEnd w:id="105"/>
      <w:bookmarkEnd w:id="106"/>
      <w:bookmarkEnd w:id="107"/>
    </w:p>
    <w:p>
      <w:pPr>
        <w:pStyle w:val="Heading5"/>
      </w:pPr>
      <w:bookmarkStart w:id="108" w:name="_Toc49329571"/>
      <w:bookmarkStart w:id="109" w:name="_Toc48216009"/>
      <w:r>
        <w:rPr>
          <w:rStyle w:val="CharSectno"/>
        </w:rPr>
        <w:t>24</w:t>
      </w:r>
      <w:r>
        <w:t>.</w:t>
      </w:r>
      <w:r>
        <w:tab/>
        <w:t>Extension of supervision order</w:t>
      </w:r>
      <w:bookmarkEnd w:id="108"/>
      <w:bookmarkEnd w:id="109"/>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No. 17 of 2016 s. 22.]</w:t>
      </w:r>
    </w:p>
    <w:p>
      <w:pPr>
        <w:pStyle w:val="Heading3"/>
        <w:rPr>
          <w:rStyle w:val="CharDivText"/>
        </w:rPr>
      </w:pPr>
      <w:bookmarkStart w:id="110" w:name="_Toc49327038"/>
      <w:bookmarkStart w:id="111" w:name="_Toc49327123"/>
      <w:bookmarkStart w:id="112" w:name="_Toc49329572"/>
      <w:bookmarkStart w:id="113" w:name="_Toc48123865"/>
      <w:bookmarkStart w:id="114" w:name="_Toc48123950"/>
      <w:bookmarkStart w:id="115" w:name="_Toc48216010"/>
      <w:r>
        <w:rPr>
          <w:rStyle w:val="CharDivNo"/>
        </w:rPr>
        <w:t>Division 6</w:t>
      </w:r>
      <w:r>
        <w:t> — </w:t>
      </w:r>
      <w:r>
        <w:rPr>
          <w:rStyle w:val="CharDivText"/>
        </w:rPr>
        <w:t>General provisions for Part 2</w:t>
      </w:r>
      <w:bookmarkEnd w:id="110"/>
      <w:bookmarkEnd w:id="111"/>
      <w:bookmarkEnd w:id="112"/>
      <w:bookmarkEnd w:id="113"/>
      <w:bookmarkEnd w:id="114"/>
      <w:bookmarkEnd w:id="115"/>
    </w:p>
    <w:p>
      <w:pPr>
        <w:pStyle w:val="Heading5"/>
      </w:pPr>
      <w:bookmarkStart w:id="116" w:name="_Toc49329573"/>
      <w:bookmarkStart w:id="117" w:name="_Toc48216011"/>
      <w:r>
        <w:rPr>
          <w:rStyle w:val="CharSectno"/>
        </w:rPr>
        <w:t>25</w:t>
      </w:r>
      <w:r>
        <w:t>.</w:t>
      </w:r>
      <w:r>
        <w:tab/>
        <w:t>Effect of continuing detention order</w:t>
      </w:r>
      <w:bookmarkEnd w:id="116"/>
      <w:bookmarkEnd w:id="117"/>
    </w:p>
    <w:p>
      <w:pPr>
        <w:pStyle w:val="Subsection"/>
      </w:pPr>
      <w:r>
        <w:tab/>
      </w:r>
      <w:r>
        <w:tab/>
        <w:t>A continuing detention order has effect in accordance with its terms from the time the order is made until rescinded by a further order of the Supreme Court.</w:t>
      </w:r>
    </w:p>
    <w:p>
      <w:pPr>
        <w:pStyle w:val="Heading5"/>
      </w:pPr>
      <w:bookmarkStart w:id="118" w:name="_Toc49329574"/>
      <w:bookmarkStart w:id="119" w:name="_Toc48216012"/>
      <w:r>
        <w:rPr>
          <w:rStyle w:val="CharSectno"/>
        </w:rPr>
        <w:t>26</w:t>
      </w:r>
      <w:r>
        <w:t>.</w:t>
      </w:r>
      <w:r>
        <w:tab/>
        <w:t>Effect of supervision order</w:t>
      </w:r>
      <w:bookmarkEnd w:id="118"/>
      <w:bookmarkEnd w:id="119"/>
    </w:p>
    <w:p>
      <w:pPr>
        <w:pStyle w:val="Subsection"/>
      </w:pPr>
      <w:r>
        <w:tab/>
      </w:r>
      <w:r>
        <w:tab/>
        <w:t>A supervision order has effect in accordance with its terms.</w:t>
      </w:r>
    </w:p>
    <w:p>
      <w:pPr>
        <w:pStyle w:val="Heading5"/>
      </w:pPr>
      <w:bookmarkStart w:id="120" w:name="_Toc49329575"/>
      <w:bookmarkStart w:id="121" w:name="_Toc48216013"/>
      <w:r>
        <w:rPr>
          <w:rStyle w:val="CharSectno"/>
        </w:rPr>
        <w:t>27</w:t>
      </w:r>
      <w:r>
        <w:t>.</w:t>
      </w:r>
      <w:r>
        <w:tab/>
        <w:t>Court to give reasons</w:t>
      </w:r>
      <w:bookmarkEnd w:id="120"/>
      <w:bookmarkEnd w:id="121"/>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pPr>
      <w:bookmarkStart w:id="122" w:name="_Toc49329576"/>
      <w:bookmarkStart w:id="123" w:name="_Toc48216014"/>
      <w:r>
        <w:rPr>
          <w:rStyle w:val="CharSectno"/>
        </w:rPr>
        <w:t>27A</w:t>
      </w:r>
      <w:r>
        <w:t>.</w:t>
      </w:r>
      <w:r>
        <w:tab/>
        <w:t>Interim supervision orders</w:t>
      </w:r>
      <w:bookmarkEnd w:id="122"/>
      <w:bookmarkEnd w:id="123"/>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an application made under section 8(1) or (4A), 19 or 22 are pending (the </w:t>
      </w:r>
      <w:r>
        <w:rPr>
          <w:rStyle w:val="CharDefText"/>
        </w:rPr>
        <w:t>pending proceedings</w:t>
      </w:r>
      <w:r>
        <w:t>); and</w:t>
      </w:r>
    </w:p>
    <w:p>
      <w:pPr>
        <w:pStyle w:val="Indenta"/>
      </w:pPr>
      <w:r>
        <w:tab/>
        <w:t>(b)</w:t>
      </w:r>
      <w:r>
        <w:tab/>
        <w:t>the person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Footnotesection"/>
      </w:pPr>
      <w:r>
        <w:tab/>
        <w:t>[Section 27A inserted: No. 21 of 2017 s. 22.]</w:t>
      </w:r>
    </w:p>
    <w:p>
      <w:pPr>
        <w:pStyle w:val="Heading2"/>
      </w:pPr>
      <w:bookmarkStart w:id="124" w:name="_Toc49327043"/>
      <w:bookmarkStart w:id="125" w:name="_Toc49327128"/>
      <w:bookmarkStart w:id="126" w:name="_Toc49329577"/>
      <w:bookmarkStart w:id="127" w:name="_Toc48123870"/>
      <w:bookmarkStart w:id="128" w:name="_Toc48123955"/>
      <w:bookmarkStart w:id="129" w:name="_Toc48216015"/>
      <w:r>
        <w:rPr>
          <w:rStyle w:val="CharPartNo"/>
        </w:rPr>
        <w:t>Part 3</w:t>
      </w:r>
      <w:r>
        <w:rPr>
          <w:rStyle w:val="CharDivNo"/>
        </w:rPr>
        <w:t> </w:t>
      </w:r>
      <w:r>
        <w:t>—</w:t>
      </w:r>
      <w:r>
        <w:rPr>
          <w:rStyle w:val="CharDivText"/>
        </w:rPr>
        <w:t> </w:t>
      </w:r>
      <w:r>
        <w:rPr>
          <w:rStyle w:val="CharPartText"/>
        </w:rPr>
        <w:t>Reviews of detention</w:t>
      </w:r>
      <w:bookmarkEnd w:id="124"/>
      <w:bookmarkEnd w:id="125"/>
      <w:bookmarkEnd w:id="126"/>
      <w:bookmarkEnd w:id="127"/>
      <w:bookmarkEnd w:id="128"/>
      <w:bookmarkEnd w:id="129"/>
    </w:p>
    <w:p>
      <w:pPr>
        <w:pStyle w:val="Footnoteheading"/>
      </w:pPr>
      <w:r>
        <w:tab/>
        <w:t>[Heading amended: No. 17 of 2016 s. 23.]</w:t>
      </w:r>
    </w:p>
    <w:p>
      <w:pPr>
        <w:pStyle w:val="Heading5"/>
      </w:pPr>
      <w:bookmarkStart w:id="130" w:name="_Toc49329578"/>
      <w:bookmarkStart w:id="131" w:name="_Toc48216016"/>
      <w:r>
        <w:rPr>
          <w:rStyle w:val="CharSectno"/>
        </w:rPr>
        <w:t>28</w:t>
      </w:r>
      <w:r>
        <w:t>.</w:t>
      </w:r>
      <w:r>
        <w:tab/>
        <w:t>Purpose of this Part</w:t>
      </w:r>
      <w:bookmarkEnd w:id="130"/>
      <w:bookmarkEnd w:id="131"/>
    </w:p>
    <w:p>
      <w:pPr>
        <w:pStyle w:val="Subsection"/>
      </w:pPr>
      <w:r>
        <w:tab/>
      </w:r>
      <w:r>
        <w:tab/>
        <w:t>The purpose of this Part is to ensure that a person’s detention under a continuing detention order is regularly reviewed.</w:t>
      </w:r>
    </w:p>
    <w:p>
      <w:pPr>
        <w:pStyle w:val="Heading5"/>
      </w:pPr>
      <w:bookmarkStart w:id="132" w:name="_Toc49329579"/>
      <w:bookmarkStart w:id="133" w:name="_Toc48216017"/>
      <w:r>
        <w:rPr>
          <w:rStyle w:val="CharSectno"/>
        </w:rPr>
        <w:t>29</w:t>
      </w:r>
      <w:r>
        <w:t>.</w:t>
      </w:r>
      <w:r>
        <w:tab/>
        <w:t>Review — periodic</w:t>
      </w:r>
      <w:bookmarkEnd w:id="132"/>
      <w:bookmarkEnd w:id="133"/>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No. 17 of 2016 s. 24.]</w:t>
      </w:r>
    </w:p>
    <w:p>
      <w:pPr>
        <w:pStyle w:val="Heading5"/>
      </w:pPr>
      <w:bookmarkStart w:id="134" w:name="_Toc49329580"/>
      <w:bookmarkStart w:id="135" w:name="_Toc48216018"/>
      <w:r>
        <w:rPr>
          <w:rStyle w:val="CharSectno"/>
        </w:rPr>
        <w:t>30</w:t>
      </w:r>
      <w:r>
        <w:t>.</w:t>
      </w:r>
      <w:r>
        <w:tab/>
        <w:t>Review — application by person subject to order</w:t>
      </w:r>
      <w:bookmarkEnd w:id="134"/>
      <w:bookmarkEnd w:id="135"/>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No. 17 of 2016 s. 25.]</w:t>
      </w:r>
    </w:p>
    <w:p>
      <w:pPr>
        <w:pStyle w:val="Heading5"/>
      </w:pPr>
      <w:bookmarkStart w:id="136" w:name="_Toc49329581"/>
      <w:bookmarkStart w:id="137" w:name="_Toc48216019"/>
      <w:r>
        <w:rPr>
          <w:rStyle w:val="CharSectno"/>
        </w:rPr>
        <w:t>31</w:t>
      </w:r>
      <w:r>
        <w:t>.</w:t>
      </w:r>
      <w:r>
        <w:tab/>
        <w:t>Dealing with application</w:t>
      </w:r>
      <w:bookmarkEnd w:id="136"/>
      <w:bookmarkEnd w:id="137"/>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No. 17 of 2016 s. 26 and 44.]</w:t>
      </w:r>
    </w:p>
    <w:p>
      <w:pPr>
        <w:pStyle w:val="Heading5"/>
      </w:pPr>
      <w:bookmarkStart w:id="138" w:name="_Toc49329582"/>
      <w:bookmarkStart w:id="139" w:name="_Toc48216020"/>
      <w:r>
        <w:rPr>
          <w:rStyle w:val="CharSectno"/>
        </w:rPr>
        <w:t>32</w:t>
      </w:r>
      <w:r>
        <w:t>.</w:t>
      </w:r>
      <w:r>
        <w:tab/>
        <w:t>Reports</w:t>
      </w:r>
      <w:bookmarkEnd w:id="138"/>
      <w:bookmarkEnd w:id="139"/>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No. 17 of 2016 s. 27.]</w:t>
      </w:r>
    </w:p>
    <w:p>
      <w:pPr>
        <w:pStyle w:val="Heading5"/>
      </w:pPr>
      <w:bookmarkStart w:id="140" w:name="_Toc49329583"/>
      <w:bookmarkStart w:id="141" w:name="_Toc48216021"/>
      <w:r>
        <w:rPr>
          <w:rStyle w:val="CharSectno"/>
        </w:rPr>
        <w:t>33</w:t>
      </w:r>
      <w:r>
        <w:t>.</w:t>
      </w:r>
      <w:r>
        <w:tab/>
        <w:t>Review of detention under continuing detention order</w:t>
      </w:r>
      <w:bookmarkEnd w:id="140"/>
      <w:bookmarkEnd w:id="141"/>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Subject to subsection (4), in making a decision under subsection (1)(b), the paramount consideration is to be the need to ensure adequate protection of the community.</w:t>
      </w:r>
    </w:p>
    <w:p>
      <w:pPr>
        <w:pStyle w:val="Subsection"/>
      </w:pPr>
      <w:r>
        <w:tab/>
        <w:t>(4)</w:t>
      </w:r>
      <w:r>
        <w:tab/>
        <w:t>A court cannot make an order under subsection (1)(b)(ii) unless it is satisfied, on the balance of probabilities, that the person will substantially comply with the standard conditions of the order.</w:t>
      </w:r>
    </w:p>
    <w:p>
      <w:pPr>
        <w:pStyle w:val="Subsection"/>
      </w:pPr>
      <w:r>
        <w:tab/>
        <w:t>(5)</w:t>
      </w:r>
      <w:r>
        <w:tab/>
        <w:t>The onus of proof as to the matter described in subsection (4) is on the person.</w:t>
      </w:r>
    </w:p>
    <w:p>
      <w:pPr>
        <w:pStyle w:val="Footnotesection"/>
      </w:pPr>
      <w:r>
        <w:tab/>
        <w:t>[Section 33 amended: No. 17 of 2016 s. 28; No. 21 of 2017 s. 23.]</w:t>
      </w:r>
    </w:p>
    <w:p>
      <w:pPr>
        <w:pStyle w:val="Heading2"/>
      </w:pPr>
      <w:bookmarkStart w:id="142" w:name="_Toc49327050"/>
      <w:bookmarkStart w:id="143" w:name="_Toc49327135"/>
      <w:bookmarkStart w:id="144" w:name="_Toc49329584"/>
      <w:bookmarkStart w:id="145" w:name="_Toc48123877"/>
      <w:bookmarkStart w:id="146" w:name="_Toc48123962"/>
      <w:bookmarkStart w:id="147" w:name="_Toc48216022"/>
      <w:r>
        <w:rPr>
          <w:rStyle w:val="CharPartNo"/>
        </w:rPr>
        <w:t>Part 4</w:t>
      </w:r>
      <w:r>
        <w:rPr>
          <w:rStyle w:val="CharDivNo"/>
        </w:rPr>
        <w:t> </w:t>
      </w:r>
      <w:r>
        <w:t>—</w:t>
      </w:r>
      <w:r>
        <w:rPr>
          <w:rStyle w:val="CharDivText"/>
        </w:rPr>
        <w:t> </w:t>
      </w:r>
      <w:r>
        <w:rPr>
          <w:rStyle w:val="CharPartText"/>
        </w:rPr>
        <w:t>Appeals</w:t>
      </w:r>
      <w:bookmarkEnd w:id="142"/>
      <w:bookmarkEnd w:id="143"/>
      <w:bookmarkEnd w:id="144"/>
      <w:bookmarkEnd w:id="145"/>
      <w:bookmarkEnd w:id="146"/>
      <w:bookmarkEnd w:id="147"/>
    </w:p>
    <w:p>
      <w:pPr>
        <w:pStyle w:val="Heading5"/>
      </w:pPr>
      <w:bookmarkStart w:id="148" w:name="_Toc49329585"/>
      <w:bookmarkStart w:id="149" w:name="_Toc48216023"/>
      <w:r>
        <w:rPr>
          <w:rStyle w:val="CharSectno"/>
        </w:rPr>
        <w:t>34</w:t>
      </w:r>
      <w:r>
        <w:t>.</w:t>
      </w:r>
      <w:r>
        <w:tab/>
        <w:t>Appeals</w:t>
      </w:r>
      <w:bookmarkEnd w:id="148"/>
      <w:bookmarkEnd w:id="149"/>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No. 17 of 2016 s. 29.]</w:t>
      </w:r>
    </w:p>
    <w:p>
      <w:pPr>
        <w:pStyle w:val="Heading5"/>
      </w:pPr>
      <w:bookmarkStart w:id="150" w:name="_Toc49329586"/>
      <w:bookmarkStart w:id="151" w:name="_Toc48216024"/>
      <w:r>
        <w:rPr>
          <w:rStyle w:val="CharSectno"/>
        </w:rPr>
        <w:t>35</w:t>
      </w:r>
      <w:r>
        <w:t>.</w:t>
      </w:r>
      <w:r>
        <w:tab/>
        <w:t>Appeal does not stay decision</w:t>
      </w:r>
      <w:bookmarkEnd w:id="150"/>
      <w:bookmarkEnd w:id="151"/>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No. 17 of 2016 s. 30.]</w:t>
      </w:r>
    </w:p>
    <w:p>
      <w:pPr>
        <w:pStyle w:val="Heading5"/>
      </w:pPr>
      <w:bookmarkStart w:id="152" w:name="_Toc49329587"/>
      <w:bookmarkStart w:id="153" w:name="_Toc48216025"/>
      <w:r>
        <w:rPr>
          <w:rStyle w:val="CharSectno"/>
        </w:rPr>
        <w:t>36</w:t>
      </w:r>
      <w:r>
        <w:t>.</w:t>
      </w:r>
      <w:r>
        <w:tab/>
        <w:t>Dealing with appeal</w:t>
      </w:r>
      <w:bookmarkEnd w:id="152"/>
      <w:bookmarkEnd w:id="153"/>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54" w:name="_Toc49327054"/>
      <w:bookmarkStart w:id="155" w:name="_Toc49327139"/>
      <w:bookmarkStart w:id="156" w:name="_Toc49329588"/>
      <w:bookmarkStart w:id="157" w:name="_Toc48123881"/>
      <w:bookmarkStart w:id="158" w:name="_Toc48123966"/>
      <w:bookmarkStart w:id="159" w:name="_Toc48216026"/>
      <w:r>
        <w:rPr>
          <w:rStyle w:val="CharPartNo"/>
        </w:rPr>
        <w:t>Part 5</w:t>
      </w:r>
      <w:r>
        <w:rPr>
          <w:rStyle w:val="CharDivNo"/>
        </w:rPr>
        <w:t> </w:t>
      </w:r>
      <w:r>
        <w:t>—</w:t>
      </w:r>
      <w:r>
        <w:rPr>
          <w:rStyle w:val="CharDivText"/>
        </w:rPr>
        <w:t> </w:t>
      </w:r>
      <w:r>
        <w:rPr>
          <w:rStyle w:val="CharPartText"/>
        </w:rPr>
        <w:t>Reports</w:t>
      </w:r>
      <w:bookmarkEnd w:id="154"/>
      <w:bookmarkEnd w:id="155"/>
      <w:bookmarkEnd w:id="156"/>
      <w:bookmarkEnd w:id="157"/>
      <w:bookmarkEnd w:id="158"/>
      <w:bookmarkEnd w:id="159"/>
    </w:p>
    <w:p>
      <w:pPr>
        <w:pStyle w:val="Footnoteheading"/>
      </w:pPr>
      <w:r>
        <w:tab/>
        <w:t>[Heading inserted: No. 17 of 2016 s. 31.]</w:t>
      </w:r>
    </w:p>
    <w:p>
      <w:pPr>
        <w:pStyle w:val="Heading5"/>
      </w:pPr>
      <w:bookmarkStart w:id="160" w:name="_Toc49329589"/>
      <w:bookmarkStart w:id="161" w:name="_Toc48216027"/>
      <w:r>
        <w:rPr>
          <w:rStyle w:val="CharSectno"/>
        </w:rPr>
        <w:t>37A</w:t>
      </w:r>
      <w:r>
        <w:t>.</w:t>
      </w:r>
      <w:r>
        <w:tab/>
        <w:t>Terms used</w:t>
      </w:r>
      <w:bookmarkEnd w:id="160"/>
      <w:bookmarkEnd w:id="161"/>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 No. 17 of 2016 s. 32.]</w:t>
      </w:r>
    </w:p>
    <w:p>
      <w:pPr>
        <w:pStyle w:val="Heading5"/>
      </w:pPr>
      <w:bookmarkStart w:id="162" w:name="_Toc49329590"/>
      <w:bookmarkStart w:id="163" w:name="_Toc48216028"/>
      <w:r>
        <w:rPr>
          <w:rStyle w:val="CharSectno"/>
        </w:rPr>
        <w:t>37B</w:t>
      </w:r>
      <w:r>
        <w:t>.</w:t>
      </w:r>
      <w:r>
        <w:tab/>
        <w:t>Authority to examine</w:t>
      </w:r>
      <w:bookmarkEnd w:id="162"/>
      <w:bookmarkEnd w:id="163"/>
    </w:p>
    <w:p>
      <w:pPr>
        <w:pStyle w:val="Subsection"/>
      </w:pPr>
      <w:r>
        <w:tab/>
      </w:r>
      <w:r>
        <w:tab/>
        <w:t>This section authorises a reporter to examine a subject and to report in accordance with section 37 or 38A.</w:t>
      </w:r>
    </w:p>
    <w:p>
      <w:pPr>
        <w:pStyle w:val="Footnotesection"/>
      </w:pPr>
      <w:r>
        <w:tab/>
        <w:t>[Section 37B inserted: No. 17 of 2016 s. 32.]</w:t>
      </w:r>
    </w:p>
    <w:p>
      <w:pPr>
        <w:pStyle w:val="Heading5"/>
      </w:pPr>
      <w:bookmarkStart w:id="164" w:name="_Toc49329591"/>
      <w:bookmarkStart w:id="165" w:name="_Toc48216029"/>
      <w:r>
        <w:rPr>
          <w:rStyle w:val="CharSectno"/>
        </w:rPr>
        <w:t>37</w:t>
      </w:r>
      <w:r>
        <w:t>.</w:t>
      </w:r>
      <w:r>
        <w:tab/>
        <w:t>Preparation of report by qualified expert</w:t>
      </w:r>
      <w:bookmarkEnd w:id="164"/>
      <w:bookmarkEnd w:id="165"/>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No. 17 of 2016 s. 33.]</w:t>
      </w:r>
    </w:p>
    <w:p>
      <w:pPr>
        <w:pStyle w:val="Heading5"/>
      </w:pPr>
      <w:bookmarkStart w:id="166" w:name="_Toc49329592"/>
      <w:bookmarkStart w:id="167" w:name="_Toc48216030"/>
      <w:r>
        <w:rPr>
          <w:rStyle w:val="CharSectno"/>
        </w:rPr>
        <w:t>38A</w:t>
      </w:r>
      <w:r>
        <w:t>.</w:t>
      </w:r>
      <w:r>
        <w:tab/>
        <w:t>Preparation of other report</w:t>
      </w:r>
      <w:bookmarkEnd w:id="166"/>
      <w:bookmarkEnd w:id="167"/>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No. 17 of 2016 s. 33.]</w:t>
      </w:r>
    </w:p>
    <w:p>
      <w:pPr>
        <w:pStyle w:val="Heading5"/>
      </w:pPr>
      <w:bookmarkStart w:id="168" w:name="_Toc49329593"/>
      <w:bookmarkStart w:id="169" w:name="_Toc48216031"/>
      <w:r>
        <w:rPr>
          <w:rStyle w:val="CharSectno"/>
        </w:rPr>
        <w:t>38</w:t>
      </w:r>
      <w:r>
        <w:t>.</w:t>
      </w:r>
      <w:r>
        <w:tab/>
        <w:t>Providing information to reporter</w:t>
      </w:r>
      <w:bookmarkEnd w:id="168"/>
      <w:bookmarkEnd w:id="169"/>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No. 17 of 2016 s. 34.]</w:t>
      </w:r>
    </w:p>
    <w:p>
      <w:pPr>
        <w:pStyle w:val="Heading5"/>
      </w:pPr>
      <w:bookmarkStart w:id="170" w:name="_Toc49329594"/>
      <w:bookmarkStart w:id="171" w:name="_Toc48216032"/>
      <w:r>
        <w:rPr>
          <w:rStyle w:val="CharSectno"/>
        </w:rPr>
        <w:t>39</w:t>
      </w:r>
      <w:r>
        <w:t>.</w:t>
      </w:r>
      <w:r>
        <w:tab/>
        <w:t>Copies of report to DPP and subject</w:t>
      </w:r>
      <w:bookmarkEnd w:id="170"/>
      <w:bookmarkEnd w:id="171"/>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No. 17 of 2016 s. 35.]</w:t>
      </w:r>
    </w:p>
    <w:p>
      <w:pPr>
        <w:pStyle w:val="Heading2"/>
      </w:pPr>
      <w:bookmarkStart w:id="172" w:name="_Toc49327061"/>
      <w:bookmarkStart w:id="173" w:name="_Toc49327146"/>
      <w:bookmarkStart w:id="174" w:name="_Toc49329595"/>
      <w:bookmarkStart w:id="175" w:name="_Toc48123888"/>
      <w:bookmarkStart w:id="176" w:name="_Toc48123973"/>
      <w:bookmarkStart w:id="177" w:name="_Toc48216033"/>
      <w:r>
        <w:rPr>
          <w:rStyle w:val="CharPartNo"/>
        </w:rPr>
        <w:t>Part 6</w:t>
      </w:r>
      <w:r>
        <w:rPr>
          <w:rStyle w:val="CharDivNo"/>
        </w:rPr>
        <w:t> </w:t>
      </w:r>
      <w:r>
        <w:t>—</w:t>
      </w:r>
      <w:r>
        <w:rPr>
          <w:rStyle w:val="CharDivText"/>
        </w:rPr>
        <w:t> </w:t>
      </w:r>
      <w:r>
        <w:rPr>
          <w:rStyle w:val="CharPartText"/>
        </w:rPr>
        <w:t>General</w:t>
      </w:r>
      <w:bookmarkEnd w:id="172"/>
      <w:bookmarkEnd w:id="173"/>
      <w:bookmarkEnd w:id="174"/>
      <w:bookmarkEnd w:id="175"/>
      <w:bookmarkEnd w:id="176"/>
      <w:bookmarkEnd w:id="177"/>
    </w:p>
    <w:p>
      <w:pPr>
        <w:pStyle w:val="Heading5"/>
      </w:pPr>
      <w:bookmarkStart w:id="178" w:name="_Toc49329596"/>
      <w:bookmarkStart w:id="179" w:name="_Toc48216034"/>
      <w:r>
        <w:rPr>
          <w:rStyle w:val="CharSectno"/>
        </w:rPr>
        <w:t>40AA</w:t>
      </w:r>
      <w:r>
        <w:t>.</w:t>
      </w:r>
      <w:r>
        <w:tab/>
        <w:t>Mentally unfit offender</w:t>
      </w:r>
      <w:bookmarkEnd w:id="178"/>
      <w:bookmarkEnd w:id="179"/>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No. 17 of 2016 s. 36.]</w:t>
      </w:r>
    </w:p>
    <w:p>
      <w:pPr>
        <w:pStyle w:val="Heading5"/>
      </w:pPr>
      <w:bookmarkStart w:id="180" w:name="_Toc49329597"/>
      <w:bookmarkStart w:id="181" w:name="_Toc48216035"/>
      <w:r>
        <w:rPr>
          <w:rStyle w:val="CharSectno"/>
        </w:rPr>
        <w:t>40A</w:t>
      </w:r>
      <w:r>
        <w:t>.</w:t>
      </w:r>
      <w:r>
        <w:tab/>
        <w:t>Offence of contravening supervision order</w:t>
      </w:r>
      <w:bookmarkEnd w:id="180"/>
      <w:bookmarkEnd w:id="181"/>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No. 3 of 2011 s. 13; amended: No. 58 of 2012 s. 7.]</w:t>
      </w:r>
    </w:p>
    <w:p>
      <w:pPr>
        <w:pStyle w:val="Heading5"/>
      </w:pPr>
      <w:bookmarkStart w:id="182" w:name="_Toc49329598"/>
      <w:bookmarkStart w:id="183" w:name="_Toc48216036"/>
      <w:r>
        <w:rPr>
          <w:rStyle w:val="CharSectno"/>
        </w:rPr>
        <w:t>40B</w:t>
      </w:r>
      <w:r>
        <w:t>.</w:t>
      </w:r>
      <w:r>
        <w:tab/>
        <w:t>Procedure on some charges of offences under s. 40A</w:t>
      </w:r>
      <w:bookmarkEnd w:id="182"/>
      <w:bookmarkEnd w:id="18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No. 3 of 2011 s. 13.]</w:t>
      </w:r>
    </w:p>
    <w:p>
      <w:pPr>
        <w:pStyle w:val="Heading5"/>
      </w:pPr>
      <w:bookmarkStart w:id="184" w:name="_Toc49329599"/>
      <w:bookmarkStart w:id="185" w:name="_Toc48216037"/>
      <w:r>
        <w:rPr>
          <w:rStyle w:val="CharSectno"/>
        </w:rPr>
        <w:t>40</w:t>
      </w:r>
      <w:r>
        <w:t>.</w:t>
      </w:r>
      <w:r>
        <w:tab/>
        <w:t>Proceedings to be criminal proceedings</w:t>
      </w:r>
      <w:bookmarkEnd w:id="184"/>
      <w:bookmarkEnd w:id="185"/>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No. 17 of 2016 s. 37.]</w:t>
      </w:r>
    </w:p>
    <w:p>
      <w:pPr>
        <w:pStyle w:val="Heading5"/>
      </w:pPr>
      <w:bookmarkStart w:id="186" w:name="_Toc49329600"/>
      <w:bookmarkStart w:id="187" w:name="_Toc48216038"/>
      <w:r>
        <w:rPr>
          <w:rStyle w:val="CharSectno"/>
        </w:rPr>
        <w:t>41</w:t>
      </w:r>
      <w:r>
        <w:t>.</w:t>
      </w:r>
      <w:r>
        <w:tab/>
        <w:t>Deciding certain matters on the papers</w:t>
      </w:r>
      <w:bookmarkEnd w:id="186"/>
      <w:bookmarkEnd w:id="187"/>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No. 17 of 2016 s. 38.]</w:t>
      </w:r>
    </w:p>
    <w:p>
      <w:pPr>
        <w:pStyle w:val="Heading5"/>
      </w:pPr>
      <w:bookmarkStart w:id="188" w:name="_Toc49329601"/>
      <w:bookmarkStart w:id="189" w:name="_Toc48216039"/>
      <w:r>
        <w:rPr>
          <w:rStyle w:val="CharSectno"/>
        </w:rPr>
        <w:t>42</w:t>
      </w:r>
      <w:r>
        <w:t>.</w:t>
      </w:r>
      <w:r>
        <w:tab/>
        <w:t>Evidence in certain hearings</w:t>
      </w:r>
      <w:bookmarkEnd w:id="188"/>
      <w:bookmarkEnd w:id="189"/>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No. 17 of 2016 s. 39.]</w:t>
      </w:r>
    </w:p>
    <w:p>
      <w:pPr>
        <w:pStyle w:val="Heading5"/>
      </w:pPr>
      <w:bookmarkStart w:id="190" w:name="_Toc49329602"/>
      <w:bookmarkStart w:id="191" w:name="_Toc48216040"/>
      <w:r>
        <w:rPr>
          <w:rStyle w:val="CharSectno"/>
        </w:rPr>
        <w:t>43</w:t>
      </w:r>
      <w:r>
        <w:t>.</w:t>
      </w:r>
      <w:r>
        <w:tab/>
        <w:t>Court may give directions</w:t>
      </w:r>
      <w:bookmarkEnd w:id="190"/>
      <w:bookmarkEnd w:id="191"/>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No. 17 of 2016 s. 40.]</w:t>
      </w:r>
    </w:p>
    <w:p>
      <w:pPr>
        <w:pStyle w:val="Heading5"/>
      </w:pPr>
      <w:bookmarkStart w:id="192" w:name="_Toc49329603"/>
      <w:bookmarkStart w:id="193" w:name="_Toc48216041"/>
      <w:r>
        <w:rPr>
          <w:rStyle w:val="CharSectno"/>
        </w:rPr>
        <w:t>44</w:t>
      </w:r>
      <w:r>
        <w:t>.</w:t>
      </w:r>
      <w:r>
        <w:tab/>
        <w:t>Appearance at hearings</w:t>
      </w:r>
      <w:bookmarkEnd w:id="192"/>
      <w:bookmarkEnd w:id="19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No. 17 of 2016 s. 41.]</w:t>
      </w:r>
    </w:p>
    <w:p>
      <w:pPr>
        <w:pStyle w:val="Heading5"/>
      </w:pPr>
      <w:bookmarkStart w:id="194" w:name="_Toc49329604"/>
      <w:bookmarkStart w:id="195" w:name="_Toc48216042"/>
      <w:r>
        <w:rPr>
          <w:rStyle w:val="CharSectno"/>
        </w:rPr>
        <w:t>45</w:t>
      </w:r>
      <w:r>
        <w:t>.</w:t>
      </w:r>
      <w:r>
        <w:tab/>
        <w:t>Warrant of commitment upon order for detention</w:t>
      </w:r>
      <w:bookmarkEnd w:id="194"/>
      <w:bookmarkEnd w:id="195"/>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96" w:name="_Toc49329605"/>
      <w:bookmarkStart w:id="197" w:name="_Toc48216043"/>
      <w:r>
        <w:rPr>
          <w:rStyle w:val="CharSectno"/>
        </w:rPr>
        <w:t>46A</w:t>
      </w:r>
      <w:r>
        <w:t>.</w:t>
      </w:r>
      <w:r>
        <w:tab/>
        <w:t>Protection from personal liability</w:t>
      </w:r>
      <w:bookmarkEnd w:id="196"/>
      <w:bookmarkEnd w:id="19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No. 3 of 2011 s. 14; amended: No. 17 of 2016 s. 42.]</w:t>
      </w:r>
    </w:p>
    <w:p>
      <w:pPr>
        <w:pStyle w:val="Heading5"/>
      </w:pPr>
      <w:bookmarkStart w:id="198" w:name="_Toc49329606"/>
      <w:bookmarkStart w:id="199" w:name="_Toc48216044"/>
      <w:r>
        <w:rPr>
          <w:rStyle w:val="CharSectno"/>
        </w:rPr>
        <w:t>46B</w:t>
      </w:r>
      <w:r>
        <w:t>.</w:t>
      </w:r>
      <w:r>
        <w:tab/>
        <w:t>Exchange of information</w:t>
      </w:r>
      <w:bookmarkEnd w:id="198"/>
      <w:bookmarkEnd w:id="199"/>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No. 17 of 2016 s. 43.]</w:t>
      </w:r>
    </w:p>
    <w:p>
      <w:pPr>
        <w:pStyle w:val="Heading5"/>
      </w:pPr>
      <w:bookmarkStart w:id="200" w:name="_Toc49329607"/>
      <w:bookmarkStart w:id="201" w:name="_Toc48216045"/>
      <w:r>
        <w:rPr>
          <w:rStyle w:val="CharSectno"/>
        </w:rPr>
        <w:t>46</w:t>
      </w:r>
      <w:r>
        <w:t>.</w:t>
      </w:r>
      <w:r>
        <w:tab/>
        <w:t>Approved forms</w:t>
      </w:r>
      <w:bookmarkEnd w:id="200"/>
      <w:bookmarkEnd w:id="201"/>
    </w:p>
    <w:p>
      <w:pPr>
        <w:pStyle w:val="Subsection"/>
      </w:pPr>
      <w:r>
        <w:tab/>
      </w:r>
      <w:r>
        <w:tab/>
        <w:t>The chief executive officer may approve forms for use under this Act.</w:t>
      </w:r>
    </w:p>
    <w:p>
      <w:pPr>
        <w:pStyle w:val="Heading5"/>
      </w:pPr>
      <w:bookmarkStart w:id="202" w:name="_Toc49329608"/>
      <w:bookmarkStart w:id="203" w:name="_Toc48216046"/>
      <w:r>
        <w:rPr>
          <w:rStyle w:val="CharSectno"/>
        </w:rPr>
        <w:t>47</w:t>
      </w:r>
      <w:r>
        <w:t>.</w:t>
      </w:r>
      <w:r>
        <w:tab/>
        <w:t>Regulations</w:t>
      </w:r>
      <w:bookmarkEnd w:id="202"/>
      <w:bookmarkEnd w:id="2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4" w:name="_Toc49329609"/>
      <w:bookmarkStart w:id="205" w:name="_Toc48216047"/>
      <w:r>
        <w:rPr>
          <w:rStyle w:val="CharSectno"/>
        </w:rPr>
        <w:t>48</w:t>
      </w:r>
      <w:r>
        <w:t>.</w:t>
      </w:r>
      <w:r>
        <w:tab/>
        <w:t>Transitional provisions (Sch. 1)</w:t>
      </w:r>
      <w:bookmarkEnd w:id="204"/>
      <w:bookmarkEnd w:id="205"/>
    </w:p>
    <w:p>
      <w:pPr>
        <w:pStyle w:val="Subsection"/>
      </w:pPr>
      <w:r>
        <w:tab/>
      </w:r>
      <w:r>
        <w:tab/>
        <w:t>Schedule 1 sets out transitional provisions.</w:t>
      </w:r>
    </w:p>
    <w:p>
      <w:pPr>
        <w:pStyle w:val="Footnotesection"/>
      </w:pPr>
      <w:r>
        <w:tab/>
        <w:t>[Section 48 inserted: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6" w:name="_Toc49327076"/>
      <w:bookmarkStart w:id="207" w:name="_Toc49327161"/>
      <w:bookmarkStart w:id="208" w:name="_Toc49329610"/>
      <w:bookmarkStart w:id="209" w:name="_Toc48123903"/>
      <w:bookmarkStart w:id="210" w:name="_Toc48123988"/>
      <w:bookmarkStart w:id="211" w:name="_Toc48216048"/>
      <w:r>
        <w:rPr>
          <w:rStyle w:val="CharSchNo"/>
        </w:rPr>
        <w:t>Schedule 1</w:t>
      </w:r>
      <w:r>
        <w:t> — </w:t>
      </w:r>
      <w:r>
        <w:rPr>
          <w:rStyle w:val="CharSchText"/>
        </w:rPr>
        <w:t>Transitional provisions</w:t>
      </w:r>
      <w:bookmarkEnd w:id="206"/>
      <w:bookmarkEnd w:id="207"/>
      <w:bookmarkEnd w:id="208"/>
      <w:bookmarkEnd w:id="209"/>
      <w:bookmarkEnd w:id="210"/>
      <w:bookmarkEnd w:id="211"/>
    </w:p>
    <w:p>
      <w:pPr>
        <w:pStyle w:val="yShoulderClause"/>
      </w:pPr>
      <w:r>
        <w:t>[s. 48]</w:t>
      </w:r>
    </w:p>
    <w:p>
      <w:pPr>
        <w:pStyle w:val="yFootnoteheading"/>
      </w:pPr>
      <w:r>
        <w:tab/>
        <w:t>[Heading inserted: No. 3 of 2011 s. 16.]</w:t>
      </w:r>
    </w:p>
    <w:p>
      <w:pPr>
        <w:pStyle w:val="yHeading5"/>
        <w:spacing w:before="180"/>
      </w:pPr>
      <w:bookmarkStart w:id="212" w:name="_Toc49329611"/>
      <w:bookmarkStart w:id="213" w:name="_Toc48216049"/>
      <w:r>
        <w:rPr>
          <w:rStyle w:val="CharSClsNo"/>
        </w:rPr>
        <w:t>1</w:t>
      </w:r>
      <w:r>
        <w:t>.</w:t>
      </w:r>
      <w:r>
        <w:rPr>
          <w:b w:val="0"/>
        </w:rPr>
        <w:tab/>
      </w:r>
      <w:r>
        <w:t xml:space="preserve">Provisions for </w:t>
      </w:r>
      <w:r>
        <w:rPr>
          <w:i/>
        </w:rPr>
        <w:t>Dangerous Sexual Offenders Amendment Act 2011</w:t>
      </w:r>
      <w:bookmarkEnd w:id="212"/>
      <w:bookmarkEnd w:id="213"/>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No. 3 of 2011 s. 16.]</w:t>
      </w:r>
    </w:p>
    <w:p>
      <w:pPr>
        <w:pStyle w:val="yHeading5"/>
        <w:spacing w:before="180"/>
      </w:pPr>
      <w:bookmarkStart w:id="214" w:name="_Toc49329612"/>
      <w:bookmarkStart w:id="215" w:name="_Toc48216050"/>
      <w:r>
        <w:rPr>
          <w:rStyle w:val="CharSClsNo"/>
        </w:rPr>
        <w:t>2</w:t>
      </w:r>
      <w:r>
        <w:t>.</w:t>
      </w:r>
      <w:r>
        <w:tab/>
        <w:t xml:space="preserve">Provisions for </w:t>
      </w:r>
      <w:r>
        <w:rPr>
          <w:i/>
        </w:rPr>
        <w:t>Dangerous Sexual Offenders Amendment Act 2012</w:t>
      </w:r>
      <w:bookmarkEnd w:id="214"/>
      <w:bookmarkEnd w:id="215"/>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17" w:name="_Toc49327079"/>
      <w:bookmarkStart w:id="218" w:name="_Toc49327164"/>
      <w:bookmarkStart w:id="219" w:name="_Toc49329613"/>
      <w:bookmarkStart w:id="220" w:name="_Toc48123906"/>
      <w:bookmarkStart w:id="221" w:name="_Toc48123991"/>
      <w:bookmarkStart w:id="222" w:name="_Toc48216051"/>
      <w:r>
        <w:t>Notes</w:t>
      </w:r>
      <w:bookmarkEnd w:id="217"/>
      <w:bookmarkEnd w:id="218"/>
      <w:bookmarkEnd w:id="219"/>
      <w:bookmarkEnd w:id="220"/>
      <w:bookmarkEnd w:id="221"/>
      <w:bookmarkEnd w:id="222"/>
    </w:p>
    <w:p>
      <w:pPr>
        <w:pStyle w:val="nStatement"/>
      </w:pPr>
      <w:r>
        <w:t xml:space="preserve">This is a compilation of the </w:t>
      </w:r>
      <w:r>
        <w:rPr>
          <w:i/>
          <w:noProof/>
        </w:rPr>
        <w:t>Dangerous Sexual Offenders Act 2006</w:t>
      </w:r>
      <w:r>
        <w:t xml:space="preserve"> and includes amendments made by other written laws. For provisions that have come into operation, and for information about any reprints, see the compilation table.</w:t>
      </w:r>
      <w:del w:id="223" w:author="svcMRProcess" w:date="2020-08-26T11:56:00Z">
        <w:r>
          <w:delText xml:space="preserve"> For provisions that have not yet come into operation see the uncommenced provisions table.</w:delText>
        </w:r>
      </w:del>
    </w:p>
    <w:p>
      <w:pPr>
        <w:pStyle w:val="nHeading3"/>
      </w:pPr>
      <w:bookmarkStart w:id="224" w:name="_Toc49329614"/>
      <w:bookmarkStart w:id="225" w:name="_Toc48216052"/>
      <w:r>
        <w:t>Compilation table</w:t>
      </w:r>
      <w:bookmarkEnd w:id="224"/>
      <w:bookmarkEnd w:id="2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r>
        <w:trPr>
          <w:cantSplit/>
        </w:trPr>
        <w:tc>
          <w:tcPr>
            <w:tcW w:w="2268" w:type="dxa"/>
            <w:tcBorders>
              <w:bottom w:val="nil"/>
            </w:tcBorders>
            <w:shd w:val="clear" w:color="auto" w:fill="auto"/>
          </w:tcPr>
          <w:p>
            <w:pPr>
              <w:pStyle w:val="nTable"/>
              <w:spacing w:after="40"/>
              <w:rPr>
                <w:i/>
                <w:snapToGrid w:val="0"/>
              </w:rPr>
            </w:pPr>
            <w:r>
              <w:rPr>
                <w:i/>
              </w:rPr>
              <w:t xml:space="preserve">Dangerous Sexual Offenders Legislation Amendment Act 2017 </w:t>
            </w:r>
            <w:r>
              <w:t>Pt. 3</w:t>
            </w:r>
          </w:p>
        </w:tc>
        <w:tc>
          <w:tcPr>
            <w:tcW w:w="1134" w:type="dxa"/>
            <w:tcBorders>
              <w:bottom w:val="nil"/>
            </w:tcBorders>
            <w:shd w:val="clear" w:color="auto" w:fill="auto"/>
          </w:tcPr>
          <w:p>
            <w:pPr>
              <w:pStyle w:val="nTable"/>
              <w:spacing w:after="40"/>
              <w:rPr>
                <w:snapToGrid w:val="0"/>
              </w:rPr>
            </w:pPr>
            <w:r>
              <w:t>21 of 2017</w:t>
            </w:r>
          </w:p>
        </w:tc>
        <w:tc>
          <w:tcPr>
            <w:tcW w:w="1134" w:type="dxa"/>
            <w:tcBorders>
              <w:bottom w:val="nil"/>
            </w:tcBorders>
            <w:shd w:val="clear" w:color="auto" w:fill="auto"/>
          </w:tcPr>
          <w:p>
            <w:pPr>
              <w:pStyle w:val="nTable"/>
              <w:spacing w:after="40"/>
            </w:pPr>
            <w:r>
              <w:t>13 Dec 2017</w:t>
            </w:r>
          </w:p>
        </w:tc>
        <w:tc>
          <w:tcPr>
            <w:tcW w:w="2552" w:type="dxa"/>
            <w:tcBorders>
              <w:bottom w:val="nil"/>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bl>
    <w:p>
      <w:pPr>
        <w:pStyle w:val="nHeading3"/>
        <w:rPr>
          <w:del w:id="226" w:author="svcMRProcess" w:date="2020-08-26T11:56:00Z"/>
        </w:rPr>
      </w:pPr>
      <w:bookmarkStart w:id="227" w:name="_Toc48216053"/>
      <w:del w:id="228" w:author="svcMRProcess" w:date="2020-08-26T11:56:00Z">
        <w:r>
          <w:delText>Uncommenced provisions table</w:delText>
        </w:r>
        <w:bookmarkEnd w:id="227"/>
      </w:del>
    </w:p>
    <w:p>
      <w:pPr>
        <w:pStyle w:val="nStatement"/>
        <w:keepNext/>
        <w:spacing w:after="240"/>
        <w:rPr>
          <w:del w:id="229" w:author="svcMRProcess" w:date="2020-08-26T11:56:00Z"/>
        </w:rPr>
      </w:pPr>
      <w:del w:id="230" w:author="svcMRProcess" w:date="2020-08-26T11:5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20"/>
      </w:tblGrid>
      <w:tr>
        <w:trPr>
          <w:tblHeader/>
          <w:del w:id="231" w:author="svcMRProcess" w:date="2020-08-26T11:56:00Z"/>
        </w:trPr>
        <w:tc>
          <w:tcPr>
            <w:tcW w:w="2268" w:type="dxa"/>
            <w:gridSpan w:val="3"/>
          </w:tcPr>
          <w:p>
            <w:pPr>
              <w:pStyle w:val="nTable"/>
              <w:spacing w:after="40"/>
              <w:rPr>
                <w:del w:id="232" w:author="svcMRProcess" w:date="2020-08-26T11:56:00Z"/>
                <w:b/>
              </w:rPr>
            </w:pPr>
            <w:del w:id="233" w:author="svcMRProcess" w:date="2020-08-26T11:56:00Z">
              <w:r>
                <w:rPr>
                  <w:b/>
                </w:rPr>
                <w:delText>Short title</w:delText>
              </w:r>
            </w:del>
          </w:p>
        </w:tc>
        <w:tc>
          <w:tcPr>
            <w:tcW w:w="1134" w:type="dxa"/>
          </w:tcPr>
          <w:p>
            <w:pPr>
              <w:pStyle w:val="nTable"/>
              <w:spacing w:after="40"/>
              <w:rPr>
                <w:del w:id="234" w:author="svcMRProcess" w:date="2020-08-26T11:56:00Z"/>
                <w:b/>
              </w:rPr>
            </w:pPr>
            <w:del w:id="235" w:author="svcMRProcess" w:date="2020-08-26T11:56:00Z">
              <w:r>
                <w:rPr>
                  <w:b/>
                </w:rPr>
                <w:delText>Number and year</w:delText>
              </w:r>
            </w:del>
          </w:p>
        </w:tc>
        <w:tc>
          <w:tcPr>
            <w:tcW w:w="1134" w:type="dxa"/>
          </w:tcPr>
          <w:p>
            <w:pPr>
              <w:pStyle w:val="nTable"/>
              <w:spacing w:after="40"/>
              <w:rPr>
                <w:del w:id="236" w:author="svcMRProcess" w:date="2020-08-26T11:56:00Z"/>
                <w:b/>
              </w:rPr>
            </w:pPr>
            <w:del w:id="237" w:author="svcMRProcess" w:date="2020-08-26T11:56:00Z">
              <w:r>
                <w:rPr>
                  <w:b/>
                </w:rPr>
                <w:delText>Assent</w:delText>
              </w:r>
            </w:del>
          </w:p>
        </w:tc>
        <w:tc>
          <w:tcPr>
            <w:tcW w:w="2552" w:type="dxa"/>
          </w:tcPr>
          <w:p>
            <w:pPr>
              <w:pStyle w:val="nTable"/>
              <w:spacing w:after="40"/>
              <w:rPr>
                <w:del w:id="238" w:author="svcMRProcess" w:date="2020-08-26T11:56:00Z"/>
                <w:b/>
              </w:rPr>
            </w:pPr>
            <w:del w:id="239" w:author="svcMRProcess" w:date="2020-08-26T11:56: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240" w:author="svcMRProcess" w:date="2020-08-26T11:56:00Z"/>
          </w:tcPr>
          <w:p>
            <w:pPr>
              <w:pStyle w:val="nTable"/>
              <w:spacing w:after="40"/>
              <w:rPr>
                <w:i/>
              </w:rPr>
            </w:pPr>
            <w:del w:id="241" w:author="svcMRProcess" w:date="2020-08-26T11:56:00Z">
              <w:r>
                <w:rPr>
                  <w:i/>
                </w:rPr>
                <w:delText>High Risk Serious Offenders Act 2020</w:delText>
              </w:r>
              <w:r>
                <w:delText xml:space="preserve"> s. 123</w:delText>
              </w:r>
            </w:del>
          </w:p>
        </w:tc>
        <w:tc>
          <w:tcPr>
            <w:tcW w:w="1134" w:type="dxa"/>
            <w:cellDel w:id="242" w:author="svcMRProcess" w:date="2020-08-26T11:56:00Z"/>
          </w:tcPr>
          <w:p>
            <w:pPr>
              <w:pStyle w:val="nTable"/>
              <w:spacing w:after="40"/>
            </w:pPr>
            <w:del w:id="243" w:author="svcMRProcess" w:date="2020-08-26T11:56:00Z">
              <w:r>
                <w:delText>29 of 2020</w:delText>
              </w:r>
            </w:del>
          </w:p>
        </w:tc>
        <w:tc>
          <w:tcPr>
            <w:tcW w:w="1134" w:type="dxa"/>
            <w:cellDel w:id="244" w:author="svcMRProcess" w:date="2020-08-26T11:56:00Z"/>
          </w:tcPr>
          <w:p>
            <w:pPr>
              <w:pStyle w:val="nTable"/>
              <w:spacing w:after="40"/>
            </w:pPr>
            <w:del w:id="245" w:author="svcMRProcess" w:date="2020-08-26T11:56:00Z">
              <w:r>
                <w:delText>9 Jul 2020</w:delText>
              </w:r>
            </w:del>
          </w:p>
        </w:tc>
        <w:tc>
          <w:tcPr>
            <w:tcW w:w="7088" w:type="dxa"/>
            <w:gridSpan w:val="3"/>
            <w:tcBorders>
              <w:bottom w:val="single" w:sz="4" w:space="0" w:color="auto"/>
            </w:tcBorders>
            <w:shd w:val="clear" w:color="auto" w:fill="auto"/>
          </w:tcPr>
          <w:p>
            <w:pPr>
              <w:pStyle w:val="nTable"/>
              <w:spacing w:after="40"/>
              <w:rPr>
                <w:b/>
                <w:color w:val="FF0000"/>
              </w:rPr>
            </w:pPr>
            <w:ins w:id="246" w:author="svcMRProcess" w:date="2020-08-26T11:56:00Z">
              <w:r>
                <w:rPr>
                  <w:b/>
                  <w:color w:val="FF0000"/>
                </w:rPr>
                <w:t xml:space="preserve">This Act was repealed by the </w:t>
              </w:r>
              <w:r>
                <w:rPr>
                  <w:b/>
                  <w:i/>
                  <w:color w:val="FF0000"/>
                </w:rPr>
                <w:t>High Risk Serious Offenders Act 2020</w:t>
              </w:r>
              <w:r>
                <w:rPr>
                  <w:b/>
                  <w:color w:val="FF0000"/>
                </w:rPr>
                <w:t xml:space="preserve"> s. 123 (No. 29 of 2020) as at </w:t>
              </w:r>
            </w:ins>
            <w:r>
              <w:rPr>
                <w:b/>
                <w:color w:val="FF0000"/>
              </w:rPr>
              <w:t>26 Aug 2020 (see</w:t>
            </w:r>
            <w:del w:id="247" w:author="svcMRProcess" w:date="2020-08-26T11:56:00Z">
              <w:r>
                <w:delText> </w:delText>
              </w:r>
            </w:del>
            <w:ins w:id="248" w:author="svcMRProcess" w:date="2020-08-26T11:56:00Z">
              <w:r>
                <w:rPr>
                  <w:b/>
                  <w:color w:val="FF0000"/>
                </w:rPr>
                <w:t xml:space="preserve"> </w:t>
              </w:r>
            </w:ins>
            <w:r>
              <w:rPr>
                <w:b/>
                <w:color w:val="FF0000"/>
              </w:rPr>
              <w:t>s. 2(1)(c) and SL 2020/131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2910"/>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 w:name="WAFER_2020071009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28_GUID" w:val="90d009a8-f0fe-4c94-8400-f5982f1dc3a9"/>
    <w:docVar w:name="WAFER_202008121122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245_GUID" w:val="c3a637cb-cf51-4439-9338-c751579cab96"/>
    <w:docVar w:name="WAFER_2020082609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910_GUID" w:val="76c43eb0-03b3-4e0c-b2f0-48e37e450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DAB7A-086E-4E98-B182-BF15C91F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11803</Words>
  <Characters>55595</Characters>
  <Application>Microsoft Office Word</Application>
  <DocSecurity>0</DocSecurity>
  <Lines>1463</Lines>
  <Paragraphs>832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66566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02-d0-01 - 02-e0-00</dc:title>
  <dc:subject/>
  <dc:creator/>
  <cp:keywords/>
  <dc:description/>
  <cp:lastModifiedBy>svcMRProcess</cp:lastModifiedBy>
  <cp:revision>2</cp:revision>
  <cp:lastPrinted>2018-03-15T07:10:00Z</cp:lastPrinted>
  <dcterms:created xsi:type="dcterms:W3CDTF">2020-08-26T03:56:00Z</dcterms:created>
  <dcterms:modified xsi:type="dcterms:W3CDTF">2020-08-26T03:57:00Z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Status">
    <vt:lpwstr>NIF</vt:lpwstr>
  </property>
  <property fmtid="{D5CDD505-2E9C-101B-9397-08002B2CF9AE}" pid="8" name="CommencementDate">
    <vt:lpwstr>20200826</vt:lpwstr>
  </property>
  <property fmtid="{D5CDD505-2E9C-101B-9397-08002B2CF9AE}" pid="9" name="FromSuffix">
    <vt:lpwstr>02-d0-01</vt:lpwstr>
  </property>
  <property fmtid="{D5CDD505-2E9C-101B-9397-08002B2CF9AE}" pid="10" name="FromAsAtDate">
    <vt:lpwstr>09 Jul 2020</vt:lpwstr>
  </property>
  <property fmtid="{D5CDD505-2E9C-101B-9397-08002B2CF9AE}" pid="11" name="ToSuffix">
    <vt:lpwstr>02-e0-00</vt:lpwstr>
  </property>
  <property fmtid="{D5CDD505-2E9C-101B-9397-08002B2CF9AE}" pid="12" name="ToAsAtDate">
    <vt:lpwstr>26 Aug 2020</vt:lpwstr>
  </property>
</Properties>
</file>